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898E040-6996-4AE3-A181-02F26B53D249" style="width:455.25pt;height:371.25pt">
            <v:imagedata r:id="rId10" o:title=""/>
          </v:shape>
        </w:pict>
      </w:r>
    </w:p>
    <w:p>
      <w:pPr>
        <w:rPr>
          <w:noProof/>
        </w:rPr>
        <w:sectPr>
          <w:footerReference w:type="even" r:id="rId11"/>
          <w:footerReference w:type="default" r:id="rId12"/>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widowControl w:val="0"/>
        <w:shd w:val="clear" w:color="auto" w:fill="FFFFFF"/>
        <w:autoSpaceDE w:val="0"/>
        <w:autoSpaceDN w:val="0"/>
        <w:adjustRightInd w:val="0"/>
        <w:spacing w:before="230" w:after="0" w:line="269" w:lineRule="exact"/>
        <w:ind w:right="86"/>
        <w:rPr>
          <w:noProof/>
        </w:rPr>
      </w:pPr>
      <w:r>
        <w:rPr>
          <w:noProof/>
        </w:rPr>
        <w:t>Regulamentul (UE) 2023/2720 al Consiliului</w:t>
      </w:r>
      <w:r>
        <w:rPr>
          <w:rStyle w:val="FootnoteReference"/>
          <w:noProof/>
        </w:rPr>
        <w:footnoteReference w:id="1"/>
      </w:r>
      <w:r>
        <w:rPr>
          <w:noProof/>
        </w:rPr>
        <w:t xml:space="preserve"> privind deschiderea și modul de gestionare a contingentelor tarifare autonome ale Uniunii pentru anumite produse pescărești pentru perioada 2024-2026 a fost adoptat la 27 noiembrie 2023. </w:t>
      </w:r>
    </w:p>
    <w:p>
      <w:pPr>
        <w:widowControl w:val="0"/>
        <w:shd w:val="clear" w:color="auto" w:fill="FFFFFF"/>
        <w:autoSpaceDE w:val="0"/>
        <w:autoSpaceDN w:val="0"/>
        <w:adjustRightInd w:val="0"/>
        <w:spacing w:before="230" w:after="0" w:line="269" w:lineRule="exact"/>
        <w:ind w:right="86"/>
        <w:rPr>
          <w:noProof/>
        </w:rPr>
      </w:pPr>
      <w:r>
        <w:rPr>
          <w:noProof/>
        </w:rPr>
        <w:t>Obiectivul regulamentului este de a asigura competitivitatea industriei de prelucrare din Uniune și de a evita punerea în pericol a producției de produse pescărești din Uniune prin garantarea unei aprovizionări adecvate a industriei cu produse pescărești. În acest scop, regulamentul reduce sau suspendă taxele de import pentru o serie de produse pescărești din cadrul unor contingente tarifare cu un volum adecvat. Acesta stabilește, de asemenea, care operațiuni de prelucrare („operațiuni care conferă caracterul de produs originar”) permit utilizarea contingentelor tarifare și care nu.</w:t>
      </w:r>
    </w:p>
    <w:p>
      <w:pPr>
        <w:widowControl w:val="0"/>
        <w:shd w:val="clear" w:color="auto" w:fill="FFFFFF"/>
        <w:autoSpaceDE w:val="0"/>
        <w:autoSpaceDN w:val="0"/>
        <w:adjustRightInd w:val="0"/>
        <w:spacing w:before="230" w:after="0" w:line="269" w:lineRule="exact"/>
        <w:ind w:right="86"/>
        <w:rPr>
          <w:noProof/>
        </w:rPr>
      </w:pPr>
      <w:r>
        <w:rPr>
          <w:noProof/>
        </w:rPr>
        <w:t xml:space="preserve">Prezenta propunere a Comisiei urmărește să prelungească cu un an valabilitatea actualului regulament privind CTA, pentru a asigura continuitatea și previzibilitatea actualului regim CTA, în timp ce Comisia își finalizează activitatea privind o evaluare și un studiu de impact realizate în paralel privind introducerea criteriilor de durabilitate în regimul CTA. Aceste noi criterii vor însoți propunerea Comisiei privind introducerea criteriilor de durabilitate (planificată pentru adoptare în primul trimestru al anului 2027). </w:t>
      </w:r>
    </w:p>
    <w:p>
      <w:pPr>
        <w:widowControl w:val="0"/>
        <w:shd w:val="clear" w:color="auto" w:fill="FFFFFF"/>
        <w:autoSpaceDE w:val="0"/>
        <w:autoSpaceDN w:val="0"/>
        <w:adjustRightInd w:val="0"/>
        <w:spacing w:before="230" w:after="0" w:line="269" w:lineRule="exact"/>
        <w:ind w:right="86"/>
        <w:rPr>
          <w:noProof/>
        </w:rPr>
      </w:pPr>
      <w:r>
        <w:rPr>
          <w:noProof/>
        </w:rPr>
        <w:t>Prelungirea propusă cu un an reflectă nevoia de timp suplimentar pentru a asigura o tranziție adecvată către un cadru viitor.</w:t>
      </w:r>
    </w:p>
    <w:p>
      <w:pPr>
        <w:pBdr>
          <w:top w:val="nil"/>
          <w:left w:val="nil"/>
          <w:bottom w:val="nil"/>
          <w:right w:val="nil"/>
          <w:between w:val="nil"/>
          <w:bar w:val="nil"/>
        </w:pBdr>
        <w:spacing w:before="0" w:after="240"/>
        <w:rPr>
          <w:rFonts w:eastAsia="Arial Unicode MS"/>
          <w:noProof/>
        </w:rPr>
      </w:pPr>
    </w:p>
    <w:p>
      <w:pPr>
        <w:pStyle w:val="ManualHeading2"/>
        <w:rPr>
          <w:rFonts w:eastAsia="Arial Unicode MS"/>
          <w:noProof/>
          <w:color w:val="000000"/>
          <w:u w:color="000000"/>
          <w:bdr w:val="nil"/>
        </w:rPr>
      </w:pPr>
      <w:r>
        <w:rPr>
          <w:noProof/>
          <w:color w:val="000000"/>
          <w:u w:color="000000"/>
          <w:bdr w:val="nil"/>
        </w:rPr>
        <w:t>•</w:t>
      </w:r>
      <w:r>
        <w:rPr>
          <w:noProof/>
        </w:rPr>
        <w:tab/>
        <w:t>Coerența cu dispozițiile de politică deja existente în domeniul de politică vizat</w:t>
      </w:r>
    </w:p>
    <w:p>
      <w:pPr>
        <w:pBdr>
          <w:top w:val="nil"/>
          <w:left w:val="nil"/>
          <w:bottom w:val="nil"/>
          <w:right w:val="nil"/>
          <w:between w:val="nil"/>
          <w:bar w:val="nil"/>
        </w:pBdr>
        <w:spacing w:before="0" w:after="240"/>
        <w:rPr>
          <w:rFonts w:eastAsia="Times New Roman"/>
          <w:noProof/>
          <w:szCs w:val="20"/>
        </w:rPr>
      </w:pPr>
      <w:r>
        <w:rPr>
          <w:noProof/>
        </w:rPr>
        <w:t>Propunerea este coerentă cu politica UE de asigurare a unei aprovizionări adecvate cu produse pescărești pentru industria sa de prelucrare. Regimul CTA este un instrument de lungă durată în cadrul politicii comerciale și de pescuit a UE. Acesta permite suspendarea sau reducerea taxelor la import pentru anumite produse pescărești pentru a facilita accesul industriei de prelucrare a UE la materii prime și produse semifinite care nu sunt disponibile în UE în cantități suficiente.</w:t>
      </w:r>
    </w:p>
    <w:p>
      <w:pPr>
        <w:pBdr>
          <w:top w:val="nil"/>
          <w:left w:val="nil"/>
          <w:bottom w:val="nil"/>
          <w:right w:val="nil"/>
          <w:between w:val="nil"/>
          <w:bar w:val="nil"/>
        </w:pBdr>
        <w:spacing w:before="0" w:after="240"/>
        <w:rPr>
          <w:rFonts w:eastAsia="Times New Roman"/>
          <w:noProof/>
          <w:szCs w:val="20"/>
          <w:lang w:eastAsia="en-IE"/>
        </w:rPr>
      </w:pPr>
    </w:p>
    <w:p>
      <w:pPr>
        <w:pStyle w:val="ManualHeading2"/>
        <w:rPr>
          <w:rFonts w:eastAsia="Arial Unicode MS"/>
          <w:noProof/>
        </w:rPr>
      </w:pPr>
      <w:r>
        <w:rPr>
          <w:noProof/>
          <w:color w:val="000000"/>
          <w:u w:color="000000"/>
          <w:bdr w:val="nil"/>
        </w:rPr>
        <w:t>•</w:t>
      </w:r>
      <w:r>
        <w:rPr>
          <w:noProof/>
        </w:rPr>
        <w:tab/>
        <w:t>Coerența cu alte politici ale Uniunii</w:t>
      </w:r>
    </w:p>
    <w:p>
      <w:pPr>
        <w:pBdr>
          <w:top w:val="nil"/>
          <w:left w:val="nil"/>
          <w:bottom w:val="nil"/>
          <w:right w:val="nil"/>
          <w:between w:val="nil"/>
          <w:bar w:val="nil"/>
        </w:pBdr>
        <w:spacing w:before="0" w:after="240"/>
        <w:rPr>
          <w:rFonts w:eastAsia="Times New Roman"/>
          <w:noProof/>
          <w:szCs w:val="20"/>
        </w:rPr>
      </w:pPr>
      <w:r>
        <w:rPr>
          <w:noProof/>
        </w:rPr>
        <w:t>Propunerea este coerentă cu politica UE privind contingentele autonome care permite suspendarea sau reducerea taxelor la import pentru anumite produse pescărești pentru a facilita accesul industriei de prelucrare a UE la materii prime și produse semifinite care nu sunt disponibile în UE în cantități suficiente.</w:t>
      </w:r>
    </w:p>
    <w:p>
      <w:pPr>
        <w:pBdr>
          <w:top w:val="nil"/>
          <w:left w:val="nil"/>
          <w:bottom w:val="nil"/>
          <w:right w:val="nil"/>
          <w:between w:val="nil"/>
          <w:bar w:val="nil"/>
        </w:pBdr>
        <w:spacing w:before="0" w:after="240"/>
        <w:rPr>
          <w:rFonts w:eastAsia="Arial Unicode MS"/>
          <w:noProof/>
        </w:rPr>
      </w:pPr>
    </w:p>
    <w:p>
      <w:pPr>
        <w:pStyle w:val="ManualHeading1"/>
        <w:rPr>
          <w:noProof/>
        </w:rPr>
      </w:pPr>
      <w:r>
        <w:rPr>
          <w:noProof/>
        </w:rPr>
        <w:lastRenderedPageBreak/>
        <w:t>2.</w:t>
      </w:r>
      <w:r>
        <w:rPr>
          <w:noProof/>
        </w:rPr>
        <w:tab/>
        <w:t>TEMEI JURIDIC, SUBSIDIARITATE ȘI PROPORȚIONALITATE</w:t>
      </w:r>
    </w:p>
    <w:p>
      <w:pPr>
        <w:pStyle w:val="ManualHeading2"/>
        <w:rPr>
          <w:rFonts w:eastAsia="Arial Unicode MS"/>
          <w:noProof/>
          <w:u w:color="000000"/>
          <w:bdr w:val="nil"/>
        </w:rPr>
      </w:pPr>
      <w:r>
        <w:rPr>
          <w:noProof/>
          <w:u w:color="000000"/>
          <w:bdr w:val="nil"/>
        </w:rPr>
        <w:t>•</w:t>
      </w:r>
      <w:r>
        <w:rPr>
          <w:noProof/>
        </w:rPr>
        <w:tab/>
      </w:r>
      <w:r>
        <w:rPr>
          <w:noProof/>
          <w:u w:color="000000"/>
          <w:bdr w:val="nil"/>
        </w:rPr>
        <w:t>Temeiul juridic</w:t>
      </w:r>
    </w:p>
    <w:p>
      <w:pPr>
        <w:pBdr>
          <w:top w:val="nil"/>
          <w:left w:val="nil"/>
          <w:bottom w:val="nil"/>
          <w:right w:val="nil"/>
          <w:between w:val="nil"/>
          <w:bar w:val="nil"/>
        </w:pBdr>
        <w:spacing w:before="0" w:after="240"/>
        <w:rPr>
          <w:rFonts w:eastAsia="Arial Unicode MS"/>
          <w:noProof/>
        </w:rPr>
      </w:pPr>
      <w:r>
        <w:rPr>
          <w:noProof/>
        </w:rPr>
        <w:t>Articolul 31 din TFUE – Tariful Vamal Comun.</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Subsidiaritatea (în cazul competențelor neexclusive) </w:t>
      </w:r>
    </w:p>
    <w:p>
      <w:pPr>
        <w:pBdr>
          <w:top w:val="nil"/>
          <w:left w:val="nil"/>
          <w:bottom w:val="nil"/>
          <w:right w:val="nil"/>
          <w:between w:val="nil"/>
          <w:bar w:val="nil"/>
        </w:pBdr>
        <w:spacing w:before="0" w:after="240"/>
        <w:rPr>
          <w:rFonts w:eastAsia="Arial Unicode MS"/>
          <w:noProof/>
        </w:rPr>
      </w:pPr>
      <w:r>
        <w:rPr>
          <w:noProof/>
        </w:rPr>
        <w:t>Taxele prevăzute de Tariful Vamal Comun intră în sfera competenței exclusive a Uniunii. Prin urmare, principiul subsidiarității nu se aplică în cazul acestor dispoziții.</w:t>
      </w:r>
    </w:p>
    <w:p>
      <w:pPr>
        <w:pStyle w:val="ManualHeading2"/>
        <w:rPr>
          <w:rFonts w:eastAsia="Arial Unicode MS"/>
          <w:noProof/>
          <w:u w:color="000000"/>
          <w:bdr w:val="nil"/>
        </w:rPr>
      </w:pPr>
      <w:r>
        <w:rPr>
          <w:noProof/>
          <w:u w:color="000000"/>
          <w:bdr w:val="nil"/>
        </w:rPr>
        <w:t>•</w:t>
      </w:r>
      <w:r>
        <w:rPr>
          <w:noProof/>
        </w:rPr>
        <w:tab/>
      </w:r>
      <w:r>
        <w:rPr>
          <w:noProof/>
          <w:u w:color="000000"/>
          <w:bdr w:val="nil"/>
        </w:rPr>
        <w:t>Proporționalitatea</w:t>
      </w:r>
    </w:p>
    <w:p>
      <w:pPr>
        <w:pBdr>
          <w:top w:val="nil"/>
          <w:left w:val="nil"/>
          <w:bottom w:val="nil"/>
          <w:right w:val="nil"/>
          <w:between w:val="nil"/>
          <w:bar w:val="nil"/>
        </w:pBdr>
        <w:spacing w:before="0" w:after="240"/>
        <w:rPr>
          <w:noProof/>
        </w:rPr>
      </w:pPr>
      <w:r>
        <w:rPr>
          <w:noProof/>
        </w:rPr>
        <w:t>Propunerea este proporționată, deoarece, pentru fiecare produs, numai un volum al contingentului poate fi scutit de taxe vamale într-o perioadă limitată de timp. Aceasta este adecvată pentru atingerea obiectivului de aprovizionare cu materii prime pescărești scutite de taxe vamale pe piața UE (operatori din sectorul prelucrării peștelui și a fructelor de mare și consumatori din UE). Propunerea nu depășește ceea ce este necesar pentru îndeplinirea obiectivelor urmărite.</w:t>
      </w:r>
    </w:p>
    <w:p>
      <w:pPr>
        <w:pStyle w:val="ManualHeading2"/>
        <w:rPr>
          <w:rFonts w:eastAsia="Arial Unicode MS"/>
          <w:noProof/>
          <w:u w:color="000000"/>
          <w:bdr w:val="nil"/>
        </w:rPr>
      </w:pPr>
      <w:r>
        <w:rPr>
          <w:noProof/>
          <w:u w:color="000000"/>
          <w:bdr w:val="nil"/>
        </w:rPr>
        <w:t>•</w:t>
      </w:r>
      <w:r>
        <w:rPr>
          <w:noProof/>
        </w:rPr>
        <w:tab/>
      </w:r>
      <w:r>
        <w:rPr>
          <w:noProof/>
          <w:u w:color="000000"/>
          <w:bdr w:val="nil"/>
        </w:rPr>
        <w:t>Alegerea instrumentului</w:t>
      </w:r>
    </w:p>
    <w:p>
      <w:pPr>
        <w:pBdr>
          <w:top w:val="nil"/>
          <w:left w:val="nil"/>
          <w:bottom w:val="nil"/>
          <w:right w:val="nil"/>
          <w:between w:val="nil"/>
          <w:bar w:val="nil"/>
        </w:pBdr>
        <w:spacing w:before="0" w:after="240"/>
        <w:rPr>
          <w:noProof/>
        </w:rPr>
      </w:pPr>
      <w:r>
        <w:rPr>
          <w:noProof/>
        </w:rPr>
        <w:t>Se propune un regulament al Consiliului de modificare a actualului Regulament (UE) 2023/2720 al Consiliului.</w:t>
      </w:r>
    </w:p>
    <w:p>
      <w:pPr>
        <w:pBdr>
          <w:top w:val="nil"/>
          <w:left w:val="nil"/>
          <w:bottom w:val="nil"/>
          <w:right w:val="nil"/>
          <w:between w:val="nil"/>
          <w:bar w:val="nil"/>
        </w:pBdr>
        <w:spacing w:before="0" w:after="240"/>
        <w:rPr>
          <w:rFonts w:eastAsia="Arial Unicode MS"/>
          <w:noProof/>
        </w:rPr>
      </w:pPr>
    </w:p>
    <w:p>
      <w:pPr>
        <w:pStyle w:val="ManualHeading1"/>
        <w:rPr>
          <w:noProof/>
        </w:rPr>
      </w:pPr>
      <w:r>
        <w:rPr>
          <w:noProof/>
        </w:rPr>
        <w:t>3.</w:t>
      </w:r>
      <w:r>
        <w:rPr>
          <w:noProof/>
        </w:rPr>
        <w:tab/>
        <w:t>REZULTATELE EVALUĂRILOR EX POST, ALE CONSULTĂRILOR CU PĂRȚILE INTERESATE ȘI ALE EVALUĂRILOR IMPACTULUI</w:t>
      </w:r>
    </w:p>
    <w:p>
      <w:pPr>
        <w:pStyle w:val="ManualHeading2"/>
        <w:rPr>
          <w:rFonts w:eastAsia="Arial Unicode MS"/>
          <w:noProof/>
          <w:u w:color="000000"/>
          <w:bdr w:val="nil"/>
        </w:rPr>
      </w:pPr>
      <w:r>
        <w:rPr>
          <w:noProof/>
          <w:u w:color="000000"/>
          <w:bdr w:val="nil"/>
        </w:rPr>
        <w:t>•</w:t>
      </w:r>
      <w:r>
        <w:rPr>
          <w:noProof/>
        </w:rPr>
        <w:tab/>
      </w:r>
      <w:r>
        <w:rPr>
          <w:noProof/>
          <w:u w:color="000000"/>
          <w:bdr w:val="nil"/>
        </w:rPr>
        <w:t>Evaluările ex post/verificarea adecvării legislației existente</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Consultările cu părțile interesate</w:t>
      </w:r>
    </w:p>
    <w:p>
      <w:pPr>
        <w:pBdr>
          <w:top w:val="nil"/>
          <w:left w:val="nil"/>
          <w:bottom w:val="nil"/>
          <w:right w:val="nil"/>
          <w:between w:val="nil"/>
          <w:bar w:val="nil"/>
        </w:pBdr>
        <w:spacing w:before="0" w:after="240"/>
        <w:rPr>
          <w:rFonts w:eastAsia="Arial Unicode MS"/>
          <w:noProof/>
        </w:rPr>
      </w:pPr>
      <w:r>
        <w:rPr>
          <w:noProof/>
        </w:rPr>
        <w:t>Nu s-a efectuat nicio consultare cu părțile interesate. Propunerea menține statu quo-ul actualului regulament, care a făcut obiectul unei ample consultări a părților interesate în 2023.</w:t>
      </w:r>
    </w:p>
    <w:p>
      <w:pPr>
        <w:pStyle w:val="ManualHeading2"/>
        <w:rPr>
          <w:rFonts w:eastAsia="Arial Unicode MS"/>
          <w:noProof/>
          <w:u w:color="000000"/>
          <w:bdr w:val="nil"/>
        </w:rPr>
      </w:pPr>
      <w:r>
        <w:rPr>
          <w:noProof/>
          <w:u w:color="000000"/>
          <w:bdr w:val="nil"/>
        </w:rPr>
        <w:t>•</w:t>
      </w:r>
      <w:r>
        <w:rPr>
          <w:noProof/>
        </w:rPr>
        <w:tab/>
      </w:r>
      <w:r>
        <w:rPr>
          <w:noProof/>
          <w:u w:color="000000"/>
          <w:bdr w:val="nil"/>
        </w:rPr>
        <w:t>Obținerea și utilizarea expertizei</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Evaluarea impactului</w:t>
      </w:r>
    </w:p>
    <w:p>
      <w:pPr>
        <w:pBdr>
          <w:top w:val="nil"/>
          <w:left w:val="nil"/>
          <w:bottom w:val="nil"/>
          <w:right w:val="nil"/>
          <w:between w:val="nil"/>
          <w:bar w:val="nil"/>
        </w:pBdr>
        <w:spacing w:before="0" w:after="240"/>
        <w:rPr>
          <w:rFonts w:eastAsia="Arial Unicode MS"/>
          <w:noProof/>
        </w:rPr>
      </w:pPr>
      <w:r>
        <w:rPr>
          <w:noProof/>
        </w:rPr>
        <w:t xml:space="preserve">Propunerea modifică perioada de valabilitate a regulamentului actual, care expiră la sfârșitul anului 2026 și, prin urmare, nu este necesară o evaluare a impactului. Cu toate acestea, în vederea stabilirii unor criterii de sustenabilitate care ar fi aplicabile importurilor de produse pescărești în Uniune, în prezent se efectuează o evaluare a impactului privind posibila introducere a unor astfel de criterii în preferințele autonome pentru anumite produse pescărești. </w:t>
      </w:r>
    </w:p>
    <w:p>
      <w:pPr>
        <w:pStyle w:val="ManualHeading2"/>
        <w:rPr>
          <w:rFonts w:eastAsia="Arial Unicode MS"/>
          <w:noProof/>
          <w:u w:color="000000"/>
          <w:bdr w:val="nil"/>
        </w:rPr>
      </w:pPr>
      <w:r>
        <w:rPr>
          <w:noProof/>
          <w:u w:color="000000"/>
          <w:bdr w:val="nil"/>
        </w:rPr>
        <w:t>•</w:t>
      </w:r>
      <w:r>
        <w:rPr>
          <w:noProof/>
        </w:rPr>
        <w:tab/>
      </w:r>
      <w:r>
        <w:rPr>
          <w:noProof/>
          <w:u w:color="000000"/>
          <w:bdr w:val="nil"/>
        </w:rPr>
        <w:t>Adecvarea reglementărilor și simplificarea</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Drepturile fundamentale</w:t>
      </w:r>
    </w:p>
    <w:p>
      <w:pPr>
        <w:pBdr>
          <w:top w:val="nil"/>
          <w:left w:val="nil"/>
          <w:bottom w:val="nil"/>
          <w:right w:val="nil"/>
          <w:between w:val="nil"/>
          <w:bar w:val="nil"/>
        </w:pBdr>
        <w:spacing w:before="0" w:after="240"/>
        <w:rPr>
          <w:noProof/>
        </w:rPr>
      </w:pPr>
      <w:r>
        <w:rPr>
          <w:noProof/>
        </w:rPr>
        <w:t>Nu se aplică.</w:t>
      </w:r>
    </w:p>
    <w:p>
      <w:pPr>
        <w:pBdr>
          <w:top w:val="nil"/>
          <w:left w:val="nil"/>
          <w:bottom w:val="nil"/>
          <w:right w:val="nil"/>
          <w:between w:val="nil"/>
          <w:bar w:val="nil"/>
        </w:pBdr>
        <w:spacing w:before="0" w:after="240"/>
        <w:rPr>
          <w:rFonts w:eastAsia="Arial Unicode MS"/>
          <w:noProof/>
        </w:rPr>
      </w:pPr>
    </w:p>
    <w:p>
      <w:pPr>
        <w:pStyle w:val="ManualHeading1"/>
        <w:rPr>
          <w:noProof/>
        </w:rPr>
      </w:pPr>
      <w:r>
        <w:rPr>
          <w:noProof/>
        </w:rPr>
        <w:t>4.</w:t>
      </w:r>
      <w:r>
        <w:rPr>
          <w:noProof/>
        </w:rPr>
        <w:tab/>
        <w:t>IMPLICAȚII BUGETARE</w:t>
      </w:r>
    </w:p>
    <w:p>
      <w:pPr>
        <w:pBdr>
          <w:top w:val="nil"/>
          <w:left w:val="nil"/>
          <w:bottom w:val="nil"/>
          <w:right w:val="nil"/>
          <w:between w:val="nil"/>
          <w:bar w:val="nil"/>
        </w:pBdr>
        <w:spacing w:before="0" w:after="240"/>
        <w:rPr>
          <w:rFonts w:eastAsia="Arial Unicode MS"/>
          <w:noProof/>
        </w:rPr>
      </w:pPr>
      <w:r>
        <w:rPr>
          <w:noProof/>
        </w:rPr>
        <w:t>Prezenta propunere nu are niciun impact bugetar pentru Comisie. Cu toate acestea, propunerea are un impact bugetar asupra veniturilor UE în ceea ce privește pierderea taxelor vamale care ar fi fost colectate pentru produsele importate, astfel cum se explică în fișa financiară legislativă.</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u w:color="000000"/>
          <w:bdr w:val="nil"/>
        </w:rPr>
        <w:t>•</w:t>
      </w:r>
      <w:r>
        <w:rPr>
          <w:noProof/>
        </w:rPr>
        <w:tab/>
      </w:r>
      <w:r>
        <w:rPr>
          <w:noProof/>
          <w:u w:color="000000"/>
          <w:bdr w:val="nil"/>
        </w:rPr>
        <w:t>Planuri de punere în aplicare și modalități de monitorizare, evaluare și raportare</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Documente explicative (pentru directive)</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Explicarea detaliată a dispozițiilor specifice ale propunerii</w:t>
      </w:r>
    </w:p>
    <w:p>
      <w:pPr>
        <w:pBdr>
          <w:top w:val="nil"/>
          <w:left w:val="nil"/>
          <w:bottom w:val="nil"/>
          <w:right w:val="nil"/>
          <w:between w:val="nil"/>
          <w:bar w:val="nil"/>
        </w:pBdr>
        <w:spacing w:before="0" w:after="240"/>
        <w:rPr>
          <w:rFonts w:eastAsia="Arial Unicode MS"/>
          <w:noProof/>
        </w:rPr>
      </w:pPr>
      <w:r>
        <w:rPr>
          <w:noProof/>
        </w:rPr>
        <w:t>Propunerea modifică perioada de valabilitate a Regulamentului (UE) 2023/2720 al Consiliului și prelungește valabilitatea contingentelor prevăzute în acel regulament până la 31 decembrie 2027, timp necesar pentru finalizarea evaluării impactului regimului CTA și pentru adoptarea unei noi propuneri care să includă cerințe de sustenabilitate.</w:t>
      </w:r>
    </w:p>
    <w:p>
      <w:pPr>
        <w:rPr>
          <w:noProof/>
        </w:rPr>
        <w:sectPr>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t>2026/0252 (NLE)</w:t>
      </w:r>
    </w:p>
    <w:p>
      <w:pPr>
        <w:pStyle w:val="Statut"/>
        <w:rPr>
          <w:noProof/>
        </w:rPr>
      </w:pPr>
      <w:r>
        <w:rPr>
          <w:noProof/>
        </w:rPr>
        <w:t>Propunere de</w:t>
      </w:r>
    </w:p>
    <w:p>
      <w:pPr>
        <w:pStyle w:val="Typedudocument"/>
        <w:rPr>
          <w:noProof/>
        </w:rPr>
      </w:pPr>
      <w:r>
        <w:rPr>
          <w:noProof/>
        </w:rPr>
        <w:t>REGULAMENT AL CONSILIULUI</w:t>
      </w:r>
    </w:p>
    <w:p>
      <w:pPr>
        <w:pStyle w:val="Titreobjet"/>
        <w:rPr>
          <w:noProof/>
        </w:rPr>
      </w:pPr>
      <w:r>
        <w:rPr>
          <w:noProof/>
        </w:rPr>
        <w:t>de modificare a Regulamentului (UE) 2023/2720 al Consiliului privind deschiderea și modul de gestionare a contingentelor tarifare autonome ale Uniunii pentru anumite produse pescărești pentru perioada 2024-2026</w:t>
      </w:r>
    </w:p>
    <w:p>
      <w:pPr>
        <w:pStyle w:val="IntrtEEE"/>
        <w:rPr>
          <w:noProof/>
        </w:rPr>
      </w:pPr>
      <w:r>
        <w:rPr>
          <w:noProof/>
        </w:rPr>
        <w:t>(Text cu relevanță pentru SEE)</w:t>
      </w:r>
    </w:p>
    <w:p>
      <w:pPr>
        <w:pStyle w:val="Institutionquiagit"/>
        <w:rPr>
          <w:noProof/>
        </w:rPr>
      </w:pPr>
      <w:r>
        <w:rPr>
          <w:noProof/>
        </w:rPr>
        <w:t>CONSILIUL UNIUNII EUROPENE,</w:t>
      </w:r>
    </w:p>
    <w:p>
      <w:pPr>
        <w:rPr>
          <w:noProof/>
        </w:rPr>
      </w:pPr>
      <w:r>
        <w:rPr>
          <w:noProof/>
        </w:rPr>
        <w:t>având în vedere Tratatul privind funcționarea Uniunii Europene, în special articolul 31,</w:t>
      </w:r>
    </w:p>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Regulamentul (UE) 2023/2720 al Consiliului</w:t>
      </w:r>
      <w:r>
        <w:rPr>
          <w:rStyle w:val="FootnoteReference"/>
          <w:noProof/>
        </w:rPr>
        <w:footnoteReference w:id="2"/>
      </w:r>
      <w:r>
        <w:rPr>
          <w:noProof/>
        </w:rPr>
        <w:t xml:space="preserve"> prevede deschiderea și modul de gestionare a contingentelor tarifare autonome (CTA) ale Uniunii pentru anumite produse pescărești pentru perioada 2024-2026. Respectivul regulament reduce sau suspendă taxele de import pentru o serie de produse pescărești din cadrul unor contingente tarifare cu un volum adecvat. Pentru fiecare contingent tarifar au fost stabilite volume corespunzătoare, pentru a garanta o aprovizionare adecvată a industriei Uniunii în această perioadă. Regulamentul definește, de asemenea, operațiunile de prelucrare care permit utilizarea contingentelor tarifare.</w:t>
      </w:r>
    </w:p>
    <w:p>
      <w:pPr>
        <w:pStyle w:val="ManualConsidrant"/>
        <w:rPr>
          <w:noProof/>
        </w:rPr>
      </w:pPr>
      <w:r>
        <w:rPr>
          <w:noProof/>
        </w:rPr>
        <w:t>(2)</w:t>
      </w:r>
      <w:r>
        <w:rPr>
          <w:noProof/>
        </w:rPr>
        <w:tab/>
        <w:t>Propunerea de un nou regulament privind CTA pentru aplicarea preferințelor tarifare autonome pentru perioada următoare este încă în curs de finalizare din cauza încorporării condițiilor de sustenabilitate care vizează reflectarea angajamentelor în materie de sustenabilitate ale Uniunii Europene în regimul CTA.</w:t>
      </w:r>
    </w:p>
    <w:p>
      <w:pPr>
        <w:pStyle w:val="ManualConsidrant"/>
        <w:rPr>
          <w:noProof/>
        </w:rPr>
      </w:pPr>
      <w:r>
        <w:rPr>
          <w:noProof/>
        </w:rPr>
        <w:t>(3)</w:t>
      </w:r>
      <w:r>
        <w:rPr>
          <w:noProof/>
        </w:rPr>
        <w:tab/>
        <w:t>Pentru a se evita lacunele în ceea ce privește aprovizionarea Uniunii Europene cu produse pescărești scutite de taxe vamale, este necesar să se prelungească valabilitatea regulamentului actual până la sfârșitul anului 2027, timpul necesar pentru adoptarea noii propuneri.</w:t>
      </w:r>
    </w:p>
    <w:p>
      <w:pPr>
        <w:pStyle w:val="Formuledadoption"/>
        <w:rPr>
          <w:noProof/>
        </w:rPr>
      </w:pPr>
      <w:r>
        <w:rPr>
          <w:noProof/>
        </w:rPr>
        <w:t>ADOPTĂ PREZENTUL REGULAMENT:</w:t>
      </w:r>
    </w:p>
    <w:p>
      <w:pPr>
        <w:pStyle w:val="Titrearticle"/>
        <w:rPr>
          <w:noProof/>
        </w:rPr>
      </w:pPr>
      <w:r>
        <w:rPr>
          <w:noProof/>
        </w:rPr>
        <w:t>Articolul 1</w:t>
      </w:r>
    </w:p>
    <w:p>
      <w:pPr>
        <w:rPr>
          <w:noProof/>
        </w:rPr>
      </w:pPr>
      <w:r>
        <w:rPr>
          <w:noProof/>
        </w:rPr>
        <w:t>Articolul 6 din Regulamentul (UE) 2023/2720 se modifică după cum urmează:</w:t>
      </w:r>
    </w:p>
    <w:p>
      <w:pPr>
        <w:rPr>
          <w:noProof/>
        </w:rPr>
      </w:pPr>
      <w:r>
        <w:rPr>
          <w:noProof/>
        </w:rPr>
        <w:tab/>
      </w:r>
      <w:r>
        <w:rPr>
          <w:noProof/>
        </w:rPr>
        <w:tab/>
      </w:r>
      <w:r>
        <w:rPr>
          <w:noProof/>
        </w:rPr>
        <w:tab/>
      </w:r>
      <w:r>
        <w:rPr>
          <w:noProof/>
        </w:rPr>
        <w:tab/>
        <w:t>„Articolul 6</w:t>
      </w:r>
    </w:p>
    <w:p>
      <w:pPr>
        <w:rPr>
          <w:noProof/>
        </w:rPr>
      </w:pPr>
      <w:r>
        <w:rPr>
          <w:noProof/>
        </w:rPr>
        <w:t xml:space="preserve">Prezentul regulament intră în vigoare în a douăzecea zi de la data publicării în </w:t>
      </w:r>
      <w:r>
        <w:rPr>
          <w:i/>
          <w:iCs/>
          <w:noProof/>
        </w:rPr>
        <w:t>Jurnalul Oficial al Uniunii Europene</w:t>
      </w:r>
      <w:r>
        <w:rPr>
          <w:noProof/>
        </w:rPr>
        <w:t>.</w:t>
      </w:r>
    </w:p>
    <w:p>
      <w:pPr>
        <w:rPr>
          <w:noProof/>
        </w:rPr>
      </w:pPr>
      <w:r>
        <w:rPr>
          <w:noProof/>
        </w:rPr>
        <w:t>Se aplică de la 1 ianuarie 2024 până la 31 decembrie 2027.</w:t>
      </w:r>
    </w:p>
    <w:p>
      <w:pPr>
        <w:rPr>
          <w:noProof/>
        </w:rPr>
      </w:pPr>
      <w:r>
        <w:rPr>
          <w:noProof/>
        </w:rPr>
        <w:t>Prezentul regulament este obligatoriu în toate elementele sale și se aplică direct în toate statele membre.</w:t>
      </w:r>
    </w:p>
    <w:p>
      <w:pPr>
        <w:pStyle w:val="Titrearticle"/>
        <w:rPr>
          <w:noProof/>
        </w:rPr>
      </w:pPr>
      <w:r>
        <w:rPr>
          <w:noProof/>
        </w:rPr>
        <w:t>Articolul 2</w:t>
      </w:r>
    </w:p>
    <w:p>
      <w:pPr>
        <w:rPr>
          <w:noProof/>
        </w:rPr>
      </w:pPr>
      <w:r>
        <w:rPr>
          <w:noProof/>
        </w:rPr>
        <w:t>Anexa la Regulamentul (UE) 2023/2720 se modifică după cum urmează:</w:t>
      </w:r>
    </w:p>
    <w:p>
      <w:pPr>
        <w:rPr>
          <w:i/>
          <w:iCs/>
          <w:noProof/>
        </w:rPr>
      </w:pPr>
      <w:r>
        <w:rPr>
          <w:noProof/>
        </w:rPr>
        <w:t xml:space="preserve">În coloana „Perioada contingentară” din tabelul din anexa la Regulamentul (UE) 2023/2720, toate perioadele de valabilitate a contingentelor „1.1.2024-31.12.2026” se înlocuiesc cu perioadele de valabilitate a contingentelor </w:t>
      </w:r>
      <w:r>
        <w:rPr>
          <w:i/>
          <w:noProof/>
        </w:rPr>
        <w:t>„1.1.2024-31.12.2027”</w:t>
      </w:r>
    </w:p>
    <w:p>
      <w:pPr>
        <w:pStyle w:val="Titrearticle"/>
        <w:rPr>
          <w:noProof/>
        </w:rPr>
      </w:pPr>
      <w:r>
        <w:rPr>
          <w:noProof/>
        </w:rPr>
        <w:t>Articolul 3</w:t>
      </w:r>
    </w:p>
    <w:p>
      <w:pPr>
        <w:rPr>
          <w:noProof/>
        </w:rPr>
      </w:pPr>
      <w:r>
        <w:rPr>
          <w:noProof/>
        </w:rPr>
        <w:t xml:space="preserve">Prezentul regulament intră în vigoare în ziua următoare datei publicării în </w:t>
      </w:r>
      <w:r>
        <w:rPr>
          <w:i/>
          <w:iCs/>
          <w:noProof/>
        </w:rPr>
        <w:t>Jurnalul Oficial al Uniunii Europene</w:t>
      </w:r>
      <w:r>
        <w:rPr>
          <w:noProof/>
        </w:rPr>
        <w:t>.</w:t>
      </w:r>
    </w:p>
    <w:p>
      <w:pPr>
        <w:pStyle w:val="Applicationdirecte"/>
        <w:rPr>
          <w:noProof/>
        </w:rPr>
      </w:pPr>
      <w:r>
        <w:rPr>
          <w:noProof/>
        </w:rPr>
        <w:t>Prezentul regulament este obligatoriu în toate elementele sale și se aplică direct în toate statele membre.</w:t>
      </w:r>
    </w:p>
    <w:p>
      <w:pPr>
        <w:pStyle w:val="Fait"/>
        <w:rPr>
          <w:noProof/>
        </w:rPr>
      </w:pPr>
      <w:r>
        <w:rPr>
          <w:noProof/>
        </w:rPr>
        <w:t>Adoptat la Bruxelles,</w:t>
      </w:r>
    </w:p>
    <w:p>
      <w:pPr>
        <w:pStyle w:val="Institutionquisigne"/>
        <w:rPr>
          <w:noProof/>
        </w:rPr>
      </w:pPr>
      <w:r>
        <w:rPr>
          <w:noProof/>
        </w:rPr>
        <w:tab/>
        <w:t>Pentru Consiliu</w:t>
      </w:r>
    </w:p>
    <w:p>
      <w:pPr>
        <w:pStyle w:val="Personnequisigne"/>
        <w:rPr>
          <w:noProof/>
        </w:rPr>
      </w:pPr>
      <w:r>
        <w:rPr>
          <w:noProof/>
        </w:rPr>
        <w:tab/>
        <w:t>Președintele</w:t>
      </w:r>
    </w:p>
    <w:p>
      <w:pPr>
        <w:rPr>
          <w:noProof/>
        </w:rPr>
        <w:sectPr>
          <w:pgSz w:w="11907" w:h="16839"/>
          <w:pgMar w:top="1134" w:right="1417" w:bottom="1134" w:left="1417" w:header="709" w:footer="709" w:gutter="0"/>
          <w:cols w:space="708"/>
          <w:docGrid w:linePitch="360"/>
        </w:sectPr>
      </w:pPr>
    </w:p>
    <w:p>
      <w:pPr>
        <w:pStyle w:val="Fichefinanciretitre"/>
        <w:keepNext/>
        <w:rPr>
          <w:noProof/>
        </w:rPr>
      </w:pPr>
      <w:r>
        <w:rPr>
          <w:noProof/>
        </w:rPr>
        <w:t>FIȘĂ FINANCIARĂ LEGISLATIVĂ ȘI DIGITALĂ</w:t>
      </w:r>
    </w:p>
    <w:p>
      <w:pPr>
        <w:pStyle w:val="TOC1"/>
        <w:rPr>
          <w:rFonts w:asciiTheme="minorHAnsi" w:eastAsiaTheme="minorEastAsia" w:hAnsiTheme="minorHAnsi" w:cstheme="minorBidi"/>
          <w:noProof/>
          <w:kern w:val="2"/>
          <w:sz w:val="22"/>
          <w14:ligatures w14:val="standardContextual"/>
        </w:rPr>
      </w:pPr>
      <w:r>
        <w:rPr>
          <w:noProof/>
        </w:rPr>
        <w:t>1.</w:t>
      </w:r>
      <w:r>
        <w:rPr>
          <w:noProof/>
        </w:rPr>
        <w:tab/>
        <w:t>CADRUL PROPUNERII/INIȚIATIVEI</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1.1.</w:t>
      </w:r>
      <w:r>
        <w:rPr>
          <w:noProof/>
        </w:rPr>
        <w:tab/>
        <w:t>Titlul propunerii/inițiativei</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1.2.</w:t>
      </w:r>
      <w:r>
        <w:rPr>
          <w:noProof/>
        </w:rPr>
        <w:tab/>
        <w:t>Domeniul (domeniile) de politică vizat(e)</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1.3.</w:t>
      </w:r>
      <w:r>
        <w:rPr>
          <w:noProof/>
        </w:rPr>
        <w:tab/>
        <w:t>Obiectiv(e)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1.3.1.</w:t>
      </w:r>
      <w:r>
        <w:rPr>
          <w:noProof/>
        </w:rPr>
        <w:tab/>
        <w:t>Obiectiv(e) general(e)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1.3.2.</w:t>
      </w:r>
      <w:r>
        <w:rPr>
          <w:noProof/>
        </w:rPr>
        <w:tab/>
        <w:t>Obiectiv(e) specific(e)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1.3.3.</w:t>
      </w:r>
      <w:r>
        <w:rPr>
          <w:noProof/>
        </w:rPr>
        <w:tab/>
        <w:t>Rezultatul (rezultatele) și impactul preconizate</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1.3.4.</w:t>
      </w:r>
      <w:r>
        <w:rPr>
          <w:noProof/>
        </w:rPr>
        <w:tab/>
        <w:t>Indicatori de performanță</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1.4.</w:t>
      </w:r>
      <w:r>
        <w:rPr>
          <w:noProof/>
        </w:rPr>
        <w:tab/>
        <w:t>Obiectul propunerii/inițiativei</w:t>
      </w:r>
      <w:r>
        <w:rPr>
          <w:noProof/>
        </w:rPr>
        <w:tab/>
      </w:r>
      <w:r>
        <w:rPr>
          <w:noProof/>
          <w:webHidden/>
        </w:rPr>
        <w:t>4</w:t>
      </w:r>
    </w:p>
    <w:p>
      <w:pPr>
        <w:pStyle w:val="TOC2"/>
        <w:rPr>
          <w:rFonts w:asciiTheme="minorHAnsi" w:eastAsiaTheme="minorEastAsia" w:hAnsiTheme="minorHAnsi" w:cstheme="minorBidi"/>
          <w:noProof/>
          <w:kern w:val="2"/>
          <w:sz w:val="22"/>
          <w14:ligatures w14:val="standardContextual"/>
        </w:rPr>
      </w:pPr>
      <w:r>
        <w:rPr>
          <w:noProof/>
        </w:rPr>
        <w:t>1.5.</w:t>
      </w:r>
      <w:r>
        <w:rPr>
          <w:noProof/>
        </w:rPr>
        <w:tab/>
        <w:t>Motivele propunerii/inițiativei</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1.5.1.</w:t>
      </w:r>
      <w:r>
        <w:rPr>
          <w:noProof/>
        </w:rPr>
        <w:tab/>
        <w:t>Cerința (cerințele) care trebuie îndeplinită (îndeplinite) pe termen scurt sau lung, inclusiv un calendar detaliat pentru punerea în aplicare a inițiativei</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1.5.2.</w:t>
      </w:r>
      <w:r>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1.5.3.</w:t>
      </w:r>
      <w:r>
        <w:rPr>
          <w:noProof/>
        </w:rPr>
        <w:tab/>
        <w:t>Învățăminte desprinse din experiențele anterioare similare</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1.5.4.</w:t>
      </w:r>
      <w:r>
        <w:rPr>
          <w:noProof/>
        </w:rPr>
        <w:tab/>
        <w:t>Compatibilitatea cu cadrul financiar multianual și posibilele sinergii cu alte instrumente corespunzătoare</w:t>
      </w:r>
      <w:r>
        <w:rPr>
          <w:noProof/>
        </w:rPr>
        <w:tab/>
      </w:r>
      <w:r>
        <w:rPr>
          <w:noProof/>
          <w:webHidden/>
        </w:rPr>
        <w:t>5</w:t>
      </w:r>
    </w:p>
    <w:p>
      <w:pPr>
        <w:pStyle w:val="TOC3"/>
        <w:rPr>
          <w:rFonts w:asciiTheme="minorHAnsi" w:eastAsiaTheme="minorEastAsia" w:hAnsiTheme="minorHAnsi" w:cstheme="minorBidi"/>
          <w:noProof/>
          <w:kern w:val="2"/>
          <w:sz w:val="22"/>
          <w14:ligatures w14:val="standardContextual"/>
        </w:rPr>
      </w:pPr>
      <w:r>
        <w:rPr>
          <w:noProof/>
        </w:rPr>
        <w:t>1.5.5.</w:t>
      </w:r>
      <w:r>
        <w:rPr>
          <w:noProof/>
        </w:rPr>
        <w:tab/>
        <w:t>Evaluarea diferitelor opțiuni de finanțare disponibile, inclusiv a posibilităților de realocare a creditelor</w:t>
      </w:r>
      <w:r>
        <w:rPr>
          <w:noProof/>
        </w:rPr>
        <w:tab/>
      </w:r>
      <w:r>
        <w:rPr>
          <w:noProof/>
          <w:webHidden/>
        </w:rPr>
        <w:t>5</w:t>
      </w:r>
    </w:p>
    <w:p>
      <w:pPr>
        <w:pStyle w:val="TOC2"/>
        <w:rPr>
          <w:rFonts w:asciiTheme="minorHAnsi" w:eastAsiaTheme="minorEastAsia" w:hAnsiTheme="minorHAnsi" w:cstheme="minorBidi"/>
          <w:noProof/>
          <w:kern w:val="2"/>
          <w:sz w:val="22"/>
          <w14:ligatures w14:val="standardContextual"/>
        </w:rPr>
      </w:pPr>
      <w:r>
        <w:rPr>
          <w:noProof/>
        </w:rPr>
        <w:t>1.6.</w:t>
      </w:r>
      <w:r>
        <w:rPr>
          <w:noProof/>
        </w:rPr>
        <w:tab/>
        <w:t>Durata propunerii/inițiativei și a impactului său financiar</w:t>
      </w:r>
      <w:r>
        <w:rPr>
          <w:noProof/>
        </w:rPr>
        <w:tab/>
      </w:r>
      <w:r>
        <w:rPr>
          <w:noProof/>
          <w:webHidden/>
        </w:rPr>
        <w:t>6</w:t>
      </w:r>
    </w:p>
    <w:p>
      <w:pPr>
        <w:pStyle w:val="TOC2"/>
        <w:rPr>
          <w:rFonts w:asciiTheme="minorHAnsi" w:eastAsiaTheme="minorEastAsia" w:hAnsiTheme="minorHAnsi" w:cstheme="minorBidi"/>
          <w:noProof/>
          <w:kern w:val="2"/>
          <w:sz w:val="22"/>
          <w14:ligatures w14:val="standardContextual"/>
        </w:rPr>
      </w:pPr>
      <w:r>
        <w:rPr>
          <w:noProof/>
        </w:rPr>
        <w:t>1.7.</w:t>
      </w:r>
      <w:r>
        <w:rPr>
          <w:noProof/>
        </w:rPr>
        <w:tab/>
        <w:t>Metoda (metodele) de execuție a bugetului planificată (planificate)</w:t>
      </w:r>
      <w:r>
        <w:rPr>
          <w:noProof/>
        </w:rPr>
        <w:tab/>
      </w:r>
      <w:r>
        <w:rPr>
          <w:noProof/>
          <w:webHidden/>
        </w:rPr>
        <w:t>6</w:t>
      </w:r>
    </w:p>
    <w:p>
      <w:pPr>
        <w:pStyle w:val="TOC1"/>
        <w:rPr>
          <w:rFonts w:asciiTheme="minorHAnsi" w:eastAsiaTheme="minorEastAsia" w:hAnsiTheme="minorHAnsi" w:cstheme="minorBidi"/>
          <w:noProof/>
          <w:kern w:val="2"/>
          <w:sz w:val="22"/>
          <w14:ligatures w14:val="standardContextual"/>
        </w:rPr>
      </w:pPr>
      <w:r>
        <w:rPr>
          <w:noProof/>
        </w:rPr>
        <w:t>2.</w:t>
      </w:r>
      <w:r>
        <w:rPr>
          <w:noProof/>
        </w:rPr>
        <w:tab/>
        <w:t>MĂSURI DE GESTIUNE</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2.1.</w:t>
      </w:r>
      <w:r>
        <w:rPr>
          <w:noProof/>
        </w:rPr>
        <w:tab/>
        <w:t>Dispoziții în materie de monitorizare și de raportare</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2.2.</w:t>
      </w:r>
      <w:r>
        <w:rPr>
          <w:noProof/>
        </w:rPr>
        <w:tab/>
        <w:t>Sistemul (sistemele) de gestiune și de control</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2.2.1.</w:t>
      </w:r>
      <w:r>
        <w:rPr>
          <w:noProof/>
        </w:rPr>
        <w:tab/>
        <w:t>Justificarea metodei (metodelor) de execuție bugetară, a mecanismului (mecanismelor) de punere în aplicare a finanțării, a modalităților de plată și a strategiei de control propuse</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2.2.2.</w:t>
      </w:r>
      <w:r>
        <w:rPr>
          <w:noProof/>
        </w:rPr>
        <w:tab/>
        <w:t>Informații privind riscurile identificate și sistemul (sistemele) de control intern instituit(e) pentru atenuarea lor</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2.2.3.</w:t>
      </w:r>
      <w:r>
        <w:rPr>
          <w:noProof/>
        </w:rPr>
        <w:tab/>
        <w:t>Estimarea și justificarea raportului cost-eficacitate al controalelor (raportul dintre costurile controalelor și valoarea fondurilor aferente gestionate) și evaluarea nivelurilor preconizate ale riscurilor de eroare (la plată și la închidere)</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2.3.</w:t>
      </w:r>
      <w:r>
        <w:rPr>
          <w:noProof/>
        </w:rPr>
        <w:tab/>
        <w:t>Măsuri de prevenire a fraudelor și a neregulilor</w:t>
      </w:r>
      <w:r>
        <w:rPr>
          <w:noProof/>
        </w:rPr>
        <w:tab/>
      </w:r>
      <w:r>
        <w:rPr>
          <w:noProof/>
          <w:webHidden/>
        </w:rPr>
        <w:t>9</w:t>
      </w:r>
    </w:p>
    <w:p>
      <w:pPr>
        <w:pStyle w:val="TOC1"/>
        <w:rPr>
          <w:rFonts w:asciiTheme="minorHAnsi" w:eastAsiaTheme="minorEastAsia" w:hAnsiTheme="minorHAnsi" w:cstheme="minorBidi"/>
          <w:noProof/>
          <w:kern w:val="2"/>
          <w:sz w:val="22"/>
          <w14:ligatures w14:val="standardContextual"/>
        </w:rPr>
      </w:pPr>
      <w:r>
        <w:rPr>
          <w:noProof/>
        </w:rPr>
        <w:t>3.</w:t>
      </w:r>
      <w:r>
        <w:rPr>
          <w:noProof/>
        </w:rPr>
        <w:tab/>
        <w:t>IMPACTUL FINANCIAR ESTIMAT AL PROPUNERII/INIȚIATIVEI</w:t>
      </w:r>
      <w:r>
        <w:rPr>
          <w:noProof/>
        </w:rPr>
        <w:tab/>
      </w:r>
      <w:r>
        <w:rPr>
          <w:noProof/>
          <w:webHidden/>
        </w:rPr>
        <w:t>10</w:t>
      </w:r>
    </w:p>
    <w:p>
      <w:pPr>
        <w:pStyle w:val="TOC2"/>
        <w:rPr>
          <w:rFonts w:asciiTheme="minorHAnsi" w:eastAsiaTheme="minorEastAsia" w:hAnsiTheme="minorHAnsi" w:cstheme="minorBidi"/>
          <w:noProof/>
          <w:kern w:val="2"/>
          <w:sz w:val="22"/>
          <w14:ligatures w14:val="standardContextual"/>
        </w:rPr>
      </w:pPr>
      <w:r>
        <w:rPr>
          <w:noProof/>
        </w:rPr>
        <w:t>3.1.</w:t>
      </w:r>
      <w:r>
        <w:rPr>
          <w:noProof/>
        </w:rPr>
        <w:tab/>
        <w:t>Rubrica (rubricile) din cadrul financiar multianual și linia (liniile) bugetară (bugetare) de cheltuieli afectată (afectate)</w:t>
      </w:r>
      <w:r>
        <w:rPr>
          <w:noProof/>
        </w:rPr>
        <w:tab/>
      </w:r>
      <w:r>
        <w:rPr>
          <w:noProof/>
          <w:webHidden/>
        </w:rPr>
        <w:t>10</w:t>
      </w:r>
    </w:p>
    <w:p>
      <w:pPr>
        <w:pStyle w:val="TOC2"/>
        <w:rPr>
          <w:rFonts w:asciiTheme="minorHAnsi" w:eastAsiaTheme="minorEastAsia" w:hAnsiTheme="minorHAnsi" w:cstheme="minorBidi"/>
          <w:noProof/>
          <w:kern w:val="2"/>
          <w:sz w:val="22"/>
          <w14:ligatures w14:val="standardContextual"/>
        </w:rPr>
      </w:pPr>
      <w:r>
        <w:rPr>
          <w:noProof/>
        </w:rPr>
        <w:t>3.2.</w:t>
      </w:r>
      <w:r>
        <w:rPr>
          <w:noProof/>
        </w:rPr>
        <w:tab/>
        <w:t>Impactul financiar estimat al propunerii asupra creditelor</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3.2.1.</w:t>
      </w:r>
      <w:r>
        <w:rPr>
          <w:noProof/>
        </w:rPr>
        <w:tab/>
        <w:t>Sinteza impactului estimat asupra creditelor operaționale</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3.2.1,1.</w:t>
      </w:r>
      <w:r>
        <w:rPr>
          <w:noProof/>
        </w:rPr>
        <w:tab/>
        <w:t>Credite din bugetul votat</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3.2.1.2.</w:t>
      </w:r>
      <w:r>
        <w:rPr>
          <w:noProof/>
        </w:rPr>
        <w:tab/>
        <w:t>Credite din venituri alocate externe</w:t>
      </w:r>
      <w:r>
        <w:rPr>
          <w:noProof/>
        </w:rPr>
        <w:tab/>
      </w:r>
      <w:r>
        <w:rPr>
          <w:noProof/>
          <w:webHidden/>
        </w:rPr>
        <w:t>17</w:t>
      </w:r>
    </w:p>
    <w:p>
      <w:pPr>
        <w:pStyle w:val="TOC3"/>
        <w:rPr>
          <w:rFonts w:asciiTheme="minorHAnsi" w:eastAsiaTheme="minorEastAsia" w:hAnsiTheme="minorHAnsi" w:cstheme="minorBidi"/>
          <w:noProof/>
          <w:kern w:val="2"/>
          <w:sz w:val="22"/>
          <w14:ligatures w14:val="standardContextual"/>
        </w:rPr>
      </w:pPr>
      <w:r>
        <w:rPr>
          <w:noProof/>
        </w:rPr>
        <w:t>3.2.2.</w:t>
      </w:r>
      <w:r>
        <w:rPr>
          <w:noProof/>
        </w:rPr>
        <w:tab/>
        <w:t>Realizările preconizate finanțate din credite operaționale</w:t>
      </w:r>
      <w:r>
        <w:rPr>
          <w:noProof/>
        </w:rPr>
        <w:tab/>
      </w:r>
      <w:r>
        <w:rPr>
          <w:noProof/>
          <w:webHidden/>
        </w:rPr>
        <w:t>22</w:t>
      </w:r>
    </w:p>
    <w:p>
      <w:pPr>
        <w:pStyle w:val="TOC3"/>
        <w:rPr>
          <w:rFonts w:asciiTheme="minorHAnsi" w:eastAsiaTheme="minorEastAsia" w:hAnsiTheme="minorHAnsi" w:cstheme="minorBidi"/>
          <w:noProof/>
          <w:kern w:val="2"/>
          <w:sz w:val="22"/>
          <w14:ligatures w14:val="standardContextual"/>
        </w:rPr>
      </w:pPr>
      <w:r>
        <w:rPr>
          <w:noProof/>
        </w:rPr>
        <w:t>3.2.3.</w:t>
      </w:r>
      <w:r>
        <w:rPr>
          <w:noProof/>
        </w:rPr>
        <w:tab/>
        <w:t>Sinteza impactului estimat asupra creditelor administrative</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3.2.3,1. Credite din bugetul votat</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3.2.3.2.</w:t>
      </w:r>
      <w:r>
        <w:rPr>
          <w:noProof/>
        </w:rPr>
        <w:tab/>
        <w:t>Credite din venituri alocate externe</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3.2.3.3.</w:t>
      </w:r>
      <w:r>
        <w:rPr>
          <w:noProof/>
        </w:rPr>
        <w:tab/>
        <w:t>Total credite</w:t>
      </w:r>
      <w:r>
        <w:rPr>
          <w:noProof/>
        </w:rPr>
        <w:tab/>
      </w:r>
      <w:r>
        <w:rPr>
          <w:noProof/>
          <w:webHidden/>
        </w:rPr>
        <w:t>24</w:t>
      </w:r>
    </w:p>
    <w:p>
      <w:pPr>
        <w:pStyle w:val="TOC3"/>
        <w:rPr>
          <w:rFonts w:asciiTheme="minorHAnsi" w:eastAsiaTheme="minorEastAsia" w:hAnsiTheme="minorHAnsi" w:cstheme="minorBidi"/>
          <w:noProof/>
          <w:kern w:val="2"/>
          <w:sz w:val="22"/>
          <w14:ligatures w14:val="standardContextual"/>
        </w:rPr>
      </w:pPr>
      <w:r>
        <w:rPr>
          <w:noProof/>
        </w:rPr>
        <w:t>3.2.4.</w:t>
      </w:r>
      <w:r>
        <w:rPr>
          <w:noProof/>
        </w:rPr>
        <w:tab/>
        <w:t>Necesarul de resurse umane estimat</w:t>
      </w:r>
      <w:r>
        <w:rPr>
          <w:noProof/>
        </w:rPr>
        <w:tab/>
      </w:r>
      <w:r>
        <w:rPr>
          <w:noProof/>
          <w:webHidden/>
        </w:rPr>
        <w:t>25</w:t>
      </w:r>
    </w:p>
    <w:p>
      <w:pPr>
        <w:pStyle w:val="TOC3"/>
        <w:rPr>
          <w:rFonts w:asciiTheme="minorHAnsi" w:eastAsiaTheme="minorEastAsia" w:hAnsiTheme="minorHAnsi" w:cstheme="minorBidi"/>
          <w:noProof/>
          <w:kern w:val="2"/>
          <w:sz w:val="22"/>
          <w14:ligatures w14:val="standardContextual"/>
        </w:rPr>
      </w:pPr>
      <w:r>
        <w:rPr>
          <w:noProof/>
        </w:rPr>
        <w:t>3.2.4,1.</w:t>
      </w:r>
      <w:r>
        <w:rPr>
          <w:noProof/>
        </w:rPr>
        <w:tab/>
        <w:t>Finanțare din bugetul votat</w:t>
      </w:r>
      <w:r>
        <w:rPr>
          <w:noProof/>
        </w:rPr>
        <w:tab/>
      </w:r>
      <w:r>
        <w:rPr>
          <w:noProof/>
          <w:webHidden/>
        </w:rPr>
        <w:t>25</w:t>
      </w:r>
    </w:p>
    <w:p>
      <w:pPr>
        <w:pStyle w:val="TOC3"/>
        <w:rPr>
          <w:rFonts w:asciiTheme="minorHAnsi" w:eastAsiaTheme="minorEastAsia" w:hAnsiTheme="minorHAnsi" w:cstheme="minorBidi"/>
          <w:noProof/>
          <w:kern w:val="2"/>
          <w:sz w:val="22"/>
          <w14:ligatures w14:val="standardContextual"/>
        </w:rPr>
      </w:pPr>
      <w:r>
        <w:rPr>
          <w:noProof/>
        </w:rPr>
        <w:t>3.2.4.2.</w:t>
      </w:r>
      <w:r>
        <w:rPr>
          <w:noProof/>
        </w:rPr>
        <w:tab/>
        <w:t>Finanțare din venituri alocate externe</w:t>
      </w:r>
      <w:r>
        <w:rPr>
          <w:noProof/>
        </w:rPr>
        <w:tab/>
      </w:r>
      <w:r>
        <w:rPr>
          <w:noProof/>
          <w:webHidden/>
        </w:rPr>
        <w:t>26</w:t>
      </w:r>
    </w:p>
    <w:p>
      <w:pPr>
        <w:pStyle w:val="TOC3"/>
        <w:rPr>
          <w:rFonts w:asciiTheme="minorHAnsi" w:eastAsiaTheme="minorEastAsia" w:hAnsiTheme="minorHAnsi" w:cstheme="minorBidi"/>
          <w:noProof/>
          <w:kern w:val="2"/>
          <w:sz w:val="22"/>
          <w14:ligatures w14:val="standardContextual"/>
        </w:rPr>
      </w:pPr>
      <w:r>
        <w:rPr>
          <w:noProof/>
        </w:rPr>
        <w:t>3.2.4.3.</w:t>
      </w:r>
      <w:r>
        <w:rPr>
          <w:noProof/>
        </w:rPr>
        <w:tab/>
        <w:t>Necesarul total de resurse umane</w:t>
      </w:r>
      <w:r>
        <w:rPr>
          <w:noProof/>
        </w:rPr>
        <w:tab/>
      </w:r>
      <w:r>
        <w:rPr>
          <w:noProof/>
          <w:webHidden/>
        </w:rPr>
        <w:t>26</w:t>
      </w:r>
    </w:p>
    <w:p>
      <w:pPr>
        <w:pStyle w:val="TOC3"/>
        <w:rPr>
          <w:rFonts w:asciiTheme="minorHAnsi" w:eastAsiaTheme="minorEastAsia" w:hAnsiTheme="minorHAnsi" w:cstheme="minorBidi"/>
          <w:noProof/>
          <w:kern w:val="2"/>
          <w:sz w:val="22"/>
          <w14:ligatures w14:val="standardContextual"/>
        </w:rPr>
      </w:pPr>
      <w:r>
        <w:rPr>
          <w:noProof/>
        </w:rPr>
        <w:t>3.2.5.</w:t>
      </w:r>
      <w:r>
        <w:rPr>
          <w:noProof/>
        </w:rPr>
        <w:tab/>
        <w:t>Prezentare generală a impactului estimat asupra investițiilor legate de tehnologia digitală</w:t>
      </w:r>
      <w:r>
        <w:rPr>
          <w:noProof/>
        </w:rPr>
        <w:tab/>
      </w:r>
      <w:r>
        <w:rPr>
          <w:noProof/>
          <w:webHidden/>
        </w:rPr>
        <w:t>28</w:t>
      </w:r>
    </w:p>
    <w:p>
      <w:pPr>
        <w:pStyle w:val="TOC3"/>
        <w:rPr>
          <w:rFonts w:asciiTheme="minorHAnsi" w:eastAsiaTheme="minorEastAsia" w:hAnsiTheme="minorHAnsi" w:cstheme="minorBidi"/>
          <w:noProof/>
          <w:kern w:val="2"/>
          <w:sz w:val="22"/>
          <w14:ligatures w14:val="standardContextual"/>
        </w:rPr>
      </w:pPr>
      <w:r>
        <w:rPr>
          <w:noProof/>
        </w:rPr>
        <w:t>3.2.6.</w:t>
      </w:r>
      <w:r>
        <w:rPr>
          <w:noProof/>
        </w:rPr>
        <w:tab/>
        <w:t>Compatibilitatea cu cadrul financiar multianual actual</w:t>
      </w:r>
      <w:r>
        <w:rPr>
          <w:noProof/>
        </w:rPr>
        <w:tab/>
      </w:r>
      <w:r>
        <w:rPr>
          <w:noProof/>
          <w:webHidden/>
        </w:rPr>
        <w:t>28</w:t>
      </w:r>
    </w:p>
    <w:p>
      <w:pPr>
        <w:pStyle w:val="TOC3"/>
        <w:rPr>
          <w:rFonts w:asciiTheme="minorHAnsi" w:eastAsiaTheme="minorEastAsia" w:hAnsiTheme="minorHAnsi" w:cstheme="minorBidi"/>
          <w:noProof/>
          <w:kern w:val="2"/>
          <w:sz w:val="22"/>
          <w14:ligatures w14:val="standardContextual"/>
        </w:rPr>
      </w:pPr>
      <w:r>
        <w:rPr>
          <w:noProof/>
        </w:rPr>
        <w:t>3.2.7.</w:t>
      </w:r>
      <w:r>
        <w:rPr>
          <w:noProof/>
        </w:rPr>
        <w:tab/>
        <w:t>Contribuțiile terților</w:t>
      </w:r>
      <w:r>
        <w:rPr>
          <w:noProof/>
        </w:rPr>
        <w:tab/>
      </w:r>
      <w:r>
        <w:rPr>
          <w:noProof/>
          <w:webHidden/>
        </w:rPr>
        <w:t>28</w:t>
      </w:r>
    </w:p>
    <w:p>
      <w:pPr>
        <w:pStyle w:val="TOC2"/>
        <w:rPr>
          <w:rFonts w:asciiTheme="minorHAnsi" w:eastAsiaTheme="minorEastAsia" w:hAnsiTheme="minorHAnsi" w:cstheme="minorBidi"/>
          <w:noProof/>
          <w:kern w:val="2"/>
          <w:sz w:val="22"/>
          <w14:ligatures w14:val="standardContextual"/>
        </w:rPr>
      </w:pPr>
      <w:r>
        <w:rPr>
          <w:noProof/>
        </w:rPr>
        <w:t>3.3.</w:t>
      </w:r>
      <w:r>
        <w:rPr>
          <w:noProof/>
        </w:rPr>
        <w:tab/>
        <w:t>Impactul estimat asupra veniturilor</w:t>
      </w:r>
      <w:r>
        <w:rPr>
          <w:noProof/>
        </w:rPr>
        <w:tab/>
      </w:r>
      <w:r>
        <w:rPr>
          <w:noProof/>
          <w:webHidden/>
        </w:rPr>
        <w:t>29</w:t>
      </w:r>
    </w:p>
    <w:p>
      <w:pPr>
        <w:pStyle w:val="TOC1"/>
        <w:rPr>
          <w:rFonts w:asciiTheme="minorHAnsi" w:eastAsiaTheme="minorEastAsia" w:hAnsiTheme="minorHAnsi" w:cstheme="minorBidi"/>
          <w:noProof/>
          <w:kern w:val="2"/>
          <w:sz w:val="22"/>
          <w14:ligatures w14:val="standardContextual"/>
        </w:rPr>
      </w:pPr>
      <w:r>
        <w:rPr>
          <w:noProof/>
        </w:rPr>
        <w:t>4.</w:t>
      </w:r>
      <w:r>
        <w:rPr>
          <w:noProof/>
        </w:rPr>
        <w:tab/>
      </w:r>
      <w:r>
        <w:rPr>
          <w:caps/>
          <w:noProof/>
        </w:rPr>
        <w:t>Dimensiunile digitale</w:t>
      </w:r>
      <w:r>
        <w:rPr>
          <w:noProof/>
        </w:rPr>
        <w:tab/>
      </w:r>
      <w:r>
        <w:rPr>
          <w:noProof/>
          <w:webHidden/>
        </w:rPr>
        <w:t>29</w:t>
      </w:r>
    </w:p>
    <w:p>
      <w:pPr>
        <w:pStyle w:val="TOC2"/>
        <w:rPr>
          <w:rFonts w:asciiTheme="minorHAnsi" w:eastAsiaTheme="minorEastAsia" w:hAnsiTheme="minorHAnsi" w:cstheme="minorBidi"/>
          <w:noProof/>
          <w:kern w:val="2"/>
          <w:sz w:val="22"/>
          <w14:ligatures w14:val="standardContextual"/>
        </w:rPr>
      </w:pPr>
      <w:r>
        <w:rPr>
          <w:noProof/>
        </w:rPr>
        <w:t>4.1.</w:t>
      </w:r>
      <w:r>
        <w:rPr>
          <w:noProof/>
        </w:rPr>
        <w:tab/>
        <w:t>Cerințe cu relevanță digitală</w:t>
      </w:r>
      <w:r>
        <w:rPr>
          <w:noProof/>
        </w:rPr>
        <w:tab/>
      </w:r>
      <w:r>
        <w:rPr>
          <w:noProof/>
          <w:webHidden/>
        </w:rPr>
        <w:t>30</w:t>
      </w:r>
    </w:p>
    <w:p>
      <w:pPr>
        <w:pStyle w:val="TOC2"/>
        <w:rPr>
          <w:rFonts w:asciiTheme="minorHAnsi" w:eastAsiaTheme="minorEastAsia" w:hAnsiTheme="minorHAnsi" w:cstheme="minorBidi"/>
          <w:noProof/>
          <w:kern w:val="2"/>
          <w:sz w:val="22"/>
          <w14:ligatures w14:val="standardContextual"/>
        </w:rPr>
      </w:pPr>
      <w:r>
        <w:rPr>
          <w:noProof/>
        </w:rPr>
        <w:t>4.2.</w:t>
      </w:r>
      <w:r>
        <w:rPr>
          <w:noProof/>
        </w:rPr>
        <w:tab/>
        <w:t>Date</w:t>
      </w:r>
      <w:r>
        <w:rPr>
          <w:noProof/>
        </w:rPr>
        <w:tab/>
      </w:r>
      <w:r>
        <w:rPr>
          <w:noProof/>
          <w:webHidden/>
        </w:rPr>
        <w:t>30</w:t>
      </w:r>
    </w:p>
    <w:p>
      <w:pPr>
        <w:pStyle w:val="TOC2"/>
        <w:rPr>
          <w:rFonts w:asciiTheme="minorHAnsi" w:eastAsiaTheme="minorEastAsia" w:hAnsiTheme="minorHAnsi" w:cstheme="minorBidi"/>
          <w:noProof/>
          <w:kern w:val="2"/>
          <w:sz w:val="22"/>
          <w14:ligatures w14:val="standardContextual"/>
        </w:rPr>
      </w:pPr>
      <w:r>
        <w:rPr>
          <w:noProof/>
        </w:rPr>
        <w:t>4.3.</w:t>
      </w:r>
      <w:r>
        <w:rPr>
          <w:noProof/>
        </w:rPr>
        <w:tab/>
        <w:t>Soluții digitale</w:t>
      </w:r>
      <w:r>
        <w:rPr>
          <w:noProof/>
        </w:rPr>
        <w:tab/>
      </w:r>
      <w:r>
        <w:rPr>
          <w:noProof/>
          <w:webHidden/>
        </w:rPr>
        <w:t>31</w:t>
      </w:r>
    </w:p>
    <w:p>
      <w:pPr>
        <w:pStyle w:val="TOC2"/>
        <w:rPr>
          <w:rFonts w:asciiTheme="minorHAnsi" w:eastAsiaTheme="minorEastAsia" w:hAnsiTheme="minorHAnsi" w:cstheme="minorBidi"/>
          <w:noProof/>
          <w:kern w:val="2"/>
          <w:sz w:val="22"/>
          <w14:ligatures w14:val="standardContextual"/>
        </w:rPr>
      </w:pPr>
      <w:r>
        <w:rPr>
          <w:noProof/>
        </w:rPr>
        <w:t>4.4.</w:t>
      </w:r>
      <w:r>
        <w:rPr>
          <w:noProof/>
        </w:rPr>
        <w:tab/>
        <w:t>Evaluarea interoperabilității</w:t>
      </w:r>
      <w:r>
        <w:rPr>
          <w:noProof/>
        </w:rPr>
        <w:tab/>
      </w:r>
      <w:r>
        <w:rPr>
          <w:noProof/>
          <w:webHidden/>
        </w:rPr>
        <w:t>31</w:t>
      </w:r>
    </w:p>
    <w:p>
      <w:pPr>
        <w:pStyle w:val="TOC2"/>
        <w:rPr>
          <w:rFonts w:asciiTheme="minorHAnsi" w:eastAsiaTheme="minorEastAsia" w:hAnsiTheme="minorHAnsi" w:cstheme="minorBidi"/>
          <w:noProof/>
          <w:kern w:val="2"/>
          <w:sz w:val="22"/>
          <w14:ligatures w14:val="standardContextual"/>
        </w:rPr>
      </w:pPr>
      <w:r>
        <w:rPr>
          <w:noProof/>
        </w:rPr>
        <w:t>4.5.</w:t>
      </w:r>
      <w:r>
        <w:rPr>
          <w:noProof/>
        </w:rPr>
        <w:tab/>
        <w:t>Măsuri de sprijinire a implementării digitale</w:t>
      </w:r>
      <w:r>
        <w:rPr>
          <w:noProof/>
        </w:rPr>
        <w:tab/>
      </w:r>
      <w:r>
        <w:rPr>
          <w:noProof/>
          <w:webHidden/>
        </w:rPr>
        <w:t>32</w:t>
      </w:r>
    </w:p>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0" w:name="_Toc514938007"/>
      <w:bookmarkStart w:id="1" w:name="_Toc520485025"/>
      <w:bookmarkStart w:id="2" w:name="_Toc160804567"/>
      <w:bookmarkStart w:id="3" w:name="_Toc167220259"/>
      <w:bookmarkStart w:id="4" w:name="_Toc177548992"/>
      <w:r>
        <w:rPr>
          <w:noProof/>
        </w:rPr>
        <w:t>1.</w:t>
      </w:r>
      <w:r>
        <w:rPr>
          <w:noProof/>
        </w:rPr>
        <w:tab/>
        <w:t>CADRUL PROPUNERII/INIȚIATIVEI</w:t>
      </w:r>
      <w:bookmarkEnd w:id="0"/>
      <w:bookmarkEnd w:id="1"/>
      <w:bookmarkEnd w:id="2"/>
      <w:bookmarkEnd w:id="3"/>
      <w:bookmarkEnd w:id="4"/>
      <w:r>
        <w:rPr>
          <w:noProof/>
        </w:rPr>
        <w:t xml:space="preserve"> </w:t>
      </w:r>
    </w:p>
    <w:p>
      <w:pPr>
        <w:pStyle w:val="ManualHeading2"/>
        <w:rPr>
          <w:noProof/>
        </w:rPr>
      </w:pPr>
      <w:bookmarkStart w:id="5" w:name="_Toc514938008"/>
      <w:bookmarkStart w:id="6" w:name="_Toc520485026"/>
      <w:bookmarkStart w:id="7" w:name="_Toc160804568"/>
      <w:bookmarkStart w:id="8" w:name="_Toc167220260"/>
      <w:bookmarkStart w:id="9" w:name="_Toc177548993"/>
      <w:r>
        <w:rPr>
          <w:noProof/>
        </w:rPr>
        <w:t>1.1.</w:t>
      </w:r>
      <w:r>
        <w:rPr>
          <w:noProof/>
        </w:rPr>
        <w:tab/>
        <w:t>Titlul propunerii/inițiativei</w:t>
      </w:r>
      <w:bookmarkEnd w:id="5"/>
      <w:bookmarkEnd w:id="6"/>
      <w:bookmarkEnd w:id="7"/>
      <w:bookmarkEnd w:id="8"/>
      <w:bookmarkEnd w:id="9"/>
    </w:p>
    <w:p>
      <w:pPr>
        <w:pStyle w:val="Text1"/>
        <w:pBdr>
          <w:top w:val="single" w:sz="4" w:space="1" w:color="auto"/>
          <w:left w:val="single" w:sz="4" w:space="4" w:color="auto"/>
          <w:bottom w:val="single" w:sz="4" w:space="1" w:color="auto"/>
          <w:right w:val="single" w:sz="4" w:space="4" w:color="auto"/>
        </w:pBdr>
        <w:rPr>
          <w:noProof/>
        </w:rPr>
      </w:pPr>
      <w:r>
        <w:rPr>
          <w:noProof/>
        </w:rPr>
        <w:t>Propunere de regulament al Consiliului privind deschiderea și modul de gestionare a unor contingente tarifare autonome ale Uniunii pentru anumite produse pescărești pentru perioada 1 ianuarie – 31 decembrie 2027.</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i/>
          <w:noProof/>
        </w:rPr>
      </w:pPr>
      <w:bookmarkStart w:id="10" w:name="_Toc514938011"/>
      <w:bookmarkStart w:id="11" w:name="_Toc520485027"/>
      <w:bookmarkStart w:id="12" w:name="_Toc160804569"/>
      <w:bookmarkStart w:id="13" w:name="_Toc167220261"/>
      <w:bookmarkStart w:id="14" w:name="_Toc177548994"/>
      <w:r>
        <w:rPr>
          <w:noProof/>
        </w:rPr>
        <w:t>1.2.</w:t>
      </w:r>
      <w:r>
        <w:rPr>
          <w:noProof/>
        </w:rPr>
        <w:tab/>
        <w:t>Domeniul (domeniile) de politică vizat(e)</w:t>
      </w:r>
      <w:bookmarkEnd w:id="10"/>
      <w:bookmarkEnd w:id="11"/>
      <w:bookmarkEnd w:id="12"/>
      <w:bookmarkEnd w:id="13"/>
      <w:bookmarkEnd w:id="14"/>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Politicile UE în domeniul comerțului și al pescuitului.</w:t>
      </w:r>
    </w:p>
    <w:p>
      <w:pPr>
        <w:pStyle w:val="ManualHeading2"/>
        <w:rPr>
          <w:noProof/>
        </w:rPr>
      </w:pPr>
      <w:bookmarkStart w:id="15" w:name="_Toc514938015"/>
      <w:bookmarkStart w:id="16" w:name="_Toc520485029"/>
      <w:bookmarkStart w:id="17" w:name="_Toc160804571"/>
      <w:bookmarkStart w:id="18" w:name="_Toc167220263"/>
      <w:bookmarkStart w:id="19" w:name="_Toc177548995"/>
      <w:r>
        <w:rPr>
          <w:noProof/>
        </w:rPr>
        <w:t>1.3.</w:t>
      </w:r>
      <w:r>
        <w:rPr>
          <w:noProof/>
        </w:rPr>
        <w:tab/>
        <w:t>Obiectiv(e)</w:t>
      </w:r>
      <w:bookmarkEnd w:id="15"/>
      <w:bookmarkEnd w:id="16"/>
      <w:bookmarkEnd w:id="17"/>
      <w:bookmarkEnd w:id="18"/>
      <w:bookmarkEnd w:id="19"/>
    </w:p>
    <w:p>
      <w:pPr>
        <w:pStyle w:val="ManualHeading3"/>
        <w:rPr>
          <w:noProof/>
        </w:rPr>
      </w:pPr>
      <w:bookmarkStart w:id="20" w:name="_Toc514938016"/>
      <w:bookmarkStart w:id="21" w:name="_Toc520485030"/>
      <w:bookmarkStart w:id="22" w:name="_Toc160804572"/>
      <w:bookmarkStart w:id="23" w:name="_Toc167220264"/>
      <w:bookmarkStart w:id="24" w:name="_Toc177548996"/>
      <w:r>
        <w:rPr>
          <w:noProof/>
        </w:rPr>
        <w:t>1.3.1.</w:t>
      </w:r>
      <w:r>
        <w:rPr>
          <w:noProof/>
        </w:rPr>
        <w:tab/>
        <w:t>Obiectiv(e) general(e)</w:t>
      </w:r>
      <w:bookmarkEnd w:id="20"/>
      <w:bookmarkEnd w:id="21"/>
      <w:bookmarkEnd w:id="22"/>
      <w:bookmarkEnd w:id="23"/>
      <w:bookmarkEnd w:id="24"/>
    </w:p>
    <w:p>
      <w:pPr>
        <w:pStyle w:val="Text1"/>
        <w:pBdr>
          <w:top w:val="single" w:sz="4" w:space="1" w:color="auto"/>
          <w:left w:val="single" w:sz="4" w:space="4" w:color="auto"/>
          <w:bottom w:val="single" w:sz="4" w:space="1" w:color="auto"/>
          <w:right w:val="single" w:sz="4" w:space="4" w:color="auto"/>
        </w:pBdr>
        <w:rPr>
          <w:noProof/>
        </w:rPr>
      </w:pPr>
      <w:r>
        <w:rPr>
          <w:noProof/>
        </w:rPr>
        <w:t>Obiectivul general al regimului CTA este de a aborda un deficit comercial structural pe piața alimentelor provenite de la animale acvatice din UE și de a sprijini competitivitatea sectorului de prelucrare din UE.</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25" w:name="_Toc514938018"/>
      <w:bookmarkStart w:id="26" w:name="_Toc520485031"/>
      <w:bookmarkStart w:id="27" w:name="_Toc160804573"/>
      <w:bookmarkStart w:id="28" w:name="_Toc167220265"/>
      <w:bookmarkStart w:id="29" w:name="_Toc177548997"/>
      <w:r>
        <w:rPr>
          <w:noProof/>
        </w:rPr>
        <w:t>1.3.2.</w:t>
      </w:r>
      <w:r>
        <w:rPr>
          <w:noProof/>
        </w:rPr>
        <w:tab/>
        <w:t>Obiectiv(e) specific(e)</w:t>
      </w:r>
      <w:bookmarkEnd w:id="25"/>
      <w:bookmarkEnd w:id="26"/>
      <w:bookmarkEnd w:id="27"/>
      <w:bookmarkEnd w:id="28"/>
      <w:bookmarkEnd w:id="29"/>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Îmbunătățirea accesibilității și disponibilității materiilor prime și/sau a produselor semifinite care nu sunt disponibile prin producția UE (pescuit sau acvacultură) în cantități suficiente și/sau la un preț competitiv; precum și</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Asigurarea faptului că CTA sunt adaptate la condițiile pieței (de exemplu, decalajul structural dintre cererea din UE și limitele producției UE, precum și modificările fluxurilor comerciale) și la nevoile operatorilor din sectorul prelucrării peștelui și a fructelor de mare din UE (de exemplu, creșterea cererii pentru un anumit produs), fără a avea un impact negativ asupra producătorilor din UE.</w:t>
      </w:r>
    </w:p>
    <w:p>
      <w:pPr>
        <w:pStyle w:val="ManualHeading3"/>
        <w:rPr>
          <w:noProof/>
        </w:rPr>
      </w:pPr>
      <w:bookmarkStart w:id="30" w:name="_Toc514938019"/>
      <w:bookmarkStart w:id="31" w:name="_Toc520485032"/>
      <w:bookmarkStart w:id="32" w:name="_Toc160804574"/>
      <w:bookmarkStart w:id="33" w:name="_Toc167220266"/>
      <w:bookmarkStart w:id="34" w:name="_Toc177548998"/>
      <w:r>
        <w:rPr>
          <w:noProof/>
        </w:rPr>
        <w:t>1.3.3.</w:t>
      </w:r>
      <w:r>
        <w:rPr>
          <w:noProof/>
        </w:rPr>
        <w:tab/>
        <w:t>Rezultatul (rezultatele) și impactul preconizate</w:t>
      </w:r>
      <w:bookmarkEnd w:id="30"/>
      <w:bookmarkEnd w:id="31"/>
      <w:bookmarkEnd w:id="32"/>
      <w:bookmarkEnd w:id="33"/>
      <w:bookmarkEnd w:id="34"/>
    </w:p>
    <w:p>
      <w:pPr>
        <w:pStyle w:val="Text1"/>
        <w:rPr>
          <w:i/>
          <w:noProof/>
          <w:sz w:val="20"/>
        </w:rPr>
      </w:pPr>
      <w:r>
        <w:rPr>
          <w:i/>
          <w:noProof/>
          <w:sz w:val="20"/>
        </w:rPr>
        <w:t>A se preciza efectele pe care ar trebui să le aibă propunerea/inițiativa asupra beneficiarilor vizați/grupurilor vizate.</w:t>
      </w:r>
    </w:p>
    <w:p>
      <w:pPr>
        <w:pStyle w:val="Text1"/>
        <w:pBdr>
          <w:top w:val="single" w:sz="4" w:space="1" w:color="auto"/>
          <w:left w:val="single" w:sz="4" w:space="4" w:color="auto"/>
          <w:bottom w:val="single" w:sz="4" w:space="1" w:color="auto"/>
          <w:right w:val="single" w:sz="4" w:space="4" w:color="auto"/>
        </w:pBdr>
        <w:rPr>
          <w:noProof/>
        </w:rPr>
      </w:pPr>
      <w:r>
        <w:rPr>
          <w:noProof/>
        </w:rPr>
        <w:t>Rezultatul preconizat al regimului CTA în ceea ce privește realizările este o listă de materii prime și volumul acestora pentru care taxele vamale sunt scutite parțial sau total, care sunt în concordanță cu nevoile sectorului prelucrării din UE. Pe termen mediu și lung, se preconizează că regimul CTA va îmbunătăți competitivitatea operatorilor din sectorul prelucrării peștelui și a fructelor de mare din UE, fără a avea un impact negativ asupra producătorilor din UE.</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35" w:name="_Toc514938023"/>
      <w:bookmarkStart w:id="36" w:name="_Toc520485033"/>
      <w:bookmarkStart w:id="37" w:name="_Toc160804575"/>
      <w:bookmarkStart w:id="38" w:name="_Toc167220267"/>
      <w:bookmarkStart w:id="39" w:name="_Toc177548999"/>
      <w:r>
        <w:rPr>
          <w:noProof/>
        </w:rPr>
        <w:t>1.3.4.</w:t>
      </w:r>
      <w:r>
        <w:rPr>
          <w:noProof/>
        </w:rPr>
        <w:tab/>
        <w:t>Indicatori de performanță</w:t>
      </w:r>
      <w:bookmarkEnd w:id="35"/>
      <w:bookmarkEnd w:id="36"/>
      <w:bookmarkEnd w:id="37"/>
      <w:bookmarkEnd w:id="38"/>
      <w:bookmarkEnd w:id="39"/>
    </w:p>
    <w:p>
      <w:pPr>
        <w:pStyle w:val="Text1"/>
        <w:rPr>
          <w:i/>
          <w:noProof/>
          <w:sz w:val="20"/>
        </w:rPr>
      </w:pPr>
      <w:r>
        <w:rPr>
          <w:i/>
          <w:noProof/>
          <w:sz w:val="20"/>
        </w:rPr>
        <w:t>A se preciza indicatorii care permit monitorizarea progreselor și a realizărilor obținute.</w:t>
      </w:r>
    </w:p>
    <w:p>
      <w:pPr>
        <w:pStyle w:val="Text1"/>
        <w:pBdr>
          <w:top w:val="single" w:sz="4" w:space="1" w:color="auto"/>
          <w:left w:val="single" w:sz="4" w:space="4" w:color="auto"/>
          <w:bottom w:val="single" w:sz="4" w:space="1" w:color="auto"/>
          <w:right w:val="single" w:sz="4" w:space="4" w:color="auto"/>
        </w:pBdr>
        <w:rPr>
          <w:noProof/>
        </w:rPr>
      </w:pPr>
      <w:r>
        <w:rPr>
          <w:noProof/>
        </w:rPr>
        <w:t xml:space="preserve">Accesul industriei prelucrătoare din UE la materii prime și produse semifinite este menținut sau îmbunătățit în ceea ce privește volumul și prețul în perioada 2024-2026. Regimul CTA a rămas receptiv la evoluția condițiilor pieței și la nevoile părților interesate pe tot parcursul anului 2027. </w:t>
      </w:r>
    </w:p>
    <w:p>
      <w:pPr>
        <w:pStyle w:val="ManualHeading2"/>
        <w:rPr>
          <w:noProof/>
        </w:rPr>
      </w:pPr>
      <w:bookmarkStart w:id="40" w:name="_Toc177549000"/>
      <w:r>
        <w:rPr>
          <w:noProof/>
        </w:rPr>
        <w:t>1.4.</w:t>
      </w:r>
      <w:r>
        <w:rPr>
          <w:noProof/>
        </w:rPr>
        <w:tab/>
        <w:t>Obiectul propunerii/inițiativei</w:t>
      </w:r>
      <w:bookmarkEnd w:id="40"/>
      <w:r>
        <w:rPr>
          <w:noProof/>
        </w:rPr>
        <w:t xml:space="preserve"> </w:t>
      </w:r>
    </w:p>
    <w:p>
      <w:pPr>
        <w:pStyle w:val="Text1"/>
        <w:rPr>
          <w:noProof/>
          <w:sz w:val="22"/>
        </w:rPr>
      </w:pPr>
      <w:r>
        <w:rPr>
          <w:rFonts w:ascii="Wingdings" w:hAnsi="Wingdings"/>
          <w:noProof/>
          <w:sz w:val="22"/>
        </w:rPr>
        <w:t>¨</w:t>
      </w:r>
      <w:r>
        <w:rPr>
          <w:i/>
          <w:noProof/>
          <w:sz w:val="22"/>
        </w:rPr>
        <w:t xml:space="preserve"> </w:t>
      </w:r>
      <w:r>
        <w:rPr>
          <w:noProof/>
        </w:rPr>
        <w:t>o acțiune nouă</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o acțiune nouă întreprinsă ca urmare a unui proiect-pilot/a unei acțiuni pregătitoare</w:t>
      </w:r>
      <w:r>
        <w:rPr>
          <w:rStyle w:val="FootnoteReference"/>
          <w:noProof/>
        </w:rPr>
        <w:footnoteReference w:id="3"/>
      </w:r>
      <w:r>
        <w:rPr>
          <w:noProof/>
          <w:sz w:val="22"/>
        </w:rPr>
        <w:t xml:space="preserve"> </w:t>
      </w:r>
    </w:p>
    <w:p>
      <w:pPr>
        <w:pStyle w:val="Text1"/>
        <w:rPr>
          <w:noProof/>
          <w:sz w:val="22"/>
        </w:rPr>
      </w:pPr>
      <w:r>
        <w:rPr>
          <w:rFonts w:ascii="Wingdings" w:hAnsi="Wingdings"/>
          <w:noProof/>
          <w:sz w:val="22"/>
        </w:rPr>
        <w:t>x</w:t>
      </w:r>
      <w:r>
        <w:rPr>
          <w:i/>
          <w:noProof/>
          <w:sz w:val="22"/>
        </w:rPr>
        <w:t xml:space="preserve"> </w:t>
      </w:r>
      <w:r>
        <w:rPr>
          <w:noProof/>
        </w:rPr>
        <w:t>prelungirea unei acțiuni existente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o fuziune sau o redirecționare a uneia sau mai multor acțiuni către o altă/o nouă acțiune</w:t>
      </w:r>
    </w:p>
    <w:p>
      <w:pPr>
        <w:pStyle w:val="ManualHeading2"/>
        <w:rPr>
          <w:bCs/>
          <w:noProof/>
          <w:szCs w:val="24"/>
        </w:rPr>
      </w:pPr>
      <w:bookmarkStart w:id="41" w:name="_Toc514938025"/>
      <w:bookmarkStart w:id="42" w:name="_Toc520485034"/>
      <w:bookmarkStart w:id="43" w:name="_Toc160804576"/>
      <w:bookmarkStart w:id="44" w:name="_Toc167220268"/>
      <w:bookmarkStart w:id="45" w:name="_Toc177549001"/>
      <w:r>
        <w:rPr>
          <w:noProof/>
        </w:rPr>
        <w:t>1.5.</w:t>
      </w:r>
      <w:r>
        <w:rPr>
          <w:noProof/>
        </w:rPr>
        <w:tab/>
        <w:t>Motivele propunerii/inițiativei</w:t>
      </w:r>
      <w:bookmarkEnd w:id="41"/>
      <w:bookmarkEnd w:id="42"/>
      <w:bookmarkEnd w:id="43"/>
      <w:bookmarkEnd w:id="44"/>
      <w:bookmarkEnd w:id="45"/>
      <w:r>
        <w:rPr>
          <w:noProof/>
        </w:rPr>
        <w:t xml:space="preserve"> </w:t>
      </w:r>
    </w:p>
    <w:p>
      <w:pPr>
        <w:pStyle w:val="ManualHeading3"/>
        <w:rPr>
          <w:noProof/>
        </w:rPr>
      </w:pPr>
      <w:bookmarkStart w:id="46" w:name="_Toc514938026"/>
      <w:bookmarkStart w:id="47" w:name="_Toc520485035"/>
      <w:bookmarkStart w:id="48" w:name="_Toc160804577"/>
      <w:bookmarkStart w:id="49" w:name="_Toc167220269"/>
      <w:bookmarkStart w:id="50" w:name="_Toc177549002"/>
      <w:r>
        <w:rPr>
          <w:noProof/>
        </w:rPr>
        <w:t>1.5.1.</w:t>
      </w:r>
      <w:r>
        <w:rPr>
          <w:noProof/>
        </w:rPr>
        <w:tab/>
        <w:t>Cerința (cerințele) care trebuie îndeplinită (îndeplinite) pe termen scurt sau lung, inclusiv un calendar detaliat pentru punerea în aplicare a inițiativei</w:t>
      </w:r>
      <w:bookmarkEnd w:id="46"/>
      <w:bookmarkEnd w:id="47"/>
      <w:bookmarkEnd w:id="48"/>
      <w:bookmarkEnd w:id="49"/>
      <w:bookmarkEnd w:id="50"/>
    </w:p>
    <w:p>
      <w:pPr>
        <w:pStyle w:val="Text1"/>
        <w:pBdr>
          <w:top w:val="single" w:sz="4" w:space="1" w:color="auto"/>
          <w:left w:val="single" w:sz="4" w:space="4" w:color="auto"/>
          <w:bottom w:val="single" w:sz="4" w:space="1" w:color="auto"/>
          <w:right w:val="single" w:sz="4" w:space="4" w:color="auto"/>
        </w:pBdr>
        <w:rPr>
          <w:noProof/>
        </w:rPr>
      </w:pPr>
      <w:r>
        <w:rPr>
          <w:noProof/>
        </w:rPr>
        <w:t xml:space="preserve"> Propunerea prelungește valabilitatea contingentelor tarifare autonome prevăzute în Regulamentul (UE) 2023/2720 al Consiliului până la 31 decembrie 2027.  </w:t>
      </w:r>
    </w:p>
    <w:p>
      <w:pPr>
        <w:pStyle w:val="ManualHeading3"/>
        <w:rPr>
          <w:bCs/>
          <w:noProof/>
          <w:szCs w:val="24"/>
        </w:rPr>
      </w:pPr>
      <w:bookmarkStart w:id="51" w:name="_Toc514938029"/>
      <w:bookmarkStart w:id="52" w:name="_Toc520485036"/>
      <w:bookmarkStart w:id="53" w:name="_Toc160804578"/>
      <w:bookmarkStart w:id="54" w:name="_Toc167220270"/>
      <w:bookmarkStart w:id="55" w:name="_Toc177549003"/>
      <w:r>
        <w:rPr>
          <w:noProof/>
        </w:rPr>
        <w:t>1.5.2.</w:t>
      </w:r>
      <w:r>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51"/>
      <w:bookmarkEnd w:id="52"/>
      <w:bookmarkEnd w:id="53"/>
      <w:bookmarkEnd w:id="54"/>
      <w:bookmarkEnd w:id="55"/>
    </w:p>
    <w:p>
      <w:pPr>
        <w:pStyle w:val="Text1"/>
        <w:pBdr>
          <w:top w:val="single" w:sz="4" w:space="1" w:color="auto"/>
          <w:left w:val="single" w:sz="4" w:space="4" w:color="auto"/>
          <w:bottom w:val="single" w:sz="4" w:space="1" w:color="auto"/>
          <w:right w:val="single" w:sz="4" w:space="4" w:color="auto"/>
        </w:pBdr>
        <w:rPr>
          <w:noProof/>
        </w:rPr>
      </w:pPr>
      <w:r>
        <w:rPr>
          <w:noProof/>
        </w:rPr>
        <w:t>Regimul CTA oferă o valoare adăugată clară la nivelul UE, deoarece obiectivele sale nu pot fi realizate de statele membre acționând individual. În temeiul articolului 3 alineatul (1) litera (a) din TFUE, uniunea vamală este un domeniu de competență exclusivă a UE, ceea ce înseamnă că statele membre nu pot stabili taxe vamale naționale, suspendări tarifare sau contingente autonome.</w:t>
      </w:r>
    </w:p>
    <w:p>
      <w:pPr>
        <w:pStyle w:val="Text1"/>
        <w:pBdr>
          <w:top w:val="single" w:sz="4" w:space="1" w:color="auto"/>
          <w:left w:val="single" w:sz="4" w:space="4" w:color="auto"/>
          <w:bottom w:val="single" w:sz="4" w:space="1" w:color="auto"/>
          <w:right w:val="single" w:sz="4" w:space="4" w:color="auto"/>
        </w:pBdr>
        <w:rPr>
          <w:noProof/>
        </w:rPr>
      </w:pPr>
      <w:r>
        <w:rPr>
          <w:noProof/>
        </w:rPr>
        <w:t xml:space="preserve">Regimul CTA asigură condiții uniforme de acces pentru materiile prime pe piața unică, evită denaturările concurenței care ar rezulta din abordările naționale divergente și oferă condiții tarifare previzibile pentru operatorii din sectorul prelucrării peștelui și a fructelor de mare din UE. </w:t>
      </w:r>
    </w:p>
    <w:p>
      <w:pPr>
        <w:pStyle w:val="ManualHeading3"/>
        <w:rPr>
          <w:noProof/>
        </w:rPr>
      </w:pPr>
      <w:bookmarkStart w:id="56" w:name="_Toc514938030"/>
      <w:bookmarkStart w:id="57" w:name="_Toc520485037"/>
      <w:bookmarkStart w:id="58" w:name="_Toc160804579"/>
      <w:bookmarkStart w:id="59" w:name="_Toc167220271"/>
      <w:bookmarkStart w:id="60" w:name="_Toc177549004"/>
      <w:r>
        <w:rPr>
          <w:noProof/>
        </w:rPr>
        <w:t>1.5.3.</w:t>
      </w:r>
      <w:r>
        <w:rPr>
          <w:noProof/>
        </w:rPr>
        <w:tab/>
        <w:t>Învățăminte desprinse din experiențele anterioare similare</w:t>
      </w:r>
      <w:bookmarkEnd w:id="56"/>
      <w:bookmarkEnd w:id="57"/>
      <w:bookmarkEnd w:id="58"/>
      <w:bookmarkEnd w:id="59"/>
      <w:bookmarkEnd w:id="60"/>
    </w:p>
    <w:p>
      <w:pPr>
        <w:pStyle w:val="Text1"/>
        <w:pBdr>
          <w:top w:val="single" w:sz="4" w:space="1" w:color="auto"/>
          <w:left w:val="single" w:sz="4" w:space="4" w:color="auto"/>
          <w:bottom w:val="single" w:sz="4" w:space="1" w:color="auto"/>
          <w:right w:val="single" w:sz="4" w:space="4" w:color="auto"/>
        </w:pBdr>
        <w:rPr>
          <w:noProof/>
        </w:rPr>
      </w:pPr>
      <w:r>
        <w:rPr>
          <w:noProof/>
        </w:rPr>
        <w:t xml:space="preserve">Experiențele anterioare în legătură cu punerea în aplicare a regimului CTA demonstrează că regimul este relevant pentru abordarea nevoilor economice structurale din sectorul alimentelor provenite de la animale acvatice din UE, inclusiv din perspectiva ocupării forței de muncă. UE este un importator net de lungă durată de alimente de origine acvatică, iar CTA facilitează accesul și disponibilitatea materiilor prime pentru operatorii din sectorul prelucrării. Numărul de cereri de contingente și de specii vizate a evoluat în timp, pentru a răspunde la evoluția nevoilor pieței.   </w:t>
      </w:r>
    </w:p>
    <w:p>
      <w:pPr>
        <w:pStyle w:val="ManualHeading3"/>
        <w:rPr>
          <w:noProof/>
        </w:rPr>
      </w:pPr>
      <w:bookmarkStart w:id="61" w:name="_Toc514938033"/>
      <w:bookmarkStart w:id="62" w:name="_Toc520485038"/>
      <w:bookmarkStart w:id="63" w:name="_Toc160804580"/>
      <w:bookmarkStart w:id="64" w:name="_Toc167220272"/>
      <w:bookmarkStart w:id="65" w:name="_Toc177549005"/>
      <w:r>
        <w:rPr>
          <w:noProof/>
        </w:rPr>
        <w:t>1.5.4.</w:t>
      </w:r>
      <w:r>
        <w:rPr>
          <w:noProof/>
        </w:rPr>
        <w:tab/>
        <w:t>Compatibilitatea cu cadrul financiar multianual și posibilele sinergii cu alte instrumente corespunzătoare</w:t>
      </w:r>
      <w:bookmarkEnd w:id="61"/>
      <w:bookmarkEnd w:id="62"/>
      <w:bookmarkEnd w:id="63"/>
      <w:bookmarkEnd w:id="64"/>
      <w:bookmarkEnd w:id="65"/>
    </w:p>
    <w:p>
      <w:pPr>
        <w:pStyle w:val="Text1"/>
        <w:pBdr>
          <w:top w:val="single" w:sz="4" w:space="1" w:color="auto"/>
          <w:left w:val="single" w:sz="4" w:space="4" w:color="auto"/>
          <w:bottom w:val="single" w:sz="4" w:space="1" w:color="auto"/>
          <w:right w:val="single" w:sz="4" w:space="4" w:color="auto"/>
        </w:pBdr>
        <w:rPr>
          <w:noProof/>
        </w:rPr>
      </w:pPr>
      <w:r>
        <w:rPr>
          <w:noProof/>
        </w:rPr>
        <w:t>N/A</w:t>
      </w:r>
    </w:p>
    <w:p>
      <w:pPr>
        <w:pStyle w:val="ManualHeading3"/>
        <w:rPr>
          <w:noProof/>
        </w:rPr>
      </w:pPr>
      <w:bookmarkStart w:id="66" w:name="_Toc514938036"/>
      <w:bookmarkStart w:id="67" w:name="_Toc520485039"/>
      <w:bookmarkStart w:id="68" w:name="_Toc160804581"/>
      <w:bookmarkStart w:id="69" w:name="_Toc167220273"/>
      <w:bookmarkStart w:id="70" w:name="_Toc177549006"/>
      <w:r>
        <w:rPr>
          <w:noProof/>
        </w:rPr>
        <w:t>1.5.5.</w:t>
      </w:r>
      <w:r>
        <w:rPr>
          <w:noProof/>
        </w:rPr>
        <w:tab/>
        <w:t>Evaluarea diferitelor opțiuni de finanțare disponibile, inclusiv a posibilităților de realocare a creditelor</w:t>
      </w:r>
      <w:bookmarkEnd w:id="66"/>
      <w:bookmarkEnd w:id="67"/>
      <w:bookmarkEnd w:id="68"/>
      <w:bookmarkEnd w:id="69"/>
      <w:bookmarkEnd w:id="70"/>
    </w:p>
    <w:p>
      <w:pPr>
        <w:pStyle w:val="Text1"/>
        <w:pBdr>
          <w:top w:val="single" w:sz="4" w:space="1" w:color="auto"/>
          <w:left w:val="single" w:sz="4" w:space="4" w:color="auto"/>
          <w:bottom w:val="single" w:sz="4" w:space="1" w:color="auto"/>
          <w:right w:val="single" w:sz="4" w:space="4" w:color="auto"/>
        </w:pBdr>
        <w:rPr>
          <w:noProof/>
        </w:rPr>
      </w:pPr>
      <w:r>
        <w:rPr>
          <w:noProof/>
        </w:rPr>
        <w:t>N/A</w:t>
      </w:r>
    </w:p>
    <w:p>
      <w:pPr>
        <w:pStyle w:val="ManualHeading2"/>
        <w:rPr>
          <w:bCs/>
          <w:noProof/>
          <w:szCs w:val="24"/>
        </w:rPr>
      </w:pPr>
      <w:r>
        <w:rPr>
          <w:noProof/>
        </w:rPr>
        <w:br w:type="page"/>
      </w:r>
      <w:bookmarkStart w:id="71" w:name="_Toc514938039"/>
      <w:bookmarkStart w:id="72" w:name="_Toc520485040"/>
      <w:bookmarkStart w:id="73" w:name="_Toc160804582"/>
      <w:bookmarkStart w:id="74" w:name="_Toc167220274"/>
      <w:bookmarkStart w:id="75" w:name="_Toc177549007"/>
      <w:r>
        <w:rPr>
          <w:noProof/>
        </w:rPr>
        <w:t>1.6.</w:t>
      </w:r>
      <w:r>
        <w:rPr>
          <w:noProof/>
        </w:rPr>
        <w:tab/>
        <w:t xml:space="preserve">Durata propunerii/inițiativei </w:t>
      </w:r>
      <w:bookmarkEnd w:id="71"/>
      <w:bookmarkEnd w:id="72"/>
      <w:r>
        <w:rPr>
          <w:noProof/>
        </w:rPr>
        <w:t>și a impactului său financiar</w:t>
      </w:r>
      <w:bookmarkEnd w:id="73"/>
      <w:bookmarkEnd w:id="74"/>
      <w:bookmarkEnd w:id="75"/>
    </w:p>
    <w:p>
      <w:pPr>
        <w:pStyle w:val="Text1"/>
        <w:rPr>
          <w:noProof/>
        </w:rPr>
      </w:pPr>
      <w:r>
        <w:rPr>
          <w:rFonts w:ascii="Wingdings" w:hAnsi="Wingdings"/>
          <w:noProof/>
        </w:rPr>
        <w:t>x</w:t>
      </w:r>
      <w:r>
        <w:rPr>
          <w:b/>
          <w:i/>
          <w:noProof/>
        </w:rPr>
        <w:t xml:space="preserve"> </w:t>
      </w:r>
      <w:r>
        <w:rPr>
          <w:b/>
          <w:noProof/>
        </w:rPr>
        <w:t xml:space="preserve">durată limitată </w:t>
      </w:r>
    </w:p>
    <w:p>
      <w:pPr>
        <w:pStyle w:val="ListDash2"/>
        <w:rPr>
          <w:noProof/>
        </w:rPr>
      </w:pPr>
      <w:r>
        <w:rPr>
          <w:rFonts w:ascii="Wingdings" w:hAnsi="Wingdings"/>
          <w:noProof/>
        </w:rPr>
        <w:t>x</w:t>
      </w:r>
      <w:r>
        <w:rPr>
          <w:noProof/>
        </w:rPr>
        <w:t xml:space="preserve"> în vigoare de la [01/01]2027 până la [31/12]2027 </w:t>
      </w:r>
    </w:p>
    <w:p>
      <w:pPr>
        <w:pStyle w:val="ListDash2"/>
        <w:rPr>
          <w:noProof/>
        </w:rPr>
      </w:pPr>
      <w:r>
        <w:rPr>
          <w:rFonts w:ascii="Wingdings" w:hAnsi="Wingdings"/>
          <w:noProof/>
        </w:rPr>
        <w:t>¨</w:t>
      </w:r>
      <w:r>
        <w:rPr>
          <w:noProof/>
        </w:rPr>
        <w:t xml:space="preserve"> impactul financiar din AAAA până în AAAA pentru creditele de angajament și din AAAA până în AAAA pentru creditele de plată. </w:t>
      </w:r>
    </w:p>
    <w:p>
      <w:pPr>
        <w:pStyle w:val="Text1"/>
        <w:rPr>
          <w:noProof/>
        </w:rPr>
      </w:pPr>
      <w:r>
        <w:rPr>
          <w:rFonts w:ascii="Wingdings" w:hAnsi="Wingdings"/>
          <w:noProof/>
        </w:rPr>
        <w:t>¨</w:t>
      </w:r>
      <w:r>
        <w:rPr>
          <w:b/>
          <w:i/>
          <w:noProof/>
        </w:rPr>
        <w:t xml:space="preserve"> </w:t>
      </w:r>
      <w:r>
        <w:rPr>
          <w:b/>
          <w:noProof/>
        </w:rPr>
        <w:t>durată nelimitată</w:t>
      </w:r>
    </w:p>
    <w:p>
      <w:pPr>
        <w:pStyle w:val="ListDash1"/>
        <w:rPr>
          <w:noProof/>
        </w:rPr>
      </w:pPr>
      <w:r>
        <w:rPr>
          <w:noProof/>
        </w:rPr>
        <w:t>punere în aplicare cu o perioadă de creștere în intensitate din AAAA până în AAAA,</w:t>
      </w:r>
    </w:p>
    <w:p>
      <w:pPr>
        <w:pStyle w:val="ListDash1"/>
        <w:rPr>
          <w:noProof/>
        </w:rPr>
      </w:pPr>
      <w:r>
        <w:rPr>
          <w:noProof/>
        </w:rPr>
        <w:t>urmată de o perioadă de funcționare la capacitate maximă.</w:t>
      </w:r>
    </w:p>
    <w:p>
      <w:pPr>
        <w:pStyle w:val="ManualHeading2"/>
        <w:rPr>
          <w:noProof/>
        </w:rPr>
      </w:pPr>
      <w:bookmarkStart w:id="76" w:name="_Toc514938040"/>
      <w:bookmarkStart w:id="77" w:name="_Toc520485041"/>
      <w:bookmarkStart w:id="78" w:name="_Toc160804583"/>
      <w:bookmarkStart w:id="79" w:name="_Toc167220275"/>
      <w:bookmarkStart w:id="80" w:name="_Toc177549008"/>
      <w:r>
        <w:rPr>
          <w:noProof/>
        </w:rPr>
        <w:t>1.7.</w:t>
      </w:r>
      <w:r>
        <w:rPr>
          <w:noProof/>
        </w:rPr>
        <w:tab/>
        <w:t>Metoda (metodele) de execuție a bugetului planificată (planificate)</w:t>
      </w:r>
      <w:bookmarkEnd w:id="76"/>
      <w:bookmarkEnd w:id="77"/>
      <w:bookmarkEnd w:id="78"/>
      <w:bookmarkEnd w:id="79"/>
      <w:bookmarkEnd w:id="80"/>
      <w:r>
        <w:rPr>
          <w:noProof/>
        </w:rPr>
        <w:t xml:space="preserve"> </w:t>
      </w:r>
    </w:p>
    <w:p>
      <w:pPr>
        <w:pStyle w:val="ManualHeading2"/>
        <w:ind w:left="0" w:firstLine="0"/>
        <w:rPr>
          <w:noProof/>
        </w:rPr>
      </w:pPr>
      <w:hyperlink r:id="rId18" w:history="1">
        <w:r>
          <w:rPr>
            <w:rStyle w:val="Hyperlink"/>
            <w:noProof/>
          </w:rPr>
          <w:t>https://ec.europa.eu/info/law/better-regulation/have-your-say/initiatives/13119-Legislation-for-plants-produced-by-certain-new-genomic-techniques/public-consultation_ro</w:t>
        </w:r>
      </w:hyperlink>
    </w:p>
    <w:p>
      <w:pPr>
        <w:pStyle w:val="Text1"/>
        <w:rPr>
          <w:noProof/>
        </w:rPr>
      </w:pPr>
      <w:r>
        <w:rPr>
          <w:rFonts w:ascii="Wingdings" w:hAnsi="Wingdings"/>
          <w:noProof/>
        </w:rPr>
        <w:t>¨</w:t>
      </w:r>
      <w:r>
        <w:rPr>
          <w:i/>
          <w:noProof/>
        </w:rPr>
        <w:t xml:space="preserve"> </w:t>
      </w:r>
      <w:r>
        <w:rPr>
          <w:b/>
          <w:bCs/>
          <w:noProof/>
        </w:rPr>
        <w:t>Gestiune directă</w:t>
      </w:r>
      <w:r>
        <w:rPr>
          <w:noProof/>
        </w:rPr>
        <w:t xml:space="preserve"> asigurată de Comisie</w:t>
      </w:r>
    </w:p>
    <w:p>
      <w:pPr>
        <w:pStyle w:val="ListDash2"/>
        <w:rPr>
          <w:rFonts w:cs="EUAlbertina"/>
          <w:noProof/>
        </w:rPr>
      </w:pPr>
      <w:r>
        <w:rPr>
          <w:rFonts w:ascii="Wingdings" w:hAnsi="Wingdings"/>
          <w:noProof/>
        </w:rPr>
        <w:t>¨</w:t>
      </w:r>
      <w:r>
        <w:rPr>
          <w:noProof/>
        </w:rPr>
        <w:t xml:space="preserve"> prin intermediul serviciilor sale, inclusiv al personalului din delegațiile Uniunii </w:t>
      </w:r>
    </w:p>
    <w:p>
      <w:pPr>
        <w:pStyle w:val="ListDash2"/>
        <w:rPr>
          <w:noProof/>
        </w:rPr>
      </w:pPr>
      <w:r>
        <w:rPr>
          <w:rFonts w:ascii="Wingdings" w:hAnsi="Wingdings"/>
          <w:noProof/>
        </w:rPr>
        <w:t>¨</w:t>
      </w:r>
      <w:r>
        <w:rPr>
          <w:noProof/>
        </w:rPr>
        <w:t xml:space="preserve"> prin intermediul agențiilor executive </w:t>
      </w:r>
    </w:p>
    <w:p>
      <w:pPr>
        <w:pStyle w:val="Text1"/>
        <w:rPr>
          <w:noProof/>
        </w:rPr>
      </w:pPr>
      <w:r>
        <w:rPr>
          <w:rFonts w:ascii="Wingdings" w:hAnsi="Wingdings"/>
          <w:noProof/>
        </w:rPr>
        <w:t>¨</w:t>
      </w:r>
      <w:r>
        <w:rPr>
          <w:i/>
          <w:noProof/>
        </w:rPr>
        <w:t xml:space="preserve"> </w:t>
      </w:r>
      <w:r>
        <w:rPr>
          <w:b/>
          <w:bCs/>
          <w:noProof/>
        </w:rPr>
        <w:t>Gestiune partajată</w:t>
      </w:r>
      <w:r>
        <w:rPr>
          <w:noProof/>
        </w:rPr>
        <w:t xml:space="preserve"> cu statele membre </w:t>
      </w:r>
    </w:p>
    <w:p>
      <w:pPr>
        <w:pStyle w:val="Text1"/>
        <w:rPr>
          <w:noProof/>
        </w:rPr>
      </w:pPr>
      <w:r>
        <w:rPr>
          <w:rFonts w:ascii="Wingdings" w:hAnsi="Wingdings"/>
          <w:noProof/>
        </w:rPr>
        <w:t>¨</w:t>
      </w:r>
      <w:r>
        <w:rPr>
          <w:i/>
          <w:noProof/>
        </w:rPr>
        <w:t xml:space="preserve"> </w:t>
      </w:r>
      <w:r>
        <w:rPr>
          <w:b/>
          <w:bCs/>
          <w:noProof/>
        </w:rPr>
        <w:t>Gestiune indirectă</w:t>
      </w:r>
      <w:r>
        <w:rPr>
          <w:noProof/>
        </w:rPr>
        <w:t>, cu delegarea sarcinilor de execuție bugetară:</w:t>
      </w:r>
    </w:p>
    <w:p>
      <w:pPr>
        <w:pStyle w:val="ListDash2"/>
        <w:rPr>
          <w:noProof/>
        </w:rPr>
      </w:pPr>
      <w:r>
        <w:rPr>
          <w:rFonts w:ascii="Wingdings" w:hAnsi="Wingdings"/>
          <w:noProof/>
        </w:rPr>
        <w:t>¨</w:t>
      </w:r>
      <w:r>
        <w:rPr>
          <w:noProof/>
        </w:rPr>
        <w:t xml:space="preserve"> țărilor terțe sau organismelor pe care le-au desemnat acestea</w:t>
      </w:r>
    </w:p>
    <w:p>
      <w:pPr>
        <w:pStyle w:val="ListDash2"/>
        <w:rPr>
          <w:noProof/>
        </w:rPr>
      </w:pPr>
      <w:r>
        <w:rPr>
          <w:rFonts w:ascii="Wingdings" w:hAnsi="Wingdings"/>
          <w:noProof/>
        </w:rPr>
        <w:t>¨</w:t>
      </w:r>
      <w:r>
        <w:rPr>
          <w:noProof/>
        </w:rPr>
        <w:t xml:space="preserve"> organizațiilor internaționale și agențiilor acestora (a se preciza)</w:t>
      </w:r>
    </w:p>
    <w:p>
      <w:pPr>
        <w:pStyle w:val="ListDash2"/>
        <w:rPr>
          <w:noProof/>
        </w:rPr>
      </w:pPr>
      <w:r>
        <w:rPr>
          <w:rFonts w:ascii="Wingdings" w:hAnsi="Wingdings"/>
          <w:noProof/>
        </w:rPr>
        <w:t>¨</w:t>
      </w:r>
      <w:r>
        <w:rPr>
          <w:noProof/>
        </w:rPr>
        <w:t xml:space="preserve"> Băncii Europene de Investiții și Fondului European de Investiții</w:t>
      </w:r>
    </w:p>
    <w:p>
      <w:pPr>
        <w:pStyle w:val="ListDash2"/>
        <w:rPr>
          <w:noProof/>
        </w:rPr>
      </w:pPr>
      <w:r>
        <w:rPr>
          <w:rFonts w:ascii="Wingdings" w:hAnsi="Wingdings"/>
          <w:noProof/>
        </w:rPr>
        <w:t>¨</w:t>
      </w:r>
      <w:r>
        <w:rPr>
          <w:noProof/>
        </w:rPr>
        <w:t xml:space="preserve"> organismelor menționate la articolele 70 și 71 din Regulamentul financiar</w:t>
      </w:r>
    </w:p>
    <w:p>
      <w:pPr>
        <w:pStyle w:val="ListDash2"/>
        <w:rPr>
          <w:noProof/>
        </w:rPr>
      </w:pPr>
      <w:r>
        <w:rPr>
          <w:rFonts w:ascii="Wingdings" w:hAnsi="Wingdings"/>
          <w:noProof/>
        </w:rPr>
        <w:t>¨</w:t>
      </w:r>
      <w:r>
        <w:rPr>
          <w:noProof/>
        </w:rPr>
        <w:t xml:space="preserve"> organismelor de drept public</w:t>
      </w:r>
    </w:p>
    <w:p>
      <w:pPr>
        <w:pStyle w:val="ListDash2"/>
        <w:rPr>
          <w:noProof/>
        </w:rPr>
      </w:pPr>
      <w:r>
        <w:rPr>
          <w:rFonts w:ascii="Wingdings" w:hAnsi="Wingdings"/>
          <w:noProof/>
        </w:rPr>
        <w:t>¨</w:t>
      </w:r>
      <w:r>
        <w:rPr>
          <w:noProof/>
        </w:rPr>
        <w:t xml:space="preserve"> organismelor de drept privat cu misiune de serviciu public, cu condiția să li se furnizeze garanții financiare adecvate</w:t>
      </w:r>
    </w:p>
    <w:p>
      <w:pPr>
        <w:pStyle w:val="ListDash2"/>
        <w:rPr>
          <w:noProof/>
        </w:rPr>
      </w:pPr>
      <w:r>
        <w:rPr>
          <w:rFonts w:ascii="Wingdings" w:hAnsi="Wingdings"/>
          <w:noProof/>
        </w:rPr>
        <w:t>¨</w:t>
      </w:r>
      <w:r>
        <w:rPr>
          <w:noProof/>
        </w:rPr>
        <w:t xml:space="preserve"> organismelor de drept privat dintr-un stat membru care sunt responsabile cu punerea în aplicare a unui parteneriat public-privat și cărora li se furnizează garanții financiare adecvate</w:t>
      </w:r>
    </w:p>
    <w:p>
      <w:pPr>
        <w:pStyle w:val="ListDash2"/>
        <w:rPr>
          <w:noProof/>
        </w:rPr>
      </w:pPr>
      <w:r>
        <w:rPr>
          <w:rFonts w:ascii="Wingdings" w:hAnsi="Wingdings"/>
          <w:noProof/>
        </w:rPr>
        <w:t>¨</w:t>
      </w:r>
      <w:r>
        <w:rPr>
          <w:noProof/>
        </w:rPr>
        <w:t xml:space="preserve">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pPr>
        <w:pStyle w:val="ListDash2"/>
        <w:rPr>
          <w:noProof/>
        </w:rPr>
      </w:pPr>
      <w:r>
        <w:rPr>
          <w:rFonts w:ascii="Wingdings" w:hAnsi="Wingdings"/>
          <w:noProof/>
        </w:rPr>
        <w:t xml:space="preserve">¨ </w:t>
      </w:r>
      <w:r>
        <w:rPr>
          <w:noProof/>
        </w:rPr>
        <w:t xml:space="preserve"> 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pPr>
        <w:rPr>
          <w:noProof/>
        </w:rPr>
      </w:pPr>
      <w:r>
        <w:rPr>
          <w:noProof/>
        </w:rPr>
        <w:t xml:space="preserve">Observații </w:t>
      </w:r>
    </w:p>
    <w:p>
      <w:pPr>
        <w:pBdr>
          <w:top w:val="single" w:sz="4" w:space="1" w:color="auto"/>
          <w:left w:val="single" w:sz="4" w:space="4" w:color="auto"/>
          <w:bottom w:val="single" w:sz="4" w:space="1" w:color="auto"/>
          <w:right w:val="single" w:sz="4" w:space="4" w:color="auto"/>
        </w:pBdr>
        <w:rPr>
          <w:noProof/>
        </w:rPr>
      </w:pPr>
      <w:r>
        <w:rPr>
          <w:noProof/>
        </w:rPr>
        <w:t>N/A</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81" w:name="_Toc514938041"/>
      <w:bookmarkStart w:id="82" w:name="_Toc520485042"/>
      <w:bookmarkStart w:id="83" w:name="_Toc160804584"/>
      <w:bookmarkStart w:id="84" w:name="_Toc167220276"/>
      <w:bookmarkStart w:id="85" w:name="_Toc177549009"/>
      <w:r>
        <w:rPr>
          <w:noProof/>
        </w:rPr>
        <w:t>2.</w:t>
      </w:r>
      <w:r>
        <w:rPr>
          <w:noProof/>
        </w:rPr>
        <w:tab/>
        <w:t>MĂSURI DE GESTIUNE</w:t>
      </w:r>
      <w:bookmarkEnd w:id="81"/>
      <w:bookmarkEnd w:id="82"/>
      <w:bookmarkEnd w:id="83"/>
      <w:bookmarkEnd w:id="84"/>
      <w:bookmarkEnd w:id="85"/>
      <w:r>
        <w:rPr>
          <w:noProof/>
        </w:rPr>
        <w:t xml:space="preserve"> </w:t>
      </w:r>
    </w:p>
    <w:p>
      <w:pPr>
        <w:pStyle w:val="ManualHeading2"/>
        <w:rPr>
          <w:noProof/>
        </w:rPr>
      </w:pPr>
      <w:bookmarkStart w:id="86" w:name="_Toc514938042"/>
      <w:bookmarkStart w:id="87" w:name="_Toc520485043"/>
      <w:bookmarkStart w:id="88" w:name="_Toc160804585"/>
      <w:bookmarkStart w:id="89" w:name="_Toc167220277"/>
      <w:bookmarkStart w:id="90" w:name="_Toc177549010"/>
      <w:r>
        <w:rPr>
          <w:noProof/>
        </w:rPr>
        <w:t>2.1.</w:t>
      </w:r>
      <w:r>
        <w:rPr>
          <w:noProof/>
        </w:rPr>
        <w:tab/>
        <w:t>Dispoziții în materie de monitorizare și de raportare</w:t>
      </w:r>
      <w:bookmarkEnd w:id="86"/>
      <w:bookmarkEnd w:id="87"/>
      <w:bookmarkEnd w:id="88"/>
      <w:bookmarkEnd w:id="89"/>
      <w:bookmarkEnd w:id="90"/>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Regimul CTA funcționează în cadrul sistemului vamal și tarifar mai larg al UE de suspendare, iar etapele administrative necesare pentru ca un operator din sectorul prelucrării să beneficieze de CTA nu sunt separate de conformitatea generală în materie de importuri. Regulamentul privind CTA nu stabilește în sine norme specifice de monitorizare sau de raportare.</w:t>
      </w:r>
    </w:p>
    <w:p>
      <w:pPr>
        <w:pStyle w:val="ManualHeading2"/>
        <w:rPr>
          <w:bCs/>
          <w:noProof/>
          <w:szCs w:val="24"/>
        </w:rPr>
      </w:pPr>
      <w:bookmarkStart w:id="91" w:name="_Toc514938045"/>
      <w:bookmarkStart w:id="92" w:name="_Toc520485044"/>
      <w:bookmarkStart w:id="93" w:name="_Toc160804586"/>
      <w:bookmarkStart w:id="94" w:name="_Toc167220278"/>
      <w:bookmarkStart w:id="95" w:name="_Toc177549011"/>
      <w:r>
        <w:rPr>
          <w:noProof/>
        </w:rPr>
        <w:t>2.2.</w:t>
      </w:r>
      <w:r>
        <w:rPr>
          <w:noProof/>
        </w:rPr>
        <w:tab/>
        <w:t>Sistemul (sistemele) de gestiune și de control</w:t>
      </w:r>
      <w:bookmarkEnd w:id="91"/>
      <w:bookmarkEnd w:id="92"/>
      <w:bookmarkEnd w:id="93"/>
      <w:bookmarkEnd w:id="94"/>
      <w:bookmarkEnd w:id="95"/>
      <w:r>
        <w:rPr>
          <w:noProof/>
        </w:rPr>
        <w:t xml:space="preserve"> </w:t>
      </w:r>
    </w:p>
    <w:p>
      <w:pPr>
        <w:pStyle w:val="ManualHeading3"/>
        <w:rPr>
          <w:noProof/>
        </w:rPr>
      </w:pPr>
      <w:bookmarkStart w:id="96" w:name="_Toc514938046"/>
      <w:bookmarkStart w:id="97" w:name="_Toc520485045"/>
      <w:bookmarkStart w:id="98" w:name="_Toc160804587"/>
      <w:bookmarkStart w:id="99" w:name="_Toc167220279"/>
      <w:bookmarkStart w:id="100" w:name="_Toc177549012"/>
      <w:r>
        <w:rPr>
          <w:noProof/>
        </w:rPr>
        <w:t>2.2.1.</w:t>
      </w:r>
      <w:r>
        <w:rPr>
          <w:noProof/>
        </w:rPr>
        <w:tab/>
        <w:t>Justificarea metodei (metodelor) de execuție bugetară, a mecanismului (mecanismelor) de punere în aplicare a finanțării, a modalităților de plată și a strategiei de control propuse</w:t>
      </w:r>
      <w:bookmarkEnd w:id="96"/>
      <w:bookmarkEnd w:id="97"/>
      <w:bookmarkEnd w:id="98"/>
      <w:bookmarkEnd w:id="99"/>
      <w:bookmarkEnd w:id="100"/>
    </w:p>
    <w:p>
      <w:pPr>
        <w:pStyle w:val="Text1"/>
        <w:pBdr>
          <w:top w:val="single" w:sz="4" w:space="1" w:color="auto"/>
          <w:left w:val="single" w:sz="4" w:space="4" w:color="auto"/>
          <w:bottom w:val="single" w:sz="4" w:space="1" w:color="auto"/>
          <w:right w:val="single" w:sz="4" w:space="4" w:color="auto"/>
        </w:pBdr>
        <w:rPr>
          <w:noProof/>
        </w:rPr>
      </w:pPr>
      <w:r>
        <w:rPr>
          <w:noProof/>
        </w:rPr>
        <w:t>N/A</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bCs/>
          <w:noProof/>
          <w:szCs w:val="24"/>
        </w:rPr>
      </w:pPr>
      <w:bookmarkStart w:id="101" w:name="_Toc514938047"/>
      <w:bookmarkStart w:id="102" w:name="_Toc520485046"/>
      <w:bookmarkStart w:id="103" w:name="_Toc160804588"/>
      <w:bookmarkStart w:id="104" w:name="_Toc167220280"/>
      <w:bookmarkStart w:id="105" w:name="_Toc177549013"/>
      <w:r>
        <w:rPr>
          <w:noProof/>
        </w:rPr>
        <w:t>2.2.2.</w:t>
      </w:r>
      <w:r>
        <w:rPr>
          <w:noProof/>
        </w:rPr>
        <w:tab/>
        <w:t>Informații privind riscurile identificate și sistemul (sistemele) de control intern instituit(e) pentru atenuarea lor</w:t>
      </w:r>
      <w:bookmarkEnd w:id="101"/>
      <w:bookmarkEnd w:id="102"/>
      <w:bookmarkEnd w:id="103"/>
      <w:bookmarkEnd w:id="104"/>
      <w:bookmarkEnd w:id="105"/>
    </w:p>
    <w:p>
      <w:pPr>
        <w:pStyle w:val="Text1"/>
        <w:pBdr>
          <w:top w:val="single" w:sz="4" w:space="1" w:color="auto"/>
          <w:left w:val="single" w:sz="4" w:space="4" w:color="auto"/>
          <w:bottom w:val="single" w:sz="4" w:space="1" w:color="auto"/>
          <w:right w:val="single" w:sz="4" w:space="4" w:color="auto"/>
        </w:pBdr>
        <w:rPr>
          <w:noProof/>
        </w:rPr>
      </w:pPr>
      <w:r>
        <w:rPr>
          <w:noProof/>
        </w:rPr>
        <w:t>N/A</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106" w:name="_Toc514938048"/>
      <w:bookmarkStart w:id="107" w:name="_Toc520485047"/>
      <w:bookmarkStart w:id="108" w:name="_Toc160804589"/>
      <w:bookmarkStart w:id="109" w:name="_Toc167220281"/>
      <w:bookmarkStart w:id="110" w:name="_Toc177549014"/>
      <w:r>
        <w:rPr>
          <w:noProof/>
        </w:rPr>
        <w:t>2.2.3.</w:t>
      </w:r>
      <w:r>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106"/>
      <w:bookmarkEnd w:id="107"/>
      <w:bookmarkEnd w:id="108"/>
      <w:bookmarkEnd w:id="109"/>
      <w:bookmarkEnd w:id="110"/>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N/A</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bookmarkStart w:id="111" w:name="_Toc514938049"/>
      <w:bookmarkStart w:id="112" w:name="_Toc520485048"/>
      <w:bookmarkStart w:id="113" w:name="_Toc160804590"/>
      <w:bookmarkStart w:id="114" w:name="_Toc167220282"/>
      <w:bookmarkStart w:id="115" w:name="_Toc177549015"/>
      <w:r>
        <w:rPr>
          <w:noProof/>
        </w:rPr>
        <w:t>2.3.</w:t>
      </w:r>
      <w:r>
        <w:rPr>
          <w:noProof/>
        </w:rPr>
        <w:tab/>
        <w:t>Măsuri de prevenire a fraudelor și a neregulilor</w:t>
      </w:r>
      <w:bookmarkEnd w:id="111"/>
      <w:bookmarkEnd w:id="112"/>
      <w:bookmarkEnd w:id="113"/>
      <w:bookmarkEnd w:id="114"/>
      <w:bookmarkEnd w:id="115"/>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N/A</w:t>
      </w:r>
    </w:p>
    <w:p>
      <w:pPr>
        <w:pStyle w:val="Text1"/>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116" w:name="_Toc514938050"/>
      <w:bookmarkStart w:id="117" w:name="_Toc520485049"/>
      <w:bookmarkStart w:id="118" w:name="_Toc160804591"/>
      <w:bookmarkStart w:id="119" w:name="_Toc167220283"/>
      <w:bookmarkStart w:id="120" w:name="_Toc177549016"/>
      <w:r>
        <w:rPr>
          <w:noProof/>
        </w:rPr>
        <w:t>3.</w:t>
      </w:r>
      <w:r>
        <w:rPr>
          <w:noProof/>
        </w:rPr>
        <w:tab/>
        <w:t>IMPACTUL FINANCIAR ESTIMAT AL PROPUNERII/INIȚIATIVEI</w:t>
      </w:r>
      <w:bookmarkEnd w:id="116"/>
      <w:bookmarkEnd w:id="117"/>
      <w:bookmarkEnd w:id="118"/>
      <w:bookmarkEnd w:id="119"/>
      <w:bookmarkEnd w:id="120"/>
      <w:r>
        <w:rPr>
          <w:noProof/>
        </w:rPr>
        <w:t xml:space="preserve"> </w:t>
      </w:r>
    </w:p>
    <w:p>
      <w:pPr>
        <w:pStyle w:val="ManualHeading2"/>
        <w:rPr>
          <w:noProof/>
        </w:rPr>
      </w:pPr>
      <w:bookmarkStart w:id="121" w:name="_Toc514938051"/>
      <w:bookmarkStart w:id="122" w:name="_Toc520485050"/>
      <w:bookmarkStart w:id="123" w:name="_Toc160804592"/>
      <w:bookmarkStart w:id="124" w:name="_Toc167220284"/>
      <w:bookmarkStart w:id="125" w:name="_Toc177549017"/>
      <w:r>
        <w:rPr>
          <w:noProof/>
        </w:rPr>
        <w:t>3.1.</w:t>
      </w:r>
      <w:r>
        <w:rPr>
          <w:noProof/>
        </w:rPr>
        <w:tab/>
        <w:t>Rubrica (rubricile) din cadrul financiar multianual și linia (liniile) bugetară (bugetare) de cheltuieli afectată (afectate)</w:t>
      </w:r>
      <w:bookmarkEnd w:id="121"/>
      <w:bookmarkEnd w:id="122"/>
      <w:bookmarkEnd w:id="123"/>
      <w:bookmarkEnd w:id="124"/>
      <w:bookmarkEnd w:id="125"/>
      <w:r>
        <w:rPr>
          <w:noProof/>
        </w:rPr>
        <w:t xml:space="preserve"> </w:t>
      </w:r>
    </w:p>
    <w:bookmarkStart w:id="126" w:name="_Hlk157691648"/>
    <w:p>
      <w:pPr>
        <w:pStyle w:val="Text1"/>
        <w:rPr>
          <w:noProof/>
        </w:rPr>
      </w:pPr>
      <w:r>
        <w:rPr>
          <w:noProof/>
        </w:rPr>
        <w:fldChar w:fldCharType="begin"/>
      </w:r>
      <w:r>
        <w:rPr>
          <w:noProof/>
        </w:rPr>
        <w:instrText>HYPERLINK "https://myintracomm.ec.europa.eu/corp/budget/financial-rules/budget-implementation/Pages/financial-statement.aspx"</w:instrText>
      </w:r>
      <w:r>
        <w:rPr>
          <w:noProof/>
        </w:rPr>
        <w:fldChar w:fldCharType="separate"/>
      </w:r>
      <w:r>
        <w:rPr>
          <w:noProof/>
        </w:rPr>
        <w:fldChar w:fldCharType="end"/>
      </w:r>
      <w:bookmarkEnd w:id="126"/>
    </w:p>
    <w:p>
      <w:pPr>
        <w:pStyle w:val="ListBullet1"/>
        <w:rPr>
          <w:noProof/>
        </w:rPr>
      </w:pPr>
      <w:r>
        <w:rPr>
          <w:noProof/>
        </w:rPr>
        <w:t xml:space="preserve">Linii bugetare existente </w:t>
      </w:r>
    </w:p>
    <w:p>
      <w:pPr>
        <w:pStyle w:val="Text1"/>
        <w:rPr>
          <w:i/>
          <w:noProof/>
        </w:rPr>
      </w:pPr>
      <w:r>
        <w:rPr>
          <w:i/>
          <w:noProof/>
        </w:rPr>
        <w:t>În ordinea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Rubrica din cadrul financiar multianual</w:t>
            </w:r>
          </w:p>
        </w:tc>
        <w:tc>
          <w:tcPr>
            <w:tcW w:w="4002" w:type="dxa"/>
            <w:vAlign w:val="center"/>
          </w:tcPr>
          <w:p>
            <w:pPr>
              <w:spacing w:before="60" w:after="60"/>
              <w:jc w:val="center"/>
              <w:rPr>
                <w:noProof/>
              </w:rPr>
            </w:pPr>
            <w:r>
              <w:rPr>
                <w:noProof/>
                <w:sz w:val="20"/>
              </w:rPr>
              <w:t>Linia bugetară</w:t>
            </w:r>
          </w:p>
        </w:tc>
        <w:tc>
          <w:tcPr>
            <w:tcW w:w="1092" w:type="dxa"/>
            <w:vAlign w:val="center"/>
          </w:tcPr>
          <w:p>
            <w:pPr>
              <w:spacing w:before="60" w:after="60"/>
              <w:jc w:val="center"/>
              <w:rPr>
                <w:noProof/>
              </w:rPr>
            </w:pPr>
            <w:r>
              <w:rPr>
                <w:noProof/>
                <w:sz w:val="18"/>
              </w:rPr>
              <w:t>Tipul de cheltuieli</w:t>
            </w:r>
          </w:p>
        </w:tc>
        <w:tc>
          <w:tcPr>
            <w:tcW w:w="4487" w:type="dxa"/>
            <w:gridSpan w:val="4"/>
            <w:vAlign w:val="center"/>
          </w:tcPr>
          <w:p>
            <w:pPr>
              <w:spacing w:before="60" w:after="60"/>
              <w:jc w:val="center"/>
              <w:rPr>
                <w:noProof/>
              </w:rPr>
            </w:pPr>
            <w:r>
              <w:rPr>
                <w:noProof/>
                <w:sz w:val="20"/>
              </w:rPr>
              <w:t xml:space="preserve">Contribuție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Numărul </w:t>
            </w:r>
            <w:r>
              <w:rPr>
                <w:noProof/>
              </w:rPr>
              <w:t xml:space="preserve"> </w:t>
            </w:r>
            <w:r>
              <w:rPr>
                <w:noProof/>
              </w:rPr>
              <w:br/>
            </w:r>
          </w:p>
        </w:tc>
        <w:tc>
          <w:tcPr>
            <w:tcW w:w="1092" w:type="dxa"/>
            <w:vAlign w:val="center"/>
          </w:tcPr>
          <w:p>
            <w:pPr>
              <w:jc w:val="center"/>
              <w:rPr>
                <w:noProof/>
              </w:rPr>
            </w:pPr>
            <w:r>
              <w:rPr>
                <w:noProof/>
                <w:sz w:val="18"/>
              </w:rPr>
              <w:t>Dif./Nedif.</w:t>
            </w:r>
            <w:r>
              <w:rPr>
                <w:rStyle w:val="FootnoteReference"/>
                <w:noProof/>
                <w:sz w:val="18"/>
              </w:rPr>
              <w:footnoteReference w:id="4"/>
            </w:r>
          </w:p>
        </w:tc>
        <w:tc>
          <w:tcPr>
            <w:tcW w:w="966" w:type="dxa"/>
            <w:vAlign w:val="center"/>
          </w:tcPr>
          <w:p>
            <w:pPr>
              <w:jc w:val="center"/>
              <w:rPr>
                <w:b/>
                <w:noProof/>
                <w:sz w:val="18"/>
              </w:rPr>
            </w:pPr>
            <w:r>
              <w:rPr>
                <w:noProof/>
                <w:sz w:val="18"/>
              </w:rPr>
              <w:t>din partea țărilor AELS</w:t>
            </w:r>
            <w:r>
              <w:rPr>
                <w:rStyle w:val="FootnoteReference"/>
                <w:noProof/>
                <w:sz w:val="18"/>
              </w:rPr>
              <w:footnoteReference w:id="5"/>
            </w:r>
          </w:p>
        </w:tc>
        <w:tc>
          <w:tcPr>
            <w:tcW w:w="1092" w:type="dxa"/>
            <w:vAlign w:val="center"/>
          </w:tcPr>
          <w:p>
            <w:pPr>
              <w:jc w:val="center"/>
              <w:rPr>
                <w:noProof/>
                <w:sz w:val="18"/>
              </w:rPr>
            </w:pPr>
            <w:r>
              <w:rPr>
                <w:noProof/>
                <w:sz w:val="18"/>
              </w:rPr>
              <w:t>din partea țărilor candidate și potențial candidate</w:t>
            </w:r>
            <w:r>
              <w:rPr>
                <w:rStyle w:val="FootnoteReference"/>
                <w:noProof/>
                <w:sz w:val="18"/>
              </w:rPr>
              <w:footnoteReference w:id="6"/>
            </w:r>
          </w:p>
        </w:tc>
        <w:tc>
          <w:tcPr>
            <w:tcW w:w="966" w:type="dxa"/>
            <w:vAlign w:val="center"/>
          </w:tcPr>
          <w:p>
            <w:pPr>
              <w:jc w:val="center"/>
              <w:rPr>
                <w:noProof/>
                <w:sz w:val="18"/>
              </w:rPr>
            </w:pPr>
            <w:r>
              <w:rPr>
                <w:noProof/>
                <w:sz w:val="18"/>
              </w:rPr>
              <w:t>din partea altor țări terțe</w:t>
            </w:r>
          </w:p>
        </w:tc>
        <w:tc>
          <w:tcPr>
            <w:tcW w:w="1463" w:type="dxa"/>
            <w:vAlign w:val="center"/>
          </w:tcPr>
          <w:p>
            <w:pPr>
              <w:jc w:val="center"/>
              <w:rPr>
                <w:noProof/>
              </w:rPr>
            </w:pPr>
            <w:r>
              <w:rPr>
                <w:noProof/>
                <w:sz w:val="18"/>
              </w:rPr>
              <w:t>alte venituri alocate</w:t>
            </w:r>
          </w:p>
        </w:tc>
      </w:tr>
      <w:tr>
        <w:trPr>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[XX.YY.YY.YY]</w:t>
            </w:r>
          </w:p>
          <w:p>
            <w:pPr>
              <w:spacing w:after="60"/>
              <w:rPr>
                <w:noProof/>
              </w:rPr>
            </w:pPr>
          </w:p>
        </w:tc>
        <w:tc>
          <w:tcPr>
            <w:tcW w:w="1092" w:type="dxa"/>
            <w:vAlign w:val="center"/>
          </w:tcPr>
          <w:p>
            <w:pPr>
              <w:jc w:val="center"/>
              <w:rPr>
                <w:noProof/>
                <w:color w:val="0000FF"/>
              </w:rPr>
            </w:pPr>
            <w:r>
              <w:rPr>
                <w:noProof/>
                <w:sz w:val="22"/>
              </w:rPr>
              <w:t>Dif./Nedif.</w:t>
            </w:r>
          </w:p>
        </w:tc>
        <w:tc>
          <w:tcPr>
            <w:tcW w:w="966" w:type="dxa"/>
            <w:vAlign w:val="center"/>
          </w:tcPr>
          <w:p>
            <w:pPr>
              <w:jc w:val="center"/>
              <w:rPr>
                <w:noProof/>
                <w:sz w:val="20"/>
                <w:szCs w:val="20"/>
              </w:rPr>
            </w:pPr>
            <w:r>
              <w:rPr>
                <w:noProof/>
                <w:sz w:val="20"/>
              </w:rPr>
              <w:t>DA/NU</w:t>
            </w:r>
          </w:p>
        </w:tc>
        <w:tc>
          <w:tcPr>
            <w:tcW w:w="1092" w:type="dxa"/>
            <w:vAlign w:val="center"/>
          </w:tcPr>
          <w:p>
            <w:pPr>
              <w:jc w:val="center"/>
              <w:rPr>
                <w:noProof/>
                <w:sz w:val="20"/>
                <w:szCs w:val="20"/>
              </w:rPr>
            </w:pPr>
            <w:r>
              <w:rPr>
                <w:noProof/>
                <w:sz w:val="20"/>
              </w:rPr>
              <w:t>DA/NU</w:t>
            </w:r>
          </w:p>
        </w:tc>
        <w:tc>
          <w:tcPr>
            <w:tcW w:w="966" w:type="dxa"/>
            <w:vAlign w:val="center"/>
          </w:tcPr>
          <w:p>
            <w:pPr>
              <w:jc w:val="center"/>
              <w:rPr>
                <w:noProof/>
                <w:sz w:val="20"/>
                <w:szCs w:val="20"/>
              </w:rPr>
            </w:pPr>
            <w:r>
              <w:rPr>
                <w:noProof/>
                <w:sz w:val="20"/>
              </w:rPr>
              <w:t>DA/NU</w:t>
            </w:r>
          </w:p>
        </w:tc>
        <w:tc>
          <w:tcPr>
            <w:tcW w:w="1463" w:type="dxa"/>
            <w:vAlign w:val="center"/>
          </w:tcPr>
          <w:p>
            <w:pPr>
              <w:jc w:val="center"/>
              <w:rPr>
                <w:noProof/>
                <w:sz w:val="20"/>
                <w:szCs w:val="20"/>
              </w:rPr>
            </w:pPr>
            <w:r>
              <w:rPr>
                <w:noProof/>
                <w:sz w:val="20"/>
              </w:rPr>
              <w:t>DA/NU</w:t>
            </w:r>
          </w:p>
        </w:tc>
      </w:tr>
      <w:tr>
        <w:trPr>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[XX.YY.YY.YY]</w:t>
            </w:r>
          </w:p>
          <w:p>
            <w:pPr>
              <w:spacing w:after="60"/>
              <w:rPr>
                <w:noProof/>
              </w:rPr>
            </w:pPr>
          </w:p>
        </w:tc>
        <w:tc>
          <w:tcPr>
            <w:tcW w:w="1092" w:type="dxa"/>
            <w:vAlign w:val="center"/>
          </w:tcPr>
          <w:p>
            <w:pPr>
              <w:jc w:val="center"/>
              <w:rPr>
                <w:noProof/>
                <w:color w:val="0000FF"/>
              </w:rPr>
            </w:pPr>
            <w:r>
              <w:rPr>
                <w:noProof/>
                <w:sz w:val="22"/>
              </w:rPr>
              <w:t>Dif./Nedif.</w:t>
            </w:r>
          </w:p>
        </w:tc>
        <w:tc>
          <w:tcPr>
            <w:tcW w:w="966" w:type="dxa"/>
            <w:vAlign w:val="center"/>
          </w:tcPr>
          <w:p>
            <w:pPr>
              <w:jc w:val="center"/>
              <w:rPr>
                <w:noProof/>
                <w:sz w:val="20"/>
                <w:szCs w:val="20"/>
              </w:rPr>
            </w:pPr>
            <w:r>
              <w:rPr>
                <w:noProof/>
                <w:sz w:val="20"/>
              </w:rPr>
              <w:t>DA/NU</w:t>
            </w:r>
          </w:p>
        </w:tc>
        <w:tc>
          <w:tcPr>
            <w:tcW w:w="1092" w:type="dxa"/>
            <w:vAlign w:val="center"/>
          </w:tcPr>
          <w:p>
            <w:pPr>
              <w:jc w:val="center"/>
              <w:rPr>
                <w:noProof/>
                <w:sz w:val="20"/>
                <w:szCs w:val="20"/>
              </w:rPr>
            </w:pPr>
            <w:r>
              <w:rPr>
                <w:noProof/>
                <w:sz w:val="20"/>
              </w:rPr>
              <w:t>DA/NU</w:t>
            </w:r>
          </w:p>
        </w:tc>
        <w:tc>
          <w:tcPr>
            <w:tcW w:w="966" w:type="dxa"/>
            <w:vAlign w:val="center"/>
          </w:tcPr>
          <w:p>
            <w:pPr>
              <w:jc w:val="center"/>
              <w:rPr>
                <w:noProof/>
                <w:sz w:val="20"/>
                <w:szCs w:val="20"/>
              </w:rPr>
            </w:pPr>
            <w:r>
              <w:rPr>
                <w:noProof/>
                <w:sz w:val="20"/>
              </w:rPr>
              <w:t>DA/NU</w:t>
            </w:r>
          </w:p>
        </w:tc>
        <w:tc>
          <w:tcPr>
            <w:tcW w:w="1463" w:type="dxa"/>
            <w:vAlign w:val="center"/>
          </w:tcPr>
          <w:p>
            <w:pPr>
              <w:jc w:val="center"/>
              <w:rPr>
                <w:noProof/>
                <w:sz w:val="20"/>
                <w:szCs w:val="20"/>
              </w:rPr>
            </w:pPr>
            <w:r>
              <w:rPr>
                <w:noProof/>
                <w:sz w:val="20"/>
              </w:rPr>
              <w:t>DA/NU</w:t>
            </w:r>
          </w:p>
        </w:tc>
      </w:tr>
      <w:tr>
        <w:trPr>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[XX.YY.YY.YY]</w:t>
            </w:r>
          </w:p>
          <w:p>
            <w:pPr>
              <w:spacing w:after="60"/>
              <w:rPr>
                <w:noProof/>
              </w:rPr>
            </w:pPr>
          </w:p>
        </w:tc>
        <w:tc>
          <w:tcPr>
            <w:tcW w:w="1092" w:type="dxa"/>
            <w:vAlign w:val="center"/>
          </w:tcPr>
          <w:p>
            <w:pPr>
              <w:jc w:val="center"/>
              <w:rPr>
                <w:noProof/>
                <w:color w:val="0000FF"/>
              </w:rPr>
            </w:pPr>
            <w:r>
              <w:rPr>
                <w:noProof/>
                <w:sz w:val="22"/>
              </w:rPr>
              <w:t>Dif./Nedif.</w:t>
            </w:r>
          </w:p>
        </w:tc>
        <w:tc>
          <w:tcPr>
            <w:tcW w:w="966" w:type="dxa"/>
            <w:vAlign w:val="center"/>
          </w:tcPr>
          <w:p>
            <w:pPr>
              <w:jc w:val="center"/>
              <w:rPr>
                <w:noProof/>
                <w:sz w:val="20"/>
                <w:szCs w:val="20"/>
              </w:rPr>
            </w:pPr>
            <w:r>
              <w:rPr>
                <w:noProof/>
                <w:sz w:val="20"/>
              </w:rPr>
              <w:t>DA/NU</w:t>
            </w:r>
          </w:p>
        </w:tc>
        <w:tc>
          <w:tcPr>
            <w:tcW w:w="1092" w:type="dxa"/>
            <w:vAlign w:val="center"/>
          </w:tcPr>
          <w:p>
            <w:pPr>
              <w:jc w:val="center"/>
              <w:rPr>
                <w:noProof/>
                <w:sz w:val="20"/>
                <w:szCs w:val="20"/>
              </w:rPr>
            </w:pPr>
            <w:r>
              <w:rPr>
                <w:noProof/>
                <w:sz w:val="20"/>
              </w:rPr>
              <w:t>DA/NU</w:t>
            </w:r>
          </w:p>
        </w:tc>
        <w:tc>
          <w:tcPr>
            <w:tcW w:w="966" w:type="dxa"/>
            <w:vAlign w:val="center"/>
          </w:tcPr>
          <w:p>
            <w:pPr>
              <w:jc w:val="center"/>
              <w:rPr>
                <w:noProof/>
                <w:sz w:val="20"/>
                <w:szCs w:val="20"/>
              </w:rPr>
            </w:pPr>
            <w:r>
              <w:rPr>
                <w:noProof/>
                <w:sz w:val="20"/>
              </w:rPr>
              <w:t>DA/NU</w:t>
            </w:r>
          </w:p>
        </w:tc>
        <w:tc>
          <w:tcPr>
            <w:tcW w:w="1463" w:type="dxa"/>
            <w:vAlign w:val="center"/>
          </w:tcPr>
          <w:p>
            <w:pPr>
              <w:jc w:val="center"/>
              <w:rPr>
                <w:noProof/>
                <w:sz w:val="20"/>
                <w:szCs w:val="20"/>
              </w:rPr>
            </w:pPr>
            <w:r>
              <w:rPr>
                <w:noProof/>
                <w:sz w:val="20"/>
              </w:rPr>
              <w:t>DA/NU</w:t>
            </w:r>
          </w:p>
        </w:tc>
      </w:tr>
    </w:tbl>
    <w:p>
      <w:pPr>
        <w:pStyle w:val="ListBullet1"/>
        <w:rPr>
          <w:noProof/>
        </w:rPr>
      </w:pPr>
      <w:r>
        <w:rPr>
          <w:noProof/>
        </w:rPr>
        <w:t xml:space="preserve">Noile linii bugetare solicitate </w:t>
      </w:r>
    </w:p>
    <w:p>
      <w:pPr>
        <w:pStyle w:val="Text1"/>
        <w:rPr>
          <w:i/>
          <w:noProof/>
          <w:sz w:val="20"/>
        </w:rPr>
      </w:pPr>
      <w:r>
        <w:rPr>
          <w:i/>
          <w:noProof/>
        </w:rPr>
        <w:t>În ordinea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80" w:type="dxa"/>
            <w:vMerge w:val="restart"/>
            <w:vAlign w:val="center"/>
          </w:tcPr>
          <w:p>
            <w:pPr>
              <w:spacing w:before="60" w:after="60"/>
              <w:jc w:val="center"/>
              <w:rPr>
                <w:noProof/>
                <w:sz w:val="18"/>
                <w:szCs w:val="18"/>
              </w:rPr>
            </w:pPr>
            <w:r>
              <w:rPr>
                <w:noProof/>
                <w:sz w:val="18"/>
              </w:rPr>
              <w:t>Rubrica din cadrul financiar multianual</w:t>
            </w:r>
          </w:p>
        </w:tc>
        <w:tc>
          <w:tcPr>
            <w:tcW w:w="3960" w:type="dxa"/>
            <w:vAlign w:val="center"/>
          </w:tcPr>
          <w:p>
            <w:pPr>
              <w:spacing w:before="60" w:after="60"/>
              <w:jc w:val="center"/>
              <w:rPr>
                <w:noProof/>
              </w:rPr>
            </w:pPr>
            <w:r>
              <w:rPr>
                <w:noProof/>
                <w:sz w:val="20"/>
              </w:rPr>
              <w:t>Linia bugetară</w:t>
            </w:r>
          </w:p>
        </w:tc>
        <w:tc>
          <w:tcPr>
            <w:tcW w:w="1080" w:type="dxa"/>
            <w:vAlign w:val="center"/>
          </w:tcPr>
          <w:p>
            <w:pPr>
              <w:spacing w:before="60" w:after="60"/>
              <w:jc w:val="center"/>
              <w:rPr>
                <w:noProof/>
              </w:rPr>
            </w:pPr>
            <w:r>
              <w:rPr>
                <w:noProof/>
                <w:sz w:val="18"/>
              </w:rPr>
              <w:t>Tipul de cheltuieli</w:t>
            </w:r>
          </w:p>
        </w:tc>
        <w:tc>
          <w:tcPr>
            <w:tcW w:w="4440" w:type="dxa"/>
            <w:gridSpan w:val="4"/>
            <w:vAlign w:val="center"/>
          </w:tcPr>
          <w:p>
            <w:pPr>
              <w:spacing w:before="60" w:after="60"/>
              <w:jc w:val="center"/>
              <w:rPr>
                <w:noProof/>
              </w:rPr>
            </w:pPr>
            <w:r>
              <w:rPr>
                <w:noProof/>
                <w:sz w:val="20"/>
              </w:rPr>
              <w:t xml:space="preserve">Contribuție </w:t>
            </w:r>
          </w:p>
        </w:tc>
      </w:tr>
      <w:tr>
        <w:trPr>
          <w:cantSplit/>
          <w:jc w:val="center"/>
        </w:trPr>
        <w:tc>
          <w:tcPr>
            <w:tcW w:w="1080" w:type="dxa"/>
            <w:vMerge/>
            <w:vAlign w:val="center"/>
          </w:tcPr>
          <w:p>
            <w:pPr>
              <w:jc w:val="center"/>
              <w:rPr>
                <w:noProof/>
              </w:rPr>
            </w:pPr>
          </w:p>
        </w:tc>
        <w:tc>
          <w:tcPr>
            <w:tcW w:w="3960" w:type="dxa"/>
            <w:vAlign w:val="center"/>
          </w:tcPr>
          <w:p>
            <w:pPr>
              <w:rPr>
                <w:noProof/>
              </w:rPr>
            </w:pPr>
            <w:r>
              <w:rPr>
                <w:noProof/>
                <w:sz w:val="20"/>
              </w:rPr>
              <w:t xml:space="preserve">Numărul </w:t>
            </w:r>
            <w:r>
              <w:rPr>
                <w:noProof/>
              </w:rPr>
              <w:t xml:space="preserve"> </w:t>
            </w:r>
            <w:r>
              <w:rPr>
                <w:noProof/>
              </w:rPr>
              <w:br/>
            </w:r>
          </w:p>
        </w:tc>
        <w:tc>
          <w:tcPr>
            <w:tcW w:w="1080" w:type="dxa"/>
            <w:vAlign w:val="center"/>
          </w:tcPr>
          <w:p>
            <w:pPr>
              <w:jc w:val="center"/>
              <w:rPr>
                <w:noProof/>
              </w:rPr>
            </w:pPr>
            <w:r>
              <w:rPr>
                <w:noProof/>
                <w:sz w:val="18"/>
              </w:rPr>
              <w:t>Dif./Nedif.</w:t>
            </w:r>
          </w:p>
        </w:tc>
        <w:tc>
          <w:tcPr>
            <w:tcW w:w="956" w:type="dxa"/>
            <w:vAlign w:val="center"/>
          </w:tcPr>
          <w:p>
            <w:pPr>
              <w:jc w:val="center"/>
              <w:rPr>
                <w:noProof/>
                <w:sz w:val="18"/>
              </w:rPr>
            </w:pPr>
            <w:r>
              <w:rPr>
                <w:noProof/>
                <w:sz w:val="18"/>
              </w:rPr>
              <w:t>din partea țărilor AELS</w:t>
            </w:r>
          </w:p>
        </w:tc>
        <w:tc>
          <w:tcPr>
            <w:tcW w:w="1080" w:type="dxa"/>
            <w:vAlign w:val="center"/>
          </w:tcPr>
          <w:p>
            <w:pPr>
              <w:jc w:val="center"/>
              <w:rPr>
                <w:noProof/>
                <w:sz w:val="18"/>
              </w:rPr>
            </w:pPr>
            <w:r>
              <w:rPr>
                <w:noProof/>
                <w:sz w:val="18"/>
              </w:rPr>
              <w:t>din partea țărilor candidate și potențial candidate</w:t>
            </w:r>
          </w:p>
        </w:tc>
        <w:tc>
          <w:tcPr>
            <w:tcW w:w="956" w:type="dxa"/>
            <w:vAlign w:val="center"/>
          </w:tcPr>
          <w:p>
            <w:pPr>
              <w:jc w:val="center"/>
              <w:rPr>
                <w:noProof/>
                <w:sz w:val="18"/>
              </w:rPr>
            </w:pPr>
            <w:r>
              <w:rPr>
                <w:noProof/>
                <w:sz w:val="18"/>
              </w:rPr>
              <w:t>din partea altor țări terțe</w:t>
            </w:r>
          </w:p>
        </w:tc>
        <w:tc>
          <w:tcPr>
            <w:tcW w:w="1448" w:type="dxa"/>
            <w:vAlign w:val="center"/>
          </w:tcPr>
          <w:p>
            <w:pPr>
              <w:jc w:val="center"/>
              <w:rPr>
                <w:noProof/>
              </w:rPr>
            </w:pPr>
            <w:r>
              <w:rPr>
                <w:noProof/>
                <w:sz w:val="18"/>
              </w:rPr>
              <w:t xml:space="preserve">alte venituri alocate </w:t>
            </w:r>
          </w:p>
        </w:tc>
      </w:tr>
      <w:tr>
        <w:trPr>
          <w:cantSplit/>
          <w:jc w:val="center"/>
        </w:trP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rPr>
            </w:pPr>
          </w:p>
        </w:tc>
        <w:tc>
          <w:tcPr>
            <w:tcW w:w="1080" w:type="dxa"/>
            <w:vAlign w:val="center"/>
          </w:tcPr>
          <w:p>
            <w:pPr>
              <w:jc w:val="center"/>
              <w:rPr>
                <w:noProof/>
                <w:color w:val="0000FF"/>
              </w:rPr>
            </w:pPr>
            <w:r>
              <w:rPr>
                <w:noProof/>
                <w:sz w:val="22"/>
              </w:rPr>
              <w:t>Dif./Nedif.</w:t>
            </w:r>
          </w:p>
        </w:tc>
        <w:tc>
          <w:tcPr>
            <w:tcW w:w="956" w:type="dxa"/>
            <w:vAlign w:val="center"/>
          </w:tcPr>
          <w:p>
            <w:pPr>
              <w:jc w:val="center"/>
              <w:rPr>
                <w:noProof/>
                <w:sz w:val="20"/>
                <w:szCs w:val="20"/>
              </w:rPr>
            </w:pPr>
            <w:r>
              <w:rPr>
                <w:noProof/>
                <w:sz w:val="20"/>
              </w:rPr>
              <w:t>DA/NU</w:t>
            </w:r>
          </w:p>
        </w:tc>
        <w:tc>
          <w:tcPr>
            <w:tcW w:w="1080" w:type="dxa"/>
            <w:vAlign w:val="center"/>
          </w:tcPr>
          <w:p>
            <w:pPr>
              <w:jc w:val="center"/>
              <w:rPr>
                <w:noProof/>
                <w:sz w:val="20"/>
                <w:szCs w:val="20"/>
              </w:rPr>
            </w:pPr>
            <w:r>
              <w:rPr>
                <w:noProof/>
                <w:sz w:val="20"/>
              </w:rPr>
              <w:t>DA/NU</w:t>
            </w:r>
          </w:p>
        </w:tc>
        <w:tc>
          <w:tcPr>
            <w:tcW w:w="956" w:type="dxa"/>
            <w:vAlign w:val="center"/>
          </w:tcPr>
          <w:p>
            <w:pPr>
              <w:jc w:val="center"/>
              <w:rPr>
                <w:noProof/>
                <w:sz w:val="20"/>
                <w:szCs w:val="20"/>
              </w:rPr>
            </w:pPr>
            <w:r>
              <w:rPr>
                <w:noProof/>
                <w:sz w:val="20"/>
              </w:rPr>
              <w:t>DA/NU</w:t>
            </w:r>
          </w:p>
        </w:tc>
        <w:tc>
          <w:tcPr>
            <w:tcW w:w="1448" w:type="dxa"/>
            <w:vAlign w:val="center"/>
          </w:tcPr>
          <w:p>
            <w:pPr>
              <w:jc w:val="center"/>
              <w:rPr>
                <w:noProof/>
                <w:sz w:val="20"/>
                <w:szCs w:val="20"/>
              </w:rPr>
            </w:pPr>
            <w:r>
              <w:rPr>
                <w:noProof/>
                <w:sz w:val="20"/>
              </w:rPr>
              <w:t>DA/NU</w:t>
            </w:r>
          </w:p>
        </w:tc>
      </w:tr>
      <w:tr>
        <w:trPr>
          <w:cantSplit/>
          <w:jc w:val="center"/>
        </w:trP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rPr>
            </w:pPr>
          </w:p>
        </w:tc>
        <w:tc>
          <w:tcPr>
            <w:tcW w:w="1080" w:type="dxa"/>
            <w:vAlign w:val="center"/>
          </w:tcPr>
          <w:p>
            <w:pPr>
              <w:jc w:val="center"/>
              <w:rPr>
                <w:noProof/>
                <w:color w:val="0000FF"/>
              </w:rPr>
            </w:pPr>
            <w:r>
              <w:rPr>
                <w:noProof/>
                <w:sz w:val="22"/>
              </w:rPr>
              <w:t>Dif./Nedif.</w:t>
            </w:r>
          </w:p>
        </w:tc>
        <w:tc>
          <w:tcPr>
            <w:tcW w:w="956" w:type="dxa"/>
            <w:vAlign w:val="center"/>
          </w:tcPr>
          <w:p>
            <w:pPr>
              <w:jc w:val="center"/>
              <w:rPr>
                <w:noProof/>
                <w:sz w:val="20"/>
                <w:szCs w:val="20"/>
              </w:rPr>
            </w:pPr>
            <w:r>
              <w:rPr>
                <w:noProof/>
                <w:sz w:val="20"/>
              </w:rPr>
              <w:t>DA/NU</w:t>
            </w:r>
          </w:p>
        </w:tc>
        <w:tc>
          <w:tcPr>
            <w:tcW w:w="1080" w:type="dxa"/>
            <w:vAlign w:val="center"/>
          </w:tcPr>
          <w:p>
            <w:pPr>
              <w:jc w:val="center"/>
              <w:rPr>
                <w:noProof/>
                <w:sz w:val="20"/>
                <w:szCs w:val="20"/>
              </w:rPr>
            </w:pPr>
            <w:r>
              <w:rPr>
                <w:noProof/>
                <w:sz w:val="20"/>
              </w:rPr>
              <w:t>DA/NU</w:t>
            </w:r>
          </w:p>
        </w:tc>
        <w:tc>
          <w:tcPr>
            <w:tcW w:w="956" w:type="dxa"/>
            <w:vAlign w:val="center"/>
          </w:tcPr>
          <w:p>
            <w:pPr>
              <w:jc w:val="center"/>
              <w:rPr>
                <w:noProof/>
                <w:sz w:val="20"/>
                <w:szCs w:val="20"/>
              </w:rPr>
            </w:pPr>
            <w:r>
              <w:rPr>
                <w:noProof/>
                <w:sz w:val="20"/>
              </w:rPr>
              <w:t>DA/NU</w:t>
            </w:r>
          </w:p>
        </w:tc>
        <w:tc>
          <w:tcPr>
            <w:tcW w:w="1448" w:type="dxa"/>
            <w:vAlign w:val="center"/>
          </w:tcPr>
          <w:p>
            <w:pPr>
              <w:jc w:val="center"/>
              <w:rPr>
                <w:noProof/>
                <w:sz w:val="20"/>
                <w:szCs w:val="20"/>
              </w:rPr>
            </w:pPr>
            <w:r>
              <w:rPr>
                <w:noProof/>
                <w:sz w:val="20"/>
              </w:rPr>
              <w:t>DA/NU</w:t>
            </w:r>
          </w:p>
        </w:tc>
      </w:tr>
      <w:tr>
        <w:trPr>
          <w:jc w:val="center"/>
        </w:trP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color w:val="0000FF"/>
              </w:rPr>
            </w:pPr>
          </w:p>
        </w:tc>
        <w:tc>
          <w:tcPr>
            <w:tcW w:w="1080" w:type="dxa"/>
            <w:vAlign w:val="center"/>
          </w:tcPr>
          <w:p>
            <w:pPr>
              <w:jc w:val="center"/>
              <w:rPr>
                <w:noProof/>
                <w:color w:val="0000FF"/>
              </w:rPr>
            </w:pPr>
            <w:r>
              <w:rPr>
                <w:noProof/>
                <w:sz w:val="22"/>
              </w:rPr>
              <w:t>Dif./Nedif.</w:t>
            </w:r>
          </w:p>
        </w:tc>
        <w:tc>
          <w:tcPr>
            <w:tcW w:w="956" w:type="dxa"/>
            <w:vAlign w:val="center"/>
          </w:tcPr>
          <w:p>
            <w:pPr>
              <w:jc w:val="center"/>
              <w:rPr>
                <w:noProof/>
                <w:sz w:val="20"/>
                <w:szCs w:val="20"/>
              </w:rPr>
            </w:pPr>
            <w:r>
              <w:rPr>
                <w:noProof/>
                <w:sz w:val="20"/>
              </w:rPr>
              <w:t>DA/NU</w:t>
            </w:r>
          </w:p>
        </w:tc>
        <w:tc>
          <w:tcPr>
            <w:tcW w:w="1080" w:type="dxa"/>
            <w:vAlign w:val="center"/>
          </w:tcPr>
          <w:p>
            <w:pPr>
              <w:jc w:val="center"/>
              <w:rPr>
                <w:noProof/>
                <w:color w:val="0000FF"/>
                <w:sz w:val="20"/>
                <w:szCs w:val="20"/>
              </w:rPr>
            </w:pPr>
            <w:r>
              <w:rPr>
                <w:noProof/>
                <w:sz w:val="20"/>
              </w:rPr>
              <w:t>DA/NU</w:t>
            </w:r>
          </w:p>
        </w:tc>
        <w:tc>
          <w:tcPr>
            <w:tcW w:w="956" w:type="dxa"/>
            <w:vAlign w:val="center"/>
          </w:tcPr>
          <w:p>
            <w:pPr>
              <w:jc w:val="center"/>
              <w:rPr>
                <w:noProof/>
                <w:color w:val="0000FF"/>
                <w:sz w:val="20"/>
                <w:szCs w:val="20"/>
              </w:rPr>
            </w:pPr>
            <w:r>
              <w:rPr>
                <w:noProof/>
                <w:sz w:val="20"/>
              </w:rPr>
              <w:t>DA/NU</w:t>
            </w:r>
          </w:p>
        </w:tc>
        <w:tc>
          <w:tcPr>
            <w:tcW w:w="1448" w:type="dxa"/>
            <w:vAlign w:val="center"/>
          </w:tcPr>
          <w:p>
            <w:pPr>
              <w:jc w:val="center"/>
              <w:rPr>
                <w:noProof/>
                <w:sz w:val="20"/>
                <w:szCs w:val="20"/>
              </w:rPr>
            </w:pPr>
            <w:r>
              <w:rPr>
                <w:noProof/>
                <w:sz w:val="20"/>
              </w:rPr>
              <w:t>DA/NU</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27" w:name="_Toc514938052"/>
      <w:bookmarkStart w:id="128" w:name="_Toc520485051"/>
      <w:bookmarkStart w:id="129" w:name="_Toc160804593"/>
      <w:bookmarkStart w:id="130" w:name="_Toc167220285"/>
      <w:bookmarkStart w:id="131" w:name="_Toc177549018"/>
      <w:r>
        <w:rPr>
          <w:noProof/>
        </w:rPr>
        <w:t>3.2.</w:t>
      </w:r>
      <w:r>
        <w:rPr>
          <w:noProof/>
        </w:rPr>
        <w:tab/>
        <w:t>Impactul financiar estimat al propunerii asupra creditelor</w:t>
      </w:r>
      <w:bookmarkEnd w:id="127"/>
      <w:bookmarkEnd w:id="128"/>
      <w:bookmarkEnd w:id="129"/>
      <w:bookmarkEnd w:id="130"/>
      <w:bookmarkEnd w:id="131"/>
      <w:r>
        <w:rPr>
          <w:noProof/>
        </w:rPr>
        <w:t xml:space="preserve"> </w:t>
      </w:r>
    </w:p>
    <w:p>
      <w:pPr>
        <w:pStyle w:val="ManualHeading3"/>
        <w:rPr>
          <w:noProof/>
        </w:rPr>
      </w:pPr>
      <w:bookmarkStart w:id="132" w:name="_Toc514938053"/>
      <w:bookmarkStart w:id="133" w:name="_Toc520485052"/>
      <w:bookmarkStart w:id="134" w:name="_Toc160804594"/>
      <w:bookmarkStart w:id="135" w:name="_Toc167220286"/>
      <w:bookmarkStart w:id="136" w:name="_Toc177549019"/>
      <w:r>
        <w:rPr>
          <w:noProof/>
        </w:rPr>
        <w:t>3.2.1.</w:t>
      </w:r>
      <w:r>
        <w:rPr>
          <w:noProof/>
        </w:rPr>
        <w:tab/>
        <w:t>Sinteza impactului estimat asupra creditelor operaționale</w:t>
      </w:r>
      <w:bookmarkEnd w:id="132"/>
      <w:bookmarkEnd w:id="133"/>
      <w:bookmarkEnd w:id="134"/>
      <w:bookmarkEnd w:id="135"/>
      <w:bookmarkEnd w:id="136"/>
      <w:r>
        <w:rPr>
          <w:noProof/>
        </w:rPr>
        <w:t xml:space="preserve"> </w:t>
      </w:r>
    </w:p>
    <w:p>
      <w:pPr>
        <w:pStyle w:val="ListDash1"/>
        <w:rPr>
          <w:noProof/>
        </w:rPr>
      </w:pPr>
      <w:r>
        <w:rPr>
          <w:rFonts w:ascii="Wingdings" w:hAnsi="Wingdings"/>
          <w:noProof/>
        </w:rPr>
        <w:t>¨</w:t>
      </w:r>
      <w:r>
        <w:rPr>
          <w:noProof/>
        </w:rPr>
        <w:t xml:space="preserve"> Propunerea/inițiativa nu implică utilizarea de credite operaționale </w:t>
      </w:r>
    </w:p>
    <w:p>
      <w:pPr>
        <w:pStyle w:val="ListDash1"/>
        <w:rPr>
          <w:noProof/>
        </w:rPr>
      </w:pPr>
      <w:r>
        <w:rPr>
          <w:rFonts w:ascii="Wingdings" w:hAnsi="Wingdings"/>
          <w:noProof/>
        </w:rPr>
        <w:t>¨</w:t>
      </w:r>
      <w:r>
        <w:rPr>
          <w:noProof/>
        </w:rPr>
        <w:t xml:space="preserve"> Propunerea/inițiativa implică utilizarea de credite operaționale, conform explicațiilor de mai jos</w:t>
      </w:r>
    </w:p>
    <w:p>
      <w:pPr>
        <w:pStyle w:val="ManualHeading3"/>
        <w:rPr>
          <w:noProof/>
        </w:rPr>
      </w:pPr>
      <w:bookmarkStart w:id="137" w:name="_Toc160804595"/>
      <w:bookmarkStart w:id="138" w:name="_Toc167220287"/>
      <w:bookmarkStart w:id="139" w:name="_Toc177549020"/>
      <w:r>
        <w:rPr>
          <w:noProof/>
        </w:rPr>
        <w:t>3.2.1,1.</w:t>
      </w:r>
      <w:r>
        <w:rPr>
          <w:noProof/>
        </w:rPr>
        <w:tab/>
        <w:t>Credite din bugetul votat</w:t>
      </w:r>
      <w:bookmarkEnd w:id="137"/>
      <w:bookmarkEnd w:id="138"/>
      <w:bookmarkEnd w:id="139"/>
    </w:p>
    <w:p>
      <w:pPr>
        <w:jc w:val="right"/>
        <w:rPr>
          <w:noProof/>
          <w:sz w:val="18"/>
          <w:szCs w:val="18"/>
        </w:rPr>
      </w:pPr>
      <w:r>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rPr>
            </w:pPr>
            <w:r>
              <w:rPr>
                <w:b/>
                <w:noProof/>
                <w:sz w:val="22"/>
              </w:rPr>
              <w:t xml:space="preserve">Rubrica din cadrul financiar multianual </w:t>
            </w:r>
          </w:p>
        </w:tc>
        <w:tc>
          <w:tcPr>
            <w:tcW w:w="396" w:type="pct"/>
            <w:vAlign w:val="center"/>
          </w:tcPr>
          <w:p>
            <w:pPr>
              <w:spacing w:before="60" w:after="60"/>
              <w:jc w:val="center"/>
              <w:rPr>
                <w:noProof/>
              </w:rPr>
            </w:pPr>
            <w:r>
              <w:rPr>
                <w:noProof/>
                <w:sz w:val="22"/>
              </w:rPr>
              <w:t>Numărul</w:t>
            </w:r>
          </w:p>
        </w:tc>
        <w:tc>
          <w:tcPr>
            <w:tcW w:w="2865" w:type="pct"/>
            <w:vAlign w:val="center"/>
          </w:tcPr>
          <w:p>
            <w:pPr>
              <w:spacing w:before="60" w:after="60"/>
              <w:rPr>
                <w:noProof/>
              </w:rPr>
            </w:pPr>
          </w:p>
        </w:tc>
      </w:tr>
    </w:tbl>
    <w:p>
      <w:pPr>
        <w:rPr>
          <w:noProof/>
          <w:sz w:val="16"/>
        </w:rPr>
      </w:pPr>
    </w:p>
    <w:tbl>
      <w:tblPr>
        <w:tblW w:w="5000" w:type="pct"/>
        <w:tblLook w:val="04A0" w:firstRow="1" w:lastRow="0" w:firstColumn="1" w:lastColumn="0" w:noHBand="0" w:noVBand="1"/>
      </w:tblPr>
      <w:tblGrid>
        <w:gridCol w:w="4035"/>
        <w:gridCol w:w="1503"/>
        <w:gridCol w:w="1411"/>
        <w:gridCol w:w="1411"/>
        <w:gridCol w:w="1411"/>
        <w:gridCol w:w="1402"/>
        <w:gridCol w:w="9"/>
        <w:gridCol w:w="1394"/>
        <w:gridCol w:w="1644"/>
      </w:tblGrid>
      <w:tr>
        <w:trPr>
          <w:trHeight w:val="420"/>
        </w:trPr>
        <w:tc>
          <w:tcPr>
            <w:tcW w:w="2444" w:type="pct"/>
            <w:gridSpan w:val="3"/>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7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288"/>
        </w:trPr>
        <w:tc>
          <w:tcPr>
            <w:tcW w:w="2444" w:type="pct"/>
            <w:gridSpan w:val="3"/>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9"/>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Credite operaționale </w:t>
            </w:r>
          </w:p>
        </w:tc>
      </w:tr>
      <w:tr>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Linia bugetară</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9"/>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rPr>
              <w:t xml:space="preserve">Credite cu caracter administrativ finanțate din bugetul unor programe specifice </w:t>
            </w:r>
          </w:p>
        </w:tc>
      </w:tr>
      <w:tr>
        <w:trPr>
          <w:trHeight w:val="288"/>
        </w:trPr>
        <w:tc>
          <w:tcPr>
            <w:tcW w:w="141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credite</w:t>
            </w:r>
          </w:p>
          <w:p>
            <w:pPr>
              <w:spacing w:before="0" w:after="0"/>
              <w:jc w:val="center"/>
              <w:rPr>
                <w:b/>
                <w:bCs/>
                <w:noProof/>
                <w:color w:val="000000"/>
                <w:sz w:val="22"/>
              </w:rPr>
            </w:pPr>
            <w:r>
              <w:rPr>
                <w:b/>
                <w:noProof/>
                <w:color w:val="000000"/>
                <w:sz w:val="22"/>
              </w:rPr>
              <w:t>pentru DG</w:t>
            </w:r>
            <w:r>
              <w:rPr>
                <w:noProof/>
                <w:color w:val="000000"/>
                <w:sz w:val="22"/>
              </w:rPr>
              <w:t xml:space="preserve"> &lt;….&gt;</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 a+1b+3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tcBorders>
              <w:left w:val="single" w:sz="8" w:space="0" w:color="auto"/>
              <w:bottom w:val="single" w:sz="4" w:space="0" w:color="auto"/>
              <w:right w:val="single" w:sz="8" w:space="0" w:color="auto"/>
            </w:tcBorders>
            <w:vAlign w:val="center"/>
            <w:hideMark/>
          </w:tcPr>
          <w:p>
            <w:pPr>
              <w:spacing w:before="0" w:after="0"/>
              <w:jc w:val="center"/>
              <w:rPr>
                <w:b/>
                <w:bCs/>
                <w:noProof/>
                <w:color w:val="000000"/>
                <w:sz w:val="22"/>
                <w:lang w:eastAsia="en-IE"/>
              </w:rPr>
            </w:pPr>
          </w:p>
        </w:tc>
        <w:tc>
          <w:tcPr>
            <w:tcW w:w="52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 a+2b+3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20"/>
        </w:trPr>
        <w:tc>
          <w:tcPr>
            <w:tcW w:w="2444" w:type="pct"/>
            <w:gridSpan w:val="3"/>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7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288"/>
        </w:trPr>
        <w:tc>
          <w:tcPr>
            <w:tcW w:w="2444" w:type="pct"/>
            <w:gridSpan w:val="3"/>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9"/>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Credite operaționale </w:t>
            </w:r>
          </w:p>
        </w:tc>
      </w:tr>
      <w:tr>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Linia bugetară</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9"/>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rPr>
              <w:t xml:space="preserve">Credite cu caracter administrativ finanțate din bugetul unor programe specifice </w:t>
            </w:r>
          </w:p>
        </w:tc>
      </w:tr>
      <w:tr>
        <w:trPr>
          <w:trHeight w:val="288"/>
        </w:trPr>
        <w:tc>
          <w:tcPr>
            <w:tcW w:w="141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credite</w:t>
            </w:r>
          </w:p>
          <w:p>
            <w:pPr>
              <w:spacing w:before="0" w:after="0"/>
              <w:jc w:val="center"/>
              <w:rPr>
                <w:b/>
                <w:bCs/>
                <w:noProof/>
                <w:color w:val="000000"/>
                <w:sz w:val="22"/>
              </w:rPr>
            </w:pPr>
            <w:r>
              <w:rPr>
                <w:b/>
                <w:noProof/>
                <w:color w:val="000000"/>
                <w:sz w:val="22"/>
              </w:rPr>
              <w:t>pentru DG</w:t>
            </w:r>
            <w:r>
              <w:rPr>
                <w:noProof/>
                <w:color w:val="000000"/>
                <w:sz w:val="22"/>
              </w:rPr>
              <w:t xml:space="preserve"> &lt;….&gt;</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 a+1b+3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eastAsia="en-IE"/>
              </w:rPr>
            </w:pP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 a+2b+3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2432"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rPr>
            </w:pPr>
            <w:r>
              <w:rPr>
                <w:b/>
                <w:noProof/>
                <w:color w:val="000000"/>
                <w:sz w:val="22"/>
              </w:rPr>
              <w:t xml:space="preserve"> </w:t>
            </w:r>
          </w:p>
        </w:tc>
        <w:tc>
          <w:tcPr>
            <w:tcW w:w="49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2432"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eastAsia="en-IE"/>
              </w:rPr>
            </w:pPr>
          </w:p>
        </w:tc>
        <w:tc>
          <w:tcPr>
            <w:tcW w:w="493"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3"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3"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credite operaționale </w:t>
            </w:r>
            <w:r>
              <w:rPr>
                <w:noProof/>
              </w:rPr>
              <w:t xml:space="preserve"> </w:t>
            </w:r>
            <w:r>
              <w:rPr>
                <w:noProof/>
              </w:rPr>
              <w:br/>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24"/>
        </w:trPr>
        <w:tc>
          <w:tcPr>
            <w:tcW w:w="193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credite cu caracter administrativ finanțate din bugetul unor programe specifice </w:t>
            </w:r>
          </w:p>
        </w:tc>
        <w:tc>
          <w:tcPr>
            <w:tcW w:w="49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(6)</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credite în cadrul RUBRICII &lt;….&gt;</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=4+6</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rPr>
            </w:pPr>
            <w:r>
              <w:rPr>
                <w:noProof/>
                <w:color w:val="000000"/>
                <w:sz w:val="22"/>
              </w:rPr>
              <w:t>din cadrul financiar multianual</w:t>
            </w:r>
          </w:p>
        </w:tc>
        <w:tc>
          <w:tcPr>
            <w:tcW w:w="529"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=5+6</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rPr>
            </w:pPr>
            <w:r>
              <w:rPr>
                <w:b/>
                <w:noProof/>
                <w:sz w:val="22"/>
              </w:rPr>
              <w:t xml:space="preserve">Rubrica din cadrul financiar </w:t>
            </w:r>
            <w:r>
              <w:rPr>
                <w:noProof/>
              </w:rPr>
              <w:t xml:space="preserve"> </w:t>
            </w:r>
            <w:r>
              <w:rPr>
                <w:noProof/>
              </w:rPr>
              <w:br/>
            </w:r>
            <w:r>
              <w:rPr>
                <w:b/>
                <w:noProof/>
                <w:sz w:val="22"/>
              </w:rPr>
              <w:t xml:space="preserve">multianual </w:t>
            </w:r>
          </w:p>
        </w:tc>
        <w:tc>
          <w:tcPr>
            <w:tcW w:w="396" w:type="pct"/>
            <w:vAlign w:val="center"/>
          </w:tcPr>
          <w:p>
            <w:pPr>
              <w:spacing w:before="60" w:after="60"/>
              <w:jc w:val="center"/>
              <w:rPr>
                <w:noProof/>
              </w:rPr>
            </w:pPr>
            <w:r>
              <w:rPr>
                <w:noProof/>
                <w:sz w:val="22"/>
              </w:rPr>
              <w:t>Numărul</w:t>
            </w:r>
          </w:p>
        </w:tc>
        <w:tc>
          <w:tcPr>
            <w:tcW w:w="2865" w:type="pct"/>
            <w:vAlign w:val="center"/>
          </w:tcPr>
          <w:p>
            <w:pPr>
              <w:spacing w:before="60" w:after="60"/>
              <w:rPr>
                <w:noProof/>
              </w:rPr>
            </w:pPr>
          </w:p>
        </w:tc>
      </w:tr>
    </w:tbl>
    <w:p>
      <w:pPr>
        <w:rPr>
          <w:noProof/>
        </w:rPr>
      </w:pPr>
    </w:p>
    <w:tbl>
      <w:tblPr>
        <w:tblW w:w="5000" w:type="pct"/>
        <w:tblLook w:val="04A0" w:firstRow="1" w:lastRow="0" w:firstColumn="1" w:lastColumn="0" w:noHBand="0" w:noVBand="1"/>
      </w:tblPr>
      <w:tblGrid>
        <w:gridCol w:w="4329"/>
        <w:gridCol w:w="1399"/>
        <w:gridCol w:w="1960"/>
        <w:gridCol w:w="1254"/>
        <w:gridCol w:w="1254"/>
        <w:gridCol w:w="1254"/>
        <w:gridCol w:w="1254"/>
        <w:gridCol w:w="1516"/>
      </w:tblGrid>
      <w:tr>
        <w:trPr>
          <w:trHeight w:val="300"/>
        </w:trPr>
        <w:tc>
          <w:tcPr>
            <w:tcW w:w="2703"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noProof/>
                <w:color w:val="000000"/>
                <w:sz w:val="22"/>
              </w:rPr>
            </w:pPr>
            <w:r>
              <w:rPr>
                <w:noProof/>
                <w:color w:val="000000"/>
                <w:sz w:val="22"/>
              </w:rPr>
              <w:t>DG: &lt;…….&gt;</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3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2703"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noProof/>
                <w:color w:val="000000"/>
                <w:sz w:val="22"/>
                <w:lang w:eastAsia="en-IE"/>
              </w:rPr>
            </w:pP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3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2703"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rPr>
            </w:pPr>
            <w:r>
              <w:rPr>
                <w:noProof/>
                <w:color w:val="000000"/>
                <w:sz w:val="21"/>
              </w:rPr>
              <w:t xml:space="preserve">Credite operaționale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rPr>
                <w:b/>
                <w:bCs/>
                <w:noProof/>
                <w:color w:val="000000"/>
                <w:sz w:val="20"/>
                <w:szCs w:val="20"/>
              </w:rPr>
            </w:pPr>
            <w:r>
              <w:rPr>
                <w:b/>
                <w:noProof/>
                <w:color w:val="000000"/>
                <w:sz w:val="20"/>
              </w:rPr>
              <w:t xml:space="preserve"> </w:t>
            </w:r>
          </w:p>
        </w:tc>
        <w:tc>
          <w:tcPr>
            <w:tcW w:w="534" w:type="pct"/>
            <w:tcBorders>
              <w:top w:val="nil"/>
              <w:left w:val="nil"/>
              <w:bottom w:val="single" w:sz="8" w:space="0" w:color="auto"/>
              <w:right w:val="single" w:sz="8" w:space="0" w:color="auto"/>
            </w:tcBorders>
            <w:vAlign w:val="center"/>
            <w:hideMark/>
          </w:tcPr>
          <w:p>
            <w:pPr>
              <w:spacing w:before="0" w:after="0"/>
              <w:rPr>
                <w:b/>
                <w:bCs/>
                <w:noProof/>
                <w:color w:val="000000"/>
                <w:sz w:val="20"/>
                <w:szCs w:val="20"/>
              </w:rPr>
            </w:pPr>
            <w:r>
              <w:rPr>
                <w:b/>
                <w:noProof/>
                <w:color w:val="000000"/>
                <w:sz w:val="20"/>
              </w:rPr>
              <w:t xml:space="preserve"> </w:t>
            </w:r>
          </w:p>
        </w:tc>
      </w:tr>
      <w:tr>
        <w:trPr>
          <w:trHeight w:val="300"/>
        </w:trPr>
        <w:tc>
          <w:tcPr>
            <w:tcW w:w="1522" w:type="pct"/>
            <w:vMerge w:val="restart"/>
            <w:tcBorders>
              <w:top w:val="nil"/>
              <w:left w:val="single" w:sz="8" w:space="0" w:color="auto"/>
              <w:bottom w:val="single" w:sz="8" w:space="0" w:color="000000"/>
              <w:right w:val="single" w:sz="8" w:space="0" w:color="auto"/>
            </w:tcBorders>
            <w:noWrap/>
            <w:vAlign w:val="center"/>
            <w:hideMark/>
          </w:tcPr>
          <w:p>
            <w:pPr>
              <w:spacing w:before="0" w:after="0"/>
              <w:jc w:val="left"/>
              <w:rPr>
                <w:noProof/>
                <w:color w:val="000000"/>
                <w:sz w:val="22"/>
              </w:rPr>
            </w:pPr>
            <w:r>
              <w:rPr>
                <w:noProof/>
                <w:color w:val="000000"/>
                <w:sz w:val="22"/>
              </w:rPr>
              <w:t>Linia bugetară</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2"/>
                <w:lang w:eastAsia="en-IE"/>
              </w:rPr>
            </w:pP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val="restart"/>
            <w:tcBorders>
              <w:top w:val="nil"/>
              <w:left w:val="single" w:sz="8" w:space="0" w:color="auto"/>
              <w:bottom w:val="single" w:sz="8" w:space="0" w:color="000000"/>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0"/>
                <w:szCs w:val="20"/>
                <w:lang w:eastAsia="en-IE"/>
              </w:rPr>
            </w:pP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5000" w:type="pct"/>
            <w:gridSpan w:val="8"/>
            <w:tcBorders>
              <w:top w:val="single" w:sz="8" w:space="0" w:color="auto"/>
              <w:left w:val="single" w:sz="8" w:space="0" w:color="auto"/>
              <w:bottom w:val="single" w:sz="8" w:space="0" w:color="auto"/>
              <w:right w:val="nil"/>
            </w:tcBorders>
            <w:noWrap/>
            <w:vAlign w:val="bottom"/>
            <w:hideMark/>
          </w:tcPr>
          <w:p>
            <w:pPr>
              <w:spacing w:before="0" w:after="0"/>
              <w:jc w:val="left"/>
              <w:rPr>
                <w:noProof/>
                <w:color w:val="000000"/>
                <w:sz w:val="22"/>
              </w:rPr>
            </w:pPr>
            <w:r>
              <w:rPr>
                <w:noProof/>
              </w:rPr>
              <w:t xml:space="preserve">Credite cu caracter administrativ finanțate din bugetul unor programe specifice </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492"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688" w:type="pct"/>
            <w:tcBorders>
              <w:top w:val="nil"/>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(3)</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tcBorders>
              <w:top w:val="nil"/>
              <w:left w:val="single" w:sz="8" w:space="0" w:color="auto"/>
              <w:bottom w:val="nil"/>
              <w:right w:val="single" w:sz="8" w:space="0" w:color="auto"/>
            </w:tcBorders>
            <w:vAlign w:val="center"/>
            <w:hideMark/>
          </w:tcPr>
          <w:p>
            <w:pPr>
              <w:spacing w:before="0" w:after="0"/>
              <w:jc w:val="center"/>
              <w:rPr>
                <w:b/>
                <w:bCs/>
                <w:noProof/>
                <w:color w:val="000000"/>
                <w:sz w:val="22"/>
              </w:rPr>
            </w:pPr>
            <w:r>
              <w:rPr>
                <w:b/>
                <w:noProof/>
                <w:color w:val="000000"/>
                <w:sz w:val="22"/>
              </w:rPr>
              <w:t>TOTAL credite</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 a+1b+3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pentru DG</w:t>
            </w:r>
            <w:r>
              <w:rPr>
                <w:noProof/>
                <w:color w:val="000000"/>
                <w:sz w:val="22"/>
              </w:rPr>
              <w:t xml:space="preserve"> &lt;….&gt;</w:t>
            </w:r>
          </w:p>
        </w:tc>
        <w:tc>
          <w:tcPr>
            <w:tcW w:w="492"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688"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 a+2b+3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tblLook w:val="04A0" w:firstRow="1" w:lastRow="0" w:firstColumn="1" w:lastColumn="0" w:noHBand="0" w:noVBand="1"/>
      </w:tblPr>
      <w:tblGrid>
        <w:gridCol w:w="4329"/>
        <w:gridCol w:w="1340"/>
        <w:gridCol w:w="2019"/>
        <w:gridCol w:w="1254"/>
        <w:gridCol w:w="1254"/>
        <w:gridCol w:w="1254"/>
        <w:gridCol w:w="1254"/>
        <w:gridCol w:w="1516"/>
      </w:tblGrid>
      <w:tr>
        <w:trPr>
          <w:trHeight w:val="300"/>
        </w:trPr>
        <w:tc>
          <w:tcPr>
            <w:tcW w:w="2703"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noProof/>
                <w:color w:val="000000"/>
                <w:sz w:val="22"/>
              </w:rPr>
            </w:pPr>
            <w:r>
              <w:rPr>
                <w:noProof/>
                <w:color w:val="000000"/>
                <w:sz w:val="22"/>
              </w:rPr>
              <w:t>DG: &lt;…….&gt;</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3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2703"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noProof/>
                <w:color w:val="000000"/>
                <w:sz w:val="22"/>
                <w:lang w:eastAsia="en-IE"/>
              </w:rPr>
            </w:pP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3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2703"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rPr>
            </w:pPr>
            <w:r>
              <w:rPr>
                <w:noProof/>
                <w:color w:val="000000"/>
                <w:sz w:val="21"/>
              </w:rPr>
              <w:t xml:space="preserve">Credite operaționale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rPr>
                <w:b/>
                <w:bCs/>
                <w:noProof/>
                <w:color w:val="000000"/>
                <w:sz w:val="20"/>
                <w:szCs w:val="20"/>
              </w:rPr>
            </w:pPr>
            <w:r>
              <w:rPr>
                <w:b/>
                <w:noProof/>
                <w:color w:val="000000"/>
                <w:sz w:val="20"/>
              </w:rPr>
              <w:t xml:space="preserve"> </w:t>
            </w:r>
          </w:p>
        </w:tc>
        <w:tc>
          <w:tcPr>
            <w:tcW w:w="534" w:type="pct"/>
            <w:tcBorders>
              <w:top w:val="nil"/>
              <w:left w:val="nil"/>
              <w:bottom w:val="single" w:sz="8" w:space="0" w:color="auto"/>
              <w:right w:val="single" w:sz="8" w:space="0" w:color="auto"/>
            </w:tcBorders>
            <w:vAlign w:val="center"/>
            <w:hideMark/>
          </w:tcPr>
          <w:p>
            <w:pPr>
              <w:spacing w:before="0" w:after="0"/>
              <w:rPr>
                <w:b/>
                <w:bCs/>
                <w:noProof/>
                <w:color w:val="000000"/>
                <w:sz w:val="20"/>
                <w:szCs w:val="20"/>
              </w:rPr>
            </w:pPr>
            <w:r>
              <w:rPr>
                <w:b/>
                <w:noProof/>
                <w:color w:val="000000"/>
                <w:sz w:val="20"/>
              </w:rPr>
              <w:t xml:space="preserve"> </w:t>
            </w:r>
          </w:p>
        </w:tc>
      </w:tr>
      <w:tr>
        <w:trPr>
          <w:trHeight w:val="300"/>
        </w:trPr>
        <w:tc>
          <w:tcPr>
            <w:tcW w:w="1522" w:type="pct"/>
            <w:vMerge w:val="restart"/>
            <w:tcBorders>
              <w:top w:val="nil"/>
              <w:left w:val="single" w:sz="8" w:space="0" w:color="auto"/>
              <w:bottom w:val="single" w:sz="8" w:space="0" w:color="000000"/>
              <w:right w:val="single" w:sz="8" w:space="0" w:color="auto"/>
            </w:tcBorders>
            <w:noWrap/>
            <w:vAlign w:val="center"/>
            <w:hideMark/>
          </w:tcPr>
          <w:p>
            <w:pPr>
              <w:spacing w:before="0" w:after="0"/>
              <w:jc w:val="left"/>
              <w:rPr>
                <w:noProof/>
                <w:color w:val="000000"/>
                <w:sz w:val="22"/>
              </w:rPr>
            </w:pPr>
            <w:r>
              <w:rPr>
                <w:noProof/>
                <w:color w:val="000000"/>
                <w:sz w:val="22"/>
              </w:rPr>
              <w:t>Linia bugetară</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2"/>
                <w:lang w:eastAsia="en-IE"/>
              </w:rPr>
            </w:pP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(2a)</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val="restart"/>
            <w:tcBorders>
              <w:top w:val="nil"/>
              <w:left w:val="single" w:sz="8" w:space="0" w:color="auto"/>
              <w:bottom w:val="single" w:sz="8" w:space="0" w:color="000000"/>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20"/>
                <w:szCs w:val="20"/>
                <w:lang w:eastAsia="en-IE"/>
              </w:rPr>
            </w:pP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(2b)</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5000" w:type="pct"/>
            <w:gridSpan w:val="8"/>
            <w:tcBorders>
              <w:top w:val="single" w:sz="8" w:space="0" w:color="auto"/>
              <w:left w:val="single" w:sz="8" w:space="0" w:color="auto"/>
              <w:bottom w:val="single" w:sz="8" w:space="0" w:color="auto"/>
              <w:right w:val="nil"/>
            </w:tcBorders>
            <w:noWrap/>
            <w:vAlign w:val="bottom"/>
            <w:hideMark/>
          </w:tcPr>
          <w:p>
            <w:pPr>
              <w:spacing w:before="0" w:after="0"/>
              <w:jc w:val="left"/>
              <w:rPr>
                <w:noProof/>
                <w:color w:val="000000"/>
                <w:sz w:val="22"/>
              </w:rPr>
            </w:pPr>
            <w:r>
              <w:rPr>
                <w:noProof/>
              </w:rPr>
              <w:t xml:space="preserve">Credite cu caracter administrativ finanțate din bugetul unor programe specifice </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471"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709" w:type="pct"/>
            <w:tcBorders>
              <w:top w:val="nil"/>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(3)</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41"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tcBorders>
              <w:top w:val="nil"/>
              <w:left w:val="single" w:sz="8" w:space="0" w:color="auto"/>
              <w:bottom w:val="nil"/>
              <w:right w:val="single" w:sz="8" w:space="0" w:color="auto"/>
            </w:tcBorders>
            <w:vAlign w:val="center"/>
            <w:hideMark/>
          </w:tcPr>
          <w:p>
            <w:pPr>
              <w:spacing w:before="0" w:after="0"/>
              <w:jc w:val="center"/>
              <w:rPr>
                <w:b/>
                <w:bCs/>
                <w:noProof/>
                <w:color w:val="000000"/>
                <w:sz w:val="22"/>
              </w:rPr>
            </w:pPr>
            <w:r>
              <w:rPr>
                <w:b/>
                <w:noProof/>
                <w:color w:val="000000"/>
                <w:sz w:val="22"/>
              </w:rPr>
              <w:t>TOTAL credite</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=1 a+1b+3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pentru DG</w:t>
            </w:r>
            <w:r>
              <w:rPr>
                <w:noProof/>
                <w:color w:val="000000"/>
                <w:sz w:val="22"/>
              </w:rPr>
              <w:t xml:space="preserve"> &lt;….&gt;</w:t>
            </w:r>
          </w:p>
        </w:tc>
        <w:tc>
          <w:tcPr>
            <w:tcW w:w="471"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709" w:type="pct"/>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=2 a+2b+3</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3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tblLook w:val="04A0" w:firstRow="1" w:lastRow="0" w:firstColumn="1" w:lastColumn="0" w:noHBand="0" w:noVBand="1"/>
      </w:tblPr>
      <w:tblGrid>
        <w:gridCol w:w="4013"/>
        <w:gridCol w:w="316"/>
        <w:gridCol w:w="1189"/>
        <w:gridCol w:w="151"/>
        <w:gridCol w:w="1038"/>
        <w:gridCol w:w="210"/>
        <w:gridCol w:w="830"/>
        <w:gridCol w:w="572"/>
        <w:gridCol w:w="671"/>
        <w:gridCol w:w="731"/>
        <w:gridCol w:w="512"/>
        <w:gridCol w:w="890"/>
        <w:gridCol w:w="353"/>
        <w:gridCol w:w="1049"/>
        <w:gridCol w:w="193"/>
        <w:gridCol w:w="1502"/>
      </w:tblGrid>
      <w:tr>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rPr>
            </w:pPr>
            <w:r>
              <w:rPr>
                <w:b/>
                <w:noProof/>
                <w:color w:val="000000"/>
                <w:sz w:val="22"/>
              </w:rPr>
              <w:t xml:space="preserve"> </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credite operaționale </w:t>
            </w:r>
            <w:r>
              <w:rPr>
                <w:noProof/>
              </w:rPr>
              <w:t xml:space="preserve"> </w:t>
            </w:r>
            <w:r>
              <w:rPr>
                <w:noProof/>
              </w:rPr>
              <w:br/>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credite cu caracter administrativ finanțate din bugetul unor programe specifice </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credite în cadrul RUBRICII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rPr>
            </w:pPr>
            <w:r>
              <w:rPr>
                <w:noProof/>
                <w:color w:val="000000"/>
                <w:sz w:val="22"/>
              </w:rPr>
              <w:t>din cadrul financiar multianual</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522" w:type="pct"/>
            <w:gridSpan w:val="2"/>
            <w:tcBorders>
              <w:top w:val="nil"/>
              <w:left w:val="nil"/>
              <w:bottom w:val="nil"/>
              <w:right w:val="nil"/>
            </w:tcBorders>
            <w:noWrap/>
            <w:vAlign w:val="bottom"/>
            <w:hideMark/>
          </w:tcPr>
          <w:p>
            <w:pPr>
              <w:spacing w:before="0" w:after="0"/>
              <w:jc w:val="left"/>
              <w:rPr>
                <w:noProof/>
                <w:sz w:val="20"/>
                <w:szCs w:val="24"/>
                <w:lang w:eastAsia="en-IE"/>
              </w:rPr>
            </w:pPr>
          </w:p>
        </w:tc>
        <w:tc>
          <w:tcPr>
            <w:tcW w:w="471" w:type="pct"/>
            <w:gridSpan w:val="2"/>
            <w:tcBorders>
              <w:top w:val="nil"/>
              <w:left w:val="nil"/>
              <w:bottom w:val="nil"/>
              <w:right w:val="nil"/>
            </w:tcBorders>
            <w:noWrap/>
            <w:vAlign w:val="bottom"/>
            <w:hideMark/>
          </w:tcPr>
          <w:p>
            <w:pPr>
              <w:spacing w:before="0" w:after="0"/>
              <w:jc w:val="left"/>
              <w:rPr>
                <w:noProof/>
                <w:sz w:val="20"/>
                <w:szCs w:val="20"/>
                <w:lang w:eastAsia="en-IE"/>
              </w:rPr>
            </w:pPr>
          </w:p>
        </w:tc>
        <w:tc>
          <w:tcPr>
            <w:tcW w:w="365" w:type="pct"/>
            <w:tcBorders>
              <w:top w:val="nil"/>
              <w:left w:val="nil"/>
              <w:bottom w:val="nil"/>
              <w:right w:val="nil"/>
            </w:tcBorders>
            <w:noWrap/>
            <w:vAlign w:val="bottom"/>
            <w:hideMark/>
          </w:tcPr>
          <w:p>
            <w:pPr>
              <w:spacing w:before="0" w:after="0"/>
              <w:jc w:val="left"/>
              <w:rPr>
                <w:noProof/>
                <w:sz w:val="20"/>
                <w:szCs w:val="20"/>
                <w:lang w:eastAsia="en-IE"/>
              </w:rPr>
            </w:pPr>
          </w:p>
        </w:tc>
        <w:tc>
          <w:tcPr>
            <w:tcW w:w="365" w:type="pct"/>
            <w:gridSpan w:val="2"/>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29"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1522" w:type="pct"/>
            <w:gridSpan w:val="2"/>
            <w:tcBorders>
              <w:top w:val="nil"/>
              <w:left w:val="nil"/>
              <w:bottom w:val="nil"/>
              <w:right w:val="nil"/>
            </w:tcBorders>
            <w:noWrap/>
            <w:vAlign w:val="bottom"/>
            <w:hideMark/>
          </w:tcPr>
          <w:p>
            <w:pPr>
              <w:spacing w:before="0" w:after="0"/>
              <w:jc w:val="center"/>
              <w:rPr>
                <w:b/>
                <w:bCs/>
                <w:noProof/>
                <w:color w:val="000000"/>
                <w:sz w:val="20"/>
                <w:szCs w:val="20"/>
                <w:lang w:eastAsia="en-IE"/>
              </w:rPr>
            </w:pPr>
          </w:p>
        </w:tc>
        <w:tc>
          <w:tcPr>
            <w:tcW w:w="471" w:type="pct"/>
            <w:gridSpan w:val="2"/>
            <w:tcBorders>
              <w:top w:val="nil"/>
              <w:left w:val="nil"/>
              <w:bottom w:val="nil"/>
              <w:right w:val="nil"/>
            </w:tcBorders>
            <w:noWrap/>
            <w:vAlign w:val="bottom"/>
            <w:hideMark/>
          </w:tcPr>
          <w:p>
            <w:pPr>
              <w:spacing w:before="0" w:after="0"/>
              <w:jc w:val="left"/>
              <w:rPr>
                <w:noProof/>
                <w:sz w:val="20"/>
                <w:szCs w:val="20"/>
                <w:lang w:eastAsia="en-IE"/>
              </w:rPr>
            </w:pPr>
          </w:p>
        </w:tc>
        <w:tc>
          <w:tcPr>
            <w:tcW w:w="365" w:type="pct"/>
            <w:tcBorders>
              <w:top w:val="nil"/>
              <w:left w:val="nil"/>
              <w:bottom w:val="nil"/>
              <w:right w:val="nil"/>
            </w:tcBorders>
            <w:noWrap/>
            <w:vAlign w:val="bottom"/>
            <w:hideMark/>
          </w:tcPr>
          <w:p>
            <w:pPr>
              <w:spacing w:before="0" w:after="0"/>
              <w:jc w:val="left"/>
              <w:rPr>
                <w:noProof/>
                <w:sz w:val="20"/>
                <w:szCs w:val="20"/>
                <w:lang w:eastAsia="en-IE"/>
              </w:rPr>
            </w:pPr>
          </w:p>
        </w:tc>
        <w:tc>
          <w:tcPr>
            <w:tcW w:w="365" w:type="pct"/>
            <w:gridSpan w:val="2"/>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29"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TOTAL credite operaționale (toate rubricile operaționale)</w:t>
            </w:r>
          </w:p>
        </w:tc>
        <w:tc>
          <w:tcPr>
            <w:tcW w:w="471" w:type="pct"/>
            <w:gridSpan w:val="2"/>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471"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rPr>
            </w:pPr>
            <w:r>
              <w:rPr>
                <w:noProof/>
                <w:color w:val="000000"/>
                <w:sz w:val="21"/>
              </w:rPr>
              <w:t>TOTAL credite cu caracter administrativ finanțate din bugetul unor programe specifice (toate rubricile operaționale)</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credite în cadrul rubricilor 1-6</w:t>
            </w:r>
          </w:p>
        </w:tc>
        <w:tc>
          <w:tcPr>
            <w:tcW w:w="471" w:type="pct"/>
            <w:gridSpan w:val="2"/>
            <w:tcBorders>
              <w:top w:val="nil"/>
              <w:left w:val="nil"/>
              <w:bottom w:val="nil"/>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731" w:type="pct"/>
            <w:gridSpan w:val="3"/>
            <w:tcBorders>
              <w:top w:val="single" w:sz="8" w:space="0" w:color="auto"/>
              <w:left w:val="nil"/>
              <w:bottom w:val="nil"/>
              <w:right w:val="single" w:sz="8" w:space="0" w:color="000000"/>
            </w:tcBorders>
            <w:vAlign w:val="center"/>
            <w:hideMark/>
          </w:tcPr>
          <w:p>
            <w:pPr>
              <w:spacing w:before="0" w:after="0"/>
              <w:jc w:val="center"/>
              <w:rPr>
                <w:noProof/>
                <w:color w:val="000000"/>
                <w:sz w:val="14"/>
                <w:szCs w:val="14"/>
              </w:rPr>
            </w:pPr>
            <w:r>
              <w:rPr>
                <w:noProof/>
                <w:color w:val="000000"/>
                <w:sz w:val="14"/>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0"/>
                <w:szCs w:val="20"/>
              </w:rPr>
            </w:pPr>
            <w:r>
              <w:rPr>
                <w:noProof/>
                <w:color w:val="000000"/>
                <w:sz w:val="20"/>
              </w:rPr>
              <w:t>din cadrul financiar multianual</w:t>
            </w:r>
            <w:r>
              <w:rPr>
                <w:noProof/>
              </w:rPr>
              <w:t xml:space="preserve"> </w:t>
            </w:r>
            <w:r>
              <w:rPr>
                <w:noProof/>
              </w:rPr>
              <w:br/>
            </w:r>
            <w:r>
              <w:rPr>
                <w:noProof/>
                <w:color w:val="000000"/>
                <w:sz w:val="20"/>
              </w:rPr>
              <w:t>(Suma de referință)</w:t>
            </w:r>
          </w:p>
        </w:tc>
        <w:tc>
          <w:tcPr>
            <w:tcW w:w="471"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245"/>
        <w:gridCol w:w="1126"/>
        <w:gridCol w:w="1274"/>
        <w:gridCol w:w="637"/>
        <w:gridCol w:w="640"/>
        <w:gridCol w:w="1069"/>
        <w:gridCol w:w="1069"/>
        <w:gridCol w:w="1069"/>
        <w:gridCol w:w="1069"/>
        <w:gridCol w:w="1320"/>
      </w:tblGrid>
      <w:tr>
        <w:trPr>
          <w:jc w:val="center"/>
        </w:trPr>
        <w:tc>
          <w:tcPr>
            <w:tcW w:w="1739" w:type="pct"/>
            <w:gridSpan w:val="2"/>
            <w:shd w:val="thinDiagStripe" w:color="C0C0C0" w:fill="auto"/>
            <w:vAlign w:val="center"/>
          </w:tcPr>
          <w:p>
            <w:pPr>
              <w:spacing w:before="60" w:after="60"/>
              <w:jc w:val="center"/>
              <w:rPr>
                <w:b/>
                <w:noProof/>
              </w:rPr>
            </w:pPr>
            <w:r>
              <w:rPr>
                <w:noProof/>
              </w:rPr>
              <w:br w:type="page"/>
            </w:r>
            <w:r>
              <w:rPr>
                <w:b/>
                <w:noProof/>
                <w:sz w:val="22"/>
              </w:rPr>
              <w:t xml:space="preserve">Rubrica din cadrul financiar multianual </w:t>
            </w:r>
          </w:p>
        </w:tc>
        <w:tc>
          <w:tcPr>
            <w:tcW w:w="396" w:type="pct"/>
            <w:shd w:val="thinDiagStripe" w:color="C0C0C0" w:fill="auto"/>
            <w:vAlign w:val="center"/>
          </w:tcPr>
          <w:p>
            <w:pPr>
              <w:spacing w:before="60" w:after="60"/>
              <w:jc w:val="center"/>
              <w:rPr>
                <w:noProof/>
              </w:rPr>
            </w:pPr>
            <w:r>
              <w:rPr>
                <w:b/>
                <w:noProof/>
                <w:sz w:val="22"/>
              </w:rPr>
              <w:t>7</w:t>
            </w:r>
          </w:p>
        </w:tc>
        <w:tc>
          <w:tcPr>
            <w:tcW w:w="2865" w:type="pct"/>
            <w:gridSpan w:val="8"/>
            <w:vAlign w:val="center"/>
          </w:tcPr>
          <w:p>
            <w:pPr>
              <w:spacing w:before="60" w:after="60"/>
              <w:rPr>
                <w:noProof/>
              </w:rPr>
            </w:pPr>
            <w:r>
              <w:rPr>
                <w:noProof/>
                <w:sz w:val="22"/>
              </w:rPr>
              <w:t>„Cheltuieli administrative”</w:t>
            </w:r>
            <w:r>
              <w:rPr>
                <w:noProof/>
              </w:rPr>
              <w:t xml:space="preserve"> </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DG: &lt;…….&gt;</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rPr>
              <w:t xml:space="preserve"> </w:t>
            </w:r>
            <w:r>
              <w:rPr>
                <w:noProof/>
                <w:color w:val="000000"/>
                <w:sz w:val="22"/>
              </w:rPr>
              <w:t xml:space="preserve">Resurse umane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rPr>
              <w:t xml:space="preserve"> </w:t>
            </w:r>
            <w:r>
              <w:rPr>
                <w:noProof/>
                <w:color w:val="000000"/>
                <w:sz w:val="22"/>
              </w:rPr>
              <w:t xml:space="preserve">Alte cheltuieli administrative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 xml:space="preserve">TOTAL DG </w:t>
            </w:r>
            <w:r>
              <w:rPr>
                <w:noProof/>
                <w:color w:val="000000"/>
                <w:sz w:val="22"/>
              </w:rPr>
              <w:t>&lt;…….&gt;</w:t>
            </w:r>
          </w:p>
        </w:tc>
        <w:tc>
          <w:tcPr>
            <w:tcW w:w="1378" w:type="pct"/>
            <w:gridSpan w:val="5"/>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rPr>
            </w:pPr>
            <w:r>
              <w:rPr>
                <w:noProof/>
                <w:color w:val="000000"/>
                <w:sz w:val="18"/>
              </w:rPr>
              <w:t xml:space="preserve">Credite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pPr>
              <w:spacing w:before="0" w:after="0"/>
              <w:jc w:val="right"/>
              <w:rPr>
                <w:b/>
                <w:bCs/>
                <w:noProof/>
                <w:color w:val="000000"/>
                <w:sz w:val="20"/>
                <w:szCs w:val="20"/>
                <w:lang w:eastAsia="en-IE"/>
              </w:rPr>
            </w:pPr>
          </w:p>
        </w:tc>
        <w:tc>
          <w:tcPr>
            <w:tcW w:w="929" w:type="pct"/>
            <w:gridSpan w:val="3"/>
            <w:tcBorders>
              <w:top w:val="nil"/>
              <w:left w:val="nil"/>
              <w:bottom w:val="nil"/>
              <w:right w:val="nil"/>
            </w:tcBorders>
            <w:noWrap/>
            <w:vAlign w:val="bottom"/>
            <w:hideMark/>
          </w:tcPr>
          <w:p>
            <w:pPr>
              <w:spacing w:before="0" w:after="0"/>
              <w:jc w:val="left"/>
              <w:rPr>
                <w:noProof/>
                <w:sz w:val="20"/>
                <w:szCs w:val="20"/>
                <w:lang w:eastAsia="en-IE"/>
              </w:rPr>
            </w:pPr>
          </w:p>
        </w:tc>
        <w:tc>
          <w:tcPr>
            <w:tcW w:w="224" w:type="pct"/>
            <w:tcBorders>
              <w:top w:val="nil"/>
              <w:left w:val="nil"/>
              <w:bottom w:val="nil"/>
              <w:right w:val="nil"/>
            </w:tcBorders>
            <w:noWrap/>
            <w:vAlign w:val="bottom"/>
            <w:hideMark/>
          </w:tcPr>
          <w:p>
            <w:pPr>
              <w:spacing w:before="0" w:after="0"/>
              <w:jc w:val="left"/>
              <w:rPr>
                <w:noProof/>
                <w:sz w:val="20"/>
                <w:szCs w:val="20"/>
                <w:lang w:eastAsia="en-IE"/>
              </w:rPr>
            </w:pPr>
          </w:p>
        </w:tc>
        <w:tc>
          <w:tcPr>
            <w:tcW w:w="225"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465" w:type="pct"/>
            <w:tcBorders>
              <w:top w:val="nil"/>
              <w:left w:val="nil"/>
              <w:bottom w:val="nil"/>
              <w:right w:val="nil"/>
            </w:tcBorders>
            <w:noWrap/>
            <w:vAlign w:val="bottom"/>
            <w:hideMark/>
          </w:tcPr>
          <w:p>
            <w:pPr>
              <w:spacing w:before="0" w:after="0"/>
              <w:jc w:val="left"/>
              <w:rPr>
                <w:noProof/>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DG: &lt;…….&gt;</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37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37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rPr>
              <w:t xml:space="preserve"> </w:t>
            </w:r>
            <w:r>
              <w:rPr>
                <w:noProof/>
                <w:color w:val="000000"/>
                <w:sz w:val="22"/>
              </w:rPr>
              <w:t xml:space="preserve">Resurse umane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rPr>
              <w:t xml:space="preserve"> </w:t>
            </w:r>
            <w:r>
              <w:rPr>
                <w:noProof/>
                <w:color w:val="000000"/>
                <w:sz w:val="22"/>
              </w:rPr>
              <w:t xml:space="preserve">Alte cheltuieli administrative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 xml:space="preserve">TOTAL DG </w:t>
            </w:r>
            <w:r>
              <w:rPr>
                <w:noProof/>
                <w:color w:val="000000"/>
                <w:sz w:val="22"/>
              </w:rPr>
              <w:t>&lt;…….&gt;</w:t>
            </w:r>
          </w:p>
        </w:tc>
        <w:tc>
          <w:tcPr>
            <w:tcW w:w="1378" w:type="pct"/>
            <w:gridSpan w:val="5"/>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rPr>
            </w:pPr>
            <w:r>
              <w:rPr>
                <w:noProof/>
                <w:color w:val="000000"/>
                <w:sz w:val="18"/>
              </w:rPr>
              <w:t xml:space="preserve">Credite </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pPr>
              <w:spacing w:before="0" w:after="0"/>
              <w:jc w:val="right"/>
              <w:rPr>
                <w:b/>
                <w:bCs/>
                <w:noProof/>
                <w:color w:val="000000"/>
                <w:sz w:val="20"/>
                <w:szCs w:val="20"/>
                <w:lang w:eastAsia="en-IE"/>
              </w:rPr>
            </w:pPr>
          </w:p>
        </w:tc>
        <w:tc>
          <w:tcPr>
            <w:tcW w:w="929" w:type="pct"/>
            <w:gridSpan w:val="3"/>
            <w:tcBorders>
              <w:top w:val="nil"/>
              <w:left w:val="nil"/>
              <w:bottom w:val="nil"/>
              <w:right w:val="nil"/>
            </w:tcBorders>
            <w:noWrap/>
            <w:vAlign w:val="bottom"/>
            <w:hideMark/>
          </w:tcPr>
          <w:p>
            <w:pPr>
              <w:spacing w:before="0" w:after="0"/>
              <w:jc w:val="left"/>
              <w:rPr>
                <w:noProof/>
                <w:sz w:val="20"/>
                <w:szCs w:val="20"/>
                <w:lang w:eastAsia="en-IE"/>
              </w:rPr>
            </w:pPr>
          </w:p>
        </w:tc>
        <w:tc>
          <w:tcPr>
            <w:tcW w:w="224" w:type="pct"/>
            <w:tcBorders>
              <w:top w:val="nil"/>
              <w:left w:val="nil"/>
              <w:bottom w:val="nil"/>
              <w:right w:val="nil"/>
            </w:tcBorders>
            <w:noWrap/>
            <w:vAlign w:val="bottom"/>
            <w:hideMark/>
          </w:tcPr>
          <w:p>
            <w:pPr>
              <w:spacing w:before="0" w:after="0"/>
              <w:jc w:val="left"/>
              <w:rPr>
                <w:noProof/>
                <w:sz w:val="20"/>
                <w:szCs w:val="20"/>
                <w:lang w:eastAsia="en-IE"/>
              </w:rPr>
            </w:pPr>
          </w:p>
        </w:tc>
        <w:tc>
          <w:tcPr>
            <w:tcW w:w="225"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376" w:type="pct"/>
            <w:tcBorders>
              <w:top w:val="nil"/>
              <w:left w:val="nil"/>
              <w:bottom w:val="nil"/>
              <w:right w:val="nil"/>
            </w:tcBorders>
            <w:noWrap/>
            <w:vAlign w:val="bottom"/>
            <w:hideMark/>
          </w:tcPr>
          <w:p>
            <w:pPr>
              <w:spacing w:before="0" w:after="0"/>
              <w:jc w:val="left"/>
              <w:rPr>
                <w:noProof/>
                <w:sz w:val="20"/>
                <w:szCs w:val="20"/>
                <w:lang w:eastAsia="en-IE"/>
              </w:rPr>
            </w:pPr>
          </w:p>
        </w:tc>
        <w:tc>
          <w:tcPr>
            <w:tcW w:w="465" w:type="pct"/>
            <w:tcBorders>
              <w:top w:val="nil"/>
              <w:left w:val="nil"/>
              <w:bottom w:val="nil"/>
              <w:right w:val="nil"/>
            </w:tcBorders>
            <w:noWrap/>
            <w:vAlign w:val="bottom"/>
            <w:hideMark/>
          </w:tcPr>
          <w:p>
            <w:pPr>
              <w:spacing w:before="0" w:after="0"/>
              <w:jc w:val="left"/>
              <w:rPr>
                <w:noProof/>
                <w:sz w:val="20"/>
                <w:szCs w:val="20"/>
                <w:lang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2583" w:type="pct"/>
            <w:gridSpan w:val="4"/>
            <w:tcBorders>
              <w:top w:val="single" w:sz="8" w:space="0" w:color="auto"/>
              <w:left w:val="single" w:sz="8" w:space="0" w:color="auto"/>
              <w:bottom w:val="single" w:sz="8" w:space="0" w:color="auto"/>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 xml:space="preserve">TOTAL credite în cadrul RUBRICII 7 din cadrul financiar multianual </w:t>
            </w:r>
          </w:p>
        </w:tc>
        <w:tc>
          <w:tcPr>
            <w:tcW w:w="449"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(Total angajamente = Total plăți)</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65"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jc w:val="right"/>
        <w:rPr>
          <w:noProof/>
          <w:sz w:val="20"/>
        </w:rPr>
      </w:pPr>
      <w:r>
        <w:rPr>
          <w:noProof/>
          <w:sz w:val="20"/>
        </w:rPr>
        <w:t>milioane EUR (cu trei zecimale)</w:t>
      </w:r>
    </w:p>
    <w:tbl>
      <w:tblPr>
        <w:tblW w:w="5000" w:type="pct"/>
        <w:tblLook w:val="04A0" w:firstRow="1" w:lastRow="0" w:firstColumn="1" w:lastColumn="0" w:noHBand="0" w:noVBand="1"/>
      </w:tblPr>
      <w:tblGrid>
        <w:gridCol w:w="5607"/>
        <w:gridCol w:w="2080"/>
        <w:gridCol w:w="1255"/>
        <w:gridCol w:w="1254"/>
        <w:gridCol w:w="1254"/>
        <w:gridCol w:w="1254"/>
        <w:gridCol w:w="1516"/>
      </w:tblGrid>
      <w:tr>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 xml:space="preserve"> </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2702"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564"/>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b/>
                <w:bCs/>
                <w:noProof/>
                <w:color w:val="000000"/>
                <w:sz w:val="22"/>
              </w:rPr>
            </w:pPr>
            <w:r>
              <w:rPr>
                <w:b/>
                <w:noProof/>
                <w:color w:val="000000"/>
                <w:sz w:val="22"/>
              </w:rPr>
              <w:t>TOTAL credite în cadrul RUBRICILOR 1-7</w:t>
            </w:r>
          </w:p>
        </w:tc>
        <w:tc>
          <w:tcPr>
            <w:tcW w:w="731" w:type="pct"/>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r>
      <w:tr>
        <w:trPr>
          <w:trHeight w:val="540"/>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noProof/>
                <w:color w:val="000000"/>
                <w:sz w:val="22"/>
              </w:rPr>
            </w:pPr>
            <w:r>
              <w:rPr>
                <w:noProof/>
                <w:color w:val="000000"/>
                <w:sz w:val="22"/>
              </w:rPr>
              <w:t>din cadrul financiar multianual</w:t>
            </w:r>
            <w:r>
              <w:rPr>
                <w:b/>
                <w:noProof/>
                <w:color w:val="000000"/>
                <w:sz w:val="22"/>
              </w:rPr>
              <w:t xml:space="preserve"> </w:t>
            </w:r>
          </w:p>
        </w:tc>
        <w:tc>
          <w:tcPr>
            <w:tcW w:w="731" w:type="pct"/>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r>
    </w:tbl>
    <w:p>
      <w:pPr>
        <w:pStyle w:val="ManualHeading3"/>
        <w:rPr>
          <w:noProof/>
        </w:rPr>
      </w:pPr>
      <w:bookmarkStart w:id="140" w:name="_Toc160804596"/>
      <w:bookmarkStart w:id="141" w:name="_Toc167220288"/>
      <w:bookmarkStart w:id="142" w:name="_Toc177549021"/>
      <w:r>
        <w:rPr>
          <w:noProof/>
        </w:rPr>
        <w:t>3.2.1.2.</w:t>
      </w:r>
      <w:r>
        <w:rPr>
          <w:noProof/>
        </w:rPr>
        <w:tab/>
        <w:t>Credite din venituri alocate externe</w:t>
      </w:r>
      <w:bookmarkEnd w:id="140"/>
      <w:bookmarkEnd w:id="141"/>
      <w:bookmarkEnd w:id="142"/>
    </w:p>
    <w:p>
      <w:pPr>
        <w:jc w:val="right"/>
        <w:rPr>
          <w:noProof/>
          <w:sz w:val="18"/>
          <w:szCs w:val="18"/>
        </w:rPr>
      </w:pPr>
      <w:r>
        <w:rPr>
          <w:noProof/>
          <w:sz w:val="18"/>
        </w:rPr>
        <w:t>milioane EUR (cu trei zecimale)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rPr>
            </w:pPr>
            <w:r>
              <w:rPr>
                <w:b/>
                <w:noProof/>
                <w:sz w:val="22"/>
              </w:rPr>
              <w:t xml:space="preserve">Rubrica din cadrul financiar multianual </w:t>
            </w:r>
          </w:p>
        </w:tc>
        <w:tc>
          <w:tcPr>
            <w:tcW w:w="396" w:type="pct"/>
            <w:vAlign w:val="center"/>
          </w:tcPr>
          <w:p>
            <w:pPr>
              <w:spacing w:before="60" w:after="60"/>
              <w:jc w:val="center"/>
              <w:rPr>
                <w:noProof/>
              </w:rPr>
            </w:pPr>
            <w:r>
              <w:rPr>
                <w:noProof/>
                <w:sz w:val="22"/>
              </w:rPr>
              <w:t>Numărul</w:t>
            </w:r>
          </w:p>
        </w:tc>
        <w:tc>
          <w:tcPr>
            <w:tcW w:w="2865" w:type="pct"/>
            <w:vAlign w:val="center"/>
          </w:tcPr>
          <w:p>
            <w:pPr>
              <w:spacing w:before="60" w:after="60"/>
              <w:rPr>
                <w:noProof/>
              </w:rPr>
            </w:pPr>
          </w:p>
        </w:tc>
      </w:tr>
    </w:tbl>
    <w:p>
      <w:pPr>
        <w:rPr>
          <w:noProof/>
          <w:sz w:val="16"/>
        </w:rPr>
      </w:pPr>
    </w:p>
    <w:tbl>
      <w:tblPr>
        <w:tblW w:w="5000" w:type="pct"/>
        <w:tblLook w:val="04A0" w:firstRow="1" w:lastRow="0" w:firstColumn="1" w:lastColumn="0" w:noHBand="0" w:noVBand="1"/>
      </w:tblPr>
      <w:tblGrid>
        <w:gridCol w:w="4035"/>
        <w:gridCol w:w="909"/>
        <w:gridCol w:w="594"/>
        <w:gridCol w:w="532"/>
        <w:gridCol w:w="879"/>
        <w:gridCol w:w="1411"/>
        <w:gridCol w:w="1411"/>
        <w:gridCol w:w="1402"/>
        <w:gridCol w:w="9"/>
        <w:gridCol w:w="1394"/>
        <w:gridCol w:w="1644"/>
      </w:tblGrid>
      <w:tr>
        <w:trPr>
          <w:trHeight w:val="420"/>
        </w:trPr>
        <w:tc>
          <w:tcPr>
            <w:tcW w:w="2444" w:type="pct"/>
            <w:gridSpan w:val="5"/>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7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288"/>
        </w:trPr>
        <w:tc>
          <w:tcPr>
            <w:tcW w:w="2444" w:type="pct"/>
            <w:gridSpan w:val="5"/>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11"/>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Credite operaționale </w:t>
            </w:r>
          </w:p>
        </w:tc>
      </w:tr>
      <w:tr>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Linia bugetară</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11"/>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rPr>
              <w:t xml:space="preserve">Credite cu caracter administrativ finanțate din bugetul unor programe specifice </w:t>
            </w:r>
          </w:p>
        </w:tc>
      </w:tr>
      <w:tr>
        <w:trPr>
          <w:trHeight w:val="288"/>
        </w:trPr>
        <w:tc>
          <w:tcPr>
            <w:tcW w:w="141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credite</w:t>
            </w:r>
          </w:p>
          <w:p>
            <w:pPr>
              <w:spacing w:before="0" w:after="0"/>
              <w:jc w:val="center"/>
              <w:rPr>
                <w:b/>
                <w:bCs/>
                <w:noProof/>
                <w:color w:val="000000"/>
                <w:sz w:val="22"/>
              </w:rPr>
            </w:pPr>
            <w:r>
              <w:rPr>
                <w:b/>
                <w:noProof/>
                <w:color w:val="000000"/>
                <w:sz w:val="22"/>
              </w:rPr>
              <w:t>pentru DG</w:t>
            </w:r>
            <w:r>
              <w:rPr>
                <w:noProof/>
                <w:color w:val="000000"/>
                <w:sz w:val="22"/>
              </w:rPr>
              <w:t xml:space="preserve">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 a+1b+3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 a+2b+3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20"/>
        </w:trPr>
        <w:tc>
          <w:tcPr>
            <w:tcW w:w="2444" w:type="pct"/>
            <w:gridSpan w:val="5"/>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7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288"/>
        </w:trPr>
        <w:tc>
          <w:tcPr>
            <w:tcW w:w="2444" w:type="pct"/>
            <w:gridSpan w:val="5"/>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11"/>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Credite operaționale </w:t>
            </w:r>
          </w:p>
        </w:tc>
      </w:tr>
      <w:tr>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Linia bugetară</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11"/>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rPr>
              <w:t xml:space="preserve">Credite cu caracter administrativ finanțate din bugetul unor programe specifice </w:t>
            </w:r>
          </w:p>
        </w:tc>
      </w:tr>
      <w:tr>
        <w:trPr>
          <w:trHeight w:val="288"/>
        </w:trPr>
        <w:tc>
          <w:tcPr>
            <w:tcW w:w="141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credite</w:t>
            </w:r>
          </w:p>
          <w:p>
            <w:pPr>
              <w:spacing w:before="0" w:after="0"/>
              <w:jc w:val="center"/>
              <w:rPr>
                <w:b/>
                <w:bCs/>
                <w:noProof/>
                <w:color w:val="000000"/>
                <w:sz w:val="22"/>
              </w:rPr>
            </w:pPr>
            <w:r>
              <w:rPr>
                <w:b/>
                <w:noProof/>
                <w:color w:val="000000"/>
                <w:sz w:val="22"/>
              </w:rPr>
              <w:t>pentru DG</w:t>
            </w:r>
            <w:r>
              <w:rPr>
                <w:noProof/>
                <w:color w:val="000000"/>
                <w:sz w:val="22"/>
              </w:rPr>
              <w:t xml:space="preserve">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 a+1b+3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 a+2b+3</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2432" w:type="pct"/>
            <w:gridSpan w:val="5"/>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rPr>
            </w:pPr>
            <w:r>
              <w:rPr>
                <w:b/>
                <w:noProof/>
                <w:color w:val="000000"/>
                <w:sz w:val="22"/>
              </w:rPr>
              <w:t xml:space="preserve"> </w:t>
            </w:r>
          </w:p>
        </w:tc>
        <w:tc>
          <w:tcPr>
            <w:tcW w:w="49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2432" w:type="pct"/>
            <w:gridSpan w:val="5"/>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eastAsia="en-IE"/>
              </w:rPr>
            </w:pPr>
          </w:p>
        </w:tc>
        <w:tc>
          <w:tcPr>
            <w:tcW w:w="493"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3"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3"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credite operaționale </w:t>
            </w:r>
            <w:r>
              <w:rPr>
                <w:noProof/>
              </w:rPr>
              <w:t xml:space="preserve"> </w:t>
            </w:r>
            <w:r>
              <w:rPr>
                <w:noProof/>
              </w:rPr>
              <w:br/>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credite cu caracter administrativ finanțate din bugetul unor programe specifice </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(6)</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credite în cadrul RUBRICII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=4+6</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rPr>
            </w:pPr>
            <w:r>
              <w:rPr>
                <w:noProof/>
                <w:color w:val="000000"/>
                <w:sz w:val="22"/>
              </w:rPr>
              <w:t>din cadrul financiar multianual</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2"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=5+6</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1739" w:type="pct"/>
            <w:gridSpan w:val="2"/>
            <w:shd w:val="thinDiagStripe" w:color="C0C0C0" w:fill="auto"/>
            <w:vAlign w:val="center"/>
          </w:tcPr>
          <w:p>
            <w:pPr>
              <w:spacing w:before="60" w:after="60"/>
              <w:jc w:val="center"/>
              <w:rPr>
                <w:b/>
                <w:noProof/>
              </w:rPr>
            </w:pPr>
            <w:r>
              <w:rPr>
                <w:b/>
                <w:noProof/>
                <w:sz w:val="22"/>
              </w:rPr>
              <w:t xml:space="preserve">Rubrica din cadrul financiar multianual </w:t>
            </w:r>
          </w:p>
        </w:tc>
        <w:tc>
          <w:tcPr>
            <w:tcW w:w="396" w:type="pct"/>
            <w:gridSpan w:val="2"/>
            <w:vAlign w:val="center"/>
          </w:tcPr>
          <w:p>
            <w:pPr>
              <w:spacing w:before="60" w:after="60"/>
              <w:jc w:val="center"/>
              <w:rPr>
                <w:noProof/>
              </w:rPr>
            </w:pPr>
            <w:r>
              <w:rPr>
                <w:noProof/>
                <w:sz w:val="22"/>
              </w:rPr>
              <w:t>Numărul</w:t>
            </w:r>
          </w:p>
        </w:tc>
        <w:tc>
          <w:tcPr>
            <w:tcW w:w="2865" w:type="pct"/>
            <w:gridSpan w:val="7"/>
            <w:vAlign w:val="center"/>
          </w:tcPr>
          <w:p>
            <w:pPr>
              <w:spacing w:before="60" w:after="60"/>
              <w:rPr>
                <w:noProof/>
              </w:rPr>
            </w:pPr>
          </w:p>
        </w:tc>
      </w:tr>
    </w:tbl>
    <w:p>
      <w:pPr>
        <w:spacing w:before="0" w:after="200" w:line="276" w:lineRule="auto"/>
        <w:jc w:val="left"/>
        <w:rPr>
          <w:noProof/>
          <w:sz w:val="16"/>
        </w:rPr>
      </w:pPr>
    </w:p>
    <w:tbl>
      <w:tblPr>
        <w:tblW w:w="5000" w:type="pct"/>
        <w:tblLook w:val="04A0" w:firstRow="1" w:lastRow="0" w:firstColumn="1" w:lastColumn="0" w:noHBand="0" w:noVBand="1"/>
      </w:tblPr>
      <w:tblGrid>
        <w:gridCol w:w="4035"/>
        <w:gridCol w:w="292"/>
        <w:gridCol w:w="1212"/>
        <w:gridCol w:w="128"/>
        <w:gridCol w:w="1038"/>
        <w:gridCol w:w="245"/>
        <w:gridCol w:w="796"/>
        <w:gridCol w:w="614"/>
        <w:gridCol w:w="629"/>
        <w:gridCol w:w="782"/>
        <w:gridCol w:w="461"/>
        <w:gridCol w:w="941"/>
        <w:gridCol w:w="9"/>
        <w:gridCol w:w="293"/>
        <w:gridCol w:w="1101"/>
        <w:gridCol w:w="142"/>
        <w:gridCol w:w="1502"/>
      </w:tblGrid>
      <w:tr>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78"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288"/>
        </w:trPr>
        <w:tc>
          <w:tcPr>
            <w:tcW w:w="2444" w:type="pct"/>
            <w:gridSpan w:val="6"/>
            <w:vMerge/>
            <w:vAlign w:val="center"/>
            <w:hideMark/>
          </w:tcPr>
          <w:p>
            <w:pPr>
              <w:spacing w:before="0" w:after="0"/>
              <w:jc w:val="left"/>
              <w:rPr>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gridSpan w:val="2"/>
            <w:vMerge/>
            <w:vAlign w:val="center"/>
            <w:hideMark/>
          </w:tcPr>
          <w:p>
            <w:pPr>
              <w:spacing w:before="0" w:after="0"/>
              <w:jc w:val="left"/>
              <w:rPr>
                <w:b/>
                <w:bCs/>
                <w:noProof/>
                <w:color w:val="000000"/>
                <w:sz w:val="20"/>
                <w:szCs w:val="20"/>
                <w:lang w:eastAsia="en-IE"/>
              </w:rPr>
            </w:pPr>
          </w:p>
        </w:tc>
      </w:tr>
      <w:tr>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Credite operaționale </w:t>
            </w:r>
          </w:p>
        </w:tc>
      </w:tr>
      <w:tr>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Linia bugetară</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vAlign w:val="center"/>
            <w:hideMark/>
          </w:tcPr>
          <w:p>
            <w:pPr>
              <w:spacing w:before="0" w:after="0"/>
              <w:jc w:val="left"/>
              <w:rPr>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vAlign w:val="center"/>
            <w:hideMark/>
          </w:tcPr>
          <w:p>
            <w:pPr>
              <w:spacing w:before="0" w:after="0"/>
              <w:jc w:val="left"/>
              <w:rPr>
                <w:noProof/>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rPr>
              <w:t xml:space="preserve">Credite cu caracter administrativ finanțate din bugetul unor programe specifice </w:t>
            </w:r>
          </w:p>
        </w:tc>
      </w:tr>
      <w:tr>
        <w:trPr>
          <w:trHeight w:val="288"/>
        </w:trPr>
        <w:tc>
          <w:tcPr>
            <w:tcW w:w="141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credite</w:t>
            </w:r>
          </w:p>
          <w:p>
            <w:pPr>
              <w:spacing w:before="0" w:after="0"/>
              <w:jc w:val="center"/>
              <w:rPr>
                <w:b/>
                <w:bCs/>
                <w:noProof/>
                <w:color w:val="000000"/>
                <w:sz w:val="22"/>
              </w:rPr>
            </w:pPr>
            <w:r>
              <w:rPr>
                <w:b/>
                <w:noProof/>
                <w:color w:val="000000"/>
                <w:sz w:val="22"/>
              </w:rPr>
              <w:t>pentru DG</w:t>
            </w:r>
            <w:r>
              <w:rPr>
                <w:noProof/>
                <w:color w:val="000000"/>
                <w:sz w:val="22"/>
              </w:rPr>
              <w:t xml:space="preserve">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 a+1b+3</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vAlign w:val="center"/>
            <w:hideMark/>
          </w:tcPr>
          <w:p>
            <w:pPr>
              <w:spacing w:before="0" w:after="0"/>
              <w:jc w:val="center"/>
              <w:rPr>
                <w:b/>
                <w:bCs/>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 a+2b+3</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20"/>
                <w:szCs w:val="20"/>
              </w:rPr>
            </w:pPr>
            <w:r>
              <w:rPr>
                <w:b/>
                <w:noProof/>
                <w:color w:val="000000"/>
                <w:sz w:val="20"/>
              </w:rPr>
              <w:t>0,000</w:t>
            </w:r>
          </w:p>
        </w:tc>
      </w:tr>
      <w:tr>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78"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6"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6"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78"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0"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Credite operaționale </w:t>
            </w:r>
          </w:p>
        </w:tc>
      </w:tr>
      <w:tr>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Linia bugetară</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15"/>
        </w:trPr>
        <w:tc>
          <w:tcPr>
            <w:tcW w:w="1419"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(2b)</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20"/>
                <w:szCs w:val="20"/>
              </w:rPr>
            </w:pPr>
            <w:r>
              <w:rPr>
                <w:noProof/>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pPr>
              <w:spacing w:before="0" w:after="0"/>
              <w:jc w:val="left"/>
              <w:rPr>
                <w:noProof/>
                <w:color w:val="000000"/>
                <w:sz w:val="22"/>
              </w:rPr>
            </w:pPr>
            <w:r>
              <w:rPr>
                <w:noProof/>
              </w:rPr>
              <w:t xml:space="preserve">Credite cu caracter administrativ finanțate din bugetul unor programe specifice </w:t>
            </w:r>
          </w:p>
        </w:tc>
      </w:tr>
      <w:tr>
        <w:trPr>
          <w:trHeight w:val="288"/>
        </w:trPr>
        <w:tc>
          <w:tcPr>
            <w:tcW w:w="1419"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credite</w:t>
            </w:r>
          </w:p>
          <w:p>
            <w:pPr>
              <w:spacing w:before="0" w:after="0"/>
              <w:jc w:val="center"/>
              <w:rPr>
                <w:b/>
                <w:bCs/>
                <w:noProof/>
                <w:color w:val="000000"/>
                <w:sz w:val="22"/>
              </w:rPr>
            </w:pPr>
            <w:r>
              <w:rPr>
                <w:b/>
                <w:noProof/>
                <w:color w:val="000000"/>
                <w:sz w:val="22"/>
              </w:rPr>
              <w:t>pentru DG</w:t>
            </w:r>
            <w:r>
              <w:rPr>
                <w:noProof/>
                <w:color w:val="000000"/>
                <w:sz w:val="22"/>
              </w:rPr>
              <w:t xml:space="preserve">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 a+1b+3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419" w:type="pct"/>
            <w:vMerge/>
            <w:tcBorders>
              <w:left w:val="single" w:sz="8" w:space="0" w:color="auto"/>
              <w:bottom w:val="single" w:sz="8" w:space="0" w:color="auto"/>
              <w:right w:val="single" w:sz="8" w:space="0" w:color="auto"/>
            </w:tcBorders>
            <w:vAlign w:val="center"/>
            <w:hideMark/>
          </w:tcPr>
          <w:p>
            <w:pPr>
              <w:spacing w:before="0" w:after="0"/>
              <w:jc w:val="center"/>
              <w:rPr>
                <w:b/>
                <w:bCs/>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 a+2b+3</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22"/>
              </w:rPr>
            </w:pPr>
            <w:r>
              <w:rPr>
                <w:b/>
                <w:noProof/>
                <w:color w:val="000000"/>
                <w:sz w:val="22"/>
              </w:rPr>
              <w:t xml:space="preserve"> </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93"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93"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93"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credite operaționale </w:t>
            </w:r>
            <w:r>
              <w:rPr>
                <w:noProof/>
              </w:rPr>
              <w:t xml:space="preserve"> </w:t>
            </w:r>
            <w:r>
              <w:rPr>
                <w:noProof/>
              </w:rPr>
              <w:br/>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456"/>
        </w:trPr>
        <w:tc>
          <w:tcPr>
            <w:tcW w:w="1411"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 xml:space="preserve">TOTAL credite cu caracter administrativ finanțate din bugetul unor programe specifice </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credite în cadrul RUBRICII &lt;….&gt;</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2"/>
              </w:rPr>
            </w:pPr>
            <w:r>
              <w:rPr>
                <w:noProof/>
                <w:color w:val="000000"/>
                <w:sz w:val="22"/>
              </w:rPr>
              <w:t>din cadrul financiar multianual</w:t>
            </w:r>
          </w:p>
        </w:tc>
        <w:tc>
          <w:tcPr>
            <w:tcW w:w="529"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522" w:type="pct"/>
            <w:gridSpan w:val="2"/>
            <w:tcBorders>
              <w:top w:val="nil"/>
              <w:left w:val="nil"/>
              <w:bottom w:val="nil"/>
              <w:right w:val="nil"/>
            </w:tcBorders>
            <w:noWrap/>
            <w:vAlign w:val="bottom"/>
            <w:hideMark/>
          </w:tcPr>
          <w:p>
            <w:pPr>
              <w:spacing w:before="0" w:after="0"/>
              <w:jc w:val="left"/>
              <w:rPr>
                <w:noProof/>
                <w:sz w:val="20"/>
                <w:szCs w:val="24"/>
                <w:lang w:eastAsia="en-IE"/>
              </w:rPr>
            </w:pPr>
          </w:p>
        </w:tc>
        <w:tc>
          <w:tcPr>
            <w:tcW w:w="471" w:type="pct"/>
            <w:gridSpan w:val="2"/>
            <w:tcBorders>
              <w:top w:val="nil"/>
              <w:left w:val="nil"/>
              <w:bottom w:val="nil"/>
              <w:right w:val="nil"/>
            </w:tcBorders>
            <w:noWrap/>
            <w:vAlign w:val="bottom"/>
            <w:hideMark/>
          </w:tcPr>
          <w:p>
            <w:pPr>
              <w:spacing w:before="0" w:after="0"/>
              <w:jc w:val="left"/>
              <w:rPr>
                <w:noProof/>
                <w:sz w:val="20"/>
                <w:szCs w:val="20"/>
                <w:lang w:eastAsia="en-IE"/>
              </w:rPr>
            </w:pPr>
          </w:p>
        </w:tc>
        <w:tc>
          <w:tcPr>
            <w:tcW w:w="365" w:type="pct"/>
            <w:tcBorders>
              <w:top w:val="nil"/>
              <w:left w:val="nil"/>
              <w:bottom w:val="nil"/>
              <w:right w:val="nil"/>
            </w:tcBorders>
            <w:noWrap/>
            <w:vAlign w:val="bottom"/>
            <w:hideMark/>
          </w:tcPr>
          <w:p>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37" w:type="pct"/>
            <w:gridSpan w:val="3"/>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437" w:type="pct"/>
            <w:gridSpan w:val="2"/>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1522" w:type="pct"/>
            <w:gridSpan w:val="2"/>
            <w:tcBorders>
              <w:top w:val="nil"/>
              <w:left w:val="nil"/>
              <w:bottom w:val="nil"/>
              <w:right w:val="nil"/>
            </w:tcBorders>
            <w:noWrap/>
            <w:vAlign w:val="bottom"/>
            <w:hideMark/>
          </w:tcPr>
          <w:p>
            <w:pPr>
              <w:spacing w:before="0" w:after="0"/>
              <w:jc w:val="center"/>
              <w:rPr>
                <w:b/>
                <w:bCs/>
                <w:noProof/>
                <w:color w:val="000000"/>
                <w:sz w:val="20"/>
                <w:szCs w:val="20"/>
                <w:lang w:eastAsia="en-IE"/>
              </w:rPr>
            </w:pPr>
          </w:p>
        </w:tc>
        <w:tc>
          <w:tcPr>
            <w:tcW w:w="471" w:type="pct"/>
            <w:gridSpan w:val="2"/>
            <w:tcBorders>
              <w:top w:val="nil"/>
              <w:left w:val="nil"/>
              <w:bottom w:val="nil"/>
              <w:right w:val="nil"/>
            </w:tcBorders>
            <w:noWrap/>
            <w:vAlign w:val="bottom"/>
            <w:hideMark/>
          </w:tcPr>
          <w:p>
            <w:pPr>
              <w:spacing w:before="0" w:after="0"/>
              <w:jc w:val="left"/>
              <w:rPr>
                <w:noProof/>
                <w:sz w:val="20"/>
                <w:szCs w:val="20"/>
                <w:lang w:eastAsia="en-IE"/>
              </w:rPr>
            </w:pPr>
          </w:p>
        </w:tc>
        <w:tc>
          <w:tcPr>
            <w:tcW w:w="365" w:type="pct"/>
            <w:tcBorders>
              <w:top w:val="nil"/>
              <w:left w:val="nil"/>
              <w:bottom w:val="nil"/>
              <w:right w:val="nil"/>
            </w:tcBorders>
            <w:noWrap/>
            <w:vAlign w:val="bottom"/>
            <w:hideMark/>
          </w:tcPr>
          <w:p>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437" w:type="pct"/>
            <w:gridSpan w:val="3"/>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437" w:type="pct"/>
            <w:gridSpan w:val="2"/>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rPr>
                <w:noProof/>
                <w:color w:val="000000"/>
                <w:sz w:val="21"/>
                <w:szCs w:val="21"/>
              </w:rPr>
            </w:pPr>
            <w:r>
              <w:rPr>
                <w:noProof/>
                <w:color w:val="000000"/>
                <w:sz w:val="21"/>
              </w:rPr>
              <w:t>TOTAL credite operaționale (toate rubricile operaționale)</w:t>
            </w:r>
          </w:p>
        </w:tc>
        <w:tc>
          <w:tcPr>
            <w:tcW w:w="471" w:type="pct"/>
            <w:gridSpan w:val="2"/>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p>
        </w:tc>
        <w:tc>
          <w:tcPr>
            <w:tcW w:w="471"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rPr>
                <w:noProof/>
                <w:color w:val="000000"/>
                <w:sz w:val="21"/>
                <w:szCs w:val="21"/>
              </w:rPr>
            </w:pPr>
            <w:r>
              <w:rPr>
                <w:noProof/>
                <w:color w:val="000000"/>
                <w:sz w:val="21"/>
              </w:rPr>
              <w:t>TOTAL credite cu caracter administrativ finanțate din bugetul unor programe specifice (toate rubricile operaționale)</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TOTAL credite în cadrul RUBRICILOR 1-6</w:t>
            </w:r>
          </w:p>
        </w:tc>
        <w:tc>
          <w:tcPr>
            <w:tcW w:w="471" w:type="pct"/>
            <w:gridSpan w:val="2"/>
            <w:tcBorders>
              <w:top w:val="nil"/>
              <w:left w:val="nil"/>
              <w:bottom w:val="nil"/>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731" w:type="pct"/>
            <w:gridSpan w:val="3"/>
            <w:tcBorders>
              <w:top w:val="single" w:sz="8" w:space="0" w:color="auto"/>
              <w:left w:val="nil"/>
              <w:bottom w:val="nil"/>
              <w:right w:val="single" w:sz="8" w:space="0" w:color="000000"/>
            </w:tcBorders>
            <w:vAlign w:val="center"/>
            <w:hideMark/>
          </w:tcPr>
          <w:p>
            <w:pPr>
              <w:spacing w:before="0" w:after="0"/>
              <w:jc w:val="center"/>
              <w:rPr>
                <w:noProof/>
                <w:color w:val="000000"/>
                <w:sz w:val="14"/>
                <w:szCs w:val="14"/>
              </w:rPr>
            </w:pPr>
            <w:r>
              <w:rPr>
                <w:noProof/>
                <w:color w:val="000000"/>
                <w:sz w:val="14"/>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pPr>
              <w:spacing w:before="0" w:after="0"/>
              <w:jc w:val="center"/>
              <w:rPr>
                <w:noProof/>
                <w:color w:val="000000"/>
                <w:sz w:val="20"/>
                <w:szCs w:val="20"/>
              </w:rPr>
            </w:pPr>
            <w:r>
              <w:rPr>
                <w:noProof/>
                <w:color w:val="000000"/>
                <w:sz w:val="20"/>
              </w:rPr>
              <w:t>din cadrul financiar multianual (Suma de referință)</w:t>
            </w:r>
          </w:p>
        </w:tc>
        <w:tc>
          <w:tcPr>
            <w:tcW w:w="471" w:type="pct"/>
            <w:gridSpan w:val="2"/>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731" w:type="pct"/>
            <w:gridSpan w:val="3"/>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szCs w:val="14"/>
              </w:rPr>
            </w:pPr>
            <w:r>
              <w:rPr>
                <w:noProof/>
                <w:color w:val="000000"/>
                <w:sz w:val="14"/>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668" w:type="pct"/>
            <w:shd w:val="thinDiagStripe" w:color="C0C0C0" w:fill="auto"/>
            <w:vAlign w:val="center"/>
          </w:tcPr>
          <w:p>
            <w:pPr>
              <w:spacing w:before="60" w:after="60"/>
              <w:jc w:val="center"/>
              <w:rPr>
                <w:b/>
                <w:noProof/>
              </w:rPr>
            </w:pPr>
            <w:r>
              <w:rPr>
                <w:noProof/>
              </w:rPr>
              <w:br w:type="page"/>
            </w:r>
            <w:r>
              <w:rPr>
                <w:b/>
                <w:noProof/>
                <w:sz w:val="22"/>
              </w:rPr>
              <w:t xml:space="preserve">Rubrica din cadrul financiar multianual </w:t>
            </w:r>
          </w:p>
        </w:tc>
        <w:tc>
          <w:tcPr>
            <w:tcW w:w="380" w:type="pct"/>
            <w:shd w:val="thinDiagStripe" w:color="C0C0C0" w:fill="auto"/>
            <w:vAlign w:val="center"/>
          </w:tcPr>
          <w:p>
            <w:pPr>
              <w:spacing w:before="60" w:after="60"/>
              <w:jc w:val="center"/>
              <w:rPr>
                <w:noProof/>
              </w:rPr>
            </w:pPr>
            <w:r>
              <w:rPr>
                <w:b/>
                <w:noProof/>
                <w:sz w:val="22"/>
              </w:rPr>
              <w:t>7</w:t>
            </w:r>
          </w:p>
        </w:tc>
        <w:tc>
          <w:tcPr>
            <w:tcW w:w="2749" w:type="pct"/>
            <w:vAlign w:val="center"/>
          </w:tcPr>
          <w:p>
            <w:pPr>
              <w:spacing w:before="60" w:after="60"/>
              <w:rPr>
                <w:noProof/>
              </w:rPr>
            </w:pPr>
            <w:r>
              <w:rPr>
                <w:noProof/>
                <w:sz w:val="22"/>
              </w:rPr>
              <w:t>„Cheltuieli administrative”</w:t>
            </w:r>
            <w:r>
              <w:rPr>
                <w:noProof/>
              </w:rPr>
              <w:t xml:space="preserve"> </w:t>
            </w:r>
          </w:p>
        </w:tc>
      </w:tr>
    </w:tbl>
    <w:p>
      <w:pPr>
        <w:jc w:val="right"/>
        <w:rPr>
          <w:noProof/>
          <w:sz w:val="20"/>
        </w:rPr>
      </w:pPr>
      <w:r>
        <w:rPr>
          <w:noProof/>
          <w:sz w:val="20"/>
        </w:rPr>
        <w:t>milioane EUR (cu trei zecimale)</w:t>
      </w:r>
    </w:p>
    <w:tbl>
      <w:tblPr>
        <w:tblW w:w="13140" w:type="dxa"/>
        <w:tblInd w:w="118" w:type="dxa"/>
        <w:tblLook w:val="04A0" w:firstRow="1" w:lastRow="0" w:firstColumn="1" w:lastColumn="0" w:noHBand="0" w:noVBand="1"/>
      </w:tblPr>
      <w:tblGrid>
        <w:gridCol w:w="4405"/>
        <w:gridCol w:w="2477"/>
        <w:gridCol w:w="563"/>
        <w:gridCol w:w="563"/>
        <w:gridCol w:w="1001"/>
        <w:gridCol w:w="1001"/>
        <w:gridCol w:w="1001"/>
        <w:gridCol w:w="1001"/>
        <w:gridCol w:w="1244"/>
      </w:tblGrid>
      <w:tr>
        <w:trPr>
          <w:trHeight w:val="288"/>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DG: &lt;…….&gt;</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rPr>
              <w:t xml:space="preserve"> </w:t>
            </w:r>
            <w:r>
              <w:rPr>
                <w:noProof/>
                <w:color w:val="000000"/>
                <w:sz w:val="22"/>
              </w:rPr>
              <w:t xml:space="preserve">Resurse umane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rPr>
              <w:t xml:space="preserve"> </w:t>
            </w:r>
            <w:r>
              <w:rPr>
                <w:noProof/>
                <w:color w:val="000000"/>
                <w:sz w:val="22"/>
              </w:rPr>
              <w:t xml:space="preserve">Alte cheltuieli administrative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4405" w:type="dxa"/>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 xml:space="preserve">TOTAL DG </w:t>
            </w:r>
            <w:r>
              <w:rPr>
                <w:noProof/>
                <w:color w:val="000000"/>
                <w:sz w:val="22"/>
              </w:rPr>
              <w:t>&lt;…….&gt;</w:t>
            </w:r>
          </w:p>
        </w:tc>
        <w:tc>
          <w:tcPr>
            <w:tcW w:w="3487" w:type="dxa"/>
            <w:gridSpan w:val="3"/>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rPr>
            </w:pPr>
            <w:r>
              <w:rPr>
                <w:noProof/>
                <w:color w:val="000000"/>
                <w:sz w:val="18"/>
              </w:rPr>
              <w:t xml:space="preserve">Credite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4405" w:type="dxa"/>
            <w:tcBorders>
              <w:top w:val="nil"/>
              <w:left w:val="nil"/>
              <w:bottom w:val="nil"/>
              <w:right w:val="nil"/>
            </w:tcBorders>
            <w:noWrap/>
            <w:vAlign w:val="bottom"/>
            <w:hideMark/>
          </w:tcPr>
          <w:p>
            <w:pPr>
              <w:spacing w:before="0" w:after="0"/>
              <w:jc w:val="right"/>
              <w:rPr>
                <w:b/>
                <w:bCs/>
                <w:noProof/>
                <w:color w:val="000000"/>
                <w:sz w:val="20"/>
                <w:szCs w:val="20"/>
                <w:lang w:eastAsia="en-IE"/>
              </w:rPr>
            </w:pPr>
          </w:p>
        </w:tc>
        <w:tc>
          <w:tcPr>
            <w:tcW w:w="2477" w:type="dxa"/>
            <w:tcBorders>
              <w:top w:val="nil"/>
              <w:left w:val="nil"/>
              <w:bottom w:val="nil"/>
              <w:right w:val="nil"/>
            </w:tcBorders>
            <w:noWrap/>
            <w:vAlign w:val="bottom"/>
            <w:hideMark/>
          </w:tcPr>
          <w:p>
            <w:pPr>
              <w:spacing w:before="0" w:after="0"/>
              <w:jc w:val="left"/>
              <w:rPr>
                <w:noProof/>
                <w:sz w:val="20"/>
                <w:szCs w:val="20"/>
                <w:lang w:eastAsia="en-IE"/>
              </w:rPr>
            </w:pPr>
          </w:p>
        </w:tc>
        <w:tc>
          <w:tcPr>
            <w:tcW w:w="505" w:type="dxa"/>
            <w:tcBorders>
              <w:top w:val="nil"/>
              <w:left w:val="nil"/>
              <w:bottom w:val="nil"/>
              <w:right w:val="nil"/>
            </w:tcBorders>
            <w:noWrap/>
            <w:vAlign w:val="bottom"/>
            <w:hideMark/>
          </w:tcPr>
          <w:p>
            <w:pPr>
              <w:spacing w:before="0" w:after="0"/>
              <w:jc w:val="left"/>
              <w:rPr>
                <w:noProof/>
                <w:sz w:val="20"/>
                <w:szCs w:val="20"/>
                <w:lang w:eastAsia="en-IE"/>
              </w:rPr>
            </w:pPr>
          </w:p>
        </w:tc>
        <w:tc>
          <w:tcPr>
            <w:tcW w:w="505"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244" w:type="dxa"/>
            <w:tcBorders>
              <w:top w:val="nil"/>
              <w:left w:val="nil"/>
              <w:bottom w:val="nil"/>
              <w:right w:val="nil"/>
            </w:tcBorders>
            <w:noWrap/>
            <w:vAlign w:val="bottom"/>
            <w:hideMark/>
          </w:tcPr>
          <w:p>
            <w:pPr>
              <w:spacing w:before="0" w:after="0"/>
              <w:jc w:val="left"/>
              <w:rPr>
                <w:noProof/>
                <w:sz w:val="20"/>
                <w:szCs w:val="20"/>
                <w:lang w:eastAsia="en-IE"/>
              </w:rPr>
            </w:pPr>
          </w:p>
        </w:tc>
      </w:tr>
      <w:tr>
        <w:trPr>
          <w:trHeight w:val="315"/>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DG: &lt;…….&gt;</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001"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1001"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rPr>
              <w:t xml:space="preserve"> </w:t>
            </w:r>
            <w:r>
              <w:rPr>
                <w:noProof/>
                <w:color w:val="000000"/>
                <w:sz w:val="22"/>
              </w:rPr>
              <w:t xml:space="preserve">Resurse umane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pPr>
              <w:spacing w:before="0" w:after="0"/>
              <w:jc w:val="left"/>
              <w:rPr>
                <w:rFonts w:ascii="Wingdings" w:hAnsi="Wingdings" w:cs="Calibri"/>
                <w:noProof/>
                <w:color w:val="000000"/>
                <w:sz w:val="22"/>
              </w:rPr>
            </w:pPr>
            <w:r>
              <w:rPr>
                <w:rFonts w:ascii="Wingdings" w:hAnsi="Wingdings"/>
                <w:noProof/>
                <w:color w:val="000000"/>
                <w:sz w:val="22"/>
              </w:rPr>
              <w:t>Ÿ</w:t>
            </w:r>
            <w:r>
              <w:rPr>
                <w:noProof/>
              </w:rPr>
              <w:t xml:space="preserve"> </w:t>
            </w:r>
            <w:r>
              <w:rPr>
                <w:noProof/>
                <w:color w:val="000000"/>
                <w:sz w:val="22"/>
              </w:rPr>
              <w:t xml:space="preserve">Alte cheltuieli administrative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szCs w:val="20"/>
              </w:rPr>
            </w:pPr>
            <w:r>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4405" w:type="dxa"/>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 xml:space="preserve">TOTAL DG </w:t>
            </w:r>
            <w:r>
              <w:rPr>
                <w:noProof/>
                <w:color w:val="000000"/>
                <w:sz w:val="22"/>
              </w:rPr>
              <w:t>&lt;…….&gt;</w:t>
            </w:r>
          </w:p>
        </w:tc>
        <w:tc>
          <w:tcPr>
            <w:tcW w:w="3487" w:type="dxa"/>
            <w:gridSpan w:val="3"/>
            <w:tcBorders>
              <w:top w:val="single" w:sz="8" w:space="0" w:color="auto"/>
              <w:left w:val="nil"/>
              <w:bottom w:val="single" w:sz="8" w:space="0" w:color="auto"/>
              <w:right w:val="single" w:sz="8" w:space="0" w:color="auto"/>
            </w:tcBorders>
            <w:vAlign w:val="center"/>
            <w:hideMark/>
          </w:tcPr>
          <w:p>
            <w:pPr>
              <w:spacing w:before="0" w:after="0"/>
              <w:jc w:val="left"/>
              <w:rPr>
                <w:noProof/>
                <w:color w:val="000000"/>
                <w:sz w:val="18"/>
                <w:szCs w:val="18"/>
              </w:rPr>
            </w:pPr>
            <w:r>
              <w:rPr>
                <w:noProof/>
                <w:color w:val="000000"/>
                <w:sz w:val="18"/>
              </w:rPr>
              <w:t xml:space="preserve">Credite </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300"/>
        </w:trPr>
        <w:tc>
          <w:tcPr>
            <w:tcW w:w="4405" w:type="dxa"/>
            <w:tcBorders>
              <w:top w:val="nil"/>
              <w:left w:val="nil"/>
              <w:bottom w:val="nil"/>
              <w:right w:val="nil"/>
            </w:tcBorders>
            <w:noWrap/>
            <w:vAlign w:val="bottom"/>
            <w:hideMark/>
          </w:tcPr>
          <w:p>
            <w:pPr>
              <w:spacing w:before="0" w:after="0"/>
              <w:jc w:val="right"/>
              <w:rPr>
                <w:b/>
                <w:bCs/>
                <w:noProof/>
                <w:color w:val="000000"/>
                <w:sz w:val="20"/>
                <w:szCs w:val="20"/>
                <w:lang w:eastAsia="en-IE"/>
              </w:rPr>
            </w:pPr>
          </w:p>
        </w:tc>
        <w:tc>
          <w:tcPr>
            <w:tcW w:w="2477" w:type="dxa"/>
            <w:tcBorders>
              <w:top w:val="nil"/>
              <w:left w:val="nil"/>
              <w:bottom w:val="nil"/>
              <w:right w:val="nil"/>
            </w:tcBorders>
            <w:noWrap/>
            <w:vAlign w:val="bottom"/>
            <w:hideMark/>
          </w:tcPr>
          <w:p>
            <w:pPr>
              <w:spacing w:before="0" w:after="0"/>
              <w:jc w:val="left"/>
              <w:rPr>
                <w:noProof/>
                <w:sz w:val="20"/>
                <w:szCs w:val="20"/>
                <w:lang w:eastAsia="en-IE"/>
              </w:rPr>
            </w:pPr>
          </w:p>
        </w:tc>
        <w:tc>
          <w:tcPr>
            <w:tcW w:w="505" w:type="dxa"/>
            <w:tcBorders>
              <w:top w:val="nil"/>
              <w:left w:val="nil"/>
              <w:bottom w:val="nil"/>
              <w:right w:val="nil"/>
            </w:tcBorders>
            <w:noWrap/>
            <w:vAlign w:val="bottom"/>
            <w:hideMark/>
          </w:tcPr>
          <w:p>
            <w:pPr>
              <w:spacing w:before="0" w:after="0"/>
              <w:jc w:val="left"/>
              <w:rPr>
                <w:noProof/>
                <w:sz w:val="20"/>
                <w:szCs w:val="20"/>
                <w:lang w:eastAsia="en-IE"/>
              </w:rPr>
            </w:pPr>
          </w:p>
        </w:tc>
        <w:tc>
          <w:tcPr>
            <w:tcW w:w="505"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001" w:type="dxa"/>
            <w:tcBorders>
              <w:top w:val="nil"/>
              <w:left w:val="nil"/>
              <w:bottom w:val="nil"/>
              <w:right w:val="nil"/>
            </w:tcBorders>
            <w:noWrap/>
            <w:vAlign w:val="bottom"/>
            <w:hideMark/>
          </w:tcPr>
          <w:p>
            <w:pPr>
              <w:spacing w:before="0" w:after="0"/>
              <w:jc w:val="left"/>
              <w:rPr>
                <w:noProof/>
                <w:sz w:val="20"/>
                <w:szCs w:val="20"/>
                <w:lang w:eastAsia="en-IE"/>
              </w:rPr>
            </w:pPr>
          </w:p>
        </w:tc>
        <w:tc>
          <w:tcPr>
            <w:tcW w:w="1244" w:type="dxa"/>
            <w:tcBorders>
              <w:top w:val="nil"/>
              <w:left w:val="nil"/>
              <w:bottom w:val="nil"/>
              <w:right w:val="nil"/>
            </w:tcBorders>
            <w:noWrap/>
            <w:vAlign w:val="bottom"/>
            <w:hideMark/>
          </w:tcPr>
          <w:p>
            <w:pPr>
              <w:spacing w:before="0" w:after="0"/>
              <w:jc w:val="left"/>
              <w:rPr>
                <w:noProof/>
                <w:sz w:val="20"/>
                <w:szCs w:val="20"/>
                <w:lang w:eastAsia="en-IE"/>
              </w:rPr>
            </w:pPr>
          </w:p>
        </w:tc>
      </w:tr>
      <w:tr>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pPr>
              <w:spacing w:before="0" w:after="0"/>
              <w:jc w:val="center"/>
              <w:rPr>
                <w:b/>
                <w:bCs/>
                <w:noProof/>
                <w:color w:val="000000"/>
                <w:sz w:val="22"/>
              </w:rPr>
            </w:pPr>
            <w:r>
              <w:rPr>
                <w:b/>
                <w:noProof/>
                <w:color w:val="000000"/>
                <w:sz w:val="22"/>
              </w:rPr>
              <w:t xml:space="preserve">TOTAL credite în cadrul RUBRICII 7 din cadrul financiar multianual </w:t>
            </w:r>
          </w:p>
        </w:tc>
        <w:tc>
          <w:tcPr>
            <w:tcW w:w="1010" w:type="dxa"/>
            <w:gridSpan w:val="2"/>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(Total angajamente = Total plăți)</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bl>
    <w:p>
      <w:pPr>
        <w:jc w:val="right"/>
        <w:rPr>
          <w:noProof/>
          <w:sz w:val="20"/>
        </w:rPr>
      </w:pPr>
      <w:r>
        <w:rPr>
          <w:noProof/>
          <w:sz w:val="20"/>
        </w:rPr>
        <w:t>milioane EUR (cu trei zecimale)</w:t>
      </w: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Cs w:val="24"/>
              </w:rPr>
            </w:pPr>
            <w:r>
              <w:rPr>
                <w:noProof/>
                <w:color w:val="000000"/>
              </w:rPr>
              <w:t xml:space="preserve"> </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1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1400"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20"/>
                <w:szCs w:val="20"/>
              </w:rPr>
            </w:pPr>
            <w:r>
              <w:rPr>
                <w:b/>
                <w:noProof/>
                <w:color w:val="000000"/>
                <w:sz w:val="20"/>
              </w:rPr>
              <w:t>TOTAL CFM 2021-2027</w:t>
            </w:r>
          </w:p>
        </w:tc>
      </w:tr>
      <w:tr>
        <w:trPr>
          <w:trHeight w:val="300"/>
        </w:trPr>
        <w:tc>
          <w:tcPr>
            <w:tcW w:w="7100" w:type="dxa"/>
            <w:gridSpan w:val="2"/>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Cs w:val="24"/>
                <w:lang w:eastAsia="en-IE"/>
              </w:rPr>
            </w:pP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11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c>
          <w:tcPr>
            <w:tcW w:w="1400" w:type="dxa"/>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bCs/>
                <w:noProof/>
                <w:color w:val="000000"/>
                <w:sz w:val="20"/>
                <w:szCs w:val="20"/>
                <w:lang w:eastAsia="en-IE"/>
              </w:rPr>
            </w:pPr>
          </w:p>
        </w:tc>
      </w:tr>
      <w:tr>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b/>
                <w:bCs/>
                <w:noProof/>
                <w:color w:val="000000"/>
                <w:sz w:val="22"/>
              </w:rPr>
            </w:pPr>
            <w:r>
              <w:rPr>
                <w:b/>
                <w:noProof/>
                <w:color w:val="000000"/>
                <w:sz w:val="22"/>
              </w:rPr>
              <w:t>TOTAL credite în cadrul RUBRICILOR 1-7</w:t>
            </w:r>
          </w:p>
        </w:tc>
        <w:tc>
          <w:tcPr>
            <w:tcW w:w="1920" w:type="dxa"/>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Angajamente</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r>
      <w:tr>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pPr>
              <w:spacing w:before="0" w:after="0"/>
              <w:jc w:val="center"/>
              <w:rPr>
                <w:noProof/>
                <w:color w:val="000000"/>
                <w:sz w:val="22"/>
              </w:rPr>
            </w:pPr>
            <w:r>
              <w:rPr>
                <w:noProof/>
                <w:color w:val="000000"/>
                <w:sz w:val="22"/>
              </w:rPr>
              <w:t>din cadrul financiar multianual</w:t>
            </w:r>
            <w:r>
              <w:rPr>
                <w:b/>
                <w:noProof/>
                <w:color w:val="000000"/>
                <w:sz w:val="22"/>
              </w:rPr>
              <w:t xml:space="preserve"> </w:t>
            </w:r>
          </w:p>
        </w:tc>
        <w:tc>
          <w:tcPr>
            <w:tcW w:w="1920" w:type="dxa"/>
            <w:tcBorders>
              <w:top w:val="single" w:sz="8" w:space="0" w:color="auto"/>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Plăți</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Cs w:val="24"/>
              </w:rPr>
            </w:pPr>
            <w:r>
              <w:rPr>
                <w:b/>
                <w:noProof/>
                <w:color w:val="000000"/>
              </w:rPr>
              <w:t>0,000</w:t>
            </w:r>
          </w:p>
        </w:tc>
      </w:tr>
    </w:tbl>
    <w:p>
      <w:pPr>
        <w:pStyle w:val="ManualHeading3"/>
        <w:rPr>
          <w:bCs/>
          <w:noProof/>
          <w:szCs w:val="24"/>
        </w:rPr>
      </w:pPr>
      <w:bookmarkStart w:id="143" w:name="_Toc514938054"/>
      <w:bookmarkStart w:id="144" w:name="_Toc520485053"/>
      <w:bookmarkStart w:id="145" w:name="_Toc160804597"/>
      <w:bookmarkStart w:id="146" w:name="_Toc167220289"/>
      <w:bookmarkStart w:id="147" w:name="_Toc177549022"/>
      <w:r>
        <w:rPr>
          <w:noProof/>
        </w:rPr>
        <w:t>3.2.2.</w:t>
      </w:r>
      <w:r>
        <w:rPr>
          <w:noProof/>
        </w:rPr>
        <w:tab/>
        <w:t xml:space="preserve">Realizările preconizate finanțate din credite operaționale </w:t>
      </w:r>
      <w:bookmarkEnd w:id="143"/>
      <w:bookmarkEnd w:id="144"/>
      <w:r>
        <w:rPr>
          <w:noProof/>
        </w:rPr>
        <w:t>(nu se completează pentru agențiile descentralizate)</w:t>
      </w:r>
      <w:bookmarkEnd w:id="145"/>
      <w:bookmarkEnd w:id="146"/>
      <w:bookmarkEnd w:id="147"/>
    </w:p>
    <w:p>
      <w:pPr>
        <w:jc w:val="right"/>
        <w:rPr>
          <w:noProof/>
          <w:sz w:val="20"/>
        </w:rPr>
      </w:pPr>
      <w:r>
        <w:rPr>
          <w:noProof/>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A se indica obiectivele și realizările </w:t>
            </w:r>
          </w:p>
          <w:p>
            <w:pPr>
              <w:ind w:right="-29"/>
              <w:jc w:val="center"/>
              <w:rPr>
                <w:b/>
                <w:noProof/>
                <w:sz w:val="18"/>
                <w:szCs w:val="18"/>
              </w:rPr>
            </w:pPr>
          </w:p>
          <w:p>
            <w:pPr>
              <w:ind w:right="-29"/>
              <w:jc w:val="center"/>
              <w:rPr>
                <w:noProof/>
                <w:sz w:val="18"/>
                <w:szCs w:val="18"/>
              </w:rPr>
            </w:pPr>
            <w:r>
              <w:rPr>
                <w:rFonts w:ascii="Wingdings" w:hAnsi="Wingdings"/>
                <w:noProof/>
                <w:sz w:val="18"/>
              </w:rPr>
              <w:t>ò</w:t>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 xml:space="preserve">Anul </w:t>
            </w:r>
            <w:r>
              <w:rPr>
                <w:noProof/>
              </w:rPr>
              <w:t xml:space="preserve"> </w:t>
            </w:r>
            <w:r>
              <w:rPr>
                <w:noProof/>
              </w:rPr>
              <w:br/>
            </w:r>
            <w:r>
              <w:rPr>
                <w:b/>
                <w:noProof/>
                <w:sz w:val="18"/>
              </w:rPr>
              <w:t>2024</w:t>
            </w:r>
          </w:p>
        </w:tc>
        <w:tc>
          <w:tcPr>
            <w:tcW w:w="1260" w:type="dxa"/>
            <w:gridSpan w:val="2"/>
            <w:vAlign w:val="center"/>
          </w:tcPr>
          <w:p>
            <w:pPr>
              <w:ind w:right="-29"/>
              <w:jc w:val="center"/>
              <w:rPr>
                <w:noProof/>
                <w:sz w:val="18"/>
                <w:szCs w:val="18"/>
              </w:rPr>
            </w:pPr>
            <w:r>
              <w:rPr>
                <w:noProof/>
                <w:sz w:val="18"/>
              </w:rPr>
              <w:t xml:space="preserve">Anul </w:t>
            </w:r>
            <w:r>
              <w:rPr>
                <w:noProof/>
              </w:rPr>
              <w:t xml:space="preserve"> </w:t>
            </w:r>
            <w:r>
              <w:rPr>
                <w:noProof/>
              </w:rPr>
              <w:br/>
            </w:r>
            <w:r>
              <w:rPr>
                <w:b/>
                <w:noProof/>
                <w:sz w:val="18"/>
              </w:rPr>
              <w:t>2025</w:t>
            </w:r>
          </w:p>
        </w:tc>
        <w:tc>
          <w:tcPr>
            <w:tcW w:w="1440" w:type="dxa"/>
            <w:gridSpan w:val="2"/>
            <w:vAlign w:val="center"/>
          </w:tcPr>
          <w:p>
            <w:pPr>
              <w:ind w:right="-29"/>
              <w:jc w:val="center"/>
              <w:rPr>
                <w:noProof/>
                <w:sz w:val="18"/>
                <w:szCs w:val="18"/>
              </w:rPr>
            </w:pPr>
            <w:r>
              <w:rPr>
                <w:noProof/>
                <w:sz w:val="18"/>
              </w:rPr>
              <w:t xml:space="preserve">Anul </w:t>
            </w:r>
            <w:r>
              <w:rPr>
                <w:noProof/>
              </w:rPr>
              <w:t xml:space="preserve"> </w:t>
            </w:r>
            <w:r>
              <w:rPr>
                <w:noProof/>
              </w:rPr>
              <w:br/>
            </w:r>
            <w:r>
              <w:rPr>
                <w:b/>
                <w:noProof/>
                <w:sz w:val="18"/>
              </w:rPr>
              <w:t>2026</w:t>
            </w:r>
          </w:p>
        </w:tc>
        <w:tc>
          <w:tcPr>
            <w:tcW w:w="1620" w:type="dxa"/>
            <w:gridSpan w:val="3"/>
            <w:vAlign w:val="center"/>
          </w:tcPr>
          <w:p>
            <w:pPr>
              <w:ind w:right="-29"/>
              <w:jc w:val="center"/>
              <w:rPr>
                <w:noProof/>
                <w:sz w:val="18"/>
                <w:szCs w:val="18"/>
              </w:rPr>
            </w:pPr>
            <w:r>
              <w:rPr>
                <w:noProof/>
                <w:sz w:val="18"/>
              </w:rPr>
              <w:t xml:space="preserve">Anul </w:t>
            </w:r>
            <w:r>
              <w:rPr>
                <w:noProof/>
              </w:rPr>
              <w:t xml:space="preserve"> </w:t>
            </w:r>
            <w:r>
              <w:rPr>
                <w:noProof/>
              </w:rPr>
              <w:br/>
            </w:r>
            <w:r>
              <w:rPr>
                <w:b/>
                <w:noProof/>
                <w:sz w:val="18"/>
              </w:rPr>
              <w:t>2027</w:t>
            </w:r>
          </w:p>
        </w:tc>
        <w:tc>
          <w:tcPr>
            <w:tcW w:w="3600" w:type="dxa"/>
            <w:gridSpan w:val="6"/>
            <w:vAlign w:val="center"/>
          </w:tcPr>
          <w:p>
            <w:pPr>
              <w:jc w:val="center"/>
              <w:rPr>
                <w:noProof/>
                <w:sz w:val="18"/>
                <w:szCs w:val="18"/>
              </w:rPr>
            </w:pPr>
            <w:r>
              <w:rPr>
                <w:noProof/>
                <w:sz w:val="18"/>
              </w:rPr>
              <w:t>A se introduce atâția ani câți sunt considerați necesari pentru a reflecta durata impactului (a se vedea secțiunea 1.6)</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REALIZĂRI</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Tip</w:t>
            </w:r>
            <w:r>
              <w:rPr>
                <w:rStyle w:val="FootnoteReference"/>
                <w:noProof/>
                <w:sz w:val="18"/>
              </w:rPr>
              <w:footnoteReference w:id="7"/>
            </w:r>
          </w:p>
          <w:p>
            <w:pPr>
              <w:spacing w:before="0" w:after="0"/>
              <w:jc w:val="center"/>
              <w:rPr>
                <w:noProof/>
                <w:sz w:val="18"/>
                <w:szCs w:val="18"/>
              </w:rPr>
            </w:pPr>
          </w:p>
        </w:tc>
        <w:tc>
          <w:tcPr>
            <w:tcW w:w="701" w:type="dxa"/>
            <w:vAlign w:val="center"/>
          </w:tcPr>
          <w:p>
            <w:pPr>
              <w:jc w:val="center"/>
              <w:rPr>
                <w:noProof/>
                <w:sz w:val="18"/>
                <w:szCs w:val="18"/>
              </w:rPr>
            </w:pPr>
            <w:r>
              <w:rPr>
                <w:noProof/>
                <w:sz w:val="18"/>
              </w:rPr>
              <w:t>Costuri medii</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Costuri</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Costuri</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Costuri</w:t>
            </w:r>
          </w:p>
        </w:tc>
        <w:tc>
          <w:tcPr>
            <w:tcW w:w="90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gridSpan w:val="2"/>
            <w:tcBorders>
              <w:left w:val="dashSmallGap" w:sz="4" w:space="0" w:color="auto"/>
            </w:tcBorders>
            <w:shd w:val="pct10" w:color="auto" w:fill="auto"/>
            <w:vAlign w:val="center"/>
          </w:tcPr>
          <w:p>
            <w:pPr>
              <w:jc w:val="center"/>
              <w:rPr>
                <w:noProof/>
                <w:sz w:val="18"/>
                <w:szCs w:val="18"/>
              </w:rPr>
            </w:pPr>
            <w:r>
              <w:rPr>
                <w:noProof/>
                <w:sz w:val="18"/>
              </w:rPr>
              <w:t>Costuri</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648" w:type="dxa"/>
            <w:tcBorders>
              <w:left w:val="dashSmallGap" w:sz="4" w:space="0" w:color="auto"/>
            </w:tcBorders>
            <w:shd w:val="pct10" w:color="auto" w:fill="auto"/>
            <w:vAlign w:val="center"/>
          </w:tcPr>
          <w:p>
            <w:pPr>
              <w:jc w:val="center"/>
              <w:rPr>
                <w:noProof/>
                <w:sz w:val="18"/>
                <w:szCs w:val="18"/>
              </w:rPr>
            </w:pPr>
            <w:r>
              <w:rPr>
                <w:noProof/>
                <w:sz w:val="18"/>
              </w:rPr>
              <w:t>Costuri</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Costuri</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Costuri</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Total nr.</w:t>
            </w:r>
          </w:p>
        </w:tc>
        <w:tc>
          <w:tcPr>
            <w:tcW w:w="900" w:type="dxa"/>
            <w:tcBorders>
              <w:left w:val="dashSmallGap" w:sz="4" w:space="0" w:color="auto"/>
            </w:tcBorders>
            <w:shd w:val="pct10" w:color="auto" w:fill="auto"/>
            <w:vAlign w:val="center"/>
          </w:tcPr>
          <w:p>
            <w:pPr>
              <w:jc w:val="center"/>
              <w:rPr>
                <w:noProof/>
                <w:sz w:val="18"/>
                <w:szCs w:val="18"/>
              </w:rPr>
            </w:pPr>
            <w:r>
              <w:rPr>
                <w:noProof/>
                <w:sz w:val="18"/>
              </w:rPr>
              <w:t>Total costuri</w:t>
            </w:r>
          </w:p>
        </w:tc>
      </w:tr>
      <w:tr>
        <w:trPr>
          <w:jc w:val="center"/>
        </w:trPr>
        <w:tc>
          <w:tcPr>
            <w:tcW w:w="2844" w:type="dxa"/>
            <w:gridSpan w:val="3"/>
            <w:vAlign w:val="center"/>
          </w:tcPr>
          <w:p>
            <w:pPr>
              <w:spacing w:before="60" w:after="60"/>
              <w:ind w:right="-29"/>
              <w:jc w:val="center"/>
              <w:rPr>
                <w:noProof/>
                <w:sz w:val="18"/>
                <w:szCs w:val="18"/>
              </w:rPr>
            </w:pPr>
            <w:r>
              <w:rPr>
                <w:noProof/>
                <w:sz w:val="18"/>
              </w:rPr>
              <w:t>OBIECTIVUL SPECIFIC NR. 1</w:t>
            </w:r>
            <w:r>
              <w:rPr>
                <w:rStyle w:val="FootnoteReference"/>
                <w:noProof/>
                <w:sz w:val="18"/>
              </w:rPr>
              <w:footnoteReference w:id="8"/>
            </w:r>
            <w:r>
              <w:rPr>
                <w:noProof/>
                <w:sz w:val="18"/>
              </w:rPr>
              <w:t>…</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noProof/>
                <w:sz w:val="18"/>
                <w:szCs w:val="18"/>
              </w:rPr>
            </w:pPr>
            <w:r>
              <w:rPr>
                <w:noProof/>
                <w:sz w:val="18"/>
              </w:rPr>
              <w:t>Subtotal pentru obiectivul specific nr. 1</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c>
          <w:tcPr>
            <w:tcW w:w="720" w:type="dxa"/>
            <w:gridSpan w:val="2"/>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vAlign w:val="center"/>
          </w:tcPr>
          <w:p>
            <w:pPr>
              <w:spacing w:before="60" w:after="60"/>
              <w:ind w:right="-29"/>
              <w:jc w:val="center"/>
              <w:rPr>
                <w:noProof/>
                <w:sz w:val="18"/>
                <w:szCs w:val="18"/>
              </w:rPr>
            </w:pPr>
            <w:r>
              <w:rPr>
                <w:noProof/>
                <w:sz w:val="18"/>
              </w:rPr>
              <w:t>OBIECTIVUL SPECIFIC NR. 2 …</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jc w:val="center"/>
              <w:rPr>
                <w:noProof/>
                <w:sz w:val="18"/>
                <w:szCs w:val="18"/>
              </w:rPr>
            </w:pPr>
            <w:r>
              <w:rPr>
                <w:noProof/>
                <w:sz w:val="18"/>
              </w:rPr>
              <w:t>Subtotal pentru obiectivul specific nr. 2</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51" w:type="dxa"/>
            <w:gridSpan w:val="2"/>
            <w:tcBorders>
              <w:bottom w:val="single" w:sz="12" w:space="0" w:color="auto"/>
            </w:tcBorders>
          </w:tcPr>
          <w:p>
            <w:pPr>
              <w:ind w:right="-29"/>
              <w:jc w:val="center"/>
              <w:rPr>
                <w:noProof/>
                <w:sz w:val="18"/>
                <w:szCs w:val="18"/>
              </w:rPr>
            </w:pPr>
          </w:p>
        </w:tc>
        <w:tc>
          <w:tcPr>
            <w:tcW w:w="669"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TOTALURI</w:t>
            </w:r>
          </w:p>
        </w:tc>
        <w:tc>
          <w:tcPr>
            <w:tcW w:w="504"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tcBorders>
          </w:tcPr>
          <w:p>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p>
        </w:tc>
      </w:tr>
    </w:tbl>
    <w:p>
      <w:pPr>
        <w:rPr>
          <w:noProof/>
        </w:rPr>
        <w:sectPr>
          <w:headerReference w:type="default" r:id="rId19"/>
          <w:footerReference w:type="default" r:id="rId20"/>
          <w:pgSz w:w="16840" w:h="11907" w:orient="landscape" w:code="9"/>
          <w:pgMar w:top="1134" w:right="1418" w:bottom="567" w:left="1418" w:header="709" w:footer="709" w:gutter="0"/>
          <w:cols w:space="708"/>
          <w:docGrid w:linePitch="360"/>
        </w:sectPr>
      </w:pPr>
    </w:p>
    <w:p>
      <w:pPr>
        <w:pStyle w:val="ManualHeading3"/>
        <w:rPr>
          <w:bCs/>
          <w:noProof/>
          <w:szCs w:val="24"/>
        </w:rPr>
      </w:pPr>
      <w:bookmarkStart w:id="148" w:name="_Toc514938055"/>
      <w:bookmarkStart w:id="149" w:name="_Toc520485054"/>
      <w:bookmarkStart w:id="150" w:name="_Toc160804598"/>
      <w:bookmarkStart w:id="151" w:name="_Toc167220290"/>
      <w:bookmarkStart w:id="152" w:name="_Toc177549023"/>
      <w:r>
        <w:rPr>
          <w:noProof/>
        </w:rPr>
        <w:t>3.2.3.</w:t>
      </w:r>
      <w:r>
        <w:rPr>
          <w:noProof/>
        </w:rPr>
        <w:tab/>
        <w:t>Sinteza impactului estimat asupra creditelor administrative</w:t>
      </w:r>
      <w:bookmarkEnd w:id="148"/>
      <w:bookmarkEnd w:id="149"/>
      <w:bookmarkEnd w:id="150"/>
      <w:bookmarkEnd w:id="151"/>
      <w:bookmarkEnd w:id="152"/>
      <w:r>
        <w:rPr>
          <w:noProof/>
        </w:rPr>
        <w:t xml:space="preserve"> </w:t>
      </w:r>
    </w:p>
    <w:p>
      <w:pPr>
        <w:pStyle w:val="ListDash1"/>
        <w:rPr>
          <w:noProof/>
        </w:rPr>
      </w:pPr>
      <w:r>
        <w:rPr>
          <w:rFonts w:ascii="Wingdings" w:hAnsi="Wingdings"/>
          <w:noProof/>
        </w:rPr>
        <w:t>¨</w:t>
      </w:r>
      <w:r>
        <w:rPr>
          <w:noProof/>
        </w:rPr>
        <w:t xml:space="preserve"> Propunerea/inițiativa nu implică utilizarea de credite cu caracter administrativ </w:t>
      </w:r>
    </w:p>
    <w:p>
      <w:pPr>
        <w:pStyle w:val="ListDash1"/>
        <w:rPr>
          <w:noProof/>
        </w:rPr>
      </w:pPr>
      <w:r>
        <w:rPr>
          <w:rFonts w:ascii="Wingdings" w:hAnsi="Wingdings"/>
          <w:noProof/>
        </w:rPr>
        <w:t>¨</w:t>
      </w:r>
      <w:r>
        <w:rPr>
          <w:noProof/>
        </w:rPr>
        <w:t xml:space="preserve"> Propunerea/inițiativa implică utilizarea de credite cu caracter administrativ, conform explicațiilor de mai jos</w:t>
      </w:r>
    </w:p>
    <w:p>
      <w:pPr>
        <w:pStyle w:val="ListDash1"/>
        <w:rPr>
          <w:noProof/>
        </w:rPr>
      </w:pPr>
    </w:p>
    <w:p>
      <w:pPr>
        <w:pStyle w:val="ListDash1"/>
        <w:rPr>
          <w:noProof/>
        </w:rPr>
      </w:pPr>
      <w:r>
        <w:rPr>
          <w:noProof/>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pPr>
        <w:pStyle w:val="ListDash1"/>
        <w:rPr>
          <w:noProof/>
        </w:rPr>
      </w:pPr>
    </w:p>
    <w:p>
      <w:pPr>
        <w:pStyle w:val="ManualHeading3"/>
        <w:rPr>
          <w:noProof/>
        </w:rPr>
      </w:pPr>
      <w:bookmarkStart w:id="153" w:name="_Toc167220291"/>
      <w:bookmarkStart w:id="154" w:name="_Toc177549024"/>
      <w:r>
        <w:rPr>
          <w:noProof/>
        </w:rPr>
        <w:t>3.2.3,1. Credite din bugetul votat</w:t>
      </w:r>
      <w:bookmarkEnd w:id="153"/>
      <w:bookmarkEnd w:id="154"/>
    </w:p>
    <w:tbl>
      <w:tblPr>
        <w:tblW w:w="5000" w:type="pct"/>
        <w:tblLook w:val="04A0" w:firstRow="1" w:lastRow="0" w:firstColumn="1" w:lastColumn="0" w:noHBand="0" w:noVBand="1"/>
      </w:tblPr>
      <w:tblGrid>
        <w:gridCol w:w="4027"/>
        <w:gridCol w:w="1027"/>
        <w:gridCol w:w="1027"/>
        <w:gridCol w:w="1027"/>
        <w:gridCol w:w="1027"/>
        <w:gridCol w:w="1154"/>
      </w:tblGrid>
      <w:tr>
        <w:trPr>
          <w:trHeight w:val="300"/>
        </w:trPr>
        <w:tc>
          <w:tcPr>
            <w:tcW w:w="2167"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CREDITE VOTATE</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622"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TOTAL 2021-2027</w:t>
            </w:r>
          </w:p>
        </w:tc>
      </w:tr>
      <w:tr>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2024</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2025</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2026</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RUBRICA 7</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Alte cheltuieli administrative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de la RUBRICA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În afara RUBRICII 7</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Alte cheltuieli cu caracter administrativ</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în afara RUBRICII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pPr>
              <w:spacing w:before="0" w:after="0"/>
              <w:jc w:val="center"/>
              <w:rPr>
                <w:noProof/>
                <w:color w:val="000000"/>
                <w:sz w:val="16"/>
                <w:szCs w:val="16"/>
              </w:rPr>
            </w:pPr>
            <w:r>
              <w:rPr>
                <w:noProof/>
                <w:color w:val="000000"/>
                <w:sz w:val="16"/>
              </w:rPr>
              <w:t xml:space="preserve"> </w:t>
            </w:r>
          </w:p>
        </w:tc>
      </w:tr>
      <w:tr>
        <w:trPr>
          <w:trHeight w:val="300"/>
        </w:trPr>
        <w:tc>
          <w:tcPr>
            <w:tcW w:w="2167"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bl>
    <w:p>
      <w:pPr>
        <w:pStyle w:val="ManualHeading3"/>
        <w:rPr>
          <w:noProof/>
        </w:rPr>
      </w:pPr>
      <w:bookmarkStart w:id="155" w:name="_Toc167220292"/>
      <w:bookmarkStart w:id="156" w:name="_Toc177549025"/>
      <w:r>
        <w:rPr>
          <w:noProof/>
        </w:rPr>
        <w:t>3.2.3.2.</w:t>
      </w:r>
      <w:r>
        <w:rPr>
          <w:noProof/>
        </w:rPr>
        <w:tab/>
        <w:t>Credite din venituri alocate externe</w:t>
      </w:r>
      <w:bookmarkEnd w:id="155"/>
      <w:bookmarkEnd w:id="156"/>
    </w:p>
    <w:tbl>
      <w:tblPr>
        <w:tblW w:w="5000" w:type="pct"/>
        <w:tblLook w:val="04A0" w:firstRow="1" w:lastRow="0" w:firstColumn="1" w:lastColumn="0" w:noHBand="0" w:noVBand="1"/>
      </w:tblPr>
      <w:tblGrid>
        <w:gridCol w:w="4025"/>
        <w:gridCol w:w="1027"/>
        <w:gridCol w:w="1027"/>
        <w:gridCol w:w="1027"/>
        <w:gridCol w:w="1027"/>
        <w:gridCol w:w="1156"/>
      </w:tblGrid>
      <w:tr>
        <w:trPr>
          <w:trHeight w:val="300"/>
        </w:trPr>
        <w:tc>
          <w:tcPr>
            <w:tcW w:w="2166"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VENITURI ALOCATE EXTERNE</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553"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622"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TOTAL 2021-2027</w:t>
            </w:r>
          </w:p>
        </w:tc>
      </w:tr>
      <w:tr>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2024</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2025</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2026</w:t>
            </w:r>
          </w:p>
        </w:tc>
        <w:tc>
          <w:tcPr>
            <w:tcW w:w="55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RUBRICA 7</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Alte cheltuieli administrative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de la RUBRICA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În afara RUBRICII 7</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6"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Alte cheltuieli cu caracter administrativ</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în afara RUBRICII 7</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pPr>
              <w:spacing w:before="0" w:after="0"/>
              <w:jc w:val="center"/>
              <w:rPr>
                <w:noProof/>
                <w:color w:val="000000"/>
                <w:sz w:val="16"/>
                <w:szCs w:val="16"/>
              </w:rPr>
            </w:pPr>
            <w:r>
              <w:rPr>
                <w:noProof/>
                <w:color w:val="000000"/>
                <w:sz w:val="16"/>
              </w:rPr>
              <w:t xml:space="preserve"> </w:t>
            </w:r>
          </w:p>
        </w:tc>
      </w:tr>
      <w:tr>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bl>
    <w:p>
      <w:pPr>
        <w:pStyle w:val="ManualHeading3"/>
        <w:rPr>
          <w:noProof/>
        </w:rPr>
      </w:pPr>
      <w:bookmarkStart w:id="157" w:name="_Toc167220293"/>
      <w:bookmarkStart w:id="158" w:name="_Toc177549026"/>
      <w:r>
        <w:rPr>
          <w:noProof/>
        </w:rPr>
        <w:t>3.2.3.3.</w:t>
      </w:r>
      <w:r>
        <w:rPr>
          <w:noProof/>
        </w:rPr>
        <w:tab/>
        <w:t>Total credite</w:t>
      </w:r>
      <w:bookmarkEnd w:id="157"/>
      <w:bookmarkEnd w:id="158"/>
    </w:p>
    <w:tbl>
      <w:tblPr>
        <w:tblW w:w="8680" w:type="dxa"/>
        <w:tblLook w:val="04A0" w:firstRow="1" w:lastRow="0" w:firstColumn="1" w:lastColumn="0" w:noHBand="0" w:noVBand="1"/>
      </w:tblPr>
      <w:tblGrid>
        <w:gridCol w:w="3760"/>
        <w:gridCol w:w="960"/>
        <w:gridCol w:w="960"/>
        <w:gridCol w:w="960"/>
        <w:gridCol w:w="960"/>
        <w:gridCol w:w="1080"/>
      </w:tblGrid>
      <w:tr>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TOTAL</w:t>
            </w:r>
            <w:r>
              <w:rPr>
                <w:noProof/>
              </w:rPr>
              <w:t xml:space="preserve"> </w:t>
            </w:r>
            <w:r>
              <w:rPr>
                <w:noProof/>
              </w:rPr>
              <w:br/>
            </w:r>
            <w:r>
              <w:rPr>
                <w:b/>
                <w:noProof/>
                <w:color w:val="000000"/>
                <w:sz w:val="18"/>
              </w:rPr>
              <w:t>CREDITE VOTATE + VENITURI ALOCATE EXTERNE</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rPr>
            </w:pPr>
            <w:r>
              <w:rPr>
                <w:b/>
                <w:noProof/>
                <w:color w:val="000000"/>
                <w:sz w:val="18"/>
              </w:rPr>
              <w:t>TOTAL 2021-2027</w:t>
            </w:r>
          </w:p>
        </w:tc>
      </w:tr>
      <w:tr>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2024</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2025</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2026</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RUBRICA 7</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Alte cheltuieli administrative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de la RUBRICA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rPr>
            </w:pPr>
            <w:r>
              <w:rPr>
                <w:b/>
                <w:noProof/>
                <w:sz w:val="16"/>
              </w:rPr>
              <w:t>În afara RUBRICII 7</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3760" w:type="dxa"/>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Alte cheltuieli cu caracter administrativ</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în afara RUBRICII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pPr>
              <w:spacing w:before="0" w:after="0"/>
              <w:jc w:val="center"/>
              <w:rPr>
                <w:noProof/>
                <w:color w:val="000000"/>
                <w:sz w:val="16"/>
                <w:szCs w:val="16"/>
              </w:rPr>
            </w:pPr>
            <w:r>
              <w:rPr>
                <w:noProof/>
                <w:color w:val="000000"/>
                <w:sz w:val="16"/>
              </w:rPr>
              <w:t xml:space="preserve"> </w:t>
            </w:r>
          </w:p>
        </w:tc>
      </w:tr>
      <w:tr>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bl>
    <w:p>
      <w:pPr>
        <w:pStyle w:val="ManualHeading3"/>
        <w:rPr>
          <w:bCs/>
          <w:noProof/>
          <w:szCs w:val="24"/>
        </w:rPr>
      </w:pPr>
      <w:bookmarkStart w:id="159" w:name="_Toc167220294"/>
      <w:bookmarkStart w:id="160" w:name="_Toc177549027"/>
      <w:r>
        <w:rPr>
          <w:noProof/>
        </w:rPr>
        <w:t>3.2.4.</w:t>
      </w:r>
      <w:r>
        <w:rPr>
          <w:noProof/>
        </w:rPr>
        <w:tab/>
        <w:t>Necesarul de resurse umane estimat</w:t>
      </w:r>
      <w:bookmarkEnd w:id="159"/>
      <w:bookmarkEnd w:id="160"/>
      <w:r>
        <w:rPr>
          <w:noProof/>
        </w:rPr>
        <w:t xml:space="preserve"> </w:t>
      </w:r>
    </w:p>
    <w:p>
      <w:pPr>
        <w:pStyle w:val="ListDash1"/>
        <w:rPr>
          <w:noProof/>
        </w:rPr>
      </w:pPr>
      <w:r>
        <w:rPr>
          <w:rFonts w:ascii="Wingdings" w:hAnsi="Wingdings"/>
          <w:noProof/>
        </w:rPr>
        <w:t>¨</w:t>
      </w:r>
      <w:r>
        <w:rPr>
          <w:noProof/>
        </w:rPr>
        <w:t xml:space="preserve"> Propunerea/inițiativa nu implică utilizarea de resurse umane </w:t>
      </w:r>
    </w:p>
    <w:p>
      <w:pPr>
        <w:pStyle w:val="ListDash1"/>
        <w:rPr>
          <w:noProof/>
        </w:rPr>
      </w:pPr>
      <w:r>
        <w:rPr>
          <w:rFonts w:ascii="Wingdings" w:hAnsi="Wingdings"/>
          <w:noProof/>
        </w:rPr>
        <w:t>¨</w:t>
      </w:r>
      <w:r>
        <w:rPr>
          <w:noProof/>
        </w:rPr>
        <w:t xml:space="preserve"> Propunerea/inițiativa implică utilizarea de resurse umane, conform explicațiilor de mai jos</w:t>
      </w:r>
    </w:p>
    <w:p>
      <w:pPr>
        <w:pStyle w:val="ListDash1"/>
        <w:rPr>
          <w:noProof/>
        </w:rPr>
      </w:pPr>
      <w:r>
        <w:rPr>
          <w:noProof/>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pPr>
        <w:pStyle w:val="ListDash1"/>
        <w:rPr>
          <w:noProof/>
        </w:rPr>
      </w:pPr>
    </w:p>
    <w:p>
      <w:pPr>
        <w:pStyle w:val="ManualHeading3"/>
        <w:rPr>
          <w:noProof/>
        </w:rPr>
      </w:pPr>
      <w:bookmarkStart w:id="161" w:name="_Toc167220295"/>
      <w:bookmarkStart w:id="162" w:name="_Toc177549028"/>
      <w:r>
        <w:rPr>
          <w:noProof/>
        </w:rPr>
        <w:t>3.2.4,1.</w:t>
      </w:r>
      <w:r>
        <w:rPr>
          <w:noProof/>
        </w:rPr>
        <w:tab/>
        <w:t>Finanțare din bugetul votat</w:t>
      </w:r>
      <w:bookmarkEnd w:id="161"/>
      <w:bookmarkEnd w:id="162"/>
    </w:p>
    <w:p>
      <w:pPr>
        <w:spacing w:after="60"/>
        <w:jc w:val="right"/>
        <w:rPr>
          <w:i/>
          <w:noProof/>
          <w:sz w:val="20"/>
        </w:rPr>
      </w:pPr>
      <w:r>
        <w:rPr>
          <w:i/>
          <w:noProof/>
          <w:sz w:val="20"/>
        </w:rPr>
        <w:t>Estimări în echivalent normă întreagă (ENI)</w:t>
      </w:r>
    </w:p>
    <w:p>
      <w:pPr>
        <w:pStyle w:val="Text1"/>
        <w:spacing w:before="60" w:after="60"/>
        <w:ind w:left="-426" w:right="-427"/>
        <w:rPr>
          <w:b/>
          <w:noProof/>
          <w:sz w:val="18"/>
          <w:szCs w:val="18"/>
        </w:rPr>
      </w:pPr>
      <w:bookmarkStart w:id="163" w:name="_Hlk156979231"/>
    </w:p>
    <w:tbl>
      <w:tblPr>
        <w:tblW w:w="5000" w:type="pct"/>
        <w:tblLook w:val="04A0" w:firstRow="1" w:lastRow="0" w:firstColumn="1" w:lastColumn="0" w:noHBand="0" w:noVBand="1"/>
      </w:tblPr>
      <w:tblGrid>
        <w:gridCol w:w="1513"/>
        <w:gridCol w:w="3898"/>
        <w:gridCol w:w="970"/>
        <w:gridCol w:w="970"/>
        <w:gridCol w:w="970"/>
        <w:gridCol w:w="968"/>
      </w:tblGrid>
      <w:tr>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rPr>
            </w:pPr>
            <w:r>
              <w:rPr>
                <w:b/>
                <w:noProof/>
                <w:color w:val="000000"/>
                <w:sz w:val="18"/>
              </w:rPr>
              <w:t>CREDITE VOTATE</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r>
      <w:tr>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Ÿ</w:t>
            </w:r>
            <w:r>
              <w:rPr>
                <w:b/>
                <w:noProof/>
                <w:color w:val="000000"/>
                <w:sz w:val="16"/>
              </w:rPr>
              <w:t xml:space="preserve"> Posturi din schema de personal (funcționari și agenți temporari)</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01 (la sediu și în reprezentanțele Comisiei)</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03 (delegațiile UE)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01 01 01 01</w:t>
            </w:r>
            <w:r>
              <w:rPr>
                <w:rFonts w:ascii="Arial Narrow" w:hAnsi="Arial Narrow"/>
                <w:noProof/>
                <w:color w:val="000000"/>
                <w:sz w:val="20"/>
              </w:rPr>
              <w:t xml:space="preserve"> </w:t>
            </w:r>
            <w:r>
              <w:rPr>
                <w:noProof/>
                <w:color w:val="000000"/>
                <w:sz w:val="16"/>
              </w:rPr>
              <w:t>(cercetare indirectă)</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11 (cercetare directă)</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Calibri" w:hAnsi="Calibri"/>
                <w:b/>
                <w:noProof/>
                <w:color w:val="000000"/>
                <w:sz w:val="16"/>
              </w:rPr>
              <w:t>•</w:t>
            </w:r>
            <w:r>
              <w:rPr>
                <w:b/>
                <w:noProof/>
                <w:color w:val="000000"/>
                <w:sz w:val="16"/>
              </w:rPr>
              <w:t xml:space="preserve"> Personal extern (în ENI)</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01 (AC, END din „pachetul global”)</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03 (AC, AL, END și JPD în delegațiile UE)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rPr>
            </w:pPr>
            <w:r>
              <w:rPr>
                <w:noProof/>
                <w:color w:val="000000"/>
                <w:sz w:val="16"/>
              </w:rPr>
              <w:t xml:space="preserve">Linia de sprijin administrativ </w:t>
            </w:r>
            <w:r>
              <w:rPr>
                <w:noProof/>
              </w:rPr>
              <w:t xml:space="preserve"> </w:t>
            </w:r>
            <w:r>
              <w:rPr>
                <w:noProof/>
              </w:rPr>
              <w:br/>
            </w:r>
            <w:r>
              <w:rPr>
                <w:noProof/>
                <w:color w:val="000000"/>
                <w:sz w:val="16"/>
              </w:rPr>
              <w:t>[XX.01.AAAA]</w:t>
            </w: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la sediu</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815"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în delegațiile UE </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01 01 01 02</w:t>
            </w:r>
            <w:r>
              <w:rPr>
                <w:rFonts w:ascii="Arial Narrow" w:hAnsi="Arial Narrow"/>
                <w:noProof/>
                <w:color w:val="000000"/>
                <w:sz w:val="20"/>
              </w:rPr>
              <w:t xml:space="preserve"> </w:t>
            </w:r>
            <w:r>
              <w:rPr>
                <w:noProof/>
                <w:color w:val="000000"/>
                <w:sz w:val="16"/>
              </w:rPr>
              <w:t>(AC, END – cercetare indirectă)</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01 01 01 12 (AC, END – cercetare directă)</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 – rubrica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 – în afara rubricii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r>
    </w:tbl>
    <w:p>
      <w:pPr>
        <w:pStyle w:val="ManualHeading3"/>
        <w:rPr>
          <w:noProof/>
        </w:rPr>
      </w:pPr>
      <w:bookmarkStart w:id="164" w:name="_Toc167220296"/>
      <w:bookmarkStart w:id="165" w:name="_Toc177549029"/>
      <w:r>
        <w:rPr>
          <w:noProof/>
        </w:rPr>
        <w:t>3.2.4.2.</w:t>
      </w:r>
      <w:r>
        <w:rPr>
          <w:noProof/>
        </w:rPr>
        <w:tab/>
        <w:t>Finanțare din venituri alocate externe</w:t>
      </w:r>
      <w:bookmarkEnd w:id="164"/>
      <w:bookmarkEnd w:id="165"/>
    </w:p>
    <w:tbl>
      <w:tblPr>
        <w:tblW w:w="5000" w:type="pct"/>
        <w:tblLook w:val="04A0" w:firstRow="1" w:lastRow="0" w:firstColumn="1" w:lastColumn="0" w:noHBand="0" w:noVBand="1"/>
      </w:tblPr>
      <w:tblGrid>
        <w:gridCol w:w="1513"/>
        <w:gridCol w:w="3898"/>
        <w:gridCol w:w="970"/>
        <w:gridCol w:w="970"/>
        <w:gridCol w:w="970"/>
        <w:gridCol w:w="968"/>
      </w:tblGrid>
      <w:tr>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rPr>
            </w:pPr>
            <w:r>
              <w:rPr>
                <w:b/>
                <w:noProof/>
                <w:color w:val="000000"/>
                <w:sz w:val="18"/>
              </w:rPr>
              <w:t>VENITURI ALOCATE EXTERNE</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522"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r>
      <w:tr>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522"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Ÿ</w:t>
            </w:r>
            <w:r>
              <w:rPr>
                <w:b/>
                <w:noProof/>
                <w:color w:val="000000"/>
                <w:sz w:val="16"/>
              </w:rPr>
              <w:t xml:space="preserve"> Posturi din schema de personal (funcționari și agenți temporari)</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01 (la sediu și în reprezentanțele Comisiei)</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03 (delegațiile UE)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01 (cercetare indirectă)</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11 (cercetare directă)</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b/>
                <w:noProof/>
                <w:color w:val="000000"/>
                <w:sz w:val="16"/>
              </w:rPr>
              <w:t>Personal extern (în echivalent normă întreagă)</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01 (AC, END din „pachetul global”)</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03 (AC, AL, END și JPD în delegațiile UE)</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rPr>
            </w:pPr>
            <w:r>
              <w:rPr>
                <w:noProof/>
                <w:color w:val="000000"/>
                <w:sz w:val="16"/>
              </w:rPr>
              <w:t xml:space="preserve">Linia de sprijin administrativ </w:t>
            </w:r>
            <w:r>
              <w:rPr>
                <w:noProof/>
              </w:rPr>
              <w:t xml:space="preserve"> </w:t>
            </w:r>
            <w:r>
              <w:rPr>
                <w:noProof/>
              </w:rPr>
              <w:br/>
            </w:r>
            <w:r>
              <w:rPr>
                <w:noProof/>
                <w:color w:val="000000"/>
                <w:sz w:val="16"/>
              </w:rPr>
              <w:t>[XX.01.AAAA]</w:t>
            </w: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la sediu</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815"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în delegațiile UE </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01 01 01 02</w:t>
            </w:r>
            <w:r>
              <w:rPr>
                <w:rFonts w:ascii="Arial Narrow" w:hAnsi="Arial Narrow"/>
                <w:noProof/>
                <w:color w:val="000000"/>
                <w:sz w:val="20"/>
              </w:rPr>
              <w:t xml:space="preserve"> </w:t>
            </w:r>
            <w:r>
              <w:rPr>
                <w:noProof/>
                <w:color w:val="000000"/>
                <w:sz w:val="16"/>
              </w:rPr>
              <w:t>(AC, END – cercetare indirectă)</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01 01 01 12 (AC, END – cercetare directă)</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 – rubrica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 – în afara rubricii 7</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r>
    </w:tbl>
    <w:p>
      <w:pPr>
        <w:pStyle w:val="ManualHeading3"/>
        <w:rPr>
          <w:noProof/>
        </w:rPr>
      </w:pPr>
      <w:bookmarkStart w:id="166" w:name="_Toc167220297"/>
      <w:bookmarkStart w:id="167" w:name="_Toc177549030"/>
      <w:r>
        <w:rPr>
          <w:noProof/>
        </w:rPr>
        <w:t>3.2.4.3.</w:t>
      </w:r>
      <w:r>
        <w:rPr>
          <w:noProof/>
        </w:rPr>
        <w:tab/>
        <w:t>Necesarul total de resurse umane</w:t>
      </w:r>
      <w:bookmarkEnd w:id="166"/>
      <w:bookmarkEnd w:id="167"/>
    </w:p>
    <w:tbl>
      <w:tblPr>
        <w:tblW w:w="9200" w:type="dxa"/>
        <w:tblLook w:val="04A0" w:firstRow="1" w:lastRow="0" w:firstColumn="1" w:lastColumn="0" w:noHBand="0" w:noVBand="1"/>
      </w:tblPr>
      <w:tblGrid>
        <w:gridCol w:w="1500"/>
        <w:gridCol w:w="3860"/>
        <w:gridCol w:w="960"/>
        <w:gridCol w:w="960"/>
        <w:gridCol w:w="960"/>
        <w:gridCol w:w="960"/>
      </w:tblGrid>
      <w:tr>
        <w:trPr>
          <w:trHeight w:val="492"/>
        </w:trPr>
        <w:tc>
          <w:tcPr>
            <w:tcW w:w="5360" w:type="dxa"/>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rPr>
            </w:pPr>
            <w:r>
              <w:rPr>
                <w:b/>
                <w:noProof/>
                <w:color w:val="000000"/>
                <w:sz w:val="18"/>
              </w:rPr>
              <w:t>TOTAL CREDITE VOTATE + VENITURI ALOCATE EXTERNE</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c>
          <w:tcPr>
            <w:tcW w:w="960" w:type="dxa"/>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Anul</w:t>
            </w:r>
          </w:p>
        </w:tc>
      </w:tr>
      <w:tr>
        <w:trPr>
          <w:trHeight w:val="492"/>
        </w:trPr>
        <w:tc>
          <w:tcPr>
            <w:tcW w:w="5360" w:type="dxa"/>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2024</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2025</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2026</w:t>
            </w:r>
          </w:p>
        </w:tc>
        <w:tc>
          <w:tcPr>
            <w:tcW w:w="960" w:type="dxa"/>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2027</w:t>
            </w:r>
          </w:p>
        </w:tc>
      </w:tr>
      <w:tr>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Ÿ</w:t>
            </w:r>
            <w:r>
              <w:rPr>
                <w:b/>
                <w:noProof/>
                <w:color w:val="000000"/>
                <w:sz w:val="16"/>
              </w:rPr>
              <w:t xml:space="preserve"> Posturi din schema de personal (funcționari și agenți temporari)</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01 (la sediu și în reprezentanțele Comisiei)</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03 (delegațiile UE)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01 01 01 01</w:t>
            </w:r>
            <w:r>
              <w:rPr>
                <w:rFonts w:ascii="Arial Narrow" w:hAnsi="Arial Narrow"/>
                <w:noProof/>
                <w:color w:val="000000"/>
                <w:sz w:val="20"/>
              </w:rPr>
              <w:t xml:space="preserve"> </w:t>
            </w:r>
            <w:r>
              <w:rPr>
                <w:noProof/>
                <w:color w:val="000000"/>
                <w:sz w:val="16"/>
              </w:rPr>
              <w:t>(cercetare indirectă)</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11 (cercetare directă)</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b/>
                <w:noProof/>
                <w:color w:val="000000"/>
                <w:sz w:val="16"/>
              </w:rPr>
              <w:t>Personal extern (în echivalent normă întreagă)</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01 (AC, END din „pachetul global”)</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03 (AC, AL, END și JPD în delegațiile UE)</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1500" w:type="dxa"/>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rPr>
            </w:pPr>
            <w:r>
              <w:rPr>
                <w:noProof/>
                <w:color w:val="000000"/>
                <w:sz w:val="16"/>
              </w:rPr>
              <w:t xml:space="preserve">Linia de sprijin administrativ </w:t>
            </w:r>
            <w:r>
              <w:rPr>
                <w:noProof/>
              </w:rPr>
              <w:t xml:space="preserve"> </w:t>
            </w:r>
            <w:r>
              <w:rPr>
                <w:noProof/>
              </w:rPr>
              <w:br/>
            </w:r>
            <w:r>
              <w:rPr>
                <w:noProof/>
                <w:color w:val="000000"/>
                <w:sz w:val="16"/>
              </w:rPr>
              <w:t>[XX.01.AAAA]</w:t>
            </w:r>
          </w:p>
        </w:tc>
        <w:tc>
          <w:tcPr>
            <w:tcW w:w="3860" w:type="dxa"/>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la sediu</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1500" w:type="dxa"/>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3860" w:type="dxa"/>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în delegațiile UE </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01 01 01 02</w:t>
            </w:r>
            <w:r>
              <w:rPr>
                <w:rFonts w:ascii="Arial Narrow" w:hAnsi="Arial Narrow"/>
                <w:noProof/>
                <w:color w:val="000000"/>
                <w:sz w:val="20"/>
              </w:rPr>
              <w:t xml:space="preserve"> </w:t>
            </w:r>
            <w:r>
              <w:rPr>
                <w:noProof/>
                <w:color w:val="000000"/>
                <w:sz w:val="16"/>
              </w:rPr>
              <w:t>(AC, END – cercetare indirectă)</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01 01 01 12 (AC, END – cercetare directă)</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 – rubrica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Alte linii bugetare (a se preciza) – în afara rubricii 7</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r>
      <w:tr>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0</w:t>
            </w:r>
          </w:p>
        </w:tc>
      </w:tr>
    </w:tbl>
    <w:p>
      <w:pPr>
        <w:pStyle w:val="Text1"/>
        <w:ind w:left="-426" w:right="-427"/>
        <w:rPr>
          <w:noProof/>
        </w:rPr>
      </w:pPr>
      <w:bookmarkStart w:id="168" w:name="_Hlk167692843"/>
      <w:bookmarkEnd w:id="163"/>
      <w:r>
        <w:rPr>
          <w:noProof/>
        </w:rPr>
        <w:t>Necesarul de resurse umane va fi asigurat de efectivele de personal ale DG-ului în cauză alocate deja pentru gestionarea acțiunii și/sau redistribuite intern în cadrul DG-ului sau al altor servicii ale Comisiei.</w:t>
      </w:r>
    </w:p>
    <w:p>
      <w:pPr>
        <w:pStyle w:val="Text1"/>
        <w:ind w:left="-426"/>
        <w:rPr>
          <w:noProof/>
          <w:color w:val="000000" w:themeColor="text1"/>
        </w:rPr>
      </w:pPr>
      <w:r>
        <w:rPr>
          <w:noProof/>
          <w:color w:val="000000" w:themeColor="text1"/>
        </w:rPr>
        <w:t xml:space="preserve">Personalul necesar pentru punerea în aplicare a propunerii (în ENI):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rPr>
            </w:pPr>
            <w:r>
              <w:rPr>
                <w:b/>
                <w:noProof/>
                <w:sz w:val="22"/>
              </w:rPr>
              <w:t xml:space="preserve">Personal ce urmează să fie acoperit de personalul actual disponibil în cadrul serviciilor Comisiei </w:t>
            </w:r>
          </w:p>
        </w:tc>
        <w:tc>
          <w:tcPr>
            <w:tcW w:w="5611" w:type="dxa"/>
            <w:gridSpan w:val="3"/>
          </w:tcPr>
          <w:p>
            <w:pPr>
              <w:pStyle w:val="Text1"/>
              <w:ind w:left="0"/>
              <w:jc w:val="center"/>
              <w:rPr>
                <w:b/>
                <w:bCs/>
                <w:noProof/>
                <w:sz w:val="22"/>
              </w:rPr>
            </w:pPr>
            <w:r>
              <w:rPr>
                <w:b/>
                <w:noProof/>
                <w:sz w:val="22"/>
              </w:rPr>
              <w:t>În mod excepțional, personal suplimentar*</w:t>
            </w:r>
          </w:p>
        </w:tc>
      </w:tr>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szCs w:val="28"/>
              </w:rPr>
            </w:pPr>
          </w:p>
        </w:tc>
        <w:tc>
          <w:tcPr>
            <w:tcW w:w="1925" w:type="dxa"/>
          </w:tcPr>
          <w:p>
            <w:pPr>
              <w:pStyle w:val="Text1"/>
              <w:ind w:left="0"/>
              <w:jc w:val="center"/>
              <w:rPr>
                <w:b/>
                <w:bCs/>
                <w:noProof/>
                <w:sz w:val="22"/>
              </w:rPr>
            </w:pPr>
            <w:r>
              <w:rPr>
                <w:b/>
                <w:noProof/>
                <w:sz w:val="22"/>
              </w:rPr>
              <w:t>Personal ce urmează să fie finanțat în cadrul rubricii 7 sau Cercetare</w:t>
            </w:r>
          </w:p>
        </w:tc>
        <w:tc>
          <w:tcPr>
            <w:tcW w:w="1938" w:type="dxa"/>
          </w:tcPr>
          <w:p>
            <w:pPr>
              <w:pStyle w:val="Text1"/>
              <w:ind w:left="0"/>
              <w:jc w:val="center"/>
              <w:rPr>
                <w:b/>
                <w:bCs/>
                <w:noProof/>
                <w:sz w:val="22"/>
                <w:szCs w:val="28"/>
              </w:rPr>
            </w:pPr>
            <w:r>
              <w:rPr>
                <w:b/>
                <w:noProof/>
                <w:sz w:val="22"/>
              </w:rPr>
              <w:t>Personal ce urmează să fie finanțat de la linia BA</w:t>
            </w:r>
          </w:p>
        </w:tc>
        <w:tc>
          <w:tcPr>
            <w:tcW w:w="1748" w:type="dxa"/>
          </w:tcPr>
          <w:p>
            <w:pPr>
              <w:pStyle w:val="Text1"/>
              <w:ind w:left="0"/>
              <w:jc w:val="center"/>
              <w:rPr>
                <w:b/>
                <w:bCs/>
                <w:noProof/>
                <w:sz w:val="22"/>
                <w:szCs w:val="28"/>
              </w:rPr>
            </w:pPr>
            <w:r>
              <w:rPr>
                <w:b/>
                <w:noProof/>
                <w:sz w:val="22"/>
              </w:rPr>
              <w:t>Personal ce urmează să fie finanțat din taxe</w:t>
            </w:r>
          </w:p>
        </w:tc>
      </w:tr>
      <w:tr>
        <w:trPr>
          <w:trHeight w:val="300"/>
        </w:trPr>
        <w:tc>
          <w:tcPr>
            <w:tcW w:w="1845" w:type="dxa"/>
          </w:tcPr>
          <w:p>
            <w:pPr>
              <w:pStyle w:val="Text1"/>
              <w:ind w:left="0"/>
              <w:rPr>
                <w:noProof/>
                <w:sz w:val="22"/>
                <w:szCs w:val="28"/>
              </w:rPr>
            </w:pPr>
            <w:r>
              <w:rPr>
                <w:noProof/>
                <w:sz w:val="22"/>
              </w:rPr>
              <w:t>Posturi din schema de personal</w:t>
            </w:r>
          </w:p>
        </w:tc>
        <w:tc>
          <w:tcPr>
            <w:tcW w:w="2031" w:type="dxa"/>
          </w:tcPr>
          <w:p>
            <w:pPr>
              <w:pStyle w:val="Text1"/>
              <w:ind w:left="0"/>
              <w:rPr>
                <w:noProof/>
                <w:sz w:val="22"/>
                <w:szCs w:val="28"/>
              </w:rPr>
            </w:pPr>
          </w:p>
        </w:tc>
        <w:tc>
          <w:tcPr>
            <w:tcW w:w="1925" w:type="dxa"/>
          </w:tcPr>
          <w:p>
            <w:pPr>
              <w:pStyle w:val="Text1"/>
              <w:ind w:left="0"/>
              <w:rPr>
                <w:noProof/>
                <w:sz w:val="22"/>
                <w:szCs w:val="28"/>
              </w:rPr>
            </w:pPr>
          </w:p>
        </w:tc>
        <w:tc>
          <w:tcPr>
            <w:tcW w:w="1938" w:type="dxa"/>
          </w:tcPr>
          <w:p>
            <w:pPr>
              <w:pStyle w:val="Text1"/>
              <w:ind w:left="0"/>
              <w:rPr>
                <w:noProof/>
                <w:sz w:val="22"/>
                <w:szCs w:val="28"/>
              </w:rPr>
            </w:pPr>
            <w:r>
              <w:rPr>
                <w:noProof/>
                <w:sz w:val="22"/>
              </w:rPr>
              <w:t>N/A</w:t>
            </w:r>
          </w:p>
        </w:tc>
        <w:tc>
          <w:tcPr>
            <w:tcW w:w="1748" w:type="dxa"/>
          </w:tcPr>
          <w:p>
            <w:pPr>
              <w:pStyle w:val="Text1"/>
              <w:ind w:left="0"/>
              <w:rPr>
                <w:noProof/>
                <w:sz w:val="22"/>
                <w:szCs w:val="28"/>
              </w:rPr>
            </w:pPr>
          </w:p>
        </w:tc>
      </w:tr>
      <w:tr>
        <w:trPr>
          <w:trHeight w:val="300"/>
        </w:trPr>
        <w:tc>
          <w:tcPr>
            <w:tcW w:w="1845" w:type="dxa"/>
          </w:tcPr>
          <w:p>
            <w:pPr>
              <w:pStyle w:val="Text1"/>
              <w:ind w:left="0"/>
              <w:rPr>
                <w:noProof/>
                <w:sz w:val="22"/>
                <w:szCs w:val="28"/>
              </w:rPr>
            </w:pPr>
            <w:r>
              <w:rPr>
                <w:noProof/>
                <w:sz w:val="22"/>
              </w:rPr>
              <w:t>Personal extern (AC, END, INT)</w:t>
            </w:r>
          </w:p>
        </w:tc>
        <w:tc>
          <w:tcPr>
            <w:tcW w:w="2031" w:type="dxa"/>
          </w:tcPr>
          <w:p>
            <w:pPr>
              <w:pStyle w:val="Text1"/>
              <w:ind w:left="0"/>
              <w:rPr>
                <w:noProof/>
                <w:sz w:val="22"/>
                <w:szCs w:val="28"/>
              </w:rPr>
            </w:pPr>
          </w:p>
        </w:tc>
        <w:tc>
          <w:tcPr>
            <w:tcW w:w="1925" w:type="dxa"/>
          </w:tcPr>
          <w:p>
            <w:pPr>
              <w:pStyle w:val="Text1"/>
              <w:ind w:left="0"/>
              <w:rPr>
                <w:noProof/>
                <w:sz w:val="22"/>
                <w:szCs w:val="28"/>
              </w:rPr>
            </w:pPr>
          </w:p>
        </w:tc>
        <w:tc>
          <w:tcPr>
            <w:tcW w:w="1938" w:type="dxa"/>
          </w:tcPr>
          <w:p>
            <w:pPr>
              <w:pStyle w:val="Text1"/>
              <w:ind w:left="0"/>
              <w:rPr>
                <w:noProof/>
                <w:sz w:val="22"/>
                <w:szCs w:val="28"/>
              </w:rPr>
            </w:pPr>
          </w:p>
        </w:tc>
        <w:tc>
          <w:tcPr>
            <w:tcW w:w="1748" w:type="dxa"/>
          </w:tcPr>
          <w:p>
            <w:pPr>
              <w:pStyle w:val="Text1"/>
              <w:ind w:left="0"/>
              <w:rPr>
                <w:noProof/>
                <w:sz w:val="22"/>
                <w:szCs w:val="28"/>
              </w:rPr>
            </w:pPr>
          </w:p>
        </w:tc>
      </w:tr>
    </w:tbl>
    <w:p>
      <w:pPr>
        <w:rPr>
          <w:noProof/>
        </w:rPr>
      </w:pPr>
      <w:r>
        <w:rPr>
          <w:noProof/>
        </w:rPr>
        <w:t>*</w:t>
      </w:r>
    </w:p>
    <w:p>
      <w:pPr>
        <w:pStyle w:val="Text1"/>
        <w:ind w:left="-426" w:right="-427"/>
        <w:rPr>
          <w:noProof/>
        </w:rPr>
      </w:pPr>
      <w:r>
        <w:rPr>
          <w:noProof/>
        </w:rPr>
        <w:t>Descrierea sarcinilor care trebuie efectuate de: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Funcționari și personal temporar</w:t>
            </w:r>
          </w:p>
        </w:tc>
        <w:tc>
          <w:tcPr>
            <w:tcW w:w="7200" w:type="dxa"/>
          </w:tcPr>
          <w:p>
            <w:pPr>
              <w:rPr>
                <w:noProof/>
                <w:sz w:val="20"/>
              </w:rPr>
            </w:pPr>
          </w:p>
        </w:tc>
      </w:tr>
      <w:tr>
        <w:tc>
          <w:tcPr>
            <w:tcW w:w="3240" w:type="dxa"/>
          </w:tcPr>
          <w:p>
            <w:pPr>
              <w:spacing w:before="60" w:after="60"/>
              <w:rPr>
                <w:noProof/>
                <w:sz w:val="20"/>
              </w:rPr>
            </w:pPr>
            <w:r>
              <w:rPr>
                <w:noProof/>
                <w:sz w:val="20"/>
              </w:rPr>
              <w:t>Personal extern</w:t>
            </w:r>
          </w:p>
        </w:tc>
        <w:tc>
          <w:tcPr>
            <w:tcW w:w="7200" w:type="dxa"/>
          </w:tcPr>
          <w:p>
            <w:pPr>
              <w:rPr>
                <w:noProof/>
                <w:sz w:val="20"/>
              </w:rPr>
            </w:pPr>
          </w:p>
        </w:tc>
      </w:tr>
    </w:tbl>
    <w:p>
      <w:pPr>
        <w:pStyle w:val="ManualHeading3"/>
        <w:rPr>
          <w:noProof/>
        </w:rPr>
      </w:pPr>
      <w:bookmarkStart w:id="169" w:name="_Toc177549031"/>
      <w:r>
        <w:rPr>
          <w:noProof/>
        </w:rPr>
        <w:t>3.2.5.</w:t>
      </w:r>
      <w:r>
        <w:rPr>
          <w:noProof/>
        </w:rPr>
        <w:tab/>
        <w:t>Prezentare generală a impactului estimat asupra investițiilor legate de tehnologia digitală</w:t>
      </w:r>
      <w:bookmarkEnd w:id="169"/>
    </w:p>
    <w:tbl>
      <w:tblPr>
        <w:tblW w:w="0" w:type="auto"/>
        <w:tblLayout w:type="fixed"/>
        <w:tblLook w:val="04A0" w:firstRow="1" w:lastRow="0" w:firstColumn="1" w:lastColumn="0" w:noHBand="0" w:noVBand="1"/>
      </w:tblPr>
      <w:tblGrid>
        <w:gridCol w:w="3214"/>
        <w:gridCol w:w="835"/>
        <w:gridCol w:w="835"/>
        <w:gridCol w:w="835"/>
        <w:gridCol w:w="835"/>
        <w:gridCol w:w="981"/>
      </w:tblGrid>
      <w:tr>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TOTAL credite pentru componenta digitală și IT</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pPr>
              <w:spacing w:before="0" w:after="0"/>
              <w:jc w:val="center"/>
              <w:rPr>
                <w:noProof/>
                <w:color w:val="000000" w:themeColor="text1"/>
                <w:sz w:val="18"/>
                <w:szCs w:val="18"/>
              </w:rPr>
            </w:pPr>
            <w:r>
              <w:rPr>
                <w:noProof/>
                <w:color w:val="000000" w:themeColor="text1"/>
                <w:sz w:val="18"/>
              </w:rPr>
              <w:t>Anul</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TOTAL CFM 2021-2027</w:t>
            </w:r>
          </w:p>
        </w:tc>
      </w:tr>
      <w:tr>
        <w:trPr>
          <w:trHeight w:val="525"/>
        </w:trPr>
        <w:tc>
          <w:tcPr>
            <w:tcW w:w="3214" w:type="dxa"/>
            <w:vMerge/>
            <w:tcBorders>
              <w:top w:val="single" w:sz="8" w:space="0" w:color="auto"/>
              <w:left w:val="single" w:sz="4" w:space="0" w:color="auto"/>
              <w:right w:val="single" w:sz="4" w:space="0" w:color="auto"/>
            </w:tcBorders>
            <w:vAlign w:val="center"/>
          </w:tcPr>
          <w:p>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b/>
                <w:bCs/>
                <w:noProof/>
                <w:color w:val="000000" w:themeColor="text1"/>
                <w:sz w:val="18"/>
                <w:szCs w:val="18"/>
              </w:rPr>
            </w:pPr>
            <w:r>
              <w:rPr>
                <w:b/>
                <w:noProof/>
                <w:color w:val="000000" w:themeColor="text1"/>
                <w:sz w:val="18"/>
              </w:rPr>
              <w:t>2027</w:t>
            </w:r>
          </w:p>
        </w:tc>
        <w:tc>
          <w:tcPr>
            <w:tcW w:w="981" w:type="dxa"/>
            <w:vMerge/>
            <w:tcBorders>
              <w:bottom w:val="single" w:sz="4" w:space="0" w:color="auto"/>
              <w:right w:val="single" w:sz="4" w:space="0" w:color="auto"/>
            </w:tcBorders>
            <w:vAlign w:val="center"/>
          </w:tcPr>
          <w:p>
            <w:pPr>
              <w:rPr>
                <w:noProof/>
              </w:rPr>
            </w:pPr>
          </w:p>
        </w:tc>
      </w:tr>
      <w:tr>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left"/>
              <w:rPr>
                <w:b/>
                <w:bCs/>
                <w:noProof/>
                <w:sz w:val="16"/>
                <w:szCs w:val="16"/>
              </w:rPr>
            </w:pPr>
            <w:r>
              <w:rPr>
                <w:b/>
                <w:noProof/>
                <w:sz w:val="16"/>
              </w:rPr>
              <w:t>RUBRICA 7</w:t>
            </w:r>
          </w:p>
        </w:tc>
      </w:tr>
      <w:tr>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noProof/>
                <w:color w:val="000000" w:themeColor="text1"/>
                <w:sz w:val="16"/>
                <w:szCs w:val="16"/>
              </w:rPr>
            </w:pPr>
            <w:r>
              <w:rPr>
                <w:rFonts w:ascii="Arial Narrow" w:hAnsi="Arial Narrow"/>
                <w:noProof/>
                <w:color w:val="000000" w:themeColor="text1"/>
                <w:sz w:val="20"/>
              </w:rPr>
              <w:t>Cheltuieli IT (corporative)</w:t>
            </w:r>
            <w:r>
              <w:rPr>
                <w:noProof/>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b/>
                <w:bCs/>
                <w:noProof/>
                <w:color w:val="000000" w:themeColor="text1"/>
                <w:sz w:val="16"/>
                <w:szCs w:val="16"/>
              </w:rPr>
            </w:pPr>
            <w:r>
              <w:rPr>
                <w:b/>
                <w:noProof/>
                <w:color w:val="000000" w:themeColor="text1"/>
                <w:sz w:val="16"/>
              </w:rPr>
              <w:t>Subtotal de la RUBRICA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b/>
                <w:bCs/>
                <w:noProof/>
                <w:sz w:val="16"/>
                <w:szCs w:val="16"/>
              </w:rPr>
            </w:pPr>
            <w:r>
              <w:rPr>
                <w:b/>
                <w:noProof/>
                <w:sz w:val="16"/>
              </w:rPr>
              <w:t>În afara RUBRICII 7</w:t>
            </w:r>
          </w:p>
        </w:tc>
      </w:tr>
      <w:tr>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left"/>
              <w:rPr>
                <w:rFonts w:ascii="Arial Narrow" w:eastAsia="Arial Narrow" w:hAnsi="Arial Narrow" w:cs="Arial Narrow"/>
                <w:noProof/>
                <w:color w:val="000000" w:themeColor="text1"/>
                <w:sz w:val="20"/>
                <w:szCs w:val="20"/>
              </w:rPr>
            </w:pPr>
            <w:r>
              <w:rPr>
                <w:rFonts w:ascii="Arial Narrow" w:hAnsi="Arial Narrow"/>
                <w:noProof/>
                <w:color w:val="000000" w:themeColor="text1"/>
                <w:sz w:val="20"/>
              </w:rPr>
              <w:t>Cheltuieli de politică IT pentru programele operaționale</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noProof/>
                <w:color w:val="000000" w:themeColor="text1"/>
                <w:sz w:val="16"/>
                <w:szCs w:val="16"/>
              </w:rPr>
            </w:pPr>
            <w:r>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b/>
                <w:bCs/>
                <w:noProof/>
                <w:color w:val="000000" w:themeColor="text1"/>
                <w:sz w:val="16"/>
                <w:szCs w:val="16"/>
              </w:rPr>
            </w:pPr>
            <w:r>
              <w:rPr>
                <w:b/>
                <w:noProof/>
                <w:color w:val="000000" w:themeColor="text1"/>
                <w:sz w:val="16"/>
              </w:rPr>
              <w:t>Subtotal în afara RUBRICII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r>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noProof/>
                <w:color w:val="000000" w:themeColor="text1"/>
                <w:sz w:val="16"/>
                <w:szCs w:val="16"/>
              </w:rPr>
            </w:pPr>
            <w:r>
              <w:rPr>
                <w:noProof/>
                <w:color w:val="000000" w:themeColor="text1"/>
                <w:sz w:val="16"/>
              </w:rPr>
              <w:t xml:space="preserve"> </w:t>
            </w:r>
          </w:p>
        </w:tc>
      </w:tr>
      <w:tr>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pPr>
              <w:spacing w:before="0" w:after="0"/>
              <w:jc w:val="center"/>
              <w:rPr>
                <w:b/>
                <w:bCs/>
                <w:noProof/>
                <w:color w:val="000000" w:themeColor="text1"/>
                <w:sz w:val="16"/>
                <w:szCs w:val="16"/>
              </w:rPr>
            </w:pPr>
            <w:r>
              <w:rPr>
                <w:b/>
                <w:noProof/>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b/>
                <w:bCs/>
                <w:noProof/>
                <w:color w:val="000000" w:themeColor="text1"/>
                <w:sz w:val="16"/>
                <w:szCs w:val="16"/>
              </w:rPr>
            </w:pPr>
            <w:r>
              <w:rPr>
                <w:b/>
                <w:noProof/>
                <w:color w:val="000000" w:themeColor="text1"/>
                <w:sz w:val="16"/>
              </w:rPr>
              <w:t>0,000</w:t>
            </w:r>
          </w:p>
        </w:tc>
      </w:tr>
    </w:tbl>
    <w:p>
      <w:pPr>
        <w:pStyle w:val="ManualHeading3"/>
        <w:rPr>
          <w:noProof/>
        </w:rPr>
      </w:pPr>
      <w:bookmarkStart w:id="170" w:name="_Toc514938056"/>
      <w:bookmarkStart w:id="171" w:name="_Toc520485055"/>
      <w:bookmarkStart w:id="172" w:name="_Toc160804599"/>
      <w:bookmarkStart w:id="173" w:name="_Toc167220298"/>
      <w:bookmarkStart w:id="174" w:name="_Toc177549032"/>
      <w:bookmarkEnd w:id="168"/>
      <w:r>
        <w:rPr>
          <w:noProof/>
        </w:rPr>
        <w:t>3.2.6.</w:t>
      </w:r>
      <w:r>
        <w:rPr>
          <w:noProof/>
        </w:rPr>
        <w:tab/>
        <w:t>Compatibilitatea cu cadrul financiar multianual actual</w:t>
      </w:r>
      <w:bookmarkEnd w:id="170"/>
      <w:bookmarkEnd w:id="171"/>
      <w:bookmarkEnd w:id="172"/>
      <w:bookmarkEnd w:id="173"/>
      <w:bookmarkEnd w:id="174"/>
      <w:r>
        <w:rPr>
          <w:noProof/>
        </w:rPr>
        <w:t xml:space="preserve"> </w:t>
      </w:r>
    </w:p>
    <w:p>
      <w:pPr>
        <w:pStyle w:val="Text1"/>
        <w:rPr>
          <w:noProof/>
        </w:rPr>
      </w:pPr>
      <w:r>
        <w:rPr>
          <w:noProof/>
        </w:rPr>
        <w:t>Propunerea/inițiativa:</w:t>
      </w:r>
    </w:p>
    <w:p>
      <w:pPr>
        <w:pStyle w:val="ListDash1"/>
        <w:rPr>
          <w:noProof/>
        </w:rPr>
      </w:pPr>
      <w:r>
        <w:rPr>
          <w:rFonts w:ascii="Wingdings" w:hAnsi="Wingdings"/>
          <w:noProof/>
        </w:rPr>
        <w:t>¨</w:t>
      </w:r>
      <w:r>
        <w:rPr>
          <w:noProof/>
        </w:rPr>
        <w:t xml:space="preserve"> poate fi finanțată integral prin realocarea creditelor în cadrul rubricii relevante din cadrul financiar multianual (CFM)</w:t>
      </w:r>
    </w:p>
    <w:p>
      <w:pPr>
        <w:pStyle w:val="ListDash1"/>
        <w:rPr>
          <w:noProof/>
        </w:rPr>
      </w:pPr>
      <w:r>
        <w:rPr>
          <w:rFonts w:ascii="Wingdings" w:hAnsi="Wingdings"/>
          <w:noProof/>
        </w:rPr>
        <w:t>¨</w:t>
      </w:r>
      <w:r>
        <w:rPr>
          <w:noProof/>
        </w:rPr>
        <w:t xml:space="preserve"> necesită utilizarea marjei nealocate din cadrul rubricii corespunzătoare din CFM și/sau utilizarea instrumentelor speciale, astfel cum sunt definite în Regulamentul privind CFM</w:t>
      </w:r>
    </w:p>
    <w:p>
      <w:pPr>
        <w:pStyle w:val="ListDash1"/>
        <w:rPr>
          <w:noProof/>
        </w:rPr>
      </w:pPr>
      <w:r>
        <w:rPr>
          <w:rFonts w:ascii="Wingdings" w:hAnsi="Wingdings"/>
          <w:noProof/>
        </w:rPr>
        <w:t>¨</w:t>
      </w:r>
      <w:r>
        <w:rPr>
          <w:noProof/>
        </w:rPr>
        <w:t xml:space="preserve"> necesită revizuirea CFM</w:t>
      </w:r>
    </w:p>
    <w:p>
      <w:pPr>
        <w:pStyle w:val="ManualHeading3"/>
        <w:rPr>
          <w:noProof/>
        </w:rPr>
      </w:pPr>
      <w:bookmarkStart w:id="175" w:name="_Toc514938058"/>
      <w:bookmarkStart w:id="176" w:name="_Toc520485056"/>
      <w:bookmarkStart w:id="177" w:name="_Toc160804600"/>
      <w:bookmarkStart w:id="178" w:name="_Toc167220299"/>
      <w:bookmarkStart w:id="179" w:name="_Toc177549033"/>
      <w:r>
        <w:rPr>
          <w:noProof/>
        </w:rPr>
        <w:t>3.2.7.</w:t>
      </w:r>
      <w:r>
        <w:rPr>
          <w:noProof/>
        </w:rPr>
        <w:tab/>
        <w:t>Contribuțiile terților</w:t>
      </w:r>
      <w:bookmarkEnd w:id="175"/>
      <w:bookmarkEnd w:id="176"/>
      <w:bookmarkEnd w:id="177"/>
      <w:bookmarkEnd w:id="178"/>
      <w:bookmarkEnd w:id="179"/>
      <w:r>
        <w:rPr>
          <w:noProof/>
        </w:rPr>
        <w:t xml:space="preserve"> </w:t>
      </w:r>
    </w:p>
    <w:p>
      <w:pPr>
        <w:pStyle w:val="Text1"/>
        <w:rPr>
          <w:noProof/>
        </w:rPr>
      </w:pPr>
      <w:r>
        <w:rPr>
          <w:noProof/>
        </w:rPr>
        <w:t>Propunerea/inițiativa:</w:t>
      </w:r>
    </w:p>
    <w:p>
      <w:pPr>
        <w:pStyle w:val="ListDash1"/>
        <w:rPr>
          <w:noProof/>
        </w:rPr>
      </w:pPr>
      <w:r>
        <w:rPr>
          <w:rFonts w:ascii="Wingdings" w:hAnsi="Wingdings"/>
          <w:noProof/>
        </w:rPr>
        <w:t>¨</w:t>
      </w:r>
      <w:r>
        <w:rPr>
          <w:noProof/>
        </w:rPr>
        <w:t xml:space="preserve"> nu prevede cofinanțare din partea terților</w:t>
      </w:r>
    </w:p>
    <w:p>
      <w:pPr>
        <w:pStyle w:val="ListDash1"/>
        <w:rPr>
          <w:noProof/>
        </w:rPr>
      </w:pPr>
      <w:r>
        <w:rPr>
          <w:rFonts w:ascii="Wingdings" w:hAnsi="Wingdings"/>
          <w:noProof/>
        </w:rPr>
        <w:t>¨</w:t>
      </w:r>
      <w:r>
        <w:rPr>
          <w:noProof/>
        </w:rPr>
        <w:t xml:space="preserve"> prevede cofinanțare din partea terților, estimată mai jos:</w:t>
      </w:r>
    </w:p>
    <w:p>
      <w:pPr>
        <w:jc w:val="right"/>
        <w:rPr>
          <w:noProof/>
          <w:sz w:val="20"/>
        </w:rPr>
      </w:pPr>
      <w:r>
        <w:rPr>
          <w:noProof/>
          <w:sz w:val="20"/>
        </w:rPr>
        <w:t>Credite în milioane EUR (cu trei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trPr>
          <w:cantSplit/>
        </w:trPr>
        <w:tc>
          <w:tcPr>
            <w:tcW w:w="1591" w:type="pct"/>
          </w:tcPr>
          <w:p>
            <w:pPr>
              <w:spacing w:before="60" w:after="60"/>
              <w:rPr>
                <w:noProof/>
                <w:sz w:val="20"/>
              </w:rPr>
            </w:pPr>
          </w:p>
        </w:tc>
        <w:tc>
          <w:tcPr>
            <w:tcW w:w="655" w:type="pct"/>
            <w:vAlign w:val="center"/>
          </w:tcPr>
          <w:p>
            <w:pPr>
              <w:jc w:val="center"/>
              <w:rPr>
                <w:noProof/>
                <w:sz w:val="20"/>
              </w:rPr>
            </w:pPr>
            <w:r>
              <w:rPr>
                <w:noProof/>
                <w:sz w:val="20"/>
              </w:rPr>
              <w:t xml:space="preserve">Anul </w:t>
            </w:r>
            <w:r>
              <w:rPr>
                <w:noProof/>
              </w:rPr>
              <w:t xml:space="preserve"> </w:t>
            </w:r>
            <w:r>
              <w:rPr>
                <w:noProof/>
              </w:rPr>
              <w:br/>
            </w:r>
            <w:r>
              <w:rPr>
                <w:b/>
                <w:noProof/>
                <w:sz w:val="20"/>
              </w:rPr>
              <w:t>2024</w:t>
            </w:r>
          </w:p>
        </w:tc>
        <w:tc>
          <w:tcPr>
            <w:tcW w:w="655" w:type="pct"/>
            <w:vAlign w:val="center"/>
          </w:tcPr>
          <w:p>
            <w:pPr>
              <w:jc w:val="center"/>
              <w:rPr>
                <w:noProof/>
                <w:sz w:val="20"/>
              </w:rPr>
            </w:pPr>
            <w:r>
              <w:rPr>
                <w:noProof/>
                <w:sz w:val="20"/>
              </w:rPr>
              <w:t xml:space="preserve">Anul </w:t>
            </w:r>
            <w:r>
              <w:rPr>
                <w:noProof/>
              </w:rPr>
              <w:t xml:space="preserve"> </w:t>
            </w:r>
            <w:r>
              <w:rPr>
                <w:noProof/>
              </w:rPr>
              <w:br/>
            </w:r>
            <w:r>
              <w:rPr>
                <w:b/>
                <w:noProof/>
                <w:sz w:val="20"/>
              </w:rPr>
              <w:t>2025</w:t>
            </w:r>
          </w:p>
        </w:tc>
        <w:tc>
          <w:tcPr>
            <w:tcW w:w="655" w:type="pct"/>
            <w:vAlign w:val="center"/>
          </w:tcPr>
          <w:p>
            <w:pPr>
              <w:jc w:val="center"/>
              <w:rPr>
                <w:noProof/>
                <w:sz w:val="20"/>
              </w:rPr>
            </w:pPr>
            <w:r>
              <w:rPr>
                <w:noProof/>
                <w:sz w:val="20"/>
              </w:rPr>
              <w:t xml:space="preserve">Anul </w:t>
            </w:r>
            <w:r>
              <w:rPr>
                <w:noProof/>
              </w:rPr>
              <w:t xml:space="preserve"> </w:t>
            </w:r>
            <w:r>
              <w:rPr>
                <w:noProof/>
              </w:rPr>
              <w:br/>
            </w:r>
            <w:r>
              <w:rPr>
                <w:b/>
                <w:noProof/>
                <w:sz w:val="20"/>
              </w:rPr>
              <w:t>2026</w:t>
            </w:r>
          </w:p>
        </w:tc>
        <w:tc>
          <w:tcPr>
            <w:tcW w:w="655" w:type="pct"/>
            <w:vAlign w:val="center"/>
          </w:tcPr>
          <w:p>
            <w:pPr>
              <w:jc w:val="center"/>
              <w:rPr>
                <w:noProof/>
                <w:sz w:val="20"/>
              </w:rPr>
            </w:pPr>
            <w:r>
              <w:rPr>
                <w:noProof/>
                <w:sz w:val="20"/>
              </w:rPr>
              <w:t xml:space="preserve">Anul </w:t>
            </w:r>
            <w:r>
              <w:rPr>
                <w:noProof/>
              </w:rPr>
              <w:t xml:space="preserve"> </w:t>
            </w:r>
            <w:r>
              <w:rPr>
                <w:noProof/>
              </w:rPr>
              <w:br/>
            </w:r>
            <w:r>
              <w:rPr>
                <w:b/>
                <w:noProof/>
                <w:sz w:val="20"/>
              </w:rPr>
              <w:t>2027</w:t>
            </w:r>
          </w:p>
        </w:tc>
        <w:tc>
          <w:tcPr>
            <w:tcW w:w="787" w:type="pct"/>
            <w:vAlign w:val="center"/>
          </w:tcPr>
          <w:p>
            <w:pPr>
              <w:spacing w:before="60" w:after="60"/>
              <w:jc w:val="center"/>
              <w:rPr>
                <w:noProof/>
                <w:sz w:val="20"/>
              </w:rPr>
            </w:pPr>
            <w:r>
              <w:rPr>
                <w:noProof/>
                <w:sz w:val="20"/>
              </w:rPr>
              <w:t>Total</w:t>
            </w:r>
          </w:p>
        </w:tc>
      </w:tr>
      <w:tr>
        <w:trPr>
          <w:cantSplit/>
        </w:trPr>
        <w:tc>
          <w:tcPr>
            <w:tcW w:w="1591" w:type="pct"/>
          </w:tcPr>
          <w:p>
            <w:pPr>
              <w:rPr>
                <w:noProof/>
              </w:rPr>
            </w:pPr>
            <w:r>
              <w:rPr>
                <w:noProof/>
                <w:sz w:val="20"/>
              </w:rPr>
              <w:t>A se preciza organismul care asigură cofinanțarea</w:t>
            </w:r>
            <w:r>
              <w:rPr>
                <w:i/>
                <w:noProof/>
                <w:sz w:val="20"/>
              </w:rPr>
              <w:t xml:space="preserve">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r>
        <w:trPr>
          <w:cantSplit/>
        </w:trPr>
        <w:tc>
          <w:tcPr>
            <w:tcW w:w="1591" w:type="pct"/>
          </w:tcPr>
          <w:p>
            <w:pPr>
              <w:spacing w:before="60" w:after="60"/>
              <w:jc w:val="left"/>
              <w:rPr>
                <w:noProof/>
                <w:sz w:val="20"/>
              </w:rPr>
            </w:pPr>
            <w:r>
              <w:rPr>
                <w:noProof/>
                <w:sz w:val="20"/>
              </w:rPr>
              <w:t xml:space="preserve">TOTAL credite cofinanțate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bl>
    <w:p>
      <w:pPr>
        <w:outlineLvl w:val="1"/>
        <w:rPr>
          <w:noProof/>
          <w:szCs w:val="24"/>
        </w:rPr>
      </w:pPr>
      <w:r>
        <w:rPr>
          <w:noProof/>
        </w:rPr>
        <w:t xml:space="preserve"> </w:t>
      </w:r>
      <w:r>
        <w:rPr>
          <w:noProof/>
        </w:rPr>
        <w:br/>
      </w:r>
      <w:bookmarkStart w:id="180" w:name="_Toc514938059"/>
      <w:bookmarkStart w:id="181" w:name="_Toc520485057"/>
      <w:bookmarkStart w:id="182" w:name="_Toc160804602"/>
      <w:bookmarkStart w:id="183" w:name="_Toc167220300"/>
      <w:bookmarkStart w:id="184" w:name="_Toc177549034"/>
      <w:bookmarkStart w:id="185" w:name="_Hlk166860179"/>
      <w:r>
        <w:rPr>
          <w:noProof/>
        </w:rPr>
        <w:t>3.3.</w:t>
      </w:r>
      <w:r>
        <w:rPr>
          <w:noProof/>
        </w:rPr>
        <w:tab/>
        <w:t>Impactul estimat asupra veniturilor</w:t>
      </w:r>
      <w:bookmarkEnd w:id="180"/>
      <w:bookmarkEnd w:id="181"/>
      <w:bookmarkEnd w:id="182"/>
      <w:bookmarkEnd w:id="183"/>
      <w:bookmarkEnd w:id="184"/>
      <w:r>
        <w:rPr>
          <w:noProof/>
        </w:rPr>
        <w:t xml:space="preserve"> </w:t>
      </w:r>
    </w:p>
    <w:bookmarkEnd w:id="185"/>
    <w:p>
      <w:pPr>
        <w:pStyle w:val="ListDash1"/>
        <w:rPr>
          <w:noProof/>
        </w:rPr>
      </w:pPr>
      <w:r>
        <w:rPr>
          <w:rFonts w:ascii="Wingdings" w:hAnsi="Wingdings"/>
          <w:noProof/>
        </w:rPr>
        <w:t>¨</w:t>
      </w:r>
      <w:r>
        <w:rPr>
          <w:noProof/>
        </w:rPr>
        <w:t xml:space="preserve"> Propunerea/inițiativa nu are impact financiar asupra veniturilor.</w:t>
      </w:r>
    </w:p>
    <w:p>
      <w:pPr>
        <w:pStyle w:val="ListDash1"/>
        <w:rPr>
          <w:noProof/>
        </w:rPr>
      </w:pPr>
      <w:r>
        <w:rPr>
          <w:rFonts w:ascii="Wingdings" w:hAnsi="Wingdings"/>
          <w:noProof/>
        </w:rPr>
        <w:t>¨</w:t>
      </w:r>
      <w:r>
        <w:rPr>
          <w:noProof/>
        </w:rPr>
        <w:t xml:space="preserve"> Propunerea/inițiativa are următorul impact financiar:</w:t>
      </w:r>
    </w:p>
    <w:p>
      <w:pPr>
        <w:pStyle w:val="ListNumberLevel3"/>
        <w:rPr>
          <w:noProof/>
        </w:rPr>
      </w:pPr>
      <w:r>
        <w:rPr>
          <w:rFonts w:ascii="Wingdings" w:hAnsi="Wingdings"/>
          <w:noProof/>
        </w:rPr>
        <w:t>x</w:t>
      </w:r>
      <w:r>
        <w:rPr>
          <w:noProof/>
        </w:rPr>
        <w:tab/>
        <w:t xml:space="preserve">asupra resurselor proprii </w:t>
      </w:r>
    </w:p>
    <w:p>
      <w:pPr>
        <w:pStyle w:val="ListNumberLevel3"/>
        <w:rPr>
          <w:noProof/>
        </w:rPr>
      </w:pPr>
      <w:r>
        <w:rPr>
          <w:rFonts w:ascii="Wingdings" w:hAnsi="Wingdings"/>
          <w:noProof/>
        </w:rPr>
        <w:t>¨</w:t>
      </w:r>
      <w:r>
        <w:rPr>
          <w:noProof/>
        </w:rPr>
        <w:tab/>
        <w:t>asupra altor venituri</w:t>
      </w:r>
    </w:p>
    <w:p>
      <w:pPr>
        <w:pStyle w:val="ListNumberLevel3"/>
        <w:rPr>
          <w:noProof/>
        </w:rPr>
      </w:pPr>
      <w:r>
        <w:rPr>
          <w:rFonts w:ascii="Wingdings" w:hAnsi="Wingdings"/>
          <w:noProof/>
        </w:rPr>
        <w:t>¨</w:t>
      </w:r>
      <w:r>
        <w:rPr>
          <w:noProof/>
        </w:rPr>
        <w:t xml:space="preserve"> vă rugăm să precizați dacă veniturile sunt alocate unor linii de cheltuieli</w:t>
      </w:r>
    </w:p>
    <w:p>
      <w:pPr>
        <w:jc w:val="right"/>
        <w:rPr>
          <w:noProof/>
          <w:sz w:val="20"/>
        </w:rPr>
      </w:pPr>
      <w:r>
        <w:rPr>
          <w:noProof/>
          <w:sz w:val="20"/>
        </w:rPr>
        <w:t xml:space="preserve">     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6"/>
        <w:gridCol w:w="1614"/>
        <w:gridCol w:w="528"/>
        <w:gridCol w:w="282"/>
        <w:gridCol w:w="282"/>
        <w:gridCol w:w="3937"/>
      </w:tblGrid>
      <w:tr>
        <w:trPr>
          <w:trHeight w:val="388"/>
        </w:trPr>
        <w:tc>
          <w:tcPr>
            <w:tcW w:w="1424" w:type="pct"/>
            <w:vMerge w:val="restart"/>
            <w:vAlign w:val="center"/>
          </w:tcPr>
          <w:p>
            <w:pPr>
              <w:spacing w:before="40" w:after="40"/>
              <w:rPr>
                <w:noProof/>
                <w:sz w:val="18"/>
              </w:rPr>
            </w:pPr>
            <w:r>
              <w:rPr>
                <w:noProof/>
                <w:sz w:val="18"/>
              </w:rPr>
              <w:t>Linia bugetară pentru venituri:</w:t>
            </w:r>
          </w:p>
        </w:tc>
        <w:tc>
          <w:tcPr>
            <w:tcW w:w="869" w:type="pct"/>
            <w:vMerge w:val="restart"/>
            <w:vAlign w:val="center"/>
          </w:tcPr>
          <w:p>
            <w:pPr>
              <w:jc w:val="center"/>
              <w:rPr>
                <w:noProof/>
                <w:sz w:val="18"/>
              </w:rPr>
            </w:pPr>
            <w:r>
              <w:rPr>
                <w:noProof/>
                <w:sz w:val="18"/>
              </w:rPr>
              <w:t>Credite disponibile pentru exercițiul financiar în curs</w:t>
            </w:r>
          </w:p>
        </w:tc>
        <w:tc>
          <w:tcPr>
            <w:tcW w:w="2707" w:type="pct"/>
            <w:gridSpan w:val="4"/>
            <w:vAlign w:val="center"/>
          </w:tcPr>
          <w:p>
            <w:pPr>
              <w:jc w:val="center"/>
              <w:rPr>
                <w:noProof/>
                <w:sz w:val="18"/>
              </w:rPr>
            </w:pPr>
            <w:r>
              <w:rPr>
                <w:noProof/>
                <w:sz w:val="18"/>
              </w:rPr>
              <w:t>Impactul propunerii/inițiativei</w:t>
            </w:r>
            <w:r>
              <w:rPr>
                <w:rStyle w:val="FootnoteReference"/>
                <w:noProof/>
                <w:sz w:val="18"/>
                <w:szCs w:val="18"/>
              </w:rPr>
              <w:footnoteReference w:id="9"/>
            </w:r>
          </w:p>
        </w:tc>
      </w:tr>
      <w:tr>
        <w:trPr>
          <w:trHeight w:val="388"/>
        </w:trPr>
        <w:tc>
          <w:tcPr>
            <w:tcW w:w="1424" w:type="pct"/>
            <w:vMerge/>
          </w:tcPr>
          <w:p>
            <w:pPr>
              <w:spacing w:before="40" w:after="40"/>
              <w:rPr>
                <w:noProof/>
                <w:sz w:val="18"/>
              </w:rPr>
            </w:pPr>
          </w:p>
        </w:tc>
        <w:tc>
          <w:tcPr>
            <w:tcW w:w="869" w:type="pct"/>
            <w:vMerge/>
          </w:tcPr>
          <w:p>
            <w:pPr>
              <w:spacing w:beforeLines="40" w:before="96" w:afterLines="40" w:after="96"/>
              <w:rPr>
                <w:i/>
                <w:noProof/>
                <w:sz w:val="18"/>
              </w:rPr>
            </w:pPr>
          </w:p>
        </w:tc>
        <w:tc>
          <w:tcPr>
            <w:tcW w:w="284" w:type="pct"/>
            <w:vAlign w:val="center"/>
          </w:tcPr>
          <w:p>
            <w:pPr>
              <w:jc w:val="center"/>
              <w:rPr>
                <w:noProof/>
                <w:sz w:val="18"/>
              </w:rPr>
            </w:pPr>
          </w:p>
        </w:tc>
        <w:tc>
          <w:tcPr>
            <w:tcW w:w="152" w:type="pct"/>
            <w:vAlign w:val="center"/>
          </w:tcPr>
          <w:p>
            <w:pPr>
              <w:jc w:val="center"/>
              <w:rPr>
                <w:noProof/>
                <w:sz w:val="18"/>
              </w:rPr>
            </w:pPr>
          </w:p>
        </w:tc>
        <w:tc>
          <w:tcPr>
            <w:tcW w:w="152" w:type="pct"/>
            <w:vAlign w:val="center"/>
          </w:tcPr>
          <w:p>
            <w:pPr>
              <w:jc w:val="center"/>
              <w:rPr>
                <w:noProof/>
                <w:sz w:val="18"/>
              </w:rPr>
            </w:pPr>
          </w:p>
        </w:tc>
        <w:tc>
          <w:tcPr>
            <w:tcW w:w="2119" w:type="pct"/>
            <w:vAlign w:val="center"/>
          </w:tcPr>
          <w:p>
            <w:pPr>
              <w:jc w:val="center"/>
              <w:rPr>
                <w:noProof/>
                <w:sz w:val="18"/>
              </w:rPr>
            </w:pPr>
            <w:r>
              <w:rPr>
                <w:noProof/>
                <w:sz w:val="18"/>
              </w:rPr>
              <w:t xml:space="preserve">Anul </w:t>
            </w:r>
            <w:r>
              <w:rPr>
                <w:b/>
                <w:bCs/>
                <w:noProof/>
                <w:sz w:val="18"/>
              </w:rPr>
              <w:t>2027</w:t>
            </w:r>
          </w:p>
        </w:tc>
      </w:tr>
      <w:tr>
        <w:trPr>
          <w:trHeight w:val="388"/>
        </w:trPr>
        <w:tc>
          <w:tcPr>
            <w:tcW w:w="1424" w:type="pct"/>
            <w:vAlign w:val="center"/>
          </w:tcPr>
          <w:p>
            <w:pPr>
              <w:spacing w:before="40" w:after="40"/>
              <w:rPr>
                <w:rFonts w:eastAsia="Times New Roman"/>
                <w:noProof/>
                <w:sz w:val="18"/>
                <w:szCs w:val="18"/>
              </w:rPr>
            </w:pPr>
            <w:r>
              <w:rPr>
                <w:noProof/>
              </w:rPr>
              <w:t>Articolul 1.2.0</w:t>
            </w:r>
          </w:p>
        </w:tc>
        <w:tc>
          <w:tcPr>
            <w:tcW w:w="869" w:type="pct"/>
          </w:tcPr>
          <w:p>
            <w:pPr>
              <w:spacing w:beforeLines="40" w:before="96" w:afterLines="40" w:after="96"/>
              <w:jc w:val="center"/>
              <w:rPr>
                <w:i/>
                <w:noProof/>
                <w:sz w:val="18"/>
              </w:rPr>
            </w:pPr>
            <w:r>
              <w:rPr>
                <w:i/>
                <w:noProof/>
                <w:sz w:val="18"/>
              </w:rPr>
              <w:t>X</w:t>
            </w:r>
          </w:p>
        </w:tc>
        <w:tc>
          <w:tcPr>
            <w:tcW w:w="284" w:type="pct"/>
          </w:tcPr>
          <w:p>
            <w:pPr>
              <w:spacing w:beforeLines="40" w:before="96" w:afterLines="40" w:after="96"/>
              <w:jc w:val="center"/>
              <w:rPr>
                <w:noProof/>
                <w:sz w:val="18"/>
                <w:szCs w:val="18"/>
              </w:rPr>
            </w:pPr>
          </w:p>
        </w:tc>
        <w:tc>
          <w:tcPr>
            <w:tcW w:w="152" w:type="pct"/>
          </w:tcPr>
          <w:p>
            <w:pPr>
              <w:spacing w:beforeLines="40" w:before="96" w:afterLines="40" w:after="96"/>
              <w:jc w:val="center"/>
              <w:rPr>
                <w:noProof/>
                <w:sz w:val="18"/>
                <w:szCs w:val="18"/>
              </w:rPr>
            </w:pPr>
          </w:p>
        </w:tc>
        <w:tc>
          <w:tcPr>
            <w:tcW w:w="152" w:type="pct"/>
          </w:tcPr>
          <w:p>
            <w:pPr>
              <w:spacing w:beforeLines="40" w:before="96" w:afterLines="40" w:after="96"/>
              <w:jc w:val="center"/>
              <w:rPr>
                <w:noProof/>
                <w:sz w:val="18"/>
                <w:szCs w:val="18"/>
              </w:rPr>
            </w:pPr>
          </w:p>
        </w:tc>
        <w:tc>
          <w:tcPr>
            <w:tcW w:w="2119" w:type="pct"/>
          </w:tcPr>
          <w:p>
            <w:pPr>
              <w:spacing w:beforeLines="40" w:before="96" w:afterLines="40" w:after="96"/>
              <w:jc w:val="center"/>
              <w:rPr>
                <w:noProof/>
                <w:sz w:val="18"/>
                <w:szCs w:val="18"/>
              </w:rPr>
            </w:pPr>
            <w:r>
              <w:rPr>
                <w:noProof/>
                <w:sz w:val="18"/>
              </w:rPr>
              <w:t>272,04</w:t>
            </w:r>
          </w:p>
        </w:tc>
      </w:tr>
    </w:tbl>
    <w:p>
      <w:pPr>
        <w:pStyle w:val="Text1"/>
        <w:pBdr>
          <w:top w:val="single" w:sz="4" w:space="1" w:color="auto"/>
          <w:left w:val="single" w:sz="4" w:space="4" w:color="auto"/>
          <w:bottom w:val="single" w:sz="4" w:space="1" w:color="auto"/>
          <w:right w:val="single" w:sz="4" w:space="4" w:color="auto"/>
        </w:pBdr>
        <w:ind w:left="0"/>
        <w:rPr>
          <w:noProof/>
        </w:rPr>
      </w:pPr>
      <w:r>
        <w:rPr>
          <w:noProof/>
        </w:rPr>
        <w:t>Principalul impact al regulamentului este pierderea de venituri pentru Uniunea Europeană. Potrivit celor mai recente statistici complete (2021-2022), impactul asupra pierderii de venituri care rezultă din prezentul regulament poate fi estimat la 272,04 milioane EUR în 2027.</w:t>
      </w:r>
    </w:p>
    <w:p>
      <w:pPr>
        <w:pStyle w:val="Text1"/>
        <w:pBdr>
          <w:top w:val="single" w:sz="4" w:space="1" w:color="auto"/>
          <w:left w:val="single" w:sz="4" w:space="4" w:color="auto"/>
          <w:bottom w:val="single" w:sz="4" w:space="1" w:color="auto"/>
          <w:right w:val="single" w:sz="4" w:space="4" w:color="auto"/>
        </w:pBdr>
        <w:rPr>
          <w:noProof/>
        </w:rPr>
      </w:pPr>
      <w:r>
        <w:rPr>
          <w:noProof/>
        </w:rPr>
        <w:t xml:space="preserve">Suma menționată a fost calculată pe baza nivelurilor taxelor vamale aplicabile națiunii celei mai favorizate, a utilizării complete a contingentelor, a prețului mediu (EUR) pe tonă și a faptului că 80 % din taxe sunt incluse în bugetul UE. Prin urmare, aceasta marchează nivelul maxim al pierderii de venituri, întrucât Uniunea acordă preferințe comerciale mai favorabile diferitor grupuri de țări terțe (SGP, SGP +, ALS). </w:t>
      </w:r>
    </w:p>
    <w:p>
      <w:pPr>
        <w:pStyle w:val="Text1"/>
        <w:pBdr>
          <w:top w:val="single" w:sz="4" w:space="1" w:color="auto"/>
          <w:left w:val="single" w:sz="4" w:space="4" w:color="auto"/>
          <w:bottom w:val="single" w:sz="4" w:space="1" w:color="auto"/>
          <w:right w:val="single" w:sz="4" w:space="4" w:color="auto"/>
        </w:pBdr>
        <w:rPr>
          <w:noProof/>
        </w:rPr>
      </w:pPr>
      <w:r>
        <w:rPr>
          <w:noProof/>
        </w:rPr>
        <w:t>Prin urmare, pierderea reală de venituri reprezintă o sumă mai mică, deoarece taxele vamale aplicabile națiunii celei mai favorizate nu se aplică în mod generalizat, iar contingentele prevăzute în regulament nu sunt utilizate complet.</w:t>
      </w:r>
    </w:p>
    <w:p>
      <w:pPr>
        <w:pStyle w:val="Text1"/>
        <w:pBdr>
          <w:top w:val="single" w:sz="4" w:space="1" w:color="auto"/>
          <w:left w:val="single" w:sz="4" w:space="4" w:color="auto"/>
          <w:bottom w:val="single" w:sz="4" w:space="1" w:color="auto"/>
          <w:right w:val="single" w:sz="4" w:space="4" w:color="auto"/>
        </w:pBdr>
        <w:rPr>
          <w:noProof/>
        </w:rPr>
      </w:pPr>
      <w:r>
        <w:rPr>
          <w:noProof/>
        </w:rPr>
        <w:t>Controlul utilizării finale a anumitor produse care fac obiectul prezentului regulament al Consiliului se efectuează în conformitate cu articolul 254 din Regulamentul (UE) nr. 952/2013 de stabilire a Codului vamal al Uniunii.</w:t>
      </w:r>
    </w:p>
    <w:p>
      <w:pPr>
        <w:pStyle w:val="Text1"/>
        <w:pBdr>
          <w:top w:val="single" w:sz="4" w:space="1" w:color="auto"/>
          <w:left w:val="single" w:sz="4" w:space="4" w:color="auto"/>
          <w:bottom w:val="single" w:sz="4" w:space="1" w:color="auto"/>
          <w:right w:val="single" w:sz="4" w:space="4" w:color="auto"/>
        </w:pBdr>
        <w:rPr>
          <w:noProof/>
        </w:rPr>
      </w:pPr>
    </w:p>
    <w:p>
      <w:pPr>
        <w:pStyle w:val="ManualHeading1"/>
        <w:rPr>
          <w:caps/>
          <w:noProof/>
        </w:rPr>
      </w:pPr>
      <w:bookmarkStart w:id="186" w:name="_Toc167220301"/>
      <w:bookmarkStart w:id="187" w:name="_Toc177549035"/>
      <w:r>
        <w:rPr>
          <w:noProof/>
        </w:rPr>
        <w:t>4.</w:t>
      </w:r>
      <w:r>
        <w:rPr>
          <w:noProof/>
        </w:rPr>
        <w:tab/>
      </w:r>
      <w:bookmarkStart w:id="188" w:name="_Hlk167692977"/>
      <w:r>
        <w:rPr>
          <w:caps/>
          <w:noProof/>
        </w:rPr>
        <w:t>Dimensiunile digitale</w:t>
      </w:r>
      <w:bookmarkEnd w:id="186"/>
      <w:bookmarkEnd w:id="187"/>
    </w:p>
    <w:p>
      <w:pPr>
        <w:pStyle w:val="ManualHeading2"/>
        <w:tabs>
          <w:tab w:val="clear" w:pos="850"/>
          <w:tab w:val="left" w:pos="0"/>
        </w:tabs>
        <w:ind w:left="0" w:firstLine="0"/>
        <w:rPr>
          <w:b w:val="0"/>
          <w:noProof/>
        </w:rPr>
      </w:pPr>
      <w:hyperlink r:id="rId21" w:history="1">
        <w:r>
          <w:rPr>
            <w:rStyle w:val="Hyperlink"/>
            <w:noProof/>
          </w:rPr>
          <w:t>http://data.europa.eu/eli/reg/2024/903/oj</w:t>
        </w:r>
      </w:hyperlink>
      <w:bookmarkStart w:id="189" w:name="_Toc177549036"/>
      <w:bookmarkEnd w:id="189"/>
    </w:p>
    <w:p>
      <w:pPr>
        <w:rPr>
          <w:noProof/>
        </w:rPr>
      </w:pPr>
      <w:bookmarkStart w:id="190" w:name="_Toc167220302"/>
      <w:bookmarkStart w:id="191" w:name="_Toc177549037"/>
      <w:r>
        <w:rPr>
          <w:noProof/>
        </w:rPr>
        <w:t>4,1.</w:t>
      </w:r>
      <w:r>
        <w:rPr>
          <w:noProof/>
        </w:rPr>
        <w:tab/>
        <w:t>Cerințe cu relevanță digitală</w:t>
      </w:r>
      <w:bookmarkEnd w:id="190"/>
      <w:bookmarkEnd w:id="191"/>
    </w:p>
    <w:tbl>
      <w:tblPr>
        <w:tblStyle w:val="TableGrid"/>
        <w:tblW w:w="9072" w:type="dxa"/>
        <w:tblInd w:w="-5" w:type="dxa"/>
        <w:tblLayout w:type="fixed"/>
        <w:tblLook w:val="06A0" w:firstRow="1" w:lastRow="0" w:firstColumn="1" w:lastColumn="0" w:noHBand="1" w:noVBand="1"/>
      </w:tblPr>
      <w:tblGrid>
        <w:gridCol w:w="9072"/>
      </w:tblGrid>
      <w:tr>
        <w:trPr>
          <w:trHeight w:val="300"/>
        </w:trPr>
        <w:tc>
          <w:tcPr>
            <w:tcW w:w="9072" w:type="dxa"/>
          </w:tcPr>
          <w:p>
            <w:pPr>
              <w:rPr>
                <w:noProof/>
              </w:rPr>
            </w:pPr>
          </w:p>
          <w:p>
            <w:pPr>
              <w:rPr>
                <w:noProof/>
              </w:rPr>
            </w:pPr>
            <w:r>
              <w:rPr>
                <w:noProof/>
              </w:rPr>
              <w:t xml:space="preserve">Modificarea regulamentului nu conține nicio cerință referitoare la relevanță digitală. Regulamentul nu conține nicio cerință obligatorie care să aibă un efect asupra dezvoltării sau implementării serviciilor publice digitale și a sistemelor informatice utilizate pentru dispozițiile sale. </w:t>
            </w:r>
          </w:p>
          <w:p>
            <w:pPr>
              <w:pStyle w:val="ListParagraph"/>
              <w:numPr>
                <w:ilvl w:val="0"/>
                <w:numId w:val="17"/>
              </w:numPr>
              <w:rPr>
                <w:noProof/>
                <w:color w:val="0000FF"/>
              </w:rPr>
            </w:pPr>
          </w:p>
        </w:tc>
      </w:tr>
    </w:tbl>
    <w:p>
      <w:pPr>
        <w:pStyle w:val="ManualHeading2"/>
        <w:rPr>
          <w:noProof/>
        </w:rPr>
      </w:pPr>
      <w:bookmarkStart w:id="192" w:name="_Toc167220303"/>
      <w:bookmarkStart w:id="193" w:name="_Toc177549038"/>
      <w:r>
        <w:rPr>
          <w:noProof/>
        </w:rPr>
        <w:t>4,2.</w:t>
      </w:r>
      <w:r>
        <w:rPr>
          <w:noProof/>
        </w:rPr>
        <w:tab/>
        <w:t>Date</w:t>
      </w:r>
      <w:bookmarkEnd w:id="192"/>
      <w:bookmarkEnd w:id="193"/>
    </w:p>
    <w:tbl>
      <w:tblPr>
        <w:tblStyle w:val="TableGrid"/>
        <w:tblW w:w="0" w:type="auto"/>
        <w:tblLook w:val="04A0" w:firstRow="1" w:lastRow="0" w:firstColumn="1" w:lastColumn="0" w:noHBand="0" w:noVBand="1"/>
      </w:tblPr>
      <w:tblGrid>
        <w:gridCol w:w="9063"/>
      </w:tblGrid>
      <w:tr>
        <w:tc>
          <w:tcPr>
            <w:tcW w:w="9063" w:type="dxa"/>
          </w:tcPr>
          <w:p>
            <w:pPr>
              <w:rPr>
                <w:noProof/>
              </w:rPr>
            </w:pPr>
          </w:p>
          <w:p>
            <w:pPr>
              <w:rPr>
                <w:rFonts w:eastAsiaTheme="minorHAnsi"/>
                <w:noProof/>
                <w:szCs w:val="22"/>
              </w:rPr>
            </w:pPr>
            <w:r>
              <w:rPr>
                <w:noProof/>
              </w:rPr>
              <w:t>N/A</w:t>
            </w:r>
            <w:hyperlink r:id="rId22" w:history="1">
              <w:r>
                <w:rPr>
                  <w:rStyle w:val="Hyperlink"/>
                  <w:noProof/>
                </w:rPr>
                <w:t>https://digital-strategy.ec.europa.eu/ro/policies/data-act</w:t>
              </w:r>
            </w:hyperlink>
          </w:p>
        </w:tc>
      </w:tr>
    </w:tbl>
    <w:p>
      <w:pPr>
        <w:pStyle w:val="ManualHeading2"/>
        <w:rPr>
          <w:noProof/>
        </w:rPr>
      </w:pPr>
      <w:bookmarkStart w:id="194" w:name="_Toc167220305"/>
      <w:bookmarkStart w:id="195" w:name="_Toc177549039"/>
      <w:r>
        <w:rPr>
          <w:noProof/>
        </w:rPr>
        <w:t>4.3.</w:t>
      </w:r>
      <w:r>
        <w:rPr>
          <w:noProof/>
        </w:rPr>
        <w:tab/>
        <w:t>Soluții digitale</w:t>
      </w:r>
      <w:bookmarkEnd w:id="194"/>
      <w:bookmarkEnd w:id="195"/>
    </w:p>
    <w:tbl>
      <w:tblPr>
        <w:tblStyle w:val="TableGrid"/>
        <w:tblpPr w:leftFromText="141" w:rightFromText="141" w:vertAnchor="text" w:horzAnchor="margin" w:tblpY="2"/>
        <w:tblW w:w="9067" w:type="dxa"/>
        <w:tblLook w:val="04A0" w:firstRow="1" w:lastRow="0" w:firstColumn="1" w:lastColumn="0" w:noHBand="0" w:noVBand="1"/>
      </w:tblPr>
      <w:tblGrid>
        <w:gridCol w:w="9067"/>
      </w:tblGrid>
      <w:tr>
        <w:tc>
          <w:tcPr>
            <w:tcW w:w="9067" w:type="dxa"/>
          </w:tcPr>
          <w:p>
            <w:pPr>
              <w:rPr>
                <w:noProof/>
              </w:rPr>
            </w:pPr>
            <w:r>
              <w:rPr>
                <w:noProof/>
              </w:rPr>
              <w:t>N/A</w:t>
            </w:r>
          </w:p>
          <w:p>
            <w:pPr>
              <w:rPr>
                <w:noProof/>
              </w:rPr>
            </w:pPr>
          </w:p>
        </w:tc>
      </w:tr>
    </w:tbl>
    <w:p>
      <w:pPr>
        <w:pStyle w:val="ManualHeading2"/>
        <w:rPr>
          <w:rStyle w:val="Emphasis"/>
          <w:b w:val="0"/>
          <w:bCs/>
          <w:i w:val="0"/>
          <w:iCs w:val="0"/>
          <w:noProof/>
        </w:rPr>
      </w:pPr>
      <w:bookmarkStart w:id="196" w:name="_Toc167220304"/>
      <w:bookmarkStart w:id="197" w:name="_Toc177549040"/>
      <w:r>
        <w:rPr>
          <w:rStyle w:val="Emphasis"/>
          <w:noProof/>
        </w:rPr>
        <w:t>4,4.</w:t>
      </w:r>
      <w:r>
        <w:rPr>
          <w:noProof/>
        </w:rPr>
        <w:tab/>
      </w:r>
      <w:r>
        <w:rPr>
          <w:rStyle w:val="Emphasis"/>
          <w:noProof/>
        </w:rPr>
        <w:t>Evaluarea interoperabilității</w:t>
      </w:r>
      <w:bookmarkEnd w:id="196"/>
      <w:bookmarkEnd w:id="197"/>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trPr>
          <w:trHeight w:val="300"/>
        </w:trPr>
        <w:tc>
          <w:tcPr>
            <w:tcW w:w="9067" w:type="dxa"/>
          </w:tcPr>
          <w:p>
            <w:pPr>
              <w:rPr>
                <w:noProof/>
              </w:rPr>
            </w:pPr>
            <w:r>
              <w:rPr>
                <w:noProof/>
              </w:rPr>
              <w:t>N/A</w:t>
            </w:r>
          </w:p>
          <w:p>
            <w:pPr>
              <w:rPr>
                <w:i/>
                <w:iCs/>
                <w:noProof/>
                <w:color w:val="215868" w:themeColor="accent5" w:themeShade="80"/>
              </w:rPr>
            </w:pPr>
          </w:p>
        </w:tc>
      </w:tr>
    </w:tbl>
    <w:p>
      <w:pPr>
        <w:pStyle w:val="ManualHeading2"/>
        <w:rPr>
          <w:noProof/>
        </w:rPr>
      </w:pPr>
      <w:bookmarkStart w:id="198" w:name="_Toc167220306"/>
      <w:bookmarkStart w:id="199" w:name="_Toc177549041"/>
      <w:r>
        <w:rPr>
          <w:noProof/>
        </w:rPr>
        <w:t>4,5.</w:t>
      </w:r>
      <w:r>
        <w:rPr>
          <w:noProof/>
        </w:rPr>
        <w:tab/>
        <w:t>Măsuri de sprijinire a implementării digitale</w:t>
      </w:r>
      <w:bookmarkEnd w:id="198"/>
      <w:bookmarkEnd w:id="199"/>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tc>
          <w:tcPr>
            <w:tcW w:w="9067" w:type="dxa"/>
          </w:tcPr>
          <w:p>
            <w:pPr>
              <w:rPr>
                <w:noProof/>
              </w:rPr>
            </w:pPr>
            <w:r>
              <w:rPr>
                <w:noProof/>
              </w:rPr>
              <w:t>N/A</w:t>
            </w:r>
          </w:p>
          <w:p>
            <w:pPr>
              <w:rPr>
                <w:noProof/>
                <w:color w:val="0000FF"/>
              </w:rPr>
            </w:pPr>
          </w:p>
        </w:tc>
      </w:tr>
      <w:bookmarkEnd w:id="188"/>
    </w:tbl>
    <w:p>
      <w:pPr>
        <w:rPr>
          <w:noProof/>
          <w:color w:val="008000"/>
        </w:rPr>
      </w:pPr>
    </w:p>
    <w:sectPr>
      <w:headerReference w:type="default" r:id="rId23"/>
      <w:footerReference w:type="default" r:id="rId2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EUAlbertina">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sz w:val="18"/>
          <w:szCs w:val="18"/>
        </w:rPr>
      </w:pPr>
      <w:r>
        <w:rPr>
          <w:rStyle w:val="FootnoteReference"/>
        </w:rPr>
        <w:footnoteRef/>
      </w:r>
      <w:r>
        <w:tab/>
      </w:r>
      <w:r>
        <w:rPr>
          <w:sz w:val="18"/>
        </w:rPr>
        <w:t>JO L, 2023/2720, 6.12.2023, p. 1</w:t>
      </w:r>
    </w:p>
  </w:footnote>
  <w:footnote w:id="2">
    <w:p>
      <w:pPr>
        <w:pStyle w:val="FootnoteText"/>
        <w:ind w:left="0" w:firstLine="0"/>
      </w:pPr>
      <w:r>
        <w:rPr>
          <w:rStyle w:val="FootnoteReference"/>
        </w:rPr>
        <w:footnoteRef/>
      </w:r>
      <w:r>
        <w:tab/>
        <w:t>Regulamentul (UE) 2023/2720 al Consiliului din 27 noiembrie 2023 privind deschiderea și modul de gestionare a contingentelor tarifare autonome ale Uniunii pentru anumite produse pescărești pentru perioada 2024-2026 (JO L 2023/2720, 6.12.2023, ELI: http://data.europa.eu/eli/reg/2023/2720/oj)</w:t>
      </w:r>
    </w:p>
  </w:footnote>
  <w:footnote w:id="3">
    <w:p>
      <w:pPr>
        <w:pStyle w:val="FootnoteText"/>
      </w:pPr>
      <w:r>
        <w:rPr>
          <w:rStyle w:val="FootnoteReference"/>
        </w:rPr>
        <w:footnoteRef/>
      </w:r>
      <w:r>
        <w:tab/>
        <w:t>Astfel cum se menționează la articolul 58 alineatul (2) litera (a) sau (b) din Regulamentul financiar.</w:t>
      </w:r>
    </w:p>
  </w:footnote>
  <w:footnote w:id="4">
    <w:p>
      <w:pPr>
        <w:pStyle w:val="FootnoteText"/>
        <w:rPr>
          <w:szCs w:val="24"/>
        </w:rPr>
      </w:pPr>
      <w:r>
        <w:rPr>
          <w:rStyle w:val="FootnoteReference"/>
        </w:rPr>
        <w:footnoteRef/>
      </w:r>
      <w:r>
        <w:tab/>
        <w:t>Dif. = credite diferențiate / Nedif. = credite nediferențiate.</w:t>
      </w:r>
    </w:p>
  </w:footnote>
  <w:footnote w:id="5">
    <w:p>
      <w:pPr>
        <w:pStyle w:val="FootnoteText"/>
        <w:rPr>
          <w:szCs w:val="24"/>
        </w:rPr>
      </w:pPr>
      <w:r>
        <w:rPr>
          <w:rStyle w:val="FootnoteReference"/>
        </w:rPr>
        <w:footnoteRef/>
      </w:r>
      <w:r>
        <w:tab/>
        <w:t xml:space="preserve">AELS: Asociația Europeană a Liberului Schimb. </w:t>
      </w:r>
    </w:p>
  </w:footnote>
  <w:footnote w:id="6">
    <w:p>
      <w:pPr>
        <w:pStyle w:val="FootnoteText"/>
        <w:rPr>
          <w:szCs w:val="24"/>
        </w:rPr>
      </w:pPr>
      <w:r>
        <w:rPr>
          <w:rStyle w:val="FootnoteReference"/>
        </w:rPr>
        <w:footnoteRef/>
      </w:r>
      <w:r>
        <w:tab/>
        <w:t>Țările candidate și, după caz, candidații potențiali din Balcanii de Vest.</w:t>
      </w:r>
    </w:p>
  </w:footnote>
  <w:footnote w:id="7">
    <w:p>
      <w:pPr>
        <w:pStyle w:val="FootnoteText"/>
        <w:rPr>
          <w:szCs w:val="24"/>
        </w:rPr>
      </w:pPr>
      <w:r>
        <w:rPr>
          <w:rStyle w:val="FootnoteReference"/>
        </w:rPr>
        <w:footnoteRef/>
      </w:r>
      <w:r>
        <w:tab/>
        <w:t>Realizările se referă la produsele și serviciile care trebuie furnizate (de ex.: numărul de schimburi de studenți finanțate, numărul de km de drumuri construiți etc.).</w:t>
      </w:r>
    </w:p>
  </w:footnote>
  <w:footnote w:id="8">
    <w:p>
      <w:pPr>
        <w:pStyle w:val="FootnoteText"/>
        <w:rPr>
          <w:szCs w:val="24"/>
        </w:rPr>
      </w:pPr>
      <w:r>
        <w:rPr>
          <w:rStyle w:val="FootnoteReference"/>
        </w:rPr>
        <w:footnoteRef/>
      </w:r>
      <w:r>
        <w:tab/>
        <w:t xml:space="preserve">Conform descrierii din secțiunea 1.3.2. „Obiectiv(e) specific(e)…” </w:t>
      </w:r>
    </w:p>
  </w:footnote>
  <w:footnote w:id="9">
    <w:p>
      <w:pPr>
        <w:pStyle w:val="FootnoteText"/>
        <w:rPr>
          <w:szCs w:val="24"/>
        </w:rPr>
      </w:pPr>
      <w:r>
        <w:rPr>
          <w:rStyle w:val="FootnoteReference"/>
        </w:rPr>
        <w:footnoteRef/>
      </w:r>
      <w:r>
        <w:tab/>
        <w:t>În ceea ce privește resursele proprii tradiționale (taxe vamale, cotizații pentru zahăr), sumele indicate trebuie să fie sume nete, și anume sumele brute după deducerea unei cote de 20 %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F334971"/>
    <w:multiLevelType w:val="hybridMultilevel"/>
    <w:tmpl w:val="BB2062B2"/>
    <w:lvl w:ilvl="0" w:tplc="D9FE987C">
      <w:numFmt w:val="bullet"/>
      <w:lvlText w:val="•"/>
      <w:lvlJc w:val="left"/>
      <w:pPr>
        <w:ind w:left="1212" w:hanging="852"/>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9"/>
  </w:num>
  <w:num w:numId="4">
    <w:abstractNumId w:val="18"/>
  </w:num>
  <w:num w:numId="5">
    <w:abstractNumId w:val="17"/>
  </w:num>
  <w:num w:numId="6">
    <w:abstractNumId w:val="28"/>
  </w:num>
  <w:num w:numId="7">
    <w:abstractNumId w:val="25"/>
  </w:num>
  <w:num w:numId="8">
    <w:abstractNumId w:val="29"/>
  </w:num>
  <w:num w:numId="9">
    <w:abstractNumId w:val="30"/>
  </w:num>
  <w:num w:numId="10">
    <w:abstractNumId w:val="2"/>
  </w:num>
  <w:num w:numId="11">
    <w:abstractNumId w:val="11"/>
  </w:num>
  <w:num w:numId="12">
    <w:abstractNumId w:val="3"/>
  </w:num>
  <w:num w:numId="13">
    <w:abstractNumId w:val="12"/>
  </w:num>
  <w:num w:numId="14">
    <w:abstractNumId w:val="10"/>
  </w:num>
  <w:num w:numId="15">
    <w:abstractNumId w:val="19"/>
  </w:num>
  <w:num w:numId="16">
    <w:abstractNumId w:val="8"/>
  </w:num>
  <w:num w:numId="17">
    <w:abstractNumId w:val="1"/>
  </w:num>
  <w:num w:numId="18">
    <w:abstractNumId w:val="31"/>
    <w:lvlOverride w:ilvl="0">
      <w:startOverride w:val="1"/>
    </w:lvlOverride>
  </w:num>
  <w:num w:numId="19">
    <w:abstractNumId w:val="24"/>
  </w:num>
  <w:num w:numId="20">
    <w:abstractNumId w:val="13"/>
  </w:num>
  <w:num w:numId="21">
    <w:abstractNumId w:val="27"/>
  </w:num>
  <w:num w:numId="22">
    <w:abstractNumId w:val="7"/>
  </w:num>
  <w:num w:numId="23">
    <w:abstractNumId w:val="14"/>
  </w:num>
  <w:num w:numId="24">
    <w:abstractNumId w:val="15"/>
  </w:num>
  <w:num w:numId="25">
    <w:abstractNumId w:val="5"/>
  </w:num>
  <w:num w:numId="26">
    <w:abstractNumId w:val="26"/>
  </w:num>
  <w:num w:numId="27">
    <w:abstractNumId w:val="4"/>
  </w:num>
  <w:num w:numId="28">
    <w:abstractNumId w:val="16"/>
  </w:num>
  <w:num w:numId="29">
    <w:abstractNumId w:val="22"/>
  </w:num>
  <w:num w:numId="30">
    <w:abstractNumId w:val="23"/>
  </w:num>
  <w:num w:numId="31">
    <w:abstractNumId w:val="6"/>
  </w:num>
  <w:num w:numId="32">
    <w:abstractNumId w:val="20"/>
  </w:num>
  <w:num w:numId="33">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8 09:07:3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898E040-6996-4AE3-A181-02F26B53D249"/>
    <w:docVar w:name="LW_COVERPAGE_TYPE" w:val="1"/>
    <w:docVar w:name="LW_CreatedUtc" w:val="2026-05-11T12:53:51.0057481Z"/>
    <w:docVar w:name="LW_CROSSREFERENCE" w:val="&lt;UNUSED&gt;"/>
    <w:docVar w:name="LW_DocType" w:val="COM"/>
    <w:docVar w:name="LW_EMISSION" w:val="8.9.2026"/>
    <w:docVar w:name="LW_EMISSION_ISODATE" w:val="2026-09-08"/>
    <w:docVar w:name="LW_EMISSION_LOCATION" w:val="BRX"/>
    <w:docVar w:name="LW_EMISSION_PREFIX" w:val="Bruxelles, "/>
    <w:docVar w:name="LW_EMISSION_SUFFIX" w:val=" "/>
    <w:docVar w:name="LW_ID_DOCMODEL" w:val="SJ-016"/>
    <w:docVar w:name="LW_ID_DOCSIGNATURE" w:val="SJ-016"/>
    <w:docVar w:name="LW_ID_DOCSTRUCTURE" w:val="COM/PL/ORG"/>
    <w:docVar w:name="LW_ID_DOCTYPE" w:val="SJ-016"/>
    <w:docVar w:name="LW_ID_STATUT" w:val="SJ-016"/>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52"/>
    <w:docVar w:name="LW_REF.II.NEW.CP_YEAR" w:val="2026"/>
    <w:docVar w:name="LW_REF.INST.NEW" w:val="COM"/>
    <w:docVar w:name="LW_REF.INST.NEW_ADOPTED" w:val="final"/>
    <w:docVar w:name="LW_REF.INST.NEW_TEXT" w:val="(2026) 44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23/2720 al Consiliului privind deschiderea \u537?i modul de gestionare a contingentelor tarifare autonome ale Uniunii pentru anumite produse pesc\u259?re\u537?ti pentru perioada 2024-2026"/>
    <w:docVar w:name="LW_TYPE.DOC.CP" w:val="REGULAMENT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9B0CD4FB-A4C5-4F8F-AF9B-A99003E40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uiPriority w:val="99"/>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spacing w:line="360" w:lineRule="auto"/>
    </w:pPr>
    <w:rPr>
      <w:rFonts w:eastAsia="Times New Roman"/>
      <w:lang w:eastAsia="en-GB"/>
    </w:rPr>
  </w:style>
  <w:style w:type="paragraph" w:customStyle="1" w:styleId="LegalNumPar3">
    <w:name w:val="LegalNumPar3"/>
    <w:basedOn w:val="Normal"/>
    <w:pPr>
      <w:spacing w:line="360" w:lineRule="auto"/>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styleId="NormalWeb">
    <w:name w:val="Normal (Web)"/>
    <w:basedOn w:val="Normal"/>
    <w:uiPriority w:val="99"/>
    <w:semiHidden/>
    <w:unhideWhenUsed/>
    <w:rPr>
      <w:szCs w:val="24"/>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9892323">
      <w:bodyDiv w:val="1"/>
      <w:marLeft w:val="0"/>
      <w:marRight w:val="0"/>
      <w:marTop w:val="0"/>
      <w:marBottom w:val="0"/>
      <w:divBdr>
        <w:top w:val="none" w:sz="0" w:space="0" w:color="auto"/>
        <w:left w:val="none" w:sz="0" w:space="0" w:color="auto"/>
        <w:bottom w:val="none" w:sz="0" w:space="0" w:color="auto"/>
        <w:right w:val="none" w:sz="0" w:space="0" w:color="auto"/>
      </w:divBdr>
      <w:divsChild>
        <w:div w:id="919412564">
          <w:marLeft w:val="0"/>
          <w:marRight w:val="0"/>
          <w:marTop w:val="0"/>
          <w:marBottom w:val="0"/>
          <w:divBdr>
            <w:top w:val="none" w:sz="0" w:space="0" w:color="auto"/>
            <w:left w:val="none" w:sz="0" w:space="0" w:color="auto"/>
            <w:bottom w:val="none" w:sz="0" w:space="0" w:color="auto"/>
            <w:right w:val="none" w:sz="0" w:space="0" w:color="auto"/>
          </w:divBdr>
          <w:divsChild>
            <w:div w:id="146245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93630">
      <w:bodyDiv w:val="1"/>
      <w:marLeft w:val="0"/>
      <w:marRight w:val="0"/>
      <w:marTop w:val="0"/>
      <w:marBottom w:val="0"/>
      <w:divBdr>
        <w:top w:val="none" w:sz="0" w:space="0" w:color="auto"/>
        <w:left w:val="none" w:sz="0" w:space="0" w:color="auto"/>
        <w:bottom w:val="none" w:sz="0" w:space="0" w:color="auto"/>
        <w:right w:val="none" w:sz="0" w:space="0" w:color="auto"/>
      </w:divBdr>
      <w:divsChild>
        <w:div w:id="1654869868">
          <w:marLeft w:val="0"/>
          <w:marRight w:val="0"/>
          <w:marTop w:val="0"/>
          <w:marBottom w:val="0"/>
          <w:divBdr>
            <w:top w:val="none" w:sz="0" w:space="0" w:color="auto"/>
            <w:left w:val="none" w:sz="0" w:space="0" w:color="auto"/>
            <w:bottom w:val="none" w:sz="0" w:space="0" w:color="auto"/>
            <w:right w:val="none" w:sz="0" w:space="0" w:color="auto"/>
          </w:divBdr>
          <w:divsChild>
            <w:div w:id="178017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ec.europa.eu/info/law/better-regulation/have-your-say/initiatives/13119-Legislation-for-plants-produced-by-certain-new-genomic-techniques/public-consultation_ro"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data.europa.eu/eli/reg/2024/903/oj" TargetMode="Externa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styles" Target="styles.xml"/><Relationship Id="rId15" Type="http://schemas.openxmlformats.org/officeDocument/2006/relationships/footer" Target="footer4.xml"/><Relationship Id="rId23" Type="http://schemas.openxmlformats.org/officeDocument/2006/relationships/header" Target="header4.xml"/><Relationship Id="rId10" Type="http://schemas.openxmlformats.org/officeDocument/2006/relationships/image" Target="media/image1.emf"/><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yperlink" Target="https://commission.europa.eu/strategy-and-policy/priorities-2019-2024/europe-fit-digital-age/european-data-strategy_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429E421B7D0B4085855E79BFBD84D8" ma:contentTypeVersion="15" ma:contentTypeDescription="Create a new document." ma:contentTypeScope="" ma:versionID="d2d9abab3cebe89fe5dd2e8d94d58fd6">
  <xsd:schema xmlns:xsd="http://www.w3.org/2001/XMLSchema" xmlns:xs="http://www.w3.org/2001/XMLSchema" xmlns:p="http://schemas.microsoft.com/office/2006/metadata/properties" xmlns:ns2="1124f467-e8a7-4788-95b6-921cce7bcfae" xmlns:ns3="d56ed46a-4164-40b6-a09a-3a2f9edb41ee" targetNamespace="http://schemas.microsoft.com/office/2006/metadata/properties" ma:root="true" ma:fieldsID="c26076bd0eafb82ec168a81109ad6a33" ns2:_="" ns3:_="">
    <xsd:import namespace="1124f467-e8a7-4788-95b6-921cce7bcfae"/>
    <xsd:import namespace="d56ed46a-4164-40b6-a09a-3a2f9edb41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4f467-e8a7-4788-95b6-921cce7bc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6ed46a-4164-40b6-a09a-3a2f9edb41e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a1b116a-30a4-40f1-8a52-9de2fc57386a}" ma:internalName="TaxCatchAll" ma:showField="CatchAllData" ma:web="d56ed46a-4164-40b6-a09a-3a2f9edb41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56ed46a-4164-40b6-a09a-3a2f9edb41ee" xsi:nil="true"/>
    <lcf76f155ced4ddcb4097134ff3c332f xmlns="1124f467-e8a7-4788-95b6-921cce7bcf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84F2A1-412F-4200-9DED-3C790A50D01D}">
  <ds:schemaRefs>
    <ds:schemaRef ds:uri="http://schemas.microsoft.com/sharepoint/v3/contenttype/forms"/>
  </ds:schemaRefs>
</ds:datastoreItem>
</file>

<file path=customXml/itemProps2.xml><?xml version="1.0" encoding="utf-8"?>
<ds:datastoreItem xmlns:ds="http://schemas.openxmlformats.org/officeDocument/2006/customXml" ds:itemID="{4A5B7080-5F0A-46A0-B0EA-8CB4196612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4f467-e8a7-4788-95b6-921cce7bcfae"/>
    <ds:schemaRef ds:uri="d56ed46a-4164-40b6-a09a-3a2f9edb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9B2E9C-F9D7-4994-8751-0A3A28D699BF}">
  <ds:schemaRefs>
    <ds:schemaRef ds:uri="http://schemas.microsoft.com/office/2006/metadata/properties"/>
    <ds:schemaRef ds:uri="http://schemas.microsoft.com/office/infopath/2007/PartnerControls"/>
    <ds:schemaRef ds:uri="d56ed46a-4164-40b6-a09a-3a2f9edb41ee"/>
    <ds:schemaRef ds:uri="1124f467-e8a7-4788-95b6-921cce7bcfae"/>
  </ds:schemaRefs>
</ds:datastoreItem>
</file>

<file path=docProps/app.xml><?xml version="1.0" encoding="utf-8"?>
<Properties xmlns="http://schemas.openxmlformats.org/officeDocument/2006/extended-properties" xmlns:vt="http://schemas.openxmlformats.org/officeDocument/2006/docPropsVTypes">
  <Template>COM.dotm</Template>
  <TotalTime>215</TotalTime>
  <Pages>19</Pages>
  <Words>6340</Words>
  <Characters>36140</Characters>
  <Application>Microsoft Office Word</Application>
  <DocSecurity>0</DocSecurity>
  <Lines>301</Lines>
  <Paragraphs>84</Paragraphs>
  <ScaleCrop>false</ScaleCrop>
  <Manager/>
  <Company/>
  <LinksUpToDate>false</LinksUpToDate>
  <CharactersWithSpaces>42396</CharactersWithSpaces>
  <SharedDoc>false</SharedDoc>
  <HLinks>
    <vt:vector size="30" baseType="variant">
      <vt:variant>
        <vt:i4>5439606</vt:i4>
      </vt:variant>
      <vt:variant>
        <vt:i4>9</vt:i4>
      </vt:variant>
      <vt:variant>
        <vt:i4>0</vt:i4>
      </vt:variant>
      <vt:variant>
        <vt:i4>5</vt:i4>
      </vt:variant>
      <vt:variant>
        <vt:lpwstr>https://commission.europa.eu/strategy-and-policy/priorities-2019-2024/europe-fit-digital-age/european-data-strategy_en</vt:lpwstr>
      </vt:variant>
      <vt:variant>
        <vt:lpwstr/>
      </vt:variant>
      <vt:variant>
        <vt:i4>4980764</vt:i4>
      </vt:variant>
      <vt:variant>
        <vt:i4>6</vt:i4>
      </vt:variant>
      <vt:variant>
        <vt:i4>0</vt:i4>
      </vt:variant>
      <vt:variant>
        <vt:i4>5</vt:i4>
      </vt:variant>
      <vt:variant>
        <vt:lpwstr>http://data.europa.eu/eli/reg/2024/903/oj</vt:lpwstr>
      </vt:variant>
      <vt:variant>
        <vt:lpwstr/>
      </vt:variant>
      <vt:variant>
        <vt:i4>458767</vt:i4>
      </vt:variant>
      <vt:variant>
        <vt:i4>3</vt:i4>
      </vt:variant>
      <vt:variant>
        <vt:i4>0</vt:i4>
      </vt:variant>
      <vt:variant>
        <vt:i4>5</vt:i4>
      </vt:variant>
      <vt:variant>
        <vt:lpwstr>https://myintracomm.ec.europa.eu/corp/budget/financial-rules/budget-implementation/Pages/financial-statement.aspx</vt:lpwstr>
      </vt:variant>
      <vt:variant>
        <vt:lpwstr/>
      </vt:variant>
      <vt:variant>
        <vt:i4>262150</vt:i4>
      </vt:variant>
      <vt:variant>
        <vt:i4>0</vt:i4>
      </vt:variant>
      <vt:variant>
        <vt:i4>0</vt:i4>
      </vt:variant>
      <vt:variant>
        <vt:i4>5</vt:i4>
      </vt:variant>
      <vt:variant>
        <vt:lpwstr>https://myintracomm.ec.europa.eu/corp/budget/financial-rules/budget-implementation/Pages/implementation-methods.aspx</vt:lpwstr>
      </vt:variant>
      <vt:variant>
        <vt:lpwstr/>
      </vt:variant>
      <vt:variant>
        <vt:i4>7012459</vt:i4>
      </vt:variant>
      <vt:variant>
        <vt:i4>0</vt:i4>
      </vt:variant>
      <vt:variant>
        <vt:i4>0</vt:i4>
      </vt:variant>
      <vt:variant>
        <vt:i4>5</vt:i4>
      </vt:variant>
      <vt:variant>
        <vt:lpwstr>http://data.europa.eu/eli/reg/2023/2720/oj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57</cp:revision>
  <dcterms:created xsi:type="dcterms:W3CDTF">2026-07-06T07:55:00Z</dcterms:created>
  <dcterms:modified xsi:type="dcterms:W3CDTF">2026-09-08T07:07:00Z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SJ-016</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2026-05-11T14:25:47Z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7ea6572f-c820-4616-95b3-05ed7a8f5009</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0x010100F6429E421B7D0B4085855E79BFBD84D8</vt:lpwstr>
  </property>
  <property fmtid="{D5CDD505-2E9C-101B-9397-08002B2CF9AE}" pid="19" name="MediaServiceImageTags">
    <vt:lpwstr/>
  </property>
  <property fmtid="{D5CDD505-2E9C-101B-9397-08002B2CF9AE}" pid="20" name="DQCStatus">
    <vt:lpwstr>Green (DQC version 03)</vt:lpwstr>
  </property>
</Properties>
</file>