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0B6B7F0-627B-4566-924B-AFC8995D9DAA" style="width:455.25pt;height:371.2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r>
        <w:rPr>
          <w:noProof/>
        </w:rPr>
        <w:t>1.</w:t>
      </w:r>
      <w:r>
        <w:rPr>
          <w:noProof/>
        </w:rPr>
        <w:tab/>
        <w:t>Obiectul propunerii</w:t>
      </w:r>
    </w:p>
    <w:p>
      <w:pPr>
        <w:widowControl w:val="0"/>
        <w:shd w:val="clear" w:color="auto" w:fill="FFFFFF"/>
        <w:autoSpaceDE w:val="0"/>
        <w:autoSpaceDN w:val="0"/>
        <w:adjustRightInd w:val="0"/>
        <w:spacing w:before="230" w:after="0" w:line="269" w:lineRule="exact"/>
        <w:ind w:right="86"/>
        <w:rPr>
          <w:noProof/>
        </w:rPr>
      </w:pPr>
      <w:r>
        <w:rPr>
          <w:noProof/>
        </w:rPr>
        <w:t>Prezenta propunere se referă la decizia de stabilire a poziției care urmează a fi adoptată în numele Uniunii Europene cu privire la modificările aduse anexelor la Acordul referitor la transportul rutier internațional al mărfurilor periculoase (ADR) și reglementărilor anexate la Acordul european privind transportul internațional al mărfurilor periculoase pe căi navigabile interioare (ADN), aplicabile de la 1 ianuarie 2027, având în vedere expirarea preconizată a perioadei de așteptare în care părțile contractante membre ale Grupului de lucru privind transportul mărfurilor periculoase (WP.15) și ale Comitetului administrativ al ADN pot prezenta obiecții cu privire la propunerile de modificări pentru ediția din 2027.</w:t>
      </w:r>
    </w:p>
    <w:p>
      <w:pPr>
        <w:pStyle w:val="ManualHeading1"/>
        <w:rPr>
          <w:noProof/>
        </w:rPr>
      </w:pPr>
      <w:r>
        <w:rPr>
          <w:noProof/>
        </w:rPr>
        <w:t>2.</w:t>
      </w:r>
      <w:r>
        <w:rPr>
          <w:noProof/>
        </w:rPr>
        <w:tab/>
        <w:t>Contextul propunerii</w:t>
      </w:r>
    </w:p>
    <w:p>
      <w:pPr>
        <w:pBdr>
          <w:top w:val="nil"/>
          <w:left w:val="nil"/>
          <w:bottom w:val="nil"/>
          <w:right w:val="nil"/>
          <w:between w:val="nil"/>
          <w:bar w:val="nil"/>
        </w:pBdr>
        <w:spacing w:before="0" w:after="240"/>
        <w:rPr>
          <w:noProof/>
        </w:rPr>
      </w:pPr>
      <w:r>
        <w:rPr>
          <w:noProof/>
        </w:rPr>
        <w:t xml:space="preserve">Anexele și reglementările sus-menționate, denumite în mod obișnuit „anexele la ADR” și „reglementările anexate la ADN”, reglementează transportul internațional al mărfurilor periculoase pe cale rutieră și, respectiv, pe căi navigabile interioare între statele membre ale Comisiei Economice pentru Europa a Organizației Națiunilor Unite (CEE-ONU), care sunt, totodată, părți contractante la ADR și la ADN. </w:t>
      </w:r>
    </w:p>
    <w:p>
      <w:pPr>
        <w:pBdr>
          <w:top w:val="nil"/>
          <w:left w:val="nil"/>
          <w:bottom w:val="nil"/>
          <w:right w:val="nil"/>
          <w:between w:val="nil"/>
          <w:bar w:val="nil"/>
        </w:pBdr>
        <w:spacing w:before="0" w:after="240"/>
        <w:rPr>
          <w:noProof/>
        </w:rPr>
      </w:pPr>
      <w:r>
        <w:rPr>
          <w:noProof/>
        </w:rPr>
        <w:t>Dezvoltarea transportului mărfurilor periculoase pe cale rutieră și pe căi navigabile interioare, atât în cadrul UE, cât și între UE și țările învecinate, este un element central al politicii europene comune în domeniul transporturilor, asigurând buna funcționare a tuturor sectoarelor industriale care produc sau utilizează mărfurile clasificate ca periculoase în conformitate cu ADR și cu ADN. Adaptarea acestor acorduri la progresul tehnic și științific este, prin urmare, esențială pentru dezvoltarea transporturilor și a ramurilor industriale conexe. Modificările au scopul de a armoniza ADR și ADN cu regulamentele-tip ale ONU, inclusiv în ceea ce privește noile definiții, criteriile de clasificare și numerele ONU, cerințele de ambalare/etichetare, precum și de a armoniza standardele și dispozițiile tehnice aplicabile și corecturile redacționale.</w:t>
      </w:r>
    </w:p>
    <w:p>
      <w:pPr>
        <w:pStyle w:val="Text1"/>
        <w:ind w:left="0"/>
        <w:rPr>
          <w:noProof/>
        </w:rPr>
      </w:pPr>
      <w:r>
        <w:rPr>
          <w:noProof/>
        </w:rPr>
        <w:t xml:space="preserve">Dispozițiile internaționale privind transportul mărfurilor periculoase au fost stabilite de diverse organizații internaționale, cum ar fi CEE-ONU, Organizația Interguvernamentală pentru Transporturile Internaționale Feroviare (OTIF) și diverse organisme specializate ale Organizației Națiunilor Unite. Dat fiind că normele trebuie să fie compatibile între ele, organizațiile implicate au dezvoltat un sistem internațional de coordonare și de armonizare complex. Dispozițiile sunt adaptate pe perioade de doi ani. </w:t>
      </w:r>
    </w:p>
    <w:p>
      <w:pPr>
        <w:pStyle w:val="Text1"/>
        <w:ind w:left="0"/>
        <w:rPr>
          <w:noProof/>
        </w:rPr>
      </w:pPr>
    </w:p>
    <w:p>
      <w:pPr>
        <w:pStyle w:val="ManualHeading2"/>
        <w:rPr>
          <w:noProof/>
        </w:rPr>
      </w:pPr>
      <w:r>
        <w:rPr>
          <w:noProof/>
        </w:rPr>
        <w:t>2.1.</w:t>
      </w:r>
      <w:r>
        <w:rPr>
          <w:noProof/>
        </w:rPr>
        <w:tab/>
        <w:t>Acordul referitor la transportul rutier internațional al mărfurilor periculoase (ADR)</w:t>
      </w:r>
    </w:p>
    <w:p>
      <w:pPr>
        <w:rPr>
          <w:rFonts w:eastAsia="Arial Unicode MS"/>
          <w:noProof/>
        </w:rPr>
      </w:pPr>
      <w:r>
        <w:rPr>
          <w:noProof/>
        </w:rPr>
        <w:t xml:space="preserve">Acordul referitor la transportul rutier internațional al mărfurilor periculoase (ADR) reglementează transportul rutier internațional al mărfurilor periculoase între statele membre ale CEE-ONU și alte țări care aplică ADR (părțile contractante la ADR). ADR a intrat în vigoare la 29 ianuarie 1968. </w:t>
      </w:r>
    </w:p>
    <w:p>
      <w:pPr>
        <w:rPr>
          <w:rFonts w:eastAsia="Arial Unicode MS"/>
          <w:noProof/>
        </w:rPr>
      </w:pPr>
      <w:r>
        <w:rPr>
          <w:noProof/>
        </w:rPr>
        <w:t>Uniunea Europeană nu este parte la ADR, deși toate statele sale membre sunt părți contractante la acesta.</w:t>
      </w:r>
    </w:p>
    <w:p>
      <w:pPr>
        <w:rPr>
          <w:rFonts w:eastAsia="Arial Unicode MS"/>
          <w:noProof/>
        </w:rPr>
      </w:pPr>
    </w:p>
    <w:p>
      <w:pPr>
        <w:pStyle w:val="ManualHeading2"/>
        <w:rPr>
          <w:noProof/>
        </w:rPr>
      </w:pPr>
      <w:r>
        <w:rPr>
          <w:noProof/>
        </w:rPr>
        <w:lastRenderedPageBreak/>
        <w:t>2.2.</w:t>
      </w:r>
      <w:r>
        <w:rPr>
          <w:noProof/>
        </w:rPr>
        <w:tab/>
        <w:t>Acordul european privind transportul internațional al mărfurilor periculoase pe căi navigabile interioare (ADN)</w:t>
      </w:r>
    </w:p>
    <w:p>
      <w:pPr>
        <w:pStyle w:val="Text1"/>
        <w:ind w:left="0"/>
        <w:rPr>
          <w:noProof/>
        </w:rPr>
      </w:pPr>
      <w:r>
        <w:rPr>
          <w:noProof/>
        </w:rPr>
        <w:t xml:space="preserve">Acordul european privind transportul internațional al mărfurilor periculoase pe căi navigabile interioare (ADN) reglementează transportul internațional al mărfurilor periculoase pe căi navigabile interioare între statele membre ale CEE-ONU care aplică ADN (părțile contractante la ADN). ADN a intrat în vigoare la 28 februarie 2008. </w:t>
      </w:r>
    </w:p>
    <w:p>
      <w:pPr>
        <w:pStyle w:val="Text1"/>
        <w:ind w:left="0"/>
        <w:rPr>
          <w:noProof/>
        </w:rPr>
      </w:pPr>
      <w:r>
        <w:rPr>
          <w:noProof/>
        </w:rPr>
        <w:t xml:space="preserve">Uniunea Europeană nu este parte la ADN, deși 13 dintre statele sale membre sunt părți contractante la acesta. </w:t>
      </w:r>
    </w:p>
    <w:p>
      <w:pPr>
        <w:pStyle w:val="Text1"/>
        <w:ind w:left="0"/>
        <w:rPr>
          <w:noProof/>
        </w:rPr>
      </w:pPr>
    </w:p>
    <w:p>
      <w:pPr>
        <w:pStyle w:val="ManualHeading2"/>
        <w:rPr>
          <w:noProof/>
        </w:rPr>
      </w:pPr>
      <w:r>
        <w:rPr>
          <w:noProof/>
        </w:rPr>
        <w:t>2.3.</w:t>
      </w:r>
      <w:r>
        <w:rPr>
          <w:noProof/>
        </w:rPr>
        <w:tab/>
        <w:t xml:space="preserve">Grupul de lucru privind transportul mărfurilor periculoase (WP.15) și Comitetul administrativ al ADN </w:t>
      </w:r>
    </w:p>
    <w:p>
      <w:pPr>
        <w:rPr>
          <w:noProof/>
        </w:rPr>
      </w:pPr>
      <w:r>
        <w:rPr>
          <w:noProof/>
        </w:rPr>
        <w:t>Grupul de lucru privind transportul mărfurilor periculoase (WP.15) și Comitetul administrativ al ADN, precum și Comitetul pentru siguranță al ADN (WP.15/AC.2) sunt organismele instituite de CEE-ONU pentru a lua decizii cu privire la modificările aduse ADR și ADN. Aceste organisme sunt formate din reprezentanți ai statelor membre ale CEE-ONU care aplică ADR și ADN. Fiecare parte contractantă la ADR și ADN dispune de un vot.</w:t>
      </w:r>
    </w:p>
    <w:p>
      <w:pPr>
        <w:rPr>
          <w:noProof/>
        </w:rPr>
      </w:pPr>
      <w:r>
        <w:rPr>
          <w:noProof/>
        </w:rPr>
        <w:t>Conform capitolului VII – „Votul” - din mandatul și regulamentul de procedură al WP.15, numai participanții dispun de un vot în cadrul WP.15, iar deciziile acestui organism trebuie adoptate în principal prin consens. Votarea în cadrul WP.15 are loc prin ridicarea mâinii.</w:t>
      </w:r>
    </w:p>
    <w:p>
      <w:pPr>
        <w:rPr>
          <w:noProof/>
        </w:rPr>
      </w:pPr>
      <w:r>
        <w:rPr>
          <w:noProof/>
        </w:rPr>
        <w:t xml:space="preserve">Articolul 17 alineatul (7) din ADN prevede că fiecare parte contractantă reprezentată la sesiunea Comitetului administrativ al ADN dispune de un vot. </w:t>
      </w:r>
    </w:p>
    <w:p>
      <w:pPr>
        <w:pBdr>
          <w:top w:val="nil"/>
          <w:left w:val="nil"/>
          <w:bottom w:val="nil"/>
          <w:right w:val="nil"/>
          <w:between w:val="nil"/>
          <w:bar w:val="nil"/>
        </w:pBdr>
        <w:spacing w:before="0" w:after="240"/>
        <w:rPr>
          <w:noProof/>
        </w:rPr>
      </w:pPr>
      <w:r>
        <w:rPr>
          <w:noProof/>
        </w:rPr>
        <w:t xml:space="preserve">Modificările adoptate în decursul perioadei de doi ani cuprinsă între 2024 și 2026 includ o gamă largă de adaptări la progresul tehnic și științific. </w:t>
      </w:r>
    </w:p>
    <w:p>
      <w:pPr>
        <w:pBdr>
          <w:top w:val="nil"/>
          <w:left w:val="nil"/>
          <w:bottom w:val="nil"/>
          <w:right w:val="nil"/>
          <w:between w:val="nil"/>
          <w:bar w:val="nil"/>
        </w:pBdr>
        <w:spacing w:before="0" w:after="240"/>
        <w:rPr>
          <w:noProof/>
        </w:rPr>
      </w:pPr>
      <w:r>
        <w:rPr>
          <w:noProof/>
        </w:rPr>
        <w:t xml:space="preserve">Pentru ADR, WP.15 a luat decizia cu privire la aceste propuneri de modificări la fiecare dintre sesiunile menționate la punctul 2.4 de mai sus. Pentru ADN, Comitetul administrativ a luat decizia cu privire la modificări cu ocazia celei de a 35-a sesiuni, de la Geneva, la 30 ianuarie 2026. </w:t>
      </w:r>
    </w:p>
    <w:p>
      <w:pPr>
        <w:pBdr>
          <w:top w:val="nil"/>
          <w:left w:val="nil"/>
          <w:bottom w:val="nil"/>
          <w:right w:val="nil"/>
          <w:between w:val="nil"/>
          <w:bar w:val="nil"/>
        </w:pBdr>
        <w:spacing w:before="0" w:after="240"/>
        <w:rPr>
          <w:noProof/>
        </w:rPr>
      </w:pPr>
      <w:r>
        <w:rPr>
          <w:noProof/>
        </w:rPr>
        <w:t xml:space="preserve">În conformitate cu articolul 14 din ADR, odată adoptată de WP.15, orice propunere de modificare adusă anexelor la ADR trebuie considerată acceptată, cu excepția cazului în care, în termen de trei luni de la data la care secretarul general al Organizației Națiunilor Unite a transmis modificarea, cel puțin o treime dintre părțile contractante sau cinci dintre acestea, dacă o treime depășește această cifră, au notificat în scris secretarului general obiecția lor cu privire la modificarea propusă. </w:t>
      </w:r>
    </w:p>
    <w:p>
      <w:pPr>
        <w:pBdr>
          <w:top w:val="nil"/>
          <w:left w:val="nil"/>
          <w:bottom w:val="nil"/>
          <w:right w:val="nil"/>
          <w:between w:val="nil"/>
          <w:bar w:val="nil"/>
        </w:pBdr>
        <w:spacing w:before="0" w:after="240"/>
        <w:rPr>
          <w:noProof/>
        </w:rPr>
      </w:pPr>
      <w:r>
        <w:rPr>
          <w:noProof/>
        </w:rPr>
        <w:t>În conformitate cu articolul 20 din ADN, odată adoptate de Consiliul administrativ al ADN, modificările trebuie considerate acceptate, cu excepția cazului în care, în termen de trei luni de la data la care secretarul general al Organizației Națiunilor Unite a transmis modificarea, cel puțin o treime dintre părțile contractante sau cinci dintre acestea, dacă o treime depășește această cifră, au notificat în scris secretarului general obiecția lor cu privire la modificarea propusă.</w:t>
      </w:r>
    </w:p>
    <w:p>
      <w:pPr>
        <w:pBdr>
          <w:top w:val="nil"/>
          <w:left w:val="nil"/>
          <w:bottom w:val="nil"/>
          <w:right w:val="nil"/>
          <w:between w:val="nil"/>
          <w:bar w:val="nil"/>
        </w:pBdr>
        <w:spacing w:before="0" w:after="240"/>
        <w:rPr>
          <w:noProof/>
        </w:rPr>
      </w:pPr>
      <w:r>
        <w:rPr>
          <w:noProof/>
        </w:rPr>
        <w:t>Modificările adoptate de WP.15 au fost transmise secretarului general al Organizației Națiunilor Unite, pentru a putea fi notificate părților contractante ale ADR la 1 iulie 2026, în vederea acceptării în conformitate cu procedura stabilită la articolul 14 din ADR. Ele sunt disponibile și online</w:t>
      </w:r>
      <w:r>
        <w:rPr>
          <w:rStyle w:val="FootnoteReference"/>
          <w:noProof/>
        </w:rPr>
        <w:footnoteReference w:id="1"/>
      </w:r>
      <w:r>
        <w:rPr>
          <w:noProof/>
        </w:rPr>
        <w:t>.</w:t>
      </w:r>
    </w:p>
    <w:p>
      <w:pPr>
        <w:pBdr>
          <w:top w:val="nil"/>
          <w:left w:val="nil"/>
          <w:bottom w:val="nil"/>
          <w:right w:val="nil"/>
          <w:between w:val="nil"/>
          <w:bar w:val="nil"/>
        </w:pBdr>
        <w:spacing w:before="0" w:after="240"/>
        <w:rPr>
          <w:noProof/>
        </w:rPr>
      </w:pPr>
      <w:r>
        <w:rPr>
          <w:noProof/>
        </w:rPr>
        <w:t>Modificările adoptate de Comitetul administrativ al ADN au fost notificate de secretarul general al Organizației Națiunilor Unite părților contractante la ADN la 1 iulie 2026, în vederea acceptării în conformitate cu procedura stabilită la articolul 20 din ADN. Ele sunt disponibile și online</w:t>
      </w:r>
      <w:r>
        <w:rPr>
          <w:rStyle w:val="FootnoteReference"/>
          <w:noProof/>
        </w:rPr>
        <w:footnoteReference w:id="2"/>
      </w:r>
      <w:r>
        <w:rPr>
          <w:noProof/>
        </w:rPr>
        <w:t>.</w:t>
      </w:r>
    </w:p>
    <w:p>
      <w:pPr>
        <w:pBdr>
          <w:top w:val="nil"/>
          <w:left w:val="nil"/>
          <w:bottom w:val="nil"/>
          <w:right w:val="nil"/>
          <w:between w:val="nil"/>
          <w:bar w:val="nil"/>
        </w:pBdr>
        <w:spacing w:before="0" w:after="240"/>
        <w:rPr>
          <w:noProof/>
        </w:rPr>
      </w:pPr>
      <w:r>
        <w:rPr>
          <w:noProof/>
        </w:rPr>
        <w:t xml:space="preserve">Până la 30 septembrie 2026, secretarul general al Organizației Națiunilor Unite, în calitate de depozitar, poate primi obiecții cu privire la modificările aduse ADR și ADN, astfel cum au fost adoptate în sesiunile menționate mai sus. </w:t>
      </w:r>
    </w:p>
    <w:p>
      <w:pPr>
        <w:pBdr>
          <w:top w:val="nil"/>
          <w:left w:val="nil"/>
          <w:bottom w:val="nil"/>
          <w:right w:val="nil"/>
          <w:between w:val="nil"/>
          <w:bar w:val="nil"/>
        </w:pBdr>
        <w:spacing w:before="0" w:after="240"/>
        <w:rPr>
          <w:noProof/>
        </w:rPr>
      </w:pPr>
    </w:p>
    <w:p>
      <w:pPr>
        <w:pStyle w:val="ManualHeading2"/>
        <w:rPr>
          <w:noProof/>
        </w:rPr>
      </w:pPr>
      <w:r>
        <w:rPr>
          <w:noProof/>
        </w:rPr>
        <w:t>2.4.</w:t>
      </w:r>
      <w:r>
        <w:rPr>
          <w:noProof/>
        </w:rPr>
        <w:tab/>
        <w:t>Actele avute în vedere de WP.15 și de Comitetul administrativ al ADN</w:t>
      </w:r>
    </w:p>
    <w:p>
      <w:pPr>
        <w:rPr>
          <w:rFonts w:eastAsia="Arial Unicode MS"/>
          <w:noProof/>
        </w:rPr>
      </w:pPr>
      <w:r>
        <w:rPr>
          <w:noProof/>
        </w:rPr>
        <w:t>Scopul actului avut în vedere este de a asigura siguranța și securitatea transportului rutier și pe căi navigabile interioare de mărfuri periculoase, prin actualizarea anumitor dispoziții. Acestea includ, printre altele, lista mărfurilor periculoase admise pentru transport, instrucțiunile de ambalare, lista standardelor aplicabile și alte cerințe tehnice pentru diferite mijloace de izolare.</w:t>
      </w:r>
    </w:p>
    <w:p>
      <w:pPr>
        <w:rPr>
          <w:noProof/>
        </w:rPr>
      </w:pPr>
      <w:r>
        <w:rPr>
          <w:noProof/>
        </w:rPr>
        <w:t xml:space="preserve">Trebuie remarcat că diverse organizații internaționale au stabilit dispoziții internaționale privind transportul de mărfuri periculoase. Printre acestea se numără Comisia Economică pentru Europa a Organizației Națiunilor Unite (CEE-ONU) și diverse organisme specializate ale Organizației Națiunilor Unite, cum ar fi Subcomitetul de experți în domeniul transportului de mărfuri periculoase din cadrul Consiliului Economic și Social (ECOSOC). Dat fiind că normele trebuie să fie compatibile, organizațiile implicate au dezvoltat un sistem internațional de coordonare și de armonizare complex. Dispozițiile sunt adaptate pe perioade de doi ani. </w:t>
      </w:r>
    </w:p>
    <w:p>
      <w:pPr>
        <w:rPr>
          <w:noProof/>
        </w:rPr>
      </w:pPr>
      <w:r>
        <w:rPr>
          <w:noProof/>
        </w:rPr>
        <w:t xml:space="preserve">În decursul pregătirii acestor modificări a fost consultată o gamă largă de experți din sectorul public și privat. În cursul pregătirii acestor modificări au avut loc următoarele reuniuni tehnice: </w:t>
      </w:r>
    </w:p>
    <w:p>
      <w:pPr>
        <w:pStyle w:val="Tiret0"/>
        <w:numPr>
          <w:ilvl w:val="0"/>
          <w:numId w:val="10"/>
        </w:numPr>
        <w:rPr>
          <w:noProof/>
        </w:rPr>
      </w:pPr>
      <w:r>
        <w:rPr>
          <w:noProof/>
        </w:rPr>
        <w:t xml:space="preserve">în cadrul Subcomitetului de experți al ECOSOC (ONU) în domeniul transportului de mărfuri periculoase, cu ocazia: </w:t>
      </w:r>
    </w:p>
    <w:p>
      <w:pPr>
        <w:pStyle w:val="Point0"/>
        <w:rPr>
          <w:noProof/>
        </w:rPr>
      </w:pPr>
      <w:r>
        <w:rPr>
          <w:noProof/>
        </w:rPr>
        <w:t>(1)</w:t>
      </w:r>
      <w:r>
        <w:rPr>
          <w:noProof/>
        </w:rPr>
        <w:tab/>
        <w:t>celei de a 64-a sesiuni, de la Geneva, 24 iunie - 3 iulie 2024;</w:t>
      </w:r>
    </w:p>
    <w:p>
      <w:pPr>
        <w:pStyle w:val="Point0"/>
        <w:rPr>
          <w:noProof/>
        </w:rPr>
      </w:pPr>
      <w:r>
        <w:rPr>
          <w:noProof/>
        </w:rPr>
        <w:t>(2)</w:t>
      </w:r>
      <w:r>
        <w:rPr>
          <w:noProof/>
        </w:rPr>
        <w:tab/>
        <w:t>celei de a 65-a sesiuni, de la Geneva, 25 noiembrie - 3 decembrie 2024;</w:t>
      </w:r>
    </w:p>
    <w:p>
      <w:pPr>
        <w:pStyle w:val="Point0"/>
        <w:rPr>
          <w:noProof/>
        </w:rPr>
      </w:pPr>
      <w:r>
        <w:rPr>
          <w:noProof/>
        </w:rPr>
        <w:t>(3)</w:t>
      </w:r>
      <w:r>
        <w:rPr>
          <w:noProof/>
        </w:rPr>
        <w:tab/>
        <w:t>celei de a 66-a sesiuni, de la Geneva, 30 iunie - 4 iulie 2025;</w:t>
      </w:r>
    </w:p>
    <w:p>
      <w:pPr>
        <w:pStyle w:val="Point0"/>
        <w:rPr>
          <w:noProof/>
        </w:rPr>
      </w:pPr>
      <w:r>
        <w:rPr>
          <w:noProof/>
        </w:rPr>
        <w:t>(4)</w:t>
      </w:r>
      <w:r>
        <w:rPr>
          <w:noProof/>
        </w:rPr>
        <w:tab/>
        <w:t>celei de a 67-a sesiuni, de la Geneva, 24 noiembrie - 3 decembrie 2025;</w:t>
      </w:r>
    </w:p>
    <w:p>
      <w:pPr>
        <w:pStyle w:val="Tiret0"/>
        <w:numPr>
          <w:ilvl w:val="0"/>
          <w:numId w:val="11"/>
        </w:numPr>
        <w:rPr>
          <w:noProof/>
        </w:rPr>
      </w:pPr>
      <w:r>
        <w:rPr>
          <w:noProof/>
        </w:rPr>
        <w:t xml:space="preserve">în cadrul reuniunii comune CEE-ONU a Comitetului de experți RID și a Grupului de lucru privind transportul mărfurilor periculoase, cu ocazia: </w:t>
      </w:r>
    </w:p>
    <w:p>
      <w:pPr>
        <w:pStyle w:val="Point0"/>
        <w:rPr>
          <w:noProof/>
        </w:rPr>
      </w:pPr>
      <w:r>
        <w:rPr>
          <w:noProof/>
        </w:rPr>
        <w:t>(5)</w:t>
      </w:r>
      <w:r>
        <w:rPr>
          <w:noProof/>
        </w:rPr>
        <w:tab/>
        <w:t xml:space="preserve">sesiunii de toamnă 2024, de la Geneva, 10-13 septembrie 2024; </w:t>
      </w:r>
    </w:p>
    <w:p>
      <w:pPr>
        <w:pStyle w:val="Point0"/>
        <w:rPr>
          <w:noProof/>
        </w:rPr>
      </w:pPr>
      <w:r>
        <w:rPr>
          <w:noProof/>
        </w:rPr>
        <w:t>(6)</w:t>
      </w:r>
      <w:r>
        <w:rPr>
          <w:noProof/>
        </w:rPr>
        <w:tab/>
        <w:t xml:space="preserve">sesiunii de primăvară 2025, de la Berna, 24-28 martie 2025; </w:t>
      </w:r>
    </w:p>
    <w:p>
      <w:pPr>
        <w:pStyle w:val="Point0"/>
        <w:rPr>
          <w:noProof/>
        </w:rPr>
      </w:pPr>
      <w:r>
        <w:rPr>
          <w:noProof/>
        </w:rPr>
        <w:t>(7)</w:t>
      </w:r>
      <w:r>
        <w:rPr>
          <w:noProof/>
        </w:rPr>
        <w:tab/>
        <w:t xml:space="preserve">sesiunii de toamnă 2025, de la Geneva, 17-25 septembrie 2025; </w:t>
      </w:r>
    </w:p>
    <w:p>
      <w:pPr>
        <w:pStyle w:val="Point0"/>
        <w:rPr>
          <w:noProof/>
        </w:rPr>
      </w:pPr>
      <w:r>
        <w:rPr>
          <w:noProof/>
        </w:rPr>
        <w:t>(8)</w:t>
      </w:r>
      <w:r>
        <w:rPr>
          <w:noProof/>
        </w:rPr>
        <w:tab/>
        <w:t>sesiunii de primăvară 2026, de la Berna, în perioada 24-27 martie 2026,</w:t>
      </w:r>
    </w:p>
    <w:p>
      <w:pPr>
        <w:pStyle w:val="Tiret0"/>
        <w:numPr>
          <w:ilvl w:val="0"/>
          <w:numId w:val="11"/>
        </w:numPr>
        <w:rPr>
          <w:noProof/>
        </w:rPr>
      </w:pPr>
      <w:r>
        <w:rPr>
          <w:noProof/>
        </w:rPr>
        <w:t xml:space="preserve">UNECE-WP.15 (ADR) cu ocazia: </w:t>
      </w:r>
    </w:p>
    <w:p>
      <w:pPr>
        <w:pStyle w:val="Point0"/>
        <w:rPr>
          <w:noProof/>
        </w:rPr>
      </w:pPr>
      <w:r>
        <w:rPr>
          <w:noProof/>
        </w:rPr>
        <w:t>(9)</w:t>
      </w:r>
      <w:r>
        <w:rPr>
          <w:noProof/>
        </w:rPr>
        <w:tab/>
        <w:t>celei de a 116-a sesiuni, de la Geneva, 5-8 noiembrie 2024;</w:t>
      </w:r>
    </w:p>
    <w:p>
      <w:pPr>
        <w:pStyle w:val="Point0"/>
        <w:rPr>
          <w:noProof/>
        </w:rPr>
      </w:pPr>
      <w:r>
        <w:rPr>
          <w:noProof/>
        </w:rPr>
        <w:t>(10)</w:t>
      </w:r>
      <w:r>
        <w:rPr>
          <w:noProof/>
        </w:rPr>
        <w:tab/>
        <w:t>celei de a 117-a sesiuni, de la Geneva, 6-8 mai 2025;</w:t>
      </w:r>
    </w:p>
    <w:p>
      <w:pPr>
        <w:pStyle w:val="Point0"/>
        <w:rPr>
          <w:noProof/>
        </w:rPr>
      </w:pPr>
      <w:r>
        <w:rPr>
          <w:noProof/>
        </w:rPr>
        <w:t>(11)</w:t>
      </w:r>
      <w:r>
        <w:rPr>
          <w:noProof/>
        </w:rPr>
        <w:tab/>
        <w:t>celei de a 118-a sesiuni, de la Geneva, 4-6 noiembrie 2025;</w:t>
      </w:r>
    </w:p>
    <w:p>
      <w:pPr>
        <w:pStyle w:val="Point0"/>
        <w:rPr>
          <w:noProof/>
        </w:rPr>
      </w:pPr>
      <w:r>
        <w:rPr>
          <w:noProof/>
        </w:rPr>
        <w:t>(12)</w:t>
      </w:r>
      <w:r>
        <w:rPr>
          <w:noProof/>
        </w:rPr>
        <w:tab/>
        <w:t>celei de a 119-a sesiuni, de la Geneva, 5-8 mai 2026;</w:t>
      </w:r>
    </w:p>
    <w:p>
      <w:pPr>
        <w:pStyle w:val="Tiret0"/>
        <w:numPr>
          <w:ilvl w:val="0"/>
          <w:numId w:val="11"/>
        </w:numPr>
        <w:rPr>
          <w:noProof/>
        </w:rPr>
      </w:pPr>
      <w:r>
        <w:rPr>
          <w:noProof/>
        </w:rPr>
        <w:t xml:space="preserve">UNECE-WP.15/AC.2 (ADN) cu ocazia: </w:t>
      </w:r>
    </w:p>
    <w:p>
      <w:pPr>
        <w:pStyle w:val="Point0"/>
        <w:rPr>
          <w:noProof/>
        </w:rPr>
      </w:pPr>
      <w:r>
        <w:rPr>
          <w:noProof/>
        </w:rPr>
        <w:t>(13)</w:t>
      </w:r>
      <w:r>
        <w:rPr>
          <w:noProof/>
        </w:rPr>
        <w:tab/>
        <w:t>celei de a 44-a sesiuni, de la Geneva, 26-30 august 2024;</w:t>
      </w:r>
    </w:p>
    <w:p>
      <w:pPr>
        <w:pStyle w:val="Point0"/>
        <w:rPr>
          <w:noProof/>
        </w:rPr>
      </w:pPr>
      <w:r>
        <w:rPr>
          <w:noProof/>
        </w:rPr>
        <w:t>(14)</w:t>
      </w:r>
      <w:r>
        <w:rPr>
          <w:noProof/>
        </w:rPr>
        <w:tab/>
        <w:t>celei de a 45-a sesiuni, de la Geneva, 27-31 ianuarie 2025;</w:t>
      </w:r>
    </w:p>
    <w:p>
      <w:pPr>
        <w:pStyle w:val="Point0"/>
        <w:rPr>
          <w:noProof/>
        </w:rPr>
      </w:pPr>
      <w:r>
        <w:rPr>
          <w:noProof/>
        </w:rPr>
        <w:t>(15)</w:t>
      </w:r>
      <w:r>
        <w:rPr>
          <w:noProof/>
        </w:rPr>
        <w:tab/>
        <w:t>celei de a 46-a sesiuni, de la Geneva, 25-29 august 2025;</w:t>
      </w:r>
    </w:p>
    <w:p>
      <w:pPr>
        <w:pStyle w:val="Point0"/>
        <w:rPr>
          <w:noProof/>
        </w:rPr>
      </w:pPr>
      <w:r>
        <w:rPr>
          <w:noProof/>
        </w:rPr>
        <w:t>(16)</w:t>
      </w:r>
      <w:r>
        <w:rPr>
          <w:noProof/>
        </w:rPr>
        <w:tab/>
        <w:t>celei de a 47-a sesiuni, de la Geneva, 26-30 ianuarie 2026;</w:t>
      </w:r>
    </w:p>
    <w:p>
      <w:pPr>
        <w:rPr>
          <w:noProof/>
          <w:szCs w:val="24"/>
        </w:rPr>
      </w:pPr>
      <w:r>
        <w:rPr>
          <w:noProof/>
        </w:rPr>
        <w:t>și Comitetul administrativ al ADN cu ocazia celei de a 35-a sesiuni, de la Geneva, la 30 ianuarie 2026.</w:t>
      </w:r>
    </w:p>
    <w:p>
      <w:pPr>
        <w:rPr>
          <w:noProof/>
        </w:rPr>
      </w:pPr>
      <w:r>
        <w:rPr>
          <w:noProof/>
        </w:rPr>
        <w:t xml:space="preserve">Cu ocazia acestor reuniuni, comitetele de experți menționate mai sus au analizat și au prelucrat fiecare propunere de modificare în parte. În majoritatea cazurilor, măsurile recomandate s-au bucurat de un sprijin unanim. În cazul anumitor propuneri, recomandările au fost susținute de majoritatea experților. </w:t>
      </w:r>
    </w:p>
    <w:p>
      <w:pPr>
        <w:rPr>
          <w:rFonts w:eastAsia="Arial Unicode MS"/>
          <w:noProof/>
        </w:rPr>
      </w:pPr>
      <w:r>
        <w:rPr>
          <w:noProof/>
        </w:rPr>
        <w:t>Cu excepția cazului în care modificările propuse la anexele la ADR, astfel cum au fost notificate de Secretarul General al Organizației Națiunilor Unite, sunt considerate respinse în conformitate cu articolul 14 alineatul (3), în termen de trei luni de la data notificării lor, și anume la 1 octombrie 2026, modificările în cauză vor intra în vigoare la 1 ianuarie 2027 și vor deveni obligatorii pentru părți.</w:t>
      </w:r>
    </w:p>
    <w:p>
      <w:pPr>
        <w:rPr>
          <w:rFonts w:eastAsia="Arial Unicode MS"/>
          <w:noProof/>
        </w:rPr>
      </w:pPr>
      <w:r>
        <w:rPr>
          <w:noProof/>
        </w:rPr>
        <w:t>Cu excepția cazului în care modificările propuse la reglementările anexate la ADN sunt considerate respinse, în conformitate cu articolul 20 alineatul (5), în termen de trei luni de la data notificării lor, și anume la 1 octombrie 2026, modificările în cauză vor intra în vigoare la 1 ianuarie 2027 și vor deveni obligatorii pentru părți.</w:t>
      </w:r>
    </w:p>
    <w:p>
      <w:pPr>
        <w:rPr>
          <w:noProof/>
        </w:rPr>
      </w:pPr>
    </w:p>
    <w:p>
      <w:pPr>
        <w:pStyle w:val="ManualHeading1"/>
        <w:rPr>
          <w:noProof/>
        </w:rPr>
      </w:pPr>
      <w:r>
        <w:rPr>
          <w:noProof/>
        </w:rPr>
        <w:t>3.</w:t>
      </w:r>
      <w:r>
        <w:rPr>
          <w:noProof/>
        </w:rPr>
        <w:tab/>
        <w:t>Poziția care trebuie adoptată în numele Uniunii</w:t>
      </w:r>
    </w:p>
    <w:p>
      <w:pPr>
        <w:pBdr>
          <w:top w:val="nil"/>
          <w:left w:val="nil"/>
          <w:bottom w:val="nil"/>
          <w:right w:val="nil"/>
          <w:between w:val="nil"/>
          <w:bar w:val="nil"/>
        </w:pBdr>
        <w:spacing w:before="0" w:after="240"/>
        <w:rPr>
          <w:noProof/>
        </w:rPr>
      </w:pPr>
      <w:r>
        <w:rPr>
          <w:noProof/>
        </w:rPr>
        <w:t>Este oportun să se stabilească poziția care urmează să fie adoptată în numele Uniunii Europene cu privire la respectivele amendamente aduse ADR și ADN, întrucât acestea vor fi obligatorii în temeiul dreptului internațional și pot influența în mod decisiv conținutul dreptului Uniunii, și anume Directiva 2008/68/CE a Parlamentului European și a Consiliului</w:t>
      </w:r>
      <w:r>
        <w:rPr>
          <w:rStyle w:val="FootnoteReference"/>
          <w:noProof/>
        </w:rPr>
        <w:footnoteReference w:id="3"/>
      </w:r>
      <w:r>
        <w:rPr>
          <w:noProof/>
        </w:rPr>
        <w:t>. Directiva respectivă stabilește cerințe privind transportul rutier, feroviar sau pe căi navigabile interioare al mărfurilor periculoase care, în conformitate cu articolul 1, se aplică în interiorul statelor membre sau între acestea, făcând trimitere la ADR, la RID sau la ADN. Articolul 4 din directivă prevede că transportul de mărfuri periculoase între statele membre și țări terțe este autorizat în măsura în care acesta respectă cerințele ADR, RID sau ADN, cu excepția cazului în care în anexe se prevede altfel. În plus, în conformitate cu articolul 8 din Directiva 2008/68/CE, Comisia este împuternicită să adapteze secțiunea I.1 din anexa I și secțiunea III.1 din anexa III la Directiva 2008/68/CE la progresele științifice și tehnice, în special pentru a lua în considerare modificările aduse ADR, RID sau ADN.</w:t>
      </w:r>
    </w:p>
    <w:p>
      <w:pPr>
        <w:pBdr>
          <w:top w:val="nil"/>
          <w:left w:val="nil"/>
          <w:bottom w:val="nil"/>
          <w:right w:val="nil"/>
          <w:between w:val="nil"/>
          <w:bar w:val="nil"/>
        </w:pBdr>
        <w:spacing w:before="0" w:after="240"/>
        <w:rPr>
          <w:noProof/>
        </w:rPr>
      </w:pPr>
      <w:r>
        <w:rPr>
          <w:noProof/>
        </w:rPr>
        <w:t>În temeiul articolului 3 alineatul (2) din TFUE, UE a dobândit astfel competență exclusivă în domeniile reglementate de acordurile internaționale ADR și ADN. Întrucât Directiva 2008/68/CE integrează în mod explicit anexele la ADR și reglementările anexate la ADN în legislația UE atât pentru transportul național, cât și pentru transportul internațional de mărfuri periculoase, orice modificări aduse acestor acorduri la nivel internațional modifică în mod direct legislația UE.</w:t>
      </w:r>
    </w:p>
    <w:p>
      <w:pPr>
        <w:pBdr>
          <w:top w:val="nil"/>
          <w:left w:val="nil"/>
          <w:bottom w:val="nil"/>
          <w:right w:val="nil"/>
          <w:between w:val="nil"/>
          <w:bar w:val="nil"/>
        </w:pBdr>
        <w:spacing w:before="0" w:after="240"/>
        <w:rPr>
          <w:noProof/>
        </w:rPr>
      </w:pPr>
      <w:r>
        <w:rPr>
          <w:noProof/>
        </w:rPr>
        <w:t>Uniunea Europeană nu este parte contractantă nici la ADR, nici la ADN. Acest fapt nu o împiedică, însă, să își exercite competențele, stabilind, prin intermediul instituțiilor sale, o poziție care trebuie adoptată în numele său în cadrul organismelor create de oricare dintre acorduri, în special prin intermediul statelor membre care sunt părți la oricare dintre acorduri, acționând în comun în interesul Uniunii</w:t>
      </w:r>
      <w:r>
        <w:rPr>
          <w:rStyle w:val="FootnoteReference"/>
          <w:noProof/>
        </w:rPr>
        <w:footnoteReference w:id="4"/>
      </w:r>
      <w:r>
        <w:rPr>
          <w:noProof/>
        </w:rPr>
        <w:t>.</w:t>
      </w:r>
    </w:p>
    <w:p>
      <w:pPr>
        <w:pBdr>
          <w:top w:val="nil"/>
          <w:left w:val="nil"/>
          <w:bottom w:val="nil"/>
          <w:right w:val="nil"/>
          <w:between w:val="nil"/>
          <w:bar w:val="nil"/>
        </w:pBdr>
        <w:spacing w:before="0" w:after="240"/>
        <w:rPr>
          <w:noProof/>
        </w:rPr>
      </w:pPr>
      <w:r>
        <w:rPr>
          <w:noProof/>
        </w:rPr>
        <w:t xml:space="preserve">În prezent, există 55 de părți contractante la ADR, printre acestea numărându-se totalitatea statelor membre ale UE. Numărul părților contractante la ADN este de 18, dintre care 13 sunt state membre ale UE. </w:t>
      </w:r>
    </w:p>
    <w:p>
      <w:pPr>
        <w:rPr>
          <w:noProof/>
        </w:rPr>
      </w:pPr>
      <w:r>
        <w:rPr>
          <w:noProof/>
        </w:rPr>
        <w:t xml:space="preserve">Modificările avute în vedere sunt considerate adecvate pentru a asigura transportul mărfurilor periculoase în condiții de siguranță și într-un mod eficace din punctul de vedere al costurilor, ținând cont de progresul tehnologic și, prin urmare, pot fi sprijinite. </w:t>
      </w:r>
    </w:p>
    <w:p>
      <w:pPr>
        <w:pBdr>
          <w:top w:val="nil"/>
          <w:left w:val="nil"/>
          <w:bottom w:val="nil"/>
          <w:right w:val="nil"/>
          <w:between w:val="nil"/>
          <w:bar w:val="nil"/>
        </w:pBdr>
        <w:spacing w:before="0" w:after="240"/>
        <w:rPr>
          <w:noProof/>
        </w:rPr>
      </w:pPr>
    </w:p>
    <w:p>
      <w:pPr>
        <w:pStyle w:val="ManualHeading1"/>
        <w:rPr>
          <w:noProof/>
        </w:rPr>
      </w:pPr>
      <w:r>
        <w:rPr>
          <w:noProof/>
        </w:rPr>
        <w:t>4.</w:t>
      </w:r>
      <w:r>
        <w:rPr>
          <w:noProof/>
        </w:rPr>
        <w:tab/>
        <w:t>Temeiul juridic</w:t>
      </w:r>
    </w:p>
    <w:p>
      <w:pPr>
        <w:pStyle w:val="ManualHeading2"/>
        <w:rPr>
          <w:noProof/>
        </w:rPr>
      </w:pPr>
      <w:r>
        <w:rPr>
          <w:noProof/>
        </w:rPr>
        <w:t>4.1.</w:t>
      </w:r>
      <w:r>
        <w:rPr>
          <w:noProof/>
        </w:rPr>
        <w:tab/>
        <w:t>Temeiul juridic procedural</w:t>
      </w:r>
    </w:p>
    <w:p>
      <w:pPr>
        <w:rPr>
          <w:noProof/>
        </w:rPr>
      </w:pPr>
      <w:r>
        <w:rPr>
          <w:noProof/>
        </w:rPr>
        <w:t>WP.15 este un organism instituit printr-un acord, și anume prin Acordul referitor la transportul rutier internațional al mărfurilor periculoase (ADR).</w:t>
      </w:r>
    </w:p>
    <w:p>
      <w:pPr>
        <w:rPr>
          <w:noProof/>
        </w:rPr>
      </w:pPr>
      <w:r>
        <w:rPr>
          <w:noProof/>
        </w:rPr>
        <w:t>Comitetul administrativ al ADN este un organism instituit printr-un acord, și anume Acordul european privind transportul internațional al mărfurilor periculoase pe căi navigabile interioare (ADN).</w:t>
      </w:r>
    </w:p>
    <w:p>
      <w:pPr>
        <w:pBdr>
          <w:top w:val="nil"/>
          <w:left w:val="nil"/>
          <w:bottom w:val="nil"/>
          <w:right w:val="nil"/>
          <w:between w:val="nil"/>
          <w:bar w:val="nil"/>
        </w:pBdr>
        <w:spacing w:before="0" w:after="240"/>
        <w:rPr>
          <w:noProof/>
        </w:rPr>
      </w:pPr>
      <w:r>
        <w:rPr>
          <w:noProof/>
        </w:rPr>
        <w:t>Actele propuse de WP.15 și Comitetul administrativ al ADN constituie acte cu efecte juridice în temeiul ADR și al ADN. În condițiile descrise mai sus, actele propuse vor fi obligatorii în temeiul dreptului internațional în conformitate cu articolul 14 din ADR și cu articolul 20 din ADN și au vocația de a influența în mod decisiv conținutul legislației UE, și anume Directiva 2008/68/CE. Motivul este faptul că, în temeiul articolului 1 din Directiva 2008/68/CE, este obligatorie utilizarea acestor norme pentru transportul rutier și transportul pe căi navigabile interioare al mărfurilor periculoase pe teritoriul statelor membre și între acestea, iar articolul 4 din Directiva 2008/68/CE, referitor la țările terțe, prevede că „transportul de mărfuri periculoase între statele membre și țări terțe este autorizat în măsura în care acesta respectă cerințele ADR, RID sau ADN, cu excepția cazului în care în anexe se prevede altfel”. În plus, modificările menționate anterior vor avea un impact asupra punerii în aplicare a Directivei 2008/68/CE, având în vedere articolul 8 al acesteia. În conformitate cu dispoziția respectivă, Comisia este împuternicită să adapteze secțiunea I.1 din anexa I și secțiunea III.1 din anexa III la Directiva 2008/68/CE la progresele științifice și tehnice, „în special pentru a lua în considerare modificările la ADR, (...) și ADN”.</w:t>
      </w:r>
    </w:p>
    <w:p>
      <w:pPr>
        <w:rPr>
          <w:noProof/>
        </w:rPr>
      </w:pPr>
      <w:r>
        <w:rPr>
          <w:noProof/>
        </w:rPr>
        <w:t>Actul avut în vedere nu completează și nici nu modifică cadrul instituțional al acordurilor.</w:t>
      </w:r>
    </w:p>
    <w:p>
      <w:pPr>
        <w:rPr>
          <w:noProof/>
        </w:rPr>
      </w:pPr>
      <w:r>
        <w:rPr>
          <w:noProof/>
        </w:rPr>
        <w:t>Prin urmare, temeiul juridic procedural al deciziei propuse este articolul 218 alineatul (9) din TFUE.</w:t>
      </w:r>
    </w:p>
    <w:p>
      <w:pPr>
        <w:rPr>
          <w:noProof/>
        </w:rPr>
      </w:pPr>
    </w:p>
    <w:p>
      <w:pPr>
        <w:pStyle w:val="ManualHeading2"/>
        <w:rPr>
          <w:noProof/>
        </w:rPr>
      </w:pPr>
      <w:r>
        <w:rPr>
          <w:noProof/>
        </w:rPr>
        <w:t>4.2.</w:t>
      </w:r>
      <w:r>
        <w:rPr>
          <w:noProof/>
        </w:rPr>
        <w:tab/>
        <w:t>Temeiul juridic material</w:t>
      </w:r>
    </w:p>
    <w:p>
      <w:pPr>
        <w:pBdr>
          <w:top w:val="nil"/>
          <w:left w:val="nil"/>
          <w:bottom w:val="nil"/>
          <w:right w:val="nil"/>
          <w:between w:val="nil"/>
          <w:bar w:val="nil"/>
        </w:pBdr>
        <w:spacing w:before="0" w:after="240"/>
        <w:rPr>
          <w:b/>
          <w:noProof/>
        </w:rPr>
      </w:pPr>
      <w:r>
        <w:rPr>
          <w:noProof/>
        </w:rPr>
        <w:t xml:space="preserve">Principalul obiectiv și conținut al actului avut în vedere se referă la transportul mărfurilor periculoase pe cale rutieră și pe căi navigabile interioare. Prin urmare, temeiul juridic material al propunerii de decizie este articolul 91 din TFUE. </w:t>
      </w:r>
    </w:p>
    <w:p>
      <w:pPr>
        <w:pStyle w:val="ManualHeading2"/>
        <w:rPr>
          <w:noProof/>
        </w:rPr>
      </w:pPr>
      <w:r>
        <w:rPr>
          <w:noProof/>
        </w:rPr>
        <w:t>4.3.</w:t>
      </w:r>
      <w:r>
        <w:rPr>
          <w:noProof/>
        </w:rPr>
        <w:tab/>
        <w:t>Concluzie</w:t>
      </w:r>
    </w:p>
    <w:p>
      <w:pPr>
        <w:rPr>
          <w:noProof/>
        </w:rPr>
      </w:pPr>
      <w:r>
        <w:rPr>
          <w:noProof/>
        </w:rPr>
        <w:t>Temeiul juridic al propunerii de decizie a Consiliului ar trebui să fie articolul 91 din TFUE coroborat cu articolul 218 alineatul (9) din TFUE.</w:t>
      </w:r>
    </w:p>
    <w:p>
      <w:pPr>
        <w:pStyle w:val="ManualHeading1"/>
        <w:rPr>
          <w:noProof/>
        </w:rPr>
      </w:pPr>
      <w:r>
        <w:rPr>
          <w:noProof/>
        </w:rPr>
        <w:t>5.</w:t>
      </w:r>
      <w:r>
        <w:rPr>
          <w:noProof/>
        </w:rPr>
        <w:tab/>
        <w:t>Publicarea actului avut în vedere</w:t>
      </w:r>
    </w:p>
    <w:p>
      <w:pPr>
        <w:pBdr>
          <w:top w:val="nil"/>
          <w:left w:val="nil"/>
          <w:bottom w:val="nil"/>
          <w:right w:val="nil"/>
          <w:between w:val="nil"/>
          <w:bar w:val="nil"/>
        </w:pBdr>
        <w:spacing w:before="0" w:after="240"/>
        <w:rPr>
          <w:noProof/>
        </w:rPr>
      </w:pPr>
      <w:r>
        <w:rPr>
          <w:noProof/>
        </w:rPr>
        <w:t xml:space="preserve">Din motive de transparență și pentru facilitarea trimiterilor, deciziile Grupului de lucru privind transportul mărfurilor periculoase (WP.15) și ale Comitetului pentru siguranță al ADN vor fi publicate în </w:t>
      </w:r>
      <w:r>
        <w:rPr>
          <w:i/>
          <w:noProof/>
        </w:rPr>
        <w:t>Jurnalul Oficial al Uniunii Europene</w:t>
      </w:r>
      <w:r>
        <w:rPr>
          <w:noProof/>
        </w:rPr>
        <w:t>, indicând intrarea în vigoare a acestora.</w:t>
      </w:r>
    </w:p>
    <w:p>
      <w:pPr>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Rfrenceinterinstitutionnelle"/>
        <w:rPr>
          <w:noProof/>
        </w:rPr>
      </w:pPr>
      <w:r>
        <w:rPr>
          <w:noProof/>
        </w:rPr>
        <w:t>2026/0249 (NLE)</w:t>
      </w:r>
    </w:p>
    <w:p>
      <w:pPr>
        <w:pStyle w:val="Statut"/>
        <w:rPr>
          <w:noProof/>
        </w:rPr>
      </w:pPr>
      <w:r>
        <w:rPr>
          <w:noProof/>
        </w:rPr>
        <w:t>Propunere de</w:t>
      </w:r>
    </w:p>
    <w:p>
      <w:pPr>
        <w:pStyle w:val="Typedudocument"/>
        <w:rPr>
          <w:noProof/>
        </w:rPr>
      </w:pPr>
      <w:r>
        <w:rPr>
          <w:noProof/>
        </w:rPr>
        <w:t>DECIZIE A CONSILIULUI</w:t>
      </w:r>
    </w:p>
    <w:p>
      <w:pPr>
        <w:pStyle w:val="Titreobjet"/>
        <w:rPr>
          <w:noProof/>
        </w:rPr>
      </w:pPr>
      <w:r>
        <w:rPr>
          <w:noProof/>
        </w:rPr>
        <w:t>privind stabilirea poziției care trebuie adoptată în numele Uniunii Europene cu privire la modificările aduse anexelor la Acordul referitor la transportul rutier internațional al mărfurilor periculoase (ADR) și reglementărilor anexate la Acordul european privind transportul internațional al mărfurilor periculoase pe căi navigabile interioare (ADN)</w:t>
      </w:r>
    </w:p>
    <w:p>
      <w:pPr>
        <w:pStyle w:val="Institutionquiagit"/>
        <w:rPr>
          <w:bCs/>
          <w:noProof/>
        </w:rPr>
      </w:pPr>
      <w:r>
        <w:rPr>
          <w:noProof/>
        </w:rPr>
        <w:t>CONSILIUL UNIUNII EUROPENE,</w:t>
      </w:r>
    </w:p>
    <w:p>
      <w:pPr>
        <w:rPr>
          <w:noProof/>
        </w:rPr>
      </w:pPr>
      <w:r>
        <w:rPr>
          <w:noProof/>
        </w:rPr>
        <w:t>având în vedere Tratatul privind funcționarea Uniunii Europene, în special articolul 91 coroborat cu articolul 218 alineatul (9),</w:t>
      </w:r>
    </w:p>
    <w:p>
      <w:pPr>
        <w:rPr>
          <w:noProof/>
        </w:rPr>
      </w:pPr>
      <w:r>
        <w:rPr>
          <w:noProof/>
        </w:rPr>
        <w:t>având în vedere propunerea Comisiei Europene,</w:t>
      </w:r>
    </w:p>
    <w:p>
      <w:pPr>
        <w:rPr>
          <w:noProof/>
        </w:rPr>
      </w:pPr>
      <w:r>
        <w:rPr>
          <w:noProof/>
        </w:rPr>
        <w:t>întrucât:</w:t>
      </w:r>
    </w:p>
    <w:p>
      <w:pPr>
        <w:pStyle w:val="Point0"/>
        <w:rPr>
          <w:noProof/>
        </w:rPr>
      </w:pPr>
      <w:r>
        <w:rPr>
          <w:noProof/>
        </w:rPr>
        <w:t>(1)</w:t>
      </w:r>
      <w:r>
        <w:rPr>
          <w:noProof/>
        </w:rPr>
        <w:tab/>
        <w:t>Acordul referitor la transportul rutier internațional al mărfurilor periculoase (ADR) a intrat în vigoare la 29 ianuarie 1968. Acordul european privind transportul internațional al mărfurilor periculoase pe căi navigabile interioare (ADN) a intrat în vigoare la 28 februarie 2008.</w:t>
      </w:r>
    </w:p>
    <w:p>
      <w:pPr>
        <w:pStyle w:val="Point0"/>
        <w:rPr>
          <w:noProof/>
        </w:rPr>
      </w:pPr>
      <w:r>
        <w:rPr>
          <w:noProof/>
        </w:rPr>
        <w:t>(2)</w:t>
      </w:r>
      <w:r>
        <w:rPr>
          <w:noProof/>
        </w:rPr>
        <w:tab/>
        <w:t xml:space="preserve">În temeiul articolului 14 din ADR, orice parte contractantă poate propune una sau mai multe modificări ale anexelor la ADR. Ca urmare, Grupul de lucru privind transportul mărfurilor periculoase (WP.15) instituit de CEE-ONU poate adopta modificări ale anexelor la ADR. În temeiul articolului 20 din ADN, Comitetul pentru siguranță și Comitetul administrativ instituite de CEE-ONU pot adopta modificări ale reglementărilor anexate la ADN. </w:t>
      </w:r>
    </w:p>
    <w:p>
      <w:pPr>
        <w:pStyle w:val="Point0"/>
        <w:rPr>
          <w:noProof/>
        </w:rPr>
      </w:pPr>
      <w:r>
        <w:rPr>
          <w:noProof/>
        </w:rPr>
        <w:t>(3)</w:t>
      </w:r>
      <w:r>
        <w:rPr>
          <w:noProof/>
        </w:rPr>
        <w:tab/>
        <w:t>Modificările adoptate în cursul perioadei de doi ani 2024-2026 de către WP.15 și de către Comitetul administrativ al ADN cu privire la transportul rutier și pe căi navigabile interioare de mărfuri periculoase au fost notificate la 1 iulie 2026 părților contractante la ADR și la ADN. Cu excepția cazului în care modificările propuse la anexele la ADR și la reglementările anexate la ADN sunt considerate respinse în termen de trei luni de la data notificării lor, și anume la 1 octombrie 2026, modificările în cauză vor intra în vigoare la 1 ianuarie 2027 și vor deveni obligatorii pentru părți.</w:t>
      </w:r>
    </w:p>
    <w:p>
      <w:pPr>
        <w:pStyle w:val="Point0"/>
        <w:rPr>
          <w:noProof/>
        </w:rPr>
      </w:pPr>
      <w:r>
        <w:rPr>
          <w:noProof/>
        </w:rPr>
        <w:t>(4)</w:t>
      </w:r>
      <w:r>
        <w:rPr>
          <w:noProof/>
        </w:rPr>
        <w:tab/>
        <w:t>Dacă vor fi adoptate, modificările aduse anexelor la ADR și reglementărilor anexate la ADN vor produce efecte juridice și au vocația de a influența în mod decisiv conținutul normelor Uniunii.</w:t>
      </w:r>
    </w:p>
    <w:p>
      <w:pPr>
        <w:pStyle w:val="Point0"/>
        <w:rPr>
          <w:noProof/>
        </w:rPr>
      </w:pPr>
      <w:r>
        <w:rPr>
          <w:noProof/>
        </w:rPr>
        <w:t>(5)</w:t>
      </w:r>
      <w:r>
        <w:rPr>
          <w:noProof/>
        </w:rPr>
        <w:tab/>
        <w:t>Prin urmare, este necesar să se stabilească poziția care urmează să fie adoptată cu privire la modificările aduse anexelor la ADR și reglementărilor anexate la ADN.</w:t>
      </w:r>
    </w:p>
    <w:p>
      <w:pPr>
        <w:pStyle w:val="Point0"/>
        <w:rPr>
          <w:noProof/>
        </w:rPr>
      </w:pPr>
      <w:r>
        <w:rPr>
          <w:noProof/>
        </w:rPr>
        <w:t>(6)</w:t>
      </w:r>
      <w:r>
        <w:rPr>
          <w:noProof/>
        </w:rPr>
        <w:tab/>
        <w:t>Poziția Uniunii trebuie să fie exprimată de statele membre care sunt părți contractante la ADR și la ADN, acționând împreună în interesul Uniunii,</w:t>
      </w:r>
    </w:p>
    <w:p>
      <w:pPr>
        <w:pStyle w:val="ManualConsidrant"/>
        <w:rPr>
          <w:noProof/>
        </w:rPr>
      </w:pPr>
    </w:p>
    <w:p>
      <w:pPr>
        <w:pStyle w:val="ManualConsidrant"/>
        <w:rPr>
          <w:noProof/>
        </w:rPr>
      </w:pPr>
    </w:p>
    <w:p>
      <w:pPr>
        <w:pStyle w:val="Formuledadoption"/>
        <w:rPr>
          <w:noProof/>
        </w:rPr>
      </w:pPr>
      <w:r>
        <w:rPr>
          <w:noProof/>
        </w:rPr>
        <w:t>ADOPTĂ PREZENTA DECIZIE:</w:t>
      </w:r>
    </w:p>
    <w:p>
      <w:pPr>
        <w:pStyle w:val="Titrearticle"/>
        <w:rPr>
          <w:noProof/>
        </w:rPr>
      </w:pPr>
      <w:r>
        <w:rPr>
          <w:noProof/>
        </w:rPr>
        <w:t>Articolul 1</w:t>
      </w:r>
    </w:p>
    <w:p>
      <w:pPr>
        <w:rPr>
          <w:noProof/>
        </w:rPr>
      </w:pPr>
      <w:r>
        <w:rPr>
          <w:noProof/>
        </w:rPr>
        <w:t>Uniunea este de acord cu proiectele de modificări aduse anexelor A și B la ADR, astfel cum sunt menționate în Notificarea ONU C.N.252.2026.TREATIES-XI.B.14, în cadrul Grupului de lucru al CEE-ONU privind transportul mărfurilor periculoase – WP.15, și cu proiectele de modificări aduse reglementărilor anexate la ADN, astfel cum sunt menționate în Notificarea ONU C.N.254.2026.TREATIES-XI.D.6, în cadrul Comitetului administrativ al ADN.</w:t>
      </w:r>
    </w:p>
    <w:p>
      <w:pPr>
        <w:rPr>
          <w:noProof/>
        </w:rPr>
      </w:pPr>
    </w:p>
    <w:p>
      <w:pPr>
        <w:jc w:val="center"/>
        <w:rPr>
          <w:i/>
          <w:iCs/>
          <w:noProof/>
        </w:rPr>
      </w:pPr>
      <w:r>
        <w:rPr>
          <w:i/>
          <w:noProof/>
        </w:rPr>
        <w:t>Articolul 2</w:t>
      </w:r>
    </w:p>
    <w:p>
      <w:pPr>
        <w:rPr>
          <w:noProof/>
        </w:rPr>
      </w:pPr>
      <w:r>
        <w:rPr>
          <w:noProof/>
        </w:rPr>
        <w:t xml:space="preserve">Poziția prevăzută la articolul 1 este exprimată de statele membre care sunt părți contractante la ADR și la ADN, acționând împreună în interesul Uniunii. </w:t>
      </w:r>
    </w:p>
    <w:p>
      <w:pPr>
        <w:pStyle w:val="Titrearticle"/>
        <w:rPr>
          <w:noProof/>
        </w:rPr>
      </w:pPr>
      <w:r>
        <w:rPr>
          <w:noProof/>
        </w:rPr>
        <w:t>Articolul 3</w:t>
      </w:r>
    </w:p>
    <w:p>
      <w:pPr>
        <w:widowControl w:val="0"/>
        <w:autoSpaceDE w:val="0"/>
        <w:autoSpaceDN w:val="0"/>
        <w:rPr>
          <w:rFonts w:eastAsia="Times New Roman"/>
          <w:noProof/>
          <w:szCs w:val="24"/>
        </w:rPr>
      </w:pPr>
      <w:r>
        <w:rPr>
          <w:noProof/>
        </w:rPr>
        <w:t>Se poate conveni asupra unor modificări tehnice minore ale poziției prevăzute la articolul 1 fără a mai fi necesară o nouă decizie a Consiliului.</w:t>
      </w:r>
    </w:p>
    <w:p>
      <w:pPr>
        <w:rPr>
          <w:noProof/>
        </w:rPr>
      </w:pPr>
    </w:p>
    <w:p>
      <w:pPr>
        <w:jc w:val="center"/>
        <w:rPr>
          <w:i/>
          <w:iCs/>
          <w:noProof/>
        </w:rPr>
      </w:pPr>
      <w:r>
        <w:rPr>
          <w:i/>
          <w:noProof/>
        </w:rPr>
        <w:t>Articolul 4</w:t>
      </w:r>
    </w:p>
    <w:p>
      <w:pPr>
        <w:rPr>
          <w:noProof/>
        </w:rPr>
      </w:pPr>
      <w:r>
        <w:rPr>
          <w:noProof/>
        </w:rPr>
        <w:t xml:space="preserve">Deciziile Grupului de lucru privind transportul mărfurilor periculoase (WP.15) și ale Comitetului pentru siguranță al ADN se publică în </w:t>
      </w:r>
      <w:r>
        <w:rPr>
          <w:i/>
          <w:noProof/>
        </w:rPr>
        <w:t>Jurnalul Oficial al Uniunii Europene</w:t>
      </w:r>
      <w:r>
        <w:rPr>
          <w:noProof/>
        </w:rPr>
        <w:t>, indicându-se data intrării lor în vigoare.</w:t>
      </w:r>
    </w:p>
    <w:p>
      <w:pPr>
        <w:pStyle w:val="Titrearticle"/>
        <w:rPr>
          <w:noProof/>
        </w:rPr>
      </w:pPr>
      <w:r>
        <w:rPr>
          <w:noProof/>
        </w:rPr>
        <w:t>Articolul 5</w:t>
      </w:r>
    </w:p>
    <w:p>
      <w:pPr>
        <w:keepNext/>
        <w:keepLines/>
        <w:rPr>
          <w:noProof/>
        </w:rPr>
      </w:pPr>
      <w:r>
        <w:rPr>
          <w:noProof/>
        </w:rPr>
        <w:t>Prezenta decizie se adresează statelor membre.</w:t>
      </w: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Times New Roma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r>
      <w:hyperlink r:id="rId1" w:history="1">
        <w:r>
          <w:rPr>
            <w:rStyle w:val="Hyperlink"/>
          </w:rPr>
          <w:t>CN.252.2026-Eng.pdf</w:t>
        </w:r>
      </w:hyperlink>
      <w:r>
        <w:t>.</w:t>
      </w:r>
    </w:p>
  </w:footnote>
  <w:footnote w:id="2">
    <w:p>
      <w:pPr>
        <w:pStyle w:val="FootnoteText"/>
      </w:pPr>
      <w:r>
        <w:rPr>
          <w:rStyle w:val="FootnoteReference"/>
        </w:rPr>
        <w:footnoteRef/>
      </w:r>
      <w:r>
        <w:tab/>
      </w:r>
      <w:hyperlink r:id="rId2" w:history="1">
        <w:r>
          <w:rPr>
            <w:rStyle w:val="Hyperlink"/>
          </w:rPr>
          <w:t>CN.254.2026-Eng.pdf</w:t>
        </w:r>
      </w:hyperlink>
      <w:r>
        <w:t>.</w:t>
      </w:r>
    </w:p>
  </w:footnote>
  <w:footnote w:id="3">
    <w:p>
      <w:pPr>
        <w:pStyle w:val="FootnoteText"/>
        <w:ind w:left="0" w:firstLine="0"/>
      </w:pPr>
      <w:r>
        <w:rPr>
          <w:rStyle w:val="FootnoteReference"/>
        </w:rPr>
        <w:footnoteRef/>
      </w:r>
      <w:r>
        <w:tab/>
        <w:t>Directiva 2008/68/CE a Parlamentului European și a Consiliului din 24 septembrie 2008 privind transportul interior de mărfuri periculoase (JO L 260, 30.9.2008, p. 13).</w:t>
      </w:r>
    </w:p>
  </w:footnote>
  <w:footnote w:id="4">
    <w:p>
      <w:pPr>
        <w:pStyle w:val="FootnoteText"/>
      </w:pPr>
      <w:r>
        <w:rPr>
          <w:rStyle w:val="FootnoteReference"/>
        </w:rPr>
        <w:footnoteRef/>
      </w:r>
      <w:r>
        <w:tab/>
        <w:t xml:space="preserve">Hotărârea Curții de Justiție din 7 octombrie 2014, </w:t>
      </w:r>
      <w:r>
        <w:rPr>
          <w:i/>
        </w:rPr>
        <w:t>Germania/Consiliul</w:t>
      </w:r>
      <w:r>
        <w:t>, C-399/12, ECLI:EU:C:2014:2258, punctul 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155E0D2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6526C38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C5EA5B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94D2B9C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EFAF4E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516837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7CA382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7E481F16"/>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num>
  <w:num w:numId="10">
    <w:abstractNumId w:val="19"/>
    <w:lvlOverride w:ilvl="0">
      <w:startOverride w:val="1"/>
    </w:lvlOverride>
  </w:num>
  <w:num w:numId="11">
    <w:abstractNumId w:val="19"/>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12"/>
  </w:num>
  <w:num w:numId="16">
    <w:abstractNumId w:val="21"/>
  </w:num>
  <w:num w:numId="17">
    <w:abstractNumId w:val="11"/>
  </w:num>
  <w:num w:numId="18">
    <w:abstractNumId w:val="13"/>
  </w:num>
  <w:num w:numId="19">
    <w:abstractNumId w:val="14"/>
  </w:num>
  <w:num w:numId="20">
    <w:abstractNumId w:val="9"/>
  </w:num>
  <w:num w:numId="21">
    <w:abstractNumId w:val="20"/>
  </w:num>
  <w:num w:numId="22">
    <w:abstractNumId w:val="8"/>
  </w:num>
  <w:num w:numId="23">
    <w:abstractNumId w:val="15"/>
  </w:num>
  <w:num w:numId="24">
    <w:abstractNumId w:val="17"/>
  </w:num>
  <w:num w:numId="25">
    <w:abstractNumId w:val="18"/>
  </w:num>
  <w:num w:numId="26">
    <w:abstractNumId w:val="10"/>
  </w:num>
  <w:num w:numId="27">
    <w:abstractNumId w:val="16"/>
  </w:num>
  <w:num w:numId="28">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07 10:22:4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0B6B7F0-627B-4566-924B-AFC8995D9DAA"/>
    <w:docVar w:name="LW_COVERPAGE_TYPE" w:val="1"/>
    <w:docVar w:name="LW_CROSSREFERENCE" w:val="&lt;UNUSED&gt;"/>
    <w:docVar w:name="LW_DocType" w:val="COM"/>
    <w:docVar w:name="LW_EMISSION" w:val="7.9.2026"/>
    <w:docVar w:name="LW_EMISSION_ISODATE" w:val="2026-09-07"/>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49"/>
    <w:docVar w:name="LW_REF.II.NEW.CP_YEAR" w:val="2026"/>
    <w:docVar w:name="LW_REF.INST.NEW" w:val="COM"/>
    <w:docVar w:name="LW_REF.INST.NEW_ADOPTED" w:val="final"/>
    <w:docVar w:name="LW_REF.INST.NEW_TEXT" w:val="(2026) 44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stabilirea pozi\u539?iei care trebuie adoptat\u259? în numele Uniunii Europene cu privire la modific\u259?rile aduse anexelor la Acordul referitor la transportul rutier interna\u539?ional al m\u259?rfurilor periculoase (ADR) \u537?i reglement\u259?rilor anexate la Acordul european privind transportul interna\u539?ional al m\u259?rfurilor periculoase pe c\u259?i navigabile interioare (ADN)"/>
    <w:docVar w:name="LW_TYPE.DOC.CP" w:val="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3472ABB0-E0AC-4378-9D23-F6AD89E1A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4"/>
      </w:numPr>
    </w:pPr>
  </w:style>
  <w:style w:type="paragraph" w:customStyle="1" w:styleId="Tiret1">
    <w:name w:val="Tiret 1"/>
    <w:basedOn w:val="Point1"/>
    <w:pPr>
      <w:numPr>
        <w:numId w:val="15"/>
      </w:numPr>
    </w:pPr>
  </w:style>
  <w:style w:type="paragraph" w:customStyle="1" w:styleId="Tiret2">
    <w:name w:val="Tiret 2"/>
    <w:basedOn w:val="Point2"/>
    <w:pPr>
      <w:numPr>
        <w:numId w:val="16"/>
      </w:numPr>
    </w:pPr>
  </w:style>
  <w:style w:type="paragraph" w:customStyle="1" w:styleId="Tiret3">
    <w:name w:val="Tiret 3"/>
    <w:basedOn w:val="Point3"/>
    <w:pPr>
      <w:numPr>
        <w:numId w:val="17"/>
      </w:numPr>
    </w:pPr>
  </w:style>
  <w:style w:type="paragraph" w:customStyle="1" w:styleId="Tiret4">
    <w:name w:val="Tiret 4"/>
    <w:basedOn w:val="Point4"/>
    <w:pPr>
      <w:numPr>
        <w:numId w:val="18"/>
      </w:numPr>
    </w:pPr>
  </w:style>
  <w:style w:type="paragraph" w:customStyle="1" w:styleId="Tiret5">
    <w:name w:val="Tiret 5"/>
    <w:basedOn w:val="Point5"/>
    <w:pPr>
      <w:numPr>
        <w:numId w:val="1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0"/>
      </w:numPr>
    </w:pPr>
  </w:style>
  <w:style w:type="paragraph" w:customStyle="1" w:styleId="NumPar2">
    <w:name w:val="NumPar 2"/>
    <w:basedOn w:val="Normal"/>
    <w:next w:val="Text1"/>
    <w:pPr>
      <w:numPr>
        <w:ilvl w:val="1"/>
        <w:numId w:val="20"/>
      </w:numPr>
    </w:pPr>
  </w:style>
  <w:style w:type="paragraph" w:customStyle="1" w:styleId="NumPar3">
    <w:name w:val="NumPar 3"/>
    <w:basedOn w:val="Normal"/>
    <w:next w:val="Text1"/>
    <w:pPr>
      <w:numPr>
        <w:ilvl w:val="2"/>
        <w:numId w:val="20"/>
      </w:numPr>
    </w:pPr>
  </w:style>
  <w:style w:type="paragraph" w:customStyle="1" w:styleId="NumPar4">
    <w:name w:val="NumPar 4"/>
    <w:basedOn w:val="Normal"/>
    <w:next w:val="Text1"/>
    <w:pPr>
      <w:numPr>
        <w:ilvl w:val="3"/>
        <w:numId w:val="20"/>
      </w:numPr>
    </w:pPr>
  </w:style>
  <w:style w:type="paragraph" w:customStyle="1" w:styleId="NumPar5">
    <w:name w:val="NumPar 5"/>
    <w:basedOn w:val="Normal"/>
    <w:next w:val="Text2"/>
    <w:pPr>
      <w:numPr>
        <w:ilvl w:val="4"/>
        <w:numId w:val="20"/>
      </w:numPr>
    </w:pPr>
  </w:style>
  <w:style w:type="paragraph" w:customStyle="1" w:styleId="NumPar6">
    <w:name w:val="NumPar 6"/>
    <w:basedOn w:val="Normal"/>
    <w:next w:val="Text2"/>
    <w:pPr>
      <w:numPr>
        <w:ilvl w:val="5"/>
        <w:numId w:val="20"/>
      </w:numPr>
    </w:pPr>
  </w:style>
  <w:style w:type="paragraph" w:customStyle="1" w:styleId="NumPar7">
    <w:name w:val="NumPar 7"/>
    <w:basedOn w:val="Normal"/>
    <w:next w:val="Text2"/>
    <w:pPr>
      <w:numPr>
        <w:ilvl w:val="6"/>
        <w:numId w:val="2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2"/>
      </w:numPr>
    </w:pPr>
  </w:style>
  <w:style w:type="paragraph" w:customStyle="1" w:styleId="Point1number">
    <w:name w:val="Point 1 (number)"/>
    <w:basedOn w:val="Normal"/>
    <w:pPr>
      <w:numPr>
        <w:ilvl w:val="2"/>
        <w:numId w:val="22"/>
      </w:numPr>
    </w:pPr>
  </w:style>
  <w:style w:type="paragraph" w:customStyle="1" w:styleId="Point2number">
    <w:name w:val="Point 2 (number)"/>
    <w:basedOn w:val="Normal"/>
    <w:pPr>
      <w:numPr>
        <w:ilvl w:val="4"/>
        <w:numId w:val="22"/>
      </w:numPr>
    </w:pPr>
  </w:style>
  <w:style w:type="paragraph" w:customStyle="1" w:styleId="Point3number">
    <w:name w:val="Point 3 (number)"/>
    <w:basedOn w:val="Normal"/>
    <w:pPr>
      <w:numPr>
        <w:ilvl w:val="6"/>
        <w:numId w:val="22"/>
      </w:numPr>
    </w:pPr>
  </w:style>
  <w:style w:type="paragraph" w:customStyle="1" w:styleId="Point0letter">
    <w:name w:val="Point 0 (letter)"/>
    <w:basedOn w:val="Normal"/>
    <w:pPr>
      <w:numPr>
        <w:ilvl w:val="1"/>
        <w:numId w:val="22"/>
      </w:numPr>
    </w:pPr>
  </w:style>
  <w:style w:type="paragraph" w:customStyle="1" w:styleId="Point1letter">
    <w:name w:val="Point 1 (letter)"/>
    <w:basedOn w:val="Normal"/>
    <w:pPr>
      <w:numPr>
        <w:ilvl w:val="3"/>
        <w:numId w:val="22"/>
      </w:numPr>
    </w:pPr>
  </w:style>
  <w:style w:type="paragraph" w:customStyle="1" w:styleId="Point2letter">
    <w:name w:val="Point 2 (letter)"/>
    <w:basedOn w:val="Normal"/>
    <w:pPr>
      <w:numPr>
        <w:ilvl w:val="5"/>
        <w:numId w:val="22"/>
      </w:numPr>
    </w:pPr>
  </w:style>
  <w:style w:type="paragraph" w:customStyle="1" w:styleId="Point3letter">
    <w:name w:val="Point 3 (letter)"/>
    <w:basedOn w:val="Normal"/>
    <w:pPr>
      <w:numPr>
        <w:ilvl w:val="7"/>
        <w:numId w:val="22"/>
      </w:numPr>
    </w:pPr>
  </w:style>
  <w:style w:type="paragraph" w:customStyle="1" w:styleId="Point4letter">
    <w:name w:val="Point 4 (letter)"/>
    <w:basedOn w:val="Normal"/>
    <w:pPr>
      <w:numPr>
        <w:ilvl w:val="8"/>
        <w:numId w:val="22"/>
      </w:numPr>
    </w:pPr>
  </w:style>
  <w:style w:type="paragraph" w:customStyle="1" w:styleId="Bullet0">
    <w:name w:val="Bullet 0"/>
    <w:basedOn w:val="Normal"/>
    <w:pPr>
      <w:numPr>
        <w:numId w:val="23"/>
      </w:numPr>
    </w:pPr>
  </w:style>
  <w:style w:type="paragraph" w:customStyle="1" w:styleId="Bullet1">
    <w:name w:val="Bullet 1"/>
    <w:basedOn w:val="Normal"/>
    <w:pPr>
      <w:numPr>
        <w:numId w:val="24"/>
      </w:numPr>
    </w:pPr>
  </w:style>
  <w:style w:type="paragraph" w:customStyle="1" w:styleId="Bullet2">
    <w:name w:val="Bullet 2"/>
    <w:basedOn w:val="Normal"/>
    <w:pPr>
      <w:numPr>
        <w:numId w:val="25"/>
      </w:numPr>
    </w:pPr>
  </w:style>
  <w:style w:type="paragraph" w:customStyle="1" w:styleId="Bullet3">
    <w:name w:val="Bullet 3"/>
    <w:basedOn w:val="Normal"/>
    <w:pPr>
      <w:numPr>
        <w:numId w:val="26"/>
      </w:numPr>
    </w:pPr>
  </w:style>
  <w:style w:type="paragraph" w:customStyle="1" w:styleId="Bullet4">
    <w:name w:val="Bullet 4"/>
    <w:basedOn w:val="Normal"/>
    <w:pPr>
      <w:numPr>
        <w:numId w:val="2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treaties.un.org/doc/Publication/CN/2026/CN.254.2026-Eng.pdf" TargetMode="External"/><Relationship Id="rId1" Type="http://schemas.openxmlformats.org/officeDocument/2006/relationships/hyperlink" Target="https://treaties.un.org/doc/Publication/CN/2026/CN.252.2026-Eng.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F8A98-2A4B-4882-A8FA-0B0E0CA95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58</TotalTime>
  <Pages>5</Pages>
  <Words>2929</Words>
  <Characters>16700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26</cp:revision>
  <dcterms:created xsi:type="dcterms:W3CDTF">2026-08-06T10:15:00Z</dcterms:created>
  <dcterms:modified xsi:type="dcterms:W3CDTF">2026-09-07T08:22:00Z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2022-07-07T08:34:44Z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c4fa2bbb-339e-4a7e-8f86-8ac68db04bcf</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