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959B6D9-AF92-41C4-9200-E9CB41089ACC" style="width:455.25pt;height:357.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rFonts w:eastAsia="Arial Unicode MS"/>
          <w:noProof/>
        </w:rPr>
      </w:pPr>
      <w:r>
        <w:rPr>
          <w:noProof/>
        </w:rPr>
        <w:t>1.</w:t>
      </w:r>
      <w:r>
        <w:rPr>
          <w:noProof/>
        </w:rPr>
        <w:tab/>
        <w:t>Obiectul propunerii</w:t>
      </w:r>
    </w:p>
    <w:p>
      <w:pPr>
        <w:rPr>
          <w:rFonts w:eastAsia="Arial Unicode MS"/>
          <w:noProof/>
        </w:rPr>
      </w:pPr>
      <w:r>
        <w:rPr>
          <w:noProof/>
        </w:rPr>
        <w:t>Prezenta propunere se referă la decizia de stabilire a poziției care trebuie să fie adoptată în numele Uniunii în cadrul Consiliului Oleicol Internațional în legătură cu adoptarea preconizată, până la 31 decembrie 2027, a deciziei privind prelungirea Acordului internațional din 2015 cu privire la uleiul de măsline și măslinele de masă (denumit în continuare „acordul”).</w:t>
      </w:r>
    </w:p>
    <w:p>
      <w:pPr>
        <w:pStyle w:val="ManualHeading1"/>
        <w:rPr>
          <w:noProof/>
        </w:rPr>
      </w:pPr>
      <w:r>
        <w:rPr>
          <w:noProof/>
        </w:rPr>
        <w:t>2.</w:t>
      </w:r>
      <w:r>
        <w:rPr>
          <w:noProof/>
        </w:rPr>
        <w:tab/>
        <w:t>Contextul propunerii</w:t>
      </w:r>
    </w:p>
    <w:p>
      <w:pPr>
        <w:pStyle w:val="ManualHeading2"/>
        <w:rPr>
          <w:noProof/>
        </w:rPr>
      </w:pPr>
      <w:r>
        <w:rPr>
          <w:noProof/>
        </w:rPr>
        <w:t>2.1.</w:t>
      </w:r>
      <w:r>
        <w:rPr>
          <w:noProof/>
        </w:rPr>
        <w:tab/>
        <w:t>Acordul internațional din 2015 cu privire la uleiul de măsline și măslinele de masă</w:t>
      </w:r>
    </w:p>
    <w:p>
      <w:pPr>
        <w:rPr>
          <w:rFonts w:eastAsia="Arial Unicode MS"/>
          <w:noProof/>
        </w:rPr>
      </w:pPr>
      <w:r>
        <w:rPr>
          <w:noProof/>
        </w:rPr>
        <w:t>Acordul urmărește să promoveze cooperarea internațională, să sprijine cercetarea științifică și inovarea tehnică, să stabilească standarde de calitate și comerciale și să încurajeze consumul de produse oleicole la nivel mondial. Acordul a intrat în vigoare cu titlu provizoriu la 1 ianuarie 2017 și va rămâne în vigoare până la 31 decembrie 2026.</w:t>
      </w:r>
    </w:p>
    <w:p>
      <w:pPr>
        <w:rPr>
          <w:rFonts w:eastAsia="Arial Unicode MS"/>
          <w:noProof/>
        </w:rPr>
      </w:pPr>
      <w:r>
        <w:rPr>
          <w:noProof/>
        </w:rPr>
        <w:t>Uniunea Europeană este parte la acord</w:t>
      </w:r>
      <w:r>
        <w:rPr>
          <w:rStyle w:val="FootnoteReference"/>
          <w:noProof/>
        </w:rPr>
        <w:footnoteReference w:id="2"/>
      </w:r>
      <w:r>
        <w:rPr>
          <w:noProof/>
        </w:rPr>
        <w:t xml:space="preserve"> și membru al Consiliului Oleicol Internațional („IOC”).</w:t>
      </w:r>
    </w:p>
    <w:p>
      <w:pPr>
        <w:pStyle w:val="ManualHeading2"/>
        <w:rPr>
          <w:rFonts w:eastAsia="Arial Unicode MS"/>
          <w:noProof/>
        </w:rPr>
      </w:pPr>
      <w:r>
        <w:rPr>
          <w:noProof/>
        </w:rPr>
        <w:t>2.2.</w:t>
      </w:r>
      <w:r>
        <w:rPr>
          <w:noProof/>
        </w:rPr>
        <w:tab/>
        <w:t>Consiliul membrilor</w:t>
      </w:r>
    </w:p>
    <w:p>
      <w:pPr>
        <w:rPr>
          <w:noProof/>
        </w:rPr>
      </w:pPr>
      <w:r>
        <w:rPr>
          <w:noProof/>
        </w:rPr>
        <w:t>Consiliul membrilor IOC (denumit în continuare „Consiliul membrilor”) este autoritatea supremă și organul decizional al IOC și exercită toate competențele și îndeplinește toate funcțiile necesare pentru îndeplinirea obiectivelor acordului, în temeiul articolului 7 alineatul (1) litera (a). Ca parte la acord, Uniunea Europeană este membră a IOC și este reprezentată în Consiliul membrilor. În temeiul articolului 32 din acord, IOC, prin intermediul Consiliului membrilor, poate să modifice prezentul acord prin consens.</w:t>
      </w:r>
    </w:p>
    <w:p>
      <w:pPr>
        <w:pStyle w:val="ManualHeading2"/>
        <w:rPr>
          <w:noProof/>
        </w:rPr>
      </w:pPr>
      <w:r>
        <w:rPr>
          <w:noProof/>
        </w:rPr>
        <w:t>2.3.</w:t>
      </w:r>
      <w:r>
        <w:rPr>
          <w:noProof/>
        </w:rPr>
        <w:tab/>
        <w:t>Actul avut în vedere al Consiliului Oleicol Internațional</w:t>
      </w:r>
    </w:p>
    <w:p>
      <w:pPr>
        <w:rPr>
          <w:rFonts w:eastAsia="Arial Unicode MS"/>
          <w:noProof/>
        </w:rPr>
      </w:pPr>
      <w:r>
        <w:rPr>
          <w:noProof/>
        </w:rPr>
        <w:t>În noiembrie 2026, în cadrul celei de a 124-a sesiuni, Consiliul membrilor urmează să adopte o decizie privind prelungirea acordului („actul avut în vedere”).</w:t>
      </w:r>
    </w:p>
    <w:p>
      <w:pPr>
        <w:rPr>
          <w:rFonts w:eastAsia="Arial Unicode MS"/>
          <w:noProof/>
        </w:rPr>
      </w:pPr>
      <w:r>
        <w:rPr>
          <w:noProof/>
        </w:rPr>
        <w:t xml:space="preserve">Acordul a fost încheiat inițial pentru o perioadă de zece ani, până la 31 decembrie 2026. </w:t>
      </w:r>
    </w:p>
    <w:p>
      <w:pPr>
        <w:rPr>
          <w:rFonts w:eastAsia="Arial Unicode MS"/>
          <w:noProof/>
        </w:rPr>
      </w:pPr>
      <w:r>
        <w:rPr>
          <w:noProof/>
        </w:rPr>
        <w:t>În cadrul celei de a 119-a sesiuni din iunie 2024, Consiliul membrilor a adoptat prin consens modificarea articolului 36 din acord pentru a permite prelungirea acordului pentru perioade de cinci ani</w:t>
      </w:r>
      <w:r>
        <w:rPr>
          <w:rStyle w:val="FootnoteReference"/>
          <w:noProof/>
        </w:rPr>
        <w:footnoteReference w:id="3"/>
      </w:r>
      <w:r>
        <w:rPr>
          <w:noProof/>
        </w:rPr>
        <w:t xml:space="preserve">. Conform planificării, membrii ar trebui să își depună instrumentul de acceptare până la 31 decembrie 2026. Modificarea articolului 36 din acord ar intra în vigoare la 1 ianuarie 2027, cu condiția ca toți membrii să depună instrumentul de acceptare. </w:t>
      </w:r>
    </w:p>
    <w:p>
      <w:pPr>
        <w:rPr>
          <w:rFonts w:eastAsia="Arial Unicode MS"/>
          <w:noProof/>
        </w:rPr>
      </w:pPr>
      <w:r>
        <w:rPr>
          <w:noProof/>
        </w:rPr>
        <w:t>Întrucât nu toți membrii și-au depus instrumentele, în cadrul celei de a 123-a sesiuni, desfășurată în iunie 2026, Consiliul membrilor a propus prelungirea perioadei în care membrii își pot depune instrumentul de acceptare până la 24 iunie 2027, precum și prelungirea acordului până la 31 decembrie 2027.</w:t>
      </w:r>
    </w:p>
    <w:p>
      <w:pPr>
        <w:rPr>
          <w:rFonts w:eastAsia="Arial Unicode MS"/>
          <w:noProof/>
        </w:rPr>
      </w:pPr>
      <w:r>
        <w:rPr>
          <w:noProof/>
        </w:rPr>
        <w:lastRenderedPageBreak/>
        <w:t>Scopul actului avut în vedere este de a permite IOC să își continue activitatea timp de încă un an, până la 31 decembrie 2027. Prelungirea perioadei în care membrii își pot depune instrumentul de acceptare a modificării articolului 36 din acord este abordată într-o propunere separată de decizie a Consiliului.</w:t>
      </w:r>
    </w:p>
    <w:p>
      <w:pPr>
        <w:pStyle w:val="ManualHeading1"/>
        <w:rPr>
          <w:rFonts w:eastAsia="Arial Unicode MS"/>
          <w:noProof/>
        </w:rPr>
      </w:pPr>
      <w:r>
        <w:rPr>
          <w:noProof/>
        </w:rPr>
        <w:t>3.</w:t>
      </w:r>
      <w:r>
        <w:rPr>
          <w:noProof/>
        </w:rPr>
        <w:tab/>
        <w:t>Poziția care trebuie adoptată în numele Uniunii</w:t>
      </w:r>
    </w:p>
    <w:p>
      <w:pPr>
        <w:rPr>
          <w:noProof/>
        </w:rPr>
      </w:pPr>
      <w:r>
        <w:rPr>
          <w:noProof/>
        </w:rPr>
        <w:t>Acordul a fost semnat în numele Uniunii în conformitate cu Decizia (UE) 2016/1892 a Consiliului</w:t>
      </w:r>
      <w:r>
        <w:rPr>
          <w:rStyle w:val="FootnoteReference"/>
          <w:noProof/>
        </w:rPr>
        <w:footnoteReference w:id="4"/>
      </w:r>
      <w:r>
        <w:rPr>
          <w:noProof/>
        </w:rPr>
        <w:t xml:space="preserve"> la 18 noiembrie 2016, sub rezerva încheierii sale la o dată ulterioară. Acordul a intrat în vigoare cu titlu provizoriu la 1 ianuarie 2017, în conformitate cu articolul 31 alineatul (2) din acord, și a fost încheiat de Uniune prin Decizia (UE) 2019/848 a Consiliului</w:t>
      </w:r>
      <w:r>
        <w:rPr>
          <w:rStyle w:val="FootnoteReference"/>
          <w:noProof/>
        </w:rPr>
        <w:footnoteReference w:id="5"/>
      </w:r>
      <w:r>
        <w:rPr>
          <w:noProof/>
        </w:rPr>
        <w:t>.</w:t>
      </w:r>
    </w:p>
    <w:p>
      <w:pPr>
        <w:rPr>
          <w:noProof/>
        </w:rPr>
      </w:pPr>
      <w:r>
        <w:rPr>
          <w:noProof/>
        </w:rPr>
        <w:t>Uniunea a fost întotdeauna un membru activ al IOC, iar o prelungire a acordului este în interesul Uniunii. Uniunea este principalul producător de ulei de măsline, precum și unul dintre principalii parteneri comerciali ai multor membri ai IOC în ceea ce privește uleiul de măsline și măslinele de masă.</w:t>
      </w:r>
    </w:p>
    <w:p>
      <w:pPr>
        <w:rPr>
          <w:noProof/>
        </w:rPr>
      </w:pPr>
      <w:r>
        <w:rPr>
          <w:noProof/>
        </w:rPr>
        <w:t>UE este considerată ca fiind un membru la acord. Pentru procedurile bugetare (a se vedea articolul 11 din acord), și anume pentru stabilirea contribuțiilor financiare anuale ale membrilor, numărul cotelor-părți de participare alocate Uniunii în 2026 este de 622 din numărul total de 1 000 de cote-părți.</w:t>
      </w:r>
    </w:p>
    <w:p>
      <w:pPr>
        <w:rPr>
          <w:noProof/>
        </w:rPr>
      </w:pPr>
      <w:r>
        <w:rPr>
          <w:noProof/>
        </w:rPr>
        <w:t>O decizie oficială cu privire la prelungirea acordului până la 31 decembrie 2027 este programată pentru cea de-a 124-a sesiune a Consiliului membrilor, care va avea loc în noiembrie 2026.</w:t>
      </w:r>
    </w:p>
    <w:p>
      <w:pPr>
        <w:rPr>
          <w:noProof/>
        </w:rPr>
      </w:pPr>
      <w:r>
        <w:rPr>
          <w:noProof/>
        </w:rPr>
        <w:t xml:space="preserve">Scopul prezentei propuneri este de a obține autorizația Consiliului care să permită Comisiei să sprijine, în numele Uniunii, prelungirea acordului până la 31 decembrie 2027. </w:t>
      </w:r>
    </w:p>
    <w:p>
      <w:pPr>
        <w:pStyle w:val="ManualHeading1"/>
        <w:rPr>
          <w:noProof/>
        </w:rPr>
      </w:pPr>
      <w:r>
        <w:rPr>
          <w:noProof/>
        </w:rPr>
        <w:t>4.</w:t>
      </w:r>
      <w:r>
        <w:rPr>
          <w:noProof/>
        </w:rPr>
        <w:tab/>
        <w:t>Temei juridic</w:t>
      </w:r>
    </w:p>
    <w:p>
      <w:pPr>
        <w:pStyle w:val="ManualHeading2"/>
        <w:rPr>
          <w:noProof/>
        </w:rPr>
      </w:pPr>
      <w:r>
        <w:rPr>
          <w:noProof/>
        </w:rPr>
        <w:t>4.1.</w:t>
      </w:r>
      <w:r>
        <w:rPr>
          <w:noProof/>
        </w:rPr>
        <w:tab/>
        <w:t>Temeiul juridic procedural</w:t>
      </w:r>
    </w:p>
    <w:p>
      <w:pPr>
        <w:pStyle w:val="ManualHeading3"/>
        <w:tabs>
          <w:tab w:val="clear" w:pos="850"/>
          <w:tab w:val="num" w:pos="1984"/>
        </w:tabs>
        <w:ind w:left="1984" w:hanging="567"/>
        <w:rPr>
          <w:noProof/>
        </w:rPr>
      </w:pPr>
      <w:r>
        <w:rPr>
          <w:noProof/>
        </w:rPr>
        <w:t>4.1.1.</w:t>
      </w:r>
      <w:r>
        <w:rPr>
          <w:noProof/>
        </w:rPr>
        <w:tab/>
        <w:t>Principii</w:t>
      </w:r>
    </w:p>
    <w:p>
      <w:pPr>
        <w:rPr>
          <w:noProof/>
        </w:rPr>
      </w:pPr>
      <w:r>
        <w:rPr>
          <w:noProof/>
        </w:rPr>
        <w:t>Articolul 218 alineatul (9) din Tratatul privind funcționarea Uniunii Europene (TFUE) prevede posibilitatea adoptării unor decizii „</w:t>
      </w:r>
      <w:r>
        <w:rPr>
          <w:i/>
          <w:noProof/>
        </w:rPr>
        <w:t>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r>
        <w:rPr>
          <w:noProof/>
        </w:rPr>
        <w:t>.”</w:t>
      </w:r>
    </w:p>
    <w:p>
      <w:pPr>
        <w:rPr>
          <w:noProof/>
        </w:rPr>
      </w:pPr>
      <w:r>
        <w:rPr>
          <w:noProof/>
        </w:rPr>
        <w:t>Conceptul de „</w:t>
      </w:r>
      <w:r>
        <w:rPr>
          <w:i/>
          <w:noProof/>
        </w:rPr>
        <w:t>acte cu efecte juridice</w:t>
      </w:r>
      <w:r>
        <w:rPr>
          <w:noProof/>
        </w:rPr>
        <w:t xml:space="preserve">” include actele care au efecte juridice în temeiul normelor de drept internațional aplicabile organismului în cauză. Acesta include totodată instrumente care nu au un caracter obligatoriu în temeiul dreptului internațional, dar care </w:t>
      </w:r>
      <w:r>
        <w:rPr>
          <w:i/>
          <w:noProof/>
        </w:rPr>
        <w:t>„au vocația de a influența în mod decisiv conținutul reglementării adoptate de legiuitorul Uniunii”</w:t>
      </w:r>
      <w:r>
        <w:rPr>
          <w:rStyle w:val="FootnoteReference"/>
          <w:noProof/>
        </w:rPr>
        <w:footnoteReference w:id="6"/>
      </w:r>
      <w:r>
        <w:rPr>
          <w:noProof/>
        </w:rPr>
        <w:t>.</w:t>
      </w:r>
    </w:p>
    <w:p>
      <w:pPr>
        <w:pStyle w:val="ManualHeading3"/>
        <w:tabs>
          <w:tab w:val="clear" w:pos="850"/>
          <w:tab w:val="num" w:pos="1984"/>
        </w:tabs>
        <w:ind w:left="1984" w:hanging="567"/>
        <w:rPr>
          <w:noProof/>
        </w:rPr>
      </w:pPr>
      <w:r>
        <w:rPr>
          <w:noProof/>
        </w:rPr>
        <w:lastRenderedPageBreak/>
        <w:t>4.1.2.</w:t>
      </w:r>
      <w:r>
        <w:rPr>
          <w:noProof/>
        </w:rPr>
        <w:tab/>
        <w:t>Aplicarea la cazul în discuție</w:t>
      </w:r>
    </w:p>
    <w:p>
      <w:pPr>
        <w:rPr>
          <w:noProof/>
        </w:rPr>
      </w:pPr>
      <w:r>
        <w:rPr>
          <w:noProof/>
        </w:rPr>
        <w:t>Consiliul Oleicol Internațional a fost instituit prin articolele 3 și 4 din acord și poate fi invitat să adopte anumite decizii.</w:t>
      </w:r>
    </w:p>
    <w:p>
      <w:pPr>
        <w:rPr>
          <w:noProof/>
        </w:rPr>
      </w:pPr>
      <w:r>
        <w:rPr>
          <w:noProof/>
        </w:rPr>
        <w:t xml:space="preserve">Actul avut în vedere, pentru care Consiliul membrilor este împuternicit în temeiul articolului 36 alineatul (2) din acord, are ca efect prelungirea valabilității acordului, care este un acord internațional obligatoriu pentru Uniune. Prin urmare, actul avut în vedere are efecte juridice. </w:t>
      </w:r>
    </w:p>
    <w:p>
      <w:pPr>
        <w:rPr>
          <w:noProof/>
        </w:rPr>
      </w:pPr>
      <w:r>
        <w:rPr>
          <w:noProof/>
        </w:rPr>
        <w:t>Actul avut în vedere nu completează și nu modifică cadrul instituțional al acordului.</w:t>
      </w:r>
    </w:p>
    <w:p>
      <w:pPr>
        <w:rPr>
          <w:noProof/>
        </w:rPr>
      </w:pPr>
      <w:r>
        <w:rPr>
          <w:noProof/>
        </w:rPr>
        <w:t>În consecință, temeiul juridic procedural al propunerii de decizie este articolul 218 alineatul (9) din TFUE.</w:t>
      </w:r>
    </w:p>
    <w:p>
      <w:pPr>
        <w:pStyle w:val="ManualHeading2"/>
        <w:rPr>
          <w:noProof/>
        </w:rPr>
      </w:pPr>
      <w:r>
        <w:rPr>
          <w:noProof/>
        </w:rPr>
        <w:t>4.2.</w:t>
      </w:r>
      <w:r>
        <w:rPr>
          <w:noProof/>
        </w:rPr>
        <w:tab/>
        <w:t>Temeiul juridic material</w:t>
      </w:r>
    </w:p>
    <w:p>
      <w:pPr>
        <w:pStyle w:val="ManualHeading3"/>
        <w:tabs>
          <w:tab w:val="clear" w:pos="850"/>
          <w:tab w:val="num" w:pos="1984"/>
        </w:tabs>
        <w:ind w:left="1984" w:hanging="567"/>
        <w:rPr>
          <w:noProof/>
        </w:rPr>
      </w:pPr>
      <w:r>
        <w:rPr>
          <w:noProof/>
        </w:rPr>
        <w:t>4.2.1.</w:t>
      </w:r>
      <w:r>
        <w:rPr>
          <w:noProof/>
        </w:rPr>
        <w:tab/>
        <w:t>Principii</w:t>
      </w:r>
    </w:p>
    <w:p>
      <w:pPr>
        <w:rPr>
          <w:noProof/>
        </w:rPr>
      </w:pPr>
      <w:r>
        <w:rPr>
          <w:noProof/>
        </w:rPr>
        <w:t>Temeiul juridic material al unei decizii adoptate în temeiul articolului 218 alineatul (9) din TFUE depinde în primul rând de obiectivul și de conținutul actului avut în vedere, cu privire la care se adoptă o poziție în numele Uniunii. 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pPr>
        <w:pStyle w:val="ManualHeading3"/>
        <w:tabs>
          <w:tab w:val="clear" w:pos="850"/>
          <w:tab w:val="num" w:pos="1984"/>
        </w:tabs>
        <w:ind w:left="1984" w:hanging="567"/>
        <w:rPr>
          <w:noProof/>
        </w:rPr>
      </w:pPr>
      <w:r>
        <w:rPr>
          <w:noProof/>
        </w:rPr>
        <w:t>4.2.2.</w:t>
      </w:r>
      <w:r>
        <w:rPr>
          <w:noProof/>
        </w:rPr>
        <w:tab/>
        <w:t>Aplicarea la cazul în discuție</w:t>
      </w:r>
    </w:p>
    <w:p>
      <w:pPr>
        <w:rPr>
          <w:noProof/>
        </w:rPr>
      </w:pPr>
      <w:r>
        <w:rPr>
          <w:noProof/>
        </w:rPr>
        <w:t xml:space="preserve">Obiectivul principal și conținutul actului avut în vedere se referă la politica comercială comună (comerțul cu produse agricole). </w:t>
      </w:r>
    </w:p>
    <w:p>
      <w:pPr>
        <w:rPr>
          <w:noProof/>
        </w:rPr>
      </w:pPr>
      <w:r>
        <w:rPr>
          <w:noProof/>
        </w:rPr>
        <w:t>Prin urmare, temeiul juridic material al deciziei propuse este articolul 207 alineatul (4) primul paragraf din TFUE.</w:t>
      </w:r>
    </w:p>
    <w:p>
      <w:pPr>
        <w:pStyle w:val="ManualHeading2"/>
        <w:rPr>
          <w:noProof/>
        </w:rPr>
      </w:pPr>
      <w:r>
        <w:rPr>
          <w:noProof/>
        </w:rPr>
        <w:t>4.3.</w:t>
      </w:r>
      <w:r>
        <w:rPr>
          <w:noProof/>
        </w:rPr>
        <w:tab/>
        <w:t>Concluzie</w:t>
      </w:r>
    </w:p>
    <w:p>
      <w:pPr>
        <w:rPr>
          <w:noProof/>
        </w:rPr>
      </w:pPr>
      <w:r>
        <w:rPr>
          <w:noProof/>
        </w:rPr>
        <w:t>Temeiul juridic al deciziei propuse trebuie să fie articolul 207 alineatul (4) primul paragraf din TFUE, coroborat cu articolul 218 alineatul (9) din TFUE.</w:t>
      </w:r>
    </w:p>
    <w:p>
      <w:pPr>
        <w:pStyle w:val="ManualHeading1"/>
        <w:rPr>
          <w:noProof/>
        </w:rPr>
      </w:pPr>
      <w:r>
        <w:rPr>
          <w:noProof/>
        </w:rPr>
        <w:t>5.</w:t>
      </w:r>
      <w:r>
        <w:rPr>
          <w:noProof/>
        </w:rPr>
        <w:tab/>
        <w:t>Publicarea actului avut în vedere</w:t>
      </w:r>
    </w:p>
    <w:p>
      <w:pPr>
        <w:rPr>
          <w:noProof/>
        </w:rPr>
      </w:pPr>
      <w:r>
        <w:rPr>
          <w:noProof/>
        </w:rPr>
        <w:t xml:space="preserve">Întrucât actul avut în vedere va prelungi acordul, este oportun ca acesta să fie publicat în </w:t>
      </w:r>
      <w:r>
        <w:rPr>
          <w:i/>
          <w:noProof/>
        </w:rPr>
        <w:t>Jurnalul Oficial al Uniunii Europene</w:t>
      </w:r>
      <w:r>
        <w:rPr>
          <w:noProof/>
        </w:rPr>
        <w:t xml:space="preserve"> după adoptare.</w:t>
      </w: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2026/0250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poziția care trebuie să fie adoptată în numele Uniunii Europene în cadrul Consiliului membrilor Consiliului Oleicol Internațional în ceea ce privește prelungirea Acordului internațional din 2015 cu privire la uleiul de măsline și măslinele de masă</w:t>
      </w:r>
    </w:p>
    <w:p>
      <w:pPr>
        <w:pStyle w:val="Institutionquiagit"/>
        <w:rPr>
          <w:noProof/>
        </w:rPr>
      </w:pPr>
      <w:r>
        <w:rPr>
          <w:noProof/>
        </w:rPr>
        <w:t>CONSILIUL UNIUNII EUROPENE,</w:t>
      </w:r>
    </w:p>
    <w:p>
      <w:pPr>
        <w:rPr>
          <w:noProof/>
        </w:rPr>
      </w:pPr>
      <w:r>
        <w:rPr>
          <w:noProof/>
        </w:rPr>
        <w:t>având în vedere Tratatul privind funcționarea Uniunii Europene, în special articolul 207 alineatul (4) primul paragraf, coroborat cu articolul 218 alineatul (9),</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Acordul internațional din 2015 cu privire la uleiul de măsline și măslinele de masă</w:t>
      </w:r>
      <w:r>
        <w:rPr>
          <w:rStyle w:val="FootnoteReference"/>
          <w:noProof/>
        </w:rPr>
        <w:footnoteReference w:id="7"/>
      </w:r>
      <w:r>
        <w:rPr>
          <w:noProof/>
        </w:rPr>
        <w:t xml:space="preserve"> (denumit în continuare „acordul”) a fost semnat în numele Uniunii în conformitate cu Decizia (UE) 2016/1892 a Consiliului</w:t>
      </w:r>
      <w:r>
        <w:rPr>
          <w:rStyle w:val="FootnoteReference"/>
          <w:noProof/>
        </w:rPr>
        <w:footnoteReference w:id="8"/>
      </w:r>
      <w:r>
        <w:rPr>
          <w:noProof/>
        </w:rPr>
        <w:t xml:space="preserve"> la 18 noiembrie 2016, sub rezerva încheierii sale la o dată ulterioară. Acordul a intrat în vigoare cu titlu provizoriu la 1 ianuarie 2017, în conformitate cu articolul 31 alineatul (2) din acord, și a fost încheiat de Uniune prin Decizia (UE) 2019/848 a Consiliului</w:t>
      </w:r>
      <w:r>
        <w:rPr>
          <w:rStyle w:val="FootnoteReference"/>
          <w:noProof/>
        </w:rPr>
        <w:footnoteReference w:id="9"/>
      </w:r>
      <w:r>
        <w:rPr>
          <w:noProof/>
        </w:rPr>
        <w:t>.</w:t>
      </w:r>
    </w:p>
    <w:p>
      <w:pPr>
        <w:pStyle w:val="ManualConsidrant"/>
        <w:rPr>
          <w:noProof/>
        </w:rPr>
      </w:pPr>
      <w:r>
        <w:rPr>
          <w:noProof/>
        </w:rPr>
        <w:t>(2)</w:t>
      </w:r>
      <w:r>
        <w:rPr>
          <w:noProof/>
        </w:rPr>
        <w:tab/>
        <w:t xml:space="preserve">Acordul rămâne în vigoare până la 31 decembrie 2026, în conformitate cu articolul 36 alineatul (1) din respectivul acord. Consiliul membrilor Consiliului Oleicol Internațional (denumit în continuare „Consiliul membrilor”) poate prelungi acordul în temeiul articolului 36 alineatul (2) din acordul respectiv. </w:t>
      </w:r>
    </w:p>
    <w:p>
      <w:pPr>
        <w:pStyle w:val="ManualConsidrant"/>
        <w:rPr>
          <w:noProof/>
        </w:rPr>
      </w:pPr>
      <w:r>
        <w:rPr>
          <w:noProof/>
        </w:rPr>
        <w:t>(3)</w:t>
      </w:r>
      <w:r>
        <w:rPr>
          <w:noProof/>
        </w:rPr>
        <w:tab/>
        <w:t>Consiliul Oleicol Internațional, hotărând prin intermediul Consiliului membrilor în cadrul celei de a 119-a sesiuni din iunie 2024, a modificat articolul 36 din acord prin consens, în temeiul articolului 32 alineatul (1) din acesta, cu scopul de a permite prelungirea acordului pentru perioade succesive de maximum cinci ani fiecare</w:t>
      </w:r>
      <w:r>
        <w:rPr>
          <w:rStyle w:val="FootnoteReference"/>
          <w:noProof/>
        </w:rPr>
        <w:footnoteReference w:id="10"/>
      </w:r>
      <w:r>
        <w:rPr>
          <w:noProof/>
        </w:rPr>
        <w:t>. Consiliul membrilor a decis că membrii trebuie să notifice depozitarului acceptarea modificării până la 24 iunie 2026. Modificarea urma să intre în vigoare la 1 ianuarie 2027, cu condiția ca toți membrii să efectueze o astfel de notificare.</w:t>
      </w:r>
    </w:p>
    <w:p>
      <w:pPr>
        <w:pStyle w:val="ManualConsidrant"/>
        <w:rPr>
          <w:noProof/>
        </w:rPr>
      </w:pPr>
      <w:r>
        <w:rPr>
          <w:noProof/>
        </w:rPr>
        <w:t>(4)</w:t>
      </w:r>
      <w:r>
        <w:rPr>
          <w:noProof/>
        </w:rPr>
        <w:tab/>
      </w:r>
      <w:bookmarkStart w:id="0" w:name="_Hlk233822358"/>
      <w:r>
        <w:rPr>
          <w:noProof/>
        </w:rPr>
        <w:t xml:space="preserve">În cadrul celei de-a 123-a sesiuni din iunie 2026, Consiliul membrilor a propus prelungirea până la 24 iunie 2027 a datei până la care membrii trebuiau să notifice </w:t>
      </w:r>
      <w:r>
        <w:rPr>
          <w:noProof/>
        </w:rPr>
        <w:lastRenderedPageBreak/>
        <w:t>depozitarului acceptarea modificării</w:t>
      </w:r>
      <w:r>
        <w:rPr>
          <w:rStyle w:val="FootnoteReference"/>
          <w:noProof/>
        </w:rPr>
        <w:footnoteReference w:id="11"/>
      </w:r>
      <w:r>
        <w:rPr>
          <w:noProof/>
        </w:rPr>
        <w:t>. În plus, Comisia a propus prelungirea acordului până la 31 decembrie 2027.</w:t>
      </w:r>
    </w:p>
    <w:bookmarkEnd w:id="0"/>
    <w:p>
      <w:pPr>
        <w:pStyle w:val="ManualConsidrant"/>
        <w:rPr>
          <w:noProof/>
        </w:rPr>
      </w:pPr>
      <w:r>
        <w:rPr>
          <w:noProof/>
        </w:rPr>
        <w:t>(5)</w:t>
      </w:r>
      <w:r>
        <w:rPr>
          <w:noProof/>
        </w:rPr>
        <w:tab/>
        <w:t>În cadrul celei de-a 124-a sesiuni, care urmează să aibă loc în noiembrie 2026. Consiliul membrilor trebuie să decidă cu privire la prelungirea acordului până la 31 decembrie 2027.</w:t>
      </w:r>
    </w:p>
    <w:p>
      <w:pPr>
        <w:pStyle w:val="ManualConsidrant"/>
        <w:rPr>
          <w:noProof/>
        </w:rPr>
      </w:pPr>
      <w:r>
        <w:rPr>
          <w:noProof/>
        </w:rPr>
        <w:t>(6)</w:t>
      </w:r>
      <w:r>
        <w:rPr>
          <w:noProof/>
        </w:rPr>
        <w:tab/>
        <w:t>Este oportun să se stabilească poziția care trebuie să fie adoptată în numele Uniunii în cadrul celei de a 124-a sesiuni a Consiliului membrilor, deoarece prelungirea acordului este în interesul Uniunii,</w:t>
      </w:r>
    </w:p>
    <w:p>
      <w:pPr>
        <w:pStyle w:val="Formuledadoption"/>
        <w:rPr>
          <w:noProof/>
        </w:rPr>
      </w:pPr>
      <w:r>
        <w:rPr>
          <w:noProof/>
        </w:rPr>
        <w:t>ADOPTĂ PREZENTA DECIZIE:</w:t>
      </w:r>
    </w:p>
    <w:p>
      <w:pPr>
        <w:pStyle w:val="Titrearticle"/>
        <w:rPr>
          <w:noProof/>
        </w:rPr>
      </w:pPr>
      <w:r>
        <w:rPr>
          <w:noProof/>
        </w:rPr>
        <w:t>Articolul 1</w:t>
      </w:r>
    </w:p>
    <w:p>
      <w:pPr>
        <w:rPr>
          <w:i/>
          <w:noProof/>
        </w:rPr>
      </w:pPr>
      <w:r>
        <w:rPr>
          <w:noProof/>
        </w:rPr>
        <w:t>Poziția care trebuie să fie adoptată în numele Uniunii în cadrul Consiliului membrilor Consiliului Oleicol Internațional în cadrul celei de a 124-a sesiuni a acestuia, care va avea loc în noiembrie 2026, sau în cadrul unei proceduri de adoptare a deciziilor de către Consiliul membrilor prin schimb de corespondență este aceea de a sprijini prelungirea Acordului internațional din 2015 cu privire la uleiul de măsline și măslinele de masă pentru o perioadă de un an, de la 1 ianuarie 2027 până la 31 decembrie 2027.</w:t>
      </w:r>
    </w:p>
    <w:p>
      <w:pPr>
        <w:pStyle w:val="Titrearticle"/>
        <w:rPr>
          <w:noProof/>
        </w:rPr>
      </w:pPr>
      <w:r>
        <w:rPr>
          <w:noProof/>
        </w:rPr>
        <w:t>Articolul 2</w:t>
      </w:r>
    </w:p>
    <w:p>
      <w:pPr>
        <w:rPr>
          <w:noProof/>
        </w:rPr>
      </w:pPr>
      <w:r>
        <w:rPr>
          <w:noProof/>
        </w:rPr>
        <w:t>Prezenta decizie se adresează Comisiei.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 xml:space="preserve">Decizia (UE) 2019/848 a Consiliului din 17 mai 2019 privind încheierea în numele Uniunii Europene a Acordului internațional din 2015 cu privire la uleiul de măsline și măslinele de masă (JO L 139, 27.5.2019, p. 1, ELI: </w:t>
      </w:r>
      <w:hyperlink r:id="rId1" w:history="1">
        <w:r>
          <w:rPr>
            <w:rStyle w:val="Hyperlink"/>
          </w:rPr>
          <w:t>http://data.europa.eu/eli/dec/2019/848/oj</w:t>
        </w:r>
      </w:hyperlink>
      <w:r>
        <w:t>).</w:t>
      </w:r>
    </w:p>
  </w:footnote>
  <w:footnote w:id="3">
    <w:p>
      <w:pPr>
        <w:pStyle w:val="FootnoteText"/>
      </w:pPr>
      <w:r>
        <w:rPr>
          <w:rStyle w:val="FootnoteReference"/>
        </w:rPr>
        <w:footnoteRef/>
      </w:r>
      <w:r>
        <w:tab/>
        <w:t>Decizia (UE) 2026/1368 a Consiliului din 8 iunie 2026 privind aprobarea în numele Uniunii a modificării articolului 36 din Acordul internațional din 2015 cu privire la uleiul de măsline și măslinele de masă (JO L, 2026/1368, 17.6.2026, ELI: </w:t>
      </w:r>
      <w:hyperlink r:id="rId2" w:tgtFrame="_blank" w:tooltip="Oferă acces la acest document prin identificatorul său uniform de resurse ELI." w:history="1">
        <w:r>
          <w:rPr>
            <w:rStyle w:val="Hyperlink"/>
          </w:rPr>
          <w:t>http://data.europa.eu/eli/dec/2026/1368/oj</w:t>
        </w:r>
      </w:hyperlink>
      <w:r>
        <w:t>).</w:t>
      </w:r>
    </w:p>
  </w:footnote>
  <w:footnote w:id="4">
    <w:p>
      <w:pPr>
        <w:pStyle w:val="FootnoteText"/>
        <w:rPr>
          <w:lang w:val="es-ES_tradnl"/>
        </w:rPr>
      </w:pPr>
      <w:r>
        <w:rPr>
          <w:rStyle w:val="FootnoteReference"/>
        </w:rPr>
        <w:footnoteRef/>
      </w:r>
      <w:r>
        <w:rPr>
          <w:lang w:val="es-ES_tradnl"/>
        </w:rPr>
        <w:tab/>
        <w:t xml:space="preserve">Decizia (UE) 2016/1892 a Consiliului din 10 octombrie 2016 privind semnarea, în numele Uniunii Europene, și aplicarea provizorie a Acordului internațional din 2015 cu privire la uleiul de măsline și măslinele de masă (JO L 293, 28.10.2016, p. 2, ELI: </w:t>
      </w:r>
      <w:hyperlink r:id="rId3" w:history="1">
        <w:r>
          <w:rPr>
            <w:rStyle w:val="Hyperlink"/>
            <w:lang w:val="es-ES_tradnl"/>
          </w:rPr>
          <w:t>http://data.europa.eu/eli/dec/2016/1892/oj</w:t>
        </w:r>
      </w:hyperlink>
      <w:r>
        <w:rPr>
          <w:lang w:val="es-ES_tradnl"/>
        </w:rPr>
        <w:t>).</w:t>
      </w:r>
    </w:p>
  </w:footnote>
  <w:footnote w:id="5">
    <w:p>
      <w:pPr>
        <w:pStyle w:val="FootnoteText"/>
        <w:rPr>
          <w:lang w:val="es-ES_tradnl"/>
        </w:rPr>
      </w:pPr>
      <w:r>
        <w:rPr>
          <w:rStyle w:val="FootnoteReference"/>
        </w:rPr>
        <w:footnoteRef/>
      </w:r>
      <w:r>
        <w:rPr>
          <w:lang w:val="es-ES_tradnl"/>
        </w:rPr>
        <w:tab/>
        <w:t xml:space="preserve">Decizia (UE) 2019/848 a Consiliului din 17 mai 2019 privind încheierea în numele Uniunii Europene a Acordului internațional din 2015 cu privire la uleiul de măsline și măslinele de masă (JO L 139, 27.5.2019, p. 1, ELI: </w:t>
      </w:r>
      <w:hyperlink r:id="rId4" w:history="1">
        <w:r>
          <w:rPr>
            <w:rStyle w:val="Hyperlink"/>
            <w:lang w:val="es-ES_tradnl"/>
          </w:rPr>
          <w:t>http://data.europa.eu/eli/dec/2019/848/oj</w:t>
        </w:r>
      </w:hyperlink>
      <w:r>
        <w:rPr>
          <w:lang w:val="es-ES_tradnl"/>
        </w:rPr>
        <w:t>).</w:t>
      </w:r>
    </w:p>
  </w:footnote>
  <w:footnote w:id="6">
    <w:p>
      <w:pPr>
        <w:pStyle w:val="FootnoteText"/>
        <w:rPr>
          <w:lang w:val="es-ES_tradnl"/>
        </w:rPr>
      </w:pPr>
      <w:r>
        <w:rPr>
          <w:rStyle w:val="FootnoteReference"/>
        </w:rPr>
        <w:footnoteRef/>
      </w:r>
      <w:r>
        <w:rPr>
          <w:lang w:val="es-ES_tradnl"/>
        </w:rPr>
        <w:tab/>
        <w:t xml:space="preserve">Hotărârea Curții de Justiție din 7 octombrie 2014, </w:t>
      </w:r>
      <w:r>
        <w:rPr>
          <w:i/>
          <w:lang w:val="es-ES_tradnl"/>
        </w:rPr>
        <w:t>Germania/Consiliul</w:t>
      </w:r>
      <w:r>
        <w:rPr>
          <w:lang w:val="es-ES_tradnl"/>
        </w:rPr>
        <w:t xml:space="preserve">, C-399/12, ECLI:EU:C:2014:2258, punctele 61-64. </w:t>
      </w:r>
    </w:p>
  </w:footnote>
  <w:footnote w:id="7">
    <w:p>
      <w:pPr>
        <w:pStyle w:val="FootnoteText"/>
        <w:rPr>
          <w:lang w:val="es-ES_tradnl"/>
        </w:rPr>
      </w:pPr>
      <w:r>
        <w:rPr>
          <w:rStyle w:val="FootnoteReference"/>
        </w:rPr>
        <w:footnoteRef/>
      </w:r>
      <w:r>
        <w:rPr>
          <w:lang w:val="es-ES_tradnl"/>
        </w:rPr>
        <w:tab/>
        <w:t xml:space="preserve">JO L 293, 28.10.2016, p. 4, ELI: </w:t>
      </w:r>
      <w:hyperlink r:id="rId5" w:history="1">
        <w:r>
          <w:rPr>
            <w:rStyle w:val="Hyperlink"/>
            <w:lang w:val="es-ES_tradnl"/>
          </w:rPr>
          <w:t>http://data.europa.eu/eli/agree_internation/2016/1892/oj</w:t>
        </w:r>
      </w:hyperlink>
      <w:r>
        <w:rPr>
          <w:lang w:val="es-ES_tradnl"/>
        </w:rPr>
        <w:t>.</w:t>
      </w:r>
    </w:p>
  </w:footnote>
  <w:footnote w:id="8">
    <w:p>
      <w:pPr>
        <w:pStyle w:val="FootnoteText"/>
        <w:rPr>
          <w:lang w:val="es-ES_tradnl"/>
        </w:rPr>
      </w:pPr>
      <w:r>
        <w:rPr>
          <w:rStyle w:val="FootnoteReference"/>
        </w:rPr>
        <w:footnoteRef/>
      </w:r>
      <w:r>
        <w:rPr>
          <w:lang w:val="es-ES_tradnl"/>
        </w:rPr>
        <w:tab/>
        <w:t xml:space="preserve">Decizia (UE) 2016/1892 a Consiliului din 10 octombrie 2016 privind semnarea, în numele Uniunii Europene, și aplicarea provizorie a Acordului internațional din 2015 cu privire la uleiul de măsline și măslinele de masă (JO L 293, 28.10.2016, p. 2, ELI: </w:t>
      </w:r>
      <w:hyperlink r:id="rId6" w:history="1">
        <w:r>
          <w:rPr>
            <w:rStyle w:val="Hyperlink"/>
            <w:lang w:val="es-ES_tradnl"/>
          </w:rPr>
          <w:t>http://data.europa.eu/eli/dec/2016/1892/oj</w:t>
        </w:r>
      </w:hyperlink>
      <w:r>
        <w:rPr>
          <w:lang w:val="es-ES_tradnl"/>
        </w:rPr>
        <w:t>).</w:t>
      </w:r>
    </w:p>
  </w:footnote>
  <w:footnote w:id="9">
    <w:p>
      <w:pPr>
        <w:pStyle w:val="FootnoteText"/>
        <w:rPr>
          <w:lang w:val="es-ES_tradnl"/>
        </w:rPr>
      </w:pPr>
      <w:r>
        <w:rPr>
          <w:rStyle w:val="FootnoteReference"/>
        </w:rPr>
        <w:footnoteRef/>
      </w:r>
      <w:r>
        <w:rPr>
          <w:lang w:val="es-ES_tradnl"/>
        </w:rPr>
        <w:tab/>
        <w:t xml:space="preserve">Decizia (UE) 2019/848 a Consiliului din 17 mai 2019 privind încheierea în numele Uniunii Europene a Acordului internațional din 2015 cu privire la uleiul de măsline și măslinele de masă (JO L 139, 27.5.2019, p. 1, ELI: </w:t>
      </w:r>
      <w:hyperlink r:id="rId7" w:history="1">
        <w:r>
          <w:rPr>
            <w:rStyle w:val="Hyperlink"/>
            <w:lang w:val="es-ES_tradnl"/>
          </w:rPr>
          <w:t>http://data.europa.eu/eli/dec/2019/848/oj</w:t>
        </w:r>
      </w:hyperlink>
      <w:r>
        <w:rPr>
          <w:lang w:val="es-ES_tradnl"/>
        </w:rPr>
        <w:t>).</w:t>
      </w:r>
    </w:p>
  </w:footnote>
  <w:footnote w:id="10">
    <w:p>
      <w:pPr>
        <w:pStyle w:val="FootnoteText"/>
        <w:rPr>
          <w:lang w:val="es-ES_tradnl"/>
        </w:rPr>
      </w:pPr>
      <w:r>
        <w:rPr>
          <w:rStyle w:val="FootnoteReference"/>
        </w:rPr>
        <w:footnoteRef/>
      </w:r>
      <w:r>
        <w:rPr>
          <w:lang w:val="es-ES_tradnl"/>
        </w:rPr>
        <w:tab/>
        <w:t>Decizia (UE) 2026/1368 a Consiliului din 8 iunie 2026 privind aprobarea în numele Uniunii a modificării articolului 36 din Acordul internațional din 2015 cu privire la uleiul de măsline și măslinele de masă (JO L, 2026/1368, 17.6.2026, ELI: </w:t>
      </w:r>
      <w:hyperlink r:id="rId8" w:tgtFrame="_blank" w:tooltip="Oferă acces la acest document prin identificatorul său uniform de resurse ELI." w:history="1">
        <w:r>
          <w:rPr>
            <w:rStyle w:val="Hyperlink"/>
            <w:lang w:val="es-ES_tradnl"/>
          </w:rPr>
          <w:t>http://data.europa.eu/eli/dec/2026/1368/oj</w:t>
        </w:r>
      </w:hyperlink>
      <w:r>
        <w:rPr>
          <w:lang w:val="es-ES_tradnl"/>
        </w:rPr>
        <w:t>).</w:t>
      </w:r>
    </w:p>
  </w:footnote>
  <w:footnote w:id="11">
    <w:p>
      <w:pPr>
        <w:pStyle w:val="FootnoteText"/>
        <w:rPr>
          <w:lang w:val="es-ES_tradnl"/>
        </w:rPr>
      </w:pPr>
      <w:r>
        <w:rPr>
          <w:rStyle w:val="FootnoteReference"/>
        </w:rPr>
        <w:footnoteRef/>
      </w:r>
      <w:r>
        <w:rPr>
          <w:lang w:val="es-ES_tradnl"/>
        </w:rPr>
        <w:tab/>
        <w:t>[OP: Decizia (UE) 2026/... a Consiliului din ... privind poziția care trebuie să fie adoptată în numele Uniunii Europene în cadrul Consiliului membrilor Consiliului Oleicol Internațional în ceea ce privește prelungirea datei de notificare a acceptării modificării articolului 36 din Acordul internațional din 2015 cu privire la uleiul de măsline și măslinele de masă (JO L, 2026/…, …, ELI: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3BA62D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78AB7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180350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C8AAF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17:02: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959B6D9-AF92-41C4-9200-E9CB41089ACC"/>
    <w:docVar w:name="LW_COVERPAGE_TYPE" w:val="1"/>
    <w:docVar w:name="LW_CreatedUtc" w:val="2026-06-08T13:32:05.7469794Z"/>
    <w:docVar w:name="LW_CROSSREFERENCE" w:val="&lt;UNUSED&gt;"/>
    <w:docVar w:name="LW_DocType" w:val="COM"/>
    <w:docVar w:name="LW_EMISSION" w:val="8.9.2026"/>
    <w:docVar w:name="LW_EMISSION_ISODATE" w:val="2026-09-08"/>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50"/>
    <w:docVar w:name="LW_REF.II.NEW.CP_YEAR" w:val="2026"/>
    <w:docVar w:name="LW_REF.INST.NEW" w:val="COM"/>
    <w:docVar w:name="LW_REF.INST.NEW_ADOPTED" w:val="final"/>
    <w:docVar w:name="LW_REF.INST.NEW_TEXT" w:val="(2026) 4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s\u259? fie adoptat\u259? în numele Uniunii Europene în cadrul Consiliului membrilor Consiliului Oleicol Interna\u539?ional în ceea ce prive\u537?te prelungirea Acordului interna\u539?ional din 2015 cu privire la uleiul de m\u259?sline \u537?i m\u259?slinele de mas\u259?"/>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DF2F840-13C4-4052-96BB-969029CD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op">
    <w:name w:val="eop"/>
    <w:basedOn w:val="DefaultParagraphFont"/>
  </w:style>
  <w:style w:type="character" w:styleId="Hyperlink">
    <w:name w:val="Hyperlink"/>
    <w:uiPriority w:val="99"/>
    <w:rPr>
      <w:color w:val="0000FF"/>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46929">
      <w:bodyDiv w:val="1"/>
      <w:marLeft w:val="0"/>
      <w:marRight w:val="0"/>
      <w:marTop w:val="0"/>
      <w:marBottom w:val="0"/>
      <w:divBdr>
        <w:top w:val="none" w:sz="0" w:space="0" w:color="auto"/>
        <w:left w:val="none" w:sz="0" w:space="0" w:color="auto"/>
        <w:bottom w:val="none" w:sz="0" w:space="0" w:color="auto"/>
        <w:right w:val="none" w:sz="0" w:space="0" w:color="auto"/>
      </w:divBdr>
    </w:div>
    <w:div w:id="766846093">
      <w:bodyDiv w:val="1"/>
      <w:marLeft w:val="0"/>
      <w:marRight w:val="0"/>
      <w:marTop w:val="0"/>
      <w:marBottom w:val="0"/>
      <w:divBdr>
        <w:top w:val="none" w:sz="0" w:space="0" w:color="auto"/>
        <w:left w:val="none" w:sz="0" w:space="0" w:color="auto"/>
        <w:bottom w:val="none" w:sz="0" w:space="0" w:color="auto"/>
        <w:right w:val="none" w:sz="0" w:space="0" w:color="auto"/>
      </w:divBdr>
    </w:div>
    <w:div w:id="936326454">
      <w:bodyDiv w:val="1"/>
      <w:marLeft w:val="0"/>
      <w:marRight w:val="0"/>
      <w:marTop w:val="0"/>
      <w:marBottom w:val="0"/>
      <w:divBdr>
        <w:top w:val="none" w:sz="0" w:space="0" w:color="auto"/>
        <w:left w:val="none" w:sz="0" w:space="0" w:color="auto"/>
        <w:bottom w:val="none" w:sz="0" w:space="0" w:color="auto"/>
        <w:right w:val="none" w:sz="0" w:space="0" w:color="auto"/>
      </w:divBdr>
    </w:div>
    <w:div w:id="1541697771">
      <w:bodyDiv w:val="1"/>
      <w:marLeft w:val="0"/>
      <w:marRight w:val="0"/>
      <w:marTop w:val="0"/>
      <w:marBottom w:val="0"/>
      <w:divBdr>
        <w:top w:val="none" w:sz="0" w:space="0" w:color="auto"/>
        <w:left w:val="none" w:sz="0" w:space="0" w:color="auto"/>
        <w:bottom w:val="none" w:sz="0" w:space="0" w:color="auto"/>
        <w:right w:val="none" w:sz="0" w:space="0" w:color="auto"/>
      </w:divBdr>
    </w:div>
    <w:div w:id="1612199609">
      <w:bodyDiv w:val="1"/>
      <w:marLeft w:val="0"/>
      <w:marRight w:val="0"/>
      <w:marTop w:val="0"/>
      <w:marBottom w:val="0"/>
      <w:divBdr>
        <w:top w:val="none" w:sz="0" w:space="0" w:color="auto"/>
        <w:left w:val="none" w:sz="0" w:space="0" w:color="auto"/>
        <w:bottom w:val="none" w:sz="0" w:space="0" w:color="auto"/>
        <w:right w:val="none" w:sz="0" w:space="0" w:color="auto"/>
      </w:divBdr>
      <w:divsChild>
        <w:div w:id="1621961083">
          <w:marLeft w:val="0"/>
          <w:marRight w:val="0"/>
          <w:marTop w:val="0"/>
          <w:marBottom w:val="0"/>
          <w:divBdr>
            <w:top w:val="none" w:sz="0" w:space="0" w:color="auto"/>
            <w:left w:val="none" w:sz="0" w:space="0" w:color="auto"/>
            <w:bottom w:val="none" w:sz="0" w:space="0" w:color="auto"/>
            <w:right w:val="none" w:sz="0" w:space="0" w:color="auto"/>
          </w:divBdr>
          <w:divsChild>
            <w:div w:id="13264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6/1368/oj" TargetMode="External"/><Relationship Id="rId3" Type="http://schemas.openxmlformats.org/officeDocument/2006/relationships/hyperlink" Target="http://data.europa.eu/eli/dec/2016/1892/oj" TargetMode="External"/><Relationship Id="rId7" Type="http://schemas.openxmlformats.org/officeDocument/2006/relationships/hyperlink" Target="http://data.europa.eu/eli/dec/2019/848/oj" TargetMode="External"/><Relationship Id="rId2" Type="http://schemas.openxmlformats.org/officeDocument/2006/relationships/hyperlink" Target="http://data.europa.eu/eli/dec/2026/1368/oj" TargetMode="External"/><Relationship Id="rId1" Type="http://schemas.openxmlformats.org/officeDocument/2006/relationships/hyperlink" Target="http://data.europa.eu/eli/dec/2019/848/oj" TargetMode="External"/><Relationship Id="rId6" Type="http://schemas.openxmlformats.org/officeDocument/2006/relationships/hyperlink" Target="http://data.europa.eu/eli/dec/2016/1892/oj" TargetMode="External"/><Relationship Id="rId5" Type="http://schemas.openxmlformats.org/officeDocument/2006/relationships/hyperlink" Target="http://data.europa.eu/eli/agree_internation/2016/1892/oj" TargetMode="External"/><Relationship Id="rId4" Type="http://schemas.openxmlformats.org/officeDocument/2006/relationships/hyperlink" Target="http://data.europa.eu/eli/dec/2019/84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2738B-434A-42E4-9075-8CCBDE0BD732}">
  <ds:schemaRefs>
    <ds:schemaRef ds:uri="http://schemas.microsoft.com/sharepoint/v3/contenttype/forms"/>
  </ds:schemaRefs>
</ds:datastoreItem>
</file>

<file path=customXml/itemProps2.xml><?xml version="1.0" encoding="utf-8"?>
<ds:datastoreItem xmlns:ds="http://schemas.openxmlformats.org/officeDocument/2006/customXml" ds:itemID="{8097F6CB-FE77-4476-BCCA-9D2D4DC187D6}">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9E0025D2-3738-4B4E-A8A4-36D715E09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FBD8ED-8EE7-48CD-8E2A-AEBEC8D2E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6</Pages>
  <Words>1547</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cp:lastPrinted>2026-07-06T09:50:00Z</cp:lastPrinted>
  <dcterms:created xsi:type="dcterms:W3CDTF">2026-08-19T08:05:00Z</dcterms:created>
  <dcterms:modified xsi:type="dcterms:W3CDTF">2026-09-07T15:02:00Z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2026-06-08T15:31:07Z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f0231bee-193d-4d38-b19e-b21f38b9415c</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