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FDEACD-21E5-43B5-8005-7693832F2567" style="width:455.25pt;height:355.5pt">
            <v:imagedata r:id="rId11" o:title=""/>
          </v:shape>
        </w:pict>
      </w:r>
    </w:p>
    <w:bookmarkEnd w:id="0"/>
    <w:p>
      <w:pPr>
        <w:rPr>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Heading1"/>
        <w:rPr>
          <w:rFonts w:ascii="Times New Roman" w:hAnsi="Times New Roman" w:cs="Times New Roman"/>
          <w:b/>
          <w:noProof/>
          <w:color w:val="auto"/>
          <w:sz w:val="24"/>
          <w:szCs w:val="24"/>
          <w:lang w:val="en-GB"/>
        </w:rPr>
      </w:pPr>
      <w:bookmarkStart w:id="1" w:name="_Toc232778781"/>
      <w:r>
        <w:rPr>
          <w:rFonts w:ascii="Times New Roman" w:hAnsi="Times New Roman" w:cs="Times New Roman"/>
          <w:b/>
          <w:noProof/>
          <w:color w:val="auto"/>
          <w:sz w:val="24"/>
          <w:szCs w:val="24"/>
          <w:lang w:val="en-GB"/>
        </w:rPr>
        <w:lastRenderedPageBreak/>
        <w:t>1.</w:t>
      </w:r>
      <w:r>
        <w:rPr>
          <w:rFonts w:ascii="Times New Roman" w:hAnsi="Times New Roman" w:cs="Times New Roman"/>
          <w:b/>
          <w:bCs/>
          <w:noProof/>
          <w:color w:val="auto"/>
          <w:sz w:val="24"/>
          <w:szCs w:val="24"/>
          <w:lang w:val="en-GB"/>
        </w:rPr>
        <w:t xml:space="preserve"> THE</w:t>
      </w:r>
      <w:r>
        <w:rPr>
          <w:rFonts w:ascii="Times New Roman" w:hAnsi="Times New Roman" w:cs="Times New Roman"/>
          <w:b/>
          <w:noProof/>
          <w:color w:val="auto"/>
          <w:sz w:val="24"/>
          <w:szCs w:val="24"/>
          <w:lang w:val="en-GB"/>
        </w:rPr>
        <w:t xml:space="preserve"> NEW CONTEXT FOR THE EU RESEARCH </w:t>
      </w:r>
      <w:r>
        <w:rPr>
          <w:rFonts w:ascii="Times New Roman" w:hAnsi="Times New Roman" w:cs="Times New Roman"/>
          <w:b/>
          <w:bCs/>
          <w:noProof/>
          <w:color w:val="auto"/>
          <w:sz w:val="24"/>
          <w:szCs w:val="24"/>
          <w:lang w:val="en-GB"/>
        </w:rPr>
        <w:t>AND</w:t>
      </w:r>
      <w:r>
        <w:rPr>
          <w:rFonts w:ascii="Times New Roman" w:hAnsi="Times New Roman" w:cs="Times New Roman"/>
          <w:b/>
          <w:noProof/>
          <w:color w:val="auto"/>
          <w:sz w:val="24"/>
          <w:szCs w:val="24"/>
          <w:lang w:val="en-GB"/>
        </w:rPr>
        <w:t xml:space="preserve"> INNOVATION IN </w:t>
      </w:r>
      <w:r>
        <w:rPr>
          <w:rFonts w:ascii="Times New Roman" w:hAnsi="Times New Roman" w:cs="Times New Roman"/>
          <w:b/>
          <w:noProof/>
          <w:color w:val="auto"/>
          <w:sz w:val="24"/>
          <w:szCs w:val="24"/>
          <w:lang w:val="en-IE"/>
        </w:rPr>
        <w:t>AGRICULTURE, FORESTRY, RURAL AREAS</w:t>
      </w:r>
      <w:r>
        <w:rPr>
          <w:rFonts w:ascii="Times New Roman" w:hAnsi="Times New Roman" w:cs="Times New Roman"/>
          <w:noProof/>
          <w:color w:val="auto"/>
          <w:sz w:val="24"/>
          <w:szCs w:val="24"/>
          <w:lang w:val="en-IE"/>
        </w:rPr>
        <w:t xml:space="preserve"> </w:t>
      </w:r>
      <w:r>
        <w:rPr>
          <w:rFonts w:ascii="Times New Roman" w:hAnsi="Times New Roman" w:cs="Times New Roman"/>
          <w:b/>
          <w:noProof/>
          <w:color w:val="auto"/>
          <w:sz w:val="24"/>
          <w:szCs w:val="24"/>
          <w:lang w:val="en-IE"/>
        </w:rPr>
        <w:t>AND FOOD SYSTEMS</w:t>
      </w:r>
      <w:bookmarkEnd w:id="1"/>
    </w:p>
    <w:p>
      <w:pPr>
        <w:spacing w:line="276" w:lineRule="auto"/>
        <w:jc w:val="both"/>
        <w:rPr>
          <w:rFonts w:ascii="Times New Roman" w:eastAsia="Times New Roman" w:hAnsi="Times New Roman" w:cs="Times New Roman"/>
          <w:noProof/>
          <w:sz w:val="24"/>
          <w:szCs w:val="24"/>
          <w:lang w:val="en-IE"/>
        </w:rPr>
      </w:pPr>
      <w:bookmarkStart w:id="2" w:name="_Toc226977834"/>
      <w:bookmarkStart w:id="3" w:name="_Hlk232142045"/>
      <w:r>
        <w:rPr>
          <w:rFonts w:ascii="Times New Roman" w:hAnsi="Times New Roman" w:cs="Times New Roman"/>
          <w:noProof/>
          <w:sz w:val="24"/>
          <w:szCs w:val="24"/>
          <w:lang w:val="en-IE"/>
        </w:rPr>
        <w:t xml:space="preserve">The </w:t>
      </w:r>
      <w:r>
        <w:rPr>
          <w:rFonts w:ascii="Times New Roman" w:hAnsi="Times New Roman" w:cs="Times New Roman"/>
          <w:b/>
          <w:bCs/>
          <w:noProof/>
          <w:sz w:val="24"/>
          <w:szCs w:val="24"/>
          <w:lang w:val="en-IE"/>
        </w:rPr>
        <w:t>agri-food sector</w:t>
      </w:r>
      <w:r>
        <w:rPr>
          <w:rStyle w:val="FootnoteReference"/>
          <w:rFonts w:ascii="Times New Roman" w:hAnsi="Times New Roman" w:cs="Times New Roman"/>
          <w:b/>
          <w:bCs/>
          <w:noProof/>
          <w:sz w:val="24"/>
          <w:szCs w:val="24"/>
        </w:rPr>
        <w:footnoteReference w:id="1"/>
      </w:r>
      <w:r>
        <w:rPr>
          <w:rFonts w:ascii="Times New Roman" w:hAnsi="Times New Roman" w:cs="Times New Roman"/>
          <w:b/>
          <w:bCs/>
          <w:noProof/>
          <w:sz w:val="24"/>
          <w:szCs w:val="24"/>
          <w:lang w:val="en-IE"/>
        </w:rPr>
        <w:t xml:space="preserve">, </w:t>
      </w:r>
      <w:r>
        <w:rPr>
          <w:rFonts w:ascii="Times New Roman" w:hAnsi="Times New Roman" w:cs="Times New Roman"/>
          <w:noProof/>
          <w:sz w:val="24"/>
          <w:szCs w:val="24"/>
          <w:lang w:val="en-IE"/>
        </w:rPr>
        <w:t>comprising agriculture, forestry, activities in rural areas and the broader food systems,</w:t>
      </w:r>
      <w:r>
        <w:rPr>
          <w:rFonts w:ascii="Times New Roman" w:hAnsi="Times New Roman" w:cs="Times New Roman"/>
          <w:b/>
          <w:bCs/>
          <w:noProof/>
          <w:sz w:val="24"/>
          <w:szCs w:val="24"/>
          <w:lang w:val="en-IE"/>
        </w:rPr>
        <w:t xml:space="preserve"> </w:t>
      </w:r>
      <w:r>
        <w:rPr>
          <w:rFonts w:ascii="Times New Roman" w:hAnsi="Times New Roman" w:cs="Times New Roman"/>
          <w:noProof/>
          <w:sz w:val="24"/>
          <w:szCs w:val="24"/>
          <w:lang w:val="en-IE"/>
        </w:rPr>
        <w:t xml:space="preserve">is a </w:t>
      </w:r>
      <w:r>
        <w:rPr>
          <w:rFonts w:ascii="Times New Roman" w:hAnsi="Times New Roman" w:cs="Times New Roman"/>
          <w:b/>
          <w:bCs/>
          <w:noProof/>
          <w:sz w:val="24"/>
          <w:szCs w:val="24"/>
          <w:lang w:val="en-IE"/>
        </w:rPr>
        <w:t>strategic asset for the European Union (EU) and its food security, sustainability and competitiveness</w:t>
      </w:r>
      <w:r>
        <w:rPr>
          <w:rFonts w:ascii="Times New Roman" w:hAnsi="Times New Roman" w:cs="Times New Roman"/>
          <w:noProof/>
          <w:sz w:val="24"/>
          <w:szCs w:val="24"/>
          <w:lang w:val="en-IE"/>
        </w:rPr>
        <w:t xml:space="preserve">. It ensures a continuous supply of sufficient, affordable, safe, healthy and high-quality food for 450 million Europeans. In addition, it plays a key role </w:t>
      </w:r>
      <w:r>
        <w:rPr>
          <w:rFonts w:ascii="Times New Roman" w:eastAsia="Times New Roman" w:hAnsi="Times New Roman" w:cs="Times New Roman"/>
          <w:noProof/>
          <w:sz w:val="24"/>
          <w:szCs w:val="24"/>
          <w:lang w:val="en-IE"/>
        </w:rPr>
        <w:t xml:space="preserve">in mitigating and adapting to climate change threats, while </w:t>
      </w:r>
      <w:r>
        <w:rPr>
          <w:rFonts w:ascii="Times New Roman" w:hAnsi="Times New Roman" w:cs="Times New Roman"/>
          <w:noProof/>
          <w:sz w:val="24"/>
          <w:szCs w:val="24"/>
          <w:lang w:val="en-IE"/>
        </w:rPr>
        <w:t>supporting the sustainable management of natural resources, a circular and sustainable bioeconomy and global food security</w:t>
      </w:r>
      <w:r>
        <w:rPr>
          <w:rFonts w:ascii="Times New Roman" w:eastAsia="Times New Roman" w:hAnsi="Times New Roman" w:cs="Times New Roman"/>
          <w:noProof/>
          <w:sz w:val="24"/>
          <w:szCs w:val="24"/>
          <w:lang w:val="en-IE"/>
        </w:rPr>
        <w:t>.</w:t>
      </w:r>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2023, EU agriculture and food systems</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generated more than EUR 1 trillion in added value and employed around 30 million people (15% of all jobs in the EU</w:t>
      </w:r>
      <w:r>
        <w:rPr>
          <w:rStyle w:val="FootnoteReference"/>
          <w:rFonts w:ascii="Times New Roman" w:hAnsi="Times New Roman" w:cs="Times New Roman"/>
          <w:noProof/>
          <w:sz w:val="24"/>
          <w:szCs w:val="24"/>
          <w:lang w:val="en-GB"/>
        </w:rPr>
        <w:footnoteReference w:id="2"/>
      </w:r>
      <w:r>
        <w:rPr>
          <w:rFonts w:ascii="Times New Roman" w:hAnsi="Times New Roman" w:cs="Times New Roman"/>
          <w:noProof/>
          <w:sz w:val="24"/>
          <w:szCs w:val="24"/>
          <w:lang w:val="en-GB"/>
        </w:rPr>
        <w:t>). This includes 4.8 million people employed in 309 000 businesses in the food and drink industry, the EU’s largest manufacturing sector</w:t>
      </w:r>
      <w:r>
        <w:rPr>
          <w:rStyle w:val="FootnoteReference"/>
          <w:rFonts w:ascii="Times New Roman" w:hAnsi="Times New Roman" w:cs="Times New Roman"/>
          <w:noProof/>
          <w:sz w:val="24"/>
          <w:szCs w:val="24"/>
          <w:lang w:val="en-GB"/>
        </w:rPr>
        <w:footnoteReference w:id="3"/>
      </w:r>
      <w:r>
        <w:rPr>
          <w:rFonts w:ascii="Times New Roman" w:hAnsi="Times New Roman" w:cs="Times New Roman"/>
          <w:noProof/>
          <w:sz w:val="24"/>
          <w:szCs w:val="24"/>
          <w:lang w:val="en-GB"/>
        </w:rPr>
        <w:t xml:space="preserve"> that delivered EUR 1.5 trillion in turnover and EUR 296 billion in value added. As the world’s largest agri-food exporter, the EU recorded a EUR 50 billion agri-food trade surplus in 2025</w:t>
      </w:r>
      <w:r>
        <w:rPr>
          <w:rStyle w:val="FootnoteReference"/>
          <w:rFonts w:ascii="Times New Roman" w:hAnsi="Times New Roman" w:cs="Times New Roman"/>
          <w:noProof/>
          <w:sz w:val="24"/>
          <w:szCs w:val="24"/>
          <w:lang w:val="en-GB"/>
        </w:rPr>
        <w:footnoteReference w:id="4"/>
      </w:r>
      <w:r>
        <w:rPr>
          <w:rFonts w:ascii="Times New Roman" w:hAnsi="Times New Roman" w:cs="Times New Roman"/>
          <w:noProof/>
          <w:sz w:val="24"/>
          <w:szCs w:val="24"/>
          <w:lang w:val="en-GB"/>
        </w:rPr>
        <w:t>.</w:t>
      </w:r>
    </w:p>
    <w:p>
      <w:pPr>
        <w:spacing w:line="276"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IE"/>
        </w:rPr>
        <w:t>Rural areas</w:t>
      </w:r>
      <w:r>
        <w:rPr>
          <w:rFonts w:ascii="Times New Roman" w:hAnsi="Times New Roman" w:cs="Times New Roman"/>
          <w:noProof/>
          <w:sz w:val="24"/>
          <w:szCs w:val="24"/>
          <w:lang w:val="en-IE"/>
        </w:rPr>
        <w:t>, home to 25% of the EU population and covering more than 75% of its territory, are key drivers of sustainable growth and innovation</w:t>
      </w:r>
      <w:r>
        <w:rPr>
          <w:rStyle w:val="FootnoteReference"/>
          <w:rFonts w:ascii="Times New Roman" w:hAnsi="Times New Roman" w:cs="Times New Roman"/>
          <w:noProof/>
          <w:sz w:val="24"/>
          <w:szCs w:val="24"/>
          <w:lang w:val="en-IE"/>
        </w:rPr>
        <w:footnoteReference w:id="5"/>
      </w:r>
      <w:r>
        <w:rPr>
          <w:rFonts w:ascii="Times New Roman" w:hAnsi="Times New Roman" w:cs="Times New Roman"/>
          <w:noProof/>
          <w:sz w:val="24"/>
          <w:szCs w:val="24"/>
          <w:lang w:val="en-IE"/>
        </w:rPr>
        <w:t>. </w:t>
      </w:r>
      <w:r>
        <w:rPr>
          <w:rFonts w:ascii="Times New Roman" w:hAnsi="Times New Roman" w:cs="Times New Roman"/>
          <w:b/>
          <w:noProof/>
          <w:sz w:val="24"/>
          <w:szCs w:val="24"/>
          <w:lang w:val="en-IE"/>
        </w:rPr>
        <w:t>Forests and other wooded land</w:t>
      </w:r>
      <w:r>
        <w:rPr>
          <w:rFonts w:ascii="Times New Roman" w:hAnsi="Times New Roman" w:cs="Times New Roman"/>
          <w:noProof/>
          <w:sz w:val="24"/>
          <w:szCs w:val="24"/>
          <w:lang w:val="en-IE"/>
        </w:rPr>
        <w:t> cover nearly 44% of the EU’s territory and are essential for Europeans’ health, biodiversity, rural livelihoods, cultural heritage, economic prosperity, climate change mitigation and adaptation, and the prevention of future environmental and health crises.</w:t>
      </w:r>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To maintain its global leadership, the sector must innovate and modernise more quickly. Despite higher spending on research and development (R&amp;D) over time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lang w:val="en-GB"/>
        </w:rPr>
        <w:t>, Europe’s scientific excellence in the agri-food sector, for instance on digital and artificial intelligence (AI) applications, is facing challenges</w:t>
      </w:r>
      <w:r>
        <w:rPr>
          <w:rFonts w:ascii="Times New Roman" w:hAnsi="Times New Roman" w:cs="Times New Roman"/>
          <w:noProof/>
          <w:sz w:val="24"/>
          <w:szCs w:val="24"/>
          <w:lang w:val="en-IE"/>
        </w:rPr>
        <w:t>. If the status quo is maintained and the current innovation and deployment gap persist, future agricultural total factor productivity growth is expected to remain modest.</w:t>
      </w:r>
      <w:r>
        <w:rPr>
          <w:rFonts w:ascii="Times New Roman" w:hAnsi="Times New Roman" w:cs="Times New Roman"/>
          <w:noProof/>
          <w:sz w:val="24"/>
          <w:szCs w:val="24"/>
          <w:lang w:val="en-GB"/>
        </w:rPr>
        <w:t xml:space="preserve"> </w:t>
      </w:r>
    </w:p>
    <w:p>
      <w:pPr>
        <w:spacing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This suggests that research and innovation (R&amp;I) outputs are not sufficiently translated into proportionate productivity gains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lang w:val="en-GB"/>
        </w:rPr>
        <w:t xml:space="preserve">, sustainability and resource efficiency. In addition, despite remaining relatively competitive in selected agri-food tech segments, Europe's investment gap is </w:t>
      </w:r>
      <w:r>
        <w:rPr>
          <w:rFonts w:ascii="Times New Roman" w:hAnsi="Times New Roman" w:cs="Times New Roman"/>
          <w:noProof/>
          <w:sz w:val="24"/>
          <w:szCs w:val="24"/>
          <w:lang w:val="en-GB"/>
        </w:rPr>
        <w:lastRenderedPageBreak/>
        <w:t>becoming increasingly pronounced. Agri-food tech investment in Europe fell by 67% from 2020 to 2024, compared with levels 50–70% that were higher in the United States and Canada</w:t>
      </w:r>
      <w:r>
        <w:rPr>
          <w:rStyle w:val="FootnoteReference"/>
          <w:rFonts w:ascii="Times New Roman" w:hAnsi="Times New Roman" w:cs="Times New Roman"/>
          <w:noProof/>
          <w:sz w:val="24"/>
          <w:szCs w:val="24"/>
          <w:lang w:val="en-GB"/>
        </w:rPr>
        <w:footnoteReference w:id="8"/>
      </w:r>
      <w:r>
        <w:rPr>
          <w:rFonts w:ascii="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rPr>
        <w:t>To reduce its dependences on other major global powers, in particular when it comes to technologies used in food production, the EU must further strengthen its strategic autonomy by developing AI capabilities for agriculture and food systems</w:t>
      </w:r>
      <w:r>
        <w:rPr>
          <w:rFonts w:ascii="Times New Roman" w:hAnsi="Times New Roman" w:cs="Times New Roman"/>
          <w:noProof/>
          <w:sz w:val="24"/>
          <w:szCs w:val="24"/>
          <w:lang w:val="en-GB"/>
        </w:rPr>
        <w:t>.</w:t>
      </w:r>
    </w:p>
    <w:p>
      <w:pPr>
        <w:spacing w:line="276"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 xml:space="preserve">The EU agri-food sector </w:t>
      </w:r>
      <w:r>
        <w:rPr>
          <w:rFonts w:ascii="Times New Roman" w:hAnsi="Times New Roman" w:cs="Times New Roman"/>
          <w:b/>
          <w:noProof/>
          <w:sz w:val="24"/>
          <w:szCs w:val="24"/>
          <w:lang w:val="en-GB"/>
        </w:rPr>
        <w:t>operates in an increasingly complex and rapidly changing environment.</w:t>
      </w:r>
      <w:r>
        <w:rPr>
          <w:rFonts w:ascii="Times New Roman" w:hAnsi="Times New Roman" w:cs="Times New Roman"/>
          <w:noProof/>
          <w:sz w:val="24"/>
          <w:szCs w:val="24"/>
          <w:lang w:val="en-GB"/>
        </w:rPr>
        <w:t xml:space="preserve"> The geopolitical context is marked by volatile input and commodity prices, and significant dependencies on third countries not only for technologies but also for farming inputs, in particular fertilisers, energy and protein feed. These challenges are compounded by an ageing and shrinking workforce with gender imbalances, and pressures on land use and natural resources, and are aggravated by </w:t>
      </w:r>
      <w:r>
        <w:rPr>
          <w:rFonts w:ascii="Times New Roman" w:eastAsia="Times New Roman" w:hAnsi="Times New Roman" w:cs="Times New Roman"/>
          <w:noProof/>
          <w:color w:val="000000" w:themeColor="text1"/>
          <w:sz w:val="24"/>
          <w:szCs w:val="24"/>
          <w:lang w:val="en-GB"/>
        </w:rPr>
        <w:t>the effects of climate change, pollution and biodiversity losses</w:t>
      </w:r>
      <w:r>
        <w:rPr>
          <w:rFonts w:ascii="Times New Roman" w:hAnsi="Times New Roman" w:cs="Times New Roman"/>
          <w:noProof/>
          <w:sz w:val="24"/>
          <w:szCs w:val="24"/>
          <w:lang w:val="en-GB"/>
        </w:rPr>
        <w:t xml:space="preserve">. Structural transformations are underway, from new technology driven farming and food production methods to the emergence of innovative value chains and new circular business models in the bioeconomy sector and use of AI and biotechnology. </w:t>
      </w:r>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Sustainable competitiveness driven by R&amp;I is at the core of both the</w:t>
      </w:r>
      <w:r>
        <w:rPr>
          <w:rFonts w:ascii="Times New Roman" w:hAnsi="Times New Roman" w:cs="Times New Roman"/>
          <w:b/>
          <w:bCs/>
          <w:noProof/>
          <w:sz w:val="24"/>
          <w:szCs w:val="24"/>
          <w:lang w:val="en-GB"/>
        </w:rPr>
        <w:t xml:space="preserve"> </w:t>
      </w:r>
      <w:hyperlink r:id="rId18" w:history="1">
        <w:r>
          <w:rPr>
            <w:rStyle w:val="Hyperlink"/>
            <w:rFonts w:ascii="Times New Roman" w:hAnsi="Times New Roman" w:cs="Times New Roman"/>
            <w:b/>
            <w:bCs/>
            <w:noProof/>
            <w:sz w:val="24"/>
            <w:szCs w:val="24"/>
            <w:lang w:val="en-GB"/>
          </w:rPr>
          <w:t>Vision for agriculture and food</w:t>
        </w:r>
      </w:hyperlink>
      <w:r>
        <w:rPr>
          <w:rFonts w:ascii="Times New Roman" w:hAnsi="Times New Roman" w:cs="Times New Roman"/>
          <w:noProof/>
          <w:sz w:val="24"/>
          <w:szCs w:val="24"/>
          <w:lang w:val="en-GB"/>
        </w:rPr>
        <w:t xml:space="preserve"> and the </w:t>
      </w:r>
      <w:hyperlink r:id="rId19" w:history="1">
        <w:r>
          <w:rPr>
            <w:rStyle w:val="Hyperlink"/>
            <w:rFonts w:ascii="Times New Roman" w:hAnsi="Times New Roman" w:cs="Times New Roman"/>
            <w:b/>
            <w:noProof/>
            <w:sz w:val="24"/>
            <w:szCs w:val="24"/>
            <w:lang w:val="en-GB"/>
          </w:rPr>
          <w:t xml:space="preserve">strategy for European </w:t>
        </w:r>
        <w:r>
          <w:rPr>
            <w:rStyle w:val="Hyperlink"/>
            <w:rFonts w:ascii="Times New Roman" w:hAnsi="Times New Roman" w:cs="Times New Roman"/>
            <w:b/>
            <w:bCs/>
            <w:noProof/>
            <w:sz w:val="24"/>
            <w:szCs w:val="24"/>
            <w:lang w:val="en-GB"/>
          </w:rPr>
          <w:t>life sciences</w:t>
        </w:r>
      </w:hyperlink>
      <w:r>
        <w:rPr>
          <w:rFonts w:ascii="Times New Roman" w:hAnsi="Times New Roman" w:cs="Times New Roman"/>
          <w:noProof/>
          <w:sz w:val="24"/>
          <w:szCs w:val="24"/>
          <w:lang w:val="en-GB"/>
        </w:rPr>
        <w:t xml:space="preserve">. The vision calls for </w:t>
      </w:r>
      <w:r>
        <w:rPr>
          <w:rFonts w:ascii="Times New Roman" w:hAnsi="Times New Roman" w:cs="Times New Roman"/>
          <w:b/>
          <w:bCs/>
          <w:noProof/>
          <w:sz w:val="24"/>
          <w:szCs w:val="24"/>
          <w:lang w:val="en-GB"/>
        </w:rPr>
        <w:t>an update of</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 xml:space="preserve">the </w:t>
      </w:r>
      <w:hyperlink r:id="rId20" w:history="1">
        <w:r>
          <w:rPr>
            <w:rStyle w:val="Hyperlink"/>
            <w:rFonts w:ascii="Times New Roman" w:hAnsi="Times New Roman" w:cs="Times New Roman"/>
            <w:b/>
            <w:bCs/>
            <w:noProof/>
            <w:sz w:val="24"/>
            <w:szCs w:val="24"/>
            <w:lang w:val="en-GB"/>
          </w:rPr>
          <w:t>2016 strategic approach to R&amp;I in agriculture, forestry and rural areas</w:t>
        </w:r>
      </w:hyperlink>
      <w:r>
        <w:rPr>
          <w:rFonts w:ascii="Times New Roman" w:hAnsi="Times New Roman" w:cs="Times New Roman"/>
          <w:noProof/>
          <w:sz w:val="24"/>
          <w:szCs w:val="24"/>
          <w:lang w:val="en-GB"/>
        </w:rPr>
        <w:t xml:space="preserve"> to better target investments, align future priorities with scientific developments and seize new opportunities. The life sciences strategy seeks to position the EU as a global hub for innovation across health, biotech, food and biomanufacturing by 2030, including attracting talents through the </w:t>
      </w:r>
      <w:hyperlink r:id="rId21" w:history="1">
        <w:r>
          <w:rPr>
            <w:rStyle w:val="Hyperlink"/>
            <w:rFonts w:ascii="Times New Roman" w:hAnsi="Times New Roman" w:cs="Times New Roman"/>
            <w:noProof/>
            <w:sz w:val="24"/>
            <w:szCs w:val="24"/>
            <w:lang w:val="en-GB"/>
          </w:rPr>
          <w:t>Choose Europe Initiative</w:t>
        </w:r>
      </w:hyperlink>
      <w:r>
        <w:rPr>
          <w:rFonts w:ascii="Times New Roman" w:hAnsi="Times New Roman" w:cs="Times New Roman"/>
          <w:noProof/>
          <w:sz w:val="24"/>
          <w:szCs w:val="24"/>
          <w:lang w:val="en-GB"/>
        </w:rPr>
        <w:t>. The strategy also announced the</w:t>
      </w:r>
      <w:r>
        <w:rPr>
          <w:rFonts w:ascii="Times New Roman" w:hAnsi="Times New Roman" w:cs="Times New Roman"/>
          <w:b/>
          <w:bCs/>
          <w:noProof/>
          <w:sz w:val="24"/>
          <w:szCs w:val="24"/>
          <w:lang w:val="en-GB"/>
        </w:rPr>
        <w:t xml:space="preserve"> development of a complementary new strategic R&amp;I agenda on food systems, </w:t>
      </w:r>
      <w:r>
        <w:rPr>
          <w:rFonts w:ascii="Times New Roman" w:hAnsi="Times New Roman" w:cs="Times New Roman"/>
          <w:noProof/>
          <w:sz w:val="24"/>
          <w:szCs w:val="24"/>
          <w:lang w:val="en-GB"/>
        </w:rPr>
        <w:t xml:space="preserve">building on the current </w:t>
      </w:r>
      <w:hyperlink r:id="rId22" w:history="1">
        <w:r>
          <w:rPr>
            <w:rStyle w:val="Hyperlink"/>
            <w:rFonts w:ascii="Times New Roman" w:hAnsi="Times New Roman" w:cs="Times New Roman"/>
            <w:b/>
            <w:bCs/>
            <w:noProof/>
            <w:sz w:val="24"/>
            <w:szCs w:val="24"/>
            <w:lang w:val="en-IE"/>
          </w:rPr>
          <w:t>Food 2030 framework</w:t>
        </w:r>
      </w:hyperlink>
      <w:r>
        <w:rPr>
          <w:rFonts w:ascii="Times New Roman" w:hAnsi="Times New Roman" w:cs="Times New Roman"/>
          <w:noProof/>
          <w:sz w:val="24"/>
          <w:szCs w:val="24"/>
          <w:lang w:val="en-GB"/>
        </w:rPr>
        <w:t xml:space="preserve">. This agenda will support the development of competitive, sustainable and resilient food systems. </w:t>
      </w:r>
      <w:hyperlink r:id="rId23" w:history="1">
        <w:r>
          <w:rPr>
            <w:rStyle w:val="Hyperlink"/>
            <w:rFonts w:ascii="Times New Roman" w:hAnsi="Times New Roman" w:cs="Times New Roman"/>
            <w:b/>
            <w:bCs/>
            <w:noProof/>
            <w:sz w:val="24"/>
            <w:szCs w:val="24"/>
            <w:lang w:val="en-GB"/>
          </w:rPr>
          <w:t>Letta</w:t>
        </w:r>
      </w:hyperlink>
      <w:r>
        <w:rPr>
          <w:rFonts w:ascii="Times New Roman" w:hAnsi="Times New Roman" w:cs="Times New Roman"/>
          <w:b/>
          <w:bCs/>
          <w:noProof/>
          <w:sz w:val="24"/>
          <w:szCs w:val="24"/>
          <w:lang w:val="en-GB"/>
        </w:rPr>
        <w:t xml:space="preserve"> and </w:t>
      </w:r>
      <w:hyperlink r:id="rId24" w:history="1">
        <w:r>
          <w:rPr>
            <w:rStyle w:val="Hyperlink"/>
            <w:rFonts w:ascii="Times New Roman" w:hAnsi="Times New Roman" w:cs="Times New Roman"/>
            <w:b/>
            <w:bCs/>
            <w:noProof/>
            <w:sz w:val="24"/>
            <w:szCs w:val="24"/>
            <w:lang w:val="en-GB"/>
          </w:rPr>
          <w:t>Draghi</w:t>
        </w:r>
      </w:hyperlink>
      <w:r>
        <w:rPr>
          <w:rFonts w:ascii="Times New Roman" w:hAnsi="Times New Roman" w:cs="Times New Roman"/>
          <w:b/>
          <w:bCs/>
          <w:noProof/>
          <w:sz w:val="24"/>
          <w:szCs w:val="24"/>
          <w:lang w:val="en-GB"/>
        </w:rPr>
        <w:t xml:space="preserve"> reports </w:t>
      </w:r>
      <w:r>
        <w:rPr>
          <w:rFonts w:ascii="Times New Roman" w:hAnsi="Times New Roman" w:cs="Times New Roman"/>
          <w:noProof/>
          <w:sz w:val="24"/>
          <w:szCs w:val="24"/>
          <w:lang w:val="en-GB"/>
        </w:rPr>
        <w:t>highlighted the need to strengthen the EU’s single market and enhance its competitiveness, being also relevant for the agri-food sector.</w:t>
      </w:r>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Boosting competitiveness requires the adoption of a </w:t>
      </w:r>
      <w:r>
        <w:rPr>
          <w:rFonts w:ascii="Times New Roman" w:hAnsi="Times New Roman" w:cs="Times New Roman"/>
          <w:b/>
          <w:bCs/>
          <w:noProof/>
          <w:sz w:val="24"/>
          <w:szCs w:val="24"/>
          <w:lang w:val="en-GB"/>
        </w:rPr>
        <w:t>full value chain perspective</w:t>
      </w:r>
      <w:r>
        <w:rPr>
          <w:rFonts w:ascii="Times New Roman" w:hAnsi="Times New Roman" w:cs="Times New Roman"/>
          <w:noProof/>
          <w:sz w:val="24"/>
          <w:szCs w:val="24"/>
          <w:lang w:val="en-GB"/>
        </w:rPr>
        <w:t xml:space="preserve"> that strengthens the innovation journey of EU startups and scaleups from research to market. The strategic approach will be structured around </w:t>
      </w:r>
      <w:r>
        <w:rPr>
          <w:rFonts w:ascii="Times New Roman" w:hAnsi="Times New Roman" w:cs="Times New Roman"/>
          <w:b/>
          <w:bCs/>
          <w:noProof/>
          <w:sz w:val="24"/>
          <w:szCs w:val="24"/>
          <w:lang w:val="en-GB"/>
        </w:rPr>
        <w:t xml:space="preserve">two closely interlinked frameworks </w:t>
      </w:r>
      <w:r>
        <w:rPr>
          <w:rFonts w:ascii="Times New Roman" w:hAnsi="Times New Roman" w:cs="Times New Roman"/>
          <w:noProof/>
          <w:sz w:val="24"/>
          <w:szCs w:val="24"/>
          <w:lang w:val="en-GB"/>
        </w:rPr>
        <w:t>set out in this Communication, aiming to address the EU agri-food R&amp;I ecosystem in a systemic and cross-cutting manner</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 xml:space="preserve">These frameworks are </w:t>
      </w:r>
      <w:r>
        <w:rPr>
          <w:rFonts w:ascii="Times New Roman" w:hAnsi="Times New Roman" w:cs="Times New Roman"/>
          <w:b/>
          <w:bCs/>
          <w:noProof/>
          <w:sz w:val="24"/>
          <w:szCs w:val="24"/>
          <w:lang w:val="en-GB"/>
        </w:rPr>
        <w:t>AgRI 2040</w:t>
      </w:r>
      <w:r>
        <w:rPr>
          <w:rFonts w:ascii="Times New Roman" w:hAnsi="Times New Roman" w:cs="Times New Roman"/>
          <w:noProof/>
          <w:sz w:val="24"/>
          <w:szCs w:val="24"/>
          <w:lang w:val="en-GB"/>
        </w:rPr>
        <w:t xml:space="preserve">, focusing on agriculture, forestry and rural areas, and </w:t>
      </w:r>
      <w:r>
        <w:rPr>
          <w:rFonts w:ascii="Times New Roman" w:hAnsi="Times New Roman" w:cs="Times New Roman"/>
          <w:b/>
          <w:bCs/>
          <w:noProof/>
          <w:sz w:val="24"/>
          <w:szCs w:val="24"/>
          <w:lang w:val="en-GB"/>
        </w:rPr>
        <w:t>Food 2040</w:t>
      </w:r>
      <w:r>
        <w:rPr>
          <w:rFonts w:ascii="Times New Roman" w:hAnsi="Times New Roman" w:cs="Times New Roman"/>
          <w:noProof/>
          <w:sz w:val="24"/>
          <w:szCs w:val="24"/>
          <w:lang w:val="en-GB"/>
        </w:rPr>
        <w:t xml:space="preserve">, focusing on food systems, including fisheries and aquaculture. </w:t>
      </w:r>
      <w:bookmarkEnd w:id="2"/>
      <w:r>
        <w:rPr>
          <w:rFonts w:ascii="Times New Roman" w:hAnsi="Times New Roman" w:cs="Times New Roman"/>
          <w:noProof/>
          <w:sz w:val="24"/>
          <w:szCs w:val="24"/>
          <w:lang w:val="en-GB"/>
        </w:rPr>
        <w:t xml:space="preserve">This Communication </w:t>
      </w:r>
      <w:r>
        <w:rPr>
          <w:rFonts w:ascii="Times New Roman" w:hAnsi="Times New Roman" w:cs="Times New Roman"/>
          <w:noProof/>
          <w:sz w:val="24"/>
          <w:szCs w:val="24"/>
          <w:lang w:val="en-IE"/>
        </w:rPr>
        <w:t>draws</w:t>
      </w:r>
      <w:r>
        <w:rPr>
          <w:rFonts w:ascii="Times New Roman" w:hAnsi="Times New Roman"/>
          <w:noProof/>
          <w:sz w:val="24"/>
          <w:szCs w:val="24"/>
          <w:lang w:val="en-IE"/>
        </w:rPr>
        <w:t xml:space="preserve"> on </w:t>
      </w:r>
      <w:r>
        <w:rPr>
          <w:rFonts w:ascii="Times New Roman" w:hAnsi="Times New Roman" w:cs="Times New Roman"/>
          <w:noProof/>
          <w:sz w:val="24"/>
          <w:szCs w:val="24"/>
          <w:lang w:val="en-IE"/>
        </w:rPr>
        <w:t xml:space="preserve">insights </w:t>
      </w:r>
      <w:r>
        <w:rPr>
          <w:rFonts w:ascii="Times New Roman" w:hAnsi="Times New Roman" w:cs="Times New Roman"/>
          <w:noProof/>
          <w:sz w:val="24"/>
          <w:szCs w:val="24"/>
          <w:lang w:val="en-GB"/>
        </w:rPr>
        <w:t xml:space="preserve">from the </w:t>
      </w:r>
      <w:hyperlink r:id="rId25" w:history="1">
        <w:r>
          <w:rPr>
            <w:rStyle w:val="Hyperlink"/>
            <w:rFonts w:ascii="Times New Roman" w:hAnsi="Times New Roman" w:cs="Times New Roman"/>
            <w:noProof/>
            <w:sz w:val="24"/>
            <w:szCs w:val="24"/>
            <w:lang w:val="en-GB"/>
          </w:rPr>
          <w:t>public consultations supporting AgRI 2040</w:t>
        </w:r>
      </w:hyperlink>
      <w:r>
        <w:rPr>
          <w:rFonts w:ascii="Times New Roman" w:hAnsi="Times New Roman" w:cs="Times New Roman"/>
          <w:noProof/>
          <w:sz w:val="24"/>
          <w:szCs w:val="24"/>
          <w:lang w:val="en-GB"/>
        </w:rPr>
        <w:t xml:space="preserve"> and </w:t>
      </w:r>
      <w:hyperlink r:id="rId26" w:history="1">
        <w:r>
          <w:rPr>
            <w:rStyle w:val="Hyperlink"/>
            <w:rFonts w:ascii="Times New Roman" w:hAnsi="Times New Roman" w:cs="Times New Roman"/>
            <w:noProof/>
            <w:sz w:val="24"/>
            <w:szCs w:val="24"/>
            <w:lang w:val="en-GB"/>
          </w:rPr>
          <w:t>Food 2040</w:t>
        </w:r>
      </w:hyperlink>
      <w:r>
        <w:rPr>
          <w:rFonts w:ascii="Times New Roman" w:hAnsi="Times New Roman" w:cs="Times New Roman"/>
          <w:noProof/>
          <w:sz w:val="24"/>
          <w:szCs w:val="24"/>
          <w:lang w:val="en-GB"/>
        </w:rPr>
        <w:t xml:space="preserve"> as summarized in the Staff Working Document</w:t>
      </w:r>
      <w:r>
        <w:rPr>
          <w:rStyle w:val="FootnoteReference"/>
          <w:rFonts w:ascii="Times New Roman" w:hAnsi="Times New Roman" w:cs="Times New Roman"/>
          <w:noProof/>
          <w:sz w:val="24"/>
          <w:szCs w:val="24"/>
          <w:lang w:val="en-GB"/>
        </w:rPr>
        <w:footnoteReference w:id="9"/>
      </w:r>
      <w:r>
        <w:rPr>
          <w:rFonts w:ascii="Times New Roman" w:hAnsi="Times New Roman" w:cs="Times New Roman"/>
          <w:noProof/>
          <w:sz w:val="24"/>
          <w:szCs w:val="24"/>
          <w:lang w:val="en-GB"/>
        </w:rPr>
        <w:t xml:space="preserve">. Common thematic issues across both frameworks will be addressed jointly. More specific areas of actions </w:t>
      </w:r>
      <w:r>
        <w:rPr>
          <w:rFonts w:ascii="Times New Roman" w:hAnsi="Times New Roman" w:cs="Times New Roman"/>
          <w:noProof/>
          <w:sz w:val="24"/>
          <w:szCs w:val="24"/>
          <w:lang w:val="en-IE"/>
        </w:rPr>
        <w:t xml:space="preserve">will be identified under </w:t>
      </w:r>
      <w:r>
        <w:rPr>
          <w:rFonts w:ascii="Times New Roman" w:hAnsi="Times New Roman" w:cs="Times New Roman"/>
          <w:noProof/>
          <w:sz w:val="24"/>
          <w:szCs w:val="24"/>
          <w:lang w:val="en-GB"/>
        </w:rPr>
        <w:t>AgRI 2040</w:t>
      </w:r>
      <w:r>
        <w:rPr>
          <w:rFonts w:ascii="Times New Roman" w:hAnsi="Times New Roman" w:cs="Times New Roman"/>
          <w:noProof/>
          <w:sz w:val="24"/>
          <w:szCs w:val="24"/>
          <w:lang w:val="en-IE"/>
        </w:rPr>
        <w:t xml:space="preserve"> and Food 2040 focusing </w:t>
      </w:r>
      <w:r>
        <w:rPr>
          <w:rFonts w:ascii="Times New Roman" w:hAnsi="Times New Roman" w:cs="Times New Roman"/>
          <w:noProof/>
          <w:sz w:val="24"/>
          <w:szCs w:val="24"/>
          <w:lang w:val="en-IE"/>
        </w:rPr>
        <w:lastRenderedPageBreak/>
        <w:t>on high-level policy orientations without prejudging the implementation of the next multiannual financial frameworks (MFF).</w:t>
      </w:r>
    </w:p>
    <w:p>
      <w:pPr>
        <w:rPr>
          <w:noProof/>
          <w:lang w:val="en-GB"/>
        </w:rPr>
      </w:pPr>
      <w:bookmarkStart w:id="4" w:name="_Toc232778782"/>
      <w:bookmarkStart w:id="5" w:name="_Hlk232142081"/>
      <w:bookmarkEnd w:id="3"/>
      <w:r>
        <w:rPr>
          <w:rFonts w:ascii="Times New Roman" w:hAnsi="Times New Roman" w:cs="Times New Roman"/>
          <w:b/>
          <w:noProof/>
          <w:sz w:val="24"/>
          <w:szCs w:val="24"/>
          <w:lang w:val="en-GB"/>
        </w:rPr>
        <w:t>2. SHAPING A THRIVING AND INTERCONNECTED EU RESEARCH AND INNOVATION ECOSYSTEM</w:t>
      </w:r>
      <w:bookmarkEnd w:id="4"/>
    </w:p>
    <w:p>
      <w:pPr>
        <w:pStyle w:val="Heading1"/>
        <w:jc w:val="both"/>
        <w:rPr>
          <w:rStyle w:val="HeadingSA2Char"/>
          <w:rFonts w:eastAsiaTheme="minorHAnsi"/>
          <w:noProof/>
          <w:color w:val="auto"/>
          <w:lang w:val="en-US"/>
        </w:rPr>
      </w:pPr>
      <w:bookmarkStart w:id="6" w:name="_Toc226977838"/>
      <w:bookmarkStart w:id="7" w:name="_Toc232778783"/>
      <w:r>
        <w:rPr>
          <w:rStyle w:val="HeadingSA2Char"/>
          <w:noProof/>
          <w:color w:val="auto"/>
          <w:lang w:val="en-US"/>
        </w:rPr>
        <w:t xml:space="preserve">2.1. Closing the gap ‘from lab </w:t>
      </w:r>
      <w:bookmarkEnd w:id="6"/>
      <w:r>
        <w:rPr>
          <w:rStyle w:val="HeadingSA2Char"/>
          <w:noProof/>
          <w:color w:val="auto"/>
          <w:lang w:val="en-US"/>
        </w:rPr>
        <w:t>to </w:t>
      </w:r>
      <w:bookmarkEnd w:id="7"/>
      <w:r>
        <w:rPr>
          <w:rStyle w:val="HeadingSA2Char"/>
          <w:noProof/>
          <w:color w:val="auto"/>
          <w:lang w:val="en-US"/>
        </w:rPr>
        <w:t>fab’</w:t>
      </w:r>
    </w:p>
    <w:p>
      <w:pPr>
        <w:spacing w:line="276" w:lineRule="auto"/>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 xml:space="preserve">A strong innovation-based ecosystem is essential to the competitiveness, resilience and sustainability of the agri-food sector. </w:t>
      </w:r>
      <w:r>
        <w:rPr>
          <w:rFonts w:ascii="Times New Roman" w:hAnsi="Times New Roman" w:cs="Times New Roman"/>
          <w:noProof/>
          <w:sz w:val="24"/>
          <w:szCs w:val="24"/>
          <w:lang w:val="en-IE"/>
        </w:rPr>
        <w:t>It relies on open, fair, and collaborative interconnectedness across the different segments of the value chain, and from farmers to consumers.</w:t>
      </w:r>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Europe generates high-quality scientific knowledge in agriculture and food systems. However, its competitiveness is hindered by insufficient private investment in R&amp;I</w:t>
      </w:r>
      <w:r>
        <w:rPr>
          <w:rFonts w:ascii="Times New Roman" w:hAnsi="Times New Roman" w:cs="Times New Roman"/>
          <w:noProof/>
          <w:sz w:val="24"/>
          <w:szCs w:val="24"/>
          <w:vertAlign w:val="superscript"/>
          <w:lang w:val="en-GB"/>
        </w:rPr>
        <w:footnoteReference w:id="10"/>
      </w:r>
      <w:r>
        <w:rPr>
          <w:rFonts w:ascii="Times New Roman" w:hAnsi="Times New Roman" w:cs="Times New Roman"/>
          <w:noProof/>
          <w:sz w:val="24"/>
          <w:szCs w:val="24"/>
          <w:lang w:val="en-GB"/>
        </w:rPr>
        <w:t xml:space="preserve"> and </w:t>
      </w:r>
      <w:r>
        <w:rPr>
          <w:rFonts w:ascii="Times New Roman" w:hAnsi="Times New Roman" w:cs="Times New Roman"/>
          <w:noProof/>
          <w:sz w:val="24"/>
          <w:szCs w:val="24"/>
          <w:lang w:val="en-IE"/>
        </w:rPr>
        <w:t>the</w:t>
      </w:r>
      <w:r>
        <w:rPr>
          <w:rFonts w:ascii="Times New Roman" w:hAnsi="Times New Roman" w:cs="Times New Roman"/>
          <w:b/>
          <w:bCs/>
          <w:noProof/>
          <w:sz w:val="24"/>
          <w:szCs w:val="24"/>
          <w:lang w:val="en-IE"/>
        </w:rPr>
        <w:t xml:space="preserve"> slow development of </w:t>
      </w:r>
      <w:r>
        <w:rPr>
          <w:rFonts w:ascii="Times New Roman" w:hAnsi="Times New Roman" w:cs="Times New Roman"/>
          <w:b/>
          <w:bCs/>
          <w:noProof/>
          <w:sz w:val="24"/>
          <w:szCs w:val="24"/>
          <w:lang w:val="en-GB"/>
        </w:rPr>
        <w:t>early-stage research results into commercial opportunities.</w:t>
      </w:r>
      <w:r>
        <w:rPr>
          <w:rFonts w:ascii="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rPr>
        <w:t>The predominance of SMEs, limited investment capacity, and a high labour intensity are additional constraints</w:t>
      </w:r>
      <w:r>
        <w:rPr>
          <w:rFonts w:ascii="Times New Roman" w:hAnsi="Times New Roman" w:cs="Times New Roman"/>
          <w:noProof/>
          <w:sz w:val="24"/>
          <w:szCs w:val="24"/>
          <w:lang w:val="en-GB"/>
        </w:rPr>
        <w:t xml:space="preserve"> on commercialisation specific to agriculture, forestry and food systems</w:t>
      </w:r>
      <w:r>
        <w:rPr>
          <w:rStyle w:val="FootnoteReference"/>
          <w:rFonts w:ascii="Times New Roman" w:hAnsi="Times New Roman" w:cs="Times New Roman"/>
          <w:noProof/>
          <w:sz w:val="24"/>
          <w:szCs w:val="24"/>
          <w:lang w:val="en-GB"/>
        </w:rPr>
        <w:footnoteReference w:id="11"/>
      </w:r>
      <w:r>
        <w:rPr>
          <w:rFonts w:ascii="Times New Roman" w:hAnsi="Times New Roman" w:cs="Times New Roman"/>
          <w:noProof/>
          <w:sz w:val="24"/>
          <w:szCs w:val="24"/>
          <w:lang w:val="en-GB"/>
        </w:rPr>
        <w:t xml:space="preserve">. </w:t>
      </w:r>
    </w:p>
    <w:p>
      <w:pPr>
        <w:spacing w:line="276" w:lineRule="auto"/>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Innovative SMEs and startups</w:t>
      </w:r>
      <w:r>
        <w:rPr>
          <w:rStyle w:val="FootnoteReference"/>
          <w:rFonts w:ascii="Times New Roman" w:hAnsi="Times New Roman" w:cs="Times New Roman"/>
          <w:noProof/>
          <w:sz w:val="24"/>
          <w:szCs w:val="24"/>
          <w:lang w:val="en-GB"/>
        </w:rPr>
        <w:footnoteReference w:id="12"/>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 xml:space="preserve">in the agri-food sector </w:t>
      </w:r>
      <w:r>
        <w:rPr>
          <w:rFonts w:ascii="Times New Roman" w:hAnsi="Times New Roman" w:cs="Times New Roman"/>
          <w:noProof/>
          <w:sz w:val="24"/>
          <w:szCs w:val="24"/>
          <w:lang w:val="en-GB"/>
        </w:rPr>
        <w:t>are well placed to develop, adapt and scale up solutions across different contexts. At the same time, their</w:t>
      </w:r>
      <w:r>
        <w:rPr>
          <w:rFonts w:ascii="Times New Roman" w:hAnsi="Times New Roman" w:cs="Times New Roman"/>
          <w:b/>
          <w:bCs/>
          <w:noProof/>
          <w:sz w:val="24"/>
          <w:szCs w:val="24"/>
          <w:lang w:val="en-GB"/>
        </w:rPr>
        <w:t xml:space="preserve"> participation in Horizon Europe </w:t>
      </w:r>
      <w:r>
        <w:rPr>
          <w:rFonts w:ascii="Times New Roman" w:hAnsi="Times New Roman" w:cs="Times New Roman"/>
          <w:noProof/>
          <w:sz w:val="24"/>
          <w:szCs w:val="24"/>
          <w:lang w:val="en-GB"/>
        </w:rPr>
        <w:t>projects and the valorisation of project results remain limited</w:t>
      </w:r>
      <w:r>
        <w:rPr>
          <w:rStyle w:val="FootnoteReference"/>
          <w:rFonts w:ascii="Times New Roman" w:hAnsi="Times New Roman" w:cs="Times New Roman"/>
          <w:noProof/>
          <w:sz w:val="24"/>
          <w:szCs w:val="24"/>
          <w:lang w:val="en-GB"/>
        </w:rPr>
        <w:footnoteReference w:id="13"/>
      </w:r>
      <w:r>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IE"/>
        </w:rPr>
        <w:t>Fragmented funding</w:t>
      </w:r>
      <w:r>
        <w:rPr>
          <w:rFonts w:ascii="Times New Roman" w:hAnsi="Times New Roman" w:cs="Times New Roman"/>
          <w:noProof/>
          <w:sz w:val="24"/>
          <w:szCs w:val="24"/>
          <w:vertAlign w:val="superscript"/>
          <w:lang w:val="en-IE"/>
        </w:rPr>
        <w:t>10</w:t>
      </w:r>
      <w:r>
        <w:rPr>
          <w:rFonts w:ascii="Times New Roman" w:hAnsi="Times New Roman" w:cs="Times New Roman"/>
          <w:noProof/>
          <w:sz w:val="24"/>
          <w:szCs w:val="24"/>
          <w:lang w:val="en-IE"/>
        </w:rPr>
        <w:t>,</w:t>
      </w:r>
      <w:r>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IE"/>
        </w:rPr>
        <w:t>regulatory complexity</w:t>
      </w:r>
      <w:r>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IE"/>
        </w:rPr>
        <w:t xml:space="preserve">and insufficient support at higher technology readiness levels (TRLs) </w:t>
      </w:r>
      <w:r>
        <w:rPr>
          <w:rFonts w:ascii="Times New Roman" w:hAnsi="Times New Roman" w:cs="Times New Roman"/>
          <w:b/>
          <w:bCs/>
          <w:noProof/>
          <w:sz w:val="24"/>
          <w:szCs w:val="24"/>
          <w:lang w:val="en-IE"/>
        </w:rPr>
        <w:t>remain key barriers to turning research results into market-ready products and services also in the agri-food sector</w:t>
      </w:r>
      <w:r>
        <w:rPr>
          <w:rFonts w:ascii="Times New Roman" w:hAnsi="Times New Roman" w:cs="Times New Roman"/>
          <w:b/>
          <w:bCs/>
          <w:noProof/>
          <w:sz w:val="24"/>
          <w:szCs w:val="24"/>
          <w:lang w:val="en-GB"/>
        </w:rPr>
        <w:t xml:space="preserve">. </w:t>
      </w:r>
    </w:p>
    <w:p>
      <w:pPr>
        <w:spacing w:line="276"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This section proposes actions to strengthen the R&amp;I ecosystem</w:t>
      </w:r>
      <w:r>
        <w:rPr>
          <w:rFonts w:ascii="Times New Roman" w:hAnsi="Times New Roman" w:cs="Times New Roman"/>
          <w:noProof/>
          <w:sz w:val="24"/>
          <w:szCs w:val="24"/>
          <w:lang w:val="en-GB"/>
        </w:rPr>
        <w:t xml:space="preserve">, from early-stage innovation to market deployment, by leveraging research results and supporting market uptake and the growth of startups in the EU agri-food sector, in line with the </w:t>
      </w:r>
      <w:hyperlink r:id="rId27" w:history="1">
        <w:r>
          <w:rPr>
            <w:rStyle w:val="Hyperlink"/>
            <w:rFonts w:ascii="Times New Roman" w:hAnsi="Times New Roman" w:cs="Times New Roman"/>
            <w:noProof/>
            <w:sz w:val="24"/>
            <w:szCs w:val="24"/>
            <w:lang w:val="en-GB"/>
          </w:rPr>
          <w:t>EU startup and scaleup strategy</w:t>
        </w:r>
      </w:hyperlink>
      <w:r>
        <w:rPr>
          <w:rFonts w:ascii="Times New Roman" w:hAnsi="Times New Roman" w:cs="Times New Roman"/>
          <w:noProof/>
          <w:sz w:val="24"/>
          <w:szCs w:val="24"/>
          <w:lang w:val="en-GB"/>
        </w:rPr>
        <w:t xml:space="preserve">. It </w:t>
      </w:r>
      <w:r>
        <w:rPr>
          <w:rFonts w:ascii="Times New Roman" w:hAnsi="Times New Roman" w:cs="Times New Roman"/>
          <w:noProof/>
          <w:sz w:val="24"/>
          <w:szCs w:val="24"/>
          <w:lang w:val="en-IE"/>
        </w:rPr>
        <w:t>draws</w:t>
      </w:r>
      <w:r>
        <w:rPr>
          <w:rFonts w:ascii="Times New Roman" w:hAnsi="Times New Roman"/>
          <w:noProof/>
          <w:sz w:val="24"/>
          <w:szCs w:val="24"/>
          <w:lang w:val="en-IE"/>
        </w:rPr>
        <w:t xml:space="preserve"> on </w:t>
      </w:r>
      <w:r>
        <w:rPr>
          <w:rFonts w:ascii="Times New Roman" w:hAnsi="Times New Roman" w:cs="Times New Roman"/>
          <w:noProof/>
          <w:sz w:val="24"/>
          <w:szCs w:val="24"/>
          <w:lang w:val="en-IE"/>
        </w:rPr>
        <w:t xml:space="preserve">insights </w:t>
      </w:r>
      <w:r>
        <w:rPr>
          <w:rFonts w:ascii="Times New Roman" w:hAnsi="Times New Roman" w:cs="Times New Roman"/>
          <w:noProof/>
          <w:sz w:val="24"/>
          <w:szCs w:val="24"/>
          <w:lang w:val="en-GB"/>
        </w:rPr>
        <w:t xml:space="preserve">from the public consultation supporting AgRI 2040 and Food 2040, as well as feedback from stakeholders and Member States, including contributions from the </w:t>
      </w:r>
      <w:hyperlink r:id="rId28" w:history="1">
        <w:r>
          <w:rPr>
            <w:rStyle w:val="Hyperlink"/>
            <w:rFonts w:ascii="Times New Roman" w:hAnsi="Times New Roman" w:cs="Times New Roman"/>
            <w:noProof/>
            <w:sz w:val="24"/>
            <w:szCs w:val="24"/>
            <w:lang w:val="en-GB"/>
          </w:rPr>
          <w:t>Task Force on Startup and Scaleup of the Standing Committee for Agriculture and Research (SCAR)</w:t>
        </w:r>
      </w:hyperlink>
      <w:r>
        <w:rPr>
          <w:rFonts w:ascii="Times New Roman" w:hAnsi="Times New Roman" w:cs="Times New Roman"/>
          <w:noProof/>
          <w:sz w:val="24"/>
          <w:szCs w:val="24"/>
          <w:lang w:val="en-GB"/>
        </w:rPr>
        <w:t xml:space="preserve">. </w:t>
      </w:r>
    </w:p>
    <w:p>
      <w:pPr>
        <w:spacing w:after="120" w:line="276" w:lineRule="auto"/>
        <w:jc w:val="both"/>
        <w:rPr>
          <w:rFonts w:ascii="Times New Roman" w:hAnsi="Times New Roman" w:cs="Times New Roman"/>
          <w:b/>
          <w:bCs/>
          <w:i/>
          <w:iCs/>
          <w:noProof/>
          <w:sz w:val="24"/>
          <w:szCs w:val="24"/>
          <w:lang w:val="en-GB"/>
        </w:rPr>
      </w:pPr>
      <w:bookmarkStart w:id="8" w:name="_Toc226977839"/>
    </w:p>
    <w:p>
      <w:pPr>
        <w:spacing w:after="120" w:line="276" w:lineRule="auto"/>
        <w:jc w:val="both"/>
        <w:rPr>
          <w:rFonts w:ascii="Times New Roman" w:hAnsi="Times New Roman" w:cs="Times New Roman"/>
          <w:b/>
          <w:bCs/>
          <w:i/>
          <w:iCs/>
          <w:noProof/>
          <w:sz w:val="24"/>
          <w:szCs w:val="24"/>
          <w:lang w:val="en-GB"/>
        </w:rPr>
      </w:pPr>
    </w:p>
    <w:p>
      <w:pPr>
        <w:spacing w:after="120" w:line="276" w:lineRule="auto"/>
        <w:jc w:val="both"/>
        <w:rPr>
          <w:rFonts w:ascii="Times New Roman" w:hAnsi="Times New Roman" w:cs="Times New Roman"/>
          <w:b/>
          <w:bCs/>
          <w:i/>
          <w:iCs/>
          <w:noProof/>
          <w:sz w:val="24"/>
          <w:szCs w:val="24"/>
          <w:lang w:val="en-GB"/>
        </w:rPr>
      </w:pPr>
      <w:r>
        <w:rPr>
          <w:rFonts w:ascii="Times New Roman" w:hAnsi="Times New Roman" w:cs="Times New Roman"/>
          <w:b/>
          <w:bCs/>
          <w:i/>
          <w:iCs/>
          <w:noProof/>
          <w:sz w:val="24"/>
          <w:szCs w:val="24"/>
          <w:lang w:val="en-GB"/>
        </w:rPr>
        <w:lastRenderedPageBreak/>
        <w:t>Fostering investments and valorisation of R&amp;I</w:t>
      </w:r>
      <w:bookmarkEnd w:id="8"/>
      <w:r>
        <w:rPr>
          <w:rFonts w:ascii="Times New Roman" w:hAnsi="Times New Roman" w:cs="Times New Roman"/>
          <w:b/>
          <w:bCs/>
          <w:i/>
          <w:iCs/>
          <w:noProof/>
          <w:sz w:val="24"/>
          <w:szCs w:val="24"/>
          <w:lang w:val="en-GB"/>
        </w:rPr>
        <w:t> results in the agri-food sector</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Commission seeks to make </w:t>
      </w:r>
      <w:r>
        <w:rPr>
          <w:rFonts w:ascii="Times New Roman" w:hAnsi="Times New Roman" w:cs="Times New Roman"/>
          <w:b/>
          <w:bCs/>
          <w:noProof/>
          <w:sz w:val="24"/>
          <w:szCs w:val="24"/>
          <w:lang w:val="en-GB"/>
        </w:rPr>
        <w:t xml:space="preserve">EU-funded R&amp;I projects more business-oriented </w:t>
      </w:r>
      <w:r>
        <w:rPr>
          <w:rFonts w:ascii="Times New Roman" w:hAnsi="Times New Roman" w:cs="Times New Roman"/>
          <w:noProof/>
          <w:sz w:val="24"/>
          <w:szCs w:val="24"/>
          <w:lang w:val="en-GB"/>
        </w:rPr>
        <w:t xml:space="preserve">by introducing appropriate elements into calls for proposals, increasing the involvement of private sector and market experts in the evaluation of proposals, and incentivising the valorisation and exploitation of R&amp;I results. Without prejudging the ongoing MFF negotiations and the implementation of future EU funding programmes, the Commission will explore </w:t>
      </w:r>
      <w:bookmarkStart w:id="9" w:name="_Int_sPQ3NQsO"/>
      <w:r>
        <w:rPr>
          <w:rFonts w:ascii="Times New Roman" w:hAnsi="Times New Roman" w:cs="Times New Roman"/>
          <w:b/>
          <w:bCs/>
          <w:noProof/>
          <w:sz w:val="24"/>
          <w:szCs w:val="24"/>
          <w:lang w:val="en-IE"/>
        </w:rPr>
        <w:t>ways to lower entry barriers and increase SME</w:t>
      </w:r>
      <w:r>
        <w:rPr>
          <w:rFonts w:ascii="Times New Roman" w:hAnsi="Times New Roman" w:cs="Times New Roman"/>
          <w:noProof/>
          <w:sz w:val="24"/>
          <w:szCs w:val="24"/>
          <w:lang w:val="en-IE"/>
        </w:rPr>
        <w:t xml:space="preserve"> </w:t>
      </w:r>
      <w:bookmarkEnd w:id="9"/>
      <w:r>
        <w:rPr>
          <w:rFonts w:ascii="Times New Roman" w:hAnsi="Times New Roman" w:cs="Times New Roman"/>
          <w:b/>
          <w:bCs/>
          <w:noProof/>
          <w:sz w:val="24"/>
          <w:szCs w:val="24"/>
          <w:lang w:val="en-GB"/>
        </w:rPr>
        <w:t>and startup participation in Horizon Europe projects.</w:t>
      </w:r>
      <w:r>
        <w:rPr>
          <w:rFonts w:ascii="Times New Roman" w:hAnsi="Times New Roman" w:cs="Times New Roman"/>
          <w:noProof/>
          <w:sz w:val="24"/>
          <w:szCs w:val="24"/>
          <w:lang w:val="en-GB"/>
        </w:rPr>
        <w:t xml:space="preserve"> These mechanisms could include the greater use, visibility and accessibility of cascade funding</w:t>
      </w:r>
      <w:r>
        <w:rPr>
          <w:rStyle w:val="FootnoteReference"/>
          <w:rFonts w:ascii="Times New Roman" w:hAnsi="Times New Roman" w:cs="Times New Roman"/>
          <w:noProof/>
          <w:sz w:val="24"/>
          <w:szCs w:val="24"/>
          <w:lang w:val="en-GB"/>
        </w:rPr>
        <w:footnoteReference w:id="14"/>
      </w:r>
      <w:r>
        <w:rPr>
          <w:rFonts w:ascii="Times New Roman" w:hAnsi="Times New Roman" w:cs="Times New Roman"/>
          <w:noProof/>
          <w:sz w:val="24"/>
          <w:szCs w:val="24"/>
          <w:lang w:val="en-GB"/>
        </w:rPr>
        <w:t xml:space="preserve"> and other simplified administrative procedures, and stronger support to build consortia.</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Commission will </w:t>
      </w:r>
      <w:r>
        <w:rPr>
          <w:rFonts w:ascii="Times New Roman" w:hAnsi="Times New Roman" w:cs="Times New Roman"/>
          <w:b/>
          <w:bCs/>
          <w:noProof/>
          <w:sz w:val="24"/>
          <w:szCs w:val="24"/>
          <w:lang w:val="en-GB"/>
        </w:rPr>
        <w:t>manage the</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portfolio of R&amp;I funded projects</w:t>
      </w:r>
      <w:r>
        <w:rPr>
          <w:rFonts w:ascii="Times New Roman" w:hAnsi="Times New Roman" w:cs="Times New Roman"/>
          <w:noProof/>
          <w:sz w:val="24"/>
          <w:szCs w:val="24"/>
          <w:lang w:val="en-GB"/>
        </w:rPr>
        <w:t xml:space="preserve"> in the agri-food sector so that it takes into account more explicitly a higher level of technological development</w:t>
      </w:r>
      <w:r>
        <w:rPr>
          <w:rStyle w:val="FootnoteReference"/>
          <w:rFonts w:ascii="Times New Roman" w:hAnsi="Times New Roman" w:cs="Times New Roman"/>
          <w:noProof/>
          <w:sz w:val="24"/>
          <w:szCs w:val="24"/>
          <w:lang w:val="en-GB"/>
        </w:rPr>
        <w:footnoteReference w:id="15"/>
      </w:r>
      <w:r>
        <w:rPr>
          <w:rFonts w:ascii="Times New Roman" w:hAnsi="Times New Roman" w:cs="Times New Roman"/>
          <w:noProof/>
          <w:sz w:val="24"/>
          <w:szCs w:val="24"/>
          <w:lang w:val="en-GB"/>
        </w:rPr>
        <w:t xml:space="preserve">, combining assessments of innovation maturity with targeted support </w:t>
      </w:r>
      <w:r>
        <w:rPr>
          <w:rFonts w:ascii="Times New Roman" w:hAnsi="Times New Roman" w:cs="Times New Roman"/>
          <w:noProof/>
          <w:sz w:val="24"/>
          <w:szCs w:val="24"/>
          <w:lang w:val="en-IE"/>
        </w:rPr>
        <w:t xml:space="preserve">tailored to </w:t>
      </w:r>
      <w:r>
        <w:rPr>
          <w:rFonts w:ascii="Times New Roman" w:hAnsi="Times New Roman" w:cs="Times New Roman"/>
          <w:noProof/>
          <w:sz w:val="24"/>
          <w:szCs w:val="24"/>
          <w:lang w:val="en-GB"/>
        </w:rPr>
        <w:t xml:space="preserve">each stage of development. </w:t>
      </w:r>
    </w:p>
    <w:p>
      <w:pPr>
        <w:spacing w:after="120" w:line="276" w:lineRule="auto"/>
        <w:jc w:val="both"/>
        <w:rPr>
          <w:rFonts w:ascii="Times New Roman" w:hAnsi="Times New Roman" w:cs="Times New Roman"/>
          <w:noProof/>
          <w:color w:val="000000" w:themeColor="text1"/>
          <w:sz w:val="24"/>
          <w:szCs w:val="24"/>
          <w:lang w:val="en-IE"/>
        </w:rPr>
      </w:pPr>
      <w:r>
        <w:rPr>
          <w:rFonts w:ascii="Times New Roman" w:hAnsi="Times New Roman" w:cs="Times New Roman"/>
          <w:noProof/>
          <w:sz w:val="24"/>
          <w:szCs w:val="24"/>
          <w:lang w:val="en-GB"/>
        </w:rPr>
        <w:t xml:space="preserve">It will explore the </w:t>
      </w:r>
      <w:r>
        <w:rPr>
          <w:rFonts w:ascii="Times New Roman" w:hAnsi="Times New Roman" w:cs="Times New Roman"/>
          <w:b/>
          <w:bCs/>
          <w:noProof/>
          <w:sz w:val="24"/>
          <w:szCs w:val="24"/>
          <w:lang w:val="en-GB"/>
        </w:rPr>
        <w:t>development of scale-up pathways</w:t>
      </w:r>
      <w:r>
        <w:rPr>
          <w:rStyle w:val="FootnoteReference"/>
          <w:rFonts w:ascii="Times New Roman" w:hAnsi="Times New Roman" w:cs="Times New Roman"/>
          <w:noProof/>
          <w:sz w:val="24"/>
          <w:szCs w:val="24"/>
          <w:lang w:val="en-GB"/>
        </w:rPr>
        <w:footnoteReference w:id="16"/>
      </w:r>
      <w:r>
        <w:rPr>
          <w:rFonts w:ascii="Times New Roman" w:hAnsi="Times New Roman" w:cs="Times New Roman"/>
          <w:b/>
          <w:bCs/>
          <w:noProof/>
          <w:sz w:val="24"/>
          <w:szCs w:val="24"/>
          <w:lang w:val="en-GB"/>
        </w:rPr>
        <w:t xml:space="preserve"> that link different sources of funding </w:t>
      </w:r>
      <w:r>
        <w:rPr>
          <w:rFonts w:ascii="Times New Roman" w:hAnsi="Times New Roman"/>
          <w:noProof/>
          <w:sz w:val="24"/>
          <w:szCs w:val="24"/>
          <w:lang w:val="en-IE"/>
        </w:rPr>
        <w:t xml:space="preserve">to support </w:t>
      </w:r>
      <w:r>
        <w:rPr>
          <w:rFonts w:ascii="Times New Roman" w:hAnsi="Times New Roman" w:cs="Times New Roman"/>
          <w:noProof/>
          <w:sz w:val="24"/>
          <w:szCs w:val="24"/>
          <w:lang w:val="en-IE"/>
        </w:rPr>
        <w:t>seamless</w:t>
      </w:r>
      <w:r>
        <w:rPr>
          <w:rFonts w:ascii="Times New Roman" w:hAnsi="Times New Roman"/>
          <w:noProof/>
          <w:sz w:val="24"/>
          <w:szCs w:val="24"/>
          <w:lang w:val="en-IE"/>
        </w:rPr>
        <w:t xml:space="preserve"> investment </w:t>
      </w:r>
      <w:r>
        <w:rPr>
          <w:rFonts w:ascii="Times New Roman" w:hAnsi="Times New Roman" w:cs="Times New Roman"/>
          <w:noProof/>
          <w:sz w:val="24"/>
          <w:szCs w:val="24"/>
          <w:lang w:val="en-GB"/>
        </w:rPr>
        <w:t xml:space="preserve">journeys in the agri-food sector. These endeavours will strengthen the proposed close links between Horizon Europe and </w:t>
      </w:r>
      <w:r>
        <w:rPr>
          <w:rFonts w:ascii="Times New Roman" w:hAnsi="Times New Roman" w:cs="Times New Roman"/>
          <w:noProof/>
          <w:color w:val="000000" w:themeColor="text1"/>
          <w:sz w:val="24"/>
          <w:szCs w:val="24"/>
          <w:lang w:val="en-GB"/>
        </w:rPr>
        <w:t>the future European Competitiveness Fund (ECF), while ensuring the possibility to use ECF InvestEU Instrument as a delivery tool.</w:t>
      </w:r>
      <w:r>
        <w:rPr>
          <w:noProof/>
          <w:lang w:val="en-IE"/>
        </w:rPr>
        <w:t xml:space="preserve"> </w:t>
      </w:r>
      <w:r>
        <w:rPr>
          <w:rFonts w:ascii="Times New Roman" w:hAnsi="Times New Roman" w:cs="Times New Roman"/>
          <w:noProof/>
          <w:color w:val="000000" w:themeColor="text1"/>
          <w:sz w:val="24"/>
          <w:szCs w:val="24"/>
          <w:lang w:val="en-IE"/>
        </w:rPr>
        <w:t>The objective is to accelerate commercialisation and strengthen agri-food innovation across the EU.</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color w:val="000000" w:themeColor="text1"/>
          <w:sz w:val="24"/>
          <w:szCs w:val="24"/>
          <w:lang w:val="en-IE"/>
        </w:rPr>
        <w:t xml:space="preserve">The Commission will also seek </w:t>
      </w:r>
      <w:r>
        <w:rPr>
          <w:rFonts w:ascii="Times New Roman" w:hAnsi="Times New Roman" w:cs="Times New Roman"/>
          <w:b/>
          <w:bCs/>
          <w:noProof/>
          <w:color w:val="000000" w:themeColor="text1"/>
          <w:sz w:val="24"/>
          <w:szCs w:val="24"/>
          <w:lang w:val="en-IE"/>
        </w:rPr>
        <w:t xml:space="preserve">stronger synergies with organisations </w:t>
      </w:r>
      <w:r>
        <w:rPr>
          <w:rFonts w:ascii="Times New Roman" w:hAnsi="Times New Roman" w:cs="Times New Roman"/>
          <w:b/>
          <w:bCs/>
          <w:noProof/>
          <w:color w:val="000000" w:themeColor="text1"/>
          <w:sz w:val="24"/>
          <w:szCs w:val="24"/>
          <w:lang w:val="en-GB"/>
        </w:rPr>
        <w:t xml:space="preserve">and platforms </w:t>
      </w:r>
      <w:r>
        <w:rPr>
          <w:rFonts w:ascii="Times New Roman" w:hAnsi="Times New Roman" w:cs="Times New Roman"/>
          <w:b/>
          <w:bCs/>
          <w:noProof/>
          <w:color w:val="000000" w:themeColor="text1"/>
          <w:sz w:val="24"/>
          <w:szCs w:val="24"/>
          <w:lang w:val="en-IE"/>
        </w:rPr>
        <w:t>that can support deployment</w:t>
      </w:r>
      <w:r>
        <w:rPr>
          <w:rFonts w:ascii="Times New Roman" w:hAnsi="Times New Roman" w:cs="Times New Roman"/>
          <w:noProof/>
          <w:color w:val="000000" w:themeColor="text1"/>
          <w:sz w:val="24"/>
          <w:szCs w:val="24"/>
          <w:lang w:val="en-IE"/>
        </w:rPr>
        <w:t xml:space="preserve">, including </w:t>
      </w:r>
      <w:hyperlink r:id="rId29" w:history="1">
        <w:r>
          <w:rPr>
            <w:rStyle w:val="Hyperlink"/>
            <w:rFonts w:ascii="Times New Roman" w:hAnsi="Times New Roman" w:cs="Times New Roman"/>
            <w:noProof/>
            <w:sz w:val="24"/>
            <w:szCs w:val="24"/>
            <w:lang w:val="en-IE"/>
          </w:rPr>
          <w:t>EIT (the European Institute of Innovation and Technology) Food</w:t>
        </w:r>
      </w:hyperlink>
      <w:r>
        <w:rPr>
          <w:rFonts w:ascii="Times New Roman" w:hAnsi="Times New Roman" w:cs="Times New Roman"/>
          <w:noProof/>
          <w:color w:val="000000" w:themeColor="text1"/>
          <w:sz w:val="24"/>
          <w:szCs w:val="24"/>
          <w:lang w:val="en-GB"/>
        </w:rPr>
        <w:t xml:space="preserve">, </w:t>
      </w:r>
      <w:hyperlink r:id="rId30" w:history="1">
        <w:r>
          <w:rPr>
            <w:rStyle w:val="Hyperlink"/>
            <w:rFonts w:ascii="Times New Roman" w:hAnsi="Times New Roman" w:cs="Times New Roman"/>
            <w:noProof/>
            <w:sz w:val="24"/>
            <w:szCs w:val="24"/>
            <w:lang w:val="en-GB"/>
          </w:rPr>
          <w:t>the European Innovation Council (EIC)</w:t>
        </w:r>
      </w:hyperlink>
      <w:r>
        <w:rPr>
          <w:rFonts w:ascii="Times New Roman" w:hAnsi="Times New Roman" w:cs="Times New Roman"/>
          <w:noProof/>
          <w:color w:val="000000" w:themeColor="text1"/>
          <w:sz w:val="24"/>
          <w:szCs w:val="24"/>
          <w:lang w:val="en-GB"/>
        </w:rPr>
        <w:t xml:space="preserve">, </w:t>
      </w:r>
      <w:hyperlink r:id="rId31" w:history="1">
        <w:r>
          <w:rPr>
            <w:rStyle w:val="Hyperlink"/>
            <w:rFonts w:ascii="Times New Roman" w:hAnsi="Times New Roman" w:cs="Times New Roman"/>
            <w:noProof/>
            <w:sz w:val="24"/>
            <w:szCs w:val="24"/>
            <w:lang w:val="en-GB"/>
          </w:rPr>
          <w:t>the Enterprise European Network</w:t>
        </w:r>
      </w:hyperlink>
      <w:r>
        <w:rPr>
          <w:rFonts w:ascii="Times New Roman" w:hAnsi="Times New Roman" w:cs="Times New Roman"/>
          <w:noProof/>
          <w:color w:val="000000" w:themeColor="text1"/>
          <w:sz w:val="24"/>
          <w:szCs w:val="24"/>
          <w:lang w:val="en-GB"/>
        </w:rPr>
        <w:t xml:space="preserve"> and its successor, the EU4Business Network, under the ECF, or European Technology Platforms (e.g. </w:t>
      </w:r>
      <w:hyperlink r:id="rId32" w:history="1">
        <w:r>
          <w:rPr>
            <w:rStyle w:val="Hyperlink"/>
            <w:rFonts w:ascii="Times New Roman" w:hAnsi="Times New Roman" w:cs="Times New Roman"/>
            <w:noProof/>
            <w:sz w:val="24"/>
            <w:szCs w:val="24"/>
            <w:lang w:val="en-GB"/>
          </w:rPr>
          <w:t>ETP Food for Life</w:t>
        </w:r>
      </w:hyperlink>
      <w:r>
        <w:rPr>
          <w:rFonts w:ascii="Times New Roman" w:hAnsi="Times New Roman" w:cs="Times New Roman"/>
          <w:noProof/>
          <w:color w:val="000000" w:themeColor="text1"/>
          <w:sz w:val="24"/>
          <w:szCs w:val="24"/>
          <w:lang w:val="en-GB"/>
        </w:rPr>
        <w:t>) to name a few.</w:t>
      </w:r>
    </w:p>
    <w:p>
      <w:pPr>
        <w:spacing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The EIC plays a central role in supporting breakthrough innovation. Additional ways to strengthen links between </w:t>
      </w:r>
      <w:r>
        <w:rPr>
          <w:rFonts w:ascii="Times New Roman" w:hAnsi="Times New Roman" w:cs="Times New Roman"/>
          <w:b/>
          <w:bCs/>
          <w:noProof/>
          <w:sz w:val="24"/>
          <w:szCs w:val="24"/>
          <w:lang w:val="en-GB"/>
        </w:rPr>
        <w:t>collaborative research projects</w:t>
      </w:r>
      <w:r>
        <w:rPr>
          <w:rFonts w:ascii="Times New Roman" w:hAnsi="Times New Roman" w:cs="Times New Roman"/>
          <w:noProof/>
          <w:sz w:val="24"/>
          <w:szCs w:val="24"/>
          <w:lang w:val="en-GB"/>
        </w:rPr>
        <w:t xml:space="preserve"> and </w:t>
      </w:r>
      <w:r>
        <w:rPr>
          <w:rFonts w:ascii="Times New Roman" w:hAnsi="Times New Roman" w:cs="Times New Roman"/>
          <w:b/>
          <w:bCs/>
          <w:noProof/>
          <w:sz w:val="24"/>
          <w:szCs w:val="24"/>
          <w:lang w:val="en-GB"/>
        </w:rPr>
        <w:t xml:space="preserve">EIC instruments </w:t>
      </w:r>
      <w:r>
        <w:rPr>
          <w:rFonts w:ascii="Times New Roman" w:hAnsi="Times New Roman" w:cs="Times New Roman"/>
          <w:noProof/>
          <w:sz w:val="24"/>
          <w:szCs w:val="24"/>
          <w:lang w:val="en-GB"/>
        </w:rPr>
        <w:t xml:space="preserve">will be promoted. The Commission will also explore a </w:t>
      </w:r>
      <w:r>
        <w:rPr>
          <w:rFonts w:ascii="Times New Roman" w:hAnsi="Times New Roman" w:cs="Times New Roman"/>
          <w:b/>
          <w:bCs/>
          <w:noProof/>
          <w:sz w:val="24"/>
          <w:szCs w:val="24"/>
          <w:lang w:val="en-GB"/>
        </w:rPr>
        <w:t>renewed fast-track-to-innovation scheme</w:t>
      </w:r>
      <w:r>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IE"/>
        </w:rPr>
        <w:t xml:space="preserve">featuring smaller consortia, shorter time-to-grant periods, higher TRLs and stronger participation of startups and other SMEs, farmers, foresters and industry. </w:t>
      </w:r>
    </w:p>
    <w:p>
      <w:pPr>
        <w:spacing w:after="12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A mechanism will also be created for the </w:t>
      </w:r>
      <w:r>
        <w:rPr>
          <w:rFonts w:ascii="Times New Roman" w:hAnsi="Times New Roman" w:cs="Times New Roman"/>
          <w:b/>
          <w:bCs/>
          <w:noProof/>
          <w:sz w:val="24"/>
          <w:szCs w:val="24"/>
          <w:lang w:val="en-IE"/>
        </w:rPr>
        <w:t>early identification of promising R&amp;I results</w:t>
      </w:r>
      <w:r>
        <w:rPr>
          <w:rFonts w:ascii="Times New Roman" w:hAnsi="Times New Roman" w:cs="Times New Roman"/>
          <w:noProof/>
          <w:sz w:val="24"/>
          <w:szCs w:val="24"/>
          <w:lang w:val="en-IE"/>
        </w:rPr>
        <w:t xml:space="preserve"> </w:t>
      </w:r>
      <w:r>
        <w:rPr>
          <w:rFonts w:ascii="Times New Roman" w:hAnsi="Times New Roman" w:cs="Times New Roman"/>
          <w:b/>
          <w:bCs/>
          <w:noProof/>
          <w:sz w:val="24"/>
          <w:szCs w:val="24"/>
          <w:lang w:val="en-IE"/>
        </w:rPr>
        <w:t>with commercial potential</w:t>
      </w:r>
      <w:r>
        <w:rPr>
          <w:rFonts w:ascii="Times New Roman" w:hAnsi="Times New Roman" w:cs="Times New Roman"/>
          <w:noProof/>
          <w:sz w:val="24"/>
          <w:szCs w:val="24"/>
          <w:lang w:val="en-IE"/>
        </w:rPr>
        <w:t>. The selected results could receive light-touch, rapid and flexible top up funding</w:t>
      </w:r>
      <w:r>
        <w:rPr>
          <w:noProof/>
          <w:lang w:val="en-IE"/>
        </w:rPr>
        <w:t xml:space="preserve"> </w:t>
      </w:r>
      <w:r>
        <w:rPr>
          <w:rFonts w:ascii="Times New Roman" w:hAnsi="Times New Roman" w:cs="Times New Roman"/>
          <w:noProof/>
          <w:sz w:val="24"/>
          <w:szCs w:val="24"/>
          <w:lang w:val="en-IE"/>
        </w:rPr>
        <w:t>to bridge the gap between research and early-stage market validation.</w:t>
      </w:r>
    </w:p>
    <w:p>
      <w:pPr>
        <w:spacing w:after="12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lastRenderedPageBreak/>
        <w:t xml:space="preserve">In order to support innovation actors such as researchers, innovators, entrepreneurs, start-ups and other SMEs, the Commission will explore complementary actions, such as </w:t>
      </w:r>
      <w:r>
        <w:rPr>
          <w:rFonts w:ascii="Times New Roman" w:hAnsi="Times New Roman" w:cs="Times New Roman"/>
          <w:b/>
          <w:noProof/>
          <w:sz w:val="24"/>
          <w:szCs w:val="24"/>
          <w:lang w:val="en-IE"/>
        </w:rPr>
        <w:t>innovation vouchers</w:t>
      </w:r>
      <w:r>
        <w:rPr>
          <w:rStyle w:val="FootnoteReference"/>
          <w:rFonts w:ascii="Times New Roman" w:hAnsi="Times New Roman" w:cs="Times New Roman"/>
          <w:bCs/>
          <w:noProof/>
          <w:sz w:val="24"/>
          <w:szCs w:val="24"/>
        </w:rPr>
        <w:footnoteReference w:id="17"/>
      </w:r>
      <w:r>
        <w:rPr>
          <w:rFonts w:ascii="Times New Roman" w:hAnsi="Times New Roman" w:cs="Times New Roman"/>
          <w:noProof/>
          <w:sz w:val="24"/>
          <w:szCs w:val="24"/>
          <w:lang w:val="en-IE"/>
        </w:rPr>
        <w:t>, to strengthen their collaboration with European, national and regional</w:t>
      </w:r>
      <w:r>
        <w:rPr>
          <w:rFonts w:ascii="Times New Roman" w:hAnsi="Times New Roman" w:cs="Times New Roman"/>
          <w:b/>
          <w:bCs/>
          <w:noProof/>
          <w:sz w:val="24"/>
          <w:szCs w:val="24"/>
          <w:lang w:val="en-IE"/>
        </w:rPr>
        <w:t xml:space="preserve"> incubators, accelerators, Living Labs</w:t>
      </w:r>
      <w:r>
        <w:rPr>
          <w:rStyle w:val="FootnoteReference"/>
          <w:rFonts w:ascii="Times New Roman" w:hAnsi="Times New Roman" w:cs="Times New Roman"/>
          <w:b/>
          <w:bCs/>
          <w:noProof/>
          <w:sz w:val="24"/>
          <w:szCs w:val="24"/>
          <w:lang w:val="en-IE"/>
        </w:rPr>
        <w:footnoteReference w:id="18"/>
      </w:r>
      <w:r>
        <w:rPr>
          <w:rFonts w:ascii="Times New Roman" w:hAnsi="Times New Roman" w:cs="Times New Roman"/>
          <w:b/>
          <w:bCs/>
          <w:noProof/>
          <w:sz w:val="24"/>
          <w:szCs w:val="24"/>
          <w:lang w:val="en-IE"/>
        </w:rPr>
        <w:t>, and pilot plants</w:t>
      </w:r>
      <w:r>
        <w:rPr>
          <w:rFonts w:ascii="Times New Roman" w:hAnsi="Times New Roman" w:cs="Times New Roman"/>
          <w:noProof/>
          <w:sz w:val="24"/>
          <w:szCs w:val="24"/>
          <w:lang w:val="en-IE"/>
        </w:rPr>
        <w:t xml:space="preserve">. These actions would provide tailored, demand-driven support for training, business model development, customer research, intellectual property, targeted funding opportunities, and access to testers and corporate partners. </w:t>
      </w:r>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For </w:t>
      </w:r>
      <w:r>
        <w:rPr>
          <w:rFonts w:ascii="Times New Roman" w:hAnsi="Times New Roman" w:cs="Times New Roman"/>
          <w:b/>
          <w:bCs/>
          <w:noProof/>
          <w:sz w:val="24"/>
          <w:szCs w:val="24"/>
          <w:lang w:val="en-IE"/>
        </w:rPr>
        <w:t>intellectual property</w:t>
      </w:r>
      <w:r>
        <w:rPr>
          <w:rFonts w:ascii="Times New Roman" w:hAnsi="Times New Roman" w:cs="Times New Roman"/>
          <w:noProof/>
          <w:sz w:val="24"/>
          <w:szCs w:val="24"/>
          <w:lang w:val="en-IE"/>
        </w:rPr>
        <w:t xml:space="preserve"> (IP), the Commission will explore more </w:t>
      </w:r>
      <w:r>
        <w:rPr>
          <w:rFonts w:ascii="Times New Roman" w:hAnsi="Times New Roman" w:cs="Times New Roman"/>
          <w:b/>
          <w:bCs/>
          <w:noProof/>
          <w:sz w:val="24"/>
          <w:szCs w:val="24"/>
          <w:lang w:val="en-IE"/>
        </w:rPr>
        <w:t xml:space="preserve">tailored support </w:t>
      </w:r>
      <w:r>
        <w:rPr>
          <w:rFonts w:ascii="Times New Roman" w:hAnsi="Times New Roman" w:cs="Times New Roman"/>
          <w:noProof/>
          <w:sz w:val="24"/>
          <w:szCs w:val="24"/>
          <w:lang w:val="en-IE"/>
        </w:rPr>
        <w:t xml:space="preserve">for projects with significant market potential at critical stages, building on existing resources such as the European IP Helpdesk, Horizon IP Scan, and the Horizon </w:t>
      </w:r>
      <w:r>
        <w:rPr>
          <w:rFonts w:ascii="Times New Roman" w:hAnsi="Times New Roman" w:cs="Times New Roman"/>
          <w:noProof/>
          <w:sz w:val="24"/>
          <w:szCs w:val="24"/>
          <w:lang w:val="en-GB"/>
        </w:rPr>
        <w:t xml:space="preserve">Results Booster. </w:t>
      </w:r>
    </w:p>
    <w:p>
      <w:pPr>
        <w:spacing w:before="120" w:after="120" w:line="240" w:lineRule="auto"/>
        <w:jc w:val="both"/>
        <w:rPr>
          <w:rFonts w:ascii="Times New Roman" w:hAnsi="Times New Roman" w:cs="Times New Roman"/>
          <w:b/>
          <w:bCs/>
          <w:i/>
          <w:iCs/>
          <w:noProof/>
          <w:sz w:val="24"/>
          <w:szCs w:val="24"/>
          <w:lang w:val="en-GB"/>
        </w:rPr>
      </w:pPr>
      <w:r>
        <w:rPr>
          <w:rFonts w:ascii="Times New Roman" w:hAnsi="Times New Roman" w:cs="Times New Roman"/>
          <w:b/>
          <w:bCs/>
          <w:i/>
          <w:iCs/>
          <w:noProof/>
          <w:sz w:val="24"/>
          <w:szCs w:val="24"/>
          <w:lang w:val="en-GB"/>
        </w:rPr>
        <w:t>Supporting experimentation, regulatory learning and innovation deployment in the agri-food sector</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Rapid experimentation cycles can significantly accelerate the transition from ideas to deployable and commercially viable solutions. The Commission will further explore funding opportunities to facilitate </w:t>
      </w:r>
      <w:r>
        <w:rPr>
          <w:rFonts w:ascii="Times New Roman" w:hAnsi="Times New Roman" w:cs="Times New Roman"/>
          <w:b/>
          <w:noProof/>
          <w:sz w:val="24"/>
          <w:szCs w:val="24"/>
          <w:lang w:val="en-GB"/>
        </w:rPr>
        <w:t>access to</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 xml:space="preserve">testing and experimentation infrastructures </w:t>
      </w:r>
      <w:r>
        <w:rPr>
          <w:rFonts w:ascii="Times New Roman" w:hAnsi="Times New Roman" w:cs="Times New Roman"/>
          <w:noProof/>
          <w:sz w:val="24"/>
          <w:szCs w:val="24"/>
          <w:lang w:val="en-GB"/>
        </w:rPr>
        <w:t xml:space="preserve">such as Living Labs and innovation hubs, as well as </w:t>
      </w:r>
      <w:r>
        <w:rPr>
          <w:rFonts w:ascii="Times New Roman" w:hAnsi="Times New Roman" w:cs="Times New Roman"/>
          <w:b/>
          <w:noProof/>
          <w:sz w:val="24"/>
          <w:szCs w:val="24"/>
          <w:lang w:val="en-GB"/>
        </w:rPr>
        <w:t xml:space="preserve">public procurement schemes in support of innovation. </w:t>
      </w:r>
      <w:r>
        <w:rPr>
          <w:rFonts w:ascii="Times New Roman" w:hAnsi="Times New Roman" w:cs="Times New Roman"/>
          <w:noProof/>
          <w:sz w:val="24"/>
          <w:szCs w:val="24"/>
          <w:lang w:val="en-GB"/>
        </w:rPr>
        <w:t>This would enable</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startups and other SMEs to quickly validate prototypes under real-world conditions.</w:t>
      </w:r>
    </w:p>
    <w:p>
      <w:pPr>
        <w:spacing w:line="257"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Additional R&amp;I investments are needed to underpin methodologies for </w:t>
      </w:r>
      <w:r>
        <w:rPr>
          <w:rFonts w:ascii="Times New Roman" w:hAnsi="Times New Roman" w:cs="Times New Roman"/>
          <w:b/>
          <w:bCs/>
          <w:noProof/>
          <w:sz w:val="24"/>
          <w:szCs w:val="24"/>
          <w:lang w:val="en-GB"/>
        </w:rPr>
        <w:t xml:space="preserve">risk assessment, </w:t>
      </w:r>
      <w:r>
        <w:rPr>
          <w:rFonts w:ascii="Times New Roman" w:hAnsi="Times New Roman" w:cs="Times New Roman"/>
          <w:noProof/>
          <w:sz w:val="24"/>
          <w:szCs w:val="24"/>
          <w:lang w:val="en-GB"/>
        </w:rPr>
        <w:t>in addition to a greater use of</w:t>
      </w:r>
      <w:r>
        <w:rPr>
          <w:rFonts w:ascii="Times New Roman" w:hAnsi="Times New Roman" w:cs="Times New Roman"/>
          <w:b/>
          <w:bCs/>
          <w:noProof/>
          <w:sz w:val="24"/>
          <w:szCs w:val="24"/>
          <w:lang w:val="en-GB"/>
        </w:rPr>
        <w:t xml:space="preserve"> experimentation tools such as regulatory sandboxes</w:t>
      </w:r>
      <w:r>
        <w:rPr>
          <w:rStyle w:val="FootnoteReference"/>
          <w:rFonts w:ascii="Times New Roman" w:hAnsi="Times New Roman" w:cs="Times New Roman"/>
          <w:b/>
          <w:bCs/>
          <w:noProof/>
          <w:sz w:val="24"/>
          <w:szCs w:val="24"/>
          <w:lang w:val="en-GB"/>
        </w:rPr>
        <w:footnoteReference w:id="19"/>
      </w:r>
      <w:r>
        <w:rPr>
          <w:rFonts w:ascii="Times New Roman" w:hAnsi="Times New Roman" w:cs="Times New Roman"/>
          <w:b/>
          <w:bCs/>
          <w:noProof/>
          <w:sz w:val="24"/>
          <w:szCs w:val="24"/>
          <w:lang w:val="en-GB"/>
        </w:rPr>
        <w:t xml:space="preserve"> and closer collaboration with EU risk assessment bodies </w:t>
      </w:r>
      <w:r>
        <w:rPr>
          <w:rFonts w:ascii="Times New Roman" w:hAnsi="Times New Roman" w:cs="Times New Roman"/>
          <w:noProof/>
          <w:sz w:val="24"/>
          <w:szCs w:val="24"/>
          <w:lang w:val="en-GB"/>
        </w:rPr>
        <w:t>(e.g.</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the</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European Food Safety Authority). The aim hereof is to harvest regulatory learnings to support any necessary adjustments (including data requirements and/or alternative regulatory requirements, among others) to support pre-market approvals and authorisations</w:t>
      </w:r>
      <w:r>
        <w:rPr>
          <w:rFonts w:ascii="Times New Roman" w:hAnsi="Times New Roman" w:cs="Times New Roman"/>
          <w:noProof/>
          <w:sz w:val="24"/>
          <w:szCs w:val="24"/>
          <w:lang w:val="en-IE"/>
        </w:rPr>
        <w:t xml:space="preserve"> for agri-food innovations including plant protection products, feed and food (including those derived from genetically modified organisms).</w:t>
      </w:r>
      <w:r>
        <w:rPr>
          <w:rFonts w:ascii="Times New Roman" w:hAnsi="Times New Roman" w:cs="Times New Roman"/>
          <w:noProof/>
          <w:sz w:val="24"/>
          <w:szCs w:val="24"/>
          <w:lang w:val="en-GB"/>
        </w:rPr>
        <w:t xml:space="preserve"> The Commission will seek regular input from relevant EU risk assessment bodies</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and, where relevant, their national counterparts, on R&amp;I needs related to the risk assessment of agri-food innovations.</w:t>
      </w:r>
      <w:r>
        <w:rPr>
          <w:rFonts w:ascii="Times New Roman" w:hAnsi="Times New Roman" w:cs="Times New Roman"/>
          <w:b/>
          <w:bCs/>
          <w:noProof/>
          <w:sz w:val="24"/>
          <w:szCs w:val="24"/>
          <w:lang w:val="en-GB"/>
        </w:rPr>
        <w:t xml:space="preserve"> </w:t>
      </w:r>
    </w:p>
    <w:p>
      <w:pPr>
        <w:pStyle w:val="paragraph"/>
        <w:spacing w:line="276" w:lineRule="auto"/>
        <w:jc w:val="both"/>
        <w:rPr>
          <w:noProof/>
        </w:rPr>
      </w:pPr>
      <w:r>
        <w:rPr>
          <w:noProof/>
          <w:lang w:val="en-GB"/>
        </w:rPr>
        <w:t>Long term collaborative and interconnected R&amp;I ecosystems have demonstrated their added value including through EU Missions such as the Mission ‘A Soil Deal for Europe’, institutionalised partnerships as Joint Undertakings, and co-funded partnerships. In line with the ongoing assessment</w:t>
      </w:r>
      <w:r>
        <w:rPr>
          <w:rStyle w:val="FootnoteReference"/>
          <w:noProof/>
          <w:lang w:val="en-GB"/>
        </w:rPr>
        <w:footnoteReference w:id="20"/>
      </w:r>
      <w:r>
        <w:rPr>
          <w:noProof/>
          <w:lang w:val="en-GB"/>
        </w:rPr>
        <w:t xml:space="preserve">, the Commission will explore how </w:t>
      </w:r>
      <w:r>
        <w:rPr>
          <w:b/>
          <w:bCs/>
          <w:noProof/>
          <w:lang w:val="en-GB"/>
        </w:rPr>
        <w:t xml:space="preserve">partnerships can be further leveraged to </w:t>
      </w:r>
      <w:r>
        <w:rPr>
          <w:b/>
          <w:bCs/>
          <w:noProof/>
          <w:lang w:val="en-GB"/>
        </w:rPr>
        <w:lastRenderedPageBreak/>
        <w:t>attract additional private and public investment in priority areas</w:t>
      </w:r>
      <w:r>
        <w:rPr>
          <w:noProof/>
          <w:lang w:val="en-GB"/>
        </w:rPr>
        <w:t xml:space="preserve">. </w:t>
      </w:r>
      <w:r>
        <w:rPr>
          <w:b/>
          <w:bCs/>
          <w:noProof/>
          <w:lang w:val="en-GB"/>
        </w:rPr>
        <w:t xml:space="preserve">The SCAR </w:t>
      </w:r>
      <w:r>
        <w:rPr>
          <w:noProof/>
          <w:lang w:val="en-GB"/>
        </w:rPr>
        <w:t>could play a stronger role as a knowledge broker for assessing EU R&amp;I capacities (strengths and weaknesses) in different agri-food sectors</w:t>
      </w:r>
      <w:r>
        <w:rPr>
          <w:noProof/>
        </w:rPr>
        <w:t>.</w:t>
      </w:r>
    </w:p>
    <w:p>
      <w:pPr>
        <w:pStyle w:val="paragraph"/>
        <w:autoSpaceDE w:val="0"/>
        <w:autoSpaceDN w:val="0"/>
        <w:adjustRightInd w:val="0"/>
        <w:spacing w:line="276" w:lineRule="auto"/>
        <w:jc w:val="both"/>
        <w:textAlignment w:val="baseline"/>
        <w:rPr>
          <w:rFonts w:eastAsia="Aptos"/>
          <w:noProof/>
          <w:lang w:val="en-GB"/>
        </w:rPr>
      </w:pPr>
      <w:r>
        <w:rPr>
          <w:noProof/>
          <w:lang w:val="en-GB"/>
        </w:rPr>
        <w:t xml:space="preserve">By launching a </w:t>
      </w:r>
      <w:r>
        <w:rPr>
          <w:b/>
          <w:noProof/>
          <w:lang w:val="en-GB"/>
        </w:rPr>
        <w:t>‘Science</w:t>
      </w:r>
      <w:r>
        <w:rPr>
          <w:b/>
          <w:bCs/>
          <w:noProof/>
          <w:lang w:val="en-GB"/>
        </w:rPr>
        <w:t xml:space="preserve"> for Policy Centre on Agriculture, Forestry, Rural Development and Food System Innovation and Transformation’</w:t>
      </w:r>
      <w:r>
        <w:rPr>
          <w:noProof/>
          <w:lang w:val="en-GB"/>
        </w:rPr>
        <w:t>, managed by the Joint Research Centre (JRC), the Commission will support EU and Member States agri-food innovation policies and the sector’s stakeholders (from producers to entrepreneurs) by identifying key innovation opportunities in the agri-food sector; analysing economic impacts and market and deployment gaps; and providing stakeholders with evidence based and actionable knowledge to support strategic decision-making, with the goal to strengthen EU innovation capacities.</w:t>
      </w:r>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Member States are encouraged to consider how they can use their future </w:t>
      </w:r>
      <w:r>
        <w:rPr>
          <w:rFonts w:ascii="Times New Roman" w:hAnsi="Times New Roman" w:cs="Times New Roman"/>
          <w:b/>
          <w:bCs/>
          <w:noProof/>
          <w:sz w:val="24"/>
          <w:szCs w:val="24"/>
          <w:lang w:val="en-GB"/>
        </w:rPr>
        <w:t xml:space="preserve">national and regional partnership plans </w:t>
      </w:r>
      <w:r>
        <w:rPr>
          <w:rFonts w:ascii="Times New Roman" w:hAnsi="Times New Roman" w:cs="Times New Roman"/>
          <w:noProof/>
          <w:sz w:val="24"/>
          <w:szCs w:val="24"/>
          <w:lang w:val="en-GB"/>
        </w:rPr>
        <w:t>to further reinforce and enhance a supportive innovation ecosystem in the agri-food sector, for example by investing in capacity-building, human resources and innovation-enabling infrastructures such as</w:t>
      </w:r>
      <w:r>
        <w:rPr>
          <w:rFonts w:ascii="Times New Roman" w:hAnsi="Times New Roman" w:cs="Times New Roman"/>
          <w:noProof/>
          <w:sz w:val="24"/>
          <w:szCs w:val="24"/>
          <w:lang w:val="en-IE"/>
        </w:rPr>
        <w:t xml:space="preserve"> testing facilities</w:t>
      </w:r>
      <w:r>
        <w:rPr>
          <w:rFonts w:ascii="Times New Roman" w:hAnsi="Times New Roman" w:cs="Times New Roman"/>
          <w:noProof/>
          <w:sz w:val="24"/>
          <w:szCs w:val="24"/>
          <w:lang w:val="en-GB"/>
        </w:rPr>
        <w:t>.</w:t>
      </w:r>
    </w:p>
    <w:p>
      <w:pPr>
        <w:pStyle w:val="Heading2"/>
        <w:jc w:val="both"/>
        <w:rPr>
          <w:rStyle w:val="HeadingSA2Char"/>
          <w:noProof/>
          <w:color w:val="auto"/>
          <w:lang w:val="en-US"/>
        </w:rPr>
      </w:pPr>
      <w:bookmarkStart w:id="10" w:name="_Toc232778784"/>
      <w:bookmarkStart w:id="11" w:name="_Toc226977840"/>
      <w:r>
        <w:rPr>
          <w:rStyle w:val="HeadingSA2Char"/>
          <w:noProof/>
          <w:color w:val="auto"/>
          <w:lang w:val="en-US"/>
        </w:rPr>
        <w:t>2.2 Accelerating knowledge and innovation uptake by farmers, foresters and rural actors</w:t>
      </w:r>
      <w:bookmarkEnd w:id="10"/>
      <w:bookmarkEnd w:id="11"/>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uptake of innovation is essential for EU food security and for the </w:t>
      </w:r>
      <w:r>
        <w:rPr>
          <w:rFonts w:ascii="Times New Roman" w:hAnsi="Times New Roman" w:cs="Times New Roman"/>
          <w:b/>
          <w:noProof/>
          <w:sz w:val="24"/>
          <w:szCs w:val="24"/>
          <w:lang w:val="en-GB"/>
        </w:rPr>
        <w:t>competitiveness, sustainability and resilience</w:t>
      </w:r>
      <w:r>
        <w:rPr>
          <w:rFonts w:ascii="Times New Roman" w:hAnsi="Times New Roman" w:cs="Times New Roman"/>
          <w:noProof/>
          <w:sz w:val="24"/>
          <w:szCs w:val="24"/>
          <w:lang w:val="en-GB"/>
        </w:rPr>
        <w:t xml:space="preserve"> of agriculture, forestry and rural areas. </w:t>
      </w:r>
    </w:p>
    <w:p>
      <w:pPr>
        <w:spacing w:after="120" w:line="276" w:lineRule="auto"/>
        <w:jc w:val="both"/>
        <w:rPr>
          <w:noProof/>
          <w:lang w:val="en-IE"/>
        </w:rPr>
      </w:pPr>
      <w:r>
        <w:rPr>
          <w:rFonts w:ascii="Times New Roman" w:eastAsia="Times New Roman" w:hAnsi="Times New Roman" w:cs="Times New Roman"/>
          <w:noProof/>
          <w:sz w:val="24"/>
          <w:szCs w:val="24"/>
          <w:lang w:val="en-GB"/>
        </w:rPr>
        <w:t>To deliver on the vision for agriculture and food’s objectives, innovation must move beyond individual projects, spread across regions and become embedded in everyday practices.</w:t>
      </w:r>
      <w:r>
        <w:rPr>
          <w:rFonts w:ascii="Aptos" w:eastAsia="Aptos" w:hAnsi="Aptos" w:cs="Aptos"/>
          <w:noProof/>
          <w:lang w:val="en-IE"/>
        </w:rPr>
        <w:t xml:space="preserve"> </w:t>
      </w:r>
      <w:r>
        <w:rPr>
          <w:rFonts w:ascii="Times New Roman" w:eastAsiaTheme="minorEastAsia" w:hAnsi="Times New Roman" w:cs="Times New Roman"/>
          <w:noProof/>
          <w:sz w:val="24"/>
          <w:szCs w:val="24"/>
          <w:lang w:val="en-IE"/>
        </w:rPr>
        <w:t xml:space="preserve">This requires progress across three dimensions: (i) </w:t>
      </w:r>
      <w:r>
        <w:rPr>
          <w:rFonts w:ascii="Times New Roman" w:eastAsiaTheme="minorEastAsia" w:hAnsi="Times New Roman" w:cs="Times New Roman"/>
          <w:i/>
          <w:iCs/>
          <w:noProof/>
          <w:sz w:val="24"/>
          <w:szCs w:val="24"/>
          <w:lang w:val="en-IE"/>
        </w:rPr>
        <w:t>scaling out,</w:t>
      </w:r>
      <w:r>
        <w:rPr>
          <w:rFonts w:ascii="Times New Roman" w:eastAsiaTheme="minorEastAsia" w:hAnsi="Times New Roman" w:cs="Times New Roman"/>
          <w:noProof/>
          <w:sz w:val="24"/>
          <w:szCs w:val="24"/>
          <w:lang w:val="en-IE"/>
        </w:rPr>
        <w:t xml:space="preserve"> by expanding proven solutions to more users and locations, (ii) </w:t>
      </w:r>
      <w:r>
        <w:rPr>
          <w:rFonts w:ascii="Times New Roman" w:eastAsiaTheme="minorEastAsia" w:hAnsi="Times New Roman" w:cs="Times New Roman"/>
          <w:i/>
          <w:iCs/>
          <w:noProof/>
          <w:sz w:val="24"/>
          <w:szCs w:val="24"/>
          <w:lang w:val="en-IE"/>
        </w:rPr>
        <w:t>scaling up</w:t>
      </w:r>
      <w:r>
        <w:rPr>
          <w:rFonts w:ascii="Times New Roman" w:eastAsiaTheme="minorEastAsia" w:hAnsi="Times New Roman" w:cs="Times New Roman"/>
          <w:noProof/>
          <w:sz w:val="24"/>
          <w:szCs w:val="24"/>
          <w:lang w:val="en-IE"/>
        </w:rPr>
        <w:t xml:space="preserve">, by shaping policies and regulations to support innovation uptake, and (iii) </w:t>
      </w:r>
      <w:r>
        <w:rPr>
          <w:rFonts w:ascii="Times New Roman" w:eastAsiaTheme="minorEastAsia" w:hAnsi="Times New Roman" w:cs="Times New Roman"/>
          <w:i/>
          <w:iCs/>
          <w:noProof/>
          <w:sz w:val="24"/>
          <w:szCs w:val="24"/>
          <w:lang w:val="en-IE"/>
        </w:rPr>
        <w:t>scaling deep,</w:t>
      </w:r>
      <w:r>
        <w:rPr>
          <w:rFonts w:ascii="Times New Roman" w:eastAsiaTheme="minorEastAsia" w:hAnsi="Times New Roman" w:cs="Times New Roman"/>
          <w:noProof/>
          <w:sz w:val="24"/>
          <w:szCs w:val="24"/>
          <w:lang w:val="en-IE"/>
        </w:rPr>
        <w:t xml:space="preserve"> by channelling new practices, values and beliefs in society</w:t>
      </w:r>
      <w:r>
        <w:rPr>
          <w:rFonts w:eastAsiaTheme="minorEastAsia"/>
          <w:noProof/>
          <w:sz w:val="24"/>
          <w:szCs w:val="24"/>
          <w:lang w:val="en-IE"/>
        </w:rPr>
        <w:t>.</w:t>
      </w:r>
    </w:p>
    <w:p>
      <w:pPr>
        <w:spacing w:after="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Instruments under the </w:t>
      </w:r>
      <w:r>
        <w:rPr>
          <w:rFonts w:ascii="Times New Roman" w:hAnsi="Times New Roman" w:cs="Times New Roman"/>
          <w:b/>
          <w:bCs/>
          <w:noProof/>
          <w:sz w:val="24"/>
          <w:szCs w:val="24"/>
          <w:lang w:val="en-GB"/>
        </w:rPr>
        <w:t>common agricultural policy</w:t>
      </w:r>
      <w:r>
        <w:rPr>
          <w:rFonts w:ascii="Times New Roman" w:hAnsi="Times New Roman" w:cs="Times New Roman"/>
          <w:noProof/>
          <w:sz w:val="24"/>
          <w:szCs w:val="24"/>
          <w:lang w:val="en-GB"/>
        </w:rPr>
        <w:t xml:space="preserve"> (CAP) can stimulate demand for innovative solutions by supporting farmers in adopting new technologies, sustainable practices and digital tools, and in deploying innovation thanks to investment support. </w:t>
      </w:r>
      <w:r>
        <w:rPr>
          <w:rFonts w:ascii="Times New Roman" w:hAnsi="Times New Roman" w:cs="Times New Roman"/>
          <w:noProof/>
          <w:sz w:val="24"/>
          <w:szCs w:val="24"/>
          <w:lang w:val="en-IE"/>
        </w:rPr>
        <w:t xml:space="preserve">EU agricultural R&amp;I policy, working in close complementarity with the current CAP, has established </w:t>
      </w:r>
      <w:r>
        <w:rPr>
          <w:rFonts w:ascii="Times New Roman" w:hAnsi="Times New Roman" w:cs="Times New Roman"/>
          <w:b/>
          <w:bCs/>
          <w:noProof/>
          <w:sz w:val="24"/>
          <w:szCs w:val="24"/>
          <w:lang w:val="en-IE"/>
        </w:rPr>
        <w:t>strong foundations for the co-creation and dissemination of knowledge and innovation</w:t>
      </w:r>
      <w:r>
        <w:rPr>
          <w:rFonts w:ascii="Times New Roman" w:hAnsi="Times New Roman" w:cs="Times New Roman"/>
          <w:noProof/>
          <w:sz w:val="24"/>
          <w:szCs w:val="24"/>
          <w:lang w:val="en-IE"/>
        </w:rPr>
        <w:t>.</w:t>
      </w:r>
      <w:r>
        <w:rPr>
          <w:rFonts w:ascii="Times New Roman" w:hAnsi="Times New Roman" w:cs="Times New Roman"/>
          <w:noProof/>
          <w:sz w:val="24"/>
          <w:szCs w:val="24"/>
          <w:lang w:val="en-GB"/>
        </w:rPr>
        <w:t xml:space="preserve"> However, stakeholders continue to highlight the need for targeted improvements to accelerate uptake of the R&amp;I results</w:t>
      </w:r>
      <w:r>
        <w:rPr>
          <w:rFonts w:ascii="Times New Roman" w:hAnsi="Times New Roman" w:cs="Times New Roman"/>
          <w:noProof/>
          <w:sz w:val="24"/>
          <w:szCs w:val="24"/>
          <w:vertAlign w:val="superscript"/>
          <w:lang w:val="en-GB"/>
        </w:rPr>
        <w:footnoteReference w:id="21"/>
      </w:r>
      <w:r>
        <w:rPr>
          <w:rFonts w:ascii="Times New Roman" w:hAnsi="Times New Roman" w:cs="Times New Roman"/>
          <w:noProof/>
          <w:sz w:val="24"/>
          <w:szCs w:val="24"/>
          <w:lang w:val="en-GB"/>
        </w:rPr>
        <w:t xml:space="preserve">. </w:t>
      </w:r>
    </w:p>
    <w:p>
      <w:pPr>
        <w:spacing w:after="0"/>
        <w:jc w:val="both"/>
        <w:rPr>
          <w:rFonts w:ascii="Times New Roman" w:hAnsi="Times New Roman" w:cs="Times New Roman"/>
          <w:noProof/>
          <w:lang w:val="en-GB"/>
        </w:rPr>
      </w:pPr>
    </w:p>
    <w:p>
      <w:pPr>
        <w:keepNext/>
        <w:keepLines/>
        <w:jc w:val="both"/>
        <w:rPr>
          <w:rFonts w:ascii="Times New Roman" w:hAnsi="Times New Roman" w:cs="Times New Roman"/>
          <w:b/>
          <w:bCs/>
          <w:i/>
          <w:iCs/>
          <w:noProof/>
          <w:sz w:val="24"/>
          <w:szCs w:val="24"/>
          <w:lang w:val="en-GB"/>
        </w:rPr>
      </w:pPr>
      <w:r>
        <w:rPr>
          <w:rFonts w:ascii="Times New Roman" w:hAnsi="Times New Roman" w:cs="Times New Roman"/>
          <w:b/>
          <w:bCs/>
          <w:i/>
          <w:iCs/>
          <w:noProof/>
          <w:sz w:val="24"/>
          <w:szCs w:val="24"/>
          <w:lang w:val="en-GB"/>
        </w:rPr>
        <w:lastRenderedPageBreak/>
        <w:t>Supporting farmer-led innovation through the multi-actor approach and Living Labs</w:t>
      </w:r>
    </w:p>
    <w:p>
      <w:pPr>
        <w:keepNext/>
        <w:keepLines/>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Farmers are more likely to adopt</w:t>
      </w:r>
      <w:r>
        <w:rPr>
          <w:rFonts w:ascii="Times New Roman" w:hAnsi="Times New Roman" w:cs="Times New Roman"/>
          <w:b/>
          <w:bCs/>
          <w:noProof/>
          <w:sz w:val="24"/>
          <w:szCs w:val="24"/>
          <w:lang w:val="en-GB"/>
        </w:rPr>
        <w:t xml:space="preserve"> innovations that have been co-created </w:t>
      </w:r>
      <w:r>
        <w:rPr>
          <w:rFonts w:ascii="Times New Roman" w:hAnsi="Times New Roman" w:cs="Times New Roman"/>
          <w:noProof/>
          <w:sz w:val="24"/>
          <w:szCs w:val="24"/>
          <w:lang w:val="en-GB"/>
        </w:rPr>
        <w:t>with them, tested under real-life conditions and supported by advisory services and peer-to-peer exchanges</w:t>
      </w:r>
      <w:r>
        <w:rPr>
          <w:rFonts w:ascii="Times New Roman" w:hAnsi="Times New Roman" w:cs="Times New Roman"/>
          <w:noProof/>
          <w:sz w:val="24"/>
          <w:szCs w:val="24"/>
          <w:vertAlign w:val="superscript"/>
          <w:lang w:val="en-GB"/>
        </w:rPr>
        <w:footnoteReference w:id="22"/>
      </w:r>
      <w:r>
        <w:rPr>
          <w:rFonts w:ascii="Times New Roman" w:hAnsi="Times New Roman" w:cs="Times New Roman"/>
          <w:noProof/>
          <w:sz w:val="24"/>
          <w:szCs w:val="24"/>
          <w:lang w:val="en-GB"/>
        </w:rPr>
        <w:t xml:space="preserve">. Over the last decade, the </w:t>
      </w:r>
      <w:r>
        <w:rPr>
          <w:rFonts w:ascii="Times New Roman" w:hAnsi="Times New Roman" w:cs="Times New Roman"/>
          <w:b/>
          <w:bCs/>
          <w:noProof/>
          <w:sz w:val="24"/>
          <w:szCs w:val="24"/>
          <w:lang w:val="en-GB"/>
        </w:rPr>
        <w:t>multi-actor approach</w:t>
      </w:r>
      <w:r>
        <w:rPr>
          <w:rStyle w:val="FootnoteReference"/>
          <w:rFonts w:ascii="Times New Roman" w:hAnsi="Times New Roman" w:cs="Times New Roman"/>
          <w:noProof/>
          <w:sz w:val="24"/>
          <w:szCs w:val="24"/>
          <w:lang w:val="en-GB"/>
        </w:rPr>
        <w:footnoteReference w:id="23"/>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IE"/>
        </w:rPr>
        <w:t xml:space="preserve">has become a core feature of agricultural, forestry and rural R&amp;I projects funded under </w:t>
      </w:r>
      <w:r>
        <w:rPr>
          <w:rFonts w:ascii="Times New Roman" w:hAnsi="Times New Roman" w:cs="Times New Roman"/>
          <w:b/>
          <w:bCs/>
          <w:noProof/>
          <w:sz w:val="24"/>
          <w:szCs w:val="24"/>
          <w:lang w:val="en-IE"/>
        </w:rPr>
        <w:t>Horizon 2020 and Horizon Europe</w:t>
      </w:r>
      <w:r>
        <w:rPr>
          <w:rFonts w:ascii="Times New Roman" w:hAnsi="Times New Roman" w:cs="Times New Roman"/>
          <w:noProof/>
          <w:sz w:val="24"/>
          <w:szCs w:val="24"/>
          <w:lang w:val="en-IE"/>
        </w:rPr>
        <w:t xml:space="preserve"> becoming mandatory in more than</w:t>
      </w:r>
      <w:r>
        <w:rPr>
          <w:rFonts w:ascii="Times New Roman" w:hAnsi="Times New Roman" w:cs="Times New Roman"/>
          <w:b/>
          <w:bCs/>
          <w:noProof/>
          <w:sz w:val="24"/>
          <w:szCs w:val="24"/>
          <w:lang w:val="en-IE"/>
        </w:rPr>
        <w:t xml:space="preserve"> 70% of relevant calls for proposals</w:t>
      </w:r>
      <w:r>
        <w:rPr>
          <w:rFonts w:ascii="Times New Roman" w:hAnsi="Times New Roman" w:cs="Times New Roman"/>
          <w:noProof/>
          <w:sz w:val="24"/>
          <w:szCs w:val="24"/>
          <w:vertAlign w:val="superscript"/>
          <w:lang w:val="en-GB"/>
        </w:rPr>
        <w:footnoteReference w:id="24"/>
      </w:r>
      <w:r>
        <w:rPr>
          <w:rFonts w:ascii="Times New Roman" w:hAnsi="Times New Roman" w:cs="Times New Roman"/>
          <w:noProof/>
          <w:sz w:val="24"/>
          <w:szCs w:val="24"/>
          <w:lang w:val="en-GB"/>
        </w:rPr>
        <w:t>.</w:t>
      </w:r>
      <w:r>
        <w:rPr>
          <w:rFonts w:ascii="Times New Roman" w:hAnsi="Times New Roman" w:cs="Times New Roman"/>
          <w:noProof/>
          <w:sz w:val="24"/>
          <w:szCs w:val="24"/>
          <w:vertAlign w:val="superscript"/>
          <w:lang w:val="en-GB"/>
        </w:rPr>
        <w:t xml:space="preserve"> </w:t>
      </w:r>
      <w:r>
        <w:rPr>
          <w:rFonts w:ascii="Times New Roman" w:hAnsi="Times New Roman" w:cs="Times New Roman"/>
          <w:noProof/>
          <w:sz w:val="24"/>
          <w:szCs w:val="24"/>
          <w:lang w:val="en-IE"/>
        </w:rPr>
        <w:t>Living Labs</w:t>
      </w:r>
      <w:r>
        <w:rPr>
          <w:rFonts w:ascii="Times New Roman" w:hAnsi="Times New Roman" w:cs="Times New Roman"/>
          <w:noProof/>
          <w:sz w:val="24"/>
          <w:szCs w:val="24"/>
          <w:vertAlign w:val="superscript"/>
          <w:lang w:val="en-GB"/>
        </w:rPr>
        <w:t xml:space="preserve"> </w:t>
      </w:r>
      <w:r>
        <w:rPr>
          <w:rFonts w:ascii="Times New Roman" w:hAnsi="Times New Roman" w:cs="Times New Roman"/>
          <w:noProof/>
          <w:sz w:val="24"/>
          <w:szCs w:val="24"/>
          <w:lang w:val="en-IE"/>
        </w:rPr>
        <w:t>have similarly fostered long-term, transdisciplinary collaboration through place-based experimentation that integrates technical, social and behavioural dimensions.</w:t>
      </w:r>
      <w:r>
        <w:rPr>
          <w:rFonts w:ascii="Times New Roman" w:hAnsi="Times New Roman" w:cs="Times New Roman"/>
          <w:noProof/>
          <w:sz w:val="24"/>
          <w:szCs w:val="24"/>
          <w:lang w:val="en-GB"/>
        </w:rPr>
        <w:t xml:space="preserve"> </w:t>
      </w:r>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However, </w:t>
      </w:r>
      <w:r>
        <w:rPr>
          <w:rFonts w:ascii="Times New Roman" w:hAnsi="Times New Roman" w:cs="Times New Roman"/>
          <w:b/>
          <w:noProof/>
          <w:sz w:val="24"/>
          <w:szCs w:val="24"/>
          <w:lang w:val="en-GB"/>
        </w:rPr>
        <w:t xml:space="preserve">challenges remain, </w:t>
      </w:r>
      <w:r>
        <w:rPr>
          <w:rFonts w:ascii="Times New Roman" w:hAnsi="Times New Roman" w:cs="Times New Roman"/>
          <w:noProof/>
          <w:sz w:val="24"/>
          <w:szCs w:val="24"/>
          <w:lang w:val="en-GB"/>
        </w:rPr>
        <w:t>including inconsistent implementation across projects, barriers to the early and meaningful involvement of relevant actors, and uneven adoption of results.</w:t>
      </w:r>
    </w:p>
    <w:p>
      <w:pPr>
        <w:spacing w:line="276" w:lineRule="auto"/>
        <w:jc w:val="both"/>
        <w:rPr>
          <w:noProof/>
          <w:lang w:val="en-GB"/>
        </w:rPr>
      </w:pPr>
      <w:r>
        <w:rPr>
          <w:rFonts w:ascii="Times New Roman" w:hAnsi="Times New Roman" w:cs="Times New Roman"/>
          <w:noProof/>
          <w:sz w:val="24"/>
          <w:szCs w:val="24"/>
          <w:lang w:val="en-GB"/>
        </w:rPr>
        <w:t xml:space="preserve">The Commission is conducting a study to assess the impact of existing instruments on the dissemination and uptake of innovation. Drawing on its results, the Commission will seek to </w:t>
      </w:r>
      <w:r>
        <w:rPr>
          <w:rFonts w:ascii="Times New Roman" w:hAnsi="Times New Roman" w:cs="Times New Roman"/>
          <w:b/>
          <w:bCs/>
          <w:noProof/>
          <w:sz w:val="24"/>
          <w:szCs w:val="24"/>
          <w:lang w:val="en-GB"/>
        </w:rPr>
        <w:t xml:space="preserve">harmonise the terminology and methodologies </w:t>
      </w:r>
      <w:r>
        <w:rPr>
          <w:rFonts w:ascii="Times New Roman" w:hAnsi="Times New Roman" w:cs="Times New Roman"/>
          <w:noProof/>
          <w:sz w:val="24"/>
          <w:szCs w:val="24"/>
          <w:lang w:val="en-GB"/>
        </w:rPr>
        <w:t xml:space="preserve">for the multi-actor approach and Living Labs and strengthen </w:t>
      </w:r>
      <w:r>
        <w:rPr>
          <w:rFonts w:ascii="Times New Roman" w:hAnsi="Times New Roman" w:cs="Times New Roman"/>
          <w:b/>
          <w:bCs/>
          <w:noProof/>
          <w:sz w:val="24"/>
          <w:szCs w:val="24"/>
          <w:lang w:val="en-GB"/>
        </w:rPr>
        <w:t xml:space="preserve">evaluation and monitoring </w:t>
      </w:r>
      <w:r>
        <w:rPr>
          <w:rFonts w:ascii="Times New Roman" w:hAnsi="Times New Roman" w:cs="Times New Roman"/>
          <w:noProof/>
          <w:sz w:val="24"/>
          <w:szCs w:val="24"/>
          <w:lang w:val="en-GB"/>
        </w:rPr>
        <w:t>mechanisms at project level.</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The Commission envisages to explore, under the Horizon Europe (2028-2034) and the future ECF,</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ways to support the</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early and meaningful</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 xml:space="preserve">involvement of relevant actors through </w:t>
      </w:r>
      <w:r>
        <w:rPr>
          <w:rFonts w:ascii="Times New Roman" w:hAnsi="Times New Roman" w:cs="Times New Roman"/>
          <w:b/>
          <w:bCs/>
          <w:noProof/>
          <w:sz w:val="24"/>
          <w:szCs w:val="24"/>
          <w:lang w:val="en-GB"/>
        </w:rPr>
        <w:t>pre-proposal support</w:t>
      </w:r>
      <w:r>
        <w:rPr>
          <w:rFonts w:ascii="Times New Roman" w:hAnsi="Times New Roman" w:cs="Times New Roman"/>
          <w:noProof/>
          <w:sz w:val="24"/>
          <w:szCs w:val="24"/>
          <w:lang w:val="en-GB"/>
        </w:rPr>
        <w:t xml:space="preserve"> measures that facilitate consortium-building, as well as through </w:t>
      </w:r>
      <w:r>
        <w:rPr>
          <w:rFonts w:ascii="Times New Roman" w:hAnsi="Times New Roman" w:cs="Times New Roman"/>
          <w:b/>
          <w:bCs/>
          <w:noProof/>
          <w:sz w:val="24"/>
          <w:szCs w:val="24"/>
          <w:lang w:val="en-GB"/>
        </w:rPr>
        <w:t xml:space="preserve">simplified financial support </w:t>
      </w:r>
      <w:r>
        <w:rPr>
          <w:rFonts w:ascii="Times New Roman" w:hAnsi="Times New Roman" w:cs="Times New Roman"/>
          <w:noProof/>
          <w:sz w:val="24"/>
          <w:szCs w:val="24"/>
          <w:lang w:val="en-GB"/>
        </w:rPr>
        <w:t>to ensure fair recognition and remuneration for farmers’ and other stakeholders’ participation in projects. The link with social sciences and humanities should be strengthened to support</w:t>
      </w:r>
      <w:r>
        <w:rPr>
          <w:rFonts w:ascii="Times New Roman" w:hAnsi="Times New Roman" w:cs="Times New Roman"/>
          <w:b/>
          <w:bCs/>
          <w:noProof/>
          <w:sz w:val="24"/>
          <w:szCs w:val="24"/>
          <w:lang w:val="en-GB"/>
        </w:rPr>
        <w:t xml:space="preserve"> inclusive co-creation processes.</w:t>
      </w:r>
      <w:r>
        <w:rPr>
          <w:rFonts w:ascii="Times New Roman" w:hAnsi="Times New Roman" w:cs="Times New Roman"/>
          <w:noProof/>
          <w:sz w:val="24"/>
          <w:szCs w:val="24"/>
          <w:lang w:val="en-GB"/>
        </w:rPr>
        <w:t xml:space="preserve"> The </w:t>
      </w:r>
      <w:r>
        <w:rPr>
          <w:rFonts w:ascii="Times New Roman" w:hAnsi="Times New Roman" w:cs="Times New Roman"/>
          <w:b/>
          <w:bCs/>
          <w:noProof/>
          <w:sz w:val="24"/>
          <w:szCs w:val="24"/>
          <w:lang w:val="en-GB"/>
        </w:rPr>
        <w:t xml:space="preserve">participation </w:t>
      </w:r>
      <w:r>
        <w:rPr>
          <w:rFonts w:ascii="Times New Roman" w:hAnsi="Times New Roman" w:cs="Times New Roman"/>
          <w:noProof/>
          <w:sz w:val="24"/>
          <w:szCs w:val="24"/>
          <w:lang w:val="en-GB"/>
        </w:rPr>
        <w:t xml:space="preserve">of farmers’ organisations, cooperatives, advisory and extension services, and agricultural chambers in R&amp;I projects will continue being encouraged. The Commission will also explore </w:t>
      </w:r>
      <w:r>
        <w:rPr>
          <w:rFonts w:ascii="Times New Roman" w:hAnsi="Times New Roman" w:cs="Times New Roman"/>
          <w:b/>
          <w:bCs/>
          <w:noProof/>
          <w:sz w:val="24"/>
          <w:szCs w:val="24"/>
          <w:lang w:val="en-GB"/>
        </w:rPr>
        <w:t xml:space="preserve">collaborative platforms, </w:t>
      </w:r>
      <w:r>
        <w:rPr>
          <w:rFonts w:ascii="Times New Roman" w:hAnsi="Times New Roman" w:cs="Times New Roman"/>
          <w:noProof/>
          <w:sz w:val="24"/>
          <w:szCs w:val="24"/>
          <w:lang w:val="en-GB"/>
        </w:rPr>
        <w:t>to better connect farmers and other practitioners to projects taking a multi-actor approach</w:t>
      </w:r>
      <w:r>
        <w:rPr>
          <w:rFonts w:ascii="Times New Roman" w:hAnsi="Times New Roman" w:cs="Times New Roman"/>
          <w:b/>
          <w:bCs/>
          <w:noProof/>
          <w:sz w:val="24"/>
          <w:szCs w:val="24"/>
          <w:lang w:val="en-GB"/>
        </w:rPr>
        <w:t>.</w:t>
      </w:r>
      <w:r>
        <w:rPr>
          <w:rFonts w:ascii="Times New Roman" w:eastAsia="Times New Roman" w:hAnsi="Times New Roman" w:cs="Times New Roman"/>
          <w:noProof/>
          <w:sz w:val="24"/>
          <w:szCs w:val="24"/>
          <w:lang w:val="en-GB"/>
        </w:rPr>
        <w:t xml:space="preserve"> </w:t>
      </w:r>
    </w:p>
    <w:p>
      <w:pPr>
        <w:spacing w:line="276"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To support bottom-up innovation, the Commission will promote initiatives that validate</w:t>
      </w:r>
      <w:r>
        <w:rPr>
          <w:rFonts w:ascii="Times New Roman" w:eastAsia="Times New Roman" w:hAnsi="Times New Roman" w:cs="Times New Roman"/>
          <w:b/>
          <w:bCs/>
          <w:noProof/>
          <w:sz w:val="24"/>
          <w:szCs w:val="24"/>
          <w:lang w:val="en-GB"/>
        </w:rPr>
        <w:t xml:space="preserve"> traditional knowledge and practitioner-led solutions</w:t>
      </w:r>
      <w:r>
        <w:rPr>
          <w:rFonts w:ascii="Times New Roman" w:eastAsia="Times New Roman" w:hAnsi="Times New Roman" w:cs="Times New Roman"/>
          <w:noProof/>
          <w:sz w:val="24"/>
          <w:szCs w:val="24"/>
          <w:lang w:val="en-GB"/>
        </w:rPr>
        <w:t>, while</w:t>
      </w:r>
      <w:r>
        <w:rPr>
          <w:rFonts w:ascii="Times New Roman" w:eastAsia="Times New Roman" w:hAnsi="Times New Roman" w:cs="Times New Roman"/>
          <w:b/>
          <w:bCs/>
          <w:noProof/>
          <w:sz w:val="24"/>
          <w:szCs w:val="24"/>
          <w:lang w:val="en-GB"/>
        </w:rPr>
        <w:t xml:space="preserve"> </w:t>
      </w:r>
      <w:r>
        <w:rPr>
          <w:rFonts w:ascii="Times New Roman" w:eastAsia="Times New Roman" w:hAnsi="Times New Roman" w:cs="Times New Roman"/>
          <w:noProof/>
          <w:sz w:val="24"/>
          <w:szCs w:val="24"/>
          <w:lang w:val="en-GB"/>
        </w:rPr>
        <w:t xml:space="preserve">engaging farmers in testing innovations across different regions. These efforts should generate </w:t>
      </w:r>
      <w:r>
        <w:rPr>
          <w:rFonts w:ascii="Times New Roman" w:eastAsia="Times New Roman" w:hAnsi="Times New Roman" w:cs="Times New Roman"/>
          <w:b/>
          <w:bCs/>
          <w:noProof/>
          <w:sz w:val="24"/>
          <w:szCs w:val="24"/>
          <w:lang w:val="en-GB"/>
        </w:rPr>
        <w:t xml:space="preserve">practical guidance </w:t>
      </w:r>
      <w:r>
        <w:rPr>
          <w:rFonts w:ascii="Times New Roman" w:eastAsia="Times New Roman" w:hAnsi="Times New Roman" w:cs="Times New Roman"/>
          <w:noProof/>
          <w:sz w:val="24"/>
          <w:szCs w:val="24"/>
          <w:lang w:val="en-GB"/>
        </w:rPr>
        <w:t xml:space="preserve">to support wider adoption of innovations. Projects should also systematically </w:t>
      </w:r>
      <w:r>
        <w:rPr>
          <w:rFonts w:ascii="Times New Roman" w:eastAsia="Times New Roman" w:hAnsi="Times New Roman" w:cs="Times New Roman"/>
          <w:noProof/>
          <w:sz w:val="24"/>
          <w:szCs w:val="24"/>
          <w:lang w:val="en-IE"/>
        </w:rPr>
        <w:t>assess the</w:t>
      </w:r>
      <w:r>
        <w:rPr>
          <w:rFonts w:ascii="Times New Roman" w:eastAsia="Times New Roman" w:hAnsi="Times New Roman" w:cs="Times New Roman"/>
          <w:b/>
          <w:bCs/>
          <w:noProof/>
          <w:sz w:val="24"/>
          <w:szCs w:val="24"/>
          <w:lang w:val="en-IE"/>
        </w:rPr>
        <w:t xml:space="preserve"> economic, environmental and social costs and benefits </w:t>
      </w:r>
      <w:r>
        <w:rPr>
          <w:rFonts w:ascii="Times New Roman" w:eastAsia="Times New Roman" w:hAnsi="Times New Roman" w:cs="Times New Roman"/>
          <w:noProof/>
          <w:sz w:val="24"/>
          <w:szCs w:val="24"/>
          <w:lang w:val="en-IE"/>
        </w:rPr>
        <w:t>of adopting proposed innovations, while identifying viable business opportunities to better meet</w:t>
      </w:r>
      <w:r>
        <w:rPr>
          <w:rFonts w:ascii="Times New Roman" w:eastAsia="Times New Roman" w:hAnsi="Times New Roman" w:cs="Times New Roman"/>
          <w:noProof/>
          <w:sz w:val="24"/>
          <w:szCs w:val="24"/>
          <w:lang w:val="en-GB"/>
        </w:rPr>
        <w:t xml:space="preserve"> users’ or market needs. Finally, the Commission will map existing</w:t>
      </w:r>
      <w:r>
        <w:rPr>
          <w:rFonts w:ascii="Times New Roman" w:eastAsia="Times New Roman" w:hAnsi="Times New Roman" w:cs="Times New Roman"/>
          <w:b/>
          <w:bCs/>
          <w:noProof/>
          <w:sz w:val="24"/>
          <w:szCs w:val="24"/>
          <w:lang w:val="en-GB"/>
        </w:rPr>
        <w:t xml:space="preserve"> infrastructures for testing and demonstration </w:t>
      </w:r>
      <w:r>
        <w:rPr>
          <w:rFonts w:ascii="Times New Roman" w:eastAsia="Times New Roman" w:hAnsi="Times New Roman" w:cs="Times New Roman"/>
          <w:noProof/>
          <w:sz w:val="24"/>
          <w:szCs w:val="24"/>
          <w:lang w:val="en-IE"/>
        </w:rPr>
        <w:t xml:space="preserve">including EU and national Living Labs, demonstration farms and Lighthouses. By helping farmers and practitioners identify relevant </w:t>
      </w:r>
      <w:r>
        <w:rPr>
          <w:rFonts w:ascii="Times New Roman" w:eastAsia="Times New Roman" w:hAnsi="Times New Roman" w:cs="Times New Roman"/>
          <w:noProof/>
          <w:sz w:val="24"/>
          <w:szCs w:val="24"/>
          <w:lang w:val="en-IE"/>
        </w:rPr>
        <w:lastRenderedPageBreak/>
        <w:t>locations and resources, this approach will improve their accessibility to relevant infrastructures and strengthen peer-to-peer learning.</w:t>
      </w:r>
    </w:p>
    <w:p>
      <w:pPr>
        <w:spacing w:line="276" w:lineRule="auto"/>
        <w:jc w:val="both"/>
        <w:rPr>
          <w:rFonts w:ascii="Times New Roman" w:hAnsi="Times New Roman" w:cs="Times New Roman"/>
          <w:b/>
          <w:bCs/>
          <w:i/>
          <w:iCs/>
          <w:noProof/>
          <w:sz w:val="24"/>
          <w:szCs w:val="24"/>
          <w:lang w:val="en-GB"/>
        </w:rPr>
      </w:pPr>
      <w:bookmarkStart w:id="12" w:name="_Toc226977842"/>
      <w:r>
        <w:rPr>
          <w:rFonts w:ascii="Times New Roman" w:hAnsi="Times New Roman" w:cs="Times New Roman"/>
          <w:b/>
          <w:bCs/>
          <w:i/>
          <w:iCs/>
          <w:noProof/>
          <w:sz w:val="24"/>
          <w:szCs w:val="24"/>
          <w:lang w:val="en-GB"/>
        </w:rPr>
        <w:t>Strengthening synergies: building a sustainable and interconnected innovation ecosystem</w:t>
      </w:r>
      <w:bookmarkEnd w:id="12"/>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Commission will further strengthen the</w:t>
      </w:r>
      <w:r>
        <w:rPr>
          <w:rFonts w:ascii="Times New Roman" w:hAnsi="Times New Roman" w:cs="Times New Roman"/>
          <w:b/>
          <w:bCs/>
          <w:noProof/>
          <w:sz w:val="24"/>
          <w:szCs w:val="24"/>
          <w:lang w:val="en-GB"/>
        </w:rPr>
        <w:t xml:space="preserve"> links between present and future Horizon Europe and CAP</w:t>
      </w:r>
      <w:r>
        <w:rPr>
          <w:rFonts w:ascii="Times New Roman" w:hAnsi="Times New Roman" w:cs="Times New Roman"/>
          <w:noProof/>
          <w:sz w:val="24"/>
          <w:szCs w:val="24"/>
          <w:lang w:val="en-GB"/>
        </w:rPr>
        <w:t>, by promoting systematic interactions between national contact points (NCP) and CAP networks,</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notably through a</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 xml:space="preserve">greater use of events organised by the European Innovation Partnership for Agricultural Productivity and Sustainability (EIP-AGRI). Continued support will be provided to encourage the </w:t>
      </w:r>
      <w:r>
        <w:rPr>
          <w:rFonts w:ascii="Times New Roman" w:hAnsi="Times New Roman" w:cs="Times New Roman"/>
          <w:b/>
          <w:bCs/>
          <w:noProof/>
          <w:sz w:val="24"/>
          <w:szCs w:val="24"/>
          <w:lang w:val="en-GB"/>
        </w:rPr>
        <w:t>participation of EIP AGRI Operational Groups in R&amp;I projects</w:t>
      </w:r>
      <w:r>
        <w:rPr>
          <w:rFonts w:ascii="Times New Roman" w:hAnsi="Times New Roman" w:cs="Times New Roman"/>
          <w:noProof/>
          <w:sz w:val="24"/>
          <w:szCs w:val="24"/>
          <w:lang w:val="en-GB"/>
        </w:rPr>
        <w:t xml:space="preserve"> and to facilitate the dissemination of their results through the EU Thematic Knowledge Hubs as </w:t>
      </w:r>
      <w:r>
        <w:rPr>
          <w:rFonts w:ascii="Times New Roman" w:hAnsi="Times New Roman" w:cs="Times New Roman"/>
          <w:noProof/>
          <w:sz w:val="24"/>
          <w:szCs w:val="24"/>
          <w:lang w:val="en-IE"/>
        </w:rPr>
        <w:t>reference points for users and reduce the burden on agricultural advisors</w:t>
      </w:r>
      <w:r>
        <w:rPr>
          <w:rFonts w:ascii="Times New Roman" w:hAnsi="Times New Roman" w:cs="Times New Roman"/>
          <w:noProof/>
          <w:sz w:val="24"/>
          <w:szCs w:val="24"/>
          <w:vertAlign w:val="superscript"/>
        </w:rPr>
        <w:footnoteReference w:id="25"/>
      </w:r>
      <w:r>
        <w:rPr>
          <w:noProof/>
          <w:lang w:val="en-IE"/>
        </w:rPr>
        <w:t>.</w:t>
      </w:r>
    </w:p>
    <w:p>
      <w:pPr>
        <w:spacing w:line="276" w:lineRule="auto"/>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Synergies between Living Labs and Operational Groups</w:t>
      </w:r>
      <w:r>
        <w:rPr>
          <w:rFonts w:ascii="Times New Roman" w:hAnsi="Times New Roman" w:cs="Times New Roman"/>
          <w:noProof/>
          <w:sz w:val="24"/>
          <w:szCs w:val="24"/>
          <w:lang w:val="en-IE"/>
        </w:rPr>
        <w:t xml:space="preserve"> will be strengthened to support the local adaptation of innovative solutions. This will include encouraging Living Labs to involve Operational Group partners and, in cooperation with Member States, promoting the uptake and adaptation by Operational Groups of results developed in Living Labs</w:t>
      </w:r>
      <w:r>
        <w:rPr>
          <w:rFonts w:ascii="Times New Roman" w:hAnsi="Times New Roman" w:cs="Times New Roman"/>
          <w:noProof/>
          <w:sz w:val="24"/>
          <w:szCs w:val="24"/>
          <w:vertAlign w:val="superscript"/>
        </w:rPr>
        <w:footnoteReference w:id="26"/>
      </w:r>
      <w:r>
        <w:rPr>
          <w:rFonts w:ascii="Times New Roman" w:hAnsi="Times New Roman" w:cs="Times New Roman"/>
          <w:noProof/>
          <w:sz w:val="24"/>
          <w:szCs w:val="24"/>
          <w:lang w:val="en-IE"/>
        </w:rPr>
        <w:t>. Connections between Living Labs and the upcoming EU Thematic Knowledge Hubs should also be strengthened to help scale locally tested innovations across the EU.</w:t>
      </w:r>
      <w:r>
        <w:rPr>
          <w:rFonts w:ascii="Times New Roman" w:hAnsi="Times New Roman" w:cs="Times New Roman"/>
          <w:b/>
          <w:bCs/>
          <w:noProof/>
          <w:sz w:val="24"/>
          <w:szCs w:val="24"/>
          <w:lang w:val="en-IE"/>
        </w:rPr>
        <w:t xml:space="preserve"> </w:t>
      </w:r>
      <w:r>
        <w:rPr>
          <w:rFonts w:ascii="Times New Roman" w:hAnsi="Times New Roman" w:cs="Times New Roman"/>
          <w:noProof/>
          <w:sz w:val="24"/>
          <w:szCs w:val="24"/>
          <w:lang w:val="en-IE"/>
        </w:rPr>
        <w:t xml:space="preserve">Collaboration </w:t>
      </w:r>
      <w:r>
        <w:rPr>
          <w:rFonts w:ascii="Times New Roman" w:hAnsi="Times New Roman" w:cs="Times New Roman"/>
          <w:b/>
          <w:bCs/>
          <w:noProof/>
          <w:sz w:val="24"/>
          <w:szCs w:val="24"/>
          <w:lang w:val="en-IE"/>
        </w:rPr>
        <w:t>with testing and experimentation facilities</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lang w:val="en-IE"/>
        </w:rPr>
        <w:t xml:space="preserve"> should be encouraged to accelerate the uptake of digital innovations in agriculture, forestry and rural areas. </w:t>
      </w:r>
    </w:p>
    <w:p>
      <w:pPr>
        <w:spacing w:line="276" w:lineRule="auto"/>
        <w:jc w:val="both"/>
        <w:rPr>
          <w:rFonts w:ascii="Times New Roman" w:hAnsi="Times New Roman" w:cs="Times New Roman"/>
          <w:b/>
          <w:bCs/>
          <w:i/>
          <w:iCs/>
          <w:noProof/>
          <w:sz w:val="24"/>
          <w:szCs w:val="24"/>
          <w:lang w:val="en-GB"/>
        </w:rPr>
      </w:pPr>
      <w:bookmarkStart w:id="13" w:name="_Toc226977843"/>
      <w:r>
        <w:rPr>
          <w:rFonts w:ascii="Times New Roman" w:hAnsi="Times New Roman" w:cs="Times New Roman"/>
          <w:b/>
          <w:bCs/>
          <w:i/>
          <w:iCs/>
          <w:noProof/>
          <w:sz w:val="24"/>
          <w:szCs w:val="24"/>
          <w:lang w:val="en-GB"/>
        </w:rPr>
        <w:t>Maximising the impact and reach of practical knowledge</w:t>
      </w:r>
      <w:bookmarkEnd w:id="13"/>
      <w:r>
        <w:rPr>
          <w:rFonts w:ascii="Times New Roman" w:hAnsi="Times New Roman" w:cs="Times New Roman"/>
          <w:b/>
          <w:bCs/>
          <w:i/>
          <w:iCs/>
          <w:noProof/>
          <w:sz w:val="24"/>
          <w:szCs w:val="24"/>
          <w:lang w:val="en-GB"/>
        </w:rPr>
        <w:t xml:space="preserve"> </w:t>
      </w:r>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Commission will continue to strengthen knowledge repositories and</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interoperable, user-centred infrastructures</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 xml:space="preserve">to ensure the </w:t>
      </w:r>
      <w:r>
        <w:rPr>
          <w:rFonts w:ascii="Times New Roman" w:hAnsi="Times New Roman" w:cs="Times New Roman"/>
          <w:b/>
          <w:bCs/>
          <w:noProof/>
          <w:sz w:val="24"/>
          <w:szCs w:val="24"/>
          <w:lang w:val="en-GB"/>
        </w:rPr>
        <w:t xml:space="preserve">long-term accessibility and usability </w:t>
      </w:r>
      <w:r>
        <w:rPr>
          <w:rFonts w:ascii="Times New Roman" w:hAnsi="Times New Roman" w:cs="Times New Roman"/>
          <w:noProof/>
          <w:sz w:val="24"/>
          <w:szCs w:val="24"/>
          <w:lang w:val="en-GB"/>
        </w:rPr>
        <w:t>of more</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granular, context specific and practically explained R&amp;I results</w:t>
      </w:r>
      <w:r>
        <w:rPr>
          <w:rFonts w:ascii="Times New Roman" w:hAnsi="Times New Roman" w:cs="Times New Roman"/>
          <w:b/>
          <w:bCs/>
          <w:noProof/>
          <w:sz w:val="24"/>
          <w:szCs w:val="24"/>
          <w:lang w:val="en-GB"/>
        </w:rPr>
        <w:t>.</w:t>
      </w:r>
      <w:r>
        <w:rPr>
          <w:rFonts w:ascii="Times New Roman" w:hAnsi="Times New Roman" w:cs="Times New Roman"/>
          <w:noProof/>
          <w:sz w:val="24"/>
          <w:szCs w:val="24"/>
          <w:lang w:val="en-GB"/>
        </w:rPr>
        <w:t xml:space="preserve"> </w:t>
      </w:r>
    </w:p>
    <w:p>
      <w:pPr>
        <w:spacing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EIP-AGRI </w:t>
      </w:r>
      <w:r>
        <w:rPr>
          <w:rFonts w:ascii="Times New Roman" w:hAnsi="Times New Roman" w:cs="Times New Roman"/>
          <w:b/>
          <w:bCs/>
          <w:noProof/>
          <w:sz w:val="24"/>
          <w:szCs w:val="24"/>
          <w:lang w:val="en-GB"/>
        </w:rPr>
        <w:t>practice abstracts</w:t>
      </w:r>
      <w:r>
        <w:rPr>
          <w:rStyle w:val="FootnoteReference"/>
          <w:rFonts w:ascii="Times New Roman" w:hAnsi="Times New Roman" w:cs="Times New Roman"/>
          <w:noProof/>
          <w:sz w:val="24"/>
          <w:szCs w:val="24"/>
          <w:lang w:val="en-GB"/>
        </w:rPr>
        <w:footnoteReference w:id="28"/>
      </w:r>
      <w:r>
        <w:rPr>
          <w:rStyle w:val="FootnoteReference"/>
          <w:rFonts w:ascii="Times New Roman" w:hAnsi="Times New Roman" w:cs="Times New Roman"/>
          <w:noProof/>
          <w:sz w:val="24"/>
          <w:szCs w:val="24"/>
          <w:lang w:val="en-GB"/>
        </w:rPr>
        <w:t xml:space="preserve"> </w:t>
      </w:r>
      <w:r>
        <w:rPr>
          <w:rStyle w:val="FootnoteReference"/>
          <w:rFonts w:ascii="Times New Roman" w:hAnsi="Times New Roman" w:cs="Times New Roman"/>
          <w:noProof/>
          <w:sz w:val="24"/>
          <w:szCs w:val="24"/>
          <w:vertAlign w:val="baseline"/>
          <w:lang w:val="en-GB"/>
        </w:rPr>
        <w:t>format</w:t>
      </w:r>
      <w:r>
        <w:rPr>
          <w:rStyle w:val="FootnoteReference"/>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will be revised for </w:t>
      </w:r>
      <w:r>
        <w:rPr>
          <w:rFonts w:ascii="Times New Roman" w:hAnsi="Times New Roman" w:cs="Times New Roman"/>
          <w:b/>
          <w:bCs/>
          <w:noProof/>
          <w:sz w:val="24"/>
          <w:szCs w:val="24"/>
          <w:lang w:val="en-GB"/>
        </w:rPr>
        <w:t xml:space="preserve">greater accessibility, clarity and relevance. </w:t>
      </w:r>
      <w:r>
        <w:rPr>
          <w:rFonts w:ascii="Times New Roman" w:hAnsi="Times New Roman" w:cs="Times New Roman"/>
          <w:noProof/>
          <w:sz w:val="24"/>
          <w:szCs w:val="24"/>
          <w:lang w:val="en-GB"/>
        </w:rPr>
        <w:t xml:space="preserve">Projects will be encouraged to allocate resources to turn R&amp;I outcomes into practitioner-oriented handbooks, which should be peer-reviewed to ensure quality and user relevance. They will also be encouraged to make greater use of </w:t>
      </w:r>
      <w:r>
        <w:rPr>
          <w:rFonts w:ascii="Times New Roman" w:hAnsi="Times New Roman" w:cs="Times New Roman"/>
          <w:b/>
          <w:bCs/>
          <w:noProof/>
          <w:sz w:val="24"/>
          <w:szCs w:val="24"/>
          <w:lang w:val="en-GB"/>
        </w:rPr>
        <w:t>digital tools and AI</w:t>
      </w:r>
      <w:r>
        <w:rPr>
          <w:rFonts w:ascii="Times New Roman" w:hAnsi="Times New Roman" w:cs="Times New Roman"/>
          <w:noProof/>
          <w:sz w:val="24"/>
          <w:szCs w:val="24"/>
          <w:lang w:val="en-GB"/>
        </w:rPr>
        <w:t xml:space="preserve"> to support a broader and smarter dissemination of practical findings.</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lastRenderedPageBreak/>
        <w:t xml:space="preserve">Training materials </w:t>
      </w:r>
      <w:r>
        <w:rPr>
          <w:rFonts w:ascii="Times New Roman" w:hAnsi="Times New Roman" w:cs="Times New Roman"/>
          <w:noProof/>
          <w:sz w:val="24"/>
          <w:szCs w:val="24"/>
          <w:lang w:val="en-GB"/>
        </w:rPr>
        <w:t>developed through Horizon Europe thematic and advisory networks should be integrated into training programmes</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by</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national Agricultural Knowledge and Innovation Systems (AKIS) to support</w:t>
      </w:r>
      <w:r>
        <w:rPr>
          <w:rFonts w:ascii="Times New Roman" w:hAnsi="Times New Roman" w:cs="Times New Roman"/>
          <w:b/>
          <w:bCs/>
          <w:noProof/>
          <w:sz w:val="24"/>
          <w:szCs w:val="24"/>
          <w:lang w:val="en-GB"/>
        </w:rPr>
        <w:t xml:space="preserve"> high-quality farm advisory services</w:t>
      </w:r>
      <w:r>
        <w:rPr>
          <w:rFonts w:ascii="Times New Roman" w:hAnsi="Times New Roman" w:cs="Times New Roman"/>
          <w:noProof/>
          <w:sz w:val="24"/>
          <w:szCs w:val="24"/>
          <w:lang w:val="en-GB"/>
        </w:rPr>
        <w:t>. Stronger</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 xml:space="preserve">links between advisors and universities </w:t>
      </w:r>
      <w:r>
        <w:rPr>
          <w:rFonts w:ascii="Times New Roman" w:hAnsi="Times New Roman" w:cs="Times New Roman"/>
          <w:noProof/>
          <w:sz w:val="24"/>
          <w:szCs w:val="24"/>
          <w:lang w:val="en-IE"/>
        </w:rPr>
        <w:t>will also be essential to ensure that field-level advice reflects the latest research and innovation.</w:t>
      </w:r>
      <w:r>
        <w:rPr>
          <w:rFonts w:ascii="Times New Roman" w:hAnsi="Times New Roman" w:cs="Times New Roman"/>
          <w:noProof/>
          <w:sz w:val="24"/>
          <w:szCs w:val="24"/>
          <w:lang w:val="en-GB"/>
        </w:rPr>
        <w:t xml:space="preserve"> </w:t>
      </w:r>
    </w:p>
    <w:p>
      <w:pPr>
        <w:spacing w:after="120" w:line="276" w:lineRule="auto"/>
        <w:jc w:val="both"/>
        <w:rPr>
          <w:rFonts w:ascii="Times New Roman" w:eastAsia="Times New Roman" w:hAnsi="Times New Roman" w:cs="Times New Roman"/>
          <w:b/>
          <w:bCs/>
          <w:noProof/>
          <w:sz w:val="24"/>
          <w:szCs w:val="24"/>
          <w:lang w:val="en-GB"/>
        </w:rPr>
      </w:pPr>
      <w:r>
        <w:rPr>
          <w:rFonts w:ascii="Times New Roman" w:hAnsi="Times New Roman" w:cs="Times New Roman"/>
          <w:noProof/>
          <w:sz w:val="24"/>
          <w:szCs w:val="24"/>
          <w:lang w:val="en-GB"/>
        </w:rPr>
        <w:t>Embedding research outcomes in</w:t>
      </w:r>
      <w:r>
        <w:rPr>
          <w:rFonts w:ascii="Times New Roman" w:hAnsi="Times New Roman" w:cs="Times New Roman"/>
          <w:b/>
          <w:bCs/>
          <w:noProof/>
          <w:sz w:val="24"/>
          <w:szCs w:val="24"/>
          <w:lang w:val="en-GB"/>
        </w:rPr>
        <w:t xml:space="preserve"> vocational education and training and higher education</w:t>
      </w:r>
      <w:r>
        <w:rPr>
          <w:rFonts w:ascii="Times New Roman" w:hAnsi="Times New Roman" w:cs="Times New Roman"/>
          <w:noProof/>
          <w:sz w:val="24"/>
          <w:szCs w:val="24"/>
          <w:lang w:val="en-GB"/>
        </w:rPr>
        <w:t xml:space="preserve"> will be critical for mainstreaming sustainable practices</w:t>
      </w:r>
      <w:r>
        <w:rPr>
          <w:rFonts w:ascii="Times New Roman" w:hAnsi="Times New Roman" w:cs="Times New Roman"/>
          <w:noProof/>
          <w:sz w:val="24"/>
          <w:szCs w:val="24"/>
          <w:vertAlign w:val="superscript"/>
          <w:lang w:val="en-GB"/>
        </w:rPr>
        <w:footnoteReference w:id="29"/>
      </w:r>
      <w:r>
        <w:rPr>
          <w:rFonts w:ascii="Times New Roman" w:hAnsi="Times New Roman" w:cs="Times New Roman"/>
          <w:noProof/>
          <w:sz w:val="24"/>
          <w:szCs w:val="24"/>
          <w:lang w:val="en-GB"/>
        </w:rPr>
        <w:t xml:space="preserve"> and equipping the future workforce with the skills needed to drive innovation, particularly in the context of challenges posed by generational renewal. Building on </w:t>
      </w:r>
      <w:r>
        <w:rPr>
          <w:rFonts w:ascii="Times New Roman" w:eastAsia="Times New Roman" w:hAnsi="Times New Roman" w:cs="Times New Roman"/>
          <w:noProof/>
          <w:sz w:val="24"/>
          <w:szCs w:val="24"/>
          <w:lang w:val="en-GB"/>
        </w:rPr>
        <w:t xml:space="preserve">the activities of the </w:t>
      </w:r>
      <w:hyperlink r:id="rId33" w:history="1">
        <w:r>
          <w:rPr>
            <w:rStyle w:val="Hyperlink"/>
            <w:rFonts w:ascii="Times New Roman" w:eastAsia="Times New Roman" w:hAnsi="Times New Roman" w:cs="Times New Roman"/>
            <w:noProof/>
            <w:sz w:val="24"/>
            <w:szCs w:val="24"/>
            <w:lang w:val="en-GB"/>
          </w:rPr>
          <w:t>European Skills Intelligence Observatory</w:t>
        </w:r>
      </w:hyperlink>
      <w:r>
        <w:rPr>
          <w:rStyle w:val="FootnoteReference"/>
          <w:rFonts w:ascii="Times New Roman" w:eastAsia="Times New Roman" w:hAnsi="Times New Roman" w:cs="Times New Roman"/>
          <w:noProof/>
          <w:sz w:val="24"/>
          <w:szCs w:val="24"/>
          <w:vertAlign w:val="baseline"/>
          <w:lang w:val="en-GB"/>
        </w:rPr>
        <w:t>,</w:t>
      </w:r>
      <w:r>
        <w:rPr>
          <w:rFonts w:ascii="Times New Roman" w:eastAsia="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IE"/>
        </w:rPr>
        <w:t>t</w:t>
      </w:r>
      <w:r>
        <w:rPr>
          <w:rFonts w:ascii="Times New Roman" w:eastAsia="Times New Roman" w:hAnsi="Times New Roman" w:cs="Times New Roman"/>
          <w:noProof/>
          <w:sz w:val="24"/>
          <w:szCs w:val="24"/>
          <w:lang w:val="en-GB"/>
        </w:rPr>
        <w:t xml:space="preserve">he </w:t>
      </w:r>
      <w:hyperlink r:id="rId34" w:history="1">
        <w:r>
          <w:rPr>
            <w:rStyle w:val="Hyperlink"/>
            <w:rFonts w:ascii="Times New Roman" w:eastAsia="Times New Roman" w:hAnsi="Times New Roman" w:cs="Times New Roman"/>
            <w:noProof/>
            <w:sz w:val="24"/>
            <w:szCs w:val="24"/>
            <w:lang w:val="en-GB"/>
          </w:rPr>
          <w:t>Large-Scale Partnership for the agri-food ecosystem</w:t>
        </w:r>
      </w:hyperlink>
      <w:r>
        <w:rPr>
          <w:rFonts w:ascii="Times New Roman" w:eastAsia="Times New Roman" w:hAnsi="Times New Roman" w:cs="Times New Roman"/>
          <w:noProof/>
          <w:sz w:val="24"/>
          <w:szCs w:val="24"/>
          <w:lang w:val="en-GB"/>
        </w:rPr>
        <w:t xml:space="preserve">,  </w:t>
      </w:r>
      <w:hyperlink r:id="rId35" w:history="1">
        <w:r>
          <w:rPr>
            <w:rStyle w:val="Hyperlink"/>
            <w:rFonts w:ascii="Times New Roman" w:eastAsia="Times New Roman" w:hAnsi="Times New Roman" w:cs="Times New Roman"/>
            <w:noProof/>
            <w:sz w:val="24"/>
            <w:szCs w:val="24"/>
            <w:lang w:val="en-GB"/>
          </w:rPr>
          <w:t>Centres of Vocational Excellence</w:t>
        </w:r>
      </w:hyperlink>
      <w:r>
        <w:rPr>
          <w:rFonts w:ascii="Times New Roman" w:eastAsia="Times New Roman" w:hAnsi="Times New Roman" w:cs="Times New Roman"/>
          <w:noProof/>
          <w:sz w:val="24"/>
          <w:szCs w:val="24"/>
          <w:lang w:val="en-GB"/>
        </w:rPr>
        <w:t xml:space="preserve"> funded by Erasmus+ and </w:t>
      </w:r>
      <w:hyperlink r:id="rId36" w:history="1">
        <w:r>
          <w:rPr>
            <w:rStyle w:val="Hyperlink"/>
            <w:rFonts w:ascii="Times New Roman" w:eastAsia="Times New Roman" w:hAnsi="Times New Roman" w:cs="Times New Roman"/>
            <w:noProof/>
            <w:sz w:val="24"/>
            <w:szCs w:val="24"/>
            <w:lang w:val="en-GB"/>
          </w:rPr>
          <w:t>EIT KICs</w:t>
        </w:r>
      </w:hyperlink>
      <w:r>
        <w:rPr>
          <w:rFonts w:ascii="Times New Roman" w:eastAsia="Times New Roman" w:hAnsi="Times New Roman" w:cs="Times New Roman"/>
          <w:noProof/>
          <w:sz w:val="24"/>
          <w:szCs w:val="24"/>
          <w:lang w:val="en-GB"/>
        </w:rPr>
        <w:t xml:space="preserve"> will help identify and address emerging skills gaps</w:t>
      </w:r>
      <w:r>
        <w:rPr>
          <w:rFonts w:ascii="Times New Roman" w:eastAsia="Times New Roman" w:hAnsi="Times New Roman" w:cs="Times New Roman"/>
          <w:b/>
          <w:bCs/>
          <w:noProof/>
          <w:sz w:val="24"/>
          <w:szCs w:val="24"/>
          <w:lang w:val="en-GB"/>
        </w:rPr>
        <w:t>.</w:t>
      </w:r>
    </w:p>
    <w:p>
      <w:pPr>
        <w:spacing w:after="120" w:line="276"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Finally, achieving widespread innovation uptake will require R&amp;I to </w:t>
      </w:r>
      <w:r>
        <w:rPr>
          <w:rFonts w:ascii="Times New Roman" w:eastAsia="Times New Roman" w:hAnsi="Times New Roman" w:cs="Times New Roman"/>
          <w:b/>
          <w:bCs/>
          <w:noProof/>
          <w:sz w:val="24"/>
          <w:szCs w:val="24"/>
          <w:lang w:val="en-GB"/>
        </w:rPr>
        <w:t>engage beyond the traditional actors</w:t>
      </w:r>
      <w:r>
        <w:rPr>
          <w:rFonts w:ascii="Times New Roman" w:eastAsia="Times New Roman" w:hAnsi="Times New Roman" w:cs="Times New Roman"/>
          <w:noProof/>
          <w:sz w:val="24"/>
          <w:szCs w:val="24"/>
          <w:lang w:val="en-GB"/>
        </w:rPr>
        <w:t xml:space="preserve"> (farmers, advisors and other rural actors), by involving entrepreneurs, regional authorities, educators, civil society and industry more systemically, while strengthening support for citizen science. </w:t>
      </w:r>
    </w:p>
    <w:p>
      <w:pPr>
        <w:pStyle w:val="Heading2"/>
        <w:rPr>
          <w:rFonts w:ascii="Times New Roman" w:hAnsi="Times New Roman" w:cs="Times New Roman"/>
          <w:b/>
          <w:noProof/>
          <w:color w:val="auto"/>
          <w:sz w:val="24"/>
          <w:szCs w:val="24"/>
          <w:lang w:val="en-GB"/>
        </w:rPr>
      </w:pPr>
      <w:bookmarkStart w:id="14" w:name="_Toc232778785"/>
      <w:bookmarkEnd w:id="5"/>
      <w:r>
        <w:rPr>
          <w:rFonts w:ascii="Times New Roman" w:hAnsi="Times New Roman" w:cs="Times New Roman"/>
          <w:b/>
          <w:noProof/>
          <w:color w:val="auto"/>
          <w:sz w:val="24"/>
          <w:szCs w:val="24"/>
          <w:lang w:val="en-GB"/>
        </w:rPr>
        <w:t>2.3 Boosting food technology for food-chain resilience and food security</w:t>
      </w:r>
      <w:bookmarkEnd w:id="14"/>
    </w:p>
    <w:p>
      <w:pPr>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The food industry’s diverse ecosystem, which spans innovative startups and other SMEs, and multinationals, requires significant lab-to-market collaboration to accelerate impactful solutions for new products and services.</w:t>
      </w:r>
    </w:p>
    <w:p>
      <w:pPr>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While the EU is strong in financing early-stage innovation, upscaling new, sustainable food ingredients requires more financial support to help innovative startups and other SMEs overcome the second valley of death</w:t>
      </w:r>
      <w:r>
        <w:rPr>
          <w:rStyle w:val="FootnoteReference"/>
          <w:rFonts w:ascii="Times New Roman" w:hAnsi="Times New Roman" w:cs="Times New Roman"/>
          <w:noProof/>
          <w:color w:val="000000" w:themeColor="text1"/>
          <w:sz w:val="24"/>
          <w:szCs w:val="24"/>
          <w:lang w:val="en-GB"/>
        </w:rPr>
        <w:footnoteReference w:id="30"/>
      </w:r>
      <w:r>
        <w:rPr>
          <w:rFonts w:ascii="Times New Roman" w:hAnsi="Times New Roman" w:cs="Times New Roman"/>
          <w:noProof/>
          <w:color w:val="000000" w:themeColor="text1"/>
          <w:sz w:val="24"/>
          <w:szCs w:val="24"/>
          <w:lang w:val="en-GB"/>
        </w:rPr>
        <w:t>. This is particularly true for the food industry, which has significant c</w:t>
      </w:r>
      <w:r>
        <w:rPr>
          <w:rFonts w:ascii="Times New Roman" w:hAnsi="Times New Roman" w:cs="Times New Roman"/>
          <w:noProof/>
          <w:color w:val="000000" w:themeColor="text1"/>
          <w:sz w:val="24"/>
          <w:szCs w:val="24"/>
          <w:lang w:val="en-IE"/>
        </w:rPr>
        <w:t xml:space="preserve">apital expenditure </w:t>
      </w:r>
      <w:r>
        <w:rPr>
          <w:rFonts w:ascii="Times New Roman" w:hAnsi="Times New Roman" w:cs="Times New Roman"/>
          <w:noProof/>
          <w:color w:val="000000" w:themeColor="text1"/>
          <w:sz w:val="24"/>
          <w:szCs w:val="24"/>
          <w:lang w:val="en-GB"/>
        </w:rPr>
        <w:t>requirements and where private investors are often hesitant to support infrastructure financing</w:t>
      </w:r>
      <w:r>
        <w:rPr>
          <w:rFonts w:ascii="Times New Roman" w:hAnsi="Times New Roman" w:cs="Times New Roman"/>
          <w:noProof/>
          <w:color w:val="000000" w:themeColor="text1"/>
          <w:sz w:val="24"/>
          <w:szCs w:val="24"/>
          <w:vertAlign w:val="superscript"/>
          <w:lang w:val="en-GB"/>
        </w:rPr>
        <w:footnoteReference w:id="31"/>
      </w:r>
      <w:r>
        <w:rPr>
          <w:rFonts w:ascii="Times New Roman" w:hAnsi="Times New Roman" w:cs="Times New Roman"/>
          <w:noProof/>
          <w:color w:val="000000" w:themeColor="text1"/>
          <w:sz w:val="24"/>
          <w:szCs w:val="24"/>
          <w:lang w:val="en-GB"/>
        </w:rPr>
        <w:t>. Financial support notably implies addressing the continent-wide shortage of industrial-scale contract manufacturing capacity at TRL 8-9 for</w:t>
      </w:r>
      <w:r>
        <w:rPr>
          <w:rFonts w:ascii="Times New Roman" w:eastAsia="Times New Roman" w:hAnsi="Times New Roman" w:cs="Times New Roman"/>
          <w:noProof/>
          <w:sz w:val="24"/>
          <w:szCs w:val="24"/>
          <w:lang w:val="en-GB"/>
        </w:rPr>
        <w:t xml:space="preserve"> fermentation-based technologies</w:t>
      </w:r>
      <w:r>
        <w:rPr>
          <w:rStyle w:val="FootnoteReference"/>
          <w:rFonts w:ascii="Times New Roman" w:eastAsia="Times New Roman" w:hAnsi="Times New Roman" w:cs="Times New Roman"/>
          <w:noProof/>
          <w:sz w:val="24"/>
          <w:szCs w:val="24"/>
          <w:lang w:val="en-GB"/>
        </w:rPr>
        <w:footnoteReference w:id="32"/>
      </w:r>
      <w:r>
        <w:rPr>
          <w:rFonts w:ascii="Times New Roman" w:eastAsia="Times New Roman" w:hAnsi="Times New Roman" w:cs="Times New Roman"/>
          <w:noProof/>
          <w:sz w:val="24"/>
          <w:szCs w:val="24"/>
          <w:lang w:val="en-GB"/>
        </w:rPr>
        <w:t xml:space="preserve"> for food and feed ingredients while fully respecting the EU risk assessment and authorisation framework</w:t>
      </w:r>
      <w:r>
        <w:rPr>
          <w:rFonts w:ascii="Times New Roman" w:hAnsi="Times New Roman" w:cs="Times New Roman"/>
          <w:noProof/>
          <w:color w:val="000000" w:themeColor="text1"/>
          <w:sz w:val="24"/>
          <w:szCs w:val="24"/>
          <w:lang w:val="en-GB"/>
        </w:rPr>
        <w:t>. Quantum computing, with its significant computational power, combined with digital and AI tools can contribute to improved downstream processing, the development of new food ingredients and the more efficient development of personalised nutrition. The Commission will explore how to increase investment including through the ECF InvestEU Instrument, to accelerate commercialisation and strengthen food innovation in the EU.</w:t>
      </w:r>
    </w:p>
    <w:p>
      <w:pPr>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 xml:space="preserve">Moreover, the EU needs to speed up the adoption of advanced food technologies from early-stage research, scaling up activities to the commercialisation through industrial deployment, while </w:t>
      </w:r>
      <w:r>
        <w:rPr>
          <w:rFonts w:ascii="Times New Roman" w:hAnsi="Times New Roman" w:cs="Times New Roman"/>
          <w:noProof/>
          <w:color w:val="000000" w:themeColor="text1"/>
          <w:sz w:val="24"/>
          <w:szCs w:val="24"/>
          <w:lang w:val="en-GB"/>
        </w:rPr>
        <w:lastRenderedPageBreak/>
        <w:t xml:space="preserve">continuing to ensure food safety. Achieving this will require committed engagement from key infrastructures and research organisations, including the </w:t>
      </w:r>
      <w:hyperlink r:id="rId37" w:history="1">
        <w:r>
          <w:rPr>
            <w:rStyle w:val="Hyperlink"/>
            <w:rFonts w:ascii="Times New Roman" w:hAnsi="Times New Roman" w:cs="Times New Roman"/>
            <w:b/>
            <w:bCs/>
            <w:noProof/>
            <w:sz w:val="24"/>
            <w:szCs w:val="24"/>
            <w:lang w:val="en-GB"/>
          </w:rPr>
          <w:t>Industrial Biotechnology Innovation and Synthetic Biology Accelerator (IBISBA)</w:t>
        </w:r>
      </w:hyperlink>
      <w:r>
        <w:rPr>
          <w:rFonts w:ascii="Times New Roman" w:hAnsi="Times New Roman" w:cs="Times New Roman"/>
          <w:noProof/>
          <w:color w:val="000000" w:themeColor="text1"/>
          <w:sz w:val="24"/>
          <w:szCs w:val="24"/>
          <w:lang w:val="en-GB"/>
        </w:rPr>
        <w:t xml:space="preserve">, universities, research institutes, biomanufacturing facilities, technology transfer offices and innovation hubs, supported by tools such as the </w:t>
      </w:r>
      <w:hyperlink r:id="rId38" w:history="1">
        <w:r>
          <w:rPr>
            <w:rStyle w:val="Hyperlink"/>
            <w:rFonts w:ascii="Times New Roman" w:hAnsi="Times New Roman" w:cs="Times New Roman"/>
            <w:noProof/>
            <w:sz w:val="24"/>
            <w:szCs w:val="24"/>
            <w:lang w:val="en-GB"/>
          </w:rPr>
          <w:t>EU biotech and biomanufacturing hub</w:t>
        </w:r>
      </w:hyperlink>
      <w:r>
        <w:rPr>
          <w:rFonts w:ascii="Times New Roman" w:hAnsi="Times New Roman" w:cs="Times New Roman"/>
          <w:noProof/>
          <w:color w:val="000000" w:themeColor="text1"/>
          <w:sz w:val="24"/>
          <w:szCs w:val="24"/>
          <w:lang w:val="en-GB"/>
        </w:rPr>
        <w:t>.</w:t>
      </w:r>
    </w:p>
    <w:p>
      <w:pPr>
        <w:jc w:val="both"/>
        <w:rPr>
          <w:rFonts w:ascii="Times New Roman" w:hAnsi="Times New Roman" w:cs="Times New Roman"/>
          <w:noProof/>
          <w:color w:val="000000" w:themeColor="text1"/>
          <w:sz w:val="24"/>
          <w:szCs w:val="24"/>
          <w:lang w:val="en-IE"/>
        </w:rPr>
      </w:pPr>
      <w:r>
        <w:rPr>
          <w:rFonts w:ascii="Times New Roman" w:hAnsi="Times New Roman" w:cs="Times New Roman"/>
          <w:noProof/>
          <w:color w:val="000000" w:themeColor="text1"/>
          <w:sz w:val="24"/>
          <w:szCs w:val="24"/>
          <w:lang w:val="en-GB"/>
        </w:rPr>
        <w:t>Strengthening food supply and security will increase the EU’s independence by supporting domestic supply chains for essential food ingredients such as vitamins, amino acids and enzymes, thereby reducing external dependencies</w:t>
      </w:r>
      <w:r>
        <w:rPr>
          <w:rFonts w:ascii="Times New Roman" w:eastAsia="Times New Roman" w:hAnsi="Times New Roman" w:cs="Times New Roman"/>
          <w:noProof/>
          <w:sz w:val="24"/>
          <w:szCs w:val="24"/>
          <w:lang w:val="en-GB"/>
        </w:rPr>
        <w:t xml:space="preserve">. The Commission, together with Member States, could also improve </w:t>
      </w:r>
      <w:r>
        <w:rPr>
          <w:rFonts w:ascii="Times New Roman" w:hAnsi="Times New Roman" w:cs="Times New Roman"/>
          <w:noProof/>
          <w:color w:val="000000" w:themeColor="text1"/>
          <w:sz w:val="24"/>
          <w:szCs w:val="24"/>
          <w:lang w:val="en-GB"/>
        </w:rPr>
        <w:t xml:space="preserve">this resilience through digital and AI tools and solutions. </w:t>
      </w:r>
      <w:hyperlink r:id="rId39" w:history="1">
        <w:r>
          <w:rPr>
            <w:rStyle w:val="Hyperlink"/>
            <w:rFonts w:ascii="Times New Roman" w:hAnsi="Times New Roman" w:cs="Times New Roman"/>
            <w:noProof/>
            <w:sz w:val="24"/>
            <w:szCs w:val="24"/>
            <w:lang w:val="en-IE"/>
          </w:rPr>
          <w:t>The Important Projects of Common European Interest (IPCEI)</w:t>
        </w:r>
      </w:hyperlink>
      <w:r>
        <w:rPr>
          <w:rFonts w:ascii="Times New Roman" w:hAnsi="Times New Roman" w:cs="Times New Roman"/>
          <w:noProof/>
          <w:color w:val="000000" w:themeColor="text1"/>
          <w:sz w:val="24"/>
          <w:szCs w:val="24"/>
          <w:lang w:val="en-IE"/>
        </w:rPr>
        <w:t xml:space="preserve"> is another example </w:t>
      </w:r>
      <w:r>
        <w:rPr>
          <w:rFonts w:ascii="Times New Roman" w:hAnsi="Times New Roman" w:cs="Times New Roman"/>
          <w:noProof/>
          <w:color w:val="000000" w:themeColor="text1"/>
          <w:sz w:val="24"/>
          <w:szCs w:val="24"/>
          <w:lang w:val="en-GB"/>
        </w:rPr>
        <w:t>for</w:t>
      </w:r>
      <w:r>
        <w:rPr>
          <w:rFonts w:ascii="Times New Roman" w:hAnsi="Times New Roman" w:cs="Times New Roman"/>
          <w:noProof/>
          <w:color w:val="000000" w:themeColor="text1"/>
          <w:sz w:val="24"/>
          <w:szCs w:val="24"/>
          <w:lang w:val="en-IE"/>
        </w:rPr>
        <w:t xml:space="preserve"> pooling Member State investments in strategic food and bio-based value chains.</w:t>
      </w:r>
    </w:p>
    <w:p>
      <w:pPr>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 xml:space="preserve">These can contribute to the transformation of food systems, with applications to reduce food loss and waste, improve the EU’s surveillance of food safety and traceability including fighting food fraud, reduce production costs, predict and manage climate-induced risks and human disease risk factors, and </w:t>
      </w:r>
      <w:r>
        <w:rPr>
          <w:rFonts w:ascii="Times New Roman" w:eastAsia="Times New Roman" w:hAnsi="Times New Roman" w:cs="Times New Roman"/>
          <w:noProof/>
          <w:sz w:val="24"/>
          <w:szCs w:val="24"/>
          <w:lang w:val="en-GB"/>
        </w:rPr>
        <w:t>boost consumer confidence in the integrity of the EU’s food systems</w:t>
      </w:r>
      <w:r>
        <w:rPr>
          <w:rFonts w:ascii="Times New Roman" w:hAnsi="Times New Roman" w:cs="Times New Roman"/>
          <w:noProof/>
          <w:color w:val="000000" w:themeColor="text1"/>
          <w:sz w:val="24"/>
          <w:szCs w:val="24"/>
          <w:lang w:val="en-GB"/>
        </w:rPr>
        <w:t xml:space="preserve">. </w:t>
      </w:r>
    </w:p>
    <w:p>
      <w:pPr>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 xml:space="preserve">The Commission has identified advanced fermentation as a lead technology in the EU bioeconomy strategy and will explore how to encourage private investment in the </w:t>
      </w:r>
      <w:r>
        <w:rPr>
          <w:rFonts w:ascii="Times New Roman" w:hAnsi="Times New Roman" w:cs="Times New Roman"/>
          <w:b/>
          <w:bCs/>
          <w:noProof/>
          <w:color w:val="000000" w:themeColor="text1"/>
          <w:sz w:val="24"/>
          <w:szCs w:val="24"/>
          <w:lang w:val="en-GB"/>
        </w:rPr>
        <w:t>building and upgrading of open-access pilot and demo-scale bioprocessing infrastructure for advanced fermentation to support the food industry, including SMEs,</w:t>
      </w:r>
      <w:r>
        <w:rPr>
          <w:rFonts w:ascii="Times New Roman" w:hAnsi="Times New Roman" w:cs="Times New Roman"/>
          <w:noProof/>
          <w:color w:val="000000" w:themeColor="text1"/>
          <w:sz w:val="24"/>
          <w:szCs w:val="24"/>
          <w:lang w:val="en-GB"/>
        </w:rPr>
        <w:t xml:space="preserve"> to test and de-risk their processes without the need for prohibitive up-front capital expenditure. Member States will be encouraged to do the same.</w:t>
      </w:r>
    </w:p>
    <w:p>
      <w:pPr>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Health and food are closely interconnected, with nutrition, in line with national dietary recommendations, playing a fundamental role in maintaining good health and health promotion</w:t>
      </w:r>
      <w:r>
        <w:rPr>
          <w:rStyle w:val="FootnoteReference"/>
          <w:rFonts w:ascii="Times New Roman" w:hAnsi="Times New Roman" w:cs="Times New Roman"/>
          <w:noProof/>
          <w:color w:val="000000" w:themeColor="text1"/>
          <w:sz w:val="24"/>
          <w:szCs w:val="24"/>
          <w:lang w:val="en-GB"/>
        </w:rPr>
        <w:footnoteReference w:id="33"/>
      </w:r>
      <w:r>
        <w:rPr>
          <w:rFonts w:ascii="Times New Roman" w:hAnsi="Times New Roman" w:cs="Times New Roman"/>
          <w:noProof/>
          <w:color w:val="000000" w:themeColor="text1"/>
          <w:sz w:val="24"/>
          <w:szCs w:val="24"/>
          <w:lang w:val="en-GB"/>
        </w:rPr>
        <w:t xml:space="preserve">. This area has attracted both emerging and advanced technologies with products contributing positively to consumers health by, for example, addressing the inadequate consumption of some vitamins and minerals in line with national nutrition policies. The Commission will consider how to </w:t>
      </w:r>
      <w:r>
        <w:rPr>
          <w:rFonts w:ascii="Times New Roman" w:hAnsi="Times New Roman" w:cs="Times New Roman"/>
          <w:b/>
          <w:bCs/>
          <w:noProof/>
          <w:color w:val="000000" w:themeColor="text1"/>
          <w:sz w:val="24"/>
          <w:szCs w:val="24"/>
          <w:lang w:val="en-GB"/>
        </w:rPr>
        <w:t>reinforce R&amp;I on the link between health and food</w:t>
      </w:r>
      <w:r>
        <w:rPr>
          <w:rFonts w:ascii="Times New Roman" w:hAnsi="Times New Roman" w:cs="Times New Roman"/>
          <w:noProof/>
          <w:color w:val="000000" w:themeColor="text1"/>
          <w:sz w:val="24"/>
          <w:szCs w:val="24"/>
          <w:lang w:val="en-GB"/>
        </w:rPr>
        <w:t xml:space="preserve"> to address the increasing number of diseases linked to cardiometabolic and neurological systems</w:t>
      </w:r>
      <w:r>
        <w:rPr>
          <w:rFonts w:ascii="Times New Roman" w:hAnsi="Times New Roman" w:cs="Times New Roman"/>
          <w:noProof/>
          <w:color w:val="000000" w:themeColor="text1"/>
          <w:sz w:val="24"/>
          <w:szCs w:val="24"/>
          <w:lang w:val="en-IE"/>
        </w:rPr>
        <w:t xml:space="preserve">, and to include, among others, </w:t>
      </w:r>
      <w:r>
        <w:rPr>
          <w:rFonts w:ascii="Times New Roman" w:hAnsi="Times New Roman" w:cs="Times New Roman"/>
          <w:noProof/>
          <w:color w:val="000000" w:themeColor="text1"/>
          <w:sz w:val="24"/>
          <w:szCs w:val="24"/>
          <w:lang w:val="en-GB"/>
        </w:rPr>
        <w:t>personalised nutrition.</w:t>
      </w:r>
    </w:p>
    <w:p>
      <w:pPr>
        <w:pStyle w:val="Heading1"/>
        <w:rPr>
          <w:rFonts w:ascii="Times New Roman" w:hAnsi="Times New Roman" w:cs="Times New Roman"/>
          <w:noProof/>
          <w:lang w:val="en-GB"/>
        </w:rPr>
      </w:pPr>
      <w:bookmarkStart w:id="15" w:name="_Toc232778786"/>
      <w:r>
        <w:rPr>
          <w:rFonts w:ascii="Times New Roman" w:hAnsi="Times New Roman" w:cs="Times New Roman"/>
          <w:b/>
          <w:noProof/>
          <w:color w:val="auto"/>
          <w:sz w:val="24"/>
          <w:szCs w:val="24"/>
          <w:lang w:val="en-GB"/>
        </w:rPr>
        <w:t>3. R&amp;I NEEDS FOR A COMPETITIVE, SUSTAINABLE AND RESILIENT EU AGRI-FOOD SECTOR</w:t>
      </w:r>
      <w:bookmarkEnd w:id="15"/>
    </w:p>
    <w:p>
      <w:pPr>
        <w:pStyle w:val="Heading2"/>
        <w:rPr>
          <w:rFonts w:ascii="Times New Roman" w:hAnsi="Times New Roman" w:cs="Times New Roman"/>
          <w:b/>
          <w:noProof/>
          <w:color w:val="auto"/>
          <w:sz w:val="24"/>
          <w:szCs w:val="24"/>
          <w:lang w:val="en-GB"/>
        </w:rPr>
      </w:pPr>
      <w:bookmarkStart w:id="16" w:name="_Toc232778787"/>
      <w:r>
        <w:rPr>
          <w:rFonts w:ascii="Times New Roman" w:hAnsi="Times New Roman" w:cs="Times New Roman"/>
          <w:b/>
          <w:noProof/>
          <w:color w:val="auto"/>
          <w:sz w:val="24"/>
          <w:szCs w:val="24"/>
          <w:lang w:val="en-GB"/>
        </w:rPr>
        <w:t>3.1. Cross-cutting priorities</w:t>
      </w:r>
      <w:bookmarkEnd w:id="16"/>
      <w:r>
        <w:rPr>
          <w:rFonts w:ascii="Times New Roman" w:hAnsi="Times New Roman" w:cs="Times New Roman"/>
          <w:b/>
          <w:noProof/>
          <w:color w:val="auto"/>
          <w:sz w:val="24"/>
          <w:szCs w:val="24"/>
          <w:lang w:val="en-GB"/>
        </w:rPr>
        <w:t xml:space="preserve"> </w:t>
      </w:r>
    </w:p>
    <w:p>
      <w:pPr>
        <w:jc w:val="both"/>
        <w:rPr>
          <w:noProof/>
          <w:lang w:val="en-IE"/>
        </w:rPr>
      </w:pPr>
      <w:r>
        <w:rPr>
          <w:rFonts w:ascii="Times New Roman" w:hAnsi="Times New Roman" w:cs="Times New Roman"/>
          <w:noProof/>
          <w:sz w:val="24"/>
          <w:szCs w:val="24"/>
          <w:lang w:val="en-GB"/>
        </w:rPr>
        <w:t xml:space="preserve">The complex and interconnected nature of the agri-food sector call for broad R&amp;I interventions that can deliver impact.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lastRenderedPageBreak/>
        <w:t>While specific thematic R&amp;I areas of action are defined in sections 3.3 and 3.4 as regards the agri-food sector, a systemic approach should be applied across all R&amp;I policy areas and informed by a set of cross-cutting priorities.</w:t>
      </w:r>
    </w:p>
    <w:p>
      <w:pPr>
        <w:jc w:val="both"/>
        <w:rPr>
          <w:rFonts w:ascii="Times New Roman" w:hAnsi="Times New Roman" w:cs="Times New Roman"/>
          <w:b/>
          <w:bCs/>
          <w:noProof/>
          <w:sz w:val="24"/>
          <w:szCs w:val="24"/>
          <w:lang w:val="en-IE"/>
        </w:rPr>
      </w:pPr>
      <w:r>
        <w:rPr>
          <w:rFonts w:ascii="Times New Roman" w:hAnsi="Times New Roman" w:cs="Times New Roman"/>
          <w:b/>
          <w:noProof/>
          <w:sz w:val="24"/>
          <w:szCs w:val="24"/>
          <w:lang w:val="en-GB"/>
        </w:rPr>
        <w:t>Six initial priorities</w:t>
      </w:r>
      <w:r>
        <w:rPr>
          <w:rFonts w:ascii="Times New Roman" w:hAnsi="Times New Roman" w:cs="Times New Roman"/>
          <w:noProof/>
          <w:sz w:val="24"/>
          <w:szCs w:val="24"/>
          <w:lang w:val="en-GB"/>
        </w:rPr>
        <w:t>, presented below,</w:t>
      </w:r>
      <w:r>
        <w:rPr>
          <w:rFonts w:ascii="Times New Roman" w:hAnsi="Times New Roman" w:cs="Times New Roman"/>
          <w:b/>
          <w:bCs/>
          <w:noProof/>
          <w:sz w:val="24"/>
          <w:szCs w:val="24"/>
          <w:lang w:val="en-GB"/>
        </w:rPr>
        <w:t> </w:t>
      </w:r>
      <w:r>
        <w:rPr>
          <w:rFonts w:ascii="Times New Roman" w:hAnsi="Times New Roman" w:cs="Times New Roman"/>
          <w:noProof/>
          <w:sz w:val="24"/>
          <w:szCs w:val="24"/>
          <w:lang w:val="en-GB"/>
        </w:rPr>
        <w:t xml:space="preserve">will guide the implementation of </w:t>
      </w:r>
      <w:r>
        <w:rPr>
          <w:rFonts w:ascii="Times New Roman" w:hAnsi="Times New Roman" w:cs="Times New Roman"/>
          <w:noProof/>
          <w:sz w:val="24"/>
          <w:szCs w:val="24"/>
          <w:lang w:val="en-IE"/>
        </w:rPr>
        <w:t>AgRI 2040 and Food 2040 and the deployment of R&amp;I actions that can be supported by, among others, the future Horizon Europe and the ECF,</w:t>
      </w:r>
      <w:r>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IE"/>
        </w:rPr>
        <w:t>without prejudging the methods of implementing future funding programmes, nor the preparation of work programmes for the period of the next MFF 2028-2034.</w:t>
      </w:r>
    </w:p>
    <w:p>
      <w:pPr>
        <w:pStyle w:val="ListParagraph"/>
        <w:numPr>
          <w:ilvl w:val="0"/>
          <w:numId w:val="9"/>
        </w:numPr>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Competitiveness</w:t>
      </w:r>
      <w:r>
        <w:rPr>
          <w:rFonts w:ascii="Times New Roman" w:hAnsi="Times New Roman" w:cs="Times New Roman"/>
          <w:noProof/>
          <w:sz w:val="24"/>
          <w:szCs w:val="24"/>
          <w:lang w:val="en-GB"/>
        </w:rPr>
        <w:t>, </w:t>
      </w:r>
      <w:r>
        <w:rPr>
          <w:rFonts w:ascii="Times New Roman" w:hAnsi="Times New Roman" w:cs="Times New Roman"/>
          <w:b/>
          <w:bCs/>
          <w:noProof/>
          <w:sz w:val="24"/>
          <w:szCs w:val="24"/>
          <w:lang w:val="en-GB"/>
        </w:rPr>
        <w:t>startups and scaleups</w:t>
      </w:r>
      <w:r>
        <w:rPr>
          <w:rFonts w:ascii="Times New Roman" w:hAnsi="Times New Roman" w:cs="Times New Roman"/>
          <w:noProof/>
          <w:sz w:val="24"/>
          <w:szCs w:val="24"/>
          <w:lang w:val="en-GB"/>
        </w:rPr>
        <w:t>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The Commission will </w:t>
      </w:r>
      <w:r>
        <w:rPr>
          <w:rFonts w:ascii="Times New Roman" w:hAnsi="Times New Roman" w:cs="Times New Roman"/>
          <w:noProof/>
          <w:sz w:val="24"/>
          <w:szCs w:val="24"/>
          <w:lang w:val="en-GB"/>
        </w:rPr>
        <w:t xml:space="preserve">aim to </w:t>
      </w:r>
      <w:r>
        <w:rPr>
          <w:rFonts w:ascii="Times New Roman" w:hAnsi="Times New Roman" w:cs="Times New Roman"/>
          <w:b/>
          <w:noProof/>
          <w:sz w:val="24"/>
          <w:szCs w:val="24"/>
          <w:lang w:val="en-GB"/>
        </w:rPr>
        <w:t>strengthen long-term competitiveness</w:t>
      </w:r>
      <w:r>
        <w:rPr>
          <w:rFonts w:ascii="Times New Roman" w:hAnsi="Times New Roman" w:cs="Times New Roman"/>
          <w:noProof/>
          <w:sz w:val="24"/>
          <w:szCs w:val="24"/>
          <w:lang w:val="en-GB"/>
        </w:rPr>
        <w:t xml:space="preserve"> by fostering an R&amp;I ecosystem that enables researchers, innovators and </w:t>
      </w:r>
      <w:r>
        <w:rPr>
          <w:rFonts w:ascii="Times New Roman" w:hAnsi="Times New Roman" w:cs="Times New Roman"/>
          <w:noProof/>
          <w:sz w:val="24"/>
          <w:szCs w:val="24"/>
          <w:lang w:val="en-IE"/>
        </w:rPr>
        <w:t>entrepreneurs, together with farmers, foresters, rural actors and industries, startups, scaleups, other SMEs and other businesses to develop new approaches, products and technologies and address the challenges facing their sectors.</w:t>
      </w:r>
      <w:r>
        <w:rPr>
          <w:rFonts w:ascii="Times New Roman" w:hAnsi="Times New Roman" w:cs="Times New Roman"/>
          <w:noProof/>
          <w:sz w:val="24"/>
          <w:szCs w:val="24"/>
          <w:lang w:val="en-GB"/>
        </w:rPr>
        <w:t xml:space="preserve"> </w:t>
      </w:r>
    </w:p>
    <w:p>
      <w:pPr>
        <w:numPr>
          <w:ilvl w:val="0"/>
          <w:numId w:val="7"/>
        </w:numPr>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Food security, resilience</w:t>
      </w:r>
      <w:r>
        <w:rPr>
          <w:rFonts w:ascii="Times New Roman" w:hAnsi="Times New Roman" w:cs="Times New Roman"/>
          <w:noProof/>
          <w:sz w:val="24"/>
          <w:szCs w:val="24"/>
          <w:lang w:val="en-GB"/>
        </w:rPr>
        <w:t> </w:t>
      </w:r>
      <w:r>
        <w:rPr>
          <w:rFonts w:ascii="Times New Roman" w:hAnsi="Times New Roman" w:cs="Times New Roman"/>
          <w:b/>
          <w:bCs/>
          <w:noProof/>
          <w:sz w:val="24"/>
          <w:szCs w:val="24"/>
          <w:lang w:val="en-GB"/>
        </w:rPr>
        <w:t>and preparedness</w:t>
      </w:r>
      <w:r>
        <w:rPr>
          <w:rFonts w:ascii="Times New Roman" w:hAnsi="Times New Roman" w:cs="Times New Roman"/>
          <w:noProof/>
          <w:sz w:val="24"/>
          <w:szCs w:val="24"/>
          <w:lang w:val="en-GB"/>
        </w:rPr>
        <w:t>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Increasing resilience and preparedness will be a central objective of future actions under this strategic approach, in line with the </w:t>
      </w:r>
      <w:hyperlink r:id="rId40" w:history="1">
        <w:r>
          <w:rPr>
            <w:rStyle w:val="Hyperlink"/>
            <w:rFonts w:ascii="Times New Roman" w:hAnsi="Times New Roman" w:cs="Times New Roman"/>
            <w:noProof/>
            <w:sz w:val="24"/>
            <w:szCs w:val="24"/>
            <w:lang w:val="en-GB"/>
          </w:rPr>
          <w:t>European preparedness union strategy</w:t>
        </w:r>
      </w:hyperlink>
      <w:r>
        <w:rPr>
          <w:rFonts w:ascii="Times New Roman" w:hAnsi="Times New Roman" w:cs="Times New Roman"/>
          <w:noProof/>
          <w:sz w:val="24"/>
          <w:szCs w:val="24"/>
          <w:lang w:val="en-GB"/>
        </w:rPr>
        <w:t xml:space="preserve"> and its </w:t>
      </w:r>
      <w:r>
        <w:rPr>
          <w:rFonts w:ascii="Times New Roman" w:hAnsi="Times New Roman" w:cs="Times New Roman"/>
          <w:noProof/>
          <w:sz w:val="24"/>
          <w:szCs w:val="24"/>
          <w:lang w:val="en-IE"/>
        </w:rPr>
        <w:t>emphasis on early warning and an integrated all-hazards approach</w:t>
      </w:r>
      <w:r>
        <w:rPr>
          <w:rFonts w:ascii="Times New Roman" w:hAnsi="Times New Roman" w:cs="Times New Roman"/>
          <w:noProof/>
          <w:sz w:val="24"/>
          <w:szCs w:val="24"/>
          <w:lang w:val="en-GB"/>
        </w:rPr>
        <w:t>. This priority seeks to increase anticipation and preparedness by recognising how climate impacts, supply-chain disruptions, structural lock-ins and other risks can interact and reinforce one another, and by developing solutions to improve access to raw materials for agriculture, food production and supply, and the bioeconomy.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Resilience requires a holistic approach encompassing food security and sovereignty, open strategic autonomy, ensuring the sustainable management of natural resources, mitigating risks, reducing dependencies, diversification and supply chain continuity, with preparedness capacities strengthened at local, regional and national levels. This includes fostering EU production and supply of proteins, vitamins and other essential nutrients,</w:t>
      </w:r>
      <w:r>
        <w:rPr>
          <w:rFonts w:ascii="Times New Roman" w:hAnsi="Times New Roman" w:cs="Times New Roman"/>
          <w:noProof/>
          <w:sz w:val="24"/>
          <w:szCs w:val="24"/>
          <w:lang w:val="en-IE"/>
        </w:rPr>
        <w:t xml:space="preserve"> as well as considering relevant aspects of the </w:t>
      </w:r>
      <w:r>
        <w:rPr>
          <w:rFonts w:ascii="Times New Roman" w:hAnsi="Times New Roman" w:cs="Times New Roman"/>
          <w:noProof/>
          <w:sz w:val="24"/>
          <w:szCs w:val="24"/>
          <w:lang w:val="en-GB"/>
        </w:rPr>
        <w:t xml:space="preserve">recently adopted </w:t>
      </w:r>
      <w:hyperlink r:id="rId41" w:history="1">
        <w:r>
          <w:rPr>
            <w:rStyle w:val="Hyperlink"/>
            <w:rFonts w:ascii="Times New Roman" w:hAnsi="Times New Roman" w:cs="Times New Roman"/>
            <w:noProof/>
            <w:sz w:val="24"/>
            <w:szCs w:val="24"/>
            <w:lang w:val="en-GB"/>
          </w:rPr>
          <w:t>Action Plan for resilience, strategic autonomy and sustainability of the EU protein system</w:t>
        </w:r>
      </w:hyperlink>
      <w:r>
        <w:rPr>
          <w:rFonts w:ascii="Times New Roman" w:hAnsi="Times New Roman" w:cs="Times New Roman"/>
          <w:noProof/>
          <w:sz w:val="24"/>
          <w:szCs w:val="24"/>
          <w:lang w:val="en-GB"/>
        </w:rPr>
        <w:t>. R&amp;I plays a key role in supporting this transition through the development of tools and capabilities for monitoring, early warning, stress-testing and foresight. </w:t>
      </w:r>
    </w:p>
    <w:p>
      <w:pPr>
        <w:numPr>
          <w:ilvl w:val="0"/>
          <w:numId w:val="6"/>
        </w:numPr>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Natural resources and circularity</w:t>
      </w:r>
      <w:r>
        <w:rPr>
          <w:rFonts w:ascii="Times New Roman" w:hAnsi="Times New Roman" w:cs="Times New Roman"/>
          <w:noProof/>
          <w:sz w:val="24"/>
          <w:szCs w:val="24"/>
          <w:lang w:val="en-GB"/>
        </w:rPr>
        <w:t>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R&amp;I will </w:t>
      </w:r>
      <w:r>
        <w:rPr>
          <w:rFonts w:ascii="Times New Roman" w:hAnsi="Times New Roman" w:cs="Times New Roman"/>
          <w:noProof/>
          <w:sz w:val="24"/>
          <w:szCs w:val="24"/>
          <w:lang w:val="en-GB"/>
        </w:rPr>
        <w:t xml:space="preserve">support the sustainable management of natural resources. It will contribute to strengthen climate change mitigation and adaptation, including through the development and large-scale deployment of climate-smart solutions for the agri-food sector that also preserve or restore biodiversity and ecosystem functions, while reducing environmental degradation and pollution.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 central element of this priority is to continue supporting the transition towards a sustainable, circular and resource-efficient (including regarding renewable energy) agri-food sector. This involves moving away from linear production and consumption models towards circular systems in which biological resources are used sustainably, more efficiently and waste streams are </w:t>
      </w:r>
      <w:r>
        <w:rPr>
          <w:rFonts w:ascii="Times New Roman" w:hAnsi="Times New Roman" w:cs="Times New Roman"/>
          <w:noProof/>
          <w:sz w:val="24"/>
          <w:szCs w:val="24"/>
          <w:lang w:val="en-GB"/>
        </w:rPr>
        <w:lastRenderedPageBreak/>
        <w:t xml:space="preserve">minimised and valorised. It also includes efforts to prevent food loss and waste across all stages of the value chain, from production and processing to distribution and consumption.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priority is aligned with the objectives of the </w:t>
      </w:r>
      <w:hyperlink r:id="rId42" w:history="1">
        <w:r>
          <w:rPr>
            <w:rStyle w:val="Hyperlink"/>
            <w:rFonts w:ascii="Times New Roman" w:hAnsi="Times New Roman" w:cs="Times New Roman"/>
            <w:noProof/>
            <w:sz w:val="24"/>
            <w:szCs w:val="24"/>
            <w:lang w:val="en-GB"/>
          </w:rPr>
          <w:t>EU bioeconomy strategy</w:t>
        </w:r>
      </w:hyperlink>
      <w:r>
        <w:rPr>
          <w:rFonts w:ascii="Times New Roman" w:hAnsi="Times New Roman" w:cs="Times New Roman"/>
          <w:noProof/>
          <w:sz w:val="24"/>
          <w:szCs w:val="24"/>
          <w:lang w:val="en-GB"/>
        </w:rPr>
        <w:t xml:space="preserve">, the </w:t>
      </w:r>
      <w:hyperlink r:id="rId43" w:history="1">
        <w:r>
          <w:rPr>
            <w:rStyle w:val="Hyperlink"/>
            <w:rFonts w:ascii="Times New Roman" w:hAnsi="Times New Roman" w:cs="Times New Roman"/>
            <w:noProof/>
            <w:sz w:val="24"/>
            <w:szCs w:val="24"/>
            <w:lang w:val="en-GB"/>
          </w:rPr>
          <w:t>Nature Restoration Regulation</w:t>
        </w:r>
      </w:hyperlink>
      <w:r>
        <w:rPr>
          <w:rFonts w:ascii="Times New Roman" w:hAnsi="Times New Roman" w:cs="Times New Roman"/>
          <w:noProof/>
          <w:sz w:val="24"/>
          <w:szCs w:val="24"/>
          <w:lang w:val="en-GB"/>
        </w:rPr>
        <w:t xml:space="preserve"> and the upcoming Circular Economy Act, promoting the circular, regenerative and sustainable use of biological resources to support green growth, and reduce dependence on fossil-based resources, through the sustainable sourcing and use of biomass. </w:t>
      </w:r>
    </w:p>
    <w:p>
      <w:pPr>
        <w:numPr>
          <w:ilvl w:val="0"/>
          <w:numId w:val="5"/>
        </w:numPr>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Food and feed safety, nutrition and health</w:t>
      </w:r>
      <w:r>
        <w:rPr>
          <w:rFonts w:ascii="Times New Roman" w:hAnsi="Times New Roman" w:cs="Times New Roman"/>
          <w:noProof/>
          <w:sz w:val="24"/>
          <w:szCs w:val="24"/>
          <w:lang w:val="en-GB"/>
        </w:rPr>
        <w:t>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w:t>
      </w:r>
      <w:r>
        <w:rPr>
          <w:rFonts w:ascii="Times New Roman" w:hAnsi="Times New Roman" w:cs="Times New Roman"/>
          <w:noProof/>
          <w:sz w:val="24"/>
          <w:szCs w:val="24"/>
          <w:lang w:val="en-GB"/>
        </w:rPr>
        <w:t>contribute to ensuring that food and feed safety, food chain integrity</w:t>
      </w:r>
      <w:r>
        <w:rPr>
          <w:rStyle w:val="FootnoteReference"/>
          <w:rFonts w:ascii="Times New Roman" w:hAnsi="Times New Roman" w:cs="Times New Roman"/>
          <w:noProof/>
          <w:sz w:val="24"/>
          <w:szCs w:val="24"/>
          <w:lang w:val="en-GB"/>
        </w:rPr>
        <w:footnoteReference w:id="34"/>
      </w:r>
      <w:r>
        <w:rPr>
          <w:rFonts w:ascii="Times New Roman" w:hAnsi="Times New Roman" w:cs="Times New Roman"/>
          <w:noProof/>
          <w:sz w:val="24"/>
          <w:szCs w:val="24"/>
          <w:lang w:val="en-GB"/>
        </w:rPr>
        <w:t xml:space="preserve"> and nutritional quality are addressed in an integrated manner. </w:t>
      </w:r>
      <w:r>
        <w:rPr>
          <w:rFonts w:ascii="Times New Roman" w:hAnsi="Times New Roman" w:cs="Times New Roman"/>
          <w:noProof/>
          <w:sz w:val="24"/>
          <w:szCs w:val="24"/>
          <w:lang w:val="en-IE"/>
        </w:rPr>
        <w:t xml:space="preserve"> By deploying R&amp;I across different areas including agriculture, food, nutrition and health, new knowledge and innovations, such as those that are microbiome-based, can help improve safety, nutrition and health.</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It will support a level playing field for compliant operators while addressing critical challenges such as food fraud, human malnutrition, biodiversity loss and resource depletion. </w:t>
      </w:r>
      <w:r>
        <w:rPr>
          <w:rFonts w:ascii="Times New Roman" w:hAnsi="Times New Roman" w:cs="Times New Roman"/>
          <w:noProof/>
          <w:sz w:val="24"/>
          <w:szCs w:val="24"/>
          <w:lang w:val="en-IE"/>
        </w:rPr>
        <w:t xml:space="preserve">Where relevant, actions under this priority will be guided by the </w:t>
      </w:r>
      <w:hyperlink r:id="rId44" w:history="1">
        <w:r>
          <w:rPr>
            <w:rStyle w:val="Hyperlink"/>
            <w:rFonts w:ascii="Times New Roman" w:hAnsi="Times New Roman" w:cs="Times New Roman"/>
            <w:noProof/>
            <w:sz w:val="24"/>
            <w:szCs w:val="24"/>
            <w:lang w:val="en-IE"/>
          </w:rPr>
          <w:t>One Health approach</w:t>
        </w:r>
      </w:hyperlink>
      <w:r>
        <w:rPr>
          <w:rFonts w:ascii="Times New Roman" w:hAnsi="Times New Roman" w:cs="Times New Roman"/>
          <w:noProof/>
          <w:sz w:val="24"/>
          <w:szCs w:val="24"/>
          <w:lang w:val="en-IE"/>
        </w:rPr>
        <w:t xml:space="preserve"> and the objectives of the life sciences strategy. </w:t>
      </w:r>
    </w:p>
    <w:p>
      <w:pPr>
        <w:numPr>
          <w:ilvl w:val="0"/>
          <w:numId w:val="8"/>
        </w:numPr>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Fairness</w:t>
      </w:r>
      <w:r>
        <w:rPr>
          <w:rFonts w:ascii="Times New Roman" w:hAnsi="Times New Roman" w:cs="Times New Roman"/>
          <w:noProof/>
          <w:sz w:val="24"/>
          <w:szCs w:val="24"/>
          <w:lang w:val="en-GB"/>
        </w:rPr>
        <w:t>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 will promote R&amp;I that contributes to fair, resilient and inclusive agri-food value chains by ensuring that innovation creates opportunities and benefits for farmers, foresters, rural communities, businesses and consumers. R&amp;I should support fair value creation, distribution of risks, costs and benefits, improve the attractiveness of careers in the agri-food sector for newcomers, and contribute to quality jobs and good working and living conditions, ensuring that the benefits of the transition are shared across regions, generations and all actors in the</w:t>
      </w:r>
      <w:r>
        <w:rPr>
          <w:rFonts w:ascii="Times New Roman" w:hAnsi="Times New Roman" w:cs="Times New Roman"/>
          <w:b/>
          <w:bCs/>
          <w:noProof/>
          <w:sz w:val="24"/>
          <w:szCs w:val="24"/>
          <w:lang w:val="en-IE"/>
        </w:rPr>
        <w:t xml:space="preserve"> </w:t>
      </w:r>
      <w:r>
        <w:rPr>
          <w:rFonts w:ascii="Times New Roman" w:hAnsi="Times New Roman" w:cs="Times New Roman"/>
          <w:noProof/>
          <w:sz w:val="24"/>
          <w:szCs w:val="24"/>
          <w:lang w:val="en-IE"/>
        </w:rPr>
        <w:t>value chains.</w:t>
      </w:r>
    </w:p>
    <w:p>
      <w:pPr>
        <w:numPr>
          <w:ilvl w:val="0"/>
          <w:numId w:val="3"/>
        </w:numPr>
        <w:spacing w:line="276" w:lineRule="auto"/>
        <w:ind w:left="714" w:hanging="357"/>
        <w:jc w:val="both"/>
        <w:rPr>
          <w:rFonts w:ascii="Times New Roman" w:hAnsi="Times New Roman" w:cs="Times New Roman"/>
          <w:b/>
          <w:bCs/>
          <w:noProof/>
          <w:sz w:val="24"/>
          <w:szCs w:val="24"/>
          <w:lang w:val="en-IE"/>
        </w:rPr>
      </w:pPr>
      <w:r>
        <w:rPr>
          <w:rFonts w:ascii="Times New Roman" w:hAnsi="Times New Roman" w:cs="Times New Roman"/>
          <w:b/>
          <w:bCs/>
          <w:noProof/>
          <w:sz w:val="24"/>
          <w:szCs w:val="24"/>
          <w:lang w:val="en-IE"/>
        </w:rPr>
        <w:t>Global cooperation for sustainable agriculture, forestry, rural areas and food systems</w:t>
      </w:r>
    </w:p>
    <w:p>
      <w:pPr>
        <w:spacing w:beforeAutospacing="1"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This priority addresses the international dimension of R&amp;I in the agri-food sector, in line with EU policy priorities including the EU global gateway strategy and the EU bioeconomy strategy, and seeks to promote shared interests and strengthen collaboration with international partners on common R&amp;I priorities.</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new roadmap agreed between the African Union and the EU on </w:t>
      </w:r>
      <w:hyperlink r:id="rId45" w:history="1">
        <w:r>
          <w:rPr>
            <w:rStyle w:val="Hyperlink"/>
            <w:rFonts w:ascii="Times New Roman" w:hAnsi="Times New Roman" w:cs="Times New Roman"/>
            <w:noProof/>
            <w:sz w:val="24"/>
            <w:szCs w:val="24"/>
            <w:lang w:val="en-GB"/>
          </w:rPr>
          <w:t>‘Food and Nutrition Security and Sustainable Agriculture’ (FNSSA)</w:t>
        </w:r>
      </w:hyperlink>
      <w:r>
        <w:rPr>
          <w:rFonts w:ascii="Times New Roman" w:hAnsi="Times New Roman" w:cs="Times New Roman"/>
          <w:noProof/>
          <w:sz w:val="24"/>
          <w:szCs w:val="24"/>
          <w:lang w:val="en-GB"/>
        </w:rPr>
        <w:t xml:space="preserve">, together with the related International Research Consortium should provide a framework for identifying, with the African Union and related partners, common areas on which to focus. Cooperation with other partners to address similar challenges in agriculture, forestry and rural areas, such as India or the Community of Latin American and Caribbean States, could be further explored.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lastRenderedPageBreak/>
        <w:t xml:space="preserve">Cooperation with Eastern Neighbourhood countries can play an important role in developing a shared R&amp;I agenda with the EU and addressing common challenges, such as the </w:t>
      </w:r>
      <w:hyperlink r:id="rId46" w:history="1">
        <w:r>
          <w:rPr>
            <w:rStyle w:val="Hyperlink"/>
            <w:rFonts w:ascii="Times New Roman" w:hAnsi="Times New Roman" w:cs="Times New Roman"/>
            <w:noProof/>
            <w:sz w:val="24"/>
            <w:szCs w:val="24"/>
            <w:lang w:val="en-GB"/>
          </w:rPr>
          <w:t>BIOEAST initiative</w:t>
        </w:r>
      </w:hyperlink>
      <w:r>
        <w:rPr>
          <w:rFonts w:ascii="Times New Roman" w:hAnsi="Times New Roman" w:cs="Times New Roman"/>
          <w:noProof/>
          <w:sz w:val="24"/>
          <w:szCs w:val="24"/>
          <w:lang w:val="en-GB"/>
        </w:rPr>
        <w:t xml:space="preserve"> along with Ukraine, Moldova and the Western Balkans. Further collaboration should also be pursued with the Mediterranean Neighbourhood countries to support and complement the </w:t>
      </w:r>
      <w:hyperlink r:id="rId47" w:history="1">
        <w:r>
          <w:rPr>
            <w:rStyle w:val="Hyperlink"/>
            <w:rFonts w:ascii="Times New Roman" w:hAnsi="Times New Roman" w:cs="Times New Roman"/>
            <w:noProof/>
            <w:sz w:val="24"/>
            <w:szCs w:val="24"/>
            <w:lang w:val="en-GB"/>
          </w:rPr>
          <w:t>PRIMA initiative</w:t>
        </w:r>
      </w:hyperlink>
      <w:r>
        <w:rPr>
          <w:rFonts w:ascii="Times New Roman" w:hAnsi="Times New Roman" w:cs="Times New Roman"/>
          <w:noProof/>
          <w:sz w:val="24"/>
          <w:szCs w:val="24"/>
          <w:lang w:val="en-GB"/>
        </w:rPr>
        <w:t xml:space="preserve">. Collaboration should also be strengthened with international organisations such as the UN Food and Agriculture Organization (FAO), the World Health Organisation, the World Organisation for Animal Health, the Consultative Group on International Agricultural Research (CGIAR) and the OECD to enhance the importance and global impact of research and innovation in the agri-food sector.  </w:t>
      </w:r>
    </w:p>
    <w:p>
      <w:pPr>
        <w:pStyle w:val="Heading2"/>
        <w:rPr>
          <w:rFonts w:ascii="Times New Roman" w:hAnsi="Times New Roman" w:cs="Times New Roman"/>
          <w:b/>
          <w:noProof/>
          <w:color w:val="auto"/>
          <w:sz w:val="24"/>
          <w:szCs w:val="24"/>
          <w:lang w:val="en-GB"/>
        </w:rPr>
      </w:pPr>
      <w:bookmarkStart w:id="17" w:name="_Toc232778788"/>
      <w:r>
        <w:rPr>
          <w:rFonts w:ascii="Times New Roman" w:hAnsi="Times New Roman" w:cs="Times New Roman"/>
          <w:b/>
          <w:noProof/>
          <w:color w:val="auto"/>
          <w:sz w:val="24"/>
          <w:szCs w:val="24"/>
          <w:lang w:val="en-GB"/>
        </w:rPr>
        <w:t>3.2 Common enablers</w:t>
      </w:r>
      <w:bookmarkEnd w:id="17"/>
    </w:p>
    <w:p>
      <w:pPr>
        <w:spacing w:before="120" w:after="120" w:line="276"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Governance, technologies and communities</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are key enablers for the implementation of this strategic approach to maximise the impact of R&amp;I activities, strengthen the EU innovation ecosystem and accelerate the deployment of research results.</w:t>
      </w:r>
    </w:p>
    <w:p>
      <w:pPr>
        <w:pStyle w:val="ListParagraph"/>
        <w:numPr>
          <w:ilvl w:val="0"/>
          <w:numId w:val="9"/>
        </w:numPr>
        <w:jc w:val="both"/>
        <w:rPr>
          <w:rFonts w:ascii="Times New Roman" w:hAnsi="Times New Roman" w:cs="Times New Roman"/>
          <w:noProof/>
          <w:lang w:val="en-GB"/>
        </w:rPr>
      </w:pPr>
      <w:r>
        <w:rPr>
          <w:rFonts w:ascii="Times New Roman" w:hAnsi="Times New Roman" w:cs="Times New Roman"/>
          <w:b/>
          <w:noProof/>
          <w:sz w:val="24"/>
          <w:szCs w:val="24"/>
          <w:lang w:val="en-GB"/>
        </w:rPr>
        <w:t>Governance</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Governance is a critical precondition for coherent and effective policy making. It enables coordination across different sectors,</w:t>
      </w:r>
      <w:r>
        <w:rPr>
          <w:rFonts w:ascii="Times New Roman" w:hAnsi="Times New Roman" w:cs="Times New Roman"/>
          <w:noProof/>
          <w:lang w:val="en-GB"/>
        </w:rPr>
        <w:t xml:space="preserve"> </w:t>
      </w:r>
      <w:r>
        <w:rPr>
          <w:rFonts w:ascii="Times New Roman" w:hAnsi="Times New Roman" w:cs="Times New Roman"/>
          <w:noProof/>
          <w:sz w:val="24"/>
          <w:szCs w:val="24"/>
          <w:lang w:val="en-GB"/>
        </w:rPr>
        <w:t xml:space="preserve">disciplines, stakeholder groups and levels of decision-making.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effective governance of R&amp;I in the agri-food sector helps ensure that the EU invests in impactful research, technology and innovation. It </w:t>
      </w:r>
      <w:r>
        <w:rPr>
          <w:rFonts w:ascii="Times New Roman" w:hAnsi="Times New Roman" w:cs="Times New Roman"/>
          <w:noProof/>
          <w:sz w:val="24"/>
          <w:szCs w:val="24"/>
          <w:lang w:val="en-IE"/>
        </w:rPr>
        <w:t>also supports the integration of diverse forms of knowledge and different perspectives and business models, encourages inclusive stakeholder engagement, promotes youth participation and gender equality, and strengthens skills development and training.</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Strong governance also supports transdisciplinary research, </w:t>
      </w:r>
      <w:r>
        <w:rPr>
          <w:rFonts w:ascii="Times New Roman" w:hAnsi="Times New Roman" w:cs="Times New Roman"/>
          <w:noProof/>
          <w:sz w:val="24"/>
          <w:szCs w:val="24"/>
          <w:lang w:val="en-IE"/>
        </w:rPr>
        <w:t>greater integration of natural sciences and the social sciences and humanities, and stronger links between R&amp;I and policymaking, including in relation to the blue economy</w:t>
      </w:r>
      <w:r>
        <w:rPr>
          <w:rStyle w:val="FootnoteReference"/>
          <w:rFonts w:ascii="Times New Roman" w:hAnsi="Times New Roman" w:cs="Times New Roman"/>
          <w:noProof/>
          <w:sz w:val="24"/>
          <w:szCs w:val="24"/>
          <w:lang w:val="en-GB"/>
        </w:rPr>
        <w:footnoteReference w:id="35"/>
      </w:r>
      <w:r>
        <w:rPr>
          <w:rFonts w:ascii="Times New Roman" w:hAnsi="Times New Roman" w:cs="Times New Roman"/>
          <w:noProof/>
          <w:sz w:val="24"/>
          <w:szCs w:val="24"/>
          <w:lang w:val="en-GB"/>
        </w:rPr>
        <w:t xml:space="preserve">. Some examples are the EU Mission ‘A Soil Deal for Europe’ and the Bioeconomy Mutual Learning Exercise. The One Health approach can contribute to the development of competitive, sustainable and resilient agriculture and food systems. For example, the One Health approach can address the challenge of </w:t>
      </w:r>
      <w:r>
        <w:rPr>
          <w:rFonts w:ascii="Times New Roman" w:hAnsi="Times New Roman" w:cs="Times New Roman"/>
          <w:noProof/>
          <w:sz w:val="24"/>
          <w:szCs w:val="24"/>
          <w:lang w:val="en-IE"/>
        </w:rPr>
        <w:t>antimicrobial resistance</w:t>
      </w:r>
      <w:r>
        <w:rPr>
          <w:rStyle w:val="FootnoteReference"/>
          <w:rFonts w:ascii="Times New Roman" w:hAnsi="Times New Roman" w:cs="Times New Roman"/>
          <w:noProof/>
          <w:sz w:val="24"/>
          <w:szCs w:val="24"/>
          <w:lang w:val="en-IE"/>
        </w:rPr>
        <w:footnoteReference w:id="36"/>
      </w:r>
      <w:r>
        <w:rPr>
          <w:rFonts w:ascii="Times New Roman" w:hAnsi="Times New Roman" w:cs="Times New Roman"/>
          <w:noProof/>
          <w:sz w:val="24"/>
          <w:szCs w:val="24"/>
          <w:lang w:val="en-IE"/>
        </w:rPr>
        <w:t xml:space="preserve"> by considering interlinkages between humans, animals and the environment. Furthermore,</w:t>
      </w:r>
      <w:r>
        <w:rPr>
          <w:rFonts w:ascii="Times New Roman" w:hAnsi="Times New Roman" w:cs="Times New Roman"/>
          <w:noProof/>
          <w:sz w:val="24"/>
          <w:szCs w:val="24"/>
          <w:lang w:val="en-GB"/>
        </w:rPr>
        <w:t xml:space="preserve"> One Health microbiome-based solutions can create opportunities for</w:t>
      </w:r>
      <w:r>
        <w:rPr>
          <w:rFonts w:ascii="Times New Roman" w:eastAsia="Times New Roman" w:hAnsi="Times New Roman" w:cs="Times New Roman"/>
          <w:noProof/>
          <w:sz w:val="24"/>
          <w:szCs w:val="24"/>
          <w:lang w:val="en-GB"/>
        </w:rPr>
        <w:t xml:space="preserve"> new products for health, food, sustainable agriculture and forestry or aquaculture</w:t>
      </w:r>
      <w:r>
        <w:rPr>
          <w:rFonts w:ascii="Times New Roman" w:hAnsi="Times New Roman" w:cs="Times New Roman"/>
          <w:noProof/>
          <w:sz w:val="24"/>
          <w:szCs w:val="24"/>
          <w:lang w:val="en-GB"/>
        </w:rPr>
        <w:t>. </w:t>
      </w:r>
      <w:r>
        <w:rPr>
          <w:rFonts w:ascii="Times New Roman" w:hAnsi="Times New Roman" w:cs="Times New Roman"/>
          <w:noProof/>
          <w:sz w:val="24"/>
          <w:szCs w:val="24"/>
          <w:lang w:val="en-IE"/>
        </w:rPr>
        <w:t>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R&amp;I can further support governance by generating evidence, testing and comparing approaches, strengthening monitoring capacities, and helping public authorities and stakeholders understand what works in different territorial and sectoral contexts. One way of achieving this is through foresight exercises, developed with Member States and stakeholders, that explore credible future </w:t>
      </w:r>
      <w:r>
        <w:rPr>
          <w:rFonts w:ascii="Times New Roman" w:hAnsi="Times New Roman" w:cs="Times New Roman"/>
          <w:noProof/>
          <w:sz w:val="24"/>
          <w:szCs w:val="24"/>
          <w:lang w:val="en-GB"/>
        </w:rPr>
        <w:lastRenderedPageBreak/>
        <w:t xml:space="preserve">scenarios and identify where R&amp;I can provide timely new knowledge and innovation to address emerging challenges. </w:t>
      </w:r>
    </w:p>
    <w:p>
      <w:pPr>
        <w:pStyle w:val="ListParagraph"/>
        <w:numPr>
          <w:ilvl w:val="0"/>
          <w:numId w:val="9"/>
        </w:numPr>
        <w:jc w:val="both"/>
        <w:rPr>
          <w:noProof/>
          <w:lang w:val="en-GB"/>
        </w:rPr>
      </w:pPr>
      <w:r>
        <w:rPr>
          <w:rFonts w:ascii="Times New Roman" w:hAnsi="Times New Roman" w:cs="Times New Roman"/>
          <w:b/>
          <w:noProof/>
          <w:sz w:val="24"/>
          <w:szCs w:val="24"/>
          <w:lang w:val="en-GB"/>
        </w:rPr>
        <w:t xml:space="preserve">Technologies </w:t>
      </w:r>
    </w:p>
    <w:p>
      <w:pPr>
        <w:spacing w:line="257"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Technologies are a cross-cutting driver of innovation, and a key </w:t>
      </w:r>
      <w:r>
        <w:rPr>
          <w:rFonts w:ascii="Times New Roman" w:eastAsia="Times New Roman" w:hAnsi="Times New Roman" w:cs="Times New Roman"/>
          <w:noProof/>
          <w:sz w:val="24"/>
          <w:szCs w:val="24"/>
          <w:lang w:val="en-GB"/>
        </w:rPr>
        <w:t>enabler of this strategic approach.</w:t>
      </w:r>
      <w:r>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IE"/>
        </w:rPr>
        <w:t>R&amp;I plays a central role in developing emerging technologies, supporting the uptake of existing solutions and addressing related social and ethical considerations.</w:t>
      </w:r>
    </w:p>
    <w:p>
      <w:pPr>
        <w:spacing w:line="257"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IE"/>
        </w:rPr>
        <w:t xml:space="preserve">Technologies, including digital ones such as AI, are important tools to transform agriculture, forestry, rural areas, the food industry and food environments, and to enable sustainable patterns of food consumption. </w:t>
      </w:r>
      <w:r>
        <w:rPr>
          <w:rFonts w:ascii="Times New Roman" w:hAnsi="Times New Roman" w:cs="Times New Roman"/>
          <w:noProof/>
          <w:sz w:val="24"/>
          <w:szCs w:val="24"/>
          <w:lang w:val="en-IE"/>
        </w:rPr>
        <w:t>They are also rapidly reshaping the way research is carried out. At the same time, data has become a strategic asset that drives digital transformation, creates competitive advantages and enables innovative solutions</w:t>
      </w:r>
      <w:r>
        <w:rPr>
          <w:rFonts w:ascii="Times New Roman" w:hAnsi="Times New Roman" w:cs="Times New Roman"/>
          <w:noProof/>
          <w:sz w:val="24"/>
          <w:szCs w:val="24"/>
          <w:lang w:val="en-GB"/>
        </w:rPr>
        <w:t>.</w:t>
      </w:r>
    </w:p>
    <w:p>
      <w:pPr>
        <w:spacing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Biotechnologies are another important cross-sectoral enabler for the agri-food sector that can help it realise its full potential</w:t>
      </w:r>
      <w:r>
        <w:rPr>
          <w:rFonts w:ascii="Times New Roman" w:hAnsi="Times New Roman" w:cs="Times New Roman"/>
          <w:noProof/>
          <w:sz w:val="24"/>
          <w:szCs w:val="24"/>
          <w:vertAlign w:val="superscript"/>
        </w:rPr>
        <w:footnoteReference w:id="37"/>
      </w:r>
      <w:r>
        <w:rPr>
          <w:rFonts w:ascii="Times New Roman" w:hAnsi="Times New Roman" w:cs="Times New Roman"/>
          <w:noProof/>
          <w:sz w:val="24"/>
          <w:szCs w:val="24"/>
          <w:lang w:val="en-IE"/>
        </w:rPr>
        <w:t xml:space="preserve">, as reflected in the recently proposed </w:t>
      </w:r>
      <w:hyperlink r:id="rId48" w:history="1">
        <w:r>
          <w:rPr>
            <w:rStyle w:val="Hyperlink"/>
            <w:rFonts w:ascii="Times New Roman" w:hAnsi="Times New Roman" w:cs="Times New Roman"/>
            <w:noProof/>
            <w:sz w:val="24"/>
            <w:szCs w:val="24"/>
            <w:lang w:val="en-IE"/>
          </w:rPr>
          <w:t>first European Biotech Act</w:t>
        </w:r>
      </w:hyperlink>
      <w:r>
        <w:rPr>
          <w:rFonts w:ascii="Times New Roman" w:hAnsi="Times New Roman" w:cs="Times New Roman"/>
          <w:noProof/>
          <w:sz w:val="24"/>
          <w:szCs w:val="24"/>
          <w:lang w:val="en-IE"/>
        </w:rPr>
        <w:t>, which is to be followed by a second Biotech Act.</w:t>
      </w:r>
    </w:p>
    <w:p>
      <w:pPr>
        <w:spacing w:line="276" w:lineRule="auto"/>
        <w:jc w:val="both"/>
        <w:rPr>
          <w:noProof/>
          <w:lang w:val="en-IE"/>
        </w:rPr>
      </w:pPr>
      <w:r>
        <w:rPr>
          <w:rFonts w:ascii="Times New Roman" w:hAnsi="Times New Roman" w:cs="Times New Roman"/>
          <w:noProof/>
          <w:sz w:val="24"/>
          <w:szCs w:val="24"/>
          <w:lang w:val="en-IE"/>
        </w:rPr>
        <w:t>The Commission will identify emerging trends and the digital, data-driven and biotechnological innovations that are available. These efforts will strengthen connections across the agri-food ecosystem and be developed in full complementarity with current and upcoming initiatives, including the proposed Observatory on Emerging Technologies</w:t>
      </w:r>
      <w:r>
        <w:rPr>
          <w:rStyle w:val="FootnoteReference"/>
          <w:rFonts w:ascii="Times New Roman" w:hAnsi="Times New Roman" w:cs="Times New Roman"/>
          <w:noProof/>
          <w:sz w:val="24"/>
          <w:szCs w:val="24"/>
          <w:lang w:val="en-IE"/>
        </w:rPr>
        <w:footnoteReference w:id="38"/>
      </w:r>
      <w:r>
        <w:rPr>
          <w:rFonts w:ascii="Times New Roman" w:hAnsi="Times New Roman" w:cs="Times New Roman"/>
          <w:noProof/>
          <w:sz w:val="24"/>
          <w:szCs w:val="24"/>
          <w:lang w:val="en-IE"/>
        </w:rPr>
        <w:t>, existing European partnerships</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lang w:val="en-IE"/>
        </w:rPr>
        <w:t xml:space="preserve">, Common European Data Spaces, </w:t>
      </w:r>
      <w:hyperlink r:id="rId49" w:history="1">
        <w:r>
          <w:rPr>
            <w:rStyle w:val="Hyperlink"/>
            <w:rFonts w:ascii="Times New Roman" w:eastAsia="Times New Roman" w:hAnsi="Times New Roman" w:cs="Times New Roman"/>
            <w:noProof/>
            <w:sz w:val="24"/>
            <w:szCs w:val="24"/>
            <w:lang w:val="en-IE"/>
          </w:rPr>
          <w:t xml:space="preserve">European Digital Infrastructure </w:t>
        </w:r>
        <w:r>
          <w:rPr>
            <w:rStyle w:val="Hyperlink"/>
            <w:rFonts w:ascii="Times New Roman" w:hAnsi="Times New Roman" w:cs="Times New Roman"/>
            <w:noProof/>
            <w:sz w:val="24"/>
            <w:szCs w:val="24"/>
            <w:lang w:val="en-IE"/>
          </w:rPr>
          <w:t>Consortia (EDICs)</w:t>
        </w:r>
      </w:hyperlink>
      <w:r>
        <w:rPr>
          <w:rStyle w:val="FootnoteReference"/>
          <w:rFonts w:ascii="Times New Roman" w:hAnsi="Times New Roman" w:cs="Times New Roman"/>
          <w:noProof/>
          <w:sz w:val="24"/>
          <w:szCs w:val="24"/>
          <w:lang w:val="en-IE"/>
        </w:rPr>
        <w:t xml:space="preserve"> </w:t>
      </w:r>
      <w:r>
        <w:rPr>
          <w:rFonts w:ascii="Times New Roman" w:eastAsia="Times New Roman" w:hAnsi="Times New Roman" w:cs="Times New Roman"/>
          <w:noProof/>
          <w:sz w:val="24"/>
          <w:szCs w:val="24"/>
          <w:lang w:val="en-IE"/>
        </w:rPr>
        <w:t>and European Digital Innovation Hubs (EDIHs), as well as actions under the EU bioeconomy strategy and under the life sciences strategy.</w:t>
      </w:r>
    </w:p>
    <w:p>
      <w:pPr>
        <w:pStyle w:val="ListParagraph"/>
        <w:numPr>
          <w:ilvl w:val="0"/>
          <w:numId w:val="9"/>
        </w:numPr>
        <w:jc w:val="both"/>
        <w:rPr>
          <w:rFonts w:ascii="Times New Roman" w:hAnsi="Times New Roman" w:cs="Times New Roman"/>
          <w:b/>
          <w:noProof/>
          <w:sz w:val="24"/>
          <w:szCs w:val="24"/>
          <w:lang w:val="en-GB"/>
        </w:rPr>
      </w:pPr>
      <w:r>
        <w:rPr>
          <w:rFonts w:ascii="Times New Roman" w:hAnsi="Times New Roman" w:cs="Times New Roman"/>
          <w:b/>
          <w:bCs/>
          <w:noProof/>
          <w:sz w:val="24"/>
          <w:szCs w:val="24"/>
          <w:lang w:val="en-GB"/>
        </w:rPr>
        <w:t>Territories and communities</w:t>
      </w:r>
    </w:p>
    <w:p>
      <w:pPr>
        <w:jc w:val="both"/>
        <w:rPr>
          <w:noProof/>
          <w:lang w:val="en-IE"/>
        </w:rPr>
      </w:pPr>
      <w:r>
        <w:rPr>
          <w:rFonts w:ascii="Times New Roman" w:eastAsia="Times New Roman" w:hAnsi="Times New Roman" w:cs="Times New Roman"/>
          <w:noProof/>
          <w:sz w:val="24"/>
          <w:szCs w:val="24"/>
          <w:lang w:val="en-IE"/>
        </w:rPr>
        <w:t xml:space="preserve">The uptake of innovation in agricultural and food systems depends on the involvement of farmers, actors in the food chain, consumers and local communities, and on solutions that are adapted to local and regional realities. </w:t>
      </w:r>
      <w:r>
        <w:rPr>
          <w:rFonts w:ascii="Times New Roman" w:hAnsi="Times New Roman" w:cs="Times New Roman"/>
          <w:noProof/>
          <w:sz w:val="24"/>
          <w:szCs w:val="24"/>
          <w:lang w:val="en-IE"/>
        </w:rPr>
        <w:t>Territories, including regions, act as living innovation environments where technological and social innovations and new methods of governance can be tested, adapted and embedded.</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Place-based approaches are a powerful tool for delivering local responses to global challenges. They can strengthen urban-rural links and contribute to both sustainability and resilience</w:t>
      </w:r>
      <w:r>
        <w:rPr>
          <w:rStyle w:val="FootnoteReference"/>
          <w:rFonts w:ascii="Times New Roman" w:hAnsi="Times New Roman" w:cs="Times New Roman"/>
          <w:noProof/>
          <w:sz w:val="24"/>
          <w:szCs w:val="24"/>
        </w:rPr>
        <w:footnoteReference w:id="40"/>
      </w:r>
      <w:r>
        <w:rPr>
          <w:noProof/>
          <w:lang w:val="en-IE"/>
        </w:rPr>
        <w:t xml:space="preserve">, </w:t>
      </w:r>
      <w:r>
        <w:rPr>
          <w:rFonts w:ascii="Times New Roman" w:hAnsi="Times New Roman" w:cs="Times New Roman"/>
          <w:noProof/>
          <w:sz w:val="24"/>
          <w:szCs w:val="24"/>
          <w:lang w:val="en-IE"/>
        </w:rPr>
        <w:lastRenderedPageBreak/>
        <w:t>enabling agrifood transformation by connecting local resources, knowledge, people and innovation.</w:t>
      </w:r>
    </w:p>
    <w:p>
      <w:pPr>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 xml:space="preserve">Resilience can be strengthened by balancing long and short supply chains, </w:t>
      </w:r>
      <w:r>
        <w:rPr>
          <w:rFonts w:ascii="Times New Roman" w:hAnsi="Times New Roman" w:cs="Times New Roman"/>
          <w:noProof/>
          <w:sz w:val="24"/>
          <w:szCs w:val="24"/>
          <w:lang w:val="en-IE"/>
        </w:rPr>
        <w:t>increasing diversity, and developing robust and sustainable local and regional food systems.</w:t>
      </w:r>
      <w:r>
        <w:rPr>
          <w:rFonts w:ascii="Times New Roman" w:hAnsi="Times New Roman" w:cs="Times New Roman"/>
          <w:b/>
          <w:bCs/>
          <w:noProof/>
          <w:sz w:val="24"/>
          <w:szCs w:val="24"/>
          <w:lang w:val="en-IE"/>
        </w:rPr>
        <w:t xml:space="preserve"> </w:t>
      </w:r>
      <w:r>
        <w:rPr>
          <w:rFonts w:ascii="Times New Roman" w:hAnsi="Times New Roman" w:cs="Times New Roman"/>
          <w:noProof/>
          <w:sz w:val="24"/>
          <w:szCs w:val="24"/>
          <w:lang w:val="en-IE"/>
        </w:rPr>
        <w:t>This can contribute to strategic autonomy while reducing local food insecurity.</w:t>
      </w:r>
    </w:p>
    <w:p>
      <w:pPr>
        <w:spacing w:after="120" w:line="257" w:lineRule="auto"/>
        <w:jc w:val="both"/>
        <w:rPr>
          <w:rFonts w:ascii="Times New Roman" w:eastAsia="Times New Roman" w:hAnsi="Times New Roman" w:cs="Times New Roman"/>
          <w:noProof/>
          <w:sz w:val="24"/>
          <w:szCs w:val="24"/>
          <w:lang w:val="en-GB" w:eastAsia="en-IE"/>
        </w:rPr>
      </w:pPr>
      <w:r>
        <w:rPr>
          <w:rFonts w:ascii="Times New Roman" w:eastAsia="Times New Roman" w:hAnsi="Times New Roman" w:cs="Times New Roman"/>
          <w:noProof/>
          <w:sz w:val="24"/>
          <w:szCs w:val="24"/>
          <w:lang w:val="en-GB" w:eastAsia="en-IE"/>
        </w:rPr>
        <w:t xml:space="preserve">The </w:t>
      </w:r>
      <w:r>
        <w:rPr>
          <w:rFonts w:ascii="Times New Roman" w:eastAsia="Times New Roman" w:hAnsi="Times New Roman" w:cs="Times New Roman"/>
          <w:b/>
          <w:bCs/>
          <w:noProof/>
          <w:sz w:val="24"/>
          <w:szCs w:val="24"/>
          <w:lang w:val="en-GB" w:eastAsia="en-IE"/>
        </w:rPr>
        <w:t>involvement of local actors</w:t>
      </w:r>
      <w:r>
        <w:rPr>
          <w:rFonts w:ascii="Times New Roman" w:eastAsia="Times New Roman" w:hAnsi="Times New Roman" w:cs="Times New Roman"/>
          <w:noProof/>
          <w:sz w:val="24"/>
          <w:szCs w:val="24"/>
          <w:lang w:val="en-GB" w:eastAsia="en-IE"/>
        </w:rPr>
        <w:t xml:space="preserve"> </w:t>
      </w:r>
      <w:r>
        <w:rPr>
          <w:rFonts w:ascii="Times New Roman" w:eastAsia="Times New Roman" w:hAnsi="Times New Roman" w:cs="Times New Roman"/>
          <w:b/>
          <w:bCs/>
          <w:noProof/>
          <w:sz w:val="24"/>
          <w:szCs w:val="24"/>
          <w:lang w:val="en-GB" w:eastAsia="en-IE"/>
        </w:rPr>
        <w:t>in innovation processes</w:t>
      </w:r>
      <w:r>
        <w:rPr>
          <w:rFonts w:ascii="Times New Roman" w:eastAsia="Times New Roman" w:hAnsi="Times New Roman" w:cs="Times New Roman"/>
          <w:noProof/>
          <w:sz w:val="24"/>
          <w:szCs w:val="24"/>
          <w:lang w:val="en-GB" w:eastAsia="en-IE"/>
        </w:rPr>
        <w:t xml:space="preserve"> is crucial for the acceptance, uptake and long-term integration of innovations in local ecosystems (for example through </w:t>
      </w:r>
      <w:r>
        <w:rPr>
          <w:rFonts w:ascii="Times New Roman" w:eastAsia="Times New Roman" w:hAnsi="Times New Roman" w:cs="Times New Roman"/>
          <w:b/>
          <w:bCs/>
          <w:noProof/>
          <w:sz w:val="24"/>
          <w:szCs w:val="24"/>
          <w:lang w:val="en-GB" w:eastAsia="en-IE"/>
        </w:rPr>
        <w:t>Living Labs,</w:t>
      </w:r>
      <w:r>
        <w:rPr>
          <w:rFonts w:ascii="Times New Roman" w:eastAsia="Times New Roman" w:hAnsi="Times New Roman" w:cs="Times New Roman"/>
          <w:noProof/>
          <w:sz w:val="24"/>
          <w:szCs w:val="24"/>
          <w:lang w:val="en-GB" w:eastAsia="en-IE"/>
        </w:rPr>
        <w:t xml:space="preserve"> </w:t>
      </w:r>
      <w:hyperlink r:id="rId50" w:history="1">
        <w:r>
          <w:rPr>
            <w:rStyle w:val="Hyperlink"/>
            <w:rFonts w:ascii="Times New Roman" w:eastAsia="Times New Roman" w:hAnsi="Times New Roman" w:cs="Times New Roman"/>
            <w:noProof/>
            <w:sz w:val="24"/>
            <w:szCs w:val="24"/>
            <w:lang w:val="en-GB" w:eastAsia="en-IE"/>
          </w:rPr>
          <w:t xml:space="preserve">the </w:t>
        </w:r>
        <w:r>
          <w:rPr>
            <w:rStyle w:val="Hyperlink"/>
            <w:rFonts w:ascii="Times New Roman" w:eastAsia="Times New Roman" w:hAnsi="Times New Roman" w:cs="Times New Roman"/>
            <w:b/>
            <w:bCs/>
            <w:noProof/>
            <w:sz w:val="24"/>
            <w:szCs w:val="24"/>
            <w:lang w:val="en-GB" w:eastAsia="en-IE"/>
          </w:rPr>
          <w:t xml:space="preserve">LEADER </w:t>
        </w:r>
        <w:r>
          <w:rPr>
            <w:rStyle w:val="Hyperlink"/>
            <w:rFonts w:ascii="Times New Roman" w:eastAsia="Times New Roman" w:hAnsi="Times New Roman" w:cs="Times New Roman"/>
            <w:noProof/>
            <w:sz w:val="24"/>
            <w:szCs w:val="24"/>
            <w:lang w:val="en-GB" w:eastAsia="en-IE"/>
          </w:rPr>
          <w:t>programme</w:t>
        </w:r>
      </w:hyperlink>
      <w:r>
        <w:rPr>
          <w:rFonts w:ascii="Times New Roman" w:eastAsia="Times New Roman" w:hAnsi="Times New Roman" w:cs="Times New Roman"/>
          <w:bCs/>
          <w:noProof/>
          <w:sz w:val="24"/>
          <w:szCs w:val="24"/>
          <w:lang w:val="en-GB" w:eastAsia="en-IE"/>
        </w:rPr>
        <w:t>,</w:t>
      </w:r>
      <w:r>
        <w:rPr>
          <w:rFonts w:ascii="Times New Roman" w:eastAsia="Times New Roman" w:hAnsi="Times New Roman" w:cs="Times New Roman"/>
          <w:b/>
          <w:bCs/>
          <w:noProof/>
          <w:sz w:val="24"/>
          <w:szCs w:val="24"/>
          <w:lang w:val="en-GB" w:eastAsia="en-IE"/>
        </w:rPr>
        <w:t xml:space="preserve"> </w:t>
      </w:r>
      <w:hyperlink r:id="rId51" w:history="1">
        <w:r>
          <w:rPr>
            <w:rStyle w:val="Hyperlink"/>
            <w:rFonts w:ascii="Times New Roman" w:eastAsia="Times New Roman" w:hAnsi="Times New Roman" w:cs="Times New Roman"/>
            <w:b/>
            <w:bCs/>
            <w:noProof/>
            <w:sz w:val="24"/>
            <w:szCs w:val="24"/>
            <w:lang w:val="en-GB" w:eastAsia="en-IE"/>
          </w:rPr>
          <w:t>smart villages</w:t>
        </w:r>
      </w:hyperlink>
      <w:r>
        <w:rPr>
          <w:rFonts w:ascii="Times New Roman" w:eastAsia="Times New Roman" w:hAnsi="Times New Roman" w:cs="Times New Roman"/>
          <w:bCs/>
          <w:noProof/>
          <w:sz w:val="24"/>
          <w:szCs w:val="24"/>
          <w:lang w:val="en-GB" w:eastAsia="en-IE"/>
        </w:rPr>
        <w:t>, the</w:t>
      </w:r>
      <w:r>
        <w:rPr>
          <w:rFonts w:ascii="Times New Roman" w:eastAsia="Times New Roman" w:hAnsi="Times New Roman" w:cs="Times New Roman"/>
          <w:b/>
          <w:bCs/>
          <w:noProof/>
          <w:sz w:val="24"/>
          <w:szCs w:val="24"/>
          <w:lang w:val="en-GB" w:eastAsia="en-IE"/>
        </w:rPr>
        <w:t xml:space="preserve"> </w:t>
      </w:r>
      <w:hyperlink r:id="rId52" w:history="1">
        <w:r>
          <w:rPr>
            <w:rStyle w:val="Hyperlink"/>
            <w:rFonts w:ascii="Times New Roman" w:eastAsia="Times New Roman" w:hAnsi="Times New Roman" w:cs="Times New Roman"/>
            <w:b/>
            <w:bCs/>
            <w:noProof/>
            <w:sz w:val="24"/>
            <w:szCs w:val="24"/>
            <w:lang w:val="en-GB" w:eastAsia="en-IE"/>
          </w:rPr>
          <w:t>I3 Instrument</w:t>
        </w:r>
      </w:hyperlink>
      <w:r>
        <w:rPr>
          <w:rFonts w:ascii="Times New Roman" w:eastAsia="Times New Roman" w:hAnsi="Times New Roman" w:cs="Times New Roman"/>
          <w:b/>
          <w:bCs/>
          <w:noProof/>
          <w:sz w:val="24"/>
          <w:szCs w:val="24"/>
          <w:lang w:val="en-GB" w:eastAsia="en-IE"/>
        </w:rPr>
        <w:t xml:space="preserve"> </w:t>
      </w:r>
      <w:r>
        <w:rPr>
          <w:rFonts w:ascii="Times New Roman" w:eastAsia="Times New Roman" w:hAnsi="Times New Roman" w:cs="Times New Roman"/>
          <w:noProof/>
          <w:sz w:val="24"/>
          <w:szCs w:val="24"/>
          <w:lang w:val="en-GB" w:eastAsia="en-IE"/>
        </w:rPr>
        <w:t xml:space="preserve">and the </w:t>
      </w:r>
      <w:hyperlink r:id="rId53" w:history="1">
        <w:r>
          <w:rPr>
            <w:rStyle w:val="Hyperlink"/>
            <w:rFonts w:ascii="Times New Roman" w:eastAsia="Times New Roman" w:hAnsi="Times New Roman" w:cs="Times New Roman"/>
            <w:b/>
            <w:noProof/>
            <w:sz w:val="24"/>
            <w:szCs w:val="24"/>
            <w:lang w:val="en-GB" w:eastAsia="en-IE"/>
          </w:rPr>
          <w:t>startup villages initiative</w:t>
        </w:r>
      </w:hyperlink>
      <w:r>
        <w:rPr>
          <w:rFonts w:ascii="Times New Roman" w:eastAsia="Times New Roman" w:hAnsi="Times New Roman" w:cs="Times New Roman"/>
          <w:noProof/>
          <w:sz w:val="24"/>
          <w:szCs w:val="24"/>
          <w:lang w:val="en-GB" w:eastAsia="en-IE"/>
        </w:rPr>
        <w:t xml:space="preserve">). </w:t>
      </w:r>
    </w:p>
    <w:p>
      <w:pPr>
        <w:spacing w:after="120" w:line="257" w:lineRule="auto"/>
        <w:jc w:val="both"/>
        <w:rPr>
          <w:rFonts w:ascii="Times New Roman" w:eastAsia="Times New Roman" w:hAnsi="Times New Roman" w:cs="Times New Roman"/>
          <w:noProof/>
          <w:sz w:val="24"/>
          <w:szCs w:val="24"/>
          <w:lang w:val="en-GB" w:eastAsia="en-IE"/>
        </w:rPr>
      </w:pPr>
      <w:r>
        <w:rPr>
          <w:rFonts w:ascii="Times New Roman" w:eastAsia="Times New Roman" w:hAnsi="Times New Roman" w:cs="Times New Roman"/>
          <w:noProof/>
          <w:sz w:val="24"/>
          <w:szCs w:val="24"/>
          <w:lang w:val="en-GB" w:eastAsia="en-IE"/>
        </w:rPr>
        <w:t xml:space="preserve">Territorially grounded and community-driven innovation will be pursued through this common enabler. It will support solutions that build on local assets and opportunities, including for agri-food industries and where the multi-actor approach can play a role in the </w:t>
      </w:r>
      <w:r>
        <w:rPr>
          <w:rFonts w:ascii="Times New Roman" w:eastAsia="Times New Roman" w:hAnsi="Times New Roman" w:cs="Times New Roman"/>
          <w:b/>
          <w:noProof/>
          <w:sz w:val="24"/>
          <w:szCs w:val="24"/>
          <w:lang w:val="en-GB" w:eastAsia="en-IE"/>
        </w:rPr>
        <w:t>empowerment of communities.</w:t>
      </w:r>
      <w:r>
        <w:rPr>
          <w:rFonts w:ascii="Times New Roman" w:eastAsia="Times New Roman" w:hAnsi="Times New Roman" w:cs="Times New Roman"/>
          <w:noProof/>
          <w:sz w:val="24"/>
          <w:szCs w:val="24"/>
          <w:lang w:val="en-GB" w:eastAsia="en-IE"/>
        </w:rPr>
        <w:t xml:space="preserve"> </w:t>
      </w:r>
    </w:p>
    <w:p>
      <w:pPr>
        <w:spacing w:after="120" w:line="257" w:lineRule="auto"/>
        <w:jc w:val="both"/>
        <w:rPr>
          <w:rFonts w:ascii="Times New Roman" w:eastAsia="Times New Roman" w:hAnsi="Times New Roman" w:cs="Times New Roman"/>
          <w:noProof/>
          <w:sz w:val="24"/>
          <w:szCs w:val="24"/>
          <w:lang w:val="en-GB" w:eastAsia="en-IE"/>
        </w:rPr>
      </w:pPr>
      <w:r>
        <w:rPr>
          <w:rFonts w:ascii="Times New Roman" w:eastAsia="Times New Roman" w:hAnsi="Times New Roman" w:cs="Times New Roman"/>
          <w:noProof/>
          <w:sz w:val="24"/>
          <w:szCs w:val="24"/>
          <w:lang w:val="en-GB" w:eastAsia="en-IE"/>
        </w:rPr>
        <w:t xml:space="preserve">Considering the role of territories and communities in R&amp;I will help </w:t>
      </w:r>
      <w:r>
        <w:rPr>
          <w:rFonts w:ascii="Times New Roman" w:eastAsia="Times New Roman" w:hAnsi="Times New Roman" w:cs="Times New Roman"/>
          <w:b/>
          <w:bCs/>
          <w:noProof/>
          <w:sz w:val="24"/>
          <w:szCs w:val="24"/>
          <w:lang w:val="en-GB" w:eastAsia="en-IE"/>
        </w:rPr>
        <w:t xml:space="preserve">strengthen regional </w:t>
      </w:r>
      <w:r>
        <w:rPr>
          <w:rFonts w:ascii="Times New Roman" w:eastAsia="Times New Roman" w:hAnsi="Times New Roman" w:cs="Times New Roman"/>
          <w:noProof/>
          <w:sz w:val="24"/>
          <w:szCs w:val="24"/>
          <w:lang w:val="en-GB" w:eastAsia="en-IE"/>
        </w:rPr>
        <w:t xml:space="preserve">competitiveness and improve the EU’s diverse innovation ecosystems. In parallel, the science-policy-society interface for the agri-food sector will be reinforced, with stronger linkages between projects and decision-makers to </w:t>
      </w:r>
      <w:r>
        <w:rPr>
          <w:rFonts w:ascii="Times New Roman" w:eastAsia="Times New Roman" w:hAnsi="Times New Roman" w:cs="Times New Roman"/>
          <w:b/>
          <w:bCs/>
          <w:noProof/>
          <w:sz w:val="24"/>
          <w:szCs w:val="24"/>
          <w:lang w:val="en-GB" w:eastAsia="en-IE"/>
        </w:rPr>
        <w:t>maximise the impact of innovative solutions at local level.</w:t>
      </w:r>
    </w:p>
    <w:p>
      <w:pPr>
        <w:spacing w:after="240"/>
        <w:jc w:val="both"/>
        <w:rPr>
          <w:rFonts w:ascii="Times New Roman" w:eastAsia="Times New Roman" w:hAnsi="Times New Roman" w:cs="Times New Roman"/>
          <w:noProof/>
          <w:sz w:val="24"/>
          <w:szCs w:val="24"/>
          <w:vertAlign w:val="superscript"/>
          <w:lang w:val="en-IE"/>
        </w:rPr>
      </w:pPr>
      <w:r>
        <w:rPr>
          <w:rFonts w:ascii="Times New Roman" w:eastAsia="Times New Roman" w:hAnsi="Times New Roman" w:cs="Times New Roman"/>
          <w:noProof/>
          <w:sz w:val="24"/>
          <w:szCs w:val="24"/>
          <w:lang w:val="en-IE"/>
        </w:rPr>
        <w:t>Cooperation between territories, communities and municipalities with shared R&amp;I priorities and complementary capabilities is also a powerful catalyst for innovation,</w:t>
      </w:r>
      <w:r>
        <w:rPr>
          <w:rFonts w:ascii="Times New Roman" w:eastAsia="Times New Roman" w:hAnsi="Times New Roman" w:cs="Times New Roman"/>
          <w:b/>
          <w:bCs/>
          <w:noProof/>
          <w:sz w:val="24"/>
          <w:szCs w:val="24"/>
          <w:lang w:val="en-IE"/>
        </w:rPr>
        <w:t xml:space="preserve"> as demonstrated by partnerships of the </w:t>
      </w:r>
      <w:hyperlink r:id="rId54" w:history="1">
        <w:r>
          <w:rPr>
            <w:rStyle w:val="Hyperlink"/>
            <w:rFonts w:ascii="Times New Roman" w:eastAsia="Times New Roman" w:hAnsi="Times New Roman" w:cs="Times New Roman"/>
            <w:b/>
            <w:bCs/>
            <w:noProof/>
            <w:sz w:val="24"/>
            <w:szCs w:val="24"/>
            <w:lang w:val="en-IE"/>
          </w:rPr>
          <w:t>Thematic Smart Specialisation Platform on Agri-Food</w:t>
        </w:r>
      </w:hyperlink>
      <w:r>
        <w:rPr>
          <w:rFonts w:ascii="Times New Roman" w:eastAsia="Times New Roman" w:hAnsi="Times New Roman" w:cs="Times New Roman"/>
          <w:noProof/>
          <w:sz w:val="24"/>
          <w:szCs w:val="24"/>
          <w:vertAlign w:val="superscript"/>
          <w:lang w:val="en-GB"/>
        </w:rPr>
        <w:t xml:space="preserve"> </w:t>
      </w:r>
      <w:r>
        <w:rPr>
          <w:rFonts w:ascii="Times New Roman" w:eastAsia="Times New Roman" w:hAnsi="Times New Roman" w:cs="Times New Roman"/>
          <w:noProof/>
          <w:sz w:val="24"/>
          <w:szCs w:val="24"/>
          <w:lang w:val="en-IE"/>
        </w:rPr>
        <w:t>within the framework of Smart Specialisation Strategies (S3) under cohesion policy, including the European Regional Development Fund and Interregional Innovation Investment instrument.</w:t>
      </w:r>
      <w:r>
        <w:rPr>
          <w:rFonts w:ascii="Times New Roman" w:eastAsia="Times New Roman" w:hAnsi="Times New Roman" w:cs="Times New Roman"/>
          <w:noProof/>
          <w:sz w:val="24"/>
          <w:szCs w:val="24"/>
          <w:vertAlign w:val="superscript"/>
          <w:lang w:val="en-IE"/>
        </w:rPr>
        <w:t xml:space="preserve"> </w:t>
      </w:r>
    </w:p>
    <w:p>
      <w:pPr>
        <w:pStyle w:val="Heading2"/>
        <w:rPr>
          <w:rFonts w:ascii="Times New Roman" w:hAnsi="Times New Roman" w:cs="Times New Roman"/>
          <w:b/>
          <w:noProof/>
          <w:color w:val="auto"/>
          <w:sz w:val="24"/>
          <w:szCs w:val="24"/>
          <w:lang w:val="en-GB"/>
        </w:rPr>
      </w:pPr>
      <w:bookmarkStart w:id="18" w:name="_Toc232778789"/>
      <w:r>
        <w:rPr>
          <w:rFonts w:ascii="Times New Roman" w:hAnsi="Times New Roman" w:cs="Times New Roman"/>
          <w:b/>
          <w:noProof/>
          <w:color w:val="auto"/>
          <w:sz w:val="24"/>
          <w:szCs w:val="24"/>
          <w:lang w:val="en-GB"/>
        </w:rPr>
        <w:t>3.</w:t>
      </w:r>
      <w:r>
        <w:rPr>
          <w:rFonts w:ascii="Times New Roman" w:hAnsi="Times New Roman" w:cs="Times New Roman"/>
          <w:b/>
          <w:bCs/>
          <w:noProof/>
          <w:color w:val="auto"/>
          <w:sz w:val="24"/>
          <w:szCs w:val="24"/>
          <w:lang w:val="en-GB"/>
        </w:rPr>
        <w:t>3</w:t>
      </w:r>
      <w:r>
        <w:rPr>
          <w:rFonts w:ascii="Times New Roman" w:hAnsi="Times New Roman" w:cs="Times New Roman"/>
          <w:b/>
          <w:noProof/>
          <w:color w:val="auto"/>
          <w:sz w:val="24"/>
          <w:szCs w:val="24"/>
          <w:lang w:val="en-GB"/>
        </w:rPr>
        <w:t>. AgRI 2040</w:t>
      </w:r>
      <w:bookmarkEnd w:id="18"/>
      <w:r>
        <w:rPr>
          <w:rFonts w:ascii="Times New Roman" w:hAnsi="Times New Roman" w:cs="Times New Roman"/>
          <w:b/>
          <w:noProof/>
          <w:color w:val="auto"/>
          <w:sz w:val="24"/>
          <w:szCs w:val="24"/>
          <w:lang w:val="en-GB"/>
        </w:rPr>
        <w:t xml:space="preserve"> </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AgRI 2040</w:t>
      </w:r>
      <w:r>
        <w:rPr>
          <w:rFonts w:ascii="Times New Roman" w:hAnsi="Times New Roman" w:cs="Times New Roman"/>
          <w:noProof/>
          <w:sz w:val="24"/>
          <w:szCs w:val="24"/>
          <w:lang w:val="en-GB"/>
        </w:rPr>
        <w:t xml:space="preserve"> will be an overarching framework for agricultural, forestry and rural research and innovation. It will help </w:t>
      </w:r>
      <w:r>
        <w:rPr>
          <w:rFonts w:ascii="Times New Roman" w:hAnsi="Times New Roman" w:cs="Times New Roman"/>
          <w:b/>
          <w:bCs/>
          <w:noProof/>
          <w:sz w:val="24"/>
          <w:szCs w:val="24"/>
          <w:lang w:val="en-GB"/>
        </w:rPr>
        <w:t>identify thematic and cross-cutting R&amp;I needs through evidence-based analysis and stakeholder co-creation,</w:t>
      </w:r>
      <w:r>
        <w:rPr>
          <w:rFonts w:ascii="Times New Roman" w:hAnsi="Times New Roman" w:cs="Times New Roman"/>
          <w:noProof/>
          <w:sz w:val="24"/>
          <w:szCs w:val="24"/>
          <w:lang w:val="en-GB"/>
        </w:rPr>
        <w:t xml:space="preserve"> and will be regularly updated to reflect the evolving global context. </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Without prejudice to the next MFF, AgRI 2040 will provide a strategic direction under which these needs could be addressed through actions funded by relevant work programmes of future funding programmes. Particular attention will be paid to the valorisation of research and innovation results into startups, scaleups and industrial deployment, as well as to their dissemination, uptake and adoption by farmers, foresters and rural communities. </w:t>
      </w:r>
    </w:p>
    <w:p>
      <w:pPr>
        <w:spacing w:after="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Furthermore, AgRI 2040 will serve as an organising framework to mobilise funding and implementation partners around well-defined segments of the agri-food value chain, while providing a coherent governance structure.</w:t>
      </w:r>
      <w:r>
        <w:rPr>
          <w:rFonts w:ascii="Times New Roman" w:hAnsi="Times New Roman" w:cs="Times New Roman"/>
          <w:noProof/>
          <w:sz w:val="24"/>
          <w:szCs w:val="24"/>
          <w:lang w:val="en-IE"/>
        </w:rPr>
        <w:t xml:space="preserve"> Particular attention will be paid to strengthening AKIS through R&amp;I, improving knowledge flows, advisory services, skills development and innovation uptake, while promoting agroecological approaches, including organic farming.</w:t>
      </w:r>
    </w:p>
    <w:p>
      <w:pPr>
        <w:spacing w:before="160" w:after="0" w:line="276" w:lineRule="auto"/>
        <w:jc w:val="both"/>
        <w:rPr>
          <w:rFonts w:ascii="Times New Roman" w:eastAsia="Times New Roman" w:hAnsi="Times New Roman" w:cs="Times New Roman"/>
          <w:b/>
          <w:bCs/>
          <w:noProof/>
          <w:sz w:val="24"/>
          <w:szCs w:val="24"/>
          <w:lang w:val="en-GB"/>
        </w:rPr>
      </w:pPr>
      <w:r>
        <w:rPr>
          <w:rFonts w:ascii="Times New Roman" w:eastAsia="Times New Roman" w:hAnsi="Times New Roman" w:cs="Times New Roman"/>
          <w:noProof/>
          <w:sz w:val="24"/>
          <w:szCs w:val="24"/>
          <w:lang w:val="en-GB"/>
        </w:rPr>
        <w:lastRenderedPageBreak/>
        <w:t xml:space="preserve">AgRI 2040 </w:t>
      </w:r>
      <w:r>
        <w:rPr>
          <w:rFonts w:ascii="Times New Roman" w:eastAsia="Times New Roman" w:hAnsi="Times New Roman" w:cs="Times New Roman"/>
          <w:b/>
          <w:bCs/>
          <w:noProof/>
          <w:sz w:val="24"/>
          <w:szCs w:val="24"/>
          <w:lang w:val="en-GB"/>
        </w:rPr>
        <w:t>will propose areas of action to implement the priorities of this strategic approach.</w:t>
      </w:r>
      <w:r>
        <w:rPr>
          <w:rFonts w:ascii="Times New Roman" w:eastAsia="Times New Roman" w:hAnsi="Times New Roman" w:cs="Times New Roman"/>
          <w:noProof/>
          <w:sz w:val="24"/>
          <w:szCs w:val="24"/>
          <w:lang w:val="en-GB"/>
        </w:rPr>
        <w:t xml:space="preserve"> The following </w:t>
      </w:r>
      <w:r>
        <w:rPr>
          <w:rFonts w:ascii="Times New Roman" w:eastAsia="Times New Roman" w:hAnsi="Times New Roman" w:cs="Times New Roman"/>
          <w:b/>
          <w:bCs/>
          <w:noProof/>
          <w:sz w:val="24"/>
          <w:szCs w:val="24"/>
          <w:lang w:val="en-IE"/>
        </w:rPr>
        <w:t>eight preliminary areas of action reflect the needs already identified</w:t>
      </w:r>
      <w:r>
        <w:rPr>
          <w:rFonts w:ascii="Times New Roman" w:eastAsia="Times New Roman" w:hAnsi="Times New Roman" w:cs="Times New Roman"/>
          <w:noProof/>
          <w:sz w:val="24"/>
          <w:szCs w:val="24"/>
          <w:lang w:val="en-IE"/>
        </w:rPr>
        <w:t xml:space="preserve"> through the vision for agriculture and food, the public consultation, SCAR inputs and the staff working document accompanying this Communication. </w:t>
      </w:r>
      <w:r>
        <w:rPr>
          <w:rFonts w:ascii="Times New Roman" w:eastAsia="Times New Roman" w:hAnsi="Times New Roman" w:cs="Times New Roman"/>
          <w:b/>
          <w:bCs/>
          <w:noProof/>
          <w:sz w:val="24"/>
          <w:szCs w:val="24"/>
          <w:lang w:val="en-IE"/>
        </w:rPr>
        <w:t>The Commission will organise the EU AgRI 2040 conference</w:t>
      </w:r>
      <w:r>
        <w:rPr>
          <w:rFonts w:ascii="Times New Roman" w:eastAsia="Times New Roman" w:hAnsi="Times New Roman" w:cs="Times New Roman"/>
          <w:noProof/>
          <w:sz w:val="24"/>
          <w:szCs w:val="24"/>
          <w:lang w:val="en-IE"/>
        </w:rPr>
        <w:t xml:space="preserve"> on 24-25 September 2026 and follow-up activities to further co-create and refine these areas of action with stakeholders.</w:t>
      </w:r>
    </w:p>
    <w:p>
      <w:pPr>
        <w:numPr>
          <w:ilvl w:val="0"/>
          <w:numId w:val="2"/>
        </w:numPr>
        <w:spacing w:before="120" w:after="120" w:line="276" w:lineRule="auto"/>
        <w:ind w:left="714" w:hanging="357"/>
        <w:jc w:val="both"/>
        <w:rPr>
          <w:rFonts w:ascii="Times New Roman" w:hAnsi="Times New Roman" w:cs="Times New Roman"/>
          <w:b/>
          <w:noProof/>
          <w:sz w:val="24"/>
          <w:szCs w:val="24"/>
          <w:lang w:val="en-IE"/>
        </w:rPr>
      </w:pPr>
      <w:r>
        <w:rPr>
          <w:rFonts w:ascii="Times New Roman" w:hAnsi="Times New Roman" w:cs="Times New Roman"/>
          <w:b/>
          <w:bCs/>
          <w:noProof/>
          <w:sz w:val="24"/>
          <w:szCs w:val="24"/>
          <w:lang w:val="en-IE"/>
        </w:rPr>
        <w:t>Soil, agri-ecosystems, water and nutrient capital</w:t>
      </w:r>
    </w:p>
    <w:p>
      <w:pPr>
        <w:spacing w:before="120" w:after="120" w:line="276" w:lineRule="auto"/>
        <w:jc w:val="both"/>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IE"/>
        </w:rPr>
        <w:t xml:space="preserve">This area of action focuses on R&amp;I that contributes to </w:t>
      </w:r>
      <w:r>
        <w:rPr>
          <w:rFonts w:ascii="Times New Roman" w:eastAsia="Aptos" w:hAnsi="Times New Roman" w:cs="Times New Roman"/>
          <w:b/>
          <w:bCs/>
          <w:noProof/>
          <w:sz w:val="24"/>
          <w:szCs w:val="24"/>
          <w:lang w:val="en-IE"/>
        </w:rPr>
        <w:t>restoring and maintaining healthy soils and resilient water systems</w:t>
      </w:r>
      <w:r>
        <w:rPr>
          <w:rFonts w:ascii="Times New Roman" w:eastAsia="Aptos" w:hAnsi="Times New Roman" w:cs="Times New Roman"/>
          <w:noProof/>
          <w:sz w:val="24"/>
          <w:szCs w:val="24"/>
          <w:lang w:val="en-IE"/>
        </w:rPr>
        <w:t xml:space="preserve"> as the foundation for climate change mitigation and resilience, food security, biodiversity protection and restoration, and sustainable agricultural production.</w:t>
      </w:r>
      <w:r>
        <w:rPr>
          <w:rFonts w:ascii="Times New Roman" w:eastAsia="Aptos" w:hAnsi="Times New Roman" w:cs="Times New Roman"/>
          <w:noProof/>
          <w:sz w:val="24"/>
          <w:szCs w:val="24"/>
          <w:lang w:val="en-GB"/>
        </w:rPr>
        <w:t xml:space="preserve"> </w:t>
      </w:r>
    </w:p>
    <w:p>
      <w:pPr>
        <w:spacing w:before="120" w:after="120" w:line="276" w:lineRule="auto"/>
        <w:jc w:val="both"/>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IE"/>
        </w:rPr>
        <w:t xml:space="preserve">Priority actions include generating knowledge, technologies and tools to </w:t>
      </w:r>
      <w:r>
        <w:rPr>
          <w:rFonts w:ascii="Times New Roman" w:eastAsia="Aptos" w:hAnsi="Times New Roman" w:cs="Times New Roman"/>
          <w:noProof/>
          <w:sz w:val="24"/>
          <w:szCs w:val="24"/>
          <w:lang w:val="en-GB"/>
        </w:rPr>
        <w:t xml:space="preserve">improve soil health, </w:t>
      </w:r>
      <w:r>
        <w:rPr>
          <w:rFonts w:ascii="Times New Roman" w:eastAsia="Aptos" w:hAnsi="Times New Roman" w:cs="Times New Roman"/>
          <w:noProof/>
          <w:sz w:val="24"/>
          <w:szCs w:val="24"/>
          <w:lang w:val="en-IE"/>
        </w:rPr>
        <w:t>water quality and water availability, while addressing pollution, erosion, water scarcity, desertification, nutrient losses and biodiversity decline. It also includes R&amp;I that develops sustainable land and water management approaches and practices, such as agroecology and organic farming, carbon farming, agroforestry and nature-based solutions.</w:t>
      </w:r>
      <w:r>
        <w:rPr>
          <w:rFonts w:ascii="Times New Roman" w:eastAsia="Aptos" w:hAnsi="Times New Roman" w:cs="Times New Roman"/>
          <w:noProof/>
          <w:sz w:val="24"/>
          <w:szCs w:val="24"/>
          <w:lang w:val="en-GB"/>
        </w:rPr>
        <w:t xml:space="preserve"> </w:t>
      </w:r>
    </w:p>
    <w:p>
      <w:pPr>
        <w:spacing w:before="120" w:after="120" w:line="276" w:lineRule="auto"/>
        <w:jc w:val="both"/>
        <w:rPr>
          <w:rFonts w:ascii="Times New Roman" w:eastAsia="Aptos" w:hAnsi="Times New Roman" w:cs="Times New Roman"/>
          <w:noProof/>
          <w:sz w:val="24"/>
          <w:szCs w:val="24"/>
          <w:lang w:val="en-IE"/>
        </w:rPr>
      </w:pPr>
      <w:r>
        <w:rPr>
          <w:rFonts w:ascii="Times New Roman" w:eastAsia="Aptos" w:hAnsi="Times New Roman" w:cs="Times New Roman"/>
          <w:noProof/>
          <w:sz w:val="24"/>
          <w:szCs w:val="24"/>
          <w:lang w:val="en-IE"/>
        </w:rPr>
        <w:t xml:space="preserve">A further priority should include R&amp;I to </w:t>
      </w:r>
      <w:r>
        <w:rPr>
          <w:rFonts w:ascii="Times New Roman" w:eastAsia="Aptos" w:hAnsi="Times New Roman" w:cs="Times New Roman"/>
          <w:b/>
          <w:bCs/>
          <w:noProof/>
          <w:sz w:val="24"/>
          <w:szCs w:val="24"/>
          <w:lang w:val="en-IE"/>
        </w:rPr>
        <w:t>reduce the use of resources and improve use efficiency</w:t>
      </w:r>
      <w:r>
        <w:rPr>
          <w:rFonts w:ascii="Times New Roman" w:eastAsia="Aptos" w:hAnsi="Times New Roman" w:cs="Times New Roman"/>
          <w:noProof/>
          <w:sz w:val="24"/>
          <w:szCs w:val="24"/>
          <w:lang w:val="en-IE"/>
        </w:rPr>
        <w:t>, particularly for nutrients and water, while helping to scale-up the circular recovery and management of nutrients, including bio-based fertilisers and soil improvers, and the valorisation of agricultural and food-processing waste streams.</w:t>
      </w:r>
    </w:p>
    <w:p>
      <w:pPr>
        <w:spacing w:before="120" w:after="120" w:line="276" w:lineRule="auto"/>
        <w:jc w:val="both"/>
        <w:rPr>
          <w:rFonts w:ascii="Times New Roman" w:eastAsia="Aptos" w:hAnsi="Times New Roman" w:cs="Times New Roman"/>
          <w:noProof/>
          <w:sz w:val="24"/>
          <w:szCs w:val="24"/>
          <w:lang w:val="en-IE"/>
        </w:rPr>
      </w:pPr>
      <w:r>
        <w:rPr>
          <w:rFonts w:ascii="Times New Roman" w:eastAsia="Aptos" w:hAnsi="Times New Roman" w:cs="Times New Roman"/>
          <w:noProof/>
          <w:sz w:val="24"/>
          <w:szCs w:val="24"/>
          <w:lang w:val="en-IE"/>
        </w:rPr>
        <w:t xml:space="preserve">R&amp;I can accelerate the deployment of practical solutions through Living Labs, including digital technologies and integrated systems to monitor soil, water and nutrients. Innovations at the interface between agriculture and aquaculture should be explored. </w:t>
      </w:r>
      <w:r>
        <w:rPr>
          <w:rFonts w:ascii="Times New Roman" w:eastAsia="Aptos" w:hAnsi="Times New Roman" w:cs="Times New Roman"/>
          <w:b/>
          <w:bCs/>
          <w:noProof/>
          <w:sz w:val="24"/>
          <w:szCs w:val="24"/>
          <w:lang w:val="en-IE"/>
        </w:rPr>
        <w:t>Particular attention should be paid to the soil-water-energy nexus</w:t>
      </w:r>
      <w:r>
        <w:rPr>
          <w:rFonts w:ascii="Times New Roman" w:eastAsia="Aptos" w:hAnsi="Times New Roman" w:cs="Times New Roman"/>
          <w:noProof/>
          <w:sz w:val="24"/>
          <w:szCs w:val="24"/>
          <w:lang w:val="en-IE"/>
        </w:rPr>
        <w:t>, including R&amp;I on controlled-environment agriculture, as well as on multilevel governance, innovative business models, and soil literacy to support long-term change across the value chain.</w:t>
      </w:r>
    </w:p>
    <w:p>
      <w:pPr>
        <w:numPr>
          <w:ilvl w:val="0"/>
          <w:numId w:val="2"/>
        </w:numPr>
        <w:spacing w:before="120" w:after="0" w:line="276" w:lineRule="auto"/>
        <w:ind w:left="714" w:hanging="357"/>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 xml:space="preserve">Cropping </w:t>
      </w:r>
      <w:r>
        <w:rPr>
          <w:rFonts w:ascii="Times New Roman" w:hAnsi="Times New Roman" w:cs="Times New Roman"/>
          <w:b/>
          <w:bCs/>
          <w:noProof/>
          <w:sz w:val="24"/>
          <w:szCs w:val="24"/>
          <w:lang w:val="en-GB"/>
        </w:rPr>
        <w:t>systems</w:t>
      </w:r>
    </w:p>
    <w:p>
      <w:pPr>
        <w:spacing w:before="120" w:after="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This area aims to foster R&amp;I that supports climate-smart, sustainable, resilient and competitive cropping systems. It focuses on strengthening adaptation to environmental stresses such as drought, salinity and extreme temperatures, including through agroecological approaches.</w:t>
      </w:r>
      <w:r>
        <w:rPr>
          <w:rFonts w:ascii="Times New Roman" w:hAnsi="Times New Roman" w:cs="Times New Roman"/>
          <w:noProof/>
          <w:sz w:val="24"/>
          <w:szCs w:val="24"/>
          <w:lang w:val="en-GB"/>
        </w:rPr>
        <w:t xml:space="preserve"> </w:t>
      </w:r>
    </w:p>
    <w:p>
      <w:pPr>
        <w:spacing w:before="120" w:after="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It also seeks to improve </w:t>
      </w:r>
      <w:r>
        <w:rPr>
          <w:rFonts w:ascii="Times New Roman" w:hAnsi="Times New Roman" w:cs="Times New Roman"/>
          <w:b/>
          <w:bCs/>
          <w:noProof/>
          <w:sz w:val="24"/>
          <w:szCs w:val="24"/>
          <w:lang w:val="en-IE"/>
        </w:rPr>
        <w:t>preparedness for and responsiveness to emerging and future threats to plant health</w:t>
      </w:r>
      <w:r>
        <w:rPr>
          <w:rFonts w:ascii="Times New Roman" w:hAnsi="Times New Roman" w:cs="Times New Roman"/>
          <w:noProof/>
          <w:sz w:val="24"/>
          <w:szCs w:val="24"/>
          <w:lang w:val="en-IE"/>
        </w:rPr>
        <w:t>. This includes developing and deploying rapid and effective tools for prevention, early detection, treatment and biological control of plant pests.</w:t>
      </w:r>
    </w:p>
    <w:p>
      <w:pPr>
        <w:spacing w:before="120" w:after="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R&amp;I actions should promote </w:t>
      </w:r>
      <w:r>
        <w:rPr>
          <w:rFonts w:ascii="Times New Roman" w:hAnsi="Times New Roman" w:cs="Times New Roman"/>
          <w:b/>
          <w:bCs/>
          <w:noProof/>
          <w:sz w:val="24"/>
          <w:szCs w:val="24"/>
          <w:lang w:val="en-IE"/>
        </w:rPr>
        <w:t>sustainable and low-risk crop protection</w:t>
      </w:r>
      <w:r>
        <w:rPr>
          <w:rFonts w:ascii="Times New Roman" w:hAnsi="Times New Roman" w:cs="Times New Roman"/>
          <w:noProof/>
          <w:sz w:val="24"/>
          <w:szCs w:val="24"/>
          <w:lang w:val="en-IE"/>
        </w:rPr>
        <w:t xml:space="preserve"> through integrated approaches that combine agroecological and agronomic practices with biological solutions, low-risk alternatives, breeding, biotechnology, precision technologies, and digital tools.</w:t>
      </w:r>
    </w:p>
    <w:p>
      <w:pPr>
        <w:spacing w:before="120" w:after="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potential of</w:t>
      </w:r>
      <w:r>
        <w:rPr>
          <w:rFonts w:ascii="Times New Roman" w:hAnsi="Times New Roman" w:cs="Times New Roman"/>
          <w:b/>
          <w:bCs/>
          <w:noProof/>
          <w:sz w:val="24"/>
          <w:szCs w:val="24"/>
          <w:lang w:val="en-IE"/>
        </w:rPr>
        <w:t xml:space="preserve"> plant breeding, knowledge of seeds and plant varieties, biotechnology and genetic resources</w:t>
      </w:r>
      <w:r>
        <w:rPr>
          <w:rFonts w:ascii="Times New Roman" w:hAnsi="Times New Roman" w:cs="Times New Roman"/>
          <w:noProof/>
          <w:sz w:val="24"/>
          <w:szCs w:val="24"/>
          <w:lang w:val="en-IE"/>
        </w:rPr>
        <w:t xml:space="preserve"> should be further leveraged. This includes supporting breeding activities, as </w:t>
      </w:r>
      <w:r>
        <w:rPr>
          <w:rFonts w:ascii="Times New Roman" w:hAnsi="Times New Roman" w:cs="Times New Roman"/>
          <w:noProof/>
          <w:sz w:val="24"/>
          <w:szCs w:val="24"/>
          <w:lang w:val="en-IE"/>
        </w:rPr>
        <w:lastRenderedPageBreak/>
        <w:t>well as the development or reintroduction of climate-smart, resource-efficient, resilient, resistant and diverse varieties, including neglected and underutilised species, suited to a wide range of conditions, with due consideration of the legal</w:t>
      </w:r>
      <w:r>
        <w:rPr>
          <w:rStyle w:val="FootnoteReference"/>
          <w:rFonts w:ascii="Times New Roman" w:hAnsi="Times New Roman" w:cs="Times New Roman"/>
          <w:noProof/>
          <w:sz w:val="24"/>
          <w:szCs w:val="24"/>
          <w:lang w:val="en-IE"/>
        </w:rPr>
        <w:footnoteReference w:id="41"/>
      </w:r>
      <w:r>
        <w:rPr>
          <w:rFonts w:ascii="Times New Roman" w:hAnsi="Times New Roman" w:cs="Times New Roman"/>
          <w:noProof/>
          <w:sz w:val="24"/>
          <w:szCs w:val="24"/>
          <w:lang w:val="en-IE"/>
        </w:rPr>
        <w:t xml:space="preserve"> and policy context. </w:t>
      </w:r>
    </w:p>
    <w:p>
      <w:pPr>
        <w:spacing w:before="120"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R&amp;I actions should also strengthen </w:t>
      </w:r>
      <w:r>
        <w:rPr>
          <w:rFonts w:ascii="Times New Roman" w:hAnsi="Times New Roman" w:cs="Times New Roman"/>
          <w:b/>
          <w:noProof/>
          <w:sz w:val="24"/>
          <w:szCs w:val="24"/>
          <w:lang w:val="en-GB"/>
        </w:rPr>
        <w:t>protein crops</w:t>
      </w:r>
      <w:r>
        <w:rPr>
          <w:rFonts w:ascii="Times New Roman" w:hAnsi="Times New Roman" w:cs="Times New Roman"/>
          <w:noProof/>
          <w:sz w:val="24"/>
          <w:szCs w:val="24"/>
          <w:lang w:val="en-GB"/>
        </w:rPr>
        <w:t xml:space="preserve"> as a strategic component of a more resilient and sustainable EU protein system, addressing agronomic performance, processing and nutritional value, and the development of food, feed, and circular value-chains.</w:t>
      </w:r>
    </w:p>
    <w:p>
      <w:pPr>
        <w:numPr>
          <w:ilvl w:val="0"/>
          <w:numId w:val="2"/>
        </w:numPr>
        <w:spacing w:before="120" w:after="0" w:line="276" w:lineRule="auto"/>
        <w:ind w:left="714" w:hanging="357"/>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 xml:space="preserve">Livestock </w:t>
      </w:r>
      <w:r>
        <w:rPr>
          <w:rFonts w:ascii="Times New Roman" w:hAnsi="Times New Roman" w:cs="Times New Roman"/>
          <w:b/>
          <w:bCs/>
          <w:noProof/>
          <w:sz w:val="24"/>
          <w:szCs w:val="24"/>
          <w:lang w:val="en-GB"/>
        </w:rPr>
        <w:t>systems</w:t>
      </w:r>
      <w:r>
        <w:rPr>
          <w:rFonts w:ascii="Times New Roman" w:hAnsi="Times New Roman" w:cs="Times New Roman"/>
          <w:noProof/>
          <w:sz w:val="24"/>
          <w:szCs w:val="24"/>
          <w:lang w:val="en-GB"/>
        </w:rPr>
        <w:t xml:space="preserve"> </w:t>
      </w:r>
    </w:p>
    <w:p>
      <w:pPr>
        <w:spacing w:before="120" w:after="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area aims to foster R&amp;I that supports the sustainability, competitiveness, excellence, territoriality and resilience of livestock systems to </w:t>
      </w:r>
      <w:r>
        <w:rPr>
          <w:rFonts w:ascii="Times New Roman" w:hAnsi="Times New Roman" w:cs="Times New Roman"/>
          <w:b/>
          <w:bCs/>
          <w:noProof/>
          <w:sz w:val="24"/>
          <w:szCs w:val="24"/>
          <w:lang w:val="en-GB"/>
        </w:rPr>
        <w:t>safeguard animal health and welfare, reduce the environmental impact of the livestock sector</w:t>
      </w:r>
      <w:r>
        <w:rPr>
          <w:rFonts w:ascii="Times New Roman" w:hAnsi="Times New Roman" w:cs="Times New Roman"/>
          <w:noProof/>
          <w:sz w:val="24"/>
          <w:szCs w:val="24"/>
          <w:lang w:val="en-GB"/>
        </w:rPr>
        <w:t xml:space="preserve">, and promote precision farming. It will contribute to the objectives of the </w:t>
      </w:r>
      <w:hyperlink r:id="rId55" w:history="1">
        <w:r>
          <w:rPr>
            <w:rStyle w:val="Hyperlink"/>
            <w:rFonts w:ascii="Times New Roman" w:hAnsi="Times New Roman" w:cs="Times New Roman"/>
            <w:noProof/>
            <w:sz w:val="24"/>
            <w:szCs w:val="24"/>
            <w:lang w:val="en-GB"/>
          </w:rPr>
          <w:t>livestock strategy</w:t>
        </w:r>
      </w:hyperlink>
      <w:r>
        <w:rPr>
          <w:rFonts w:ascii="Times New Roman" w:hAnsi="Times New Roman" w:cs="Times New Roman"/>
          <w:noProof/>
          <w:sz w:val="24"/>
          <w:szCs w:val="24"/>
          <w:lang w:val="en-GB"/>
        </w:rPr>
        <w:t>.</w:t>
      </w:r>
    </w:p>
    <w:p>
      <w:pPr>
        <w:spacing w:before="120" w:after="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It should support impact-driven animal breeding for multiple purposes </w:t>
      </w:r>
      <w:r>
        <w:rPr>
          <w:rFonts w:ascii="Times New Roman" w:hAnsi="Times New Roman" w:cs="Times New Roman"/>
          <w:noProof/>
          <w:sz w:val="24"/>
          <w:szCs w:val="24"/>
          <w:lang w:val="en-IE"/>
        </w:rPr>
        <w:t>with due consideration of the legal and policy context</w:t>
      </w:r>
      <w:r>
        <w:rPr>
          <w:rFonts w:ascii="Times New Roman" w:hAnsi="Times New Roman" w:cs="Times New Roman"/>
          <w:noProof/>
          <w:sz w:val="24"/>
          <w:szCs w:val="24"/>
          <w:lang w:val="en-GB"/>
        </w:rPr>
        <w:t>, and foster the development of sustainable feed and nutrients, including vitamins and amino acids.</w:t>
      </w:r>
    </w:p>
    <w:p>
      <w:pPr>
        <w:spacing w:before="120" w:after="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R&amp;I can reinforce biosecurity measures by taking a multidisciplinary approach. R&amp;I should support the development of new interventions, treatments and vaccines, as well as improvements to existing solutions that target priority animal diseases, including zoonoses, while safeguarding animal welfare and encouraging the prudent use of antimicrobials.</w:t>
      </w:r>
    </w:p>
    <w:p>
      <w:pPr>
        <w:spacing w:before="120" w:after="0" w:line="276" w:lineRule="auto"/>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Integrated approaches to animal health and welfare,</w:t>
      </w:r>
      <w:r>
        <w:rPr>
          <w:rFonts w:ascii="Times New Roman" w:hAnsi="Times New Roman" w:cs="Times New Roman"/>
          <w:noProof/>
          <w:sz w:val="24"/>
          <w:szCs w:val="24"/>
          <w:lang w:val="en-IE"/>
        </w:rPr>
        <w:t xml:space="preserve"> including the socio-economic dimension, should be further developed through R&amp;I and measures that combine disease prevention, disease control and emergency preparedness while improving animal welfare outcomes.</w:t>
      </w:r>
    </w:p>
    <w:p>
      <w:pPr>
        <w:spacing w:before="120" w:after="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Resource efficiency should be improved through </w:t>
      </w:r>
      <w:r>
        <w:rPr>
          <w:rFonts w:ascii="Times New Roman" w:hAnsi="Times New Roman" w:cs="Times New Roman"/>
          <w:b/>
          <w:bCs/>
          <w:noProof/>
          <w:sz w:val="24"/>
          <w:szCs w:val="24"/>
          <w:lang w:val="en-GB"/>
        </w:rPr>
        <w:t>innovative feed measures</w:t>
      </w:r>
      <w:r>
        <w:rPr>
          <w:rFonts w:ascii="Times New Roman" w:hAnsi="Times New Roman" w:cs="Times New Roman"/>
          <w:b/>
          <w:noProof/>
          <w:sz w:val="24"/>
          <w:szCs w:val="24"/>
          <w:lang w:val="en-GB"/>
        </w:rPr>
        <w:t>,</w:t>
      </w:r>
      <w:r>
        <w:rPr>
          <w:rFonts w:ascii="Times New Roman" w:hAnsi="Times New Roman" w:cs="Times New Roman"/>
          <w:noProof/>
          <w:sz w:val="24"/>
          <w:szCs w:val="24"/>
          <w:lang w:val="en-GB"/>
        </w:rPr>
        <w:t xml:space="preserve"> such as optimising grass-based and pasture systems, improving feed conversion, and safeguarding biodiversity while reducing land pressure through approaches such as agropastoralism. Resource efficiency should also contribute to mitigate emissions and minimising waste across the value chain by promoting the principles of the circular economy. Structural changes that impact the livestock sector, such as the use of new alternative proteins, climate change or changes in the geopolitical context should be duly considered and comprehensively addressed as part of a systemic approach. </w:t>
      </w:r>
    </w:p>
    <w:p>
      <w:pPr>
        <w:pStyle w:val="ListParagraph"/>
        <w:numPr>
          <w:ilvl w:val="0"/>
          <w:numId w:val="9"/>
        </w:numPr>
        <w:spacing w:before="120" w:after="0" w:line="276"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 xml:space="preserve">Bioeconomy in agriculture, forestry and rural </w:t>
      </w:r>
      <w:r>
        <w:rPr>
          <w:rFonts w:ascii="Times New Roman" w:hAnsi="Times New Roman" w:cs="Times New Roman"/>
          <w:b/>
          <w:bCs/>
          <w:noProof/>
          <w:sz w:val="24"/>
          <w:szCs w:val="24"/>
          <w:lang w:val="en-GB"/>
        </w:rPr>
        <w:t>areas</w:t>
      </w:r>
      <w:r>
        <w:rPr>
          <w:rFonts w:ascii="Times New Roman" w:hAnsi="Times New Roman" w:cs="Times New Roman"/>
          <w:noProof/>
          <w:sz w:val="24"/>
          <w:szCs w:val="24"/>
          <w:lang w:val="en-GB"/>
        </w:rPr>
        <w:t xml:space="preserve"> </w:t>
      </w:r>
    </w:p>
    <w:p>
      <w:pPr>
        <w:spacing w:before="120" w:after="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This area focuses on R&amp;I for the </w:t>
      </w:r>
      <w:r>
        <w:rPr>
          <w:rFonts w:ascii="Times New Roman" w:hAnsi="Times New Roman" w:cs="Times New Roman"/>
          <w:b/>
          <w:bCs/>
          <w:noProof/>
          <w:sz w:val="24"/>
          <w:szCs w:val="24"/>
          <w:lang w:val="en-IE"/>
        </w:rPr>
        <w:t>efficient and sustainable</w:t>
      </w:r>
      <w:r>
        <w:rPr>
          <w:rFonts w:ascii="Times New Roman" w:hAnsi="Times New Roman" w:cs="Times New Roman"/>
          <w:b/>
          <w:bCs/>
          <w:noProof/>
          <w:sz w:val="24"/>
          <w:szCs w:val="24"/>
          <w:lang w:val="en-GB"/>
        </w:rPr>
        <w:t xml:space="preserve"> use of agricultural and forestry land and biomass</w:t>
      </w:r>
      <w:r>
        <w:rPr>
          <w:rFonts w:ascii="Times New Roman" w:hAnsi="Times New Roman" w:cs="Times New Roman"/>
          <w:noProof/>
          <w:sz w:val="24"/>
          <w:szCs w:val="24"/>
          <w:lang w:val="en-GB"/>
        </w:rPr>
        <w:t xml:space="preserve">, and to boost </w:t>
      </w:r>
      <w:r>
        <w:rPr>
          <w:rFonts w:ascii="Times New Roman" w:hAnsi="Times New Roman" w:cs="Times New Roman"/>
          <w:b/>
          <w:bCs/>
          <w:noProof/>
          <w:sz w:val="24"/>
          <w:szCs w:val="24"/>
          <w:lang w:val="en-GB"/>
        </w:rPr>
        <w:t>biomanufacturing</w:t>
      </w:r>
      <w:r>
        <w:rPr>
          <w:rFonts w:ascii="Times New Roman" w:hAnsi="Times New Roman" w:cs="Times New Roman"/>
          <w:noProof/>
          <w:sz w:val="24"/>
          <w:szCs w:val="24"/>
          <w:lang w:val="en-GB"/>
        </w:rPr>
        <w:t xml:space="preserve"> while generating evidence to support sustainable </w:t>
      </w:r>
      <w:r>
        <w:rPr>
          <w:rFonts w:ascii="Times New Roman" w:hAnsi="Times New Roman" w:cs="Times New Roman"/>
          <w:b/>
          <w:bCs/>
          <w:noProof/>
          <w:sz w:val="24"/>
          <w:szCs w:val="24"/>
          <w:lang w:val="en-GB"/>
        </w:rPr>
        <w:t>business models</w:t>
      </w:r>
      <w:r>
        <w:rPr>
          <w:rFonts w:ascii="Times New Roman" w:hAnsi="Times New Roman" w:cs="Times New Roman"/>
          <w:noProof/>
          <w:sz w:val="24"/>
          <w:szCs w:val="24"/>
          <w:lang w:val="en-GB"/>
        </w:rPr>
        <w:t xml:space="preserve"> and </w:t>
      </w:r>
      <w:r>
        <w:rPr>
          <w:rFonts w:ascii="Times New Roman" w:hAnsi="Times New Roman" w:cs="Times New Roman"/>
          <w:b/>
          <w:bCs/>
          <w:noProof/>
          <w:sz w:val="24"/>
          <w:szCs w:val="24"/>
          <w:lang w:val="en-GB"/>
        </w:rPr>
        <w:t>governance tools</w:t>
      </w:r>
      <w:r>
        <w:rPr>
          <w:rFonts w:ascii="Times New Roman" w:hAnsi="Times New Roman" w:cs="Times New Roman"/>
          <w:noProof/>
          <w:sz w:val="24"/>
          <w:szCs w:val="24"/>
          <w:lang w:val="en-GB"/>
        </w:rPr>
        <w:t xml:space="preserve"> that create additional income for primary producers and rural communities. Through R&amp;I, the European production of </w:t>
      </w:r>
      <w:r>
        <w:rPr>
          <w:rFonts w:ascii="Times New Roman" w:hAnsi="Times New Roman" w:cs="Times New Roman"/>
          <w:b/>
          <w:bCs/>
          <w:noProof/>
          <w:sz w:val="24"/>
          <w:szCs w:val="24"/>
          <w:lang w:val="en-GB"/>
        </w:rPr>
        <w:t>bio-based alternatives to synthetic inputs</w:t>
      </w:r>
      <w:r>
        <w:rPr>
          <w:rFonts w:ascii="Times New Roman" w:hAnsi="Times New Roman" w:cs="Times New Roman"/>
          <w:noProof/>
          <w:sz w:val="24"/>
          <w:szCs w:val="24"/>
          <w:lang w:val="en-GB"/>
        </w:rPr>
        <w:t xml:space="preserve"> should be improved, including </w:t>
      </w:r>
      <w:r>
        <w:rPr>
          <w:rFonts w:ascii="Times New Roman" w:hAnsi="Times New Roman" w:cs="Times New Roman"/>
          <w:b/>
          <w:bCs/>
          <w:noProof/>
          <w:sz w:val="24"/>
          <w:szCs w:val="24"/>
          <w:lang w:val="en-GB"/>
        </w:rPr>
        <w:t xml:space="preserve">bio-based (organic) fertilisers and low-carbon </w:t>
      </w:r>
      <w:r>
        <w:rPr>
          <w:rFonts w:ascii="Times New Roman" w:hAnsi="Times New Roman" w:cs="Times New Roman"/>
          <w:b/>
          <w:bCs/>
          <w:noProof/>
          <w:sz w:val="24"/>
          <w:szCs w:val="24"/>
          <w:lang w:val="en-GB"/>
        </w:rPr>
        <w:lastRenderedPageBreak/>
        <w:t>fertilisers</w:t>
      </w:r>
      <w:r>
        <w:rPr>
          <w:rStyle w:val="FootnoteReference"/>
          <w:rFonts w:ascii="Times New Roman" w:hAnsi="Times New Roman" w:cs="Times New Roman"/>
          <w:noProof/>
          <w:sz w:val="24"/>
          <w:szCs w:val="24"/>
          <w:lang w:val="en-GB"/>
        </w:rPr>
        <w:footnoteReference w:id="42"/>
      </w:r>
      <w:r>
        <w:rPr>
          <w:rFonts w:ascii="Times New Roman" w:hAnsi="Times New Roman" w:cs="Times New Roman"/>
          <w:noProof/>
          <w:sz w:val="24"/>
          <w:szCs w:val="24"/>
          <w:lang w:val="en-GB"/>
        </w:rPr>
        <w:t xml:space="preserve">. In line with the cascading principle for the use of biomass, R&amp;I should also enhance the co-production of </w:t>
      </w:r>
      <w:r>
        <w:rPr>
          <w:rFonts w:ascii="Times New Roman" w:hAnsi="Times New Roman" w:cs="Times New Roman"/>
          <w:b/>
          <w:bCs/>
          <w:noProof/>
          <w:sz w:val="24"/>
          <w:szCs w:val="24"/>
          <w:lang w:val="en-GB"/>
        </w:rPr>
        <w:t>renewable energy</w:t>
      </w:r>
      <w:r>
        <w:rPr>
          <w:rFonts w:ascii="Times New Roman" w:hAnsi="Times New Roman" w:cs="Times New Roman"/>
          <w:noProof/>
          <w:sz w:val="24"/>
          <w:szCs w:val="24"/>
          <w:lang w:val="en-GB"/>
        </w:rPr>
        <w:t xml:space="preserve">. Furthermore, this area should provide opportunities for innovation in </w:t>
      </w:r>
      <w:r>
        <w:rPr>
          <w:rFonts w:ascii="Times New Roman" w:hAnsi="Times New Roman" w:cs="Times New Roman"/>
          <w:b/>
          <w:bCs/>
          <w:noProof/>
          <w:sz w:val="24"/>
          <w:szCs w:val="24"/>
          <w:lang w:val="en-GB"/>
        </w:rPr>
        <w:t>wood-based</w:t>
      </w:r>
      <w:r>
        <w:rPr>
          <w:rFonts w:ascii="Times New Roman" w:hAnsi="Times New Roman" w:cs="Times New Roman"/>
          <w:noProof/>
          <w:sz w:val="24"/>
          <w:szCs w:val="24"/>
          <w:lang w:val="en-GB"/>
        </w:rPr>
        <w:t xml:space="preserve"> products and materials. </w:t>
      </w:r>
    </w:p>
    <w:p>
      <w:pPr>
        <w:spacing w:before="120"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area should also include the development of new business models to </w:t>
      </w:r>
      <w:r>
        <w:rPr>
          <w:rFonts w:ascii="Times New Roman" w:hAnsi="Times New Roman" w:cs="Times New Roman"/>
          <w:b/>
          <w:noProof/>
          <w:sz w:val="24"/>
          <w:szCs w:val="24"/>
          <w:lang w:val="en-GB"/>
        </w:rPr>
        <w:t>reduce production costs</w:t>
      </w:r>
      <w:r>
        <w:rPr>
          <w:rFonts w:ascii="Times New Roman" w:hAnsi="Times New Roman" w:cs="Times New Roman"/>
          <w:noProof/>
          <w:sz w:val="24"/>
          <w:szCs w:val="24"/>
          <w:lang w:val="en-GB"/>
        </w:rPr>
        <w:t xml:space="preserve"> and </w:t>
      </w:r>
      <w:r>
        <w:rPr>
          <w:rFonts w:ascii="Times New Roman" w:hAnsi="Times New Roman" w:cs="Times New Roman"/>
          <w:b/>
          <w:noProof/>
          <w:sz w:val="24"/>
          <w:szCs w:val="24"/>
          <w:lang w:val="en-GB"/>
        </w:rPr>
        <w:t>increase the resilience</w:t>
      </w:r>
      <w:r>
        <w:rPr>
          <w:rFonts w:ascii="Times New Roman" w:hAnsi="Times New Roman" w:cs="Times New Roman"/>
          <w:noProof/>
          <w:sz w:val="24"/>
          <w:szCs w:val="24"/>
          <w:lang w:val="en-GB"/>
        </w:rPr>
        <w:t xml:space="preserve"> of biomass producers. </w:t>
      </w:r>
      <w:r>
        <w:rPr>
          <w:rFonts w:ascii="Times New Roman" w:hAnsi="Times New Roman" w:cs="Times New Roman"/>
          <w:noProof/>
          <w:sz w:val="24"/>
          <w:szCs w:val="24"/>
          <w:lang w:val="en-IE"/>
        </w:rPr>
        <w:t xml:space="preserve">R&amp;I should also support </w:t>
      </w:r>
      <w:r>
        <w:rPr>
          <w:rFonts w:ascii="Times New Roman" w:hAnsi="Times New Roman" w:cs="Times New Roman"/>
          <w:noProof/>
          <w:sz w:val="24"/>
          <w:szCs w:val="24"/>
          <w:lang w:val="en-GB"/>
        </w:rPr>
        <w:t xml:space="preserve">technologies and processes for the </w:t>
      </w:r>
      <w:r>
        <w:rPr>
          <w:rFonts w:ascii="Times New Roman" w:hAnsi="Times New Roman" w:cs="Times New Roman"/>
          <w:b/>
          <w:noProof/>
          <w:sz w:val="24"/>
          <w:szCs w:val="24"/>
          <w:lang w:val="en-IE"/>
        </w:rPr>
        <w:t>local valorisation</w:t>
      </w:r>
      <w:r>
        <w:rPr>
          <w:rFonts w:ascii="Times New Roman" w:hAnsi="Times New Roman" w:cs="Times New Roman"/>
          <w:noProof/>
          <w:sz w:val="24"/>
          <w:szCs w:val="24"/>
          <w:lang w:val="en-IE"/>
        </w:rPr>
        <w:t xml:space="preserve"> of sustainable biomass, by-products and residues,</w:t>
      </w:r>
      <w:r>
        <w:rPr>
          <w:rFonts w:ascii="Times New Roman" w:hAnsi="Times New Roman" w:cs="Times New Roman"/>
          <w:noProof/>
          <w:sz w:val="24"/>
          <w:szCs w:val="24"/>
          <w:lang w:val="en-GB"/>
        </w:rPr>
        <w:t xml:space="preserve"> circular processes, recycling and reuse of bio-based products.</w:t>
      </w:r>
    </w:p>
    <w:p>
      <w:pPr>
        <w:numPr>
          <w:ilvl w:val="0"/>
          <w:numId w:val="2"/>
        </w:numPr>
        <w:spacing w:after="120" w:line="276" w:lineRule="auto"/>
        <w:ind w:left="714" w:hanging="357"/>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 xml:space="preserve">Multi-functional </w:t>
      </w:r>
      <w:r>
        <w:rPr>
          <w:rFonts w:ascii="Times New Roman" w:hAnsi="Times New Roman" w:cs="Times New Roman"/>
          <w:b/>
          <w:bCs/>
          <w:noProof/>
          <w:sz w:val="24"/>
          <w:szCs w:val="24"/>
          <w:lang w:val="en-GB"/>
        </w:rPr>
        <w:t>forests</w:t>
      </w:r>
      <w:r>
        <w:rPr>
          <w:rFonts w:ascii="Times New Roman" w:hAnsi="Times New Roman" w:cs="Times New Roman"/>
          <w:noProof/>
          <w:sz w:val="24"/>
          <w:szCs w:val="24"/>
          <w:lang w:val="en-GB"/>
        </w:rPr>
        <w:t xml:space="preserve"> </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This area aims to strengthen the </w:t>
      </w:r>
      <w:r>
        <w:rPr>
          <w:rFonts w:ascii="Times New Roman" w:hAnsi="Times New Roman" w:cs="Times New Roman"/>
          <w:b/>
          <w:bCs/>
          <w:noProof/>
          <w:sz w:val="24"/>
          <w:szCs w:val="24"/>
          <w:lang w:val="en-IE"/>
        </w:rPr>
        <w:t>sustainable management of forests for multiple benefits</w:t>
      </w:r>
      <w:r>
        <w:rPr>
          <w:rFonts w:ascii="Times New Roman" w:hAnsi="Times New Roman" w:cs="Times New Roman"/>
          <w:noProof/>
          <w:sz w:val="24"/>
          <w:szCs w:val="24"/>
          <w:lang w:val="en-IE"/>
        </w:rPr>
        <w:t>, according to the principles of active sustainable forest management as defined by Forest Europe</w:t>
      </w:r>
      <w:r>
        <w:rPr>
          <w:rStyle w:val="FootnoteReference"/>
          <w:rFonts w:ascii="Times New Roman" w:hAnsi="Times New Roman" w:cs="Times New Roman"/>
          <w:noProof/>
          <w:sz w:val="24"/>
          <w:szCs w:val="24"/>
          <w:lang w:val="en-IE"/>
        </w:rPr>
        <w:footnoteReference w:id="43"/>
      </w:r>
      <w:r>
        <w:rPr>
          <w:rFonts w:ascii="Times New Roman" w:hAnsi="Times New Roman" w:cs="Times New Roman"/>
          <w:noProof/>
          <w:sz w:val="24"/>
          <w:szCs w:val="24"/>
          <w:lang w:val="en-IE"/>
        </w:rPr>
        <w:t>, increase the resilience of forest ecosystems and forest-based sectors, and reward foresters for the ecosystem services they provide in both rural and urban contexts</w:t>
      </w:r>
      <w:r>
        <w:rPr>
          <w:rFonts w:ascii="Times New Roman" w:hAnsi="Times New Roman" w:cs="Times New Roman"/>
          <w:noProof/>
          <w:sz w:val="24"/>
          <w:szCs w:val="24"/>
          <w:lang w:val="en-GB"/>
        </w:rPr>
        <w:t xml:space="preserve">. </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Priority actions should include supporting the </w:t>
      </w:r>
      <w:r>
        <w:rPr>
          <w:rFonts w:ascii="Times New Roman" w:hAnsi="Times New Roman" w:cs="Times New Roman"/>
          <w:b/>
          <w:bCs/>
          <w:noProof/>
          <w:sz w:val="24"/>
          <w:szCs w:val="24"/>
          <w:lang w:val="en-GB"/>
        </w:rPr>
        <w:t>restoration and protection</w:t>
      </w:r>
      <w:r>
        <w:rPr>
          <w:rFonts w:ascii="Times New Roman" w:hAnsi="Times New Roman" w:cs="Times New Roman"/>
          <w:noProof/>
          <w:sz w:val="24"/>
          <w:szCs w:val="24"/>
          <w:lang w:val="en-GB"/>
        </w:rPr>
        <w:t xml:space="preserve"> of forest habitats, contributing to climate change mitigation and adaptation, capitalising on the potential of agroforestry and boosting the forest-based bioeconomy.</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area should include R&amp;I to generate scientific evidence for the </w:t>
      </w:r>
      <w:r>
        <w:rPr>
          <w:rFonts w:ascii="Times New Roman" w:hAnsi="Times New Roman" w:cs="Times New Roman"/>
          <w:b/>
          <w:bCs/>
          <w:noProof/>
          <w:sz w:val="24"/>
          <w:szCs w:val="24"/>
          <w:lang w:val="en-GB"/>
        </w:rPr>
        <w:t>identification of adaptive and resilient forest management practices</w:t>
      </w:r>
      <w:r>
        <w:rPr>
          <w:rFonts w:ascii="Times New Roman" w:hAnsi="Times New Roman" w:cs="Times New Roman"/>
          <w:noProof/>
          <w:sz w:val="24"/>
          <w:szCs w:val="24"/>
          <w:lang w:val="en-GB"/>
        </w:rPr>
        <w:t xml:space="preserve">, analysing the impact of different forest management practices on the sustainability of forest ecosystems, and improving knowledge on forest carbon sinks, including the role of forest soil. </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It should also promote the </w:t>
      </w:r>
      <w:r>
        <w:rPr>
          <w:rFonts w:ascii="Times New Roman" w:hAnsi="Times New Roman" w:cs="Times New Roman"/>
          <w:b/>
          <w:bCs/>
          <w:noProof/>
          <w:sz w:val="24"/>
          <w:szCs w:val="24"/>
          <w:lang w:val="en-GB"/>
        </w:rPr>
        <w:t>sustainability and resilience of European forests</w:t>
      </w:r>
      <w:r>
        <w:rPr>
          <w:rFonts w:ascii="Times New Roman" w:hAnsi="Times New Roman" w:cs="Times New Roman"/>
          <w:noProof/>
          <w:sz w:val="24"/>
          <w:szCs w:val="24"/>
          <w:lang w:val="en-GB"/>
        </w:rPr>
        <w:t xml:space="preserve"> in the face of new and emerging pests and diseases, R&amp;I on how to restore damaged forests, and help to reduce wildfire risks. It should explore the use of currently underutilised tree species through adapting processing technologies, technical and digital innovation and new business models. R&amp;I should assess tree species diversity, develop and test methods for the conservation of forest genetic resources and tree propagation.</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To strengthen the </w:t>
      </w:r>
      <w:r>
        <w:rPr>
          <w:rFonts w:ascii="Times New Roman" w:hAnsi="Times New Roman" w:cs="Times New Roman"/>
          <w:b/>
          <w:bCs/>
          <w:noProof/>
          <w:sz w:val="24"/>
          <w:szCs w:val="24"/>
          <w:lang w:val="en-GB"/>
        </w:rPr>
        <w:t>forest-based bioeconomy</w:t>
      </w:r>
      <w:r>
        <w:rPr>
          <w:rFonts w:ascii="Times New Roman" w:hAnsi="Times New Roman" w:cs="Times New Roman"/>
          <w:noProof/>
          <w:sz w:val="24"/>
          <w:szCs w:val="24"/>
          <w:lang w:val="en-GB"/>
        </w:rPr>
        <w:t>, a better understanding of the benefits of wood-based products is needed, including the capacity to ensure long-term carbon storage and delivering greater value including from by-products.</w:t>
      </w:r>
    </w:p>
    <w:p>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area should strengthen the </w:t>
      </w:r>
      <w:r>
        <w:rPr>
          <w:rFonts w:ascii="Times New Roman" w:hAnsi="Times New Roman" w:cs="Times New Roman"/>
          <w:b/>
          <w:bCs/>
          <w:noProof/>
          <w:sz w:val="24"/>
          <w:szCs w:val="24"/>
          <w:lang w:val="en-GB"/>
        </w:rPr>
        <w:t>role of foresters in the value chain</w:t>
      </w:r>
      <w:r>
        <w:rPr>
          <w:rFonts w:ascii="Times New Roman" w:hAnsi="Times New Roman" w:cs="Times New Roman"/>
          <w:noProof/>
          <w:sz w:val="24"/>
          <w:szCs w:val="24"/>
          <w:lang w:val="en-GB"/>
        </w:rPr>
        <w:t>, develop new business models for foresters, enhance financial incentives for non-provisioning services, and meet societal expectations for forests, including on the well-being of different actors.</w:t>
      </w:r>
    </w:p>
    <w:p>
      <w:pPr>
        <w:spacing w:after="120" w:line="276" w:lineRule="auto"/>
        <w:jc w:val="both"/>
        <w:rPr>
          <w:rFonts w:ascii="Times New Roman" w:hAnsi="Times New Roman" w:cs="Times New Roman"/>
          <w:noProof/>
          <w:sz w:val="24"/>
          <w:szCs w:val="24"/>
          <w:lang w:val="en-GB"/>
        </w:rPr>
      </w:pPr>
    </w:p>
    <w:p>
      <w:pPr>
        <w:spacing w:after="120" w:line="276" w:lineRule="auto"/>
        <w:jc w:val="both"/>
        <w:rPr>
          <w:rFonts w:ascii="Times New Roman" w:hAnsi="Times New Roman" w:cs="Times New Roman"/>
          <w:noProof/>
          <w:sz w:val="24"/>
          <w:szCs w:val="24"/>
          <w:lang w:val="en-GB"/>
        </w:rPr>
      </w:pPr>
    </w:p>
    <w:p>
      <w:pPr>
        <w:numPr>
          <w:ilvl w:val="0"/>
          <w:numId w:val="2"/>
        </w:numPr>
        <w:spacing w:before="120" w:after="0" w:line="276" w:lineRule="auto"/>
        <w:ind w:left="714" w:hanging="357"/>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 xml:space="preserve">Rural </w:t>
      </w:r>
      <w:r>
        <w:rPr>
          <w:rFonts w:ascii="Times New Roman" w:hAnsi="Times New Roman" w:cs="Times New Roman"/>
          <w:b/>
          <w:bCs/>
          <w:noProof/>
          <w:sz w:val="24"/>
          <w:szCs w:val="24"/>
          <w:lang w:val="en-GB"/>
        </w:rPr>
        <w:t>areas</w:t>
      </w:r>
      <w:r>
        <w:rPr>
          <w:rFonts w:ascii="Times New Roman" w:hAnsi="Times New Roman" w:cs="Times New Roman"/>
          <w:noProof/>
          <w:sz w:val="24"/>
          <w:szCs w:val="24"/>
          <w:lang w:val="en-GB"/>
        </w:rPr>
        <w:t xml:space="preserve"> </w:t>
      </w:r>
    </w:p>
    <w:p>
      <w:pPr>
        <w:spacing w:before="120" w:after="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This area focuses on R&amp;I to </w:t>
      </w:r>
      <w:r>
        <w:rPr>
          <w:rFonts w:ascii="Times New Roman" w:hAnsi="Times New Roman" w:cs="Times New Roman"/>
          <w:b/>
          <w:bCs/>
          <w:noProof/>
          <w:sz w:val="24"/>
          <w:szCs w:val="24"/>
          <w:lang w:val="en-IE"/>
        </w:rPr>
        <w:t>strengthen the competitiveness and attractiveness of rural areas</w:t>
      </w:r>
      <w:r>
        <w:rPr>
          <w:rFonts w:ascii="Times New Roman" w:hAnsi="Times New Roman" w:cs="Times New Roman"/>
          <w:noProof/>
          <w:sz w:val="24"/>
          <w:szCs w:val="24"/>
          <w:lang w:val="en-IE"/>
        </w:rPr>
        <w:t>, thereby supporting generational renewal and improving services and infrastructure to enhance living and working conditions</w:t>
      </w:r>
      <w:r>
        <w:rPr>
          <w:rFonts w:ascii="Times New Roman" w:hAnsi="Times New Roman" w:cs="Times New Roman"/>
          <w:noProof/>
          <w:sz w:val="24"/>
          <w:szCs w:val="24"/>
          <w:lang w:val="en-GB"/>
        </w:rPr>
        <w:t xml:space="preserve"> and strengthening the links between farms, forests, territories, and food systems.</w:t>
      </w:r>
    </w:p>
    <w:p>
      <w:pPr>
        <w:spacing w:before="120" w:after="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Particular attention should be paid to </w:t>
      </w:r>
      <w:r>
        <w:rPr>
          <w:rFonts w:ascii="Times New Roman" w:hAnsi="Times New Roman" w:cs="Times New Roman"/>
          <w:b/>
          <w:bCs/>
          <w:noProof/>
          <w:sz w:val="24"/>
          <w:szCs w:val="24"/>
          <w:lang w:val="en-IE"/>
        </w:rPr>
        <w:t>innovation an</w:t>
      </w:r>
      <w:r>
        <w:rPr>
          <w:rFonts w:ascii="Times New Roman" w:hAnsi="Times New Roman" w:cs="Times New Roman"/>
          <w:b/>
          <w:bCs/>
          <w:noProof/>
          <w:sz w:val="24"/>
          <w:szCs w:val="24"/>
          <w:lang w:val="en-GB"/>
        </w:rPr>
        <w:t>d entrepreneurship by women and young people in rural areas</w:t>
      </w:r>
      <w:r>
        <w:rPr>
          <w:rFonts w:ascii="Times New Roman" w:hAnsi="Times New Roman" w:cs="Times New Roman"/>
          <w:noProof/>
          <w:sz w:val="24"/>
          <w:szCs w:val="24"/>
          <w:lang w:val="en-GB"/>
        </w:rPr>
        <w:t>, and place-based approaches to innovation at local scale, including through regulatory sandboxes.</w:t>
      </w:r>
    </w:p>
    <w:p>
      <w:pPr>
        <w:spacing w:before="120" w:after="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R&amp;I should also support </w:t>
      </w:r>
      <w:r>
        <w:rPr>
          <w:rFonts w:ascii="Times New Roman" w:hAnsi="Times New Roman" w:cs="Times New Roman"/>
          <w:b/>
          <w:bCs/>
          <w:noProof/>
          <w:sz w:val="24"/>
          <w:szCs w:val="24"/>
          <w:lang w:val="en-IE"/>
        </w:rPr>
        <w:t xml:space="preserve">innovation to delivering public services </w:t>
      </w:r>
      <w:r>
        <w:rPr>
          <w:rFonts w:ascii="Times New Roman" w:hAnsi="Times New Roman" w:cs="Times New Roman"/>
          <w:noProof/>
          <w:sz w:val="24"/>
          <w:szCs w:val="24"/>
          <w:lang w:val="en-IE"/>
        </w:rPr>
        <w:t xml:space="preserve">(including education, healthcare, transport and mobility and digital connectivity), market access and green businesses. It should </w:t>
      </w:r>
      <w:r>
        <w:rPr>
          <w:rFonts w:ascii="Times New Roman" w:hAnsi="Times New Roman" w:cs="Times New Roman"/>
          <w:noProof/>
          <w:sz w:val="24"/>
          <w:szCs w:val="24"/>
          <w:lang w:val="en-GB"/>
        </w:rPr>
        <w:t xml:space="preserve">open up new job opportunities in diverse economic sectors to improve people’s quality of life, retain people and talents working in rural communities, and attract new actors. </w:t>
      </w:r>
    </w:p>
    <w:p>
      <w:pPr>
        <w:spacing w:before="120" w:after="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Further support is needed for education</w:t>
      </w:r>
      <w:r>
        <w:rPr>
          <w:rFonts w:ascii="Times New Roman" w:hAnsi="Times New Roman" w:cs="Times New Roman"/>
          <w:noProof/>
          <w:sz w:val="24"/>
          <w:szCs w:val="24"/>
          <w:lang w:val="en-GB"/>
        </w:rPr>
        <w:t>, vocational training and lifelong learning, and to improve people’s skills. In addition, robust digital infrastructures should be further supported and improved.</w:t>
      </w:r>
    </w:p>
    <w:p>
      <w:pPr>
        <w:numPr>
          <w:ilvl w:val="0"/>
          <w:numId w:val="3"/>
        </w:numPr>
        <w:spacing w:before="120" w:after="120" w:line="276" w:lineRule="auto"/>
        <w:ind w:left="714" w:hanging="357"/>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Stronger agri-food value chain</w:t>
      </w:r>
      <w:r>
        <w:rPr>
          <w:rFonts w:ascii="Times New Roman" w:hAnsi="Times New Roman" w:cs="Times New Roman"/>
          <w:noProof/>
          <w:sz w:val="24"/>
          <w:szCs w:val="24"/>
          <w:lang w:val="en-IE"/>
        </w:rPr>
        <w:t xml:space="preserve"> </w:t>
      </w:r>
    </w:p>
    <w:p>
      <w:pPr>
        <w:spacing w:before="120"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As part of the shared AgRI 2040 and Food 2040 cross cutting priority of fairness, this area aims to address aspects such as the development of new knowledge and </w:t>
      </w:r>
      <w:r>
        <w:rPr>
          <w:rFonts w:ascii="Times New Roman" w:hAnsi="Times New Roman" w:cs="Times New Roman"/>
          <w:b/>
          <w:bCs/>
          <w:noProof/>
          <w:sz w:val="24"/>
          <w:szCs w:val="24"/>
          <w:lang w:val="en-IE"/>
        </w:rPr>
        <w:t>tools to strengthen farmers’ position in the agri-food value chain</w:t>
      </w:r>
      <w:r>
        <w:rPr>
          <w:rFonts w:ascii="Times New Roman" w:hAnsi="Times New Roman" w:cs="Times New Roman"/>
          <w:noProof/>
          <w:sz w:val="24"/>
          <w:szCs w:val="24"/>
          <w:lang w:val="en-IE"/>
        </w:rPr>
        <w:t xml:space="preserve"> and address cost pressures and sustainable transitions by collaborating across the agri-food value chain. It should also </w:t>
      </w:r>
      <w:r>
        <w:rPr>
          <w:rFonts w:ascii="Times New Roman" w:hAnsi="Times New Roman" w:cs="Times New Roman"/>
          <w:b/>
          <w:bCs/>
          <w:noProof/>
          <w:sz w:val="24"/>
          <w:szCs w:val="24"/>
          <w:lang w:val="en-IE"/>
        </w:rPr>
        <w:t>promote on-farm and local food processing and commercialisation</w:t>
      </w:r>
      <w:r>
        <w:rPr>
          <w:rFonts w:ascii="Times New Roman" w:hAnsi="Times New Roman" w:cs="Times New Roman"/>
          <w:noProof/>
          <w:sz w:val="24"/>
          <w:szCs w:val="24"/>
          <w:lang w:val="en-IE"/>
        </w:rPr>
        <w:t xml:space="preserve"> and improve the governance of rural food systems while reinforcing urban-rural linkages.</w:t>
      </w:r>
      <w:r>
        <w:rPr>
          <w:rFonts w:ascii="Times New Roman" w:hAnsi="Times New Roman" w:cs="Times New Roman"/>
          <w:noProof/>
          <w:sz w:val="24"/>
          <w:szCs w:val="24"/>
          <w:lang w:val="en-GB"/>
        </w:rPr>
        <w:t xml:space="preserve"> Furthermore, </w:t>
      </w:r>
      <w:r>
        <w:rPr>
          <w:rFonts w:ascii="Times New Roman" w:hAnsi="Times New Roman" w:cs="Times New Roman"/>
          <w:noProof/>
          <w:sz w:val="24"/>
          <w:szCs w:val="24"/>
          <w:lang w:val="en-IE"/>
        </w:rPr>
        <w:t xml:space="preserve">it should support </w:t>
      </w:r>
      <w:r>
        <w:rPr>
          <w:rFonts w:ascii="Times New Roman" w:hAnsi="Times New Roman" w:cs="Times New Roman"/>
          <w:b/>
          <w:bCs/>
          <w:noProof/>
          <w:sz w:val="24"/>
          <w:szCs w:val="24"/>
          <w:lang w:val="en-IE"/>
        </w:rPr>
        <w:t>innovations that strengthen opportunities for farmers in short, local and regional supply chains</w:t>
      </w:r>
      <w:r>
        <w:rPr>
          <w:rFonts w:ascii="Times New Roman" w:hAnsi="Times New Roman" w:cs="Times New Roman"/>
          <w:noProof/>
          <w:sz w:val="24"/>
          <w:szCs w:val="24"/>
          <w:lang w:val="en-IE"/>
        </w:rPr>
        <w:t>, encourage new and sustainable business models and increase digitalisation and decarbonisation.</w:t>
      </w:r>
    </w:p>
    <w:p>
      <w:pPr>
        <w:jc w:val="both"/>
        <w:rPr>
          <w:noProof/>
          <w:lang w:val="en-IE"/>
        </w:rPr>
      </w:pPr>
      <w:r>
        <w:rPr>
          <w:rFonts w:ascii="Times New Roman" w:hAnsi="Times New Roman" w:cs="Times New Roman"/>
          <w:noProof/>
          <w:sz w:val="24"/>
          <w:szCs w:val="24"/>
          <w:lang w:val="en-IE"/>
        </w:rPr>
        <w:t>To strengthen farmers’ position in the agri-food value chains, R&amp;I should support EU quality schemes, including organic production and geographical indications, as well as the processing and marketing of organic products and other value-chain innovations that improve farmers' economic position.</w:t>
      </w:r>
      <w:r>
        <w:rPr>
          <w:rFonts w:ascii="Times New Roman" w:hAnsi="Times New Roman" w:cs="Times New Roman"/>
          <w:noProof/>
          <w:sz w:val="24"/>
          <w:szCs w:val="24"/>
          <w:lang w:val="en-GB"/>
        </w:rPr>
        <w:t xml:space="preserve"> </w:t>
      </w:r>
    </w:p>
    <w:p>
      <w:pPr>
        <w:numPr>
          <w:ilvl w:val="0"/>
          <w:numId w:val="3"/>
        </w:numPr>
        <w:spacing w:before="120" w:after="120" w:line="276" w:lineRule="auto"/>
        <w:ind w:left="714" w:hanging="357"/>
        <w:jc w:val="both"/>
        <w:rPr>
          <w:rFonts w:ascii="Times New Roman" w:hAnsi="Times New Roman" w:cs="Times New Roman"/>
          <w:b/>
          <w:bCs/>
          <w:noProof/>
          <w:sz w:val="24"/>
          <w:szCs w:val="24"/>
        </w:rPr>
      </w:pPr>
      <w:r>
        <w:rPr>
          <w:rFonts w:ascii="Times New Roman" w:hAnsi="Times New Roman" w:cs="Times New Roman"/>
          <w:b/>
          <w:bCs/>
          <w:noProof/>
          <w:sz w:val="24"/>
          <w:szCs w:val="24"/>
        </w:rPr>
        <w:t>Digitalisation, AI and robotics</w:t>
      </w:r>
    </w:p>
    <w:p>
      <w:pPr>
        <w:spacing w:before="120" w:after="12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This area of action aims to foster </w:t>
      </w:r>
      <w:r>
        <w:rPr>
          <w:rFonts w:ascii="Times New Roman" w:hAnsi="Times New Roman" w:cs="Times New Roman"/>
          <w:b/>
          <w:bCs/>
          <w:noProof/>
          <w:sz w:val="24"/>
          <w:szCs w:val="24"/>
          <w:lang w:val="en-IE"/>
        </w:rPr>
        <w:t>data valorisation across agri-food supply chains, forestry, and rural services</w:t>
      </w:r>
      <w:r>
        <w:rPr>
          <w:rFonts w:ascii="Times New Roman" w:hAnsi="Times New Roman" w:cs="Times New Roman"/>
          <w:noProof/>
          <w:sz w:val="24"/>
          <w:szCs w:val="24"/>
          <w:lang w:val="en-IE"/>
        </w:rPr>
        <w:t xml:space="preserve"> to enable actors to make effective and efficient use of data, AI and digital solutions. Better access to, and use of, high-quality data can support informed decision making and evidence-based policies and pave the way for digital solutions and advanced AI applications, including generative AI.</w:t>
      </w:r>
    </w:p>
    <w:p>
      <w:pPr>
        <w:spacing w:before="120" w:after="12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Priority should be given to increasing the development, accessibility and uptake of digital solutions for a broad range of users, including small and medium-sized farms and rural businesses. </w:t>
      </w:r>
      <w:r>
        <w:rPr>
          <w:rFonts w:ascii="Times New Roman" w:hAnsi="Times New Roman" w:cs="Times New Roman"/>
          <w:b/>
          <w:bCs/>
          <w:noProof/>
          <w:sz w:val="24"/>
          <w:szCs w:val="24"/>
          <w:lang w:val="en-IE"/>
        </w:rPr>
        <w:t xml:space="preserve">R&amp;I </w:t>
      </w:r>
      <w:r>
        <w:rPr>
          <w:rFonts w:ascii="Times New Roman" w:hAnsi="Times New Roman" w:cs="Times New Roman"/>
          <w:b/>
          <w:bCs/>
          <w:noProof/>
          <w:sz w:val="24"/>
          <w:szCs w:val="24"/>
          <w:lang w:val="en-IE"/>
        </w:rPr>
        <w:lastRenderedPageBreak/>
        <w:t>should support the deployment and use of key technologies</w:t>
      </w:r>
      <w:r>
        <w:rPr>
          <w:rFonts w:ascii="Times New Roman" w:hAnsi="Times New Roman" w:cs="Times New Roman"/>
          <w:noProof/>
          <w:sz w:val="24"/>
          <w:szCs w:val="24"/>
          <w:lang w:val="en-IE"/>
        </w:rPr>
        <w:t xml:space="preserve"> such as software and IT tools, robotics, drones, augmented and virtual reality, and remote and proximal sensing, ensuring they meet operational needs and suit users of all skill levels. The accelerated adoption of AI should be fostered to help reduce administrative burdens, increase performance, improve access to knowledge and support faster and better-informed decisions-making through predictive insights. R&amp;I should also enable new AI-powered robotic applications and more efficient, data-driven operations across farming, forestry and rural services.</w:t>
      </w:r>
    </w:p>
    <w:p>
      <w:pPr>
        <w:spacing w:before="120" w:after="12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benefits and costs of digital-based and data-based R&amp;I solutions should be demonstrated in a feasible, strengthening trust in their use and the skills, know-how and advisory capacity needed for their effective integration into daily practices should be deployed. </w:t>
      </w:r>
    </w:p>
    <w:p>
      <w:pPr>
        <w:pStyle w:val="Heading2"/>
        <w:rPr>
          <w:rFonts w:ascii="Times New Roman" w:hAnsi="Times New Roman" w:cs="Times New Roman"/>
          <w:b/>
          <w:noProof/>
          <w:color w:val="auto"/>
          <w:sz w:val="24"/>
          <w:szCs w:val="24"/>
          <w:lang w:val="en-GB"/>
        </w:rPr>
      </w:pPr>
      <w:bookmarkStart w:id="19" w:name="_Toc232778790"/>
      <w:r>
        <w:rPr>
          <w:rFonts w:ascii="Times New Roman" w:hAnsi="Times New Roman" w:cs="Times New Roman"/>
          <w:b/>
          <w:noProof/>
          <w:color w:val="auto"/>
          <w:sz w:val="24"/>
          <w:szCs w:val="24"/>
          <w:lang w:val="en-GB"/>
        </w:rPr>
        <w:t>3.</w:t>
      </w:r>
      <w:r>
        <w:rPr>
          <w:rFonts w:ascii="Times New Roman" w:hAnsi="Times New Roman" w:cs="Times New Roman"/>
          <w:b/>
          <w:bCs/>
          <w:noProof/>
          <w:color w:val="auto"/>
          <w:sz w:val="24"/>
          <w:szCs w:val="24"/>
          <w:lang w:val="en-GB"/>
        </w:rPr>
        <w:t>4</w:t>
      </w:r>
      <w:r>
        <w:rPr>
          <w:rFonts w:ascii="Times New Roman" w:hAnsi="Times New Roman" w:cs="Times New Roman"/>
          <w:b/>
          <w:noProof/>
          <w:color w:val="auto"/>
          <w:sz w:val="24"/>
          <w:szCs w:val="24"/>
          <w:lang w:val="en-GB"/>
        </w:rPr>
        <w:t>. Food 2040</w:t>
      </w:r>
      <w:bookmarkEnd w:id="19"/>
    </w:p>
    <w:p>
      <w:pPr>
        <w:jc w:val="both"/>
        <w:rPr>
          <w:noProof/>
          <w:lang w:val="en-IE"/>
        </w:rPr>
      </w:pPr>
      <w:r>
        <w:rPr>
          <w:rFonts w:ascii="Times New Roman" w:hAnsi="Times New Roman" w:cs="Times New Roman"/>
          <w:noProof/>
          <w:sz w:val="24"/>
          <w:szCs w:val="24"/>
          <w:lang w:val="en-GB"/>
        </w:rPr>
        <w:t>Under Food 2040, the Commission will develop six areas of action to implement the priorities of this strategic approach, to enable the co-creation of R&amp;I activities that meet identified needs, and to facilitate the identification, dissemination and uptake of R&amp;I results in EU food systems, without prejudging the next MFF.</w:t>
      </w:r>
    </w:p>
    <w:p>
      <w:pPr>
        <w:pStyle w:val="ListParagraph"/>
        <w:numPr>
          <w:ilvl w:val="0"/>
          <w:numId w:val="4"/>
        </w:numPr>
        <w:jc w:val="both"/>
        <w:rPr>
          <w:rFonts w:ascii="Times New Roman" w:hAnsi="Times New Roman" w:cs="Times New Roman"/>
          <w:b/>
          <w:bCs/>
          <w:iCs/>
          <w:noProof/>
          <w:sz w:val="24"/>
          <w:szCs w:val="24"/>
          <w:lang w:val="en-GB"/>
        </w:rPr>
      </w:pPr>
      <w:r>
        <w:rPr>
          <w:rFonts w:ascii="Times New Roman" w:hAnsi="Times New Roman" w:cs="Times New Roman"/>
          <w:b/>
          <w:bCs/>
          <w:iCs/>
          <w:noProof/>
          <w:sz w:val="24"/>
          <w:szCs w:val="24"/>
          <w:lang w:val="en-GB"/>
        </w:rPr>
        <w:t>Place-based food systems</w:t>
      </w:r>
    </w:p>
    <w:p>
      <w:pPr>
        <w:jc w:val="both"/>
        <w:rPr>
          <w:rFonts w:ascii="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This area of action connects with the enabler ‘Territories and Communities’ to deploy future R&amp;I projects in this field. </w:t>
      </w:r>
      <w:r>
        <w:rPr>
          <w:rFonts w:ascii="Times New Roman" w:hAnsi="Times New Roman" w:cs="Times New Roman"/>
          <w:noProof/>
          <w:sz w:val="24"/>
          <w:szCs w:val="24"/>
          <w:lang w:val="en-GB"/>
        </w:rPr>
        <w:t xml:space="preserve">Place-based food systems reflect the diversity and richness of Europe’s food cultures and territories, and can serve as </w:t>
      </w:r>
      <w:r>
        <w:rPr>
          <w:rFonts w:ascii="Times New Roman" w:hAnsi="Times New Roman" w:cs="Times New Roman"/>
          <w:b/>
          <w:bCs/>
          <w:noProof/>
          <w:sz w:val="24"/>
          <w:szCs w:val="24"/>
          <w:lang w:val="en-GB"/>
        </w:rPr>
        <w:t>incubators for innovations</w:t>
      </w:r>
      <w:r>
        <w:rPr>
          <w:rFonts w:ascii="Times New Roman" w:hAnsi="Times New Roman" w:cs="Times New Roman"/>
          <w:noProof/>
          <w:sz w:val="24"/>
          <w:szCs w:val="24"/>
          <w:lang w:val="en-GB"/>
        </w:rPr>
        <w:t xml:space="preserve"> and for social cohesion.</w:t>
      </w:r>
    </w:p>
    <w:p>
      <w:pPr>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 xml:space="preserve">This area of action will foster resilient and inclusive local (including urban) and regional food economies and the cross-border interactions that </w:t>
      </w:r>
      <w:r>
        <w:rPr>
          <w:rFonts w:ascii="Times New Roman" w:hAnsi="Times New Roman" w:cs="Times New Roman"/>
          <w:b/>
          <w:bCs/>
          <w:noProof/>
          <w:sz w:val="24"/>
          <w:szCs w:val="24"/>
          <w:lang w:val="en-GB"/>
        </w:rPr>
        <w:t xml:space="preserve">address local challenges </w:t>
      </w:r>
      <w:r>
        <w:rPr>
          <w:rFonts w:ascii="Times New Roman" w:hAnsi="Times New Roman" w:cs="Times New Roman"/>
          <w:noProof/>
          <w:sz w:val="24"/>
          <w:szCs w:val="24"/>
          <w:lang w:val="en-GB"/>
        </w:rPr>
        <w:t>(including environmental challenges). It combines technological and social innovation with community engagement to encourage</w:t>
      </w:r>
      <w:r>
        <w:rPr>
          <w:rFonts w:ascii="Times New Roman" w:hAnsi="Times New Roman" w:cs="Times New Roman"/>
          <w:b/>
          <w:bCs/>
          <w:noProof/>
          <w:sz w:val="24"/>
          <w:szCs w:val="24"/>
          <w:lang w:val="en-GB"/>
        </w:rPr>
        <w:t xml:space="preserve"> food system innovations and develop education and skills.</w:t>
      </w:r>
      <w:r>
        <w:rPr>
          <w:rFonts w:ascii="Times New Roman" w:hAnsi="Times New Roman" w:cs="Times New Roman"/>
          <w:noProof/>
          <w:sz w:val="24"/>
          <w:szCs w:val="24"/>
          <w:lang w:val="en-GB"/>
        </w:rPr>
        <w:t xml:space="preserve">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Place-based food systems include ‘</w:t>
      </w:r>
      <w:r>
        <w:rPr>
          <w:rFonts w:ascii="Times New Roman" w:hAnsi="Times New Roman" w:cs="Times New Roman"/>
          <w:b/>
          <w:bCs/>
          <w:noProof/>
          <w:sz w:val="24"/>
          <w:szCs w:val="24"/>
          <w:lang w:val="en-GB"/>
        </w:rPr>
        <w:t>rural-urban’ and ‘city-region’</w:t>
      </w:r>
      <w:r>
        <w:rPr>
          <w:rFonts w:ascii="Times New Roman" w:hAnsi="Times New Roman" w:cs="Times New Roman"/>
          <w:noProof/>
          <w:sz w:val="24"/>
          <w:szCs w:val="24"/>
          <w:lang w:val="en-GB"/>
        </w:rPr>
        <w:t xml:space="preserve"> interfaces as areas where interlinkages can help with the co-creation of innovations in local food systems through, among other activities, </w:t>
      </w:r>
      <w:r>
        <w:rPr>
          <w:rFonts w:ascii="Times New Roman" w:hAnsi="Times New Roman" w:cs="Times New Roman"/>
          <w:b/>
          <w:bCs/>
          <w:noProof/>
          <w:sz w:val="24"/>
          <w:szCs w:val="24"/>
          <w:lang w:val="en-GB"/>
        </w:rPr>
        <w:t>entrepreneurship initiatives, co-creation spaces, networks of cities and Living Labs</w:t>
      </w:r>
      <w:r>
        <w:rPr>
          <w:rFonts w:ascii="Times New Roman" w:hAnsi="Times New Roman" w:cs="Times New Roman"/>
          <w:noProof/>
          <w:sz w:val="24"/>
          <w:szCs w:val="24"/>
          <w:lang w:val="en-GB"/>
        </w:rPr>
        <w:t xml:space="preserve">. These are powerful initiatives that can enrich territories. </w:t>
      </w:r>
      <w:r>
        <w:rPr>
          <w:rFonts w:ascii="Times New Roman" w:hAnsi="Times New Roman" w:cs="Times New Roman"/>
          <w:b/>
          <w:bCs/>
          <w:noProof/>
          <w:sz w:val="24"/>
          <w:szCs w:val="24"/>
          <w:lang w:val="en-GB"/>
        </w:rPr>
        <w:t>Regional Innovation Valleys for Bioeconomy and Food Systems</w:t>
      </w:r>
      <w:r>
        <w:rPr>
          <w:rFonts w:ascii="Times New Roman" w:hAnsi="Times New Roman" w:cs="Times New Roman"/>
          <w:noProof/>
          <w:sz w:val="24"/>
          <w:szCs w:val="24"/>
          <w:lang w:val="en-GB"/>
        </w:rPr>
        <w:t xml:space="preserve">, which can support the implementation of other place-based initiatives, are examples of interregional collaboration in Europe. </w:t>
      </w:r>
    </w:p>
    <w:p>
      <w:pPr>
        <w:pStyle w:val="ListParagraph"/>
        <w:numPr>
          <w:ilvl w:val="0"/>
          <w:numId w:val="3"/>
        </w:numPr>
        <w:jc w:val="both"/>
        <w:rPr>
          <w:rFonts w:ascii="Times New Roman" w:hAnsi="Times New Roman" w:cs="Times New Roman"/>
          <w:b/>
          <w:bCs/>
          <w:iCs/>
          <w:noProof/>
          <w:sz w:val="24"/>
          <w:szCs w:val="24"/>
          <w:lang w:val="en-GB"/>
        </w:rPr>
      </w:pPr>
      <w:r>
        <w:rPr>
          <w:rFonts w:ascii="Times New Roman" w:hAnsi="Times New Roman" w:cs="Times New Roman"/>
          <w:b/>
          <w:bCs/>
          <w:iCs/>
          <w:noProof/>
          <w:sz w:val="24"/>
          <w:szCs w:val="24"/>
          <w:lang w:val="en-GB"/>
        </w:rPr>
        <w:t>Healthy and sustainable diets</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Over half of the world’s population struggles to access healthy diets</w:t>
      </w:r>
      <w:r>
        <w:rPr>
          <w:rStyle w:val="FootnoteReference"/>
          <w:rFonts w:ascii="Times New Roman" w:hAnsi="Times New Roman" w:cs="Times New Roman"/>
          <w:noProof/>
          <w:sz w:val="24"/>
          <w:szCs w:val="24"/>
          <w:lang w:val="en-GB"/>
        </w:rPr>
        <w:footnoteReference w:id="44"/>
      </w:r>
      <w:r>
        <w:rPr>
          <w:rFonts w:ascii="Times New Roman" w:hAnsi="Times New Roman" w:cs="Times New Roman"/>
          <w:noProof/>
          <w:sz w:val="24"/>
          <w:szCs w:val="24"/>
          <w:lang w:val="en-GB"/>
        </w:rPr>
        <w:t xml:space="preserve">, leading to negative consequences for public health, social equity, and the environment.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area of action will advance </w:t>
      </w:r>
      <w:r>
        <w:rPr>
          <w:rFonts w:ascii="Times New Roman" w:hAnsi="Times New Roman" w:cs="Times New Roman"/>
          <w:b/>
          <w:noProof/>
          <w:sz w:val="24"/>
          <w:szCs w:val="24"/>
          <w:lang w:val="en-GB"/>
        </w:rPr>
        <w:t>R&amp;I for healthy, more sustainable and nutritious foods</w:t>
      </w:r>
      <w:r>
        <w:rPr>
          <w:rFonts w:ascii="Times New Roman" w:hAnsi="Times New Roman" w:cs="Times New Roman"/>
          <w:noProof/>
          <w:sz w:val="24"/>
          <w:szCs w:val="24"/>
          <w:lang w:val="en-GB"/>
        </w:rPr>
        <w:t xml:space="preserve"> (in accordance with the cross-cutting priority ‘food and feed safety, nutrition and health’). In addition, it will support the </w:t>
      </w:r>
      <w:r>
        <w:rPr>
          <w:rFonts w:ascii="Times New Roman" w:hAnsi="Times New Roman" w:cs="Times New Roman"/>
          <w:b/>
          <w:noProof/>
          <w:sz w:val="24"/>
          <w:szCs w:val="24"/>
          <w:lang w:val="en-GB"/>
        </w:rPr>
        <w:t>diversification of protein sources</w:t>
      </w:r>
      <w:r>
        <w:rPr>
          <w:rFonts w:ascii="Times New Roman" w:hAnsi="Times New Roman" w:cs="Times New Roman"/>
          <w:noProof/>
          <w:sz w:val="24"/>
          <w:szCs w:val="24"/>
          <w:lang w:val="en-GB"/>
        </w:rPr>
        <w:t xml:space="preserve">, while addressing citizens awareness of </w:t>
      </w:r>
      <w:r>
        <w:rPr>
          <w:rFonts w:ascii="Times New Roman" w:hAnsi="Times New Roman" w:cs="Times New Roman"/>
          <w:noProof/>
          <w:sz w:val="24"/>
          <w:szCs w:val="24"/>
          <w:lang w:val="en-GB"/>
        </w:rPr>
        <w:lastRenderedPageBreak/>
        <w:t xml:space="preserve">biotech-based ingredients, and using AI to enable the safety of food to be predicted. The R&amp;I activities will also consider food safety, food contaminants, macro- and micronutrients, enzymes, reformulation and food-health interactions, which all play a prominent role in supporting healthy and sustainable diets.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area of action will explore </w:t>
      </w:r>
      <w:r>
        <w:rPr>
          <w:rFonts w:ascii="Times New Roman" w:hAnsi="Times New Roman" w:cs="Times New Roman"/>
          <w:b/>
          <w:noProof/>
          <w:sz w:val="24"/>
          <w:szCs w:val="24"/>
          <w:lang w:val="en-GB"/>
        </w:rPr>
        <w:t>microbiome</w:t>
      </w:r>
      <w:r>
        <w:rPr>
          <w:rFonts w:ascii="Times New Roman" w:hAnsi="Times New Roman" w:cs="Times New Roman"/>
          <w:noProof/>
          <w:sz w:val="24"/>
          <w:szCs w:val="24"/>
          <w:lang w:val="en-GB"/>
        </w:rPr>
        <w:t xml:space="preserve"> science, the interaction of food and gut microbiome functionality, the microbiome’s link to specific human disorders, the identification of specific microbial biomarkers for risk-related diseases and enabling the microbiome to promote health benefits at different stages of the food value chain. </w:t>
      </w:r>
    </w:p>
    <w:p>
      <w:pPr>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Cultural, behavioural and social drivers</w:t>
      </w:r>
      <w:r>
        <w:rPr>
          <w:rFonts w:ascii="Times New Roman" w:hAnsi="Times New Roman" w:cs="Times New Roman"/>
          <w:noProof/>
          <w:sz w:val="24"/>
          <w:szCs w:val="24"/>
          <w:lang w:val="en-GB"/>
        </w:rPr>
        <w:t xml:space="preserve"> of diets will be considered to promote equitable and sustainable dietary transitions through education and inclusion, accounting for demographic shifts and the nutritional needs of an ageing population. R&amp;I activities will also address concerns about </w:t>
      </w:r>
      <w:r>
        <w:rPr>
          <w:rFonts w:ascii="Times New Roman" w:hAnsi="Times New Roman" w:cs="Times New Roman"/>
          <w:b/>
          <w:noProof/>
          <w:sz w:val="24"/>
          <w:szCs w:val="24"/>
          <w:lang w:val="en-GB"/>
        </w:rPr>
        <w:t>food accessibility and affordability</w:t>
      </w:r>
      <w:r>
        <w:rPr>
          <w:rFonts w:ascii="Times New Roman" w:hAnsi="Times New Roman" w:cs="Times New Roman"/>
          <w:noProof/>
          <w:sz w:val="24"/>
          <w:szCs w:val="24"/>
          <w:lang w:val="en-GB"/>
        </w:rPr>
        <w:t xml:space="preserve"> by promoting healthier diets and dietary diversification within planetary boundaries.</w:t>
      </w:r>
    </w:p>
    <w:p>
      <w:pPr>
        <w:pStyle w:val="ListParagraph"/>
        <w:numPr>
          <w:ilvl w:val="0"/>
          <w:numId w:val="4"/>
        </w:numPr>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Resource efficiency and zero-pollution in food systems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area of action will foster new knowledge and innovative solutions to </w:t>
      </w:r>
      <w:r>
        <w:rPr>
          <w:rFonts w:ascii="Times New Roman" w:hAnsi="Times New Roman" w:cs="Times New Roman"/>
          <w:b/>
          <w:noProof/>
          <w:sz w:val="24"/>
          <w:szCs w:val="24"/>
          <w:lang w:val="en-GB"/>
        </w:rPr>
        <w:t>increase resource efficiency</w:t>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reduce food waste from processing to consumption</w:t>
      </w:r>
      <w:r>
        <w:rPr>
          <w:rFonts w:ascii="Times New Roman" w:hAnsi="Times New Roman" w:cs="Times New Roman"/>
          <w:noProof/>
          <w:sz w:val="24"/>
          <w:szCs w:val="24"/>
          <w:lang w:val="en-GB"/>
        </w:rPr>
        <w:t xml:space="preserve">, and </w:t>
      </w:r>
      <w:r>
        <w:rPr>
          <w:rFonts w:ascii="Times New Roman" w:hAnsi="Times New Roman" w:cs="Times New Roman"/>
          <w:b/>
          <w:noProof/>
          <w:sz w:val="24"/>
          <w:szCs w:val="24"/>
          <w:lang w:val="en-GB"/>
        </w:rPr>
        <w:t>decouple food systems</w:t>
      </w:r>
      <w:r>
        <w:rPr>
          <w:rFonts w:ascii="Times New Roman" w:hAnsi="Times New Roman" w:cs="Times New Roman"/>
          <w:noProof/>
          <w:sz w:val="24"/>
          <w:szCs w:val="24"/>
          <w:lang w:val="en-GB"/>
        </w:rPr>
        <w:t xml:space="preserve"> (including food processing and distribution) </w:t>
      </w:r>
      <w:r>
        <w:rPr>
          <w:rFonts w:ascii="Times New Roman" w:hAnsi="Times New Roman" w:cs="Times New Roman"/>
          <w:b/>
          <w:noProof/>
          <w:sz w:val="24"/>
          <w:szCs w:val="24"/>
          <w:lang w:val="en-GB"/>
        </w:rPr>
        <w:t>from fossil fuels</w:t>
      </w:r>
      <w:r>
        <w:rPr>
          <w:rFonts w:ascii="Times New Roman" w:hAnsi="Times New Roman" w:cs="Times New Roman"/>
          <w:noProof/>
          <w:sz w:val="24"/>
          <w:szCs w:val="24"/>
          <w:lang w:val="en-GB"/>
        </w:rPr>
        <w:t xml:space="preserve"> (including petrochemical products for packaging and transport). It will cover activities to help the food and drink manufacturers, transport companies, and other operators across the food value chain, in their efforts to </w:t>
      </w:r>
      <w:r>
        <w:rPr>
          <w:rFonts w:ascii="Times New Roman" w:hAnsi="Times New Roman" w:cs="Times New Roman"/>
          <w:b/>
          <w:noProof/>
          <w:sz w:val="24"/>
          <w:szCs w:val="24"/>
          <w:lang w:val="en-GB"/>
        </w:rPr>
        <w:t>reduce pollution</w:t>
      </w:r>
      <w:r>
        <w:rPr>
          <w:rFonts w:ascii="Times New Roman" w:hAnsi="Times New Roman" w:cs="Times New Roman"/>
          <w:noProof/>
          <w:sz w:val="24"/>
          <w:szCs w:val="24"/>
          <w:lang w:val="en-GB"/>
        </w:rPr>
        <w:t xml:space="preserve">, while </w:t>
      </w:r>
      <w:r>
        <w:rPr>
          <w:rFonts w:ascii="Times New Roman" w:hAnsi="Times New Roman" w:cs="Times New Roman"/>
          <w:b/>
          <w:noProof/>
          <w:sz w:val="24"/>
          <w:szCs w:val="24"/>
          <w:lang w:val="en-GB"/>
        </w:rPr>
        <w:t>preserving biodiversity</w:t>
      </w:r>
      <w:r>
        <w:rPr>
          <w:rFonts w:ascii="Times New Roman" w:hAnsi="Times New Roman" w:cs="Times New Roman"/>
          <w:noProof/>
          <w:sz w:val="24"/>
          <w:szCs w:val="24"/>
          <w:lang w:val="en-GB"/>
        </w:rPr>
        <w:t xml:space="preserve">. It will support the </w:t>
      </w:r>
      <w:r>
        <w:rPr>
          <w:rFonts w:ascii="Times New Roman" w:hAnsi="Times New Roman" w:cs="Times New Roman"/>
          <w:b/>
          <w:noProof/>
          <w:sz w:val="24"/>
          <w:szCs w:val="24"/>
          <w:lang w:val="en-GB"/>
        </w:rPr>
        <w:t>energy transition</w:t>
      </w:r>
      <w:r>
        <w:rPr>
          <w:rFonts w:ascii="Times New Roman" w:hAnsi="Times New Roman" w:cs="Times New Roman"/>
          <w:noProof/>
          <w:sz w:val="24"/>
          <w:szCs w:val="24"/>
          <w:lang w:val="en-GB"/>
        </w:rPr>
        <w:t xml:space="preserve"> of food systems as a critical lever for achieving climate and energy goals and ensuring the competitiveness and resilience of the food industry. It will also cover </w:t>
      </w:r>
      <w:r>
        <w:rPr>
          <w:rFonts w:ascii="Times New Roman" w:hAnsi="Times New Roman" w:cs="Times New Roman"/>
          <w:b/>
          <w:noProof/>
          <w:sz w:val="24"/>
          <w:szCs w:val="24"/>
          <w:lang w:val="en-GB"/>
        </w:rPr>
        <w:t>food packaging solutions</w:t>
      </w:r>
      <w:r>
        <w:rPr>
          <w:rFonts w:ascii="Times New Roman" w:hAnsi="Times New Roman" w:cs="Times New Roman"/>
          <w:noProof/>
          <w:sz w:val="24"/>
          <w:szCs w:val="24"/>
          <w:lang w:val="en-GB"/>
        </w:rPr>
        <w:t xml:space="preserve"> that aim to boost sustainability, such as reducing material use, increasing bio-based packaging, and improving recyclability and the shelf life of products.</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area of action will also support research on </w:t>
      </w:r>
      <w:r>
        <w:rPr>
          <w:rFonts w:ascii="Times New Roman" w:hAnsi="Times New Roman" w:cs="Times New Roman"/>
          <w:b/>
          <w:noProof/>
          <w:sz w:val="24"/>
          <w:szCs w:val="24"/>
          <w:lang w:val="en-GB"/>
        </w:rPr>
        <w:t>microbiome</w:t>
      </w:r>
      <w:r>
        <w:rPr>
          <w:rFonts w:ascii="Times New Roman" w:hAnsi="Times New Roman" w:cs="Times New Roman"/>
          <w:noProof/>
          <w:sz w:val="24"/>
          <w:szCs w:val="24"/>
          <w:lang w:val="en-GB"/>
        </w:rPr>
        <w:t>-based solutions, including the study of their behaviour and functionality in post-harvest environments (e.g. storage, processing and packaging), with the aim of unlocking their potential to reduce pollution, improve food preservation, and enhance overall resource efficiency.</w:t>
      </w:r>
    </w:p>
    <w:p>
      <w:pPr>
        <w:pStyle w:val="ListParagraph"/>
        <w:numPr>
          <w:ilvl w:val="0"/>
          <w:numId w:val="4"/>
        </w:numPr>
        <w:jc w:val="both"/>
        <w:rPr>
          <w:rFonts w:ascii="Times New Roman" w:hAnsi="Times New Roman" w:cs="Times New Roman"/>
          <w:b/>
          <w:bCs/>
          <w:iCs/>
          <w:noProof/>
          <w:sz w:val="24"/>
          <w:szCs w:val="24"/>
          <w:lang w:val="en-GB"/>
        </w:rPr>
      </w:pPr>
      <w:r>
        <w:rPr>
          <w:rFonts w:ascii="Times New Roman" w:hAnsi="Times New Roman" w:cs="Times New Roman"/>
          <w:b/>
          <w:bCs/>
          <w:iCs/>
          <w:noProof/>
          <w:sz w:val="24"/>
          <w:szCs w:val="24"/>
          <w:lang w:val="en-GB"/>
        </w:rPr>
        <w:t xml:space="preserve">Food environments and consumer empowerment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area of action will advance </w:t>
      </w:r>
      <w:r>
        <w:rPr>
          <w:rFonts w:ascii="Times New Roman" w:hAnsi="Times New Roman" w:cs="Times New Roman"/>
          <w:b/>
          <w:noProof/>
          <w:sz w:val="24"/>
          <w:szCs w:val="24"/>
          <w:lang w:val="en-GB"/>
        </w:rPr>
        <w:t>understanding of the environments that shape what people eat</w:t>
      </w:r>
      <w:r>
        <w:rPr>
          <w:rFonts w:ascii="Times New Roman" w:hAnsi="Times New Roman" w:cs="Times New Roman"/>
          <w:noProof/>
          <w:sz w:val="24"/>
          <w:szCs w:val="24"/>
          <w:lang w:val="en-GB"/>
        </w:rPr>
        <w:t xml:space="preserve">, including the availability, affordability, accessibility, labelling, packaging, transport, distribution, and marketing of food, as well as the role of social media. It will support the development of solutions that </w:t>
      </w:r>
      <w:r>
        <w:rPr>
          <w:rFonts w:ascii="Times New Roman" w:eastAsia="Times New Roman" w:hAnsi="Times New Roman" w:cs="Times New Roman"/>
          <w:noProof/>
          <w:sz w:val="24"/>
          <w:szCs w:val="24"/>
          <w:lang w:val="en-GB"/>
        </w:rPr>
        <w:t xml:space="preserve">improve the availability, affordability and transparency of healthy and sustainable choices. </w:t>
      </w:r>
      <w:r>
        <w:rPr>
          <w:rFonts w:ascii="Times New Roman" w:hAnsi="Times New Roman" w:cs="Times New Roman"/>
          <w:noProof/>
          <w:sz w:val="24"/>
          <w:szCs w:val="24"/>
          <w:lang w:val="en-GB"/>
        </w:rPr>
        <w:t xml:space="preserve">This area of action will be closely linked, therefore, to the ‘Healthy and sustainable diets’ area of action. It will draw on behavioural, social, and cultural sciences to better understand consumer behaviour and perceptions of food, support demand-side transformation, and strengthen consumer trust and education. </w:t>
      </w:r>
    </w:p>
    <w:p>
      <w:pPr>
        <w:jc w:val="both"/>
        <w:rPr>
          <w:rFonts w:ascii="Times New Roman" w:hAnsi="Times New Roman" w:cs="Times New Roman"/>
          <w:noProof/>
          <w:sz w:val="24"/>
          <w:szCs w:val="24"/>
          <w:lang w:val="en-GB"/>
        </w:rPr>
      </w:pPr>
    </w:p>
    <w:p>
      <w:pPr>
        <w:pStyle w:val="ListParagraph"/>
        <w:numPr>
          <w:ilvl w:val="0"/>
          <w:numId w:val="4"/>
        </w:numPr>
        <w:jc w:val="both"/>
        <w:rPr>
          <w:rFonts w:ascii="Times New Roman" w:hAnsi="Times New Roman" w:cs="Times New Roman"/>
          <w:b/>
          <w:bCs/>
          <w:iCs/>
          <w:noProof/>
          <w:sz w:val="24"/>
          <w:szCs w:val="24"/>
          <w:lang w:val="en-GB"/>
        </w:rPr>
      </w:pPr>
      <w:r>
        <w:rPr>
          <w:rFonts w:ascii="Times New Roman" w:hAnsi="Times New Roman" w:cs="Times New Roman"/>
          <w:b/>
          <w:bCs/>
          <w:iCs/>
          <w:noProof/>
          <w:sz w:val="24"/>
          <w:szCs w:val="24"/>
          <w:lang w:val="en-GB"/>
        </w:rPr>
        <w:lastRenderedPageBreak/>
        <w:t>Scaling innovations, business models and fair food systems solutions</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area of action will support a food systems transition that is </w:t>
      </w:r>
      <w:r>
        <w:rPr>
          <w:rFonts w:ascii="Times New Roman" w:hAnsi="Times New Roman" w:cs="Times New Roman"/>
          <w:b/>
          <w:noProof/>
          <w:sz w:val="24"/>
          <w:szCs w:val="24"/>
          <w:lang w:val="en-GB"/>
        </w:rPr>
        <w:t>innovative, competitive and closer to market</w:t>
      </w:r>
      <w:r>
        <w:rPr>
          <w:rFonts w:ascii="Times New Roman" w:hAnsi="Times New Roman" w:cs="Times New Roman"/>
          <w:noProof/>
          <w:sz w:val="24"/>
          <w:szCs w:val="24"/>
          <w:lang w:val="en-GB"/>
        </w:rPr>
        <w:t xml:space="preserve">, as well as socially fair and respectful of ecosystems and planetary boundaries. R&amp;I activities should lead more often to commercial applications such as innovative products, new ventures and technologies which require: (i) collaboration between academia, industry and different institutions or infrastructures; (ii) investment; and (iii) the promotion of the right partnerships to succeed. This area of action is defined in cross reference to sections 2.1 and 2.3.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 addition, structural barriers, inequities and vulnerabilities, and environmental degradation from food systems will be addressed in order to </w:t>
      </w:r>
      <w:r>
        <w:rPr>
          <w:rFonts w:ascii="Times New Roman" w:hAnsi="Times New Roman" w:cs="Times New Roman"/>
          <w:b/>
          <w:noProof/>
          <w:sz w:val="24"/>
          <w:szCs w:val="24"/>
          <w:lang w:val="en-IE"/>
        </w:rPr>
        <w:t>scale promising solutions and to create new business models from pilot stage to market</w:t>
      </w:r>
      <w:r>
        <w:rPr>
          <w:rFonts w:ascii="Times New Roman" w:hAnsi="Times New Roman" w:cs="Times New Roman"/>
          <w:noProof/>
          <w:sz w:val="24"/>
          <w:szCs w:val="24"/>
          <w:lang w:val="en-IE"/>
        </w:rPr>
        <w:t xml:space="preserve"> by providing technical and financial support. Technologies, including AI solutions, digital platforms and the development of biotechnologies for scaling up R&amp;I activities on food systems will be a priority area of intervention in cross reference to the technologies enabler. </w:t>
      </w:r>
    </w:p>
    <w:p>
      <w:pPr>
        <w:pStyle w:val="ListParagraph"/>
        <w:numPr>
          <w:ilvl w:val="0"/>
          <w:numId w:val="4"/>
        </w:numPr>
        <w:jc w:val="both"/>
        <w:rPr>
          <w:rFonts w:ascii="Times New Roman" w:hAnsi="Times New Roman" w:cs="Times New Roman"/>
          <w:b/>
          <w:bCs/>
          <w:iCs/>
          <w:noProof/>
          <w:sz w:val="24"/>
          <w:szCs w:val="24"/>
          <w:lang w:val="en-GB"/>
        </w:rPr>
      </w:pPr>
      <w:r>
        <w:rPr>
          <w:rFonts w:ascii="Times New Roman" w:hAnsi="Times New Roman" w:cs="Times New Roman"/>
          <w:b/>
          <w:bCs/>
          <w:iCs/>
          <w:noProof/>
          <w:sz w:val="24"/>
          <w:szCs w:val="24"/>
          <w:lang w:val="en-GB"/>
        </w:rPr>
        <w:t>Aquatic food</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line with the forthcoming EU ocean and water research and innovation strategy, this area of action will aim to foster </w:t>
      </w:r>
      <w:r>
        <w:rPr>
          <w:rFonts w:ascii="Times New Roman" w:hAnsi="Times New Roman" w:cs="Times New Roman"/>
          <w:b/>
          <w:noProof/>
          <w:sz w:val="24"/>
          <w:szCs w:val="24"/>
          <w:lang w:val="en-GB"/>
        </w:rPr>
        <w:t>new knowledge and solutions in support of sustainable fisheries and aquaculture in marine and inland waters</w:t>
      </w:r>
      <w:r>
        <w:rPr>
          <w:rFonts w:ascii="Times New Roman" w:hAnsi="Times New Roman" w:cs="Times New Roman"/>
          <w:noProof/>
          <w:sz w:val="24"/>
          <w:szCs w:val="24"/>
          <w:lang w:val="en-GB"/>
        </w:rPr>
        <w:t xml:space="preserve">, while supporting sustainable food systems and food security, and the transition towards a thriving and regenerative blue bioeconomy.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It will address, among other elements, </w:t>
      </w:r>
      <w:r>
        <w:rPr>
          <w:rFonts w:ascii="Times New Roman" w:hAnsi="Times New Roman" w:cs="Times New Roman"/>
          <w:b/>
          <w:noProof/>
          <w:sz w:val="24"/>
          <w:szCs w:val="24"/>
          <w:lang w:val="en-GB"/>
        </w:rPr>
        <w:t>climate-related and other natural risks</w:t>
      </w:r>
      <w:r>
        <w:rPr>
          <w:rFonts w:ascii="Times New Roman" w:hAnsi="Times New Roman" w:cs="Times New Roman"/>
          <w:noProof/>
          <w:sz w:val="24"/>
          <w:szCs w:val="24"/>
          <w:lang w:val="en-GB"/>
        </w:rPr>
        <w:t xml:space="preserve"> that affect aquatic food value chains. It will include the development of models to understand and predict the interaction between fisheries and aquaculture and aquatic ecosystems and will support the integration of food production in the most circular and sustainable way.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Innovation in selective and low-impact fishing gear will reduce by-catch and habitat disturbance. </w:t>
      </w:r>
      <w:r>
        <w:rPr>
          <w:rFonts w:ascii="Times New Roman" w:hAnsi="Times New Roman" w:cs="Times New Roman"/>
          <w:b/>
          <w:noProof/>
          <w:sz w:val="24"/>
          <w:szCs w:val="24"/>
          <w:lang w:val="en-GB"/>
        </w:rPr>
        <w:t>Animal welfare and health issues</w:t>
      </w:r>
      <w:r>
        <w:rPr>
          <w:rFonts w:ascii="Times New Roman" w:hAnsi="Times New Roman" w:cs="Times New Roman"/>
          <w:noProof/>
          <w:sz w:val="24"/>
          <w:szCs w:val="24"/>
          <w:lang w:val="en-GB"/>
        </w:rPr>
        <w:t xml:space="preserve"> will continue to be a priority, with a focus on the full range of farmed and fished aquatic biota, addressing breeding and, where applicable, feeding and the reduction of EU reliance on feed imports. It will </w:t>
      </w:r>
      <w:r>
        <w:rPr>
          <w:rFonts w:ascii="Times New Roman" w:hAnsi="Times New Roman" w:cs="Times New Roman"/>
          <w:b/>
          <w:noProof/>
          <w:sz w:val="24"/>
          <w:szCs w:val="24"/>
          <w:lang w:val="en-GB"/>
        </w:rPr>
        <w:t>empower fishers and aquaculture farmers</w:t>
      </w:r>
      <w:r>
        <w:rPr>
          <w:rFonts w:ascii="Times New Roman" w:hAnsi="Times New Roman" w:cs="Times New Roman"/>
          <w:noProof/>
          <w:sz w:val="24"/>
          <w:szCs w:val="24"/>
          <w:lang w:val="en-GB"/>
        </w:rPr>
        <w:t xml:space="preserve"> to co-design the management of aquatic living resources in the most societally acceptable way, balancing biological, ecological, economic and social considerations. R&amp;I will support sustainable aquaculture (including organic, offshore and integrated multi-trophic aquaculture), technologies such as advanced fermentation, </w:t>
      </w:r>
      <w:r>
        <w:rPr>
          <w:rFonts w:ascii="Times New Roman" w:hAnsi="Times New Roman" w:cs="Times New Roman"/>
          <w:noProof/>
          <w:color w:val="000000" w:themeColor="text1"/>
          <w:sz w:val="24"/>
          <w:szCs w:val="24"/>
          <w:lang w:val="en-IE"/>
        </w:rPr>
        <w:t xml:space="preserve">market uptake of underutilised aquatic biomass (such as byproducts from fisheries and aquaculture, algae, and invasive species) </w:t>
      </w:r>
      <w:r>
        <w:rPr>
          <w:rFonts w:ascii="Times New Roman" w:hAnsi="Times New Roman" w:cs="Times New Roman"/>
          <w:noProof/>
          <w:sz w:val="24"/>
          <w:szCs w:val="24"/>
          <w:lang w:val="en-GB"/>
        </w:rPr>
        <w:t>and sustainable and short aquatic food value chains.</w:t>
      </w:r>
    </w:p>
    <w:p>
      <w:pPr>
        <w:pStyle w:val="Heading1"/>
        <w:rPr>
          <w:rFonts w:ascii="Times New Roman" w:hAnsi="Times New Roman" w:cs="Times New Roman"/>
          <w:b/>
          <w:noProof/>
          <w:color w:val="auto"/>
          <w:sz w:val="24"/>
          <w:szCs w:val="24"/>
          <w:lang w:val="en-GB"/>
        </w:rPr>
      </w:pPr>
      <w:bookmarkStart w:id="20" w:name="_Toc232778791"/>
      <w:r>
        <w:rPr>
          <w:rFonts w:ascii="Times New Roman" w:hAnsi="Times New Roman" w:cs="Times New Roman"/>
          <w:b/>
          <w:noProof/>
          <w:color w:val="auto"/>
          <w:sz w:val="24"/>
          <w:szCs w:val="24"/>
          <w:lang w:val="en-GB"/>
        </w:rPr>
        <w:t>4. CONCLUSIONS</w:t>
      </w:r>
      <w:bookmarkEnd w:id="20"/>
    </w:p>
    <w:p>
      <w:pPr>
        <w:spacing w:line="276" w:lineRule="auto"/>
        <w:jc w:val="both"/>
        <w:rPr>
          <w:rFonts w:ascii="Times New Roman" w:eastAsia="Times New Roman" w:hAnsi="Times New Roman" w:cs="Times New Roman"/>
          <w:noProof/>
          <w:sz w:val="24"/>
          <w:szCs w:val="24"/>
          <w:lang w:val="en-GB" w:eastAsia="en-IE"/>
        </w:rPr>
      </w:pPr>
      <w:r>
        <w:rPr>
          <w:rFonts w:ascii="Times New Roman" w:eastAsia="Times New Roman" w:hAnsi="Times New Roman" w:cs="Times New Roman"/>
          <w:noProof/>
          <w:sz w:val="24"/>
          <w:szCs w:val="24"/>
          <w:lang w:val="en-GB" w:eastAsia="en-IE"/>
        </w:rPr>
        <w:t>Research and innovation related to the EU’s agri-food sector is crucial for Europe’s food security and strategic autonomy, and to safeguard and boost the overall EU’s competitiveness. Building on the 2016 strategic approach to EU agricultural R&amp;I and the Food 2030 R&amp;I framework on food systems, this new EU strategic approach</w:t>
      </w:r>
      <w:r>
        <w:rPr>
          <w:rFonts w:ascii="Times New Roman" w:eastAsia="Times New Roman" w:hAnsi="Times New Roman" w:cs="Times New Roman"/>
          <w:i/>
          <w:iCs/>
          <w:noProof/>
          <w:sz w:val="24"/>
          <w:szCs w:val="24"/>
          <w:lang w:val="en-GB" w:eastAsia="en-IE"/>
        </w:rPr>
        <w:t xml:space="preserve"> </w:t>
      </w:r>
      <w:r>
        <w:rPr>
          <w:rFonts w:ascii="Times New Roman" w:eastAsia="Times New Roman" w:hAnsi="Times New Roman" w:cs="Times New Roman"/>
          <w:noProof/>
          <w:sz w:val="24"/>
          <w:szCs w:val="24"/>
          <w:lang w:val="en-GB" w:eastAsia="en-IE"/>
        </w:rPr>
        <w:t xml:space="preserve">presents R&amp;I as an opportunity to improve the </w:t>
      </w:r>
      <w:r>
        <w:rPr>
          <w:rFonts w:ascii="Times New Roman" w:eastAsia="Times New Roman" w:hAnsi="Times New Roman" w:cs="Times New Roman"/>
          <w:noProof/>
          <w:sz w:val="24"/>
          <w:szCs w:val="24"/>
          <w:lang w:val="en-GB" w:eastAsia="en-IE"/>
        </w:rPr>
        <w:lastRenderedPageBreak/>
        <w:t xml:space="preserve">competitiveness, sustainability and resilience of the EU agri-food sector, and to secure a good quality of life for people in Europe within planetary boundaries. </w:t>
      </w:r>
    </w:p>
    <w:p>
      <w:pPr>
        <w:spacing w:line="276"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This new strategic approach will serve to strengthen the innovation to investment journey, and boost the uptake of new knowledge, innovation and solutions across the agri-food sector. It will also help to ensure that investments are efficiently and effectively targeted, align future priorities with scientific developments, and enable the EU to seize new opportunities through the closely interlinked frameworks of AgRI 2040 and Food 2040.</w:t>
      </w:r>
    </w:p>
    <w:p>
      <w:pPr>
        <w:spacing w:line="276" w:lineRule="auto"/>
        <w:jc w:val="both"/>
        <w:rPr>
          <w:rFonts w:ascii="Times New Roman" w:eastAsia="Times New Roman" w:hAnsi="Times New Roman" w:cs="Times New Roman"/>
          <w:noProof/>
          <w:sz w:val="24"/>
          <w:szCs w:val="24"/>
          <w:lang w:val="en-GB"/>
        </w:rPr>
      </w:pPr>
    </w:p>
    <w:p>
      <w:pPr>
        <w:pStyle w:val="Heading1"/>
        <w:rPr>
          <w:rFonts w:ascii="Times New Roman" w:eastAsia="Times New Roman" w:hAnsi="Times New Roman" w:cs="Times New Roman"/>
          <w:b/>
          <w:noProof/>
          <w:color w:val="auto"/>
          <w:sz w:val="24"/>
          <w:szCs w:val="24"/>
          <w:lang w:val="en-GB" w:eastAsia="en-IE"/>
        </w:rPr>
        <w:sectPr>
          <w:headerReference w:type="even" r:id="rId56"/>
          <w:headerReference w:type="default" r:id="rId57"/>
          <w:footerReference w:type="even" r:id="rId58"/>
          <w:footerReference w:type="default" r:id="rId59"/>
          <w:headerReference w:type="first" r:id="rId60"/>
          <w:footerReference w:type="first" r:id="rId61"/>
          <w:pgSz w:w="12240" w:h="15840"/>
          <w:pgMar w:top="1440" w:right="1440" w:bottom="1440" w:left="1440" w:header="708" w:footer="708" w:gutter="0"/>
          <w:pgNumType w:start="1"/>
          <w:cols w:space="720"/>
          <w:docGrid w:linePitch="360"/>
        </w:sectPr>
      </w:pPr>
    </w:p>
    <w:p>
      <w:pPr>
        <w:pStyle w:val="Heading1"/>
        <w:rPr>
          <w:rFonts w:ascii="Times New Roman" w:hAnsi="Times New Roman" w:cs="Times New Roman"/>
          <w:b/>
          <w:noProof/>
          <w:color w:val="auto"/>
          <w:sz w:val="24"/>
          <w:szCs w:val="24"/>
          <w:lang w:val="en-GB"/>
        </w:rPr>
      </w:pPr>
      <w:bookmarkStart w:id="21" w:name="_Toc232778792"/>
      <w:r>
        <w:rPr>
          <w:rFonts w:ascii="Times New Roman" w:eastAsia="Times New Roman" w:hAnsi="Times New Roman" w:cs="Times New Roman"/>
          <w:b/>
          <w:noProof/>
          <w:color w:val="auto"/>
          <w:sz w:val="24"/>
          <w:szCs w:val="24"/>
          <w:lang w:val="en-GB" w:eastAsia="en-IE"/>
        </w:rPr>
        <w:lastRenderedPageBreak/>
        <w:t>A</w:t>
      </w:r>
      <w:r>
        <w:rPr>
          <w:rFonts w:ascii="Times New Roman" w:hAnsi="Times New Roman" w:cs="Times New Roman"/>
          <w:b/>
          <w:noProof/>
          <w:color w:val="auto"/>
          <w:sz w:val="24"/>
          <w:szCs w:val="24"/>
          <w:lang w:val="en-GB"/>
        </w:rPr>
        <w:t xml:space="preserve">nnex </w:t>
      </w:r>
      <w:r>
        <w:rPr>
          <w:rFonts w:ascii="Times New Roman" w:hAnsi="Times New Roman" w:cs="Times New Roman"/>
          <w:b/>
          <w:bCs/>
          <w:noProof/>
          <w:color w:val="auto"/>
          <w:sz w:val="24"/>
          <w:szCs w:val="24"/>
          <w:lang w:val="en-GB"/>
        </w:rPr>
        <w:t>1</w:t>
      </w:r>
      <w:r>
        <w:rPr>
          <w:rFonts w:ascii="Times New Roman" w:hAnsi="Times New Roman" w:cs="Times New Roman"/>
          <w:b/>
          <w:noProof/>
          <w:color w:val="auto"/>
          <w:sz w:val="24"/>
          <w:szCs w:val="24"/>
          <w:lang w:val="en-GB"/>
        </w:rPr>
        <w:t>: Key actions and timeline</w:t>
      </w:r>
      <w:bookmarkEnd w:id="21"/>
    </w:p>
    <w:p>
      <w:pPr>
        <w:spacing w:line="257" w:lineRule="auto"/>
        <w:jc w:val="both"/>
        <w:rPr>
          <w:rFonts w:ascii="Times New Roman" w:eastAsia="Aptos" w:hAnsi="Times New Roman" w:cs="Times New Roman"/>
          <w:b/>
          <w:noProof/>
          <w:sz w:val="24"/>
          <w:szCs w:val="24"/>
          <w:lang w:val="en-GB"/>
        </w:rPr>
      </w:pPr>
      <w:r>
        <w:rPr>
          <w:rFonts w:ascii="Times New Roman" w:eastAsia="Aptos" w:hAnsi="Times New Roman" w:cs="Times New Roman"/>
          <w:b/>
          <w:noProof/>
          <w:sz w:val="24"/>
          <w:szCs w:val="24"/>
          <w:lang w:val="en-GB"/>
        </w:rPr>
        <w:t>Closing the gap from lab to fab</w:t>
      </w:r>
    </w:p>
    <w:tbl>
      <w:tblPr>
        <w:tblStyle w:val="TableGrid"/>
        <w:tblW w:w="9413" w:type="dxa"/>
        <w:tblLook w:val="04A0" w:firstRow="1" w:lastRow="0" w:firstColumn="1" w:lastColumn="0" w:noHBand="0" w:noVBand="1"/>
      </w:tblPr>
      <w:tblGrid>
        <w:gridCol w:w="385"/>
        <w:gridCol w:w="7827"/>
        <w:gridCol w:w="1201"/>
      </w:tblGrid>
      <w:tr>
        <w:trPr>
          <w:trHeight w:val="300"/>
          <w:tblHeader/>
        </w:trPr>
        <w:tc>
          <w:tcPr>
            <w:tcW w:w="385"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bCs/>
                <w:noProof/>
                <w:color w:val="000000" w:themeColor="text1"/>
                <w:sz w:val="24"/>
                <w:szCs w:val="24"/>
                <w:lang w:val="en-GB"/>
              </w:rPr>
            </w:pPr>
          </w:p>
        </w:tc>
        <w:tc>
          <w:tcPr>
            <w:tcW w:w="7827"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bCs/>
                <w:noProof/>
                <w:color w:val="000000" w:themeColor="text1"/>
                <w:sz w:val="24"/>
                <w:szCs w:val="24"/>
                <w:lang w:val="en-GB"/>
              </w:rPr>
            </w:pPr>
            <w:r>
              <w:rPr>
                <w:rFonts w:ascii="Times New Roman" w:eastAsia="Aptos" w:hAnsi="Times New Roman" w:cs="Times New Roman"/>
                <w:b/>
                <w:bCs/>
                <w:noProof/>
                <w:color w:val="000000" w:themeColor="text1"/>
                <w:sz w:val="24"/>
                <w:szCs w:val="24"/>
                <w:lang w:val="en-GB"/>
              </w:rPr>
              <w:t>Actions</w:t>
            </w:r>
          </w:p>
        </w:tc>
        <w:tc>
          <w:tcPr>
            <w:tcW w:w="1201"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bCs/>
                <w:noProof/>
                <w:color w:val="000000" w:themeColor="text1"/>
                <w:sz w:val="24"/>
                <w:szCs w:val="24"/>
                <w:lang w:val="en-GB"/>
              </w:rPr>
            </w:pPr>
            <w:r>
              <w:rPr>
                <w:rFonts w:ascii="Times New Roman" w:eastAsia="Aptos" w:hAnsi="Times New Roman" w:cs="Times New Roman"/>
                <w:b/>
                <w:bCs/>
                <w:noProof/>
                <w:color w:val="000000" w:themeColor="text1"/>
                <w:sz w:val="24"/>
                <w:szCs w:val="24"/>
                <w:lang w:val="en-GB"/>
              </w:rPr>
              <w:t>Starting from</w:t>
            </w:r>
          </w:p>
        </w:tc>
      </w:tr>
      <w:tr>
        <w:trPr>
          <w:trHeight w:val="300"/>
          <w:tblHeader/>
        </w:trPr>
        <w:tc>
          <w:tcPr>
            <w:tcW w:w="38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color w:val="000000" w:themeColor="text1"/>
                <w:sz w:val="24"/>
                <w:szCs w:val="24"/>
                <w:lang w:val="en-GB"/>
              </w:rPr>
              <w:t>1</w:t>
            </w:r>
          </w:p>
        </w:tc>
        <w:tc>
          <w:tcPr>
            <w:tcW w:w="7827"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color w:val="000000" w:themeColor="text1"/>
                <w:sz w:val="24"/>
                <w:szCs w:val="24"/>
                <w:lang w:val="en-GB"/>
              </w:rPr>
            </w:pPr>
            <w:r>
              <w:rPr>
                <w:rFonts w:ascii="Times New Roman" w:eastAsia="Aptos" w:hAnsi="Times New Roman" w:cs="Times New Roman"/>
                <w:noProof/>
                <w:color w:val="000000" w:themeColor="text1"/>
                <w:sz w:val="24"/>
                <w:szCs w:val="24"/>
                <w:lang w:val="en-GB"/>
              </w:rPr>
              <w:t>Support, through a targeted call for proposals and other actions in the current Horizon Europe, the better valorisation and exploitation of results from collaborative projects and the greater use of AI in agriculture and food systems</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color w:val="000000" w:themeColor="text1"/>
                <w:sz w:val="24"/>
                <w:szCs w:val="24"/>
                <w:lang w:val="en-GB"/>
              </w:rPr>
            </w:pPr>
            <w:r>
              <w:rPr>
                <w:rFonts w:ascii="Times New Roman" w:eastAsia="Aptos" w:hAnsi="Times New Roman" w:cs="Times New Roman"/>
                <w:noProof/>
                <w:color w:val="000000" w:themeColor="text1"/>
                <w:sz w:val="24"/>
                <w:szCs w:val="24"/>
                <w:lang w:val="en-GB"/>
              </w:rPr>
              <w:t>2027</w:t>
            </w:r>
          </w:p>
        </w:tc>
      </w:tr>
      <w:tr>
        <w:trPr>
          <w:trHeight w:val="300"/>
        </w:trPr>
        <w:tc>
          <w:tcPr>
            <w:tcW w:w="38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color w:val="000000" w:themeColor="text1"/>
                <w:sz w:val="24"/>
                <w:szCs w:val="24"/>
                <w:lang w:val="en-GB"/>
              </w:rPr>
              <w:t>2</w:t>
            </w:r>
          </w:p>
        </w:tc>
        <w:tc>
          <w:tcPr>
            <w:tcW w:w="7827"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color w:val="000000" w:themeColor="text1"/>
                <w:sz w:val="24"/>
                <w:szCs w:val="24"/>
                <w:lang w:val="en-GB"/>
              </w:rPr>
              <w:t>Increase the involvement of private sector and market experts in the evaluation of collaborative research proposals submitted to Horizon Europe agri-food sector calls</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sz w:val="24"/>
                <w:szCs w:val="24"/>
                <w:lang w:val="en-GB"/>
              </w:rPr>
            </w:pPr>
            <w:r>
              <w:rPr>
                <w:rFonts w:ascii="Times New Roman" w:eastAsia="Aptos" w:hAnsi="Times New Roman" w:cs="Times New Roman"/>
                <w:noProof/>
                <w:color w:val="000000" w:themeColor="text1"/>
                <w:sz w:val="24"/>
                <w:szCs w:val="24"/>
                <w:lang w:val="en-GB"/>
              </w:rPr>
              <w:t>2027</w:t>
            </w:r>
          </w:p>
        </w:tc>
      </w:tr>
      <w:tr>
        <w:trPr>
          <w:trHeight w:val="300"/>
        </w:trPr>
        <w:tc>
          <w:tcPr>
            <w:tcW w:w="38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lang w:val="en-GB"/>
              </w:rPr>
              <w:t>3</w:t>
            </w:r>
          </w:p>
        </w:tc>
        <w:tc>
          <w:tcPr>
            <w:tcW w:w="7827"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hAnsi="Times New Roman" w:cs="Times New Roman"/>
                <w:noProof/>
                <w:sz w:val="24"/>
                <w:szCs w:val="24"/>
                <w:lang w:val="en-GB"/>
              </w:rPr>
            </w:pPr>
            <w:r>
              <w:rPr>
                <w:rFonts w:ascii="Times New Roman" w:hAnsi="Times New Roman" w:cs="Times New Roman"/>
                <w:noProof/>
                <w:sz w:val="24"/>
                <w:szCs w:val="24"/>
                <w:lang w:val="en-GB"/>
              </w:rPr>
              <w:t>Strengthen support for risk assessment methodologies by h</w:t>
            </w:r>
            <w:r>
              <w:rPr>
                <w:rFonts w:ascii="Times New Roman" w:hAnsi="Times New Roman" w:cs="Times New Roman"/>
                <w:noProof/>
                <w:sz w:val="24"/>
                <w:szCs w:val="24"/>
                <w:lang w:val="en-IE"/>
              </w:rPr>
              <w:t>arvesting more systematically R&amp;I needs from EU bodies responsible for the pre-market assessment of agri-food innovations</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Q4 2027</w:t>
            </w:r>
          </w:p>
        </w:tc>
      </w:tr>
      <w:tr>
        <w:trPr>
          <w:trHeight w:val="300"/>
        </w:trPr>
        <w:tc>
          <w:tcPr>
            <w:tcW w:w="385"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4</w:t>
            </w:r>
          </w:p>
        </w:tc>
        <w:tc>
          <w:tcPr>
            <w:tcW w:w="7827"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 xml:space="preserve">Promote </w:t>
            </w:r>
            <w:r>
              <w:rPr>
                <w:rFonts w:ascii="Times New Roman" w:hAnsi="Times New Roman" w:cs="Times New Roman"/>
                <w:noProof/>
                <w:color w:val="000000" w:themeColor="text1"/>
                <w:sz w:val="24"/>
                <w:szCs w:val="24"/>
              </w:rPr>
              <w:t>closer collaboration between Horizon Europe’s agri-food sector collaborative research and the EIT Food and the</w:t>
            </w:r>
            <w:r>
              <w:rPr>
                <w:rFonts w:ascii="Times New Roman" w:hAnsi="Times New Roman" w:cs="Times New Roman"/>
                <w:noProof/>
                <w:color w:val="000000" w:themeColor="text1"/>
                <w:sz w:val="24"/>
                <w:szCs w:val="24"/>
                <w:lang w:val="en-GB"/>
              </w:rPr>
              <w:t xml:space="preserve"> European Innovation Council (EIC) </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Q4 2026</w:t>
            </w:r>
          </w:p>
        </w:tc>
      </w:tr>
      <w:tr>
        <w:trPr>
          <w:trHeight w:val="300"/>
        </w:trPr>
        <w:tc>
          <w:tcPr>
            <w:tcW w:w="38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rPr>
              <w:t>5</w:t>
            </w:r>
          </w:p>
        </w:tc>
        <w:tc>
          <w:tcPr>
            <w:tcW w:w="7827"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rPr>
              <w:t>Launch a ‘Science for Policy Centre on Agriculture, Forestry, Rural Development and Food System Innovation and Transformation’, managed by the JRC, to support EU and Member States policymaking and stakeholders’ innovation capacities</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Q4 2027</w:t>
            </w:r>
          </w:p>
        </w:tc>
      </w:tr>
      <w:tr>
        <w:trPr>
          <w:trHeight w:val="300"/>
        </w:trPr>
        <w:tc>
          <w:tcPr>
            <w:tcW w:w="38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lang w:val="en-GB"/>
              </w:rPr>
              <w:t>6</w:t>
            </w:r>
          </w:p>
        </w:tc>
        <w:tc>
          <w:tcPr>
            <w:tcW w:w="7827"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Prepare a toolbox for EU and national actions to help startups and scale ups in the agri-food sector with the active involvement of the Standing Committee for Agricultural Research.</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Q4 2027</w:t>
            </w:r>
          </w:p>
        </w:tc>
      </w:tr>
      <w:tr>
        <w:trPr>
          <w:trHeight w:val="300"/>
        </w:trPr>
        <w:tc>
          <w:tcPr>
            <w:tcW w:w="385"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Theme="minorEastAsia" w:hAnsi="Times New Roman" w:cs="Times New Roman"/>
                <w:noProof/>
                <w:sz w:val="24"/>
                <w:szCs w:val="24"/>
                <w:lang w:val="en-GB"/>
              </w:rPr>
              <w:t>7</w:t>
            </w:r>
          </w:p>
        </w:tc>
        <w:tc>
          <w:tcPr>
            <w:tcW w:w="7827"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Theme="minorEastAsia" w:hAnsi="Times New Roman" w:cs="Times New Roman"/>
                <w:noProof/>
                <w:sz w:val="24"/>
                <w:szCs w:val="24"/>
                <w:lang w:val="en-GB"/>
              </w:rPr>
              <w:t xml:space="preserve">Encourage Member States to use the future national and regional partnership plans to </w:t>
            </w:r>
            <w:r>
              <w:rPr>
                <w:rFonts w:ascii="Times New Roman" w:eastAsiaTheme="minorEastAsia" w:hAnsi="Times New Roman" w:cs="Times New Roman"/>
                <w:noProof/>
                <w:sz w:val="24"/>
                <w:szCs w:val="24"/>
              </w:rPr>
              <w:t>further enhance a supportive innovation ecosystem in the agri-food sector</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Q4 2026</w:t>
            </w:r>
          </w:p>
        </w:tc>
      </w:tr>
    </w:tbl>
    <w:p>
      <w:pPr>
        <w:spacing w:line="257" w:lineRule="auto"/>
        <w:jc w:val="both"/>
        <w:rPr>
          <w:rFonts w:ascii="Times New Roman" w:eastAsia="Aptos" w:hAnsi="Times New Roman" w:cs="Times New Roman"/>
          <w:noProof/>
          <w:sz w:val="8"/>
          <w:szCs w:val="8"/>
          <w:lang w:val="en-GB"/>
        </w:rPr>
      </w:pPr>
    </w:p>
    <w:p>
      <w:pPr>
        <w:spacing w:line="257" w:lineRule="auto"/>
        <w:jc w:val="both"/>
        <w:rPr>
          <w:rFonts w:ascii="Times New Roman" w:eastAsia="Aptos" w:hAnsi="Times New Roman" w:cs="Times New Roman"/>
          <w:b/>
          <w:bCs/>
          <w:noProof/>
          <w:sz w:val="24"/>
          <w:szCs w:val="24"/>
          <w:lang w:val="en-GB"/>
        </w:rPr>
      </w:pPr>
      <w:r>
        <w:rPr>
          <w:rFonts w:ascii="Times New Roman" w:eastAsia="Aptos" w:hAnsi="Times New Roman" w:cs="Times New Roman"/>
          <w:b/>
          <w:bCs/>
          <w:noProof/>
          <w:sz w:val="24"/>
          <w:szCs w:val="24"/>
          <w:lang w:val="en-GB"/>
        </w:rPr>
        <w:t>Accelerating the uptake of knowledge and innovation by farmers, foresters and rural actors</w:t>
      </w:r>
    </w:p>
    <w:tbl>
      <w:tblPr>
        <w:tblStyle w:val="TableGrid"/>
        <w:tblW w:w="9360" w:type="dxa"/>
        <w:tblLook w:val="04A0" w:firstRow="1" w:lastRow="0" w:firstColumn="1" w:lastColumn="0" w:noHBand="0" w:noVBand="1"/>
      </w:tblPr>
      <w:tblGrid>
        <w:gridCol w:w="498"/>
        <w:gridCol w:w="7714"/>
        <w:gridCol w:w="1148"/>
      </w:tblGrid>
      <w:tr>
        <w:trPr>
          <w:trHeight w:val="420"/>
          <w:tblHeader/>
        </w:trPr>
        <w:tc>
          <w:tcPr>
            <w:tcW w:w="498"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bCs/>
                <w:noProof/>
                <w:color w:val="000000" w:themeColor="text1"/>
                <w:sz w:val="24"/>
                <w:szCs w:val="24"/>
                <w:lang w:val="en-GB"/>
              </w:rPr>
            </w:pPr>
          </w:p>
        </w:tc>
        <w:tc>
          <w:tcPr>
            <w:tcW w:w="7714"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noProof/>
                <w:color w:val="000000" w:themeColor="text1"/>
                <w:sz w:val="24"/>
                <w:szCs w:val="24"/>
                <w:lang w:val="en-GB"/>
              </w:rPr>
            </w:pPr>
            <w:r>
              <w:rPr>
                <w:rFonts w:ascii="Times New Roman" w:eastAsia="Aptos" w:hAnsi="Times New Roman" w:cs="Times New Roman"/>
                <w:b/>
                <w:noProof/>
                <w:color w:val="000000" w:themeColor="text1"/>
                <w:sz w:val="24"/>
                <w:szCs w:val="24"/>
                <w:lang w:val="en-GB"/>
              </w:rPr>
              <w:t>Actions</w:t>
            </w:r>
          </w:p>
        </w:tc>
        <w:tc>
          <w:tcPr>
            <w:tcW w:w="1148"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noProof/>
                <w:color w:val="000000" w:themeColor="text1"/>
                <w:sz w:val="24"/>
                <w:szCs w:val="24"/>
                <w:lang w:val="en-GB"/>
              </w:rPr>
            </w:pPr>
            <w:r>
              <w:rPr>
                <w:rFonts w:ascii="Times New Roman" w:eastAsia="Aptos" w:hAnsi="Times New Roman" w:cs="Times New Roman"/>
                <w:b/>
                <w:bCs/>
                <w:noProof/>
                <w:color w:val="000000" w:themeColor="text1"/>
                <w:sz w:val="24"/>
                <w:szCs w:val="24"/>
                <w:lang w:val="en-GB"/>
              </w:rPr>
              <w:t>Starting from</w:t>
            </w:r>
          </w:p>
        </w:tc>
      </w:tr>
      <w:tr>
        <w:trPr>
          <w:trHeight w:val="300"/>
        </w:trPr>
        <w:tc>
          <w:tcPr>
            <w:tcW w:w="498"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lang w:val="en-GB"/>
              </w:rPr>
              <w:t>8</w:t>
            </w:r>
          </w:p>
        </w:tc>
        <w:tc>
          <w:tcPr>
            <w:tcW w:w="7714"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 xml:space="preserve">Enhance the efficient implementation of the multi-actor approach by harmonising terminologies and strengthening its evaluation and monitoring frameworks </w:t>
            </w:r>
          </w:p>
        </w:tc>
        <w:tc>
          <w:tcPr>
            <w:tcW w:w="1148"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color w:val="000000" w:themeColor="text1"/>
                <w:sz w:val="24"/>
                <w:szCs w:val="24"/>
                <w:lang w:val="en-GB"/>
              </w:rPr>
            </w:pPr>
            <w:r>
              <w:rPr>
                <w:rFonts w:ascii="Times New Roman" w:eastAsia="Aptos" w:hAnsi="Times New Roman" w:cs="Times New Roman"/>
                <w:noProof/>
                <w:color w:val="000000" w:themeColor="text1"/>
                <w:sz w:val="24"/>
                <w:szCs w:val="24"/>
                <w:lang w:val="en-GB"/>
              </w:rPr>
              <w:t>Q1 2028</w:t>
            </w:r>
          </w:p>
        </w:tc>
      </w:tr>
      <w:tr>
        <w:trPr>
          <w:trHeight w:val="300"/>
        </w:trPr>
        <w:tc>
          <w:tcPr>
            <w:tcW w:w="498"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lang w:val="en-GB"/>
              </w:rPr>
              <w:t>9</w:t>
            </w:r>
          </w:p>
        </w:tc>
        <w:tc>
          <w:tcPr>
            <w:tcW w:w="7714"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Establish and manage the use of collaborative platforms to facilitate matchmaking between farmers, practitioners and multi-actor approach projects, boosting the engagement of users in R&amp;I</w:t>
            </w:r>
          </w:p>
        </w:tc>
        <w:tc>
          <w:tcPr>
            <w:tcW w:w="1148"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color w:val="000000" w:themeColor="text1"/>
                <w:sz w:val="24"/>
                <w:szCs w:val="24"/>
                <w:lang w:val="en-GB"/>
              </w:rPr>
            </w:pPr>
            <w:r>
              <w:rPr>
                <w:rFonts w:ascii="Times New Roman" w:eastAsia="Aptos" w:hAnsi="Times New Roman" w:cs="Times New Roman"/>
                <w:noProof/>
                <w:color w:val="000000" w:themeColor="text1"/>
                <w:sz w:val="24"/>
                <w:szCs w:val="24"/>
                <w:lang w:val="en-GB"/>
              </w:rPr>
              <w:t>Q1 2028</w:t>
            </w:r>
          </w:p>
        </w:tc>
      </w:tr>
      <w:tr>
        <w:trPr>
          <w:trHeight w:val="300"/>
        </w:trPr>
        <w:tc>
          <w:tcPr>
            <w:tcW w:w="498"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Times New Roman" w:hAnsi="Times New Roman" w:cs="Times New Roman"/>
                <w:noProof/>
                <w:sz w:val="24"/>
                <w:szCs w:val="24"/>
                <w:lang w:val="en-GB"/>
              </w:rPr>
              <w:t>10</w:t>
            </w:r>
          </w:p>
        </w:tc>
        <w:tc>
          <w:tcPr>
            <w:tcW w:w="771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lang w:val="en-GB"/>
              </w:rPr>
            </w:pPr>
            <w:r>
              <w:rPr>
                <w:rFonts w:ascii="Times New Roman" w:eastAsia="Times New Roman" w:hAnsi="Times New Roman" w:cs="Times New Roman"/>
                <w:noProof/>
                <w:sz w:val="24"/>
                <w:szCs w:val="24"/>
                <w:lang w:val="en-GB"/>
              </w:rPr>
              <w:t>Foster stronger links between Horizon Europe n</w:t>
            </w:r>
            <w:r>
              <w:rPr>
                <w:rFonts w:ascii="Times New Roman" w:eastAsia="Aptos" w:hAnsi="Times New Roman" w:cs="Times New Roman"/>
                <w:noProof/>
                <w:sz w:val="24"/>
                <w:szCs w:val="24"/>
                <w:lang w:val="en-GB"/>
              </w:rPr>
              <w:t>ational contact points</w:t>
            </w:r>
            <w:r>
              <w:rPr>
                <w:rFonts w:ascii="Times New Roman" w:eastAsia="Times New Roman" w:hAnsi="Times New Roman" w:cs="Times New Roman"/>
                <w:noProof/>
                <w:sz w:val="24"/>
                <w:szCs w:val="24"/>
                <w:lang w:val="en-GB"/>
              </w:rPr>
              <w:t xml:space="preserve"> and national CAP networks through targeted EIP-AGRI events </w:t>
            </w:r>
          </w:p>
        </w:tc>
        <w:tc>
          <w:tcPr>
            <w:tcW w:w="1148"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color w:val="000000" w:themeColor="text1"/>
                <w:sz w:val="24"/>
                <w:szCs w:val="24"/>
                <w:lang w:val="en-GB"/>
              </w:rPr>
            </w:pPr>
            <w:r>
              <w:rPr>
                <w:rFonts w:ascii="Times New Roman" w:eastAsia="Aptos" w:hAnsi="Times New Roman" w:cs="Times New Roman"/>
                <w:noProof/>
                <w:color w:val="000000" w:themeColor="text1"/>
                <w:sz w:val="24"/>
                <w:szCs w:val="24"/>
                <w:lang w:val="en-GB"/>
              </w:rPr>
              <w:t>2027</w:t>
            </w:r>
          </w:p>
        </w:tc>
      </w:tr>
      <w:tr>
        <w:trPr>
          <w:trHeight w:val="300"/>
        </w:trPr>
        <w:tc>
          <w:tcPr>
            <w:tcW w:w="498"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Times New Roman" w:hAnsi="Times New Roman" w:cs="Times New Roman"/>
                <w:noProof/>
                <w:sz w:val="24"/>
                <w:szCs w:val="24"/>
                <w:lang w:val="en-GB"/>
              </w:rPr>
              <w:t>11</w:t>
            </w:r>
          </w:p>
        </w:tc>
        <w:tc>
          <w:tcPr>
            <w:tcW w:w="7714"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color w:val="000000" w:themeColor="text1"/>
                <w:sz w:val="24"/>
                <w:szCs w:val="24"/>
                <w:lang w:val="en-GB"/>
              </w:rPr>
            </w:pPr>
            <w:r>
              <w:rPr>
                <w:rFonts w:ascii="Times New Roman" w:eastAsia="Times New Roman" w:hAnsi="Times New Roman" w:cs="Times New Roman"/>
                <w:noProof/>
                <w:sz w:val="24"/>
                <w:szCs w:val="24"/>
                <w:lang w:val="en-GB"/>
              </w:rPr>
              <w:t>Revise the common format of the practice abstracts, that are used to disseminate the practical results of operational groups and Horizon Europe projects, to enhance their clarity, user accessibility and practical orientation</w:t>
            </w:r>
          </w:p>
        </w:tc>
        <w:tc>
          <w:tcPr>
            <w:tcW w:w="1148"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color w:val="000000" w:themeColor="text1"/>
                <w:sz w:val="24"/>
                <w:szCs w:val="24"/>
                <w:lang w:val="en-GB"/>
              </w:rPr>
            </w:pPr>
            <w:r>
              <w:rPr>
                <w:rFonts w:ascii="Times New Roman" w:eastAsia="Aptos" w:hAnsi="Times New Roman" w:cs="Times New Roman"/>
                <w:noProof/>
                <w:color w:val="000000" w:themeColor="text1"/>
                <w:sz w:val="24"/>
                <w:szCs w:val="24"/>
                <w:lang w:val="en-GB"/>
              </w:rPr>
              <w:t>Q4 2027</w:t>
            </w:r>
          </w:p>
        </w:tc>
      </w:tr>
      <w:tr>
        <w:trPr>
          <w:trHeight w:val="300"/>
        </w:trPr>
        <w:tc>
          <w:tcPr>
            <w:tcW w:w="498"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color w:val="000000" w:themeColor="text1"/>
                <w:sz w:val="24"/>
                <w:szCs w:val="24"/>
                <w:lang w:val="en-GB"/>
              </w:rPr>
              <w:t>12</w:t>
            </w:r>
          </w:p>
        </w:tc>
        <w:tc>
          <w:tcPr>
            <w:tcW w:w="7714"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color w:val="000000" w:themeColor="text1"/>
                <w:sz w:val="24"/>
                <w:szCs w:val="24"/>
                <w:lang w:val="en-GB"/>
              </w:rPr>
            </w:pPr>
            <w:r>
              <w:rPr>
                <w:rFonts w:ascii="Times New Roman" w:eastAsia="Aptos" w:hAnsi="Times New Roman" w:cs="Times New Roman"/>
                <w:noProof/>
                <w:color w:val="000000" w:themeColor="text1"/>
                <w:sz w:val="24"/>
                <w:szCs w:val="24"/>
                <w:lang w:val="en-GB"/>
              </w:rPr>
              <w:t>Map and promote EU and national testing and demonstration sites to boost farmers’ access and the uptake of peer-to-peer innovations.</w:t>
            </w:r>
          </w:p>
        </w:tc>
        <w:tc>
          <w:tcPr>
            <w:tcW w:w="1148"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color w:val="000000" w:themeColor="text1"/>
                <w:sz w:val="24"/>
                <w:szCs w:val="24"/>
                <w:lang w:val="en-GB"/>
              </w:rPr>
            </w:pPr>
            <w:r>
              <w:rPr>
                <w:rFonts w:ascii="Times New Roman" w:eastAsia="Aptos" w:hAnsi="Times New Roman" w:cs="Times New Roman"/>
                <w:noProof/>
                <w:color w:val="000000" w:themeColor="text1"/>
                <w:sz w:val="24"/>
                <w:szCs w:val="24"/>
                <w:lang w:val="en-GB"/>
              </w:rPr>
              <w:t>Q4 2027</w:t>
            </w:r>
          </w:p>
        </w:tc>
      </w:tr>
      <w:tr>
        <w:trPr>
          <w:trHeight w:val="300"/>
        </w:trPr>
        <w:tc>
          <w:tcPr>
            <w:tcW w:w="498"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lang w:val="en-GB"/>
              </w:rPr>
              <w:lastRenderedPageBreak/>
              <w:t>13</w:t>
            </w:r>
          </w:p>
        </w:tc>
        <w:tc>
          <w:tcPr>
            <w:tcW w:w="7714"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Times New Roman" w:hAnsi="Times New Roman" w:cs="Times New Roman"/>
                <w:noProof/>
                <w:sz w:val="24"/>
                <w:szCs w:val="24"/>
                <w:lang w:val="en-GB"/>
              </w:rPr>
            </w:pPr>
            <w:r>
              <w:rPr>
                <w:rFonts w:ascii="Times New Roman" w:eastAsia="Aptos" w:hAnsi="Times New Roman" w:cs="Times New Roman"/>
                <w:noProof/>
                <w:sz w:val="24"/>
                <w:szCs w:val="24"/>
                <w:lang w:val="en-GB"/>
              </w:rPr>
              <w:t>Valorise the results of the EU study on the impact of specific Horizon Europe tools that support sustainable innovation in agriculture, forestry and rural areas</w:t>
            </w:r>
          </w:p>
        </w:tc>
        <w:tc>
          <w:tcPr>
            <w:tcW w:w="1148"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noProof/>
              </w:rPr>
            </w:pPr>
            <w:r>
              <w:rPr>
                <w:rFonts w:ascii="Times New Roman" w:eastAsia="Aptos" w:hAnsi="Times New Roman" w:cs="Times New Roman"/>
                <w:noProof/>
                <w:color w:val="000000" w:themeColor="text1"/>
                <w:sz w:val="24"/>
                <w:szCs w:val="24"/>
                <w:lang w:val="en-GB"/>
              </w:rPr>
              <w:t>Q4 2026</w:t>
            </w:r>
          </w:p>
        </w:tc>
      </w:tr>
    </w:tbl>
    <w:p>
      <w:pPr>
        <w:spacing w:line="257" w:lineRule="auto"/>
        <w:jc w:val="both"/>
        <w:rPr>
          <w:rFonts w:ascii="Times New Roman" w:eastAsia="Aptos" w:hAnsi="Times New Roman" w:cs="Times New Roman"/>
          <w:b/>
          <w:noProof/>
          <w:sz w:val="24"/>
          <w:szCs w:val="24"/>
          <w:lang w:val="en-GB"/>
        </w:rPr>
      </w:pPr>
    </w:p>
    <w:p>
      <w:pPr>
        <w:spacing w:line="257" w:lineRule="auto"/>
        <w:jc w:val="both"/>
        <w:rPr>
          <w:rFonts w:ascii="Times New Roman" w:eastAsia="Aptos" w:hAnsi="Times New Roman" w:cs="Times New Roman"/>
          <w:b/>
          <w:noProof/>
          <w:sz w:val="24"/>
          <w:szCs w:val="24"/>
          <w:lang w:val="en-GB"/>
        </w:rPr>
      </w:pPr>
      <w:r>
        <w:rPr>
          <w:rFonts w:ascii="Times New Roman" w:eastAsia="Aptos" w:hAnsi="Times New Roman" w:cs="Times New Roman"/>
          <w:b/>
          <w:noProof/>
          <w:sz w:val="24"/>
          <w:szCs w:val="24"/>
          <w:lang w:val="en-GB"/>
        </w:rPr>
        <w:t>Boosting food technology for food chain resilience and food security</w:t>
      </w:r>
      <w:r>
        <w:rPr>
          <w:rFonts w:ascii="Times New Roman" w:eastAsia="Aptos" w:hAnsi="Times New Roman" w:cs="Times New Roman"/>
          <w:b/>
          <w:noProof/>
          <w:sz w:val="24"/>
          <w:szCs w:val="24"/>
          <w:lang w:val="en-GB"/>
        </w:rPr>
        <w:tab/>
      </w:r>
    </w:p>
    <w:tbl>
      <w:tblPr>
        <w:tblStyle w:val="TableGrid"/>
        <w:tblW w:w="9346" w:type="dxa"/>
        <w:tblLook w:val="04A0" w:firstRow="1" w:lastRow="0" w:firstColumn="1" w:lastColumn="0" w:noHBand="0" w:noVBand="1"/>
      </w:tblPr>
      <w:tblGrid>
        <w:gridCol w:w="521"/>
        <w:gridCol w:w="7684"/>
        <w:gridCol w:w="1141"/>
      </w:tblGrid>
      <w:tr>
        <w:trPr>
          <w:trHeight w:val="300"/>
        </w:trPr>
        <w:tc>
          <w:tcPr>
            <w:tcW w:w="521"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bCs/>
                <w:noProof/>
                <w:color w:val="000000" w:themeColor="text1"/>
                <w:sz w:val="24"/>
                <w:szCs w:val="24"/>
                <w:lang w:val="en-GB"/>
              </w:rPr>
            </w:pPr>
          </w:p>
        </w:tc>
        <w:tc>
          <w:tcPr>
            <w:tcW w:w="7684"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noProof/>
                <w:color w:val="000000" w:themeColor="text1"/>
                <w:sz w:val="24"/>
                <w:szCs w:val="24"/>
                <w:lang w:val="en-GB"/>
              </w:rPr>
            </w:pPr>
            <w:r>
              <w:rPr>
                <w:rFonts w:ascii="Times New Roman" w:eastAsia="Aptos" w:hAnsi="Times New Roman" w:cs="Times New Roman"/>
                <w:b/>
                <w:noProof/>
                <w:sz w:val="24"/>
                <w:szCs w:val="24"/>
                <w:lang w:val="en-GB"/>
              </w:rPr>
              <w:tab/>
            </w:r>
            <w:r>
              <w:rPr>
                <w:rFonts w:ascii="Times New Roman" w:eastAsia="Aptos" w:hAnsi="Times New Roman" w:cs="Times New Roman"/>
                <w:b/>
                <w:noProof/>
                <w:color w:val="000000" w:themeColor="text1"/>
                <w:sz w:val="24"/>
                <w:szCs w:val="24"/>
                <w:lang w:val="en-GB"/>
              </w:rPr>
              <w:t>Actions</w:t>
            </w:r>
          </w:p>
        </w:tc>
        <w:tc>
          <w:tcPr>
            <w:tcW w:w="1141"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noProof/>
                <w:color w:val="000000" w:themeColor="text1"/>
                <w:sz w:val="24"/>
                <w:szCs w:val="24"/>
                <w:lang w:val="en-GB"/>
              </w:rPr>
            </w:pPr>
            <w:r>
              <w:rPr>
                <w:rFonts w:ascii="Times New Roman" w:eastAsia="Aptos" w:hAnsi="Times New Roman" w:cs="Times New Roman"/>
                <w:b/>
                <w:bCs/>
                <w:noProof/>
                <w:color w:val="000000" w:themeColor="text1"/>
                <w:sz w:val="24"/>
                <w:szCs w:val="24"/>
                <w:lang w:val="en-GB"/>
              </w:rPr>
              <w:t>Starting from</w:t>
            </w:r>
          </w:p>
        </w:tc>
      </w:tr>
      <w:tr>
        <w:trPr>
          <w:trHeight w:val="300"/>
        </w:trPr>
        <w:tc>
          <w:tcPr>
            <w:tcW w:w="52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lang w:val="en-GB"/>
              </w:rPr>
              <w:t>14</w:t>
            </w:r>
          </w:p>
        </w:tc>
        <w:tc>
          <w:tcPr>
            <w:tcW w:w="7684"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E</w:t>
            </w:r>
            <w:r>
              <w:rPr>
                <w:rFonts w:ascii="Times New Roman" w:hAnsi="Times New Roman" w:cs="Times New Roman"/>
                <w:noProof/>
                <w:color w:val="000000" w:themeColor="text1"/>
                <w:sz w:val="24"/>
                <w:szCs w:val="24"/>
                <w:lang w:val="en-GB"/>
              </w:rPr>
              <w:t xml:space="preserve">ncourage </w:t>
            </w:r>
            <w:r>
              <w:rPr>
                <w:rFonts w:ascii="Times New Roman" w:eastAsia="Aptos" w:hAnsi="Times New Roman" w:cs="Times New Roman"/>
                <w:noProof/>
                <w:sz w:val="24"/>
                <w:szCs w:val="24"/>
                <w:lang w:val="en-GB"/>
              </w:rPr>
              <w:t>private investment to support the building and upgrading of open-access pilot and demo-scale bioprocessing infrastructure to support SMEs to test and de-risk their processes without the need for prohibitive up-front capital expenditure</w:t>
            </w:r>
          </w:p>
        </w:tc>
        <w:tc>
          <w:tcPr>
            <w:tcW w:w="1141"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 xml:space="preserve"> Q1 2028</w:t>
            </w:r>
          </w:p>
        </w:tc>
      </w:tr>
      <w:tr>
        <w:trPr>
          <w:trHeight w:val="300"/>
        </w:trPr>
        <w:tc>
          <w:tcPr>
            <w:tcW w:w="52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lang w:val="en-GB"/>
              </w:rPr>
              <w:t>15</w:t>
            </w:r>
          </w:p>
        </w:tc>
        <w:tc>
          <w:tcPr>
            <w:tcW w:w="7684"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 xml:space="preserve">Reinforce the link between health and food to address the increasing number of diseases linked to cardiometabolic and neurological systems, and to include among others personalised nutrition </w:t>
            </w:r>
          </w:p>
        </w:tc>
        <w:tc>
          <w:tcPr>
            <w:tcW w:w="1141"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 xml:space="preserve"> Q1 2027</w:t>
            </w:r>
          </w:p>
        </w:tc>
      </w:tr>
    </w:tbl>
    <w:p>
      <w:pPr>
        <w:spacing w:line="257" w:lineRule="auto"/>
        <w:jc w:val="both"/>
        <w:rPr>
          <w:rFonts w:ascii="Times New Roman" w:eastAsia="Aptos" w:hAnsi="Times New Roman" w:cs="Times New Roman"/>
          <w:b/>
          <w:noProof/>
          <w:sz w:val="14"/>
          <w:szCs w:val="14"/>
          <w:lang w:val="en-GB"/>
        </w:rPr>
      </w:pPr>
    </w:p>
    <w:p>
      <w:pPr>
        <w:spacing w:line="257" w:lineRule="auto"/>
        <w:jc w:val="both"/>
        <w:rPr>
          <w:rFonts w:ascii="Times New Roman" w:eastAsia="Aptos" w:hAnsi="Times New Roman" w:cs="Times New Roman"/>
          <w:b/>
          <w:noProof/>
          <w:sz w:val="24"/>
          <w:szCs w:val="24"/>
          <w:lang w:val="en-GB"/>
        </w:rPr>
      </w:pPr>
      <w:r>
        <w:rPr>
          <w:rFonts w:ascii="Times New Roman" w:eastAsia="Aptos" w:hAnsi="Times New Roman" w:cs="Times New Roman"/>
          <w:b/>
          <w:bCs/>
          <w:noProof/>
          <w:sz w:val="24"/>
          <w:szCs w:val="24"/>
          <w:lang w:val="en-GB"/>
        </w:rPr>
        <w:t>AgRI</w:t>
      </w:r>
      <w:r>
        <w:rPr>
          <w:rFonts w:ascii="Times New Roman" w:eastAsia="Aptos" w:hAnsi="Times New Roman" w:cs="Times New Roman"/>
          <w:b/>
          <w:noProof/>
          <w:sz w:val="24"/>
          <w:szCs w:val="24"/>
          <w:lang w:val="en-GB"/>
        </w:rPr>
        <w:t xml:space="preserve"> 2040: Identifying potential R&amp;I </w:t>
      </w:r>
      <w:r>
        <w:rPr>
          <w:rFonts w:ascii="Times New Roman" w:eastAsia="Aptos" w:hAnsi="Times New Roman" w:cs="Times New Roman"/>
          <w:b/>
          <w:bCs/>
          <w:noProof/>
          <w:sz w:val="24"/>
          <w:szCs w:val="24"/>
          <w:lang w:val="en-GB"/>
        </w:rPr>
        <w:t>needs</w:t>
      </w:r>
      <w:r>
        <w:rPr>
          <w:rFonts w:ascii="Times New Roman" w:eastAsia="Aptos" w:hAnsi="Times New Roman" w:cs="Times New Roman"/>
          <w:b/>
          <w:noProof/>
          <w:sz w:val="24"/>
          <w:szCs w:val="24"/>
          <w:lang w:val="en-GB"/>
        </w:rPr>
        <w:t xml:space="preserve"> for competitive, sustainable and resilient EU agriculture, forestry and rural areas</w:t>
      </w:r>
    </w:p>
    <w:tbl>
      <w:tblPr>
        <w:tblStyle w:val="TableGrid"/>
        <w:tblW w:w="9360" w:type="dxa"/>
        <w:tblLook w:val="04A0" w:firstRow="1" w:lastRow="0" w:firstColumn="1" w:lastColumn="0" w:noHBand="0" w:noVBand="1"/>
      </w:tblPr>
      <w:tblGrid>
        <w:gridCol w:w="531"/>
        <w:gridCol w:w="7643"/>
        <w:gridCol w:w="1186"/>
      </w:tblGrid>
      <w:tr>
        <w:trPr>
          <w:trHeight w:val="300"/>
          <w:tblHeader/>
        </w:trPr>
        <w:tc>
          <w:tcPr>
            <w:tcW w:w="531"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bCs/>
                <w:noProof/>
                <w:color w:val="000000" w:themeColor="text1"/>
                <w:sz w:val="24"/>
                <w:szCs w:val="24"/>
                <w:lang w:val="en-GB"/>
              </w:rPr>
            </w:pPr>
          </w:p>
        </w:tc>
        <w:tc>
          <w:tcPr>
            <w:tcW w:w="7643"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noProof/>
                <w:color w:val="000000" w:themeColor="text1"/>
                <w:sz w:val="24"/>
                <w:szCs w:val="24"/>
                <w:lang w:val="en-GB"/>
              </w:rPr>
            </w:pPr>
            <w:r>
              <w:rPr>
                <w:rFonts w:ascii="Times New Roman" w:eastAsia="Aptos" w:hAnsi="Times New Roman" w:cs="Times New Roman"/>
                <w:b/>
                <w:noProof/>
                <w:color w:val="000000" w:themeColor="text1"/>
                <w:sz w:val="24"/>
                <w:szCs w:val="24"/>
                <w:lang w:val="en-GB"/>
              </w:rPr>
              <w:t>Actions</w:t>
            </w:r>
          </w:p>
        </w:tc>
        <w:tc>
          <w:tcPr>
            <w:tcW w:w="1186"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noProof/>
                <w:color w:val="000000" w:themeColor="text1"/>
                <w:sz w:val="24"/>
                <w:szCs w:val="24"/>
                <w:lang w:val="en-GB"/>
              </w:rPr>
            </w:pPr>
            <w:r>
              <w:rPr>
                <w:rFonts w:ascii="Times New Roman" w:eastAsia="Aptos" w:hAnsi="Times New Roman" w:cs="Times New Roman"/>
                <w:b/>
                <w:bCs/>
                <w:noProof/>
                <w:color w:val="000000" w:themeColor="text1"/>
                <w:sz w:val="24"/>
                <w:szCs w:val="24"/>
                <w:lang w:val="en-GB"/>
              </w:rPr>
              <w:t>Starting from</w:t>
            </w:r>
          </w:p>
        </w:tc>
      </w:tr>
      <w:tr>
        <w:trPr>
          <w:trHeight w:val="300"/>
        </w:trPr>
        <w:tc>
          <w:tcPr>
            <w:tcW w:w="531"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16</w:t>
            </w:r>
          </w:p>
        </w:tc>
        <w:tc>
          <w:tcPr>
            <w:tcW w:w="7643"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 xml:space="preserve">Host the first AgRI 2040 conference to identify R&amp;I needs and </w:t>
            </w:r>
            <w:r>
              <w:rPr>
                <w:rFonts w:ascii="Times New Roman" w:eastAsia="Times New Roman" w:hAnsi="Times New Roman" w:cs="Times New Roman"/>
                <w:noProof/>
                <w:sz w:val="24"/>
                <w:szCs w:val="24"/>
                <w:lang w:val="en-IE"/>
              </w:rPr>
              <w:t>co-create the preliminary</w:t>
            </w:r>
            <w:r>
              <w:rPr>
                <w:rFonts w:ascii="Times New Roman" w:eastAsia="Times New Roman" w:hAnsi="Times New Roman" w:cs="Times New Roman"/>
                <w:b/>
                <w:bCs/>
                <w:noProof/>
                <w:sz w:val="24"/>
                <w:szCs w:val="24"/>
                <w:lang w:val="en-IE"/>
              </w:rPr>
              <w:t xml:space="preserve"> </w:t>
            </w:r>
            <w:r>
              <w:rPr>
                <w:rFonts w:ascii="Times New Roman" w:eastAsia="Times New Roman" w:hAnsi="Times New Roman" w:cs="Times New Roman"/>
                <w:noProof/>
                <w:sz w:val="24"/>
                <w:szCs w:val="24"/>
                <w:lang w:val="en-IE"/>
              </w:rPr>
              <w:t>areas of action with stakeholders</w:t>
            </w:r>
          </w:p>
        </w:tc>
        <w:tc>
          <w:tcPr>
            <w:tcW w:w="1186"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Q3 2026</w:t>
            </w:r>
          </w:p>
        </w:tc>
      </w:tr>
      <w:tr>
        <w:trPr>
          <w:trHeight w:val="300"/>
        </w:trPr>
        <w:tc>
          <w:tcPr>
            <w:tcW w:w="53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lang w:val="en-GB"/>
              </w:rPr>
              <w:t>17</w:t>
            </w:r>
          </w:p>
        </w:tc>
        <w:tc>
          <w:tcPr>
            <w:tcW w:w="7643"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 xml:space="preserve">Develop areas of action under AgRI 2040 with R&amp;I needs identified with stakeholders </w:t>
            </w:r>
          </w:p>
        </w:tc>
        <w:tc>
          <w:tcPr>
            <w:tcW w:w="1186"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Q4 2027</w:t>
            </w:r>
          </w:p>
        </w:tc>
      </w:tr>
    </w:tbl>
    <w:p>
      <w:pPr>
        <w:spacing w:line="257" w:lineRule="auto"/>
        <w:jc w:val="both"/>
        <w:rPr>
          <w:rFonts w:ascii="Times New Roman" w:eastAsia="Aptos" w:hAnsi="Times New Roman" w:cs="Times New Roman"/>
          <w:b/>
          <w:noProof/>
          <w:sz w:val="14"/>
          <w:szCs w:val="14"/>
          <w:lang w:val="en-GB"/>
        </w:rPr>
      </w:pPr>
    </w:p>
    <w:p>
      <w:pPr>
        <w:spacing w:line="257" w:lineRule="auto"/>
        <w:jc w:val="both"/>
        <w:rPr>
          <w:rFonts w:ascii="Times New Roman" w:eastAsia="Aptos" w:hAnsi="Times New Roman" w:cs="Times New Roman"/>
          <w:b/>
          <w:noProof/>
          <w:sz w:val="24"/>
          <w:szCs w:val="24"/>
          <w:lang w:val="en-GB"/>
        </w:rPr>
      </w:pPr>
      <w:r>
        <w:rPr>
          <w:rFonts w:ascii="Times New Roman" w:eastAsia="Aptos" w:hAnsi="Times New Roman" w:cs="Times New Roman"/>
          <w:b/>
          <w:noProof/>
          <w:sz w:val="24"/>
          <w:szCs w:val="24"/>
          <w:lang w:val="en-GB"/>
        </w:rPr>
        <w:t>Food 2040: Identifying potential R&amp;I needs for competitive, sustainable and resilient food systems</w:t>
      </w:r>
    </w:p>
    <w:tbl>
      <w:tblPr>
        <w:tblStyle w:val="TableGrid"/>
        <w:tblW w:w="9360" w:type="dxa"/>
        <w:tblLook w:val="04A0" w:firstRow="1" w:lastRow="0" w:firstColumn="1" w:lastColumn="0" w:noHBand="0" w:noVBand="1"/>
      </w:tblPr>
      <w:tblGrid>
        <w:gridCol w:w="551"/>
        <w:gridCol w:w="7562"/>
        <w:gridCol w:w="1247"/>
      </w:tblGrid>
      <w:tr>
        <w:trPr>
          <w:trHeight w:val="300"/>
        </w:trPr>
        <w:tc>
          <w:tcPr>
            <w:tcW w:w="551"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bCs/>
                <w:noProof/>
                <w:color w:val="000000" w:themeColor="text1"/>
                <w:sz w:val="24"/>
                <w:szCs w:val="24"/>
                <w:lang w:val="en-GB"/>
              </w:rPr>
            </w:pPr>
          </w:p>
        </w:tc>
        <w:tc>
          <w:tcPr>
            <w:tcW w:w="7562"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noProof/>
                <w:color w:val="000000" w:themeColor="text1"/>
                <w:sz w:val="24"/>
                <w:szCs w:val="24"/>
                <w:lang w:val="en-GB"/>
              </w:rPr>
            </w:pPr>
            <w:r>
              <w:rPr>
                <w:rFonts w:ascii="Times New Roman" w:eastAsia="Aptos" w:hAnsi="Times New Roman" w:cs="Times New Roman"/>
                <w:b/>
                <w:noProof/>
                <w:color w:val="000000" w:themeColor="text1"/>
                <w:sz w:val="24"/>
                <w:szCs w:val="24"/>
                <w:lang w:val="en-GB"/>
              </w:rPr>
              <w:t>Actions</w:t>
            </w:r>
          </w:p>
        </w:tc>
        <w:tc>
          <w:tcPr>
            <w:tcW w:w="1247"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pPr>
              <w:jc w:val="center"/>
              <w:rPr>
                <w:rFonts w:ascii="Times New Roman" w:eastAsia="Aptos" w:hAnsi="Times New Roman" w:cs="Times New Roman"/>
                <w:b/>
                <w:noProof/>
                <w:color w:val="000000" w:themeColor="text1"/>
                <w:sz w:val="24"/>
                <w:szCs w:val="24"/>
                <w:lang w:val="en-GB"/>
              </w:rPr>
            </w:pPr>
            <w:r>
              <w:rPr>
                <w:rFonts w:ascii="Times New Roman" w:eastAsia="Aptos" w:hAnsi="Times New Roman" w:cs="Times New Roman"/>
                <w:b/>
                <w:bCs/>
                <w:noProof/>
                <w:color w:val="000000" w:themeColor="text1"/>
                <w:sz w:val="24"/>
                <w:szCs w:val="24"/>
                <w:lang w:val="en-GB"/>
              </w:rPr>
              <w:t>Starting from</w:t>
            </w:r>
          </w:p>
        </w:tc>
      </w:tr>
      <w:tr>
        <w:trPr>
          <w:trHeight w:val="300"/>
        </w:trPr>
        <w:tc>
          <w:tcPr>
            <w:tcW w:w="55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lang w:val="en-GB"/>
              </w:rPr>
              <w:t>18</w:t>
            </w:r>
          </w:p>
        </w:tc>
        <w:tc>
          <w:tcPr>
            <w:tcW w:w="7562"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Develop R&amp;I activities on the six Food 2040 areas for action to achieve the priorities identified</w:t>
            </w:r>
          </w:p>
        </w:tc>
        <w:tc>
          <w:tcPr>
            <w:tcW w:w="1247"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Q3 2028</w:t>
            </w:r>
          </w:p>
        </w:tc>
      </w:tr>
      <w:tr>
        <w:trPr>
          <w:trHeight w:val="300"/>
        </w:trPr>
        <w:tc>
          <w:tcPr>
            <w:tcW w:w="55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rFonts w:ascii="Times New Roman" w:eastAsia="Aptos" w:hAnsi="Times New Roman" w:cs="Times New Roman"/>
                <w:noProof/>
                <w:sz w:val="24"/>
                <w:szCs w:val="24"/>
                <w:lang w:val="en-GB"/>
              </w:rPr>
              <w:t>19</w:t>
            </w:r>
          </w:p>
        </w:tc>
        <w:tc>
          <w:tcPr>
            <w:tcW w:w="7562"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Host the first Food 2040 high-level conference to bring the R&amp;I food systems community together</w:t>
            </w:r>
          </w:p>
        </w:tc>
        <w:tc>
          <w:tcPr>
            <w:tcW w:w="1247"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Q4 2028</w:t>
            </w:r>
          </w:p>
        </w:tc>
      </w:tr>
    </w:tbl>
    <w:p>
      <w:pPr>
        <w:spacing w:after="0" w:line="276" w:lineRule="auto"/>
        <w:jc w:val="both"/>
        <w:rPr>
          <w:rFonts w:ascii="Times New Roman" w:eastAsia="Times New Roman" w:hAnsi="Times New Roman" w:cs="Times New Roman"/>
          <w:noProof/>
          <w:sz w:val="24"/>
          <w:szCs w:val="24"/>
          <w:lang w:val="en-GB" w:eastAsia="en-IE"/>
        </w:rPr>
      </w:pPr>
    </w:p>
    <w:p>
      <w:pPr>
        <w:rPr>
          <w:noProof/>
        </w:rPr>
      </w:pPr>
    </w:p>
    <w:sectPr>
      <w:headerReference w:type="default" r:id="rId62"/>
      <w:footerReference w:type="default" r:id="rId6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022321990"/>
      <w:docPartObj>
        <w:docPartGallery w:val="Page Numbers (Bottom of Page)"/>
        <w:docPartUnique/>
      </w:docPartObj>
    </w:sdtPr>
    <w:sdtEndPr>
      <w:rPr>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jc w:val="cen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093191947"/>
      <w:docPartObj>
        <w:docPartGallery w:val="Page Numbers (Bottom of Page)"/>
        <w:docPartUnique/>
      </w:docPartObj>
    </w:sdtPr>
    <w:sdtEndPr>
      <w:rPr>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lang w:val="en-IE"/>
        </w:rPr>
      </w:pPr>
      <w:r>
        <w:rPr>
          <w:rStyle w:val="FootnoteReference"/>
        </w:rPr>
        <w:footnoteRef/>
      </w:r>
      <w:r>
        <w:t xml:space="preserve"> </w:t>
      </w:r>
      <w:r>
        <w:rPr>
          <w:lang w:val="en-IE"/>
        </w:rPr>
        <w:t>For the purpose of this Communication, the agri-food sector is understood in a broad sense, encompassing agriculture, forestry, food systems and rural areas.</w:t>
      </w:r>
    </w:p>
  </w:footnote>
  <w:footnote w:id="2">
    <w:p>
      <w:pPr>
        <w:pStyle w:val="FootnoteText"/>
      </w:pPr>
      <w:r>
        <w:rPr>
          <w:rStyle w:val="FootnoteReference"/>
        </w:rPr>
        <w:footnoteRef/>
      </w:r>
      <w:r>
        <w:t xml:space="preserve"> Eurostat, </w:t>
      </w:r>
      <w:r>
        <w:rPr>
          <w:i/>
          <w:iCs/>
        </w:rPr>
        <w:t>Key figures on the European food chain – 2025 edition</w:t>
      </w:r>
      <w:r>
        <w:t xml:space="preserve">, 12 December 2025,  </w:t>
      </w:r>
      <w:hyperlink r:id="rId1" w:history="1">
        <w:r>
          <w:rPr>
            <w:rStyle w:val="Hyperlink"/>
          </w:rPr>
          <w:t>https://ec.europa.eu/eurostat/web/products-key-figures/w/ks-01-25-049</w:t>
        </w:r>
      </w:hyperlink>
      <w:r>
        <w:fldChar w:fldCharType="begin"/>
      </w:r>
      <w:r>
        <w:instrText>￼￼</w:instrText>
      </w:r>
      <w:r>
        <w:rPr>
          <w:rStyle w:val="Hyperlink"/>
        </w:rPr>
        <w:instrText>Key figures on the European food chain – 2025 edition - Key figures - Eurostat</w:instrText>
      </w:r>
      <w:r>
        <w:fldChar w:fldCharType="end"/>
      </w:r>
      <w:r>
        <w:rPr>
          <w:color w:val="000000" w:themeColor="text1"/>
        </w:rPr>
        <w:t>.</w:t>
      </w:r>
    </w:p>
  </w:footnote>
  <w:footnote w:id="3">
    <w:p>
      <w:pPr>
        <w:pStyle w:val="FootnoteText"/>
        <w:rPr>
          <w:lang w:val="en-IE"/>
        </w:rPr>
      </w:pPr>
      <w:r>
        <w:rPr>
          <w:rStyle w:val="FootnoteReference"/>
        </w:rPr>
        <w:footnoteRef/>
      </w:r>
      <w:r>
        <w:t xml:space="preserve"> FoodDrinkEurope, </w:t>
      </w:r>
      <w:r>
        <w:rPr>
          <w:i/>
          <w:iCs/>
        </w:rPr>
        <w:t>Data &amp; Trends: EU Food and Drink Industry – 2026 Edition</w:t>
      </w:r>
      <w:r>
        <w:t xml:space="preserve">, 2026, </w:t>
      </w:r>
      <w:hyperlink r:id="rId2" w:history="1">
        <w:r>
          <w:rPr>
            <w:rStyle w:val="Hyperlink"/>
          </w:rPr>
          <w:t>https://www.fooddrinkeurope.eu/wp-content/uploads/2026/02/FoodDrinkEurope-Data-Trends-2026-report-digital.pdf</w:t>
        </w:r>
      </w:hyperlink>
      <w:r>
        <w:t xml:space="preserve">. </w:t>
      </w:r>
    </w:p>
  </w:footnote>
  <w:footnote w:id="4">
    <w:p>
      <w:pPr>
        <w:pStyle w:val="FootnoteText"/>
      </w:pPr>
      <w:r>
        <w:rPr>
          <w:rStyle w:val="FootnoteReference"/>
        </w:rPr>
        <w:footnoteRef/>
      </w:r>
      <w:r>
        <w:t xml:space="preserve"> </w:t>
      </w:r>
      <w:hyperlink r:id="rId3" w:history="1">
        <w:r>
          <w:rPr>
            <w:rStyle w:val="Hyperlink"/>
            <w:i/>
            <w:iCs/>
            <w:lang w:val="en-IE"/>
          </w:rPr>
          <w:t>Monitoring EU agri-food trade: Developments in 2025</w:t>
        </w:r>
      </w:hyperlink>
      <w:r>
        <w:rPr>
          <w:lang w:val="en-IE"/>
        </w:rPr>
        <w:t>, European Commission, 2026</w:t>
      </w:r>
      <w:r>
        <w:t xml:space="preserve">. The agri-food trade data only cover goods, and exclude fisheries, aquaculture and forestry. </w:t>
      </w:r>
      <w:r>
        <w:fldChar w:fldCharType="begin"/>
      </w:r>
      <w:r>
        <w:fldChar w:fldCharType="separate"/>
      </w:r>
      <w:r>
        <w:rPr>
          <w:rStyle w:val="Hyperlink"/>
        </w:rPr>
        <w:t>Overview of EU agri-food trade</w:t>
      </w:r>
      <w:r>
        <w:fldChar w:fldCharType="end"/>
      </w:r>
      <w:r>
        <w:t xml:space="preserve"> </w:t>
      </w:r>
    </w:p>
  </w:footnote>
  <w:footnote w:id="5">
    <w:p>
      <w:pPr>
        <w:pStyle w:val="FootnoteText"/>
      </w:pPr>
      <w:r>
        <w:rPr>
          <w:rStyle w:val="FootnoteReference"/>
        </w:rPr>
        <w:footnoteRef/>
      </w:r>
      <w:r>
        <w:t xml:space="preserve"> </w:t>
      </w:r>
      <w:r>
        <w:tab/>
      </w:r>
      <w:hyperlink r:id="rId4" w:history="1">
        <w:r>
          <w:rPr>
            <w:rStyle w:val="Hyperlink"/>
            <w:lang w:val="en-IE"/>
          </w:rPr>
          <w:t>COM/2025/75 final</w:t>
        </w:r>
      </w:hyperlink>
      <w:r>
        <w:t>.</w:t>
      </w:r>
    </w:p>
  </w:footnote>
  <w:footnote w:id="6">
    <w:p>
      <w:pPr>
        <w:pStyle w:val="FootnoteText"/>
        <w:rPr>
          <w:lang w:val="en-IE"/>
        </w:rPr>
      </w:pPr>
      <w:r>
        <w:rPr>
          <w:rStyle w:val="FootnoteReference"/>
        </w:rPr>
        <w:footnoteRef/>
      </w:r>
      <w:r>
        <w:t xml:space="preserve"> </w:t>
      </w:r>
      <w:r>
        <w:rPr>
          <w:lang w:val="en-IE"/>
        </w:rPr>
        <w:t xml:space="preserve">OECD, </w:t>
      </w:r>
      <w:r>
        <w:rPr>
          <w:i/>
          <w:iCs/>
          <w:lang w:val="en-IE"/>
        </w:rPr>
        <w:t>Agricultural Policy Monitoring and Evaluation 2024</w:t>
      </w:r>
      <w:r>
        <w:rPr>
          <w:lang w:val="en-IE"/>
        </w:rPr>
        <w:t xml:space="preserve">, 2024, Paris, </w:t>
      </w:r>
      <w:hyperlink r:id="rId5" w:history="1">
        <w:r>
          <w:rPr>
            <w:rStyle w:val="Hyperlink"/>
            <w:lang w:val="en-IE"/>
          </w:rPr>
          <w:t>https://www.oecd.org/en/publications/agricultural-policy-monitoring-and-evaluation-2024_74da57ed-en.html</w:t>
        </w:r>
      </w:hyperlink>
      <w:r>
        <w:rPr>
          <w:lang w:val="en-IE"/>
        </w:rPr>
        <w:t>.</w:t>
      </w:r>
    </w:p>
  </w:footnote>
  <w:footnote w:id="7">
    <w:p>
      <w:pPr>
        <w:pStyle w:val="FootnoteText"/>
        <w:rPr>
          <w:lang w:val="en-IE"/>
        </w:rPr>
      </w:pPr>
      <w:r>
        <w:rPr>
          <w:rStyle w:val="FootnoteReference"/>
        </w:rPr>
        <w:footnoteRef/>
      </w:r>
      <w:r>
        <w:t xml:space="preserve"> </w:t>
      </w:r>
      <w:r>
        <w:rPr>
          <w:lang w:val="en-IE"/>
        </w:rPr>
        <w:t xml:space="preserve">European Commission: Directorate-General for Agriculture and Rural Development, </w:t>
      </w:r>
      <w:r>
        <w:rPr>
          <w:i/>
          <w:iCs/>
          <w:lang w:val="en-IE"/>
        </w:rPr>
        <w:t>EU Agricultural Outlook 2025–2035</w:t>
      </w:r>
      <w:r>
        <w:rPr>
          <w:lang w:val="en-IE"/>
        </w:rPr>
        <w:t xml:space="preserve">, Publications Office of the European Union, Luxembourg, 2025, </w:t>
      </w:r>
      <w:hyperlink r:id="rId6" w:history="1">
        <w:r>
          <w:rPr>
            <w:rStyle w:val="Hyperlink"/>
            <w:lang w:val="en-IE"/>
          </w:rPr>
          <w:t>https://data.europa.eu/doi/10.2762/4491268</w:t>
        </w:r>
      </w:hyperlink>
      <w:r>
        <w:rPr>
          <w:lang w:val="en-IE"/>
        </w:rPr>
        <w:t xml:space="preserve">. </w:t>
      </w:r>
    </w:p>
  </w:footnote>
  <w:footnote w:id="8">
    <w:p>
      <w:pPr>
        <w:pStyle w:val="FootnoteText"/>
        <w:rPr>
          <w:lang w:val="en-IE"/>
        </w:rPr>
      </w:pPr>
      <w:r>
        <w:rPr>
          <w:rStyle w:val="FootnoteReference"/>
        </w:rPr>
        <w:footnoteRef/>
      </w:r>
      <w:r>
        <w:t xml:space="preserve"> </w:t>
      </w:r>
      <w:r>
        <w:rPr>
          <w:lang w:val="en-IE"/>
        </w:rPr>
        <w:t>AgFunder</w:t>
      </w:r>
      <w:r>
        <w:rPr>
          <w:i/>
          <w:iCs/>
          <w:lang w:val="en-IE"/>
        </w:rPr>
        <w:t>, Global Agrifoodtech Investment Report 2025</w:t>
      </w:r>
      <w:r>
        <w:rPr>
          <w:lang w:val="en-IE"/>
        </w:rPr>
        <w:t xml:space="preserve">, AgFunder, San Francisco, CA, 2025, </w:t>
      </w:r>
      <w:hyperlink r:id="rId7" w:history="1">
        <w:r>
          <w:rPr>
            <w:rStyle w:val="Hyperlink"/>
            <w:lang w:val="en-IE"/>
          </w:rPr>
          <w:t>https://agfunder.com/research/agfunder-global-agrifoodtech-investment-report-2025/</w:t>
        </w:r>
      </w:hyperlink>
      <w:r>
        <w:rPr>
          <w:lang w:val="en-IE"/>
        </w:rPr>
        <w:t>.</w:t>
      </w:r>
    </w:p>
  </w:footnote>
  <w:footnote w:id="9">
    <w:p>
      <w:pPr>
        <w:pStyle w:val="FootnoteText"/>
      </w:pPr>
      <w:r>
        <w:rPr>
          <w:rStyle w:val="FootnoteReference"/>
        </w:rPr>
        <w:footnoteRef/>
      </w:r>
      <w:r>
        <w:t xml:space="preserve"> Commission Staff Working Document: Analytical overview of the achievements of the 2016 strategic approach to agricultural R&amp;I and Food 2030 R&amp;I framework and insights from stakeholder consultation activities, accompanying this strategic approach.</w:t>
      </w:r>
    </w:p>
  </w:footnote>
  <w:footnote w:id="10">
    <w:p>
      <w:pPr>
        <w:pStyle w:val="FootnoteText"/>
      </w:pPr>
      <w:r>
        <w:rPr>
          <w:rStyle w:val="FootnoteReference"/>
        </w:rPr>
        <w:footnoteRef/>
      </w:r>
      <w:r>
        <w:t xml:space="preserve"> </w:t>
      </w:r>
      <w:r>
        <w:rPr>
          <w:color w:val="000000" w:themeColor="text1"/>
        </w:rPr>
        <w:t>European Commission, &amp; Heitor, M. (Ed.), </w:t>
      </w:r>
      <w:r>
        <w:rPr>
          <w:i/>
          <w:color w:val="000000" w:themeColor="text1"/>
        </w:rPr>
        <w:t>Align, act, accelerate: Research, technology and innovation to boost European competitiveness</w:t>
      </w:r>
      <w:r>
        <w:rPr>
          <w:color w:val="000000" w:themeColor="text1"/>
        </w:rPr>
        <w:t xml:space="preserve">, Publications Office of the European Union, Luxembourg, 2024, </w:t>
      </w:r>
      <w:hyperlink r:id="rId8" w:history="1">
        <w:r>
          <w:rPr>
            <w:rStyle w:val="Hyperlink"/>
          </w:rPr>
          <w:t>https://data.europa.eu/doi/10.2777/9106236</w:t>
        </w:r>
      </w:hyperlink>
      <w:r>
        <w:rPr>
          <w:color w:val="881798"/>
        </w:rPr>
        <w:t>.</w:t>
      </w:r>
    </w:p>
  </w:footnote>
  <w:footnote w:id="11">
    <w:p>
      <w:pPr>
        <w:pStyle w:val="FootnoteText"/>
        <w:rPr>
          <w:lang w:val="en-IE"/>
        </w:rPr>
      </w:pPr>
      <w:r>
        <w:rPr>
          <w:rStyle w:val="FootnoteReference"/>
        </w:rPr>
        <w:footnoteRef/>
      </w:r>
      <w:r>
        <w:t xml:space="preserve"> </w:t>
      </w:r>
      <w:r>
        <w:rPr>
          <w:lang w:val="en-IE"/>
        </w:rPr>
        <w:t xml:space="preserve">European Commission: European Innovation Council and SMEs Executive Agency, Technopolis Group, IDEA Consult, </w:t>
      </w:r>
      <w:r>
        <w:rPr>
          <w:i/>
          <w:iCs/>
          <w:lang w:val="en-IE"/>
        </w:rPr>
        <w:t>Monitoring industrial ecosystems – Agri-food – Analytical report – 2024 edition</w:t>
      </w:r>
      <w:r>
        <w:rPr>
          <w:lang w:val="en-IE"/>
        </w:rPr>
        <w:t xml:space="preserve">, Publications Office of the European Union, 2025, </w:t>
      </w:r>
      <w:hyperlink r:id="rId9" w:tgtFrame="_blank" w:history="1">
        <w:r>
          <w:rPr>
            <w:rStyle w:val="Hyperlink"/>
            <w:lang w:val="en-IE"/>
          </w:rPr>
          <w:t>https://data.europa.eu/doi/10.2826/4766674</w:t>
        </w:r>
      </w:hyperlink>
      <w:r>
        <w:rPr>
          <w:lang w:val="en-IE"/>
        </w:rPr>
        <w:t>.</w:t>
      </w:r>
    </w:p>
  </w:footnote>
  <w:footnote w:id="12">
    <w:p>
      <w:pPr>
        <w:pStyle w:val="FootnoteText"/>
      </w:pPr>
      <w:r>
        <w:rPr>
          <w:rStyle w:val="FootnoteReference"/>
        </w:rPr>
        <w:footnoteRef/>
      </w:r>
      <w:r>
        <w:t xml:space="preserve"> Although start-ups and scale-ups often qualify as SMEs within the meaning of the EU SME definition, they are treated as distinct categories in this Communication for analytical and policy purposes.</w:t>
      </w:r>
    </w:p>
  </w:footnote>
  <w:footnote w:id="13">
    <w:p>
      <w:pPr>
        <w:pStyle w:val="FootnoteText"/>
      </w:pPr>
      <w:r>
        <w:rPr>
          <w:rStyle w:val="FootnoteReference"/>
        </w:rPr>
        <w:footnoteRef/>
      </w:r>
      <w:r>
        <w:t xml:space="preserve"> Commission Staff Working Document: Analytical overview of the achievements of the 2016 strategic approach to agricultural R&amp;I and Food 2030 R&amp;I framework and insights from stakeholder consultation activities, accompanying this strategic approach.</w:t>
      </w:r>
    </w:p>
  </w:footnote>
  <w:footnote w:id="14">
    <w:p>
      <w:pPr>
        <w:pStyle w:val="FootnoteText"/>
      </w:pPr>
      <w:r>
        <w:rPr>
          <w:rStyle w:val="FootnoteReference"/>
        </w:rPr>
        <w:footnoteRef/>
      </w:r>
      <w:r>
        <w:t xml:space="preserve">  EU Funding and Tenders Portal, </w:t>
      </w:r>
      <w:hyperlink r:id="rId10" w:history="1">
        <w:r>
          <w:rPr>
            <w:rStyle w:val="Hyperlink"/>
            <w:lang w:val="en-IE"/>
          </w:rPr>
          <w:t>Financial Support for Third Parties (FSTP)</w:t>
        </w:r>
      </w:hyperlink>
      <w:r>
        <w:t>.</w:t>
      </w:r>
    </w:p>
  </w:footnote>
  <w:footnote w:id="15">
    <w:p>
      <w:pPr>
        <w:pStyle w:val="FootnoteText"/>
      </w:pPr>
      <w:r>
        <w:rPr>
          <w:rStyle w:val="FootnoteReference"/>
        </w:rPr>
        <w:footnoteRef/>
      </w:r>
      <w:r>
        <w:t xml:space="preserve"> Technology maturity is usually assessed using the Technology Readiness Levels (TRL) scale, which indicates how far a technology has progressed from early research to deployment. TRLs are defined in accordance with the </w:t>
      </w:r>
      <w:hyperlink r:id="rId11" w:history="1">
        <w:r>
          <w:rPr>
            <w:rStyle w:val="Hyperlink"/>
            <w:i/>
            <w:iCs/>
          </w:rPr>
          <w:t>Horizon Europe Programme Guide</w:t>
        </w:r>
      </w:hyperlink>
      <w:r>
        <w:t xml:space="preserve"> (European Commission, 2025). </w:t>
      </w:r>
    </w:p>
  </w:footnote>
  <w:footnote w:id="16">
    <w:p>
      <w:pPr>
        <w:pStyle w:val="FootnoteText"/>
      </w:pPr>
      <w:r>
        <w:rPr>
          <w:rStyle w:val="FootnoteReference"/>
        </w:rPr>
        <w:footnoteRef/>
      </w:r>
      <w:r>
        <w:t xml:space="preserve"> A structured, document-based framework mapping and linking available funding instruments and support measures across stages (TRLs), guiding innovations from research to market deployment and scale-up, and helping SMEs and startups identify and access relevant financing opportunities.</w:t>
      </w:r>
    </w:p>
  </w:footnote>
  <w:footnote w:id="17">
    <w:p>
      <w:pPr>
        <w:pStyle w:val="FootnoteText"/>
      </w:pPr>
      <w:r>
        <w:rPr>
          <w:rStyle w:val="FootnoteReference"/>
        </w:rPr>
        <w:footnoteRef/>
      </w:r>
      <w:r>
        <w:t xml:space="preserve"> Innovation vouchers are small, flexible grants for innovation actors to access external business creation and acceleration support services, helping transform promising ideas into viable, market-ready businesses.</w:t>
      </w:r>
    </w:p>
  </w:footnote>
  <w:footnote w:id="18">
    <w:p>
      <w:pPr>
        <w:pStyle w:val="FootnoteText"/>
        <w:rPr>
          <w:lang w:val="en-IE"/>
        </w:rPr>
      </w:pPr>
      <w:r>
        <w:rPr>
          <w:rStyle w:val="FootnoteReference"/>
        </w:rPr>
        <w:footnoteRef/>
      </w:r>
      <w:r>
        <w:t xml:space="preserve"> Living Labs are user-centered place-based and transdisciplinary research and innovation ecosystems, involving relevant partners in systemic research and codesign, testing, monitoring and evaluation of solutions in real life settings. LLs have been </w:t>
      </w:r>
      <w:r>
        <w:rPr>
          <w:lang w:val="en-IE"/>
        </w:rPr>
        <w:t xml:space="preserve">established </w:t>
      </w:r>
      <w:r>
        <w:t xml:space="preserve">under initiatives like the </w:t>
      </w:r>
      <w:hyperlink r:id="rId12">
        <w:r>
          <w:rPr>
            <w:rStyle w:val="Hyperlink"/>
          </w:rPr>
          <w:t>Mission Soil</w:t>
        </w:r>
      </w:hyperlink>
      <w:r>
        <w:t xml:space="preserve">, the </w:t>
      </w:r>
      <w:hyperlink r:id="rId13">
        <w:r>
          <w:rPr>
            <w:rStyle w:val="Hyperlink"/>
          </w:rPr>
          <w:t>Partnership on Agroecology,</w:t>
        </w:r>
      </w:hyperlink>
      <w:r>
        <w:t xml:space="preserve"> and other Horizon Europe-funded actions.</w:t>
      </w:r>
    </w:p>
  </w:footnote>
  <w:footnote w:id="19">
    <w:p>
      <w:pPr>
        <w:pStyle w:val="FootnoteText"/>
      </w:pPr>
      <w:r>
        <w:rPr>
          <w:rStyle w:val="FootnoteReference"/>
        </w:rPr>
        <w:footnoteRef/>
      </w:r>
      <w:r>
        <w:t xml:space="preserve"> In </w:t>
      </w:r>
      <w:hyperlink r:id="rId14" w:history="1">
        <w:r>
          <w:rPr>
            <w:rStyle w:val="Hyperlink"/>
          </w:rPr>
          <w:t>COM/2025/1022 final</w:t>
        </w:r>
      </w:hyperlink>
      <w:r>
        <w:t xml:space="preserve"> the Commission has put forward in the context of its proposal for European Biotech Act a set of targeted amendments to the General Food Law Regulation setting out the conditions under which regulatory sandboxes can be set up in the context of the food chain.</w:t>
      </w:r>
    </w:p>
  </w:footnote>
  <w:footnote w:id="20">
    <w:p>
      <w:pPr>
        <w:pStyle w:val="FootnoteText"/>
        <w:rPr>
          <w:lang w:val="en-IE"/>
        </w:rPr>
      </w:pPr>
      <w:r>
        <w:rPr>
          <w:rStyle w:val="FootnoteReference"/>
        </w:rPr>
        <w:footnoteRef/>
      </w:r>
      <w:r>
        <w:t xml:space="preserve"> European Commission: Directorate-General for Research and Innovation, “</w:t>
      </w:r>
      <w:r>
        <w:rPr>
          <w:lang w:val="en-IE"/>
        </w:rPr>
        <w:t xml:space="preserve">Public consultation on Joint Undertakings, Art. 185 initiatives, and thematic priorities for European Partnerships under Horizon Europe 28-34”, 10 July 2026, </w:t>
      </w:r>
      <w:hyperlink r:id="rId15" w:history="1">
        <w:r>
          <w:rPr>
            <w:rStyle w:val="Hyperlink"/>
            <w:lang w:val="en-IE"/>
          </w:rPr>
          <w:t>https://research-and-innovation.ec.europa.eu/news/all-research-and-innovation-news/public-consultation-joint-undertakings-art-185-initiatives-and-thematic-priorities-european-2026-07-10_en</w:t>
        </w:r>
      </w:hyperlink>
      <w:r>
        <w:rPr>
          <w:lang w:val="en-IE"/>
        </w:rPr>
        <w:t xml:space="preserve">.  </w:t>
      </w:r>
    </w:p>
  </w:footnote>
  <w:footnote w:id="21">
    <w:p>
      <w:pPr>
        <w:pStyle w:val="FootnoteText"/>
        <w:rPr>
          <w:lang w:val="en-IE"/>
        </w:rPr>
      </w:pPr>
      <w:r>
        <w:rPr>
          <w:rStyle w:val="FootnoteReference"/>
        </w:rPr>
        <w:footnoteRef/>
      </w:r>
      <w:r>
        <w:t xml:space="preserve"> </w:t>
      </w:r>
      <w:r>
        <w:rPr>
          <w:rFonts w:eastAsia="Calibri"/>
          <w:lang w:val="en-IE"/>
        </w:rPr>
        <w:t xml:space="preserve">European Commission: Directorate-General for Agriculture and Rural Development, </w:t>
      </w:r>
      <w:r>
        <w:rPr>
          <w:rFonts w:eastAsia="Calibri"/>
          <w:i/>
          <w:iCs/>
          <w:lang w:val="en-IE"/>
        </w:rPr>
        <w:t>Future-proofing EU agri-food through research and innovation – Summary of results of the open consultation</w:t>
      </w:r>
      <w:r>
        <w:rPr>
          <w:rFonts w:eastAsia="Calibri"/>
          <w:lang w:val="en-IE"/>
        </w:rPr>
        <w:t xml:space="preserve">, Publications Office of the European Union, Luxembourg, 2026, </w:t>
      </w:r>
      <w:hyperlink r:id="rId16">
        <w:r>
          <w:rPr>
            <w:rStyle w:val="Hyperlink"/>
            <w:rFonts w:eastAsia="Calibri"/>
            <w:lang w:val="en-IE"/>
          </w:rPr>
          <w:t>https://data.europa.eu/doi/10.2762/2404939</w:t>
        </w:r>
      </w:hyperlink>
      <w:r>
        <w:rPr>
          <w:rFonts w:eastAsia="Calibri"/>
          <w:lang w:val="en-IE"/>
        </w:rPr>
        <w:t>.</w:t>
      </w:r>
    </w:p>
  </w:footnote>
  <w:footnote w:id="22">
    <w:p>
      <w:pPr>
        <w:pStyle w:val="FootnoteText"/>
        <w:rPr>
          <w:rFonts w:eastAsia="Calibri"/>
        </w:rPr>
      </w:pPr>
      <w:r>
        <w:rPr>
          <w:rStyle w:val="FootnoteReference"/>
        </w:rPr>
        <w:footnoteRef/>
      </w:r>
      <w:r>
        <w:rPr>
          <w:rFonts w:eastAsia="Calibri"/>
        </w:rPr>
        <w:t xml:space="preserve"> European Commission: Directorate-General for Agriculture and Rural Development – Unit A.3, </w:t>
      </w:r>
      <w:r>
        <w:rPr>
          <w:rFonts w:eastAsia="Calibri"/>
          <w:i/>
          <w:iCs/>
        </w:rPr>
        <w:t>Study on outcomes achieved by EIP-AGRI Operational Group projects under the CAP,</w:t>
      </w:r>
      <w:r>
        <w:rPr>
          <w:rFonts w:eastAsia="Calibri"/>
        </w:rPr>
        <w:t xml:space="preserve"> EU CAP Network, 2024, </w:t>
      </w:r>
      <w:hyperlink r:id="rId17" w:history="1">
        <w:r>
          <w:rPr>
            <w:rStyle w:val="Hyperlink"/>
            <w:rFonts w:eastAsia="Calibri"/>
          </w:rPr>
          <w:t>https://eu-cap-network.ec.europa.eu/publications/study-outcomes-achieved-eip-agri-operational-group-projects-under-cap_en</w:t>
        </w:r>
      </w:hyperlink>
      <w:r>
        <w:rPr>
          <w:rFonts w:eastAsia="Calibri"/>
        </w:rPr>
        <w:t>.</w:t>
      </w:r>
    </w:p>
  </w:footnote>
  <w:footnote w:id="23">
    <w:p>
      <w:pPr>
        <w:pStyle w:val="FootnoteText"/>
        <w:rPr>
          <w:color w:val="000000" w:themeColor="text1"/>
          <w:sz w:val="24"/>
          <w:szCs w:val="24"/>
          <w:lang w:val="en-GB"/>
        </w:rPr>
      </w:pPr>
      <w:r>
        <w:rPr>
          <w:rStyle w:val="FootnoteReference"/>
        </w:rPr>
        <w:footnoteRef/>
      </w:r>
      <w:r>
        <w:t xml:space="preserve"> </w:t>
      </w:r>
      <w:r>
        <w:rPr>
          <w:color w:val="000000" w:themeColor="text1"/>
          <w:lang w:val="en-GB"/>
        </w:rPr>
        <w:t>The multi-actor approach is a form of interactive, transdisciplinary and responsible R&amp;I that aims to make the R&amp;I process more co-creative and inclusive by actively involving relevant actors throughout the research project to make outcomes more co-owned, reliable, demand-driven and relevant to society.</w:t>
      </w:r>
    </w:p>
  </w:footnote>
  <w:footnote w:id="24">
    <w:p>
      <w:pPr>
        <w:pStyle w:val="FootnoteText"/>
      </w:pPr>
      <w:r>
        <w:rPr>
          <w:rStyle w:val="FootnoteReference"/>
        </w:rPr>
        <w:footnoteRef/>
      </w:r>
      <w:r>
        <w:t xml:space="preserve"> </w:t>
      </w:r>
      <w:r>
        <w:rPr>
          <w:rFonts w:ascii="Aptos" w:eastAsia="Aptos" w:hAnsi="Aptos" w:cs="Aptos"/>
        </w:rPr>
        <w:t xml:space="preserve"> </w:t>
      </w:r>
      <w:r>
        <w:rPr>
          <w:rFonts w:eastAsia="Aptos"/>
        </w:rPr>
        <w:t>Commission Staff Working Document: Analytical overview of the achievements of the 2016 strategic approach to agricultural R&amp;I and Food 2030 R&amp;I framework and insights from stakeholder consultation activities, accompanying this strategic approach.</w:t>
      </w:r>
    </w:p>
  </w:footnote>
  <w:footnote w:id="25">
    <w:p>
      <w:pPr>
        <w:pStyle w:val="FootnoteText"/>
      </w:pPr>
      <w:r>
        <w:rPr>
          <w:rStyle w:val="FootnoteReference"/>
        </w:rPr>
        <w:footnoteRef/>
      </w:r>
      <w:r>
        <w:t xml:space="preserve"> EU Thematic Knowledge Hubs, as promoted and defined in Horizon Europe Cluster 6 – Work Programme 2026-2027 (</w:t>
      </w:r>
      <w:hyperlink r:id="rId18" w:history="1">
        <w:r>
          <w:rPr>
            <w:rStyle w:val="Hyperlink"/>
          </w:rPr>
          <w:t>C/2025/8493 final</w:t>
        </w:r>
      </w:hyperlink>
      <w:r>
        <w:t xml:space="preserve">), will be projects designed to act as central sources of thematic knowledge.  They should facilitate access to thematic research findings, innovative solutions, and best practices, empowering advisors with cutting-edge knowledge and providing ample opportunities of collaboration and cross-fertilization amongst the different AKIS actors. </w:t>
      </w:r>
    </w:p>
  </w:footnote>
  <w:footnote w:id="26">
    <w:p>
      <w:pPr>
        <w:pStyle w:val="FootnoteText"/>
      </w:pPr>
      <w:r>
        <w:rPr>
          <w:rStyle w:val="FootnoteReference"/>
        </w:rPr>
        <w:footnoteRef/>
      </w:r>
      <w:r>
        <w:rPr>
          <w:b/>
          <w:bCs/>
        </w:rPr>
        <w:t xml:space="preserve"> </w:t>
      </w:r>
      <w:r>
        <w:t xml:space="preserve">European Commission: Directorate-General for Agriculture and Rural Development, </w:t>
      </w:r>
      <w:r>
        <w:rPr>
          <w:i/>
          <w:iCs/>
        </w:rPr>
        <w:t xml:space="preserve">Non-paper </w:t>
      </w:r>
      <w:r>
        <w:t>‘</w:t>
      </w:r>
      <w:r>
        <w:rPr>
          <w:i/>
          <w:iCs/>
        </w:rPr>
        <w:t>Exploring potential synergies between Horizon Europe projects using Living Labs and Lighthouses applied to agriculture, the Common Agricultural Policy EIP-AGRI Operational Group projects and other similar initiatives: the Mission Soil example</w:t>
      </w:r>
      <w:r>
        <w:t xml:space="preserve">’, 2026, </w:t>
      </w:r>
      <w:hyperlink r:id="rId19" w:history="1">
        <w:r>
          <w:rPr>
            <w:rStyle w:val="Hyperlink"/>
          </w:rPr>
          <w:t>https://mission-soil-platform.ec.europa.eu/resource-library/non-paper-lls-and-ogs-synergies</w:t>
        </w:r>
      </w:hyperlink>
      <w:r>
        <w:t>.</w:t>
      </w:r>
    </w:p>
  </w:footnote>
  <w:footnote w:id="27">
    <w:p>
      <w:pPr>
        <w:pStyle w:val="FootnoteText"/>
      </w:pPr>
      <w:r>
        <w:rPr>
          <w:rStyle w:val="FootnoteReference"/>
        </w:rPr>
        <w:footnoteRef/>
      </w:r>
      <w:r>
        <w:t xml:space="preserve"> </w:t>
      </w:r>
      <w:hyperlink r:id="rId20" w:anchor="TEF-Projects">
        <w:r>
          <w:rPr>
            <w:rStyle w:val="Hyperlink"/>
          </w:rPr>
          <w:t xml:space="preserve">Sectorial AI Testing and Experimentation Facilities under the Digital Europe Programme </w:t>
        </w:r>
      </w:hyperlink>
      <w:r>
        <w:t xml:space="preserve">such as the </w:t>
      </w:r>
      <w:hyperlink r:id="rId21">
        <w:r>
          <w:rPr>
            <w:rStyle w:val="Hyperlink"/>
          </w:rPr>
          <w:t>agrifoodTEF</w:t>
        </w:r>
      </w:hyperlink>
      <w:r>
        <w:t>.</w:t>
      </w:r>
    </w:p>
  </w:footnote>
  <w:footnote w:id="28">
    <w:p>
      <w:pPr>
        <w:pStyle w:val="FootnoteText"/>
        <w:rPr>
          <w:lang w:val="en-GB"/>
        </w:rPr>
      </w:pPr>
      <w:r>
        <w:rPr>
          <w:rStyle w:val="FootnoteReference"/>
        </w:rPr>
        <w:footnoteRef/>
      </w:r>
      <w:r>
        <w:t xml:space="preserve"> Practice abstracts are short, practitioner-oriented summaries designed </w:t>
      </w:r>
      <w:r>
        <w:rPr>
          <w:lang w:val="en-GB"/>
        </w:rPr>
        <w:t>to pass on practical knowledge from Multi-Actor Approach projects and EIP AGRI Operational Groups to users.</w:t>
      </w:r>
    </w:p>
  </w:footnote>
  <w:footnote w:id="29">
    <w:p>
      <w:pPr>
        <w:pStyle w:val="FootnoteText"/>
      </w:pPr>
      <w:r>
        <w:rPr>
          <w:rStyle w:val="FootnoteReference"/>
        </w:rPr>
        <w:footnoteRef/>
      </w:r>
      <w:r>
        <w:t xml:space="preserve"> OECD, </w:t>
      </w:r>
      <w:r>
        <w:rPr>
          <w:i/>
          <w:iCs/>
        </w:rPr>
        <w:t xml:space="preserve">Policies for the Future of Farming and Food in the European Union, </w:t>
      </w:r>
      <w:r>
        <w:t xml:space="preserve">OECD Agriculture and Food Policy Reviews, OECD Publishing, Paris, 2023 </w:t>
      </w:r>
      <w:hyperlink r:id="rId22" w:history="1">
        <w:r>
          <w:rPr>
            <w:rStyle w:val="Hyperlink"/>
          </w:rPr>
          <w:t>https://doi.org/10.1787/32810cf6-en</w:t>
        </w:r>
      </w:hyperlink>
      <w:r>
        <w:t>.</w:t>
      </w:r>
    </w:p>
  </w:footnote>
  <w:footnote w:id="30">
    <w:p>
      <w:pPr>
        <w:pStyle w:val="FootnoteText"/>
      </w:pPr>
      <w:r>
        <w:rPr>
          <w:rStyle w:val="FootnoteReference"/>
        </w:rPr>
        <w:footnoteRef/>
      </w:r>
      <w:r>
        <w:t xml:space="preserve"> The second valley of death occurs </w:t>
      </w:r>
      <w:r>
        <w:rPr>
          <w:color w:val="000000" w:themeColor="text1"/>
          <w:lang w:val="en-IE"/>
        </w:rPr>
        <w:t>from pilot/demo to market scale.</w:t>
      </w:r>
    </w:p>
  </w:footnote>
  <w:footnote w:id="31">
    <w:p>
      <w:pPr>
        <w:pStyle w:val="FootnoteText"/>
        <w:rPr>
          <w:lang w:val="en-IE"/>
        </w:rPr>
      </w:pPr>
      <w:r>
        <w:rPr>
          <w:rStyle w:val="FootnoteReference"/>
        </w:rPr>
        <w:footnoteRef/>
      </w:r>
      <w:r>
        <w:t xml:space="preserve"> European Investment Bank, </w:t>
      </w:r>
      <w:r>
        <w:rPr>
          <w:i/>
          <w:iCs/>
        </w:rPr>
        <w:t>Feeding future generations – How finance can boost innovation in agri-food</w:t>
      </w:r>
      <w:r>
        <w:t xml:space="preserve">, Publications Office of the European Union, Luxembourg, 2019, </w:t>
      </w:r>
      <w:hyperlink r:id="rId23" w:history="1">
        <w:r>
          <w:rPr>
            <w:rStyle w:val="Hyperlink"/>
          </w:rPr>
          <w:t>https://data.europa.eu/doi/10.2867/008109</w:t>
        </w:r>
      </w:hyperlink>
      <w:r>
        <w:t>.</w:t>
      </w:r>
    </w:p>
  </w:footnote>
  <w:footnote w:id="32">
    <w:p>
      <w:pPr>
        <w:pStyle w:val="FootnoteText"/>
        <w:rPr>
          <w:lang w:val="en-IE"/>
        </w:rPr>
      </w:pPr>
      <w:r>
        <w:rPr>
          <w:rStyle w:val="FootnoteReference"/>
        </w:rPr>
        <w:footnoteRef/>
      </w:r>
      <w:r>
        <w:t xml:space="preserve"> </w:t>
      </w:r>
      <w:r>
        <w:rPr>
          <w:lang w:val="en-IE"/>
        </w:rPr>
        <w:t>These technologies include biorefineries and advanced fermentation using yeasts, algae, bacteria and other microorganisms.</w:t>
      </w:r>
    </w:p>
  </w:footnote>
  <w:footnote w:id="33">
    <w:p>
      <w:pPr>
        <w:pStyle w:val="FootnoteText"/>
      </w:pPr>
      <w:r>
        <w:rPr>
          <w:rStyle w:val="FootnoteReference"/>
        </w:rPr>
        <w:footnoteRef/>
      </w:r>
      <w:r>
        <w:t xml:space="preserve"> Communication from the Commission to the European Parliament, the Council, the European Economic and Social Committee and the Committee of the Regions on an EU cardiovascular health plan: the Safe Hearts Plan, </w:t>
      </w:r>
      <w:hyperlink r:id="rId24" w:history="1">
        <w:r>
          <w:rPr>
            <w:rStyle w:val="Hyperlink"/>
          </w:rPr>
          <w:t>COM/2025/1024 final</w:t>
        </w:r>
      </w:hyperlink>
      <w:r>
        <w:t>.</w:t>
      </w:r>
    </w:p>
  </w:footnote>
  <w:footnote w:id="34">
    <w:p>
      <w:pPr>
        <w:pStyle w:val="FootnoteText"/>
      </w:pPr>
      <w:r>
        <w:rPr>
          <w:rStyle w:val="FootnoteReference"/>
        </w:rPr>
        <w:footnoteRef/>
      </w:r>
      <w:r>
        <w:t xml:space="preserve"> Food chain integrity refers to: authenticity, traceability, transparency and the prevention and detection of food fraud. It supports a level playing field for compliant operators while enhancing consumer trust and resilient food supply chain.</w:t>
      </w:r>
    </w:p>
  </w:footnote>
  <w:footnote w:id="35">
    <w:p>
      <w:pPr>
        <w:pStyle w:val="FootnoteText"/>
        <w:rPr>
          <w:lang w:val="en-IE"/>
        </w:rPr>
      </w:pPr>
      <w:r>
        <w:rPr>
          <w:rStyle w:val="FootnoteReference"/>
        </w:rPr>
        <w:footnoteRef/>
      </w:r>
      <w:r>
        <w:t xml:space="preserve"> Communication from the Commission to the European Parliament, the Council, the European Economic and Social Committee and the Committee of the Regions on a new approach for a sustainable blue economy in the EU Transforming the EU's Blue Economy for a Sustainable Future, </w:t>
      </w:r>
      <w:hyperlink r:id="rId25" w:history="1">
        <w:r>
          <w:rPr>
            <w:rStyle w:val="Hyperlink"/>
          </w:rPr>
          <w:t>COM/2021/240 final</w:t>
        </w:r>
      </w:hyperlink>
      <w:r>
        <w:rPr>
          <w:lang w:val="en-IE"/>
        </w:rPr>
        <w:t>.</w:t>
      </w:r>
    </w:p>
  </w:footnote>
  <w:footnote w:id="36">
    <w:p>
      <w:pPr>
        <w:pStyle w:val="FootnoteText"/>
      </w:pPr>
      <w:r>
        <w:rPr>
          <w:rStyle w:val="FootnoteReference"/>
        </w:rPr>
        <w:footnoteRef/>
      </w:r>
      <w:r>
        <w:t xml:space="preserve"> Council Recommendation on stepping up EU actions to combat antimicrobial resistance in a One Health approach 2023/C 220/01, </w:t>
      </w:r>
      <w:hyperlink r:id="rId26" w:history="1">
        <w:r>
          <w:rPr>
            <w:rStyle w:val="Hyperlink"/>
          </w:rPr>
          <w:t>ST/9581/2023/INIT</w:t>
        </w:r>
      </w:hyperlink>
      <w:r>
        <w:t>.</w:t>
      </w:r>
    </w:p>
  </w:footnote>
  <w:footnote w:id="37">
    <w:p>
      <w:pPr>
        <w:pStyle w:val="FootnoteText"/>
      </w:pPr>
      <w:r>
        <w:rPr>
          <w:rStyle w:val="FootnoteReference"/>
        </w:rPr>
        <w:footnoteRef/>
      </w:r>
      <w:r>
        <w:t xml:space="preserve"> European Commission: Joint Research Centre, </w:t>
      </w:r>
      <w:r>
        <w:rPr>
          <w:i/>
          <w:iCs/>
        </w:rPr>
        <w:t>Emerging biotechnologies in Europe – Foresight for policy</w:t>
      </w:r>
      <w:r>
        <w:t xml:space="preserve">, Publications Office of the European Union, Luxembourg, 2024, </w:t>
      </w:r>
      <w:hyperlink r:id="rId27" w:history="1">
        <w:r>
          <w:rPr>
            <w:rStyle w:val="Hyperlink"/>
          </w:rPr>
          <w:t>https://data.europa.eu/doi/10.2760/4814109</w:t>
        </w:r>
      </w:hyperlink>
      <w:r>
        <w:t>.</w:t>
      </w:r>
    </w:p>
  </w:footnote>
  <w:footnote w:id="38">
    <w:p>
      <w:pPr>
        <w:pStyle w:val="FootnoteText"/>
        <w:rPr>
          <w:lang w:val="en-IE"/>
        </w:rPr>
      </w:pPr>
      <w:r>
        <w:rPr>
          <w:rStyle w:val="FootnoteReference"/>
        </w:rPr>
        <w:footnoteRef/>
      </w:r>
      <w:r>
        <w:t xml:space="preserve"> The proposed Regulation for the European Competitiveness Fund (</w:t>
      </w:r>
      <w:hyperlink r:id="rId28" w:history="1">
        <w:r>
          <w:rPr>
            <w:rStyle w:val="Hyperlink"/>
          </w:rPr>
          <w:t>COM/2025/555 final</w:t>
        </w:r>
      </w:hyperlink>
      <w:r>
        <w:t>, Art. 14) states that the Observatory should “inform the ECF Strategic Stakeholder Board”, by identifying investment opportunities across different technology areas.</w:t>
      </w:r>
    </w:p>
  </w:footnote>
  <w:footnote w:id="39">
    <w:p>
      <w:pPr>
        <w:pStyle w:val="FootnoteText"/>
        <w:rPr>
          <w:rFonts w:eastAsiaTheme="minorEastAsia"/>
        </w:rPr>
      </w:pPr>
      <w:r>
        <w:rPr>
          <w:rStyle w:val="FootnoteReference"/>
        </w:rPr>
        <w:footnoteRef/>
      </w:r>
      <w:r>
        <w:t xml:space="preserve"> </w:t>
      </w:r>
      <w:r>
        <w:rPr>
          <w:rFonts w:eastAsiaTheme="minorEastAsia"/>
          <w:color w:val="00002E"/>
        </w:rPr>
        <w:t xml:space="preserve">Notably, the </w:t>
      </w:r>
      <w:hyperlink r:id="rId29" w:history="1">
        <w:r>
          <w:rPr>
            <w:rStyle w:val="Hyperlink"/>
            <w:rFonts w:eastAsiaTheme="minorEastAsia"/>
          </w:rPr>
          <w:t>Horizon Europe Partnership of Agriculture of Data</w:t>
        </w:r>
      </w:hyperlink>
      <w:r>
        <w:rPr>
          <w:rFonts w:eastAsiaTheme="minorEastAsia"/>
        </w:rPr>
        <w:t>.</w:t>
      </w:r>
    </w:p>
  </w:footnote>
  <w:footnote w:id="40">
    <w:p>
      <w:pPr>
        <w:pStyle w:val="FootnoteText"/>
        <w:rPr>
          <w:lang w:val="en-IE"/>
        </w:rPr>
      </w:pPr>
      <w:r>
        <w:rPr>
          <w:rStyle w:val="FootnoteReference"/>
        </w:rPr>
        <w:footnoteRef/>
      </w:r>
      <w:r>
        <w:t xml:space="preserve"> </w:t>
      </w:r>
      <w:r>
        <w:rPr>
          <w:lang w:val="en-IE"/>
        </w:rPr>
        <w:t xml:space="preserve">European Commission: Directorate-General for Research and Innovation, </w:t>
      </w:r>
      <w:r>
        <w:rPr>
          <w:i/>
          <w:lang w:val="en-IE"/>
        </w:rPr>
        <w:t>Urban food system transformation in the context of Food 2030</w:t>
      </w:r>
      <w:r>
        <w:rPr>
          <w:i/>
          <w:iCs/>
          <w:lang w:val="en-IE"/>
        </w:rPr>
        <w:t> – Current practice &amp; outlook towards 2030</w:t>
      </w:r>
      <w:r>
        <w:rPr>
          <w:lang w:val="en-IE"/>
        </w:rPr>
        <w:t xml:space="preserve">, Publications Office of the European Union, 2023, </w:t>
      </w:r>
      <w:hyperlink r:id="rId30" w:tgtFrame="_blank" w:history="1">
        <w:r>
          <w:rPr>
            <w:rStyle w:val="Hyperlink"/>
            <w:lang w:val="en-IE"/>
          </w:rPr>
          <w:t>https://data.europa.eu/doi/10.2777/507125</w:t>
        </w:r>
      </w:hyperlink>
      <w:r>
        <w:rPr>
          <w:lang w:val="en-IE"/>
        </w:rPr>
        <w:t>.</w:t>
      </w:r>
    </w:p>
  </w:footnote>
  <w:footnote w:id="41">
    <w:p>
      <w:pPr>
        <w:pStyle w:val="FootnoteText"/>
        <w:rPr>
          <w:lang w:val="en-IE"/>
        </w:rPr>
      </w:pPr>
      <w:r>
        <w:rPr>
          <w:rStyle w:val="FootnoteReference"/>
        </w:rPr>
        <w:footnoteRef/>
      </w:r>
      <w:r>
        <w:t xml:space="preserve"> </w:t>
      </w:r>
      <w:r>
        <w:rPr>
          <w:lang w:val="en-IE"/>
        </w:rPr>
        <w:t xml:space="preserve">Regulation (EU) 2026/1388 of the European Parliament and of the Council of 17 June 2026 on plants obtained by certain new genomic techniques and their products, and amending Regulation (EU) 2017/625, </w:t>
      </w:r>
      <w:hyperlink r:id="rId31" w:history="1">
        <w:r>
          <w:rPr>
            <w:rStyle w:val="Hyperlink"/>
            <w:lang w:val="en-IE"/>
          </w:rPr>
          <w:t>OJ L 1388, 30.6.2026</w:t>
        </w:r>
      </w:hyperlink>
      <w:r>
        <w:t>.</w:t>
      </w:r>
      <w:r>
        <w:rPr>
          <w:lang w:val="en-IE"/>
        </w:rPr>
        <w:t> </w:t>
      </w:r>
    </w:p>
  </w:footnote>
  <w:footnote w:id="42">
    <w:p>
      <w:pPr>
        <w:pStyle w:val="FootnoteText"/>
        <w:rPr>
          <w:lang w:val="en-IE"/>
        </w:rPr>
      </w:pPr>
      <w:r>
        <w:rPr>
          <w:rStyle w:val="FootnoteReference"/>
        </w:rPr>
        <w:footnoteRef/>
      </w:r>
      <w:r>
        <w:t xml:space="preserve"> Communication from the Commission to the European Parliament, the Council, the European Economic and Social Committee and the Committee of the Regions, </w:t>
      </w:r>
      <w:r>
        <w:rPr>
          <w:i/>
          <w:iCs/>
        </w:rPr>
        <w:t>Fertiliser Action Plan: Partnership for ensuring the availability, affordability and strategic autonomy in home-grown EU fertilisers</w:t>
      </w:r>
      <w:r>
        <w:t xml:space="preserve">, </w:t>
      </w:r>
      <w:hyperlink r:id="rId32" w:history="1">
        <w:r>
          <w:rPr>
            <w:rStyle w:val="Hyperlink"/>
          </w:rPr>
          <w:t>COM/2026/310 final</w:t>
        </w:r>
      </w:hyperlink>
      <w:r>
        <w:t xml:space="preserve">. </w:t>
      </w:r>
    </w:p>
  </w:footnote>
  <w:footnote w:id="43">
    <w:p>
      <w:pPr>
        <w:pStyle w:val="FootnoteText"/>
        <w:rPr>
          <w:lang w:val="fr-BE"/>
        </w:rPr>
      </w:pPr>
      <w:r>
        <w:rPr>
          <w:rStyle w:val="FootnoteReference"/>
        </w:rPr>
        <w:footnoteRef/>
      </w:r>
      <w:r>
        <w:rPr>
          <w:lang w:val="fr-BE"/>
        </w:rPr>
        <w:t xml:space="preserve"> Forest Europe, </w:t>
      </w:r>
      <w:hyperlink r:id="rId33" w:history="1">
        <w:r>
          <w:rPr>
            <w:rStyle w:val="Hyperlink"/>
            <w:lang w:val="fr-BE"/>
          </w:rPr>
          <w:t>Sustainable Forest Management, SFM</w:t>
        </w:r>
      </w:hyperlink>
      <w:r>
        <w:rPr>
          <w:lang w:val="fr-BE"/>
        </w:rPr>
        <w:t xml:space="preserve">. </w:t>
      </w:r>
    </w:p>
  </w:footnote>
  <w:footnote w:id="44">
    <w:p>
      <w:pPr>
        <w:pStyle w:val="FootnoteText"/>
        <w:rPr>
          <w:lang w:val="en-IE"/>
        </w:rPr>
      </w:pPr>
      <w:r>
        <w:rPr>
          <w:rStyle w:val="FootnoteReference"/>
        </w:rPr>
        <w:footnoteRef/>
      </w:r>
      <w:r>
        <w:t xml:space="preserve"> Independent Expert Group (IEG), </w:t>
      </w:r>
      <w:r>
        <w:rPr>
          <w:i/>
        </w:rPr>
        <w:t>2021 Global Nutrition Report: The state of global nutrition</w:t>
      </w:r>
      <w:r>
        <w:rPr>
          <w:i/>
          <w:iCs/>
        </w:rPr>
        <w:t>,</w:t>
      </w:r>
      <w:r>
        <w:t xml:space="preserve"> Development Initiatives, Bristol, UK, 2021, </w:t>
      </w:r>
      <w:hyperlink r:id="rId34" w:history="1">
        <w:r>
          <w:rPr>
            <w:rStyle w:val="Hyperlink"/>
          </w:rPr>
          <w:t>https://globalnutritionreport.org/reports/2021-global-nutrition-report/</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A704F"/>
    <w:multiLevelType w:val="hybridMultilevel"/>
    <w:tmpl w:val="FFFFFFFF"/>
    <w:lvl w:ilvl="0" w:tplc="3EEAEF8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618244C6">
      <w:start w:val="1"/>
      <w:numFmt w:val="bullet"/>
      <w:lvlText w:val=""/>
      <w:lvlJc w:val="left"/>
      <w:pPr>
        <w:ind w:left="2160" w:hanging="360"/>
      </w:pPr>
      <w:rPr>
        <w:rFonts w:ascii="Wingdings" w:hAnsi="Wingdings" w:hint="default"/>
      </w:rPr>
    </w:lvl>
    <w:lvl w:ilvl="3" w:tplc="DBBAEA3C">
      <w:start w:val="1"/>
      <w:numFmt w:val="bullet"/>
      <w:lvlText w:val=""/>
      <w:lvlJc w:val="left"/>
      <w:pPr>
        <w:ind w:left="2880" w:hanging="360"/>
      </w:pPr>
      <w:rPr>
        <w:rFonts w:ascii="Symbol" w:hAnsi="Symbol" w:hint="default"/>
      </w:rPr>
    </w:lvl>
    <w:lvl w:ilvl="4" w:tplc="87E27F98">
      <w:start w:val="1"/>
      <w:numFmt w:val="bullet"/>
      <w:lvlText w:val="o"/>
      <w:lvlJc w:val="left"/>
      <w:pPr>
        <w:ind w:left="3600" w:hanging="360"/>
      </w:pPr>
      <w:rPr>
        <w:rFonts w:ascii="Courier New" w:hAnsi="Courier New" w:hint="default"/>
      </w:rPr>
    </w:lvl>
    <w:lvl w:ilvl="5" w:tplc="74B25DCC">
      <w:start w:val="1"/>
      <w:numFmt w:val="bullet"/>
      <w:lvlText w:val=""/>
      <w:lvlJc w:val="left"/>
      <w:pPr>
        <w:ind w:left="4320" w:hanging="360"/>
      </w:pPr>
      <w:rPr>
        <w:rFonts w:ascii="Wingdings" w:hAnsi="Wingdings" w:hint="default"/>
      </w:rPr>
    </w:lvl>
    <w:lvl w:ilvl="6" w:tplc="F372F766">
      <w:start w:val="1"/>
      <w:numFmt w:val="bullet"/>
      <w:lvlText w:val=""/>
      <w:lvlJc w:val="left"/>
      <w:pPr>
        <w:ind w:left="5040" w:hanging="360"/>
      </w:pPr>
      <w:rPr>
        <w:rFonts w:ascii="Symbol" w:hAnsi="Symbol" w:hint="default"/>
      </w:rPr>
    </w:lvl>
    <w:lvl w:ilvl="7" w:tplc="C47E9690">
      <w:start w:val="1"/>
      <w:numFmt w:val="bullet"/>
      <w:lvlText w:val="o"/>
      <w:lvlJc w:val="left"/>
      <w:pPr>
        <w:ind w:left="5760" w:hanging="360"/>
      </w:pPr>
      <w:rPr>
        <w:rFonts w:ascii="Courier New" w:hAnsi="Courier New" w:hint="default"/>
      </w:rPr>
    </w:lvl>
    <w:lvl w:ilvl="8" w:tplc="BA409BB6">
      <w:start w:val="1"/>
      <w:numFmt w:val="bullet"/>
      <w:lvlText w:val=""/>
      <w:lvlJc w:val="left"/>
      <w:pPr>
        <w:ind w:left="6480" w:hanging="360"/>
      </w:pPr>
      <w:rPr>
        <w:rFonts w:ascii="Wingdings" w:hAnsi="Wingdings" w:hint="default"/>
      </w:rPr>
    </w:lvl>
  </w:abstractNum>
  <w:abstractNum w:abstractNumId="1" w15:restartNumberingAfterBreak="0">
    <w:nsid w:val="1ABB2A88"/>
    <w:multiLevelType w:val="multilevel"/>
    <w:tmpl w:val="DA6E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B51329"/>
    <w:multiLevelType w:val="multilevel"/>
    <w:tmpl w:val="5B2C2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B71D9C"/>
    <w:multiLevelType w:val="multilevel"/>
    <w:tmpl w:val="3944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1A6F6B"/>
    <w:multiLevelType w:val="hybridMultilevel"/>
    <w:tmpl w:val="0C84816C"/>
    <w:lvl w:ilvl="0" w:tplc="08090001">
      <w:start w:val="1"/>
      <w:numFmt w:val="bullet"/>
      <w:lvlText w:val=""/>
      <w:lvlJc w:val="left"/>
      <w:pPr>
        <w:ind w:left="720" w:hanging="360"/>
      </w:pPr>
      <w:rPr>
        <w:rFonts w:ascii="Symbol" w:hAnsi="Symbol"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012EF9"/>
    <w:multiLevelType w:val="multilevel"/>
    <w:tmpl w:val="815AE074"/>
    <w:lvl w:ilvl="0">
      <w:start w:val="1"/>
      <w:numFmt w:val="decimal"/>
      <w:pStyle w:val="SAHeading1"/>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652179"/>
    <w:multiLevelType w:val="hybridMultilevel"/>
    <w:tmpl w:val="481CA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D45582"/>
    <w:multiLevelType w:val="multilevel"/>
    <w:tmpl w:val="28BC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1A4A9B"/>
    <w:multiLevelType w:val="hybridMultilevel"/>
    <w:tmpl w:val="A89E63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916577F"/>
    <w:multiLevelType w:val="hybridMultilevel"/>
    <w:tmpl w:val="D714B25A"/>
    <w:lvl w:ilvl="0" w:tplc="BB00634C">
      <w:start w:val="1"/>
      <w:numFmt w:val="bullet"/>
      <w:lvlText w:val=""/>
      <w:lvlJc w:val="left"/>
      <w:pPr>
        <w:ind w:left="1080" w:hanging="360"/>
      </w:pPr>
      <w:rPr>
        <w:rFonts w:ascii="Symbol" w:hAnsi="Symbol"/>
      </w:rPr>
    </w:lvl>
    <w:lvl w:ilvl="1" w:tplc="B0541324">
      <w:start w:val="1"/>
      <w:numFmt w:val="bullet"/>
      <w:lvlText w:val=""/>
      <w:lvlJc w:val="left"/>
      <w:pPr>
        <w:ind w:left="1080" w:hanging="360"/>
      </w:pPr>
      <w:rPr>
        <w:rFonts w:ascii="Symbol" w:hAnsi="Symbol"/>
      </w:rPr>
    </w:lvl>
    <w:lvl w:ilvl="2" w:tplc="AD669AB4">
      <w:start w:val="1"/>
      <w:numFmt w:val="bullet"/>
      <w:lvlText w:val=""/>
      <w:lvlJc w:val="left"/>
      <w:pPr>
        <w:ind w:left="1080" w:hanging="360"/>
      </w:pPr>
      <w:rPr>
        <w:rFonts w:ascii="Symbol" w:hAnsi="Symbol"/>
      </w:rPr>
    </w:lvl>
    <w:lvl w:ilvl="3" w:tplc="541ADE8A">
      <w:start w:val="1"/>
      <w:numFmt w:val="bullet"/>
      <w:lvlText w:val=""/>
      <w:lvlJc w:val="left"/>
      <w:pPr>
        <w:ind w:left="1080" w:hanging="360"/>
      </w:pPr>
      <w:rPr>
        <w:rFonts w:ascii="Symbol" w:hAnsi="Symbol"/>
      </w:rPr>
    </w:lvl>
    <w:lvl w:ilvl="4" w:tplc="0C82158A">
      <w:start w:val="1"/>
      <w:numFmt w:val="bullet"/>
      <w:lvlText w:val=""/>
      <w:lvlJc w:val="left"/>
      <w:pPr>
        <w:ind w:left="1080" w:hanging="360"/>
      </w:pPr>
      <w:rPr>
        <w:rFonts w:ascii="Symbol" w:hAnsi="Symbol"/>
      </w:rPr>
    </w:lvl>
    <w:lvl w:ilvl="5" w:tplc="BB6EF72C">
      <w:start w:val="1"/>
      <w:numFmt w:val="bullet"/>
      <w:lvlText w:val=""/>
      <w:lvlJc w:val="left"/>
      <w:pPr>
        <w:ind w:left="1080" w:hanging="360"/>
      </w:pPr>
      <w:rPr>
        <w:rFonts w:ascii="Symbol" w:hAnsi="Symbol"/>
      </w:rPr>
    </w:lvl>
    <w:lvl w:ilvl="6" w:tplc="14CC5CBA">
      <w:start w:val="1"/>
      <w:numFmt w:val="bullet"/>
      <w:lvlText w:val=""/>
      <w:lvlJc w:val="left"/>
      <w:pPr>
        <w:ind w:left="1080" w:hanging="360"/>
      </w:pPr>
      <w:rPr>
        <w:rFonts w:ascii="Symbol" w:hAnsi="Symbol"/>
      </w:rPr>
    </w:lvl>
    <w:lvl w:ilvl="7" w:tplc="CAC6860E">
      <w:start w:val="1"/>
      <w:numFmt w:val="bullet"/>
      <w:lvlText w:val=""/>
      <w:lvlJc w:val="left"/>
      <w:pPr>
        <w:ind w:left="1080" w:hanging="360"/>
      </w:pPr>
      <w:rPr>
        <w:rFonts w:ascii="Symbol" w:hAnsi="Symbol"/>
      </w:rPr>
    </w:lvl>
    <w:lvl w:ilvl="8" w:tplc="2C52C22A">
      <w:start w:val="1"/>
      <w:numFmt w:val="bullet"/>
      <w:lvlText w:val=""/>
      <w:lvlJc w:val="left"/>
      <w:pPr>
        <w:ind w:left="1080" w:hanging="360"/>
      </w:pPr>
      <w:rPr>
        <w:rFonts w:ascii="Symbol" w:hAnsi="Symbol"/>
      </w:rPr>
    </w:lvl>
  </w:abstractNum>
  <w:abstractNum w:abstractNumId="10" w15:restartNumberingAfterBreak="0">
    <w:nsid w:val="633C4FFF"/>
    <w:multiLevelType w:val="hybridMultilevel"/>
    <w:tmpl w:val="72F48C3C"/>
    <w:lvl w:ilvl="0" w:tplc="75D870BC">
      <w:start w:val="1"/>
      <w:numFmt w:val="decimal"/>
      <w:lvlText w:val="%1."/>
      <w:lvlJc w:val="left"/>
      <w:pPr>
        <w:ind w:left="1020" w:hanging="360"/>
      </w:pPr>
    </w:lvl>
    <w:lvl w:ilvl="1" w:tplc="461E4DF6">
      <w:start w:val="1"/>
      <w:numFmt w:val="decimal"/>
      <w:lvlText w:val="%2."/>
      <w:lvlJc w:val="left"/>
      <w:pPr>
        <w:ind w:left="1020" w:hanging="360"/>
      </w:pPr>
    </w:lvl>
    <w:lvl w:ilvl="2" w:tplc="53FECDB2">
      <w:start w:val="1"/>
      <w:numFmt w:val="decimal"/>
      <w:lvlText w:val="%3."/>
      <w:lvlJc w:val="left"/>
      <w:pPr>
        <w:ind w:left="1020" w:hanging="360"/>
      </w:pPr>
    </w:lvl>
    <w:lvl w:ilvl="3" w:tplc="AEEAD8DC">
      <w:start w:val="1"/>
      <w:numFmt w:val="decimal"/>
      <w:lvlText w:val="%4."/>
      <w:lvlJc w:val="left"/>
      <w:pPr>
        <w:ind w:left="1020" w:hanging="360"/>
      </w:pPr>
    </w:lvl>
    <w:lvl w:ilvl="4" w:tplc="250A59DE">
      <w:start w:val="1"/>
      <w:numFmt w:val="decimal"/>
      <w:lvlText w:val="%5."/>
      <w:lvlJc w:val="left"/>
      <w:pPr>
        <w:ind w:left="1020" w:hanging="360"/>
      </w:pPr>
    </w:lvl>
    <w:lvl w:ilvl="5" w:tplc="1170782E">
      <w:start w:val="1"/>
      <w:numFmt w:val="decimal"/>
      <w:lvlText w:val="%6."/>
      <w:lvlJc w:val="left"/>
      <w:pPr>
        <w:ind w:left="1020" w:hanging="360"/>
      </w:pPr>
    </w:lvl>
    <w:lvl w:ilvl="6" w:tplc="F412085A">
      <w:start w:val="1"/>
      <w:numFmt w:val="decimal"/>
      <w:lvlText w:val="%7."/>
      <w:lvlJc w:val="left"/>
      <w:pPr>
        <w:ind w:left="1020" w:hanging="360"/>
      </w:pPr>
    </w:lvl>
    <w:lvl w:ilvl="7" w:tplc="BE8A6A98">
      <w:start w:val="1"/>
      <w:numFmt w:val="decimal"/>
      <w:lvlText w:val="%8."/>
      <w:lvlJc w:val="left"/>
      <w:pPr>
        <w:ind w:left="1020" w:hanging="360"/>
      </w:pPr>
    </w:lvl>
    <w:lvl w:ilvl="8" w:tplc="BC70AB70">
      <w:start w:val="1"/>
      <w:numFmt w:val="decimal"/>
      <w:lvlText w:val="%9."/>
      <w:lvlJc w:val="left"/>
      <w:pPr>
        <w:ind w:left="1020" w:hanging="360"/>
      </w:pPr>
    </w:lvl>
  </w:abstractNum>
  <w:num w:numId="1">
    <w:abstractNumId w:val="5"/>
  </w:num>
  <w:num w:numId="2">
    <w:abstractNumId w:val="0"/>
  </w:num>
  <w:num w:numId="3">
    <w:abstractNumId w:val="8"/>
  </w:num>
  <w:num w:numId="4">
    <w:abstractNumId w:val="4"/>
  </w:num>
  <w:num w:numId="5">
    <w:abstractNumId w:val="3"/>
  </w:num>
  <w:num w:numId="6">
    <w:abstractNumId w:val="1"/>
  </w:num>
  <w:num w:numId="7">
    <w:abstractNumId w:val="7"/>
  </w:num>
  <w:num w:numId="8">
    <w:abstractNumId w:val="2"/>
  </w:num>
  <w:num w:numId="9">
    <w:abstractNumId w:val="6"/>
  </w:num>
  <w:num w:numId="10">
    <w:abstractNumId w:val="9"/>
  </w:num>
  <w:num w:numId="1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CDFDEACD-21E5-43B5-8005-7693832F2567"/>
    <w:docVar w:name="LW_COVERPAGE_TYPE" w:val="1"/>
    <w:docVar w:name="LW_CROSSREFERENCE" w:val="{SWD(2026) 271 final}"/>
    <w:docVar w:name="LW_DocType" w:val="NORMAL"/>
    <w:docVar w:name="LW_EMISSION" w:val="8.9.2026"/>
    <w:docVar w:name="LW_EMISSION_ISODATE" w:val="2026-09-0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5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New Strategic Approach to Research and Innovation for competitive, resilient and sustainable agriculture, forestry, rural areas and food systems_x000d__x000d__x000d__x000b__x000d__x000d__x000b_Future-proofing EU agri-food through AgRI 2040 and Food 2040"/>
    <w:docVar w:name="LW_TYPE.DOC.CP" w:val="COMMUNICATION FROM THE COMMISSION TO THE EUROPEAN PARLIAMENT, THE COUNCIL, THE EUROPEAN ECONOMIC AND SOCIAL COMMITTEE AND THE COMMITTEE OF THE REGIONS"/>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D4C271D2-1B88-4663-84AE-E3F39157F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List Paragraph compact,Listaszerű bekezdés1,List Paragraph à moi,Colorful List - Accent 11,Dot pt,body"/>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467886" w:themeColor="hyperlink"/>
      <w:u w:val="single"/>
    </w:rPr>
  </w:style>
  <w:style w:type="paragraph" w:styleId="FootnoteText">
    <w:name w:val="footnote text"/>
    <w:basedOn w:val="Normal"/>
    <w:link w:val="FootnoteTextChar"/>
    <w:uiPriority w:val="99"/>
    <w:unhideWhenUsed/>
    <w:pPr>
      <w:spacing w:after="0" w:line="240" w:lineRule="auto"/>
      <w:ind w:left="198" w:hanging="198"/>
      <w:jc w:val="both"/>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unhideWhenUsed/>
    <w:rPr>
      <w:vertAlign w:val="superscript"/>
    </w:rPr>
  </w:style>
  <w:style w:type="paragraph" w:customStyle="1" w:styleId="SAHeading1">
    <w:name w:val="SA Heading 1"/>
    <w:basedOn w:val="Normal"/>
    <w:link w:val="SAHeading1Char"/>
    <w:qFormat/>
    <w:pPr>
      <w:numPr>
        <w:numId w:val="1"/>
      </w:numPr>
      <w:spacing w:line="276" w:lineRule="auto"/>
    </w:pPr>
    <w:rPr>
      <w:rFonts w:ascii="Times New Roman" w:hAnsi="Times New Roman" w:cs="Times New Roman"/>
      <w:b/>
      <w:bCs/>
      <w:smallCaps/>
      <w:sz w:val="24"/>
      <w:szCs w:val="24"/>
      <w:lang w:val="en-IE"/>
    </w:rPr>
  </w:style>
  <w:style w:type="character" w:customStyle="1" w:styleId="SAHeading1Char">
    <w:name w:val="SA Heading 1 Char"/>
    <w:basedOn w:val="DefaultParagraphFont"/>
    <w:link w:val="SAHeading1"/>
    <w:rPr>
      <w:rFonts w:ascii="Times New Roman" w:hAnsi="Times New Roman" w:cs="Times New Roman"/>
      <w:b/>
      <w:bCs/>
      <w:smallCaps/>
      <w:sz w:val="24"/>
      <w:szCs w:val="24"/>
      <w:lang w:val="en-IE"/>
    </w:rPr>
  </w:style>
  <w:style w:type="paragraph" w:customStyle="1" w:styleId="SAHeading2">
    <w:name w:val="SA Heading 2"/>
    <w:basedOn w:val="Normal"/>
    <w:link w:val="SAHeading2Char"/>
    <w:qFormat/>
    <w:pPr>
      <w:spacing w:line="276" w:lineRule="auto"/>
      <w:ind w:left="360"/>
    </w:pPr>
    <w:rPr>
      <w:rFonts w:ascii="Times New Roman" w:hAnsi="Times New Roman" w:cs="Times New Roman"/>
      <w:b/>
      <w:bCs/>
      <w:sz w:val="24"/>
      <w:szCs w:val="24"/>
      <w:lang w:val="en-GB"/>
    </w:rPr>
  </w:style>
  <w:style w:type="character" w:customStyle="1" w:styleId="SAHeading2Char">
    <w:name w:val="SA Heading 2 Char"/>
    <w:basedOn w:val="DefaultParagraphFont"/>
    <w:link w:val="SAHeading2"/>
    <w:rPr>
      <w:rFonts w:ascii="Times New Roman" w:hAnsi="Times New Roman" w:cs="Times New Roman"/>
      <w:b/>
      <w:bCs/>
      <w:sz w:val="24"/>
      <w:szCs w:val="24"/>
      <w:lang w:val="en-GB"/>
    </w:rPr>
  </w:style>
  <w:style w:type="paragraph" w:styleId="TOCHeading">
    <w:name w:val="TOC Heading"/>
    <w:basedOn w:val="Heading1"/>
    <w:next w:val="Normal"/>
    <w:uiPriority w:val="39"/>
    <w:unhideWhenUsed/>
    <w:qFormat/>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pPr>
      <w:spacing w:after="100"/>
      <w:ind w:left="220"/>
    </w:pPr>
    <w:rPr>
      <w:rFonts w:eastAsiaTheme="minorEastAsia" w:cs="Times New Roman"/>
      <w:kern w:val="0"/>
      <w:lang w:val="en-US"/>
      <w14:ligatures w14:val="none"/>
    </w:rPr>
  </w:style>
  <w:style w:type="paragraph" w:styleId="TOC1">
    <w:name w:val="toc 1"/>
    <w:basedOn w:val="Normal"/>
    <w:next w:val="Normal"/>
    <w:autoRedefine/>
    <w:uiPriority w:val="39"/>
    <w:unhideWhenUsed/>
    <w:pPr>
      <w:tabs>
        <w:tab w:val="right" w:leader="dot" w:pos="9350"/>
      </w:tabs>
      <w:spacing w:after="100"/>
    </w:pPr>
    <w:rPr>
      <w:rFonts w:ascii="Times New Roman" w:eastAsiaTheme="minorEastAsia" w:hAnsi="Times New Roman" w:cs="Times New Roman"/>
      <w:b/>
      <w:bCs/>
      <w:noProof/>
      <w:kern w:val="0"/>
      <w:lang w:val="en-US"/>
      <w14:ligatures w14:val="none"/>
    </w:rPr>
  </w:style>
  <w:style w:type="paragraph" w:styleId="TOC3">
    <w:name w:val="toc 3"/>
    <w:basedOn w:val="Normal"/>
    <w:next w:val="Normal"/>
    <w:autoRedefine/>
    <w:uiPriority w:val="39"/>
    <w:unhideWhenUsed/>
    <w:pPr>
      <w:spacing w:after="100"/>
      <w:ind w:left="440"/>
    </w:pPr>
    <w:rPr>
      <w:rFonts w:eastAsiaTheme="minorEastAsia" w:cs="Times New Roman"/>
      <w:kern w:val="0"/>
      <w:lang w:val="en-US"/>
      <w14:ligatures w14:val="none"/>
    </w:rPr>
  </w:style>
  <w:style w:type="paragraph" w:styleId="TOC9">
    <w:name w:val="toc 9"/>
    <w:basedOn w:val="Normal"/>
    <w:next w:val="Normal"/>
    <w:autoRedefine/>
    <w:uiPriority w:val="39"/>
    <w:semiHidden/>
    <w:unhideWhenUsed/>
    <w:pPr>
      <w:spacing w:after="100"/>
      <w:ind w:left="1760"/>
    </w:pPr>
    <w:rPr>
      <w:lang w:val="en-US"/>
    </w:rPr>
  </w:style>
  <w:style w:type="paragraph" w:customStyle="1" w:styleId="HeadingSA1">
    <w:name w:val="Heading SA 1"/>
    <w:basedOn w:val="SAHeading1"/>
    <w:link w:val="HeadingSA1Char"/>
    <w:qFormat/>
  </w:style>
  <w:style w:type="character" w:customStyle="1" w:styleId="HeadingSA1Char">
    <w:name w:val="Heading SA 1 Char"/>
    <w:basedOn w:val="SAHeading1Char"/>
    <w:link w:val="HeadingSA1"/>
    <w:rPr>
      <w:rFonts w:ascii="Times New Roman" w:hAnsi="Times New Roman" w:cs="Times New Roman"/>
      <w:b/>
      <w:bCs/>
      <w:smallCaps/>
      <w:sz w:val="24"/>
      <w:szCs w:val="24"/>
      <w:lang w:val="en-IE"/>
    </w:rPr>
  </w:style>
  <w:style w:type="paragraph" w:customStyle="1" w:styleId="HeadingSA2">
    <w:name w:val="Heading SA 2"/>
    <w:basedOn w:val="SAHeading2"/>
    <w:link w:val="HeadingSA2Char"/>
    <w:qFormat/>
  </w:style>
  <w:style w:type="character" w:customStyle="1" w:styleId="HeadingSA2Char">
    <w:name w:val="Heading SA 2 Char"/>
    <w:basedOn w:val="SAHeading2Char"/>
    <w:link w:val="HeadingSA2"/>
    <w:rPr>
      <w:rFonts w:ascii="Times New Roman" w:hAnsi="Times New Roman" w:cs="Times New Roman"/>
      <w:b/>
      <w:bCs/>
      <w:sz w:val="24"/>
      <w:szCs w:val="24"/>
      <w:lang w:val="en-GB"/>
    </w:rPr>
  </w:style>
  <w:style w:type="paragraph" w:styleId="CommentText">
    <w:name w:val="annotation text"/>
    <w:basedOn w:val="Normal"/>
    <w:link w:val="CommentTextChar"/>
    <w:uiPriority w:val="99"/>
    <w:unhideWhenUsed/>
    <w:pPr>
      <w:spacing w:line="240" w:lineRule="auto"/>
    </w:pPr>
    <w:rPr>
      <w:sz w:val="20"/>
      <w:szCs w:val="20"/>
      <w:lang w:val="en-US"/>
    </w:rPr>
  </w:style>
  <w:style w:type="character" w:customStyle="1" w:styleId="CommentTextChar">
    <w:name w:val="Comment Text Char"/>
    <w:basedOn w:val="DefaultParagraphFont"/>
    <w:link w:val="CommentText"/>
    <w:uiPriority w:val="99"/>
    <w:rPr>
      <w:sz w:val="20"/>
      <w:szCs w:val="20"/>
      <w:lang w:val="en-US"/>
    </w:rPr>
  </w:style>
  <w:style w:type="character" w:styleId="CommentReference">
    <w:name w:val="annotation reference"/>
    <w:basedOn w:val="DefaultParagraphFont"/>
    <w:uiPriority w:val="99"/>
    <w:unhideWhenUsed/>
    <w:rPr>
      <w:sz w:val="16"/>
      <w:szCs w:val="16"/>
    </w:rPr>
  </w:style>
  <w:style w:type="paragraph" w:styleId="Revision">
    <w:name w:val="Revision"/>
    <w:hidden/>
    <w:uiPriority w:val="99"/>
    <w:semiHidden/>
    <w:pPr>
      <w:spacing w:after="0" w:line="240" w:lineRule="auto"/>
    </w:pPr>
    <w:rPr>
      <w:lang w:val="en-US"/>
    </w:rPr>
  </w:style>
  <w:style w:type="character" w:styleId="UnresolvedMention">
    <w:name w:val="Unresolved Mention"/>
    <w:basedOn w:val="DefaultParagraphFont"/>
    <w:uiPriority w:val="99"/>
    <w:unhideWhenUsed/>
    <w:rPr>
      <w:color w:val="605E5C"/>
      <w:shd w:val="clear" w:color="auto" w:fill="E1DFDD"/>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US"/>
    </w:rPr>
  </w:style>
  <w:style w:type="character" w:styleId="Mention">
    <w:name w:val="Mention"/>
    <w:basedOn w:val="DefaultParagraphFont"/>
    <w:uiPriority w:val="99"/>
    <w:unhideWhenUsed/>
    <w:rPr>
      <w:color w:val="2B579A"/>
      <w:shd w:val="clear" w:color="auto" w:fill="E1DFDD"/>
    </w:rPr>
  </w:style>
  <w:style w:type="paragraph" w:styleId="EndnoteText">
    <w:name w:val="endnote text"/>
    <w:basedOn w:val="Normal"/>
    <w:link w:val="EndnoteTextChar"/>
    <w:uiPriority w:val="99"/>
    <w:semiHidden/>
    <w:unhideWhenUsed/>
    <w:pPr>
      <w:spacing w:after="0" w:line="240" w:lineRule="auto"/>
    </w:pPr>
    <w:rPr>
      <w:sz w:val="20"/>
      <w:szCs w:val="20"/>
      <w:lang w:val="en-US"/>
    </w:rPr>
  </w:style>
  <w:style w:type="character" w:customStyle="1" w:styleId="EndnoteTextChar">
    <w:name w:val="Endnote Text Char"/>
    <w:basedOn w:val="DefaultParagraphFont"/>
    <w:link w:val="EndnoteText"/>
    <w:uiPriority w:val="99"/>
    <w:semiHidden/>
    <w:rPr>
      <w:sz w:val="20"/>
      <w:szCs w:val="20"/>
      <w:lang w:val="en-US"/>
    </w:rPr>
  </w:style>
  <w:style w:type="character" w:styleId="EndnoteReference">
    <w:name w:val="endnote reference"/>
    <w:basedOn w:val="DefaultParagraphFont"/>
    <w:uiPriority w:val="99"/>
    <w:semiHidden/>
    <w:unhideWhenUsed/>
    <w:rPr>
      <w:vertAlign w:val="superscript"/>
    </w:rPr>
  </w:style>
  <w:style w:type="paragraph" w:customStyle="1" w:styleId="CoverTitle">
    <w:name w:val="Cover Title"/>
    <w:basedOn w:val="Normal"/>
    <w:uiPriority w:val="99"/>
    <w:qFormat/>
    <w:pPr>
      <w:spacing w:after="240" w:line="240" w:lineRule="auto"/>
      <w:ind w:left="-567"/>
    </w:pPr>
    <w:rPr>
      <w:rFonts w:ascii="Arial" w:eastAsia="Times New Roman" w:hAnsi="Arial" w:cs="Times New Roman"/>
      <w:b/>
      <w:bCs/>
      <w:color w:val="D3CDC0"/>
      <w:sz w:val="80"/>
      <w:szCs w:val="80"/>
      <w:lang w:val="en-US"/>
    </w:rPr>
  </w:style>
  <w:style w:type="character" w:styleId="FollowedHyperlink">
    <w:name w:val="FollowedHyperlink"/>
    <w:basedOn w:val="DefaultParagraphFont"/>
    <w:uiPriority w:val="99"/>
    <w:semiHidden/>
    <w:unhideWhenUsed/>
    <w:rPr>
      <w:color w:val="96607D" w:themeColor="followedHyperlink"/>
      <w:u w:val="single"/>
    </w:rPr>
  </w:style>
  <w:style w:type="paragraph" w:styleId="NormalWeb">
    <w:name w:val="Normal (Web)"/>
    <w:basedOn w:val="Normal"/>
    <w:uiPriority w:val="99"/>
    <w:semiHidden/>
    <w:unhideWhenUsed/>
    <w:rPr>
      <w:rFonts w:ascii="Times New Roman" w:hAnsi="Times New Roman" w:cs="Times New Roman"/>
      <w:sz w:val="24"/>
      <w:szCs w:val="24"/>
      <w:lang w:val="en-US"/>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character" w:styleId="Strong">
    <w:name w:val="Strong"/>
    <w:basedOn w:val="DefaultParagraphFont"/>
    <w:uiPriority w:val="22"/>
    <w:qFormat/>
    <w:rPr>
      <w:b/>
      <w:bCs/>
    </w:rPr>
  </w:style>
  <w:style w:type="table" w:styleId="TableGrid">
    <w:name w:val="Table Grid"/>
    <w:basedOn w:val="TableNormal"/>
    <w:uiPriority w:val="5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1st level - Bullet List Paragraph Char,List Paragraph1 Char,Lettre d'introduction Char,Paragrafo elenco Char,Medium Grid 1 - Accent 21 Char,Fiche List Paragraph Char,List Paragraph compact Char,Listaszerű bekezdés1 Char,Dot pt Char"/>
    <w:link w:val="ListParagraph"/>
    <w:uiPriority w:val="34"/>
    <w:qFormat/>
    <w:locked/>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18737">
      <w:bodyDiv w:val="1"/>
      <w:marLeft w:val="0"/>
      <w:marRight w:val="0"/>
      <w:marTop w:val="0"/>
      <w:marBottom w:val="0"/>
      <w:divBdr>
        <w:top w:val="none" w:sz="0" w:space="0" w:color="auto"/>
        <w:left w:val="none" w:sz="0" w:space="0" w:color="auto"/>
        <w:bottom w:val="none" w:sz="0" w:space="0" w:color="auto"/>
        <w:right w:val="none" w:sz="0" w:space="0" w:color="auto"/>
      </w:divBdr>
    </w:div>
    <w:div w:id="1011566830">
      <w:bodyDiv w:val="1"/>
      <w:marLeft w:val="0"/>
      <w:marRight w:val="0"/>
      <w:marTop w:val="0"/>
      <w:marBottom w:val="0"/>
      <w:divBdr>
        <w:top w:val="none" w:sz="0" w:space="0" w:color="auto"/>
        <w:left w:val="none" w:sz="0" w:space="0" w:color="auto"/>
        <w:bottom w:val="none" w:sz="0" w:space="0" w:color="auto"/>
        <w:right w:val="none" w:sz="0" w:space="0" w:color="auto"/>
      </w:divBdr>
    </w:div>
    <w:div w:id="1038627624">
      <w:bodyDiv w:val="1"/>
      <w:marLeft w:val="0"/>
      <w:marRight w:val="0"/>
      <w:marTop w:val="0"/>
      <w:marBottom w:val="0"/>
      <w:divBdr>
        <w:top w:val="none" w:sz="0" w:space="0" w:color="auto"/>
        <w:left w:val="none" w:sz="0" w:space="0" w:color="auto"/>
        <w:bottom w:val="none" w:sz="0" w:space="0" w:color="auto"/>
        <w:right w:val="none" w:sz="0" w:space="0" w:color="auto"/>
      </w:divBdr>
    </w:div>
    <w:div w:id="132312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op.europa.eu/en/publication-detail/-/publication/388df32b-7cce-11f1-bf5e-01aa75ed71a1/language-en" TargetMode="External"/><Relationship Id="rId21" Type="http://schemas.openxmlformats.org/officeDocument/2006/relationships/hyperlink" Target="https://commission.europa.eu/topics/research-and-innovation/choose-europe_en" TargetMode="External"/><Relationship Id="rId34" Type="http://schemas.openxmlformats.org/officeDocument/2006/relationships/hyperlink" Target="https://pact-for-skills.ec.europa.eu/about/industrial-ecosystems-and-partnerships/agri-food_en" TargetMode="External"/><Relationship Id="rId42" Type="http://schemas.openxmlformats.org/officeDocument/2006/relationships/hyperlink" Target="https://eur-lex.europa.eu/legal-content/EN/TXT/?uri=celex:52025DC0960" TargetMode="External"/><Relationship Id="rId47" Type="http://schemas.openxmlformats.org/officeDocument/2006/relationships/hyperlink" Target="https://research-and-innovation.ec.europa.eu/research-area/environment/prima_en" TargetMode="External"/><Relationship Id="rId50" Type="http://schemas.openxmlformats.org/officeDocument/2006/relationships/hyperlink" Target="https://eu-cap-network.ec.europa.eu/networking/leader_en" TargetMode="External"/><Relationship Id="rId55" Type="http://schemas.openxmlformats.org/officeDocument/2006/relationships/hyperlink" Target="https://eur-lex.europa.eu/legal-content/EN/TXT/?uri=CELEX:52026DC0576" TargetMode="External"/><Relationship Id="rId63" Type="http://schemas.openxmlformats.org/officeDocument/2006/relationships/footer" Target="foot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eitfood.eu/" TargetMode="External"/><Relationship Id="rId11" Type="http://schemas.openxmlformats.org/officeDocument/2006/relationships/image" Target="media/image1.emf"/><Relationship Id="rId24" Type="http://schemas.openxmlformats.org/officeDocument/2006/relationships/hyperlink" Target="https://data.europa.eu/doi/10.2872/9356120" TargetMode="External"/><Relationship Id="rId32" Type="http://schemas.openxmlformats.org/officeDocument/2006/relationships/hyperlink" Target="https://www.fooddrinkeurope.eu/external-resource/etp-food-for-life/" TargetMode="External"/><Relationship Id="rId37" Type="http://schemas.openxmlformats.org/officeDocument/2006/relationships/hyperlink" Target="https://ibisba.eu/" TargetMode="External"/><Relationship Id="rId40" Type="http://schemas.openxmlformats.org/officeDocument/2006/relationships/hyperlink" Target="https://eur-lex.europa.eu/legal-content/EN/TXT/?uri=CELEX:52025JC0130" TargetMode="External"/><Relationship Id="rId45" Type="http://schemas.openxmlformats.org/officeDocument/2006/relationships/hyperlink" Target="https://research-and-innovation.ec.europa.eu/strategy/strategy-research-and-innovation/europe-world/international-cooperation/regional-dialogues-and-international-organisations/eu-africa-cooperation/partnership-food-and-nutrition-security-and-sustainable-agriculture-fnssa_en" TargetMode="External"/><Relationship Id="rId53" Type="http://schemas.openxmlformats.org/officeDocument/2006/relationships/hyperlink" Target="https://joint-research-centre.ec.europa.eu/scientific-activities/european-startup-village-forum_en?prefLang=nl" TargetMode="External"/><Relationship Id="rId58" Type="http://schemas.openxmlformats.org/officeDocument/2006/relationships/footer" Target="footer4.xml"/><Relationship Id="rId66" Type="http://schemas.microsoft.com/office/2019/05/relationships/documenttasks" Target="documenttasks/documenttasks1.xml"/><Relationship Id="rId5" Type="http://schemas.openxmlformats.org/officeDocument/2006/relationships/numbering" Target="numbering.xml"/><Relationship Id="rId61" Type="http://schemas.openxmlformats.org/officeDocument/2006/relationships/footer" Target="footer6.xml"/><Relationship Id="rId19" Type="http://schemas.openxmlformats.org/officeDocument/2006/relationships/hyperlink" Target="https://eur-lex.europa.eu/legal-content/EN/TXT/?uri=CELEX%3A52025DC0525&amp;qid=1762330863739" TargetMode="External"/><Relationship Id="rId14" Type="http://schemas.openxmlformats.org/officeDocument/2006/relationships/footer" Target="footer1.xml"/><Relationship Id="rId22" Type="http://schemas.openxmlformats.org/officeDocument/2006/relationships/hyperlink" Target="https://data.europa.eu/doi/10.2777/365011" TargetMode="External"/><Relationship Id="rId27" Type="http://schemas.openxmlformats.org/officeDocument/2006/relationships/hyperlink" Target="https://eur-lex.europa.eu/legal-content/EN/TXT/?uri=celex:52025DC0270" TargetMode="External"/><Relationship Id="rId30" Type="http://schemas.openxmlformats.org/officeDocument/2006/relationships/hyperlink" Target="https://eic.ec.europa.eu/index_en" TargetMode="External"/><Relationship Id="rId35" Type="http://schemas.openxmlformats.org/officeDocument/2006/relationships/hyperlink" Target="https://employment-social-affairs.ec.europa.eu/policies-and-activities/skills-and-qualifications/skills-jobs/centres-vocational-excellence_en" TargetMode="External"/><Relationship Id="rId43" Type="http://schemas.openxmlformats.org/officeDocument/2006/relationships/hyperlink" Target="http://data.europa.eu/eli/reg/2024/1991/oj" TargetMode="External"/><Relationship Id="rId48" Type="http://schemas.openxmlformats.org/officeDocument/2006/relationships/hyperlink" Target="https://eur-lex.europa.eu/legal-content/EN/TXT/?uri=celex:52025PC1022" TargetMode="External"/><Relationship Id="rId56" Type="http://schemas.openxmlformats.org/officeDocument/2006/relationships/header" Target="header4.xm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agriculture.ec.europa.eu/cap-my-country/rural-development/supporting-smart-village-strategies_en"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op.europa.eu/en/publication-detail/-/publication/ec71ebad-386f-11f1-be39-01aa75ed71a1/language-en" TargetMode="External"/><Relationship Id="rId33" Type="http://schemas.openxmlformats.org/officeDocument/2006/relationships/hyperlink" Target="https://data.europa.eu/doi/10.2760/3646741" TargetMode="External"/><Relationship Id="rId38" Type="http://schemas.openxmlformats.org/officeDocument/2006/relationships/hyperlink" Target="https://europa.eu/youreurope/business/growing/sector-specific-suport/biotech/index_en.htm" TargetMode="External"/><Relationship Id="rId46" Type="http://schemas.openxmlformats.org/officeDocument/2006/relationships/hyperlink" Target="https://bioeast.eu/" TargetMode="External"/><Relationship Id="rId59" Type="http://schemas.openxmlformats.org/officeDocument/2006/relationships/footer" Target="footer5.xml"/><Relationship Id="rId20" Type="http://schemas.openxmlformats.org/officeDocument/2006/relationships/hyperlink" Target="https://ec.europa.eu/newsroom/horizon2020/items/33294/en" TargetMode="External"/><Relationship Id="rId41" Type="http://schemas.openxmlformats.org/officeDocument/2006/relationships/hyperlink" Target="https://eur-lex.europa.eu/legal-content/EN/TXT/?uri=celex:52026DC0355" TargetMode="External"/><Relationship Id="rId54" Type="http://schemas.openxmlformats.org/officeDocument/2006/relationships/hyperlink" Target="https://ec.europa.eu/regional_policy/policy/communities-and-networks/s3-community-of-practice/thematic_agri_en" TargetMode="External"/><Relationship Id="rId62"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consilium.europa.eu/media/ny3j24sm/much-more-than-a-market-report-by-enrico-letta.pdf" TargetMode="External"/><Relationship Id="rId28" Type="http://schemas.openxmlformats.org/officeDocument/2006/relationships/hyperlink" Target="https://scar-europe.org/scar-working-groups/startup-scaleup-tf" TargetMode="External"/><Relationship Id="rId36" Type="http://schemas.openxmlformats.org/officeDocument/2006/relationships/hyperlink" Target="https://www.eit.europa.eu/global-challenges/about-our-knowledge-and-innovation-communities" TargetMode="External"/><Relationship Id="rId49" Type="http://schemas.openxmlformats.org/officeDocument/2006/relationships/hyperlink" Target="https://digital-strategy.ec.europa.eu/en/policies/edic" TargetMode="External"/><Relationship Id="rId57" Type="http://schemas.openxmlformats.org/officeDocument/2006/relationships/header" Target="header5.xml"/><Relationship Id="rId10" Type="http://schemas.openxmlformats.org/officeDocument/2006/relationships/endnotes" Target="endnotes.xml"/><Relationship Id="rId31" Type="http://schemas.openxmlformats.org/officeDocument/2006/relationships/hyperlink" Target="https://een.ec.europa.eu/" TargetMode="External"/><Relationship Id="rId44" Type="http://schemas.openxmlformats.org/officeDocument/2006/relationships/hyperlink" Target="https://health.ec.europa.eu/one-health_en" TargetMode="External"/><Relationship Id="rId52" Type="http://schemas.openxmlformats.org/officeDocument/2006/relationships/hyperlink" Target="https://eismea.ec.europa.eu/programmes/interregional-innovation-investments-i3-instrument_en" TargetMode="External"/><Relationship Id="rId60" Type="http://schemas.openxmlformats.org/officeDocument/2006/relationships/header" Target="header6.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ur-lex.europa.eu/legal-content/EN/TXT/?uri=CELEX:52025DC0075" TargetMode="External"/><Relationship Id="rId39" Type="http://schemas.openxmlformats.org/officeDocument/2006/relationships/hyperlink" Target="https://competition-policy.ec.europa.eu/state-aid/ipcei_en"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agroecologypartnership.eu/en" TargetMode="External"/><Relationship Id="rId18" Type="http://schemas.openxmlformats.org/officeDocument/2006/relationships/hyperlink" Target="https://eur-lex.europa.eu/legal-content/EN/TXT/?uri=intcom:C%282025%298493" TargetMode="External"/><Relationship Id="rId26" Type="http://schemas.openxmlformats.org/officeDocument/2006/relationships/hyperlink" Target="https://eur-lex.europa.eu/legal-content/EN/TXT/?uri=oj:JOC_2023_220_R_0001" TargetMode="External"/><Relationship Id="rId3" Type="http://schemas.openxmlformats.org/officeDocument/2006/relationships/hyperlink" Target="https://agriculture.ec.europa.eu/media/news/eu-agri-food-trade-hits-new-records-2025-2026-03-13_en" TargetMode="External"/><Relationship Id="rId21" Type="http://schemas.openxmlformats.org/officeDocument/2006/relationships/hyperlink" Target="https://agrifoodtef.eu/" TargetMode="External"/><Relationship Id="rId34" Type="http://schemas.openxmlformats.org/officeDocument/2006/relationships/hyperlink" Target="https://globalnutritionreport.org/reports/2021-global-nutrition-report/" TargetMode="External"/><Relationship Id="rId7" Type="http://schemas.openxmlformats.org/officeDocument/2006/relationships/hyperlink" Target="https://agfunder.com/research/agfunder-global-agrifoodtech-investment-report-2025/" TargetMode="External"/><Relationship Id="rId12" Type="http://schemas.openxmlformats.org/officeDocument/2006/relationships/hyperlink" Target="https://mission-soil-platform.ec.europa.eu/" TargetMode="External"/><Relationship Id="rId17" Type="http://schemas.openxmlformats.org/officeDocument/2006/relationships/hyperlink" Target="https://eu-cap-network.ec.europa.eu/publications/study-outcomes-achieved-eip-agri-operational-group-projects-under-cap_en" TargetMode="External"/><Relationship Id="rId25" Type="http://schemas.openxmlformats.org/officeDocument/2006/relationships/hyperlink" Target="https://eur-lex.europa.eu/legal-content/EN/TXT/?uri=COM:2021:240:FIN" TargetMode="External"/><Relationship Id="rId33" Type="http://schemas.openxmlformats.org/officeDocument/2006/relationships/hyperlink" Target="https://foresteurope.org/sustainable-forest-management/" TargetMode="External"/><Relationship Id="rId2" Type="http://schemas.openxmlformats.org/officeDocument/2006/relationships/hyperlink" Target="https://www.fooddrinkeurope.eu/wp-content/uploads/2026/02/FoodDrinkEurope-Data-Trends-2026-report-digital.pdf" TargetMode="External"/><Relationship Id="rId16" Type="http://schemas.openxmlformats.org/officeDocument/2006/relationships/hyperlink" Target="https://data.europa.eu/doi/10.2762/2404939" TargetMode="External"/><Relationship Id="rId20" Type="http://schemas.openxmlformats.org/officeDocument/2006/relationships/hyperlink" Target="https://digital-strategy.ec.europa.eu/en/policies/testing-and-experimentation-facilities" TargetMode="External"/><Relationship Id="rId29" Type="http://schemas.openxmlformats.org/officeDocument/2006/relationships/hyperlink" Target="https://agricultureofdata.eu/" TargetMode="External"/><Relationship Id="rId1" Type="http://schemas.openxmlformats.org/officeDocument/2006/relationships/hyperlink" Target="https://ec.europa.eu/eurostat/web/products-key-figures/w/ks-01-25-049" TargetMode="External"/><Relationship Id="rId6" Type="http://schemas.openxmlformats.org/officeDocument/2006/relationships/hyperlink" Target="https://data.europa.eu/doi/10.2762/4491268" TargetMode="External"/><Relationship Id="rId11" Type="http://schemas.openxmlformats.org/officeDocument/2006/relationships/hyperlink" Target="https://ec.europa.eu/info/funding-tenders/opportunities/docs/2021-2027/horizon/guidance/programme-guide_horizon_en.pdf" TargetMode="External"/><Relationship Id="rId24" Type="http://schemas.openxmlformats.org/officeDocument/2006/relationships/hyperlink" Target="https://eur-lex.europa.eu/legal-content/EN/TXT/?uri=celex:52025DC1024" TargetMode="External"/><Relationship Id="rId32" Type="http://schemas.openxmlformats.org/officeDocument/2006/relationships/hyperlink" Target="https://eur-lex.europa.eu/legal-content/EN/TXT/?uri=celex:52026DC0310" TargetMode="External"/><Relationship Id="rId5" Type="http://schemas.openxmlformats.org/officeDocument/2006/relationships/hyperlink" Target="https://www.oecd.org/en/publications/agricultural-policy-monitoring-and-evaluation-2024_74da57ed-en.html" TargetMode="External"/><Relationship Id="rId15" Type="http://schemas.openxmlformats.org/officeDocument/2006/relationships/hyperlink" Target="https://research-and-innovation.ec.europa.eu/news/all-research-and-innovation-news/public-consultation-joint-undertakings-art-185-initiatives-and-thematic-priorities-european-2026-07-10_en" TargetMode="External"/><Relationship Id="rId23" Type="http://schemas.openxmlformats.org/officeDocument/2006/relationships/hyperlink" Target="https://data.europa.eu/doi/10.2867/008109" TargetMode="External"/><Relationship Id="rId28" Type="http://schemas.openxmlformats.org/officeDocument/2006/relationships/hyperlink" Target="https://eur-lex.europa.eu/legal-content/EN/TXT/?uri=celex:52025PC0555" TargetMode="External"/><Relationship Id="rId10" Type="http://schemas.openxmlformats.org/officeDocument/2006/relationships/hyperlink" Target="https://webgate.ec.europa.eu/funding-tenders-opportunities/spaces/IT/pages/25559615/Cascade+Funding+Calls+Financial+Support+for+Third+Parties+FSTP" TargetMode="External"/><Relationship Id="rId19" Type="http://schemas.openxmlformats.org/officeDocument/2006/relationships/hyperlink" Target="https://mission-soil-platform.ec.europa.eu/resource-library/non-paper-lls-and-ogs-synergies" TargetMode="External"/><Relationship Id="rId31" Type="http://schemas.openxmlformats.org/officeDocument/2006/relationships/hyperlink" Target="https://eur-lex.europa.eu/eli/reg/2026/1388/oj/eng" TargetMode="External"/><Relationship Id="rId4" Type="http://schemas.openxmlformats.org/officeDocument/2006/relationships/hyperlink" Target="https://eur-lex.europa.eu/legal-content/EN/TXT/?uri=CELEX:52025DC0075" TargetMode="External"/><Relationship Id="rId9" Type="http://schemas.openxmlformats.org/officeDocument/2006/relationships/hyperlink" Target="https://data.europa.eu/doi/10.2826/4766674" TargetMode="External"/><Relationship Id="rId14" Type="http://schemas.openxmlformats.org/officeDocument/2006/relationships/hyperlink" Target="https://eur-lex.europa.eu/legal-content/EN/TXT/?uri=celex:52025PC1022" TargetMode="External"/><Relationship Id="rId22" Type="http://schemas.openxmlformats.org/officeDocument/2006/relationships/hyperlink" Target="https://doi.org/10.1787/32810cf6-en" TargetMode="External"/><Relationship Id="rId27" Type="http://schemas.openxmlformats.org/officeDocument/2006/relationships/hyperlink" Target="https://data.europa.eu/doi/10.2760/4814109" TargetMode="External"/><Relationship Id="rId30" Type="http://schemas.openxmlformats.org/officeDocument/2006/relationships/hyperlink" Target="https://data.europa.eu/doi/10.2777/507125" TargetMode="External"/><Relationship Id="rId8" Type="http://schemas.openxmlformats.org/officeDocument/2006/relationships/hyperlink" Target="https://data.europa.eu/doi/10.2777/9106236" TargetMode="External"/></Relationships>
</file>

<file path=word/documenttasks/documenttasks1.xml><?xml version="1.0" encoding="utf-8"?>
<t:Tasks xmlns:t="http://schemas.microsoft.com/office/tasks/2019/documenttasks" xmlns:oel="http://schemas.microsoft.com/office/2019/extlst">
  <t:Task id="{F6012840-71EE-40BB-ABD9-9D81732427D9}">
    <t:Anchor>
      <t:Comment id="1545483467"/>
    </t:Anchor>
    <t:History>
      <t:Event time="2026-07-23T13:09:04.092Z" id="{49224CD1-BAD4-47FE-850A-0D277094860D}">
        <t:Attribution userId="S::Cindy.SCHOUMACHER@ec.europa.eu::4a3a7aaa-37fb-4057-a37c-c43bd03f453a" userName="SCHOUMACHER Cindy (RTD)" userProvider="AD"/>
        <t:Anchor>
          <t:Comment id="1545483467"/>
        </t:Anchor>
        <t:Create/>
      </t:Event>
      <t:Event time="2026-07-23T13:09:04.092Z" id="{55C96C6F-876D-4427-B4DE-5767DDF00009}">
        <t:Attribution userId="S::Cindy.SCHOUMACHER@ec.europa.eu::4a3a7aaa-37fb-4057-a37c-c43bd03f453a" userName="SCHOUMACHER Cindy (RTD)" userProvider="AD"/>
        <t:Anchor>
          <t:Comment id="1545483467"/>
        </t:Anchor>
        <t:Assign userId="S::Rosalinda.SCALIA@ec.europa.eu::fc280e01-4b75-4beb-989a-e45ae0bbe7a1" userName="SCALIA Rosalinda (RTD)" userProvider="AD"/>
      </t:Event>
      <t:Event time="2026-07-23T13:09:04.092Z" id="{21A250AE-C4E9-43AF-AEC6-6FE42BA41798}">
        <t:Attribution userId="S::Cindy.SCHOUMACHER@ec.europa.eu::4a3a7aaa-37fb-4057-a37c-c43bd03f453a" userName="SCHOUMACHER Cindy (RTD)" userProvider="AD"/>
        <t:Anchor>
          <t:Comment id="1545483467"/>
        </t:Anchor>
        <t:SetTitle title="@MOLINA VILLANUEVA Jorge David (RTD) @SCALIA Rosalinda (RTD) 2 questions:Why «smart was removed in the reference just above to S3?Since S3 is mentioned above, should we keep it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51C4916125FF419DE7066CA4F81A93" ma:contentTypeVersion="9" ma:contentTypeDescription="Create a new document." ma:contentTypeScope="" ma:versionID="7a7313c86ce18a238ad81dbcf626f9f8">
  <xsd:schema xmlns:xsd="http://www.w3.org/2001/XMLSchema" xmlns:xs="http://www.w3.org/2001/XMLSchema" xmlns:p="http://schemas.microsoft.com/office/2006/metadata/properties" xmlns:ns2="0b1aa8a4-0540-452f-b0ca-d63655d667c9" xmlns:ns3="2fd5094d-f622-4c67-936d-891aec7f92ce" targetNamespace="http://schemas.microsoft.com/office/2006/metadata/properties" ma:root="true" ma:fieldsID="1492f3af762dec7f11bb176fe38dd01a" ns2:_="" ns3:_="">
    <xsd:import namespace="0b1aa8a4-0540-452f-b0ca-d63655d667c9"/>
    <xsd:import namespace="2fd5094d-f622-4c67-936d-891aec7f92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aa8a4-0540-452f-b0ca-d63655d66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d5094d-f622-4c67-936d-891aec7f92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0681bd-be48-4e66-93f2-1b211d2b3a91}" ma:internalName="TaxCatchAll" ma:showField="CatchAllData" ma:web="2fd5094d-f622-4c67-936d-891aec7f92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fd5094d-f622-4c67-936d-891aec7f92ce" xsi:nil="true"/>
    <lcf76f155ced4ddcb4097134ff3c332f xmlns="0b1aa8a4-0540-452f-b0ca-d63655d667c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28C12-938A-4050-B257-00153EE90A49}">
  <ds:schemaRefs>
    <ds:schemaRef ds:uri="http://schemas.microsoft.com/sharepoint/v3/contenttype/forms"/>
  </ds:schemaRefs>
</ds:datastoreItem>
</file>

<file path=customXml/itemProps2.xml><?xml version="1.0" encoding="utf-8"?>
<ds:datastoreItem xmlns:ds="http://schemas.openxmlformats.org/officeDocument/2006/customXml" ds:itemID="{8257B848-6113-4742-8294-386BAADA8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aa8a4-0540-452f-b0ca-d63655d667c9"/>
    <ds:schemaRef ds:uri="2fd5094d-f622-4c67-936d-891aec7f92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0A36D-B8CA-4FF7-AB96-4EAFB3412596}">
  <ds:schemaRefs>
    <ds:schemaRef ds:uri="http://schemas.microsoft.com/office/2006/metadata/properties"/>
    <ds:schemaRef ds:uri="http://schemas.microsoft.com/office/infopath/2007/PartnerControls"/>
    <ds:schemaRef ds:uri="2fd5094d-f622-4c67-936d-891aec7f92ce"/>
    <ds:schemaRef ds:uri="0b1aa8a4-0540-452f-b0ca-d63655d667c9"/>
  </ds:schemaRefs>
</ds:datastoreItem>
</file>

<file path=customXml/itemProps4.xml><?xml version="1.0" encoding="utf-8"?>
<ds:datastoreItem xmlns:ds="http://schemas.openxmlformats.org/officeDocument/2006/customXml" ds:itemID="{C1745FC9-8CA7-4504-A1D1-6B8BD0E7D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10164</Words>
  <Characters>57939</Characters>
  <Application>Microsoft Office Word</Application>
  <DocSecurity>0</DocSecurity>
  <Lines>482</Lines>
  <Paragraphs>135</Paragraphs>
  <ScaleCrop>false</ScaleCrop>
  <Manager/>
  <Company/>
  <LinksUpToDate>false</LinksUpToDate>
  <CharactersWithSpaces>67968</CharactersWithSpaces>
  <SharedDoc>false</SharedDoc>
  <HLinks>
    <vt:vector size="432" baseType="variant">
      <vt:variant>
        <vt:i4>458775</vt:i4>
      </vt:variant>
      <vt:variant>
        <vt:i4>111</vt:i4>
      </vt:variant>
      <vt:variant>
        <vt:i4>0</vt:i4>
      </vt:variant>
      <vt:variant>
        <vt:i4>5</vt:i4>
      </vt:variant>
      <vt:variant>
        <vt:lpwstr>https://eur-lex.europa.eu/legal-content/EN/TXT/?uri=CELEX:52026DC0576</vt:lpwstr>
      </vt:variant>
      <vt:variant>
        <vt:lpwstr/>
      </vt:variant>
      <vt:variant>
        <vt:i4>3211277</vt:i4>
      </vt:variant>
      <vt:variant>
        <vt:i4>108</vt:i4>
      </vt:variant>
      <vt:variant>
        <vt:i4>0</vt:i4>
      </vt:variant>
      <vt:variant>
        <vt:i4>5</vt:i4>
      </vt:variant>
      <vt:variant>
        <vt:lpwstr>https://ec.europa.eu/regional_policy/policy/communities-and-networks/s3-community-of-practice/thematic_agri_en</vt:lpwstr>
      </vt:variant>
      <vt:variant>
        <vt:lpwstr/>
      </vt:variant>
      <vt:variant>
        <vt:i4>6160507</vt:i4>
      </vt:variant>
      <vt:variant>
        <vt:i4>105</vt:i4>
      </vt:variant>
      <vt:variant>
        <vt:i4>0</vt:i4>
      </vt:variant>
      <vt:variant>
        <vt:i4>5</vt:i4>
      </vt:variant>
      <vt:variant>
        <vt:lpwstr>https://joint-research-centre.ec.europa.eu/scientific-activities/european-startup-village-forum_en?prefLang=nl</vt:lpwstr>
      </vt:variant>
      <vt:variant>
        <vt:lpwstr/>
      </vt:variant>
      <vt:variant>
        <vt:i4>6815761</vt:i4>
      </vt:variant>
      <vt:variant>
        <vt:i4>102</vt:i4>
      </vt:variant>
      <vt:variant>
        <vt:i4>0</vt:i4>
      </vt:variant>
      <vt:variant>
        <vt:i4>5</vt:i4>
      </vt:variant>
      <vt:variant>
        <vt:lpwstr>https://eismea.ec.europa.eu/programmes/interregional-innovation-investments-i3-instrument_en</vt:lpwstr>
      </vt:variant>
      <vt:variant>
        <vt:lpwstr/>
      </vt:variant>
      <vt:variant>
        <vt:i4>3080258</vt:i4>
      </vt:variant>
      <vt:variant>
        <vt:i4>99</vt:i4>
      </vt:variant>
      <vt:variant>
        <vt:i4>0</vt:i4>
      </vt:variant>
      <vt:variant>
        <vt:i4>5</vt:i4>
      </vt:variant>
      <vt:variant>
        <vt:lpwstr>https://agriculture.ec.europa.eu/cap-my-country/rural-development/supporting-smart-village-strategies_en</vt:lpwstr>
      </vt:variant>
      <vt:variant>
        <vt:lpwstr/>
      </vt:variant>
      <vt:variant>
        <vt:i4>2359324</vt:i4>
      </vt:variant>
      <vt:variant>
        <vt:i4>96</vt:i4>
      </vt:variant>
      <vt:variant>
        <vt:i4>0</vt:i4>
      </vt:variant>
      <vt:variant>
        <vt:i4>5</vt:i4>
      </vt:variant>
      <vt:variant>
        <vt:lpwstr>https://eu-cap-network.ec.europa.eu/networking/leader_en</vt:lpwstr>
      </vt:variant>
      <vt:variant>
        <vt:lpwstr/>
      </vt:variant>
      <vt:variant>
        <vt:i4>7471202</vt:i4>
      </vt:variant>
      <vt:variant>
        <vt:i4>93</vt:i4>
      </vt:variant>
      <vt:variant>
        <vt:i4>0</vt:i4>
      </vt:variant>
      <vt:variant>
        <vt:i4>5</vt:i4>
      </vt:variant>
      <vt:variant>
        <vt:lpwstr>https://digital-strategy.ec.europa.eu/en/policies/edic</vt:lpwstr>
      </vt:variant>
      <vt:variant>
        <vt:lpwstr/>
      </vt:variant>
      <vt:variant>
        <vt:i4>1507345</vt:i4>
      </vt:variant>
      <vt:variant>
        <vt:i4>90</vt:i4>
      </vt:variant>
      <vt:variant>
        <vt:i4>0</vt:i4>
      </vt:variant>
      <vt:variant>
        <vt:i4>5</vt:i4>
      </vt:variant>
      <vt:variant>
        <vt:lpwstr>https://eur-lex.europa.eu/legal-content/EN/TXT/?uri=celex:52025PC1022</vt:lpwstr>
      </vt:variant>
      <vt:variant>
        <vt:lpwstr/>
      </vt:variant>
      <vt:variant>
        <vt:i4>2818053</vt:i4>
      </vt:variant>
      <vt:variant>
        <vt:i4>87</vt:i4>
      </vt:variant>
      <vt:variant>
        <vt:i4>0</vt:i4>
      </vt:variant>
      <vt:variant>
        <vt:i4>5</vt:i4>
      </vt:variant>
      <vt:variant>
        <vt:lpwstr>https://research-and-innovation.ec.europa.eu/research-area/environment/prima_en</vt:lpwstr>
      </vt:variant>
      <vt:variant>
        <vt:lpwstr/>
      </vt:variant>
      <vt:variant>
        <vt:i4>3473469</vt:i4>
      </vt:variant>
      <vt:variant>
        <vt:i4>84</vt:i4>
      </vt:variant>
      <vt:variant>
        <vt:i4>0</vt:i4>
      </vt:variant>
      <vt:variant>
        <vt:i4>5</vt:i4>
      </vt:variant>
      <vt:variant>
        <vt:lpwstr>https://bioeast.eu/</vt:lpwstr>
      </vt:variant>
      <vt:variant>
        <vt:lpwstr/>
      </vt:variant>
      <vt:variant>
        <vt:i4>2949159</vt:i4>
      </vt:variant>
      <vt:variant>
        <vt:i4>81</vt:i4>
      </vt:variant>
      <vt:variant>
        <vt:i4>0</vt:i4>
      </vt:variant>
      <vt:variant>
        <vt:i4>5</vt:i4>
      </vt:variant>
      <vt:variant>
        <vt:lpwstr>https://research-and-innovation.ec.europa.eu/strategy/strategy-research-and-innovation/europe-world/international-cooperation/regional-dialogues-and-international-organisations/eu-africa-cooperation/partnership-food-and-nutrition-security-and-sustainable-agriculture-fnssa_en</vt:lpwstr>
      </vt:variant>
      <vt:variant>
        <vt:lpwstr/>
      </vt:variant>
      <vt:variant>
        <vt:i4>5046372</vt:i4>
      </vt:variant>
      <vt:variant>
        <vt:i4>78</vt:i4>
      </vt:variant>
      <vt:variant>
        <vt:i4>0</vt:i4>
      </vt:variant>
      <vt:variant>
        <vt:i4>5</vt:i4>
      </vt:variant>
      <vt:variant>
        <vt:lpwstr>https://health.ec.europa.eu/one-health_en</vt:lpwstr>
      </vt:variant>
      <vt:variant>
        <vt:lpwstr/>
      </vt:variant>
      <vt:variant>
        <vt:i4>6553700</vt:i4>
      </vt:variant>
      <vt:variant>
        <vt:i4>75</vt:i4>
      </vt:variant>
      <vt:variant>
        <vt:i4>0</vt:i4>
      </vt:variant>
      <vt:variant>
        <vt:i4>5</vt:i4>
      </vt:variant>
      <vt:variant>
        <vt:lpwstr>http://data.europa.eu/eli/reg/2024/1991/oj</vt:lpwstr>
      </vt:variant>
      <vt:variant>
        <vt:lpwstr/>
      </vt:variant>
      <vt:variant>
        <vt:i4>393240</vt:i4>
      </vt:variant>
      <vt:variant>
        <vt:i4>72</vt:i4>
      </vt:variant>
      <vt:variant>
        <vt:i4>0</vt:i4>
      </vt:variant>
      <vt:variant>
        <vt:i4>5</vt:i4>
      </vt:variant>
      <vt:variant>
        <vt:lpwstr>https://eur-lex.europa.eu/legal-content/EN/TXT/?uri=celex:52025DC0960</vt:lpwstr>
      </vt:variant>
      <vt:variant>
        <vt:lpwstr/>
      </vt:variant>
      <vt:variant>
        <vt:i4>327697</vt:i4>
      </vt:variant>
      <vt:variant>
        <vt:i4>69</vt:i4>
      </vt:variant>
      <vt:variant>
        <vt:i4>0</vt:i4>
      </vt:variant>
      <vt:variant>
        <vt:i4>5</vt:i4>
      </vt:variant>
      <vt:variant>
        <vt:lpwstr>https://eur-lex.europa.eu/legal-content/EN/TXT/?uri=celex:52026DC0355</vt:lpwstr>
      </vt:variant>
      <vt:variant>
        <vt:lpwstr/>
      </vt:variant>
      <vt:variant>
        <vt:i4>851984</vt:i4>
      </vt:variant>
      <vt:variant>
        <vt:i4>66</vt:i4>
      </vt:variant>
      <vt:variant>
        <vt:i4>0</vt:i4>
      </vt:variant>
      <vt:variant>
        <vt:i4>5</vt:i4>
      </vt:variant>
      <vt:variant>
        <vt:lpwstr>https://eur-lex.europa.eu/legal-content/EN/TXT/?uri=CELEX:52025JC0130</vt:lpwstr>
      </vt:variant>
      <vt:variant>
        <vt:lpwstr/>
      </vt:variant>
      <vt:variant>
        <vt:i4>393279</vt:i4>
      </vt:variant>
      <vt:variant>
        <vt:i4>63</vt:i4>
      </vt:variant>
      <vt:variant>
        <vt:i4>0</vt:i4>
      </vt:variant>
      <vt:variant>
        <vt:i4>5</vt:i4>
      </vt:variant>
      <vt:variant>
        <vt:lpwstr>https://competition-policy.ec.europa.eu/state-aid/ipcei_en</vt:lpwstr>
      </vt:variant>
      <vt:variant>
        <vt:lpwstr/>
      </vt:variant>
      <vt:variant>
        <vt:i4>5832749</vt:i4>
      </vt:variant>
      <vt:variant>
        <vt:i4>60</vt:i4>
      </vt:variant>
      <vt:variant>
        <vt:i4>0</vt:i4>
      </vt:variant>
      <vt:variant>
        <vt:i4>5</vt:i4>
      </vt:variant>
      <vt:variant>
        <vt:lpwstr>https://europa.eu/youreurope/business/growing/sector-specific-suport/biotech/index_en.htm</vt:lpwstr>
      </vt:variant>
      <vt:variant>
        <vt:lpwstr/>
      </vt:variant>
      <vt:variant>
        <vt:i4>2818169</vt:i4>
      </vt:variant>
      <vt:variant>
        <vt:i4>57</vt:i4>
      </vt:variant>
      <vt:variant>
        <vt:i4>0</vt:i4>
      </vt:variant>
      <vt:variant>
        <vt:i4>5</vt:i4>
      </vt:variant>
      <vt:variant>
        <vt:lpwstr>https://ibisba.eu/</vt:lpwstr>
      </vt:variant>
      <vt:variant>
        <vt:lpwstr/>
      </vt:variant>
      <vt:variant>
        <vt:i4>7209069</vt:i4>
      </vt:variant>
      <vt:variant>
        <vt:i4>54</vt:i4>
      </vt:variant>
      <vt:variant>
        <vt:i4>0</vt:i4>
      </vt:variant>
      <vt:variant>
        <vt:i4>5</vt:i4>
      </vt:variant>
      <vt:variant>
        <vt:lpwstr>https://www.eit.europa.eu/global-challenges/about-our-knowledge-and-innovation-communities</vt:lpwstr>
      </vt:variant>
      <vt:variant>
        <vt:lpwstr/>
      </vt:variant>
      <vt:variant>
        <vt:i4>5701673</vt:i4>
      </vt:variant>
      <vt:variant>
        <vt:i4>51</vt:i4>
      </vt:variant>
      <vt:variant>
        <vt:i4>0</vt:i4>
      </vt:variant>
      <vt:variant>
        <vt:i4>5</vt:i4>
      </vt:variant>
      <vt:variant>
        <vt:lpwstr>https://employment-social-affairs.ec.europa.eu/policies-and-activities/skills-and-qualifications/skills-jobs/centres-vocational-excellence_en</vt:lpwstr>
      </vt:variant>
      <vt:variant>
        <vt:lpwstr/>
      </vt:variant>
      <vt:variant>
        <vt:i4>4325421</vt:i4>
      </vt:variant>
      <vt:variant>
        <vt:i4>48</vt:i4>
      </vt:variant>
      <vt:variant>
        <vt:i4>0</vt:i4>
      </vt:variant>
      <vt:variant>
        <vt:i4>5</vt:i4>
      </vt:variant>
      <vt:variant>
        <vt:lpwstr>https://pact-for-skills.ec.europa.eu/about/industrial-ecosystems-and-partnerships/agri-food_en</vt:lpwstr>
      </vt:variant>
      <vt:variant>
        <vt:lpwstr/>
      </vt:variant>
      <vt:variant>
        <vt:i4>3735584</vt:i4>
      </vt:variant>
      <vt:variant>
        <vt:i4>45</vt:i4>
      </vt:variant>
      <vt:variant>
        <vt:i4>0</vt:i4>
      </vt:variant>
      <vt:variant>
        <vt:i4>5</vt:i4>
      </vt:variant>
      <vt:variant>
        <vt:lpwstr>https://data.europa.eu/doi/10.2760/3646741</vt:lpwstr>
      </vt:variant>
      <vt:variant>
        <vt:lpwstr/>
      </vt:variant>
      <vt:variant>
        <vt:i4>3014769</vt:i4>
      </vt:variant>
      <vt:variant>
        <vt:i4>42</vt:i4>
      </vt:variant>
      <vt:variant>
        <vt:i4>0</vt:i4>
      </vt:variant>
      <vt:variant>
        <vt:i4>5</vt:i4>
      </vt:variant>
      <vt:variant>
        <vt:lpwstr>https://www.fooddrinkeurope.eu/external-resource/etp-food-for-life/</vt:lpwstr>
      </vt:variant>
      <vt:variant>
        <vt:lpwstr/>
      </vt:variant>
      <vt:variant>
        <vt:i4>327710</vt:i4>
      </vt:variant>
      <vt:variant>
        <vt:i4>39</vt:i4>
      </vt:variant>
      <vt:variant>
        <vt:i4>0</vt:i4>
      </vt:variant>
      <vt:variant>
        <vt:i4>5</vt:i4>
      </vt:variant>
      <vt:variant>
        <vt:lpwstr>https://een.ec.europa.eu/</vt:lpwstr>
      </vt:variant>
      <vt:variant>
        <vt:lpwstr/>
      </vt:variant>
      <vt:variant>
        <vt:i4>1638504</vt:i4>
      </vt:variant>
      <vt:variant>
        <vt:i4>36</vt:i4>
      </vt:variant>
      <vt:variant>
        <vt:i4>0</vt:i4>
      </vt:variant>
      <vt:variant>
        <vt:i4>5</vt:i4>
      </vt:variant>
      <vt:variant>
        <vt:lpwstr>https://eic.ec.europa.eu/index_en</vt:lpwstr>
      </vt:variant>
      <vt:variant>
        <vt:lpwstr/>
      </vt:variant>
      <vt:variant>
        <vt:i4>7536703</vt:i4>
      </vt:variant>
      <vt:variant>
        <vt:i4>33</vt:i4>
      </vt:variant>
      <vt:variant>
        <vt:i4>0</vt:i4>
      </vt:variant>
      <vt:variant>
        <vt:i4>5</vt:i4>
      </vt:variant>
      <vt:variant>
        <vt:lpwstr>https://www.eitfood.eu/</vt:lpwstr>
      </vt:variant>
      <vt:variant>
        <vt:lpwstr/>
      </vt:variant>
      <vt:variant>
        <vt:i4>3539041</vt:i4>
      </vt:variant>
      <vt:variant>
        <vt:i4>30</vt:i4>
      </vt:variant>
      <vt:variant>
        <vt:i4>0</vt:i4>
      </vt:variant>
      <vt:variant>
        <vt:i4>5</vt:i4>
      </vt:variant>
      <vt:variant>
        <vt:lpwstr>https://scar-europe.org/scar-working-groups/startup-scaleup-tf</vt:lpwstr>
      </vt:variant>
      <vt:variant>
        <vt:lpwstr/>
      </vt:variant>
      <vt:variant>
        <vt:i4>458771</vt:i4>
      </vt:variant>
      <vt:variant>
        <vt:i4>27</vt:i4>
      </vt:variant>
      <vt:variant>
        <vt:i4>0</vt:i4>
      </vt:variant>
      <vt:variant>
        <vt:i4>5</vt:i4>
      </vt:variant>
      <vt:variant>
        <vt:lpwstr>https://eur-lex.europa.eu/legal-content/EN/TXT/?uri=celex:52025DC0270</vt:lpwstr>
      </vt:variant>
      <vt:variant>
        <vt:lpwstr/>
      </vt:variant>
      <vt:variant>
        <vt:i4>1245254</vt:i4>
      </vt:variant>
      <vt:variant>
        <vt:i4>24</vt:i4>
      </vt:variant>
      <vt:variant>
        <vt:i4>0</vt:i4>
      </vt:variant>
      <vt:variant>
        <vt:i4>5</vt:i4>
      </vt:variant>
      <vt:variant>
        <vt:lpwstr>https://op.europa.eu/en/publication-detail/-/publication/388df32b-7cce-11f1-bf5e-01aa75ed71a1/language-en</vt:lpwstr>
      </vt:variant>
      <vt:variant>
        <vt:lpwstr/>
      </vt:variant>
      <vt:variant>
        <vt:i4>1900616</vt:i4>
      </vt:variant>
      <vt:variant>
        <vt:i4>21</vt:i4>
      </vt:variant>
      <vt:variant>
        <vt:i4>0</vt:i4>
      </vt:variant>
      <vt:variant>
        <vt:i4>5</vt:i4>
      </vt:variant>
      <vt:variant>
        <vt:lpwstr>https://op.europa.eu/en/publication-detail/-/publication/ec71ebad-386f-11f1-be39-01aa75ed71a1/language-en</vt:lpwstr>
      </vt:variant>
      <vt:variant>
        <vt:lpwstr/>
      </vt:variant>
      <vt:variant>
        <vt:i4>3670050</vt:i4>
      </vt:variant>
      <vt:variant>
        <vt:i4>18</vt:i4>
      </vt:variant>
      <vt:variant>
        <vt:i4>0</vt:i4>
      </vt:variant>
      <vt:variant>
        <vt:i4>5</vt:i4>
      </vt:variant>
      <vt:variant>
        <vt:lpwstr>https://data.europa.eu/doi/10.2872/9356120</vt:lpwstr>
      </vt:variant>
      <vt:variant>
        <vt:lpwstr/>
      </vt:variant>
      <vt:variant>
        <vt:i4>6225928</vt:i4>
      </vt:variant>
      <vt:variant>
        <vt:i4>15</vt:i4>
      </vt:variant>
      <vt:variant>
        <vt:i4>0</vt:i4>
      </vt:variant>
      <vt:variant>
        <vt:i4>5</vt:i4>
      </vt:variant>
      <vt:variant>
        <vt:lpwstr>https://www.consilium.europa.eu/media/ny3j24sm/much-more-than-a-market-report-by-enrico-letta.pdf</vt:lpwstr>
      </vt:variant>
      <vt:variant>
        <vt:lpwstr/>
      </vt:variant>
      <vt:variant>
        <vt:i4>524307</vt:i4>
      </vt:variant>
      <vt:variant>
        <vt:i4>12</vt:i4>
      </vt:variant>
      <vt:variant>
        <vt:i4>0</vt:i4>
      </vt:variant>
      <vt:variant>
        <vt:i4>5</vt:i4>
      </vt:variant>
      <vt:variant>
        <vt:lpwstr>https://data.europa.eu/doi/10.2777/365011</vt:lpwstr>
      </vt:variant>
      <vt:variant>
        <vt:lpwstr/>
      </vt:variant>
      <vt:variant>
        <vt:i4>8192019</vt:i4>
      </vt:variant>
      <vt:variant>
        <vt:i4>9</vt:i4>
      </vt:variant>
      <vt:variant>
        <vt:i4>0</vt:i4>
      </vt:variant>
      <vt:variant>
        <vt:i4>5</vt:i4>
      </vt:variant>
      <vt:variant>
        <vt:lpwstr>https://commission.europa.eu/topics/research-and-innovation/choose-europe_en</vt:lpwstr>
      </vt:variant>
      <vt:variant>
        <vt:lpwstr/>
      </vt:variant>
      <vt:variant>
        <vt:i4>6160399</vt:i4>
      </vt:variant>
      <vt:variant>
        <vt:i4>6</vt:i4>
      </vt:variant>
      <vt:variant>
        <vt:i4>0</vt:i4>
      </vt:variant>
      <vt:variant>
        <vt:i4>5</vt:i4>
      </vt:variant>
      <vt:variant>
        <vt:lpwstr>https://ec.europa.eu/newsroom/horizon2020/items/33294/en</vt:lpwstr>
      </vt:variant>
      <vt:variant>
        <vt:lpwstr/>
      </vt:variant>
      <vt:variant>
        <vt:i4>2</vt:i4>
      </vt:variant>
      <vt:variant>
        <vt:i4>3</vt:i4>
      </vt:variant>
      <vt:variant>
        <vt:i4>0</vt:i4>
      </vt:variant>
      <vt:variant>
        <vt:i4>5</vt:i4>
      </vt:variant>
      <vt:variant>
        <vt:lpwstr>https://eur-lex.europa.eu/legal-content/EN/TXT/?uri=CELEX%3A52025DC0525&amp;qid=1762330863739</vt:lpwstr>
      </vt:variant>
      <vt:variant>
        <vt:lpwstr/>
      </vt:variant>
      <vt:variant>
        <vt:i4>458769</vt:i4>
      </vt:variant>
      <vt:variant>
        <vt:i4>0</vt:i4>
      </vt:variant>
      <vt:variant>
        <vt:i4>0</vt:i4>
      </vt:variant>
      <vt:variant>
        <vt:i4>5</vt:i4>
      </vt:variant>
      <vt:variant>
        <vt:lpwstr>https://eur-lex.europa.eu/legal-content/EN/TXT/?uri=CELEX:52025DC0075</vt:lpwstr>
      </vt:variant>
      <vt:variant>
        <vt:lpwstr/>
      </vt:variant>
      <vt:variant>
        <vt:i4>3604579</vt:i4>
      </vt:variant>
      <vt:variant>
        <vt:i4>104</vt:i4>
      </vt:variant>
      <vt:variant>
        <vt:i4>0</vt:i4>
      </vt:variant>
      <vt:variant>
        <vt:i4>5</vt:i4>
      </vt:variant>
      <vt:variant>
        <vt:lpwstr>https://globalnutritionreport.org/reports/2021-global-nutrition-report/</vt:lpwstr>
      </vt:variant>
      <vt:variant>
        <vt:lpwstr/>
      </vt:variant>
      <vt:variant>
        <vt:i4>3014754</vt:i4>
      </vt:variant>
      <vt:variant>
        <vt:i4>101</vt:i4>
      </vt:variant>
      <vt:variant>
        <vt:i4>0</vt:i4>
      </vt:variant>
      <vt:variant>
        <vt:i4>5</vt:i4>
      </vt:variant>
      <vt:variant>
        <vt:lpwstr>https://foresteurope.org/sustainable-forest-management/</vt:lpwstr>
      </vt:variant>
      <vt:variant>
        <vt:lpwstr/>
      </vt:variant>
      <vt:variant>
        <vt:i4>65553</vt:i4>
      </vt:variant>
      <vt:variant>
        <vt:i4>98</vt:i4>
      </vt:variant>
      <vt:variant>
        <vt:i4>0</vt:i4>
      </vt:variant>
      <vt:variant>
        <vt:i4>5</vt:i4>
      </vt:variant>
      <vt:variant>
        <vt:lpwstr>https://eur-lex.europa.eu/legal-content/EN/TXT/?uri=celex:52026DC0310</vt:lpwstr>
      </vt:variant>
      <vt:variant>
        <vt:lpwstr/>
      </vt:variant>
      <vt:variant>
        <vt:i4>7471212</vt:i4>
      </vt:variant>
      <vt:variant>
        <vt:i4>95</vt:i4>
      </vt:variant>
      <vt:variant>
        <vt:i4>0</vt:i4>
      </vt:variant>
      <vt:variant>
        <vt:i4>5</vt:i4>
      </vt:variant>
      <vt:variant>
        <vt:lpwstr>https://eur-lex.europa.eu/eli/reg/2026/1388/oj/eng</vt:lpwstr>
      </vt:variant>
      <vt:variant>
        <vt:lpwstr/>
      </vt:variant>
      <vt:variant>
        <vt:i4>983060</vt:i4>
      </vt:variant>
      <vt:variant>
        <vt:i4>92</vt:i4>
      </vt:variant>
      <vt:variant>
        <vt:i4>0</vt:i4>
      </vt:variant>
      <vt:variant>
        <vt:i4>5</vt:i4>
      </vt:variant>
      <vt:variant>
        <vt:lpwstr>https://data.europa.eu/doi/10.2777/507125</vt:lpwstr>
      </vt:variant>
      <vt:variant>
        <vt:lpwstr/>
      </vt:variant>
      <vt:variant>
        <vt:i4>4718671</vt:i4>
      </vt:variant>
      <vt:variant>
        <vt:i4>89</vt:i4>
      </vt:variant>
      <vt:variant>
        <vt:i4>0</vt:i4>
      </vt:variant>
      <vt:variant>
        <vt:i4>5</vt:i4>
      </vt:variant>
      <vt:variant>
        <vt:lpwstr>https://agricultureofdata.eu/</vt:lpwstr>
      </vt:variant>
      <vt:variant>
        <vt:lpwstr/>
      </vt:variant>
      <vt:variant>
        <vt:i4>1114132</vt:i4>
      </vt:variant>
      <vt:variant>
        <vt:i4>86</vt:i4>
      </vt:variant>
      <vt:variant>
        <vt:i4>0</vt:i4>
      </vt:variant>
      <vt:variant>
        <vt:i4>5</vt:i4>
      </vt:variant>
      <vt:variant>
        <vt:lpwstr>https://eur-lex.europa.eu/legal-content/EN/TXT/?uri=celex:52025PC0555</vt:lpwstr>
      </vt:variant>
      <vt:variant>
        <vt:lpwstr/>
      </vt:variant>
      <vt:variant>
        <vt:i4>3473448</vt:i4>
      </vt:variant>
      <vt:variant>
        <vt:i4>83</vt:i4>
      </vt:variant>
      <vt:variant>
        <vt:i4>0</vt:i4>
      </vt:variant>
      <vt:variant>
        <vt:i4>5</vt:i4>
      </vt:variant>
      <vt:variant>
        <vt:lpwstr>https://data.europa.eu/doi/10.2760/4814109</vt:lpwstr>
      </vt:variant>
      <vt:variant>
        <vt:lpwstr/>
      </vt:variant>
      <vt:variant>
        <vt:i4>5308435</vt:i4>
      </vt:variant>
      <vt:variant>
        <vt:i4>80</vt:i4>
      </vt:variant>
      <vt:variant>
        <vt:i4>0</vt:i4>
      </vt:variant>
      <vt:variant>
        <vt:i4>5</vt:i4>
      </vt:variant>
      <vt:variant>
        <vt:lpwstr>https://eur-lex.europa.eu/legal-content/EN/TXT/?uri=oj:JOC_2023_220_R_0001</vt:lpwstr>
      </vt:variant>
      <vt:variant>
        <vt:lpwstr/>
      </vt:variant>
      <vt:variant>
        <vt:i4>86</vt:i4>
      </vt:variant>
      <vt:variant>
        <vt:i4>77</vt:i4>
      </vt:variant>
      <vt:variant>
        <vt:i4>0</vt:i4>
      </vt:variant>
      <vt:variant>
        <vt:i4>5</vt:i4>
      </vt:variant>
      <vt:variant>
        <vt:lpwstr>https://eur-lex.europa.eu/legal-content/EN/TXT/?uri=COM:2021:240:FIN</vt:lpwstr>
      </vt:variant>
      <vt:variant>
        <vt:lpwstr/>
      </vt:variant>
      <vt:variant>
        <vt:i4>196625</vt:i4>
      </vt:variant>
      <vt:variant>
        <vt:i4>74</vt:i4>
      </vt:variant>
      <vt:variant>
        <vt:i4>0</vt:i4>
      </vt:variant>
      <vt:variant>
        <vt:i4>5</vt:i4>
      </vt:variant>
      <vt:variant>
        <vt:lpwstr>https://eur-lex.europa.eu/legal-content/EN/TXT/?uri=celex:52025DC1024</vt:lpwstr>
      </vt:variant>
      <vt:variant>
        <vt:lpwstr/>
      </vt:variant>
      <vt:variant>
        <vt:i4>524309</vt:i4>
      </vt:variant>
      <vt:variant>
        <vt:i4>71</vt:i4>
      </vt:variant>
      <vt:variant>
        <vt:i4>0</vt:i4>
      </vt:variant>
      <vt:variant>
        <vt:i4>5</vt:i4>
      </vt:variant>
      <vt:variant>
        <vt:lpwstr>https://data.europa.eu/doi/10.2867/008109</vt:lpwstr>
      </vt:variant>
      <vt:variant>
        <vt:lpwstr/>
      </vt:variant>
      <vt:variant>
        <vt:i4>2621482</vt:i4>
      </vt:variant>
      <vt:variant>
        <vt:i4>68</vt:i4>
      </vt:variant>
      <vt:variant>
        <vt:i4>0</vt:i4>
      </vt:variant>
      <vt:variant>
        <vt:i4>5</vt:i4>
      </vt:variant>
      <vt:variant>
        <vt:lpwstr>https://doi.org/10.1787/32810cf6-en</vt:lpwstr>
      </vt:variant>
      <vt:variant>
        <vt:lpwstr/>
      </vt:variant>
      <vt:variant>
        <vt:i4>2752557</vt:i4>
      </vt:variant>
      <vt:variant>
        <vt:i4>65</vt:i4>
      </vt:variant>
      <vt:variant>
        <vt:i4>0</vt:i4>
      </vt:variant>
      <vt:variant>
        <vt:i4>5</vt:i4>
      </vt:variant>
      <vt:variant>
        <vt:lpwstr>https://agrifoodtef.eu/</vt:lpwstr>
      </vt:variant>
      <vt:variant>
        <vt:lpwstr/>
      </vt:variant>
      <vt:variant>
        <vt:i4>786436</vt:i4>
      </vt:variant>
      <vt:variant>
        <vt:i4>62</vt:i4>
      </vt:variant>
      <vt:variant>
        <vt:i4>0</vt:i4>
      </vt:variant>
      <vt:variant>
        <vt:i4>5</vt:i4>
      </vt:variant>
      <vt:variant>
        <vt:lpwstr>https://digital-strategy.ec.europa.eu/en/policies/testing-and-experimentation-facilities</vt:lpwstr>
      </vt:variant>
      <vt:variant>
        <vt:lpwstr>TEF-Projects</vt:lpwstr>
      </vt:variant>
      <vt:variant>
        <vt:i4>8323191</vt:i4>
      </vt:variant>
      <vt:variant>
        <vt:i4>59</vt:i4>
      </vt:variant>
      <vt:variant>
        <vt:i4>0</vt:i4>
      </vt:variant>
      <vt:variant>
        <vt:i4>5</vt:i4>
      </vt:variant>
      <vt:variant>
        <vt:lpwstr>https://mission-soil-platform.ec.europa.eu/resource-library/non-paper-lls-and-ogs-synergies</vt:lpwstr>
      </vt:variant>
      <vt:variant>
        <vt:lpwstr/>
      </vt:variant>
      <vt:variant>
        <vt:i4>7602278</vt:i4>
      </vt:variant>
      <vt:variant>
        <vt:i4>56</vt:i4>
      </vt:variant>
      <vt:variant>
        <vt:i4>0</vt:i4>
      </vt:variant>
      <vt:variant>
        <vt:i4>5</vt:i4>
      </vt:variant>
      <vt:variant>
        <vt:lpwstr>https://eur-lex.europa.eu/legal-content/EN/TXT/?uri=intcom:C%282025%298493</vt:lpwstr>
      </vt:variant>
      <vt:variant>
        <vt:lpwstr/>
      </vt:variant>
      <vt:variant>
        <vt:i4>1245311</vt:i4>
      </vt:variant>
      <vt:variant>
        <vt:i4>53</vt:i4>
      </vt:variant>
      <vt:variant>
        <vt:i4>0</vt:i4>
      </vt:variant>
      <vt:variant>
        <vt:i4>5</vt:i4>
      </vt:variant>
      <vt:variant>
        <vt:lpwstr>https://eu-cap-network.ec.europa.eu/publications/study-outcomes-achieved-eip-agri-operational-group-projects-under-cap_en</vt:lpwstr>
      </vt:variant>
      <vt:variant>
        <vt:lpwstr/>
      </vt:variant>
      <vt:variant>
        <vt:i4>3670055</vt:i4>
      </vt:variant>
      <vt:variant>
        <vt:i4>50</vt:i4>
      </vt:variant>
      <vt:variant>
        <vt:i4>0</vt:i4>
      </vt:variant>
      <vt:variant>
        <vt:i4>5</vt:i4>
      </vt:variant>
      <vt:variant>
        <vt:lpwstr>https://data.europa.eu/doi/10.2762/2404939</vt:lpwstr>
      </vt:variant>
      <vt:variant>
        <vt:lpwstr/>
      </vt:variant>
      <vt:variant>
        <vt:i4>2555969</vt:i4>
      </vt:variant>
      <vt:variant>
        <vt:i4>47</vt:i4>
      </vt:variant>
      <vt:variant>
        <vt:i4>0</vt:i4>
      </vt:variant>
      <vt:variant>
        <vt:i4>5</vt:i4>
      </vt:variant>
      <vt:variant>
        <vt:lpwstr>https://research-and-innovation.ec.europa.eu/news/all-research-and-innovation-news/public-consultation-joint-undertakings-art-185-initiatives-and-thematic-priorities-european-2026-07-10_en</vt:lpwstr>
      </vt:variant>
      <vt:variant>
        <vt:lpwstr/>
      </vt:variant>
      <vt:variant>
        <vt:i4>1507345</vt:i4>
      </vt:variant>
      <vt:variant>
        <vt:i4>44</vt:i4>
      </vt:variant>
      <vt:variant>
        <vt:i4>0</vt:i4>
      </vt:variant>
      <vt:variant>
        <vt:i4>5</vt:i4>
      </vt:variant>
      <vt:variant>
        <vt:lpwstr>https://eur-lex.europa.eu/legal-content/EN/TXT/?uri=celex:52025PC1022</vt:lpwstr>
      </vt:variant>
      <vt:variant>
        <vt:lpwstr/>
      </vt:variant>
      <vt:variant>
        <vt:i4>655387</vt:i4>
      </vt:variant>
      <vt:variant>
        <vt:i4>41</vt:i4>
      </vt:variant>
      <vt:variant>
        <vt:i4>0</vt:i4>
      </vt:variant>
      <vt:variant>
        <vt:i4>5</vt:i4>
      </vt:variant>
      <vt:variant>
        <vt:lpwstr>https://www.agroecologypartnership.eu/en</vt:lpwstr>
      </vt:variant>
      <vt:variant>
        <vt:lpwstr/>
      </vt:variant>
      <vt:variant>
        <vt:i4>4063265</vt:i4>
      </vt:variant>
      <vt:variant>
        <vt:i4>38</vt:i4>
      </vt:variant>
      <vt:variant>
        <vt:i4>0</vt:i4>
      </vt:variant>
      <vt:variant>
        <vt:i4>5</vt:i4>
      </vt:variant>
      <vt:variant>
        <vt:lpwstr>https://mission-soil-platform.ec.europa.eu/</vt:lpwstr>
      </vt:variant>
      <vt:variant>
        <vt:lpwstr/>
      </vt:variant>
      <vt:variant>
        <vt:i4>7602223</vt:i4>
      </vt:variant>
      <vt:variant>
        <vt:i4>35</vt:i4>
      </vt:variant>
      <vt:variant>
        <vt:i4>0</vt:i4>
      </vt:variant>
      <vt:variant>
        <vt:i4>5</vt:i4>
      </vt:variant>
      <vt:variant>
        <vt:lpwstr>https://ec.europa.eu/info/funding-tenders/opportunities/docs/2021-2027/horizon/guidance/programme-guide_horizon_en.pdf</vt:lpwstr>
      </vt:variant>
      <vt:variant>
        <vt:lpwstr/>
      </vt:variant>
      <vt:variant>
        <vt:i4>7340128</vt:i4>
      </vt:variant>
      <vt:variant>
        <vt:i4>32</vt:i4>
      </vt:variant>
      <vt:variant>
        <vt:i4>0</vt:i4>
      </vt:variant>
      <vt:variant>
        <vt:i4>5</vt:i4>
      </vt:variant>
      <vt:variant>
        <vt:lpwstr>https://webgate.ec.europa.eu/funding-tenders-opportunities/spaces/IT/pages/25559615/Cascade+Funding+Calls+Financial+Support+for+Third+Parties+FSTP</vt:lpwstr>
      </vt:variant>
      <vt:variant>
        <vt:lpwstr/>
      </vt:variant>
      <vt:variant>
        <vt:i4>3211302</vt:i4>
      </vt:variant>
      <vt:variant>
        <vt:i4>29</vt:i4>
      </vt:variant>
      <vt:variant>
        <vt:i4>0</vt:i4>
      </vt:variant>
      <vt:variant>
        <vt:i4>5</vt:i4>
      </vt:variant>
      <vt:variant>
        <vt:lpwstr>https://data.europa.eu/doi/10.2826/4766674</vt:lpwstr>
      </vt:variant>
      <vt:variant>
        <vt:lpwstr/>
      </vt:variant>
      <vt:variant>
        <vt:i4>3276833</vt:i4>
      </vt:variant>
      <vt:variant>
        <vt:i4>26</vt:i4>
      </vt:variant>
      <vt:variant>
        <vt:i4>0</vt:i4>
      </vt:variant>
      <vt:variant>
        <vt:i4>5</vt:i4>
      </vt:variant>
      <vt:variant>
        <vt:lpwstr>https://data.europa.eu/doi/10.2777/9106236</vt:lpwstr>
      </vt:variant>
      <vt:variant>
        <vt:lpwstr/>
      </vt:variant>
      <vt:variant>
        <vt:i4>7077997</vt:i4>
      </vt:variant>
      <vt:variant>
        <vt:i4>23</vt:i4>
      </vt:variant>
      <vt:variant>
        <vt:i4>0</vt:i4>
      </vt:variant>
      <vt:variant>
        <vt:i4>5</vt:i4>
      </vt:variant>
      <vt:variant>
        <vt:lpwstr>https://agfunder.com/research/agfunder-global-agrifoodtech-investment-report-2025/</vt:lpwstr>
      </vt:variant>
      <vt:variant>
        <vt:lpwstr/>
      </vt:variant>
      <vt:variant>
        <vt:i4>3997735</vt:i4>
      </vt:variant>
      <vt:variant>
        <vt:i4>20</vt:i4>
      </vt:variant>
      <vt:variant>
        <vt:i4>0</vt:i4>
      </vt:variant>
      <vt:variant>
        <vt:i4>5</vt:i4>
      </vt:variant>
      <vt:variant>
        <vt:lpwstr>https://data.europa.eu/doi/10.2762/4491268</vt:lpwstr>
      </vt:variant>
      <vt:variant>
        <vt:lpwstr/>
      </vt:variant>
      <vt:variant>
        <vt:i4>3145796</vt:i4>
      </vt:variant>
      <vt:variant>
        <vt:i4>17</vt:i4>
      </vt:variant>
      <vt:variant>
        <vt:i4>0</vt:i4>
      </vt:variant>
      <vt:variant>
        <vt:i4>5</vt:i4>
      </vt:variant>
      <vt:variant>
        <vt:lpwstr>https://www.oecd.org/en/publications/agricultural-policy-monitoring-and-evaluation-2024_74da57ed-en.html</vt:lpwstr>
      </vt:variant>
      <vt:variant>
        <vt:lpwstr/>
      </vt:variant>
      <vt:variant>
        <vt:i4>458769</vt:i4>
      </vt:variant>
      <vt:variant>
        <vt:i4>14</vt:i4>
      </vt:variant>
      <vt:variant>
        <vt:i4>0</vt:i4>
      </vt:variant>
      <vt:variant>
        <vt:i4>5</vt:i4>
      </vt:variant>
      <vt:variant>
        <vt:lpwstr>https://eur-lex.europa.eu/legal-content/EN/TXT/?uri=CELEX:52025DC0075</vt:lpwstr>
      </vt:variant>
      <vt:variant>
        <vt:lpwstr/>
      </vt:variant>
      <vt:variant>
        <vt:i4>5373993</vt:i4>
      </vt:variant>
      <vt:variant>
        <vt:i4>8</vt:i4>
      </vt:variant>
      <vt:variant>
        <vt:i4>0</vt:i4>
      </vt:variant>
      <vt:variant>
        <vt:i4>5</vt:i4>
      </vt:variant>
      <vt:variant>
        <vt:lpwstr>https://agriculture.ec.europa.eu/media/news/eu-agri-food-trade-hits-new-records-2025-2026-03-13_en</vt:lpwstr>
      </vt:variant>
      <vt:variant>
        <vt:lpwstr/>
      </vt:variant>
      <vt:variant>
        <vt:i4>5963802</vt:i4>
      </vt:variant>
      <vt:variant>
        <vt:i4>5</vt:i4>
      </vt:variant>
      <vt:variant>
        <vt:i4>0</vt:i4>
      </vt:variant>
      <vt:variant>
        <vt:i4>5</vt:i4>
      </vt:variant>
      <vt:variant>
        <vt:lpwstr>https://www.fooddrinkeurope.eu/wp-content/uploads/2026/02/FoodDrinkEurope-Data-Trends-2026-report-digital.pdf</vt:lpwstr>
      </vt:variant>
      <vt:variant>
        <vt:lpwstr/>
      </vt:variant>
      <vt:variant>
        <vt:i4>1114204</vt:i4>
      </vt:variant>
      <vt:variant>
        <vt:i4>0</vt:i4>
      </vt:variant>
      <vt:variant>
        <vt:i4>0</vt:i4>
      </vt:variant>
      <vt:variant>
        <vt:i4>5</vt:i4>
      </vt:variant>
      <vt:variant>
        <vt:lpwstr>https://ec.europa.eu/eurostat/web/products-key-figures/w/ks-01-25-049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44</cp:revision>
  <cp:lastPrinted>2026-07-22T04:33:00Z</cp:lastPrinted>
  <dcterms:created xsi:type="dcterms:W3CDTF">2026-09-01T11:09:00Z</dcterms:created>
  <dcterms:modified xsi:type="dcterms:W3CDTF">2026-09-08T07:05:00Z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CP-014</vt:lpwstr>
  </property>
  <property fmtid="{D5CDD505-2E9C-101B-9397-08002B2CF9AE}" pid="6" name="Last edited using">
    <vt:lpwstr>LW 9.2, Build 20250828</vt:lpwstr>
  </property>
  <property fmtid="{D5CDD505-2E9C-101B-9397-08002B2CF9AE}" pid="7" name="Created using">
    <vt:lpwstr>LW 9.2, Build 20250828</vt:lpwstr>
  </property>
  <property fmtid="{D5CDD505-2E9C-101B-9397-08002B2CF9AE}" pid="8" name="MSIP_Label_6bd9ddd1-4d20-43f6-abfa-fc3c07406f94_Enabled">
    <vt:lpwstr>true</vt:lpwstr>
  </property>
  <property fmtid="{D5CDD505-2E9C-101B-9397-08002B2CF9AE}" pid="9" name="MSIP_Label_6bd9ddd1-4d20-43f6-abfa-fc3c07406f94_SetDate">
    <vt:lpwstr>2026-07-01T11:49:58Z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ee2a768f-d338-4d5f-a487-de52226ac5e4</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0x010100A551C4916125FF419DE7066CA4F81A93</vt:lpwstr>
  </property>
  <property fmtid="{D5CDD505-2E9C-101B-9397-08002B2CF9AE}" pid="17" name="DocStatus">
    <vt:lpwstr>Green</vt:lpwstr>
  </property>
  <property fmtid="{D5CDD505-2E9C-101B-9397-08002B2CF9AE}" pid="18" name="MediaServiceImageTags">
    <vt:lpwstr/>
  </property>
</Properties>
</file>