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C9C9AA3-26E9-4D32-9BD6-0AE4A026A1DC" style="width:455.25pt;height:318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rPr>
          <w:noProof/>
        </w:rPr>
      </w:pPr>
      <w:r>
        <w:rPr>
          <w:noProof/>
        </w:rPr>
        <w:t>1.</w:t>
      </w:r>
      <w:r>
        <w:rPr>
          <w:noProof/>
        </w:rPr>
        <w:tab/>
        <w:t>CONTEXTUL RECOMANDĂRII</w:t>
      </w:r>
    </w:p>
    <w:p>
      <w:pPr>
        <w:pStyle w:val="ManualHeading2"/>
        <w:rPr>
          <w:rFonts w:eastAsia="Arial Unicode MS"/>
          <w:noProof/>
        </w:rPr>
      </w:pPr>
      <w:r>
        <w:rPr>
          <w:noProof/>
          <w:color w:val="000000"/>
          <w:bdr w:val="nil"/>
        </w:rPr>
        <w:t>•</w:t>
      </w:r>
      <w:r>
        <w:rPr>
          <w:noProof/>
        </w:rPr>
        <w:tab/>
        <w:t>Motivele și obiectivele recomandării</w:t>
      </w:r>
    </w:p>
    <w:p>
      <w:pPr>
        <w:pBdr>
          <w:top w:val="nil"/>
          <w:left w:val="nil"/>
          <w:bottom w:val="nil"/>
          <w:right w:val="nil"/>
          <w:between w:val="nil"/>
          <w:bar w:val="nil"/>
        </w:pBdr>
        <w:spacing w:before="0" w:after="240"/>
        <w:rPr>
          <w:rFonts w:eastAsia="Arial Unicode MS"/>
          <w:noProof/>
        </w:rPr>
      </w:pPr>
      <w:r>
        <w:rPr>
          <w:noProof/>
        </w:rPr>
        <w:t>Prezenta recomandare se referă la o decizie de autorizare a participării la negocierile pentru un acord internațional care să înlocuiască Acordul internațional privind esențele de lemn tropical (ITTA) din 2006.</w:t>
      </w:r>
    </w:p>
    <w:p>
      <w:pPr>
        <w:pBdr>
          <w:top w:val="nil"/>
          <w:left w:val="nil"/>
          <w:bottom w:val="nil"/>
          <w:right w:val="nil"/>
          <w:between w:val="nil"/>
          <w:bar w:val="nil"/>
        </w:pBdr>
        <w:spacing w:before="0" w:after="240"/>
        <w:rPr>
          <w:rFonts w:eastAsia="Arial Unicode MS"/>
          <w:noProof/>
        </w:rPr>
      </w:pPr>
      <w:r>
        <w:rPr>
          <w:noProof/>
        </w:rPr>
        <w:t xml:space="preserve">ITTA 2006 </w:t>
      </w:r>
      <w:bookmarkStart w:id="0" w:name="_Hlk232155904"/>
      <w:r>
        <w:rPr>
          <w:noProof/>
        </w:rPr>
        <w:t xml:space="preserve">își propune să promoveze gestionarea durabilă și conservarea pădurilor tropicale, precum și extinderea și diversificarea comerțului internațional cu lemn tropical provenit din păduri gestionate în mod durabil și recoltate legal. </w:t>
      </w:r>
      <w:bookmarkEnd w:id="0"/>
      <w:r>
        <w:rPr>
          <w:noProof/>
        </w:rPr>
        <w:t xml:space="preserve">Acesta stă la baza Organizației Internaționale pentru Esențele de Lemn Tropical (ITTO), care elaborează orientări convenite la nivel internațional pentru </w:t>
      </w:r>
      <w:bookmarkStart w:id="1" w:name="_Hlk232155857"/>
      <w:r>
        <w:rPr>
          <w:noProof/>
        </w:rPr>
        <w:t>a promova comerțul responsabil cu esențe de lemn tropical și gestionarea durabilă a pădurilor, sprijină țările membre în adaptarea și punerea în aplicare a standardelor relevante, colectează și diseminează date privind producția de lemn tropical și comerțul cu acesta, promovează lanțurile de aprovizionare durabile și consolidează capacitățile în domeniul silviculturii tropicale. Aceste elemente sunt importante pentru a sprijini buna funcționare, transparența, previzibilitatea și durabilitatea pieței internaționale a lemnului tropical.</w:t>
      </w:r>
    </w:p>
    <w:bookmarkEnd w:id="1"/>
    <w:p>
      <w:pPr>
        <w:pBdr>
          <w:top w:val="nil"/>
          <w:left w:val="nil"/>
          <w:bottom w:val="nil"/>
          <w:right w:val="nil"/>
          <w:between w:val="nil"/>
          <w:bar w:val="nil"/>
        </w:pBdr>
        <w:spacing w:before="0" w:after="240"/>
        <w:rPr>
          <w:rFonts w:eastAsia="Arial Unicode MS"/>
          <w:noProof/>
          <w:szCs w:val="24"/>
        </w:rPr>
      </w:pPr>
      <w:r>
        <w:rPr>
          <w:noProof/>
        </w:rPr>
        <w:t>ITTA 2006</w:t>
      </w:r>
      <w:r>
        <w:rPr>
          <w:rStyle w:val="FootnoteReference"/>
          <w:rFonts w:eastAsiaTheme="minorEastAsia"/>
          <w:noProof/>
          <w:szCs w:val="24"/>
        </w:rPr>
        <w:footnoteReference w:id="1"/>
      </w:r>
      <w:r>
        <w:rPr>
          <w:noProof/>
        </w:rPr>
        <w:t xml:space="preserve"> a intrat în vigoare la 7 decembrie 2011 pentru o perioadă de zece ani, a fost prelungit cu cinci ani</w:t>
      </w:r>
      <w:r>
        <w:rPr>
          <w:rStyle w:val="FootnoteReference"/>
          <w:rFonts w:eastAsiaTheme="minorEastAsia"/>
          <w:noProof/>
          <w:szCs w:val="24"/>
        </w:rPr>
        <w:footnoteReference w:id="2"/>
      </w:r>
      <w:r>
        <w:rPr>
          <w:noProof/>
        </w:rPr>
        <w:t xml:space="preserve"> și apoi cu încă trei ani</w:t>
      </w:r>
      <w:r>
        <w:rPr>
          <w:rStyle w:val="FootnoteReference"/>
          <w:rFonts w:eastAsiaTheme="minorEastAsia"/>
          <w:noProof/>
          <w:szCs w:val="24"/>
        </w:rPr>
        <w:footnoteReference w:id="3"/>
      </w:r>
      <w:r>
        <w:rPr>
          <w:noProof/>
        </w:rPr>
        <w:t>. ITTA 2006 nu prevede nicio prelungire după 6 decembrie 2029.</w:t>
      </w:r>
      <w:r>
        <w:rPr>
          <w:rFonts w:asciiTheme="minorHAnsi" w:hAnsiTheme="minorHAnsi"/>
          <w:noProof/>
        </w:rPr>
        <w:t xml:space="preserve"> </w:t>
      </w:r>
      <w:r>
        <w:rPr>
          <w:noProof/>
        </w:rPr>
        <w:t>Uniunea Europeană este parte la ITTA 2006</w:t>
      </w:r>
      <w:r>
        <w:rPr>
          <w:rStyle w:val="FootnoteReference"/>
          <w:rFonts w:eastAsia="Arial Unicode MS"/>
          <w:noProof/>
          <w:szCs w:val="24"/>
        </w:rPr>
        <w:footnoteReference w:id="4"/>
      </w:r>
      <w:r>
        <w:rPr>
          <w:noProof/>
        </w:rPr>
        <w:t>.</w:t>
      </w:r>
    </w:p>
    <w:p>
      <w:pPr>
        <w:rPr>
          <w:noProof/>
        </w:rPr>
      </w:pPr>
      <w:r>
        <w:rPr>
          <w:noProof/>
        </w:rPr>
        <w:t xml:space="preserve">În conformitate cu articolul 44 din ITTA 2006, Consiliul internațional pentru esențele de lemn tropical (ITTC) are autoritatea de a iniția și de a orienta procesul de negociere a unui nou acord. Pe această bază, cea de a 60-a și cea de a 61-a reuniune a ITTC au lansat consultări informale. Negocierile oficiale și încheierea unui nou acord pot fi desfășurate prin intermediul unui grup interguvernamental de negociere, sub auspiciile Conferinței Organizației Națiunilor Unite pentru Comerț și Dezvoltare (UNCTAD), astfel cum a fost cazul actualului ITTA și al acordurilor anterioare. </w:t>
      </w:r>
    </w:p>
    <w:p>
      <w:pPr>
        <w:pBdr>
          <w:top w:val="nil"/>
          <w:left w:val="nil"/>
          <w:bottom w:val="nil"/>
          <w:right w:val="nil"/>
          <w:between w:val="nil"/>
          <w:bar w:val="nil"/>
        </w:pBdr>
        <w:spacing w:before="0" w:after="240"/>
        <w:rPr>
          <w:rFonts w:eastAsia="Arial Unicode MS"/>
          <w:noProof/>
        </w:rPr>
      </w:pPr>
      <w:r>
        <w:rPr>
          <w:noProof/>
        </w:rPr>
        <w:t xml:space="preserve">Membrii actuali ai ITTO reprezintă aproximativ 80 % din pădurile tropicale din lume și peste 90 % din comerțul cu lemn și produse din lemn. Cu toate acestea, la 23 iulie 2026, Statele Unite au notificat în mod oficial depozitarului Organizației Națiunilor Unite retragerea lor din ITTO. Această retragere face parte dintr-o decizie mai amplă de a părăsi multe organizații internaționale. ITTC este format din toți membrii ITTO. ITTO are două categorii de membri: producători și consumatori. </w:t>
      </w:r>
    </w:p>
    <w:p>
      <w:pPr>
        <w:pBdr>
          <w:top w:val="nil"/>
          <w:left w:val="nil"/>
          <w:bottom w:val="nil"/>
          <w:right w:val="nil"/>
          <w:between w:val="nil"/>
          <w:bar w:val="nil"/>
        </w:pBdr>
        <w:spacing w:before="0" w:after="240"/>
        <w:rPr>
          <w:rFonts w:eastAsia="Arial Unicode MS"/>
          <w:noProof/>
        </w:rPr>
      </w:pPr>
      <w:r>
        <w:rPr>
          <w:noProof/>
        </w:rPr>
        <w:t xml:space="preserve">Membrii ITTC dețin în total 2 000 de voturi (producătorii și consumatorii dețin fiecare câte 1 000 de voturi). Contribuțiile anuale și voturile sunt distribuite în mod egal acestor două grupuri. În cadrul fiecărui grup, cotizațiile și voturile membrilor individuali sunt calculate pe baza cotelor lor din comerțul cu lemn tropical și, în cazul producătorilor, pe baza întinderii pădurilor tropicale din țara lor, cu excepția membrilor africani, care au un număr egal de voturi și aceeași contribuție obligatorie. UE plătește cea mai mare proporție a contribuțiilor obligatorii (plătite de Comisie pentru toate statele membre) la bugetul </w:t>
      </w:r>
      <w:r>
        <w:rPr>
          <w:noProof/>
        </w:rPr>
        <w:lastRenderedPageBreak/>
        <w:t>administrativ al ITTO și are cel mai mare număr de voturi (și cel mai mare număr de membri consumatori).</w:t>
      </w:r>
    </w:p>
    <w:p>
      <w:pPr>
        <w:pStyle w:val="ManualHeading2"/>
        <w:rPr>
          <w:noProof/>
        </w:rPr>
      </w:pPr>
      <w:r>
        <w:rPr>
          <w:b w:val="0"/>
          <w:noProof/>
        </w:rPr>
        <w:t>În temeiul articolului 7 litera (a), ITTC poate, de asemenea, să ia decizii fără să se întrunească.</w:t>
      </w:r>
      <w:r>
        <w:rPr>
          <w:noProof/>
        </w:rPr>
        <w:t xml:space="preserve"> </w:t>
      </w:r>
    </w:p>
    <w:p>
      <w:pPr>
        <w:rPr>
          <w:noProof/>
        </w:rPr>
      </w:pPr>
      <w:r>
        <w:rPr>
          <w:noProof/>
        </w:rPr>
        <w:t>Discuțiile privind un nou ITTA au început deja în 2024, inclusiv în cadrul unui „grup de lucru pregătitor”. Pe baza acestor discuții, se preconizează că multe părți doresc să continue ITTO cu obiective menite să rămână, în linii mari, neschimbate.</w:t>
      </w:r>
      <w:r>
        <w:rPr>
          <w:b/>
          <w:noProof/>
        </w:rPr>
        <w:t xml:space="preserve"> </w:t>
      </w:r>
      <w:r>
        <w:rPr>
          <w:noProof/>
        </w:rPr>
        <w:t>Cea de a 61-a reuniune a ITTC a decis că prima reuniune a Comitetului de pregătire pentru negocierea ITTA va avea loc cu prezență fizică, în tandem cu cea de a 62-a reuniune a ITTC, care va avea loc în perioada 9­14 noiembrie 2026 la Yokohama, Japonia. Acest comitet de pregătire va purta discuții informale ulterioare înainte de negocierile oficiale, probabil sub auspiciile UNCTAD.</w:t>
      </w:r>
    </w:p>
    <w:p>
      <w:pPr>
        <w:pBdr>
          <w:top w:val="nil"/>
          <w:left w:val="nil"/>
          <w:bottom w:val="nil"/>
          <w:right w:val="nil"/>
          <w:between w:val="nil"/>
          <w:bar w:val="nil"/>
        </w:pBdr>
        <w:spacing w:before="0" w:after="240"/>
        <w:rPr>
          <w:rFonts w:eastAsia="Arial Unicode MS"/>
          <w:noProof/>
        </w:rPr>
      </w:pPr>
      <w:r>
        <w:rPr>
          <w:noProof/>
        </w:rPr>
        <w:t>Prezenta recomandare se referă la o decizie a Consiliului de autorizare a participării la negocierile din cadrul Consiliului internațional pentru esențele de lemn tropical în vederea încheierii unui acord internațional</w:t>
      </w:r>
      <w:r>
        <w:rPr>
          <w:rStyle w:val="CommentReference"/>
          <w:noProof/>
        </w:rPr>
        <w:t xml:space="preserve"> </w:t>
      </w:r>
      <w:r>
        <w:rPr>
          <w:noProof/>
        </w:rPr>
        <w:t>care să înlocuiască ITTA 2006. În cazul în care negocierile privind un acord ulterior se încheie cu succes, Comisia poate prezenta propuneri de decizii ale Consiliului în temeiul articolului 218 alineatul (5) și alineatul (6) din TFUE prin care să se autorizeze semnarea și încheierea noului ITTA în numele Uniunii. Cu toate acestea, astfel de propuneri pot depinde de obținerea unor asigurări adecvate (în cadrul sau în afara conținutului acordului negociat) cu privire la principalele chestiuni nesoluționate, în special neplata contribuțiilor de către un grup semnificativ de țări și nivelurile scăzute de participare la ITTC. Astfel de asigurări pot să facă parte din rezultatele negociate sau să nu fie incluse în textul juridic.</w:t>
      </w:r>
    </w:p>
    <w:p>
      <w:pPr>
        <w:pBdr>
          <w:top w:val="nil"/>
          <w:left w:val="nil"/>
          <w:bottom w:val="nil"/>
          <w:right w:val="nil"/>
          <w:between w:val="nil"/>
          <w:bar w:val="nil"/>
        </w:pBdr>
        <w:spacing w:before="0" w:after="240"/>
        <w:rPr>
          <w:rFonts w:eastAsia="Arial Unicode MS"/>
          <w:noProof/>
        </w:rPr>
      </w:pPr>
      <w:r>
        <w:rPr>
          <w:noProof/>
        </w:rPr>
        <w:t xml:space="preserve">Cea de a 62-a reuniune a ITTC sau organismul de negociere ar putea dori să exploreze opțiunea de a atinge obiectivele ITTO printr-un instrument alternativ, de exemplu un instrument care nu este prevăzut în tratate, care nu ar intra în domeniul de aplicare al prezentei recomandări. </w:t>
      </w:r>
    </w:p>
    <w:p>
      <w:pPr>
        <w:pBdr>
          <w:top w:val="nil"/>
          <w:left w:val="nil"/>
          <w:bottom w:val="nil"/>
          <w:right w:val="nil"/>
          <w:between w:val="nil"/>
          <w:bar w:val="nil"/>
        </w:pBdr>
        <w:spacing w:before="0" w:after="240"/>
        <w:rPr>
          <w:noProof/>
          <w:color w:val="595959" w:themeColor="text1" w:themeTint="A6"/>
        </w:rPr>
      </w:pPr>
      <w:r>
        <w:rPr>
          <w:noProof/>
        </w:rPr>
        <w:t>Recomandarea conține directive de negociere în addendum.</w:t>
      </w:r>
    </w:p>
    <w:p>
      <w:pPr>
        <w:pStyle w:val="ManualHeading2"/>
        <w:rPr>
          <w:rFonts w:eastAsia="Arial Unicode MS"/>
          <w:noProof/>
          <w:color w:val="000000"/>
          <w:u w:color="000000"/>
          <w:bdr w:val="nil"/>
        </w:rPr>
      </w:pPr>
      <w:r>
        <w:rPr>
          <w:noProof/>
          <w:color w:val="000000"/>
          <w:u w:color="000000"/>
          <w:bdr w:val="nil"/>
        </w:rPr>
        <w:t>•</w:t>
      </w:r>
      <w:r>
        <w:rPr>
          <w:noProof/>
        </w:rPr>
        <w:tab/>
        <w:t>Coerența cu dispozițiile existente în domeniul de politică vizat</w:t>
      </w:r>
    </w:p>
    <w:p>
      <w:pPr>
        <w:rPr>
          <w:noProof/>
        </w:rPr>
      </w:pPr>
      <w:r>
        <w:rPr>
          <w:noProof/>
        </w:rPr>
        <w:t>Poziția propusă este coerentă cu politicile și legislația Uniunii, cum ar fi:</w:t>
      </w:r>
    </w:p>
    <w:p>
      <w:pPr>
        <w:rPr>
          <w:rFonts w:eastAsia="Arial Unicode MS"/>
          <w:noProof/>
        </w:rPr>
      </w:pPr>
      <w:r>
        <w:rPr>
          <w:noProof/>
        </w:rPr>
        <w:t>Politica comercială a UE</w:t>
      </w:r>
      <w:r>
        <w:rPr>
          <w:rStyle w:val="FootnoteReference"/>
          <w:rFonts w:eastAsia="Arial Unicode MS"/>
          <w:noProof/>
        </w:rPr>
        <w:footnoteReference w:id="5"/>
      </w:r>
      <w:r>
        <w:rPr>
          <w:noProof/>
        </w:rPr>
        <w:t>, în special în ceea ce privește comerțul liber și echitabil.</w:t>
      </w:r>
    </w:p>
    <w:p>
      <w:pPr>
        <w:rPr>
          <w:rFonts w:eastAsia="Arial Unicode MS"/>
          <w:noProof/>
        </w:rPr>
      </w:pPr>
      <w:r>
        <w:rPr>
          <w:noProof/>
        </w:rPr>
        <w:t>Regulamentul UE privind defrișările</w:t>
      </w:r>
      <w:r>
        <w:rPr>
          <w:rStyle w:val="FootnoteReference"/>
          <w:rFonts w:eastAsia="Arial Unicode MS"/>
          <w:noProof/>
        </w:rPr>
        <w:footnoteReference w:id="6"/>
      </w:r>
      <w:r>
        <w:rPr>
          <w:noProof/>
        </w:rPr>
        <w:t>, care vizează reducerea defrișărilor și promovarea gestionării durabile a pădurilor. Regulamentul privind defrișările impune, de asemenea, întreprinderilor să exercite diligența necesară în cadrul lanțurilor lor de aprovizionare.</w:t>
      </w:r>
    </w:p>
    <w:p>
      <w:pPr>
        <w:rPr>
          <w:rFonts w:eastAsia="Arial Unicode MS"/>
          <w:noProof/>
        </w:rPr>
      </w:pPr>
      <w:r>
        <w:rPr>
          <w:noProof/>
        </w:rPr>
        <w:t>Strategia UE pentru păduri pentru 2030</w:t>
      </w:r>
      <w:r>
        <w:rPr>
          <w:rStyle w:val="FootnoteReference"/>
          <w:rFonts w:eastAsia="Arial Unicode MS"/>
          <w:noProof/>
        </w:rPr>
        <w:footnoteReference w:id="7"/>
      </w:r>
      <w:r>
        <w:rPr>
          <w:noProof/>
        </w:rPr>
        <w:t>, care urmărește să protejeze pădurile și serviciile ecosistemice ale acestora, să contribuie la o economie modernă, neutră din punct de vedere climatic, eficientă din punctul de vedere al utilizării resurselor și competitivă, precum și să conserve dinamismul zonelor rurale.</w:t>
      </w:r>
    </w:p>
    <w:p>
      <w:pPr>
        <w:rPr>
          <w:rFonts w:eastAsia="Arial Unicode MS"/>
          <w:noProof/>
        </w:rPr>
      </w:pPr>
      <w:r>
        <w:rPr>
          <w:noProof/>
        </w:rPr>
        <w:t>Comunicarea UE</w:t>
      </w:r>
      <w:r>
        <w:rPr>
          <w:rStyle w:val="FootnoteReference"/>
          <w:rFonts w:eastAsia="Arial Unicode MS"/>
          <w:noProof/>
        </w:rPr>
        <w:footnoteReference w:id="8"/>
      </w:r>
      <w:r>
        <w:rPr>
          <w:noProof/>
        </w:rPr>
        <w:t xml:space="preserve"> privind intensificarea acțiunii UE pentru protejarea și refacerea pădurilor la nivel mondial.</w:t>
      </w:r>
    </w:p>
    <w:p>
      <w:pPr>
        <w:rPr>
          <w:rFonts w:eastAsia="Arial Unicode MS"/>
          <w:noProof/>
        </w:rPr>
      </w:pPr>
      <w:r>
        <w:rPr>
          <w:noProof/>
        </w:rPr>
        <w:t>Planul de acțiune al UE referitor la asigurarea respectării legislației, guvernanța și schimburile comerciale în domeniul forestier (FLEGT)</w:t>
      </w:r>
      <w:r>
        <w:rPr>
          <w:rStyle w:val="FootnoteReference"/>
          <w:rFonts w:eastAsia="Arial Unicode MS"/>
          <w:noProof/>
        </w:rPr>
        <w:footnoteReference w:id="9"/>
      </w:r>
      <w:r>
        <w:rPr>
          <w:noProof/>
        </w:rPr>
        <w:t xml:space="preserve">, care vizează combaterea exploatării forestiere ilegale și promovarea gestionării durabile a pădurilor. </w:t>
      </w:r>
    </w:p>
    <w:p>
      <w:pPr>
        <w:rPr>
          <w:rFonts w:eastAsia="Arial Unicode MS"/>
          <w:noProof/>
        </w:rPr>
      </w:pPr>
      <w:r>
        <w:rPr>
          <w:noProof/>
        </w:rPr>
        <w:t>Regulamentul revizuit (2024) privind exploatarea terenurilor, schimbarea destinației terenurilor și silvicultură (LULUCF)</w:t>
      </w:r>
      <w:r>
        <w:rPr>
          <w:rStyle w:val="FootnoteReference"/>
          <w:rFonts w:eastAsia="Arial Unicode MS"/>
          <w:noProof/>
        </w:rPr>
        <w:footnoteReference w:id="10"/>
      </w:r>
      <w:r>
        <w:rPr>
          <w:noProof/>
        </w:rPr>
        <w:t>, care încurajează conservarea, refacerea și reziliența pădurilor și promovează monitorizarea și raportarea transparente.</w:t>
      </w:r>
    </w:p>
    <w:p>
      <w:pPr>
        <w:rPr>
          <w:rFonts w:eastAsia="Arial Unicode MS"/>
          <w:noProof/>
        </w:rPr>
      </w:pPr>
      <w:r>
        <w:rPr>
          <w:noProof/>
        </w:rPr>
        <w:t>Mecanismul de reducere a emisiilor cauzate de defrișări și de degradarea pădurilor (REDD+)</w:t>
      </w:r>
      <w:r>
        <w:rPr>
          <w:rStyle w:val="FootnoteReference"/>
          <w:rFonts w:eastAsia="Arial Unicode MS"/>
          <w:noProof/>
        </w:rPr>
        <w:footnoteReference w:id="11"/>
      </w:r>
      <w:r>
        <w:rPr>
          <w:noProof/>
        </w:rPr>
        <w:t xml:space="preserve">, care prezervă și consolidează rolul pădurilor tropicale în ceea ce privește atenuarea schimbărilor climatice, adaptarea la acestea și dezvoltarea. </w:t>
      </w:r>
    </w:p>
    <w:p>
      <w:pPr>
        <w:rPr>
          <w:rFonts w:eastAsia="Arial Unicode MS"/>
          <w:noProof/>
        </w:rPr>
      </w:pPr>
      <w:r>
        <w:rPr>
          <w:noProof/>
        </w:rPr>
        <w:t>Strategia UE privind biodiversitatea pentru 2030</w:t>
      </w:r>
      <w:r>
        <w:rPr>
          <w:rStyle w:val="FootnoteReference"/>
          <w:rFonts w:eastAsia="Arial Unicode MS"/>
          <w:noProof/>
        </w:rPr>
        <w:footnoteReference w:id="12"/>
      </w:r>
      <w:r>
        <w:rPr>
          <w:noProof/>
        </w:rPr>
        <w:t xml:space="preserve">, în special obiectivul de a stopa pierderea biodiversității și de a promova dezvoltarea durabilă în toate tipurile de păduri și de a proteja cu strictețe toate pădurile primare și seculare rămase în UE. </w:t>
      </w:r>
    </w:p>
    <w:p>
      <w:pPr>
        <w:rPr>
          <w:rFonts w:eastAsia="Arial Unicode MS"/>
          <w:noProof/>
        </w:rPr>
      </w:pPr>
      <w:r>
        <w:rPr>
          <w:noProof/>
        </w:rPr>
        <w:t>Legea europeană a climei</w:t>
      </w:r>
      <w:r>
        <w:rPr>
          <w:rStyle w:val="FootnoteReference"/>
          <w:rFonts w:eastAsia="Arial Unicode MS"/>
          <w:noProof/>
        </w:rPr>
        <w:footnoteReference w:id="13"/>
      </w:r>
      <w:r>
        <w:rPr>
          <w:noProof/>
        </w:rPr>
        <w:t>, care recunoaște rolul pădurilor de absorbție, stocare și substituire a carbonului, contribuind la reducerea gazelor cu efect de seră din atmosferă.</w:t>
      </w:r>
    </w:p>
    <w:p>
      <w:pPr>
        <w:spacing w:after="240"/>
        <w:rPr>
          <w:rFonts w:eastAsia="Arial Unicode MS"/>
          <w:noProof/>
        </w:rPr>
      </w:pPr>
      <w:r>
        <w:rPr>
          <w:noProof/>
        </w:rPr>
        <w:t>Politica agricolă comună (PAC) a UE</w:t>
      </w:r>
      <w:r>
        <w:rPr>
          <w:rStyle w:val="FootnoteReference"/>
          <w:rFonts w:eastAsia="Arial Unicode MS"/>
          <w:noProof/>
        </w:rPr>
        <w:footnoteReference w:id="14"/>
      </w:r>
      <w:r>
        <w:rPr>
          <w:noProof/>
        </w:rPr>
        <w:t>, care sprijină intervențiile pentru împădurire, precum și crearea și regenerarea sistemelor agroforestiere, protejarea, refacerea și îmbunătățirea resurselor forestiere, gestionarea durabilă a pădurilor și investițiile menite să amelioreze conservarea și reziliența pădurilor și furnizarea de servicii ecosistemice forestiere.</w:t>
      </w:r>
    </w:p>
    <w:p>
      <w:pPr>
        <w:pStyle w:val="ManualHeading2"/>
        <w:rPr>
          <w:rFonts w:eastAsia="Times New Roman"/>
          <w:noProof/>
        </w:rPr>
      </w:pPr>
      <w:r>
        <w:rPr>
          <w:noProof/>
        </w:rPr>
        <w:t>Coerența cu alte politici ale Uniunii</w:t>
      </w:r>
    </w:p>
    <w:p>
      <w:pPr>
        <w:rPr>
          <w:rFonts w:eastAsia="Arial Unicode MS"/>
          <w:noProof/>
        </w:rPr>
      </w:pPr>
      <w:r>
        <w:rPr>
          <w:noProof/>
        </w:rPr>
        <w:t>Pactul verde european elaborat de UE, care urmărește să transforme Europa într-o economie neutră din punct de vedere climatic, eficientă din punctul de vedere al utilizării resurselor și competitivă, să alinieze politicile UE la obiectivele Acordului de la Paris și să răspundă cererii cetățenilor de acțiuni mai ferme în domeniul climei.</w:t>
      </w:r>
    </w:p>
    <w:p>
      <w:pPr>
        <w:pStyle w:val="ManualHeading1"/>
        <w:rPr>
          <w:noProof/>
        </w:rPr>
      </w:pPr>
      <w:r>
        <w:rPr>
          <w:noProof/>
        </w:rPr>
        <w:t>2.</w:t>
      </w:r>
      <w:r>
        <w:rPr>
          <w:noProof/>
        </w:rPr>
        <w:tab/>
      </w:r>
      <w:bookmarkStart w:id="2" w:name="_Hlk232155015"/>
      <w:r>
        <w:rPr>
          <w:noProof/>
        </w:rPr>
        <w:t>TEMEI JURIDIC, SUBSIDIARITATE ȘI PROPORȚIONALITATE</w:t>
      </w:r>
    </w:p>
    <w:p>
      <w:pPr>
        <w:pStyle w:val="ManualHeading2"/>
        <w:rPr>
          <w:rFonts w:eastAsia="Arial Unicode MS"/>
          <w:noProof/>
          <w:bdr w:val="nil"/>
        </w:rPr>
      </w:pPr>
      <w:r>
        <w:rPr>
          <w:noProof/>
          <w:bdr w:val="nil"/>
        </w:rPr>
        <w:t>•</w:t>
      </w:r>
      <w:r>
        <w:rPr>
          <w:noProof/>
        </w:rPr>
        <w:tab/>
      </w:r>
      <w:r>
        <w:rPr>
          <w:noProof/>
          <w:bdr w:val="nil"/>
        </w:rPr>
        <w:t>Temeiul juridic material</w:t>
      </w:r>
    </w:p>
    <w:p>
      <w:pPr>
        <w:rPr>
          <w:noProof/>
        </w:rPr>
      </w:pPr>
      <w:bookmarkStart w:id="3" w:name="_Hlk232155688"/>
      <w:bookmarkEnd w:id="2"/>
      <w:r>
        <w:rPr>
          <w:noProof/>
        </w:rPr>
        <w:t xml:space="preserve">Temeiul juridic material al acordului avut în vedere este articolul 207 alineatul (4) primul paragraf și articolul 192 alineatul (1) din TFUE. </w:t>
      </w:r>
    </w:p>
    <w:p>
      <w:pPr>
        <w:rPr>
          <w:noProof/>
        </w:rPr>
      </w:pPr>
      <w:r>
        <w:rPr>
          <w:noProof/>
        </w:rPr>
        <w:t xml:space="preserve">Acordul avut în vedere urmărește să sprijine comerțul internațional cu esențe de lemn tropical. Acordul ar urma să promoveze extinderea și diversificarea comerțului cu lemn tropical din surse gestionate în mod durabil și recoltate legal, să sprijine transparența și previzibilitatea acestui tip de comerț și să prevadă colectarea și diseminarea datelor privind producția și comerțul cu lemn tropical. De asemenea, acordul sprijină normele, orientările și mecanismele de cooperare convenite la nivel internațional care facilitează funcționarea pieței și promovează lanțuri de aprovizionare responsabile. Aceste componente au o relevanță directă pentru politica comercială comună. </w:t>
      </w:r>
    </w:p>
    <w:p>
      <w:pPr>
        <w:rPr>
          <w:noProof/>
        </w:rPr>
      </w:pPr>
      <w:r>
        <w:rPr>
          <w:noProof/>
        </w:rPr>
        <w:t>Acordul urmărește, de asemenea, să promoveze gestionarea durabilă și conservarea pădurilor tropicale, care sunt obiective de mediu ce intră sub incidența articolului 192 alineatul (1) din TFUE, inclusiv prin sprijinirea țărilor membre în vederea adaptării și a punerii în aplicare a standardelor socioeconomice și de mediu și prin promovarea unor lanțuri de aprovizionare durabile.</w:t>
      </w:r>
    </w:p>
    <w:p>
      <w:pPr>
        <w:rPr>
          <w:noProof/>
        </w:rPr>
      </w:pPr>
      <w:r>
        <w:rPr>
          <w:noProof/>
        </w:rPr>
        <w:t xml:space="preserve">Atât obiectivele comerciale, cât și cele de mediu sunt importante și niciunul dintre acestea nu poate fi considerat ca fiind pur accesoriu în raport cu celelalte. </w:t>
      </w:r>
    </w:p>
    <w:p>
      <w:pPr>
        <w:rPr>
          <w:rFonts w:eastAsia="Arial Unicode MS"/>
          <w:noProof/>
        </w:rPr>
      </w:pPr>
      <w:r>
        <w:rPr>
          <w:noProof/>
        </w:rPr>
        <w:t>Nu se preconizează ca domeniul de aplicare al acordului avut în vedere să fie foarte diferit de domeniul de aplicare al acordului actual. Aderarea UE la acordul actual și mandatul pentru negocierile aferente acestuia s-au bazat, de asemenea, atât pe articolul 207 alineatul (4), cât și pe articolul 192 alineatul (1).</w:t>
      </w:r>
    </w:p>
    <w:p>
      <w:pPr>
        <w:spacing w:after="240"/>
        <w:rPr>
          <w:rFonts w:eastAsia="Arial Unicode MS"/>
          <w:noProof/>
        </w:rPr>
      </w:pPr>
      <w:r>
        <w:rPr>
          <w:noProof/>
        </w:rPr>
        <w:t>Întocmai ca actualul acord ITTA 2006, un acord ulterior ar trebui să confere flexibilitate pentru a răspunde oportunităților și amenințărilor care pot apărea, iar acest lucru poate viza atât dimensiunea comercială, cât și pe cea de mediu.</w:t>
      </w:r>
    </w:p>
    <w:bookmarkEnd w:id="3"/>
    <w:p>
      <w:pPr>
        <w:pBdr>
          <w:top w:val="nil"/>
          <w:left w:val="nil"/>
          <w:bottom w:val="nil"/>
          <w:right w:val="nil"/>
          <w:between w:val="nil"/>
          <w:bar w:val="nil"/>
        </w:pBdr>
        <w:spacing w:before="0" w:after="240"/>
        <w:rPr>
          <w:rFonts w:eastAsia="Times New Roman"/>
          <w:b/>
          <w:bCs/>
          <w:noProof/>
        </w:rPr>
      </w:pPr>
      <w:r>
        <w:rPr>
          <w:b/>
          <w:noProof/>
        </w:rPr>
        <w:t>Temeiul juridic procedural</w:t>
      </w:r>
    </w:p>
    <w:p>
      <w:pPr>
        <w:pBdr>
          <w:top w:val="nil"/>
          <w:left w:val="nil"/>
          <w:bottom w:val="nil"/>
          <w:right w:val="nil"/>
          <w:between w:val="nil"/>
          <w:bar w:val="nil"/>
        </w:pBdr>
        <w:spacing w:before="0" w:after="240"/>
        <w:rPr>
          <w:rFonts w:eastAsia="Arial Unicode MS"/>
          <w:noProof/>
        </w:rPr>
      </w:pPr>
      <w:r>
        <w:rPr>
          <w:noProof/>
        </w:rPr>
        <w:t xml:space="preserve">Articolul 218 alineatul (3) din TFUE prevede că, în cazul în care acordul avut în vedere nu se referă exclusiv sau în principal la politica externă și de securitate comună, Comisia prezintă recomandări Consiliului. Consiliul adoptă o decizie de autorizare a începerii negocierilor și de numire a negociatorului Uniunii sau a șefului echipei de negociere a Uniunii. </w:t>
      </w:r>
    </w:p>
    <w:p>
      <w:pPr>
        <w:pBdr>
          <w:top w:val="nil"/>
          <w:left w:val="nil"/>
          <w:bottom w:val="nil"/>
          <w:right w:val="nil"/>
          <w:between w:val="nil"/>
        </w:pBdr>
        <w:spacing w:before="0" w:after="240"/>
        <w:rPr>
          <w:noProof/>
        </w:rPr>
      </w:pPr>
      <w:r>
        <w:rPr>
          <w:noProof/>
        </w:rPr>
        <w:t>Articolul 218 alineatul (4) din TFUE prevede că Consiliul poate adresa directive de negociere negociatorului și poate desemna un comitet special pentru a se consulta cu negociatorul.</w:t>
      </w:r>
    </w:p>
    <w:p>
      <w:pPr>
        <w:pBdr>
          <w:top w:val="nil"/>
          <w:left w:val="nil"/>
          <w:bottom w:val="nil"/>
          <w:right w:val="nil"/>
          <w:between w:val="nil"/>
        </w:pBdr>
        <w:spacing w:before="0" w:after="240"/>
        <w:rPr>
          <w:rFonts w:eastAsia="Arial Unicode MS"/>
          <w:noProof/>
        </w:rPr>
      </w:pPr>
      <w:r>
        <w:rPr>
          <w:noProof/>
        </w:rPr>
        <w:t>Comisia recomandă deschiderea negocierilor în cadrul Consiliului internațional pentru esențele de lemn tropical în vederea încheierii unui acord internațional care să înlocuiască ITTA 2006. Comisia trebuie să fie desemnată negociator.</w:t>
      </w:r>
    </w:p>
    <w:p>
      <w:pPr>
        <w:pBdr>
          <w:top w:val="nil"/>
          <w:left w:val="nil"/>
          <w:bottom w:val="nil"/>
          <w:right w:val="nil"/>
          <w:between w:val="nil"/>
        </w:pBdr>
        <w:spacing w:before="0" w:after="240"/>
        <w:rPr>
          <w:rFonts w:eastAsia="Arial Unicode MS"/>
          <w:noProof/>
        </w:rPr>
      </w:pPr>
      <w:r>
        <w:rPr>
          <w:noProof/>
        </w:rPr>
        <w:t>Prin urmare, temeiul juridic procedural al deciziei propuse de autorizare a începerii negocierilor pentru acordul avut în vedere este articolul 218 alineatele (3) și (4) din TFUE.</w:t>
      </w:r>
    </w:p>
    <w:p>
      <w:pPr>
        <w:keepNext/>
        <w:pBdr>
          <w:top w:val="nil"/>
          <w:left w:val="nil"/>
          <w:bottom w:val="nil"/>
          <w:right w:val="nil"/>
          <w:between w:val="nil"/>
        </w:pBdr>
        <w:spacing w:before="0" w:after="240"/>
        <w:rPr>
          <w:rFonts w:eastAsia="Arial Unicode MS"/>
          <w:b/>
          <w:bCs/>
          <w:noProof/>
        </w:rPr>
      </w:pPr>
      <w:r>
        <w:rPr>
          <w:b/>
          <w:noProof/>
        </w:rPr>
        <w:t>Alegerea negociatorului</w:t>
      </w:r>
    </w:p>
    <w:p>
      <w:pPr>
        <w:pBdr>
          <w:top w:val="nil"/>
          <w:left w:val="nil"/>
          <w:bottom w:val="nil"/>
          <w:right w:val="nil"/>
          <w:between w:val="nil"/>
        </w:pBdr>
        <w:spacing w:before="0" w:after="240"/>
        <w:rPr>
          <w:rFonts w:eastAsia="Arial Unicode MS"/>
          <w:noProof/>
        </w:rPr>
      </w:pPr>
      <w:r>
        <w:rPr>
          <w:noProof/>
        </w:rPr>
        <w:t>Dat fiind că acordul avut în vedere vizează exclusiv alte aspecte decât politica externă și de securitate comună, Comisia trebuie desemnată drept negociator în temeiul articolului 218 alineatul (3) din TFUE.</w:t>
      </w:r>
    </w:p>
    <w:p>
      <w:pPr>
        <w:spacing w:before="0" w:after="0"/>
        <w:rPr>
          <w:rFonts w:eastAsia="Times New Roman"/>
          <w:b/>
          <w:bCs/>
          <w:noProof/>
        </w:rPr>
      </w:pPr>
      <w:bookmarkStart w:id="4" w:name="_Hlk232156343"/>
      <w:r>
        <w:rPr>
          <w:b/>
          <w:noProof/>
        </w:rPr>
        <w:t>Competența Uniunii</w:t>
      </w:r>
    </w:p>
    <w:p>
      <w:pPr>
        <w:rPr>
          <w:noProof/>
        </w:rPr>
      </w:pPr>
      <w:r>
        <w:rPr>
          <w:noProof/>
        </w:rPr>
        <w:t xml:space="preserve">Uniunea are competență exclusivă în domeniul comerțului în temeiul articolului 3 alineatul (1) litera (e) din TFUE (politica comercială comună). </w:t>
      </w:r>
    </w:p>
    <w:p>
      <w:pPr>
        <w:spacing w:after="240"/>
        <w:rPr>
          <w:rFonts w:eastAsia="Arial Unicode MS"/>
          <w:noProof/>
        </w:rPr>
      </w:pPr>
      <w:r>
        <w:rPr>
          <w:noProof/>
        </w:rPr>
        <w:t>Tratatele nu menționează în mod explicit „politica forestieră”, dar UE are o serie de competențe partajate care se referă la păduri, cum ar fi clima, mediul, dezvoltarea rurală, și și-a exercitat aceste competențe prin diverse instrumente, cum ar fi Regulamentul (UE) 2021/1119 (Legea europeană a climei), Regulamentul (UE) 2018/841 (Regulamentul LULUCF), Regulamentul (UE) 2023/1115 (Regulamentul UE privind defrișările) și Regulamentul (UE) 2021/2115 (Regulamentul privind planurile strategice ale politicii agricole comune).</w:t>
      </w:r>
    </w:p>
    <w:bookmarkEnd w:id="4"/>
    <w:p>
      <w:pPr>
        <w:pStyle w:val="ManualHeading2"/>
        <w:rPr>
          <w:rFonts w:eastAsia="Arial Unicode MS"/>
          <w:noProof/>
          <w:bdr w:val="nil"/>
        </w:rPr>
      </w:pPr>
      <w:r>
        <w:rPr>
          <w:noProof/>
          <w:bdr w:val="nil"/>
        </w:rPr>
        <w:t>•</w:t>
      </w:r>
      <w:r>
        <w:rPr>
          <w:noProof/>
        </w:rPr>
        <w:tab/>
      </w:r>
      <w:r>
        <w:rPr>
          <w:noProof/>
          <w:bdr w:val="nil"/>
        </w:rPr>
        <w:t>Subsidiaritate și proporționalitate</w:t>
      </w:r>
    </w:p>
    <w:p>
      <w:pPr>
        <w:pBdr>
          <w:top w:val="nil"/>
          <w:left w:val="nil"/>
          <w:bottom w:val="nil"/>
          <w:right w:val="nil"/>
          <w:between w:val="nil"/>
          <w:bar w:val="nil"/>
        </w:pBdr>
        <w:spacing w:before="0" w:after="240"/>
        <w:rPr>
          <w:rFonts w:eastAsia="Arial Unicode MS"/>
          <w:noProof/>
        </w:rPr>
      </w:pPr>
      <w:r>
        <w:rPr>
          <w:noProof/>
        </w:rPr>
        <w:t xml:space="preserve">UE este deja parte la ITTA 2006 și participă activ la acest forum, întocmai ca statele sale membre. Uniunea ar trebui să participe la orice negocieri privind înlocuirea acordului menționat pentru a asigura caracterul adecvat al acestuia și faptul că este în concordanță cu politicile și obiectivele Uniunii, cu scopul de a permite Uniunii să ia în considerare aderarea la acesta. </w:t>
      </w:r>
    </w:p>
    <w:p>
      <w:pPr>
        <w:tabs>
          <w:tab w:val="left" w:pos="850"/>
        </w:tabs>
        <w:spacing w:before="0" w:after="160" w:line="257" w:lineRule="auto"/>
        <w:rPr>
          <w:rFonts w:eastAsia="Times New Roman"/>
          <w:noProof/>
        </w:rPr>
      </w:pPr>
      <w:r>
        <w:rPr>
          <w:noProof/>
        </w:rPr>
        <w:t>În plus, ITTO funcționează de mulți ani pe baza ITTA 2006 și a acordurilor predecesoare. Alte consilii pentru produse de bază se întemeiază pe acorduri internaționale similare. ITTO se confruntă cu diverse provocări, o eficiență maximă fiind necesară în cadrul sistemului ONU. Prin urmare, în această etapă, UE nu ar trebui să excludă un rezultat diferit al negocierilor, care nu este prevăzut în tratate.</w:t>
      </w:r>
    </w:p>
    <w:p>
      <w:pPr>
        <w:pStyle w:val="ManualHeading2"/>
        <w:rPr>
          <w:rFonts w:eastAsia="Arial Unicode MS"/>
          <w:noProof/>
          <w:u w:color="000000"/>
          <w:bdr w:val="nil"/>
        </w:rPr>
      </w:pPr>
      <w:r>
        <w:rPr>
          <w:noProof/>
          <w:u w:color="000000"/>
          <w:bdr w:val="nil"/>
        </w:rPr>
        <w:t>•</w:t>
      </w:r>
      <w:r>
        <w:rPr>
          <w:noProof/>
        </w:rPr>
        <w:tab/>
      </w:r>
      <w:r>
        <w:rPr>
          <w:noProof/>
          <w:u w:color="000000"/>
          <w:bdr w:val="nil"/>
        </w:rPr>
        <w:t>Alegerea instrumentului</w:t>
      </w:r>
    </w:p>
    <w:p>
      <w:pPr>
        <w:pBdr>
          <w:top w:val="nil"/>
          <w:left w:val="nil"/>
          <w:bottom w:val="nil"/>
          <w:right w:val="nil"/>
          <w:between w:val="nil"/>
          <w:bar w:val="nil"/>
        </w:pBdr>
        <w:spacing w:before="0" w:after="240"/>
        <w:rPr>
          <w:rFonts w:eastAsia="Arial Unicode MS"/>
          <w:noProof/>
        </w:rPr>
      </w:pPr>
      <w:r>
        <w:rPr>
          <w:noProof/>
        </w:rPr>
        <w:t>Prezenta recomandare de decizie a Consiliului este expusă în conformitate cu articolul 218 alineatele (3) și (4) din TFUE, la care se prevede adoptarea de către Consiliu a unei decizii de autorizare a începerii negocierilor și de numire a negociatorului Uniunii. De asemenea, Consiliul poate adresa directive de negociere negociatorului. Nu există un alt instrument juridic care ar putea fi folosit în scopul realizării obiectivului exprimat în prezenta recomandare.</w:t>
      </w:r>
    </w:p>
    <w:p>
      <w:pPr>
        <w:pStyle w:val="ManualHeading1"/>
        <w:rPr>
          <w:noProof/>
        </w:rPr>
      </w:pPr>
      <w:r>
        <w:rPr>
          <w:noProof/>
        </w:rPr>
        <w:t>3.</w:t>
      </w:r>
      <w:r>
        <w:rPr>
          <w:noProof/>
        </w:rPr>
        <w:tab/>
        <w:t xml:space="preserve">REZULTATELE EVALUĂRILOR </w:t>
      </w:r>
      <w:r>
        <w:rPr>
          <w:i/>
          <w:iCs/>
          <w:noProof/>
        </w:rPr>
        <w:t>EX POST</w:t>
      </w:r>
      <w:r>
        <w:rPr>
          <w:noProof/>
        </w:rPr>
        <w:t>, ALE CONSULTĂRILOR CU PĂRȚILE INTERESATE ȘI ALE EVALUĂRILOR IMPACTULUI</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Evaluările </w:t>
      </w:r>
      <w:r>
        <w:rPr>
          <w:i/>
          <w:iCs/>
          <w:noProof/>
          <w:u w:color="000000"/>
          <w:bdr w:val="nil"/>
        </w:rPr>
        <w:t>ex post</w:t>
      </w:r>
      <w:r>
        <w:rPr>
          <w:noProof/>
          <w:u w:color="000000"/>
          <w:bdr w:val="nil"/>
        </w:rPr>
        <w:t>/verificarea adecvării legislației existente</w:t>
      </w:r>
    </w:p>
    <w:p>
      <w:pPr>
        <w:pBdr>
          <w:top w:val="nil"/>
          <w:left w:val="nil"/>
          <w:bottom w:val="nil"/>
          <w:right w:val="nil"/>
          <w:between w:val="nil"/>
          <w:bar w:val="nil"/>
        </w:pBdr>
        <w:spacing w:before="0" w:after="240"/>
        <w:rPr>
          <w:rFonts w:eastAsia="Arial Unicode MS"/>
          <w:noProof/>
        </w:rPr>
      </w:pPr>
      <w:r>
        <w:rPr>
          <w:noProof/>
        </w:rPr>
        <w:t>Nu se aplică.</w:t>
      </w:r>
    </w:p>
    <w:p>
      <w:pPr>
        <w:pStyle w:val="ManualHeading2"/>
        <w:rPr>
          <w:rFonts w:eastAsia="Arial Unicode MS"/>
          <w:noProof/>
          <w:u w:color="000000"/>
          <w:bdr w:val="nil"/>
        </w:rPr>
      </w:pPr>
      <w:r>
        <w:rPr>
          <w:noProof/>
          <w:u w:color="000000"/>
          <w:bdr w:val="nil"/>
        </w:rPr>
        <w:t>•</w:t>
      </w:r>
      <w:r>
        <w:rPr>
          <w:noProof/>
        </w:rPr>
        <w:tab/>
      </w:r>
      <w:r>
        <w:rPr>
          <w:noProof/>
          <w:u w:color="000000"/>
          <w:bdr w:val="nil"/>
        </w:rPr>
        <w:t>Consultările cu părțile interesate</w:t>
      </w:r>
    </w:p>
    <w:p>
      <w:pPr>
        <w:pBdr>
          <w:top w:val="nil"/>
          <w:left w:val="nil"/>
          <w:bottom w:val="nil"/>
          <w:right w:val="nil"/>
          <w:between w:val="nil"/>
          <w:bar w:val="nil"/>
        </w:pBdr>
        <w:spacing w:before="0" w:after="240"/>
        <w:rPr>
          <w:rFonts w:eastAsia="Arial Unicode MS"/>
          <w:noProof/>
        </w:rPr>
      </w:pPr>
      <w:r>
        <w:rPr>
          <w:noProof/>
        </w:rPr>
        <w:t>Nu se aplică.</w:t>
      </w:r>
    </w:p>
    <w:p>
      <w:pPr>
        <w:pStyle w:val="ManualHeading2"/>
        <w:rPr>
          <w:rFonts w:eastAsia="Arial Unicode MS"/>
          <w:noProof/>
          <w:u w:color="000000"/>
          <w:bdr w:val="nil"/>
        </w:rPr>
      </w:pPr>
      <w:r>
        <w:rPr>
          <w:noProof/>
          <w:u w:color="000000"/>
          <w:bdr w:val="nil"/>
        </w:rPr>
        <w:t>•</w:t>
      </w:r>
      <w:r>
        <w:rPr>
          <w:noProof/>
        </w:rPr>
        <w:tab/>
      </w:r>
      <w:r>
        <w:rPr>
          <w:noProof/>
          <w:u w:color="000000"/>
          <w:bdr w:val="nil"/>
        </w:rPr>
        <w:t>Obținerea și utilizarea cunoștințelor de specialitate</w:t>
      </w:r>
    </w:p>
    <w:p>
      <w:pPr>
        <w:pBdr>
          <w:top w:val="nil"/>
          <w:left w:val="nil"/>
          <w:bottom w:val="nil"/>
          <w:right w:val="nil"/>
          <w:between w:val="nil"/>
          <w:bar w:val="nil"/>
        </w:pBdr>
        <w:spacing w:before="0" w:after="240"/>
        <w:rPr>
          <w:rFonts w:eastAsia="Arial Unicode MS"/>
          <w:noProof/>
        </w:rPr>
      </w:pPr>
      <w:r>
        <w:rPr>
          <w:noProof/>
        </w:rPr>
        <w:t>Nu se aplică.</w:t>
      </w:r>
    </w:p>
    <w:p>
      <w:pPr>
        <w:pStyle w:val="ManualHeading2"/>
        <w:rPr>
          <w:rFonts w:eastAsia="Arial Unicode MS"/>
          <w:noProof/>
          <w:u w:color="000000"/>
          <w:bdr w:val="nil"/>
        </w:rPr>
      </w:pPr>
      <w:r>
        <w:rPr>
          <w:noProof/>
          <w:u w:color="000000"/>
          <w:bdr w:val="nil"/>
        </w:rPr>
        <w:t>•</w:t>
      </w:r>
      <w:r>
        <w:rPr>
          <w:noProof/>
        </w:rPr>
        <w:tab/>
      </w:r>
      <w:r>
        <w:rPr>
          <w:noProof/>
          <w:u w:color="000000"/>
          <w:bdr w:val="nil"/>
        </w:rPr>
        <w:t>Evaluarea impactului</w:t>
      </w:r>
    </w:p>
    <w:p>
      <w:pPr>
        <w:pBdr>
          <w:top w:val="nil"/>
          <w:left w:val="nil"/>
          <w:bottom w:val="nil"/>
          <w:right w:val="nil"/>
          <w:between w:val="nil"/>
          <w:bar w:val="nil"/>
        </w:pBdr>
        <w:spacing w:before="0" w:after="240"/>
        <w:rPr>
          <w:rFonts w:eastAsia="Arial Unicode MS"/>
          <w:noProof/>
        </w:rPr>
      </w:pPr>
      <w:r>
        <w:rPr>
          <w:noProof/>
        </w:rPr>
        <w:t>Nu se aplică.</w:t>
      </w:r>
    </w:p>
    <w:p>
      <w:pPr>
        <w:pStyle w:val="ManualHeading2"/>
        <w:rPr>
          <w:rFonts w:eastAsia="Arial Unicode MS"/>
          <w:noProof/>
          <w:u w:color="000000"/>
          <w:bdr w:val="nil"/>
        </w:rPr>
      </w:pPr>
      <w:r>
        <w:rPr>
          <w:noProof/>
          <w:u w:color="000000"/>
          <w:bdr w:val="nil"/>
        </w:rPr>
        <w:t>•</w:t>
      </w:r>
      <w:r>
        <w:rPr>
          <w:noProof/>
        </w:rPr>
        <w:tab/>
      </w:r>
      <w:r>
        <w:rPr>
          <w:noProof/>
          <w:u w:color="000000"/>
          <w:bdr w:val="nil"/>
        </w:rPr>
        <w:t>Adecvarea reglementărilor și simplificarea</w:t>
      </w:r>
    </w:p>
    <w:p>
      <w:pPr>
        <w:pBdr>
          <w:top w:val="nil"/>
          <w:left w:val="nil"/>
          <w:bottom w:val="nil"/>
          <w:right w:val="nil"/>
          <w:between w:val="nil"/>
          <w:bar w:val="nil"/>
        </w:pBdr>
        <w:spacing w:before="0" w:after="240"/>
        <w:rPr>
          <w:rFonts w:eastAsia="Arial Unicode MS"/>
          <w:noProof/>
        </w:rPr>
      </w:pPr>
      <w:r>
        <w:rPr>
          <w:noProof/>
        </w:rPr>
        <w:t>Nu se aplică.</w:t>
      </w:r>
    </w:p>
    <w:p>
      <w:pPr>
        <w:pStyle w:val="ManualHeading2"/>
        <w:rPr>
          <w:rFonts w:eastAsia="Arial Unicode MS"/>
          <w:noProof/>
          <w:u w:color="000000"/>
          <w:bdr w:val="nil"/>
        </w:rPr>
      </w:pPr>
      <w:r>
        <w:rPr>
          <w:noProof/>
          <w:u w:color="000000"/>
          <w:bdr w:val="nil"/>
        </w:rPr>
        <w:t>•</w:t>
      </w:r>
      <w:r>
        <w:rPr>
          <w:noProof/>
        </w:rPr>
        <w:tab/>
      </w:r>
      <w:r>
        <w:rPr>
          <w:noProof/>
          <w:u w:color="000000"/>
          <w:bdr w:val="nil"/>
        </w:rPr>
        <w:t>Drepturile fundamentale</w:t>
      </w:r>
    </w:p>
    <w:p>
      <w:pPr>
        <w:pBdr>
          <w:top w:val="nil"/>
          <w:left w:val="nil"/>
          <w:bottom w:val="nil"/>
          <w:right w:val="nil"/>
          <w:between w:val="nil"/>
          <w:bar w:val="nil"/>
        </w:pBdr>
        <w:spacing w:before="0" w:after="240"/>
        <w:rPr>
          <w:rFonts w:eastAsia="Arial Unicode MS"/>
          <w:noProof/>
        </w:rPr>
      </w:pPr>
      <w:r>
        <w:rPr>
          <w:noProof/>
        </w:rPr>
        <w:t>În conformitate cu articolul 37 din Carta drepturilor fundamentale a Uniunii Europene, politicile UE trebuie să prevadă un nivel ridicat de protecție a mediului și de îmbunătățire a calității acestuia, care să fie asigurat în conformitate cu principiul dezvoltării forestiere durabile. Recomandarea propusă urmărește autorizarea deschiderii negocierilor privind un nou ITTA 2006, în concordanță, printre altele, cu politicile Uniunii în domeniul mediului. Se preconizează că acest lucru va avea un impact pozitiv asupra dreptului la protecția mediului, astfel cum este prevăzut la articolul 37 din Carta drepturilor fundamentale a Uniunii Europene.</w:t>
      </w:r>
    </w:p>
    <w:p>
      <w:pPr>
        <w:pStyle w:val="ManualHeading1"/>
        <w:spacing w:after="240"/>
        <w:ind w:left="851" w:hanging="851"/>
        <w:rPr>
          <w:rFonts w:eastAsia="Arial Unicode MS"/>
          <w:noProof/>
        </w:rPr>
      </w:pPr>
      <w:r>
        <w:rPr>
          <w:noProof/>
        </w:rPr>
        <w:t>4.</w:t>
      </w:r>
      <w:r>
        <w:rPr>
          <w:noProof/>
        </w:rPr>
        <w:tab/>
        <w:t>IMPLICAȚII BUGETARE</w:t>
      </w:r>
    </w:p>
    <w:p>
      <w:pPr>
        <w:pBdr>
          <w:top w:val="nil"/>
          <w:left w:val="nil"/>
          <w:bottom w:val="nil"/>
          <w:right w:val="nil"/>
          <w:between w:val="nil"/>
          <w:bar w:val="nil"/>
        </w:pBdr>
        <w:spacing w:before="0" w:after="240"/>
        <w:rPr>
          <w:rFonts w:eastAsia="Arial Unicode MS"/>
          <w:noProof/>
        </w:rPr>
      </w:pPr>
      <w:r>
        <w:rPr>
          <w:noProof/>
        </w:rPr>
        <w:t>Implicațiile bugetare exacte ale prezentei inițiative sunt imposibil de stabilit în această etapă, întrucât domeniul de aplicare și principalele aspecte ale acesteia urmează să fie negociate la nivel multilateral.</w:t>
      </w:r>
    </w:p>
    <w:p>
      <w:pPr>
        <w:pBdr>
          <w:top w:val="nil"/>
          <w:left w:val="nil"/>
          <w:bottom w:val="nil"/>
          <w:right w:val="nil"/>
          <w:between w:val="nil"/>
          <w:bar w:val="nil"/>
        </w:pBdr>
        <w:spacing w:before="0" w:after="240"/>
        <w:rPr>
          <w:rFonts w:eastAsia="Arial Unicode MS"/>
          <w:noProof/>
        </w:rPr>
      </w:pPr>
      <w:r>
        <w:rPr>
          <w:noProof/>
        </w:rPr>
        <w:t>Cu titlu informativ, în temeiul ITTA 2006 existent, UE plătește o contribuție anuală către ITTO pentru propria sa calitate de membru și pentru statele membre ale UE care sunt membre ale ITTO. Bugetul este stabilit în cadrul ITTC o dată la doi ani. Contribuția obligatorie pentru 2026 s-a ridicat la 1 201 686,00 USD.</w:t>
      </w:r>
    </w:p>
    <w:p>
      <w:pPr>
        <w:pStyle w:val="ManualHeading1"/>
        <w:rPr>
          <w:noProof/>
        </w:rPr>
      </w:pPr>
      <w:r>
        <w:rPr>
          <w:noProof/>
        </w:rPr>
        <w:t>5.</w:t>
      </w:r>
      <w:r>
        <w:rPr>
          <w:noProof/>
        </w:rPr>
        <w:tab/>
        <w:t>ALTE ELEMENTE</w:t>
      </w:r>
    </w:p>
    <w:p>
      <w:pPr>
        <w:pStyle w:val="ManualHeading2"/>
        <w:rPr>
          <w:rFonts w:eastAsia="Arial Unicode MS"/>
          <w:noProof/>
          <w:u w:color="000000"/>
          <w:bdr w:val="nil"/>
        </w:rPr>
      </w:pPr>
      <w:r>
        <w:rPr>
          <w:noProof/>
          <w:bdr w:val="nil"/>
        </w:rPr>
        <w:t>•</w:t>
      </w:r>
      <w:r>
        <w:rPr>
          <w:noProof/>
        </w:rPr>
        <w:tab/>
      </w:r>
      <w:r>
        <w:rPr>
          <w:noProof/>
          <w:bdr w:val="nil"/>
        </w:rPr>
        <w:t>Planurile de punere în aplicare și măsurile de monitorizare, evaluare și raportare</w:t>
      </w:r>
    </w:p>
    <w:p>
      <w:pPr>
        <w:pBdr>
          <w:top w:val="nil"/>
          <w:left w:val="nil"/>
          <w:bottom w:val="nil"/>
          <w:right w:val="nil"/>
          <w:between w:val="nil"/>
          <w:bar w:val="nil"/>
        </w:pBdr>
        <w:spacing w:before="0" w:after="240"/>
        <w:rPr>
          <w:rFonts w:eastAsia="Arial Unicode MS"/>
          <w:noProof/>
        </w:rPr>
      </w:pPr>
      <w:r>
        <w:rPr>
          <w:noProof/>
        </w:rPr>
        <w:t xml:space="preserve"> Dispozițiile pot depinde de evoluția negocierilor.</w:t>
      </w:r>
    </w:p>
    <w:p>
      <w:pPr>
        <w:pBdr>
          <w:top w:val="nil"/>
          <w:left w:val="nil"/>
          <w:bottom w:val="nil"/>
          <w:right w:val="nil"/>
          <w:between w:val="nil"/>
          <w:bar w:val="nil"/>
        </w:pBdr>
        <w:spacing w:before="0" w:after="240"/>
        <w:rPr>
          <w:rFonts w:eastAsia="Arial Unicode MS"/>
          <w:noProof/>
        </w:rPr>
      </w:pPr>
      <w:bookmarkStart w:id="5" w:name="_Hlk232155824"/>
      <w:r>
        <w:rPr>
          <w:noProof/>
        </w:rPr>
        <w:t>Actualul ITTA nu include cerințe adresate părților de a raporta cu privire la punerea în aplicare. Cu toate acestea, acordul prevede ca părțile să prezinte date relevante privind comerțul și piața, în vederea produselor de informare ale ITTO.</w:t>
      </w:r>
    </w:p>
    <w:bookmarkEnd w:id="5"/>
    <w:p>
      <w:pPr>
        <w:pBdr>
          <w:top w:val="nil"/>
          <w:left w:val="nil"/>
          <w:bottom w:val="nil"/>
          <w:right w:val="nil"/>
          <w:between w:val="nil"/>
          <w:bar w:val="nil"/>
        </w:pBdr>
        <w:spacing w:before="0" w:after="240"/>
        <w:rPr>
          <w:rFonts w:eastAsia="Arial Unicode MS"/>
          <w:noProof/>
        </w:rPr>
      </w:pPr>
      <w:r>
        <w:rPr>
          <w:noProof/>
        </w:rPr>
        <w:t>ITTC publică un raport anual al activităților sale, precum și alte informații pe care le consideră necesare. ITTC revizuiește și evaluează o dată la doi ani situația lemnului la nivel internațional și alți factori relevanți pentru atingerea obiectivelor ITTA. Acesta oferă, de asemenea, informații cu privire la tendințele din domeniul forestier, la gestionarea pădurilor și la economiile țărilor membre ale ITTO. Baza de date statistice online a ITTO furnizează date privind seriile de timp (începând din 1990) pentru 83 de țări, incluzând toate țările membre ale ITTO producătoare și consumatoare, cu privire la producția și la comercializarea a 16 produse primare din lemn, cum ar fi buștenii, cheresteaua, furnirul și placajul. În plus, ITTO publică Raportul privind piața esențelor de lemn tropical o dată la două săptămâni, prezentând știri actualizate privind piața și tendințele prețurilor din întreaga lume.</w:t>
      </w:r>
    </w:p>
    <w:p>
      <w:pPr>
        <w:pStyle w:val="ManualHeading2"/>
        <w:rPr>
          <w:rFonts w:eastAsia="Arial Unicode MS"/>
          <w:noProof/>
          <w:u w:color="000000"/>
          <w:bdr w:val="nil"/>
        </w:rPr>
      </w:pPr>
      <w:r>
        <w:rPr>
          <w:noProof/>
          <w:u w:color="000000"/>
          <w:bdr w:val="nil"/>
        </w:rPr>
        <w:t>•</w:t>
      </w:r>
      <w:r>
        <w:rPr>
          <w:noProof/>
        </w:rPr>
        <w:tab/>
      </w:r>
      <w:r>
        <w:rPr>
          <w:noProof/>
          <w:u w:color="000000"/>
          <w:bdr w:val="nil"/>
        </w:rPr>
        <w:t>Documentele explicative (în cazul directivelor)</w:t>
      </w:r>
    </w:p>
    <w:p>
      <w:pPr>
        <w:pBdr>
          <w:top w:val="nil"/>
          <w:left w:val="nil"/>
          <w:bottom w:val="nil"/>
          <w:right w:val="nil"/>
          <w:between w:val="nil"/>
          <w:bar w:val="nil"/>
        </w:pBdr>
        <w:spacing w:before="0" w:after="240"/>
        <w:rPr>
          <w:rFonts w:eastAsia="Arial Unicode MS"/>
          <w:noProof/>
        </w:rPr>
      </w:pPr>
      <w:r>
        <w:rPr>
          <w:noProof/>
        </w:rPr>
        <w:t>Nu se aplică.</w:t>
      </w:r>
    </w:p>
    <w:p>
      <w:pPr>
        <w:pStyle w:val="ManualHeading2"/>
        <w:rPr>
          <w:rFonts w:eastAsia="Arial Unicode MS"/>
          <w:noProof/>
        </w:rPr>
      </w:pPr>
      <w:r>
        <w:rPr>
          <w:noProof/>
          <w:bdr w:val="nil"/>
        </w:rPr>
        <w:t>•</w:t>
      </w:r>
      <w:r>
        <w:rPr>
          <w:noProof/>
        </w:rPr>
        <w:tab/>
      </w:r>
      <w:r>
        <w:rPr>
          <w:noProof/>
          <w:bdr w:val="nil"/>
        </w:rPr>
        <w:t>Explicarea detaliată a dispozițiilor specifice ale recomandării</w:t>
      </w:r>
    </w:p>
    <w:p>
      <w:pPr>
        <w:pStyle w:val="Text1"/>
        <w:ind w:left="0"/>
        <w:rPr>
          <w:noProof/>
        </w:rPr>
      </w:pPr>
      <w:r>
        <w:rPr>
          <w:noProof/>
        </w:rPr>
        <w:t>Comisia recomandă ca:</w:t>
      </w:r>
    </w:p>
    <w:p>
      <w:pPr>
        <w:pStyle w:val="Tiret1"/>
        <w:numPr>
          <w:ilvl w:val="0"/>
          <w:numId w:val="6"/>
        </w:numPr>
        <w:rPr>
          <w:noProof/>
        </w:rPr>
      </w:pPr>
      <w:r>
        <w:rPr>
          <w:noProof/>
        </w:rPr>
        <w:tab/>
        <w:t>Consiliul să autorizeze Comisia să participe la negocierile pentru un acord internațional care să înlocuiască ITTA 2006;</w:t>
      </w:r>
    </w:p>
    <w:p>
      <w:pPr>
        <w:pStyle w:val="Tiret1"/>
        <w:rPr>
          <w:noProof/>
        </w:rPr>
      </w:pPr>
      <w:r>
        <w:rPr>
          <w:noProof/>
        </w:rPr>
        <w:t>Comisia să fie desemnată negociator al UE;</w:t>
      </w:r>
    </w:p>
    <w:p>
      <w:pPr>
        <w:pStyle w:val="Tiret1"/>
        <w:rPr>
          <w:noProof/>
        </w:rPr>
      </w:pPr>
      <w:r>
        <w:rPr>
          <w:noProof/>
        </w:rPr>
        <w:t>Comisia să conducă negocierile în consultare cu comitetul special desemnat de către Consiliu în conformitate cu articolul 218 alineatul (4) din TFUE, precum și</w:t>
      </w:r>
    </w:p>
    <w:p>
      <w:pPr>
        <w:pStyle w:val="Tiret1"/>
        <w:rPr>
          <w:noProof/>
        </w:rPr>
      </w:pPr>
      <w:r>
        <w:rPr>
          <w:noProof/>
        </w:rPr>
        <w:t>Consiliul să aprobe directivele de negociere din addendumul la prezenta propunere de recomandare.</w:t>
      </w:r>
    </w:p>
    <w:p>
      <w:pPr>
        <w:pStyle w:val="Text1"/>
        <w:rPr>
          <w:noProof/>
        </w:rPr>
      </w:pPr>
    </w:p>
    <w:p>
      <w:pPr>
        <w:pStyle w:val="ManualHeading2"/>
        <w:rPr>
          <w:rFonts w:eastAsia="Arial Unicode MS"/>
          <w:noProof/>
        </w:rPr>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pPr>
      <w:r>
        <w:rPr>
          <w:noProof/>
          <w:bdr w:val="nil"/>
        </w:rPr>
        <w:t xml:space="preserve"> </w:t>
      </w:r>
    </w:p>
    <w:p>
      <w:pPr>
        <w:pStyle w:val="Statut"/>
        <w:rPr>
          <w:noProof/>
        </w:rPr>
      </w:pPr>
      <w:r>
        <w:rPr>
          <w:noProof/>
        </w:rPr>
        <w:t>Recomandare de</w:t>
      </w:r>
    </w:p>
    <w:p>
      <w:pPr>
        <w:pStyle w:val="Typedudocument"/>
        <w:rPr>
          <w:noProof/>
        </w:rPr>
      </w:pPr>
      <w:r>
        <w:rPr>
          <w:noProof/>
        </w:rPr>
        <w:t>DECIZIE A CONSILIULUI</w:t>
      </w:r>
    </w:p>
    <w:p>
      <w:pPr>
        <w:pStyle w:val="Titreobjet"/>
        <w:rPr>
          <w:noProof/>
        </w:rPr>
      </w:pPr>
      <w:r>
        <w:rPr>
          <w:noProof/>
        </w:rPr>
        <w:t>de autorizare a participării la negocierile pentru un acord internațional sau un alt instrument care să înlocuiască Acordul internațional privind esențele de lemn tropical</w:t>
      </w:r>
    </w:p>
    <w:p>
      <w:pPr>
        <w:pStyle w:val="Institutionquiagit"/>
        <w:rPr>
          <w:noProof/>
        </w:rPr>
      </w:pPr>
      <w:r>
        <w:rPr>
          <w:noProof/>
        </w:rPr>
        <w:t>CONSILIUL UNIUNII EUROPENE,</w:t>
      </w:r>
    </w:p>
    <w:p>
      <w:pPr>
        <w:rPr>
          <w:noProof/>
        </w:rPr>
      </w:pPr>
      <w:r>
        <w:rPr>
          <w:noProof/>
        </w:rPr>
        <w:t>având în vedere Tratatul privind funcționarea Uniunii Europene, în special articolul 207 alineatul (4) primul paragraf și articolul 192 alineatul (1) coroborat cu articolul 218 alineatele (3) și (4),</w:t>
      </w:r>
    </w:p>
    <w:p>
      <w:pPr>
        <w:rPr>
          <w:noProof/>
        </w:rPr>
      </w:pPr>
      <w:r>
        <w:rPr>
          <w:noProof/>
        </w:rPr>
        <w:t>având în vedere propunerea Comisiei Europene,</w:t>
      </w:r>
    </w:p>
    <w:p>
      <w:pPr>
        <w:rPr>
          <w:noProof/>
        </w:rPr>
      </w:pPr>
      <w:r>
        <w:rPr>
          <w:noProof/>
        </w:rPr>
        <w:t>întrucât:</w:t>
      </w:r>
    </w:p>
    <w:p>
      <w:pPr>
        <w:pStyle w:val="ManualConsidrant"/>
        <w:rPr>
          <w:rStyle w:val="eop"/>
          <w:noProof/>
        </w:rPr>
      </w:pPr>
      <w:r>
        <w:rPr>
          <w:noProof/>
        </w:rPr>
        <w:t>(1)</w:t>
      </w:r>
      <w:r>
        <w:rPr>
          <w:noProof/>
        </w:rPr>
        <w:tab/>
        <w:t>Acordul internațional privind esențele de lemn tropical din 2006 (denumit în continuare „ITTA 2006”) a fost încheiat de Uniune prin Decizia 2011/731/UE a Consiliului</w:t>
      </w:r>
      <w:r>
        <w:rPr>
          <w:rStyle w:val="FootnoteReference"/>
          <w:noProof/>
        </w:rPr>
        <w:footnoteReference w:id="15"/>
      </w:r>
      <w:r>
        <w:rPr>
          <w:noProof/>
        </w:rPr>
        <w:t xml:space="preserve"> și a intrat în vigoare la 7 decembrie 2011 pentru o perioadă de zece ani. Acesta a fost prelungit pentru o perioadă de cinci ani, iar apoi pentru o perioadă de încă trei ani. Nu este posibilă nicio prelungire după 6 decembrie 2029. </w:t>
      </w:r>
    </w:p>
    <w:p>
      <w:pPr>
        <w:pStyle w:val="ManualConsidrant"/>
        <w:rPr>
          <w:rStyle w:val="eop"/>
          <w:rFonts w:eastAsia="Times New Roman"/>
          <w:noProof/>
        </w:rPr>
      </w:pPr>
      <w:r>
        <w:rPr>
          <w:noProof/>
        </w:rPr>
        <w:t>(2)</w:t>
      </w:r>
      <w:r>
        <w:rPr>
          <w:noProof/>
        </w:rPr>
        <w:tab/>
        <w:t>Uniunea ar trebui să fie pregătită să participe la negocierile privind un acord internațional care să înlocuiască ITTA 2006, pentru a se asigura că un acord ulterior, dacă va exista, este în concordanță cu politicile Uniunii, inclusiv cu obiectivele privind gestionarea durabilă a pădurilor, facilitarea comerțului și protecția mediului. Noul acord ar trebui să asigure o reprezentare echilibrată a țărilor producătoare și consumatoare, să sprijine gestionarea durabilă a pădurilor, să promoveze comerțul legal și durabil cu esențe de lemn tropical și să instituie un cadru financiar și de guvernanță eficace și echitabil.</w:t>
      </w:r>
    </w:p>
    <w:p>
      <w:pPr>
        <w:pStyle w:val="ManualConsidrant"/>
        <w:rPr>
          <w:rFonts w:eastAsia="Times New Roman"/>
          <w:noProof/>
        </w:rPr>
      </w:pPr>
      <w:r>
        <w:rPr>
          <w:noProof/>
        </w:rPr>
        <w:t>(3)</w:t>
      </w:r>
      <w:r>
        <w:rPr>
          <w:noProof/>
        </w:rPr>
        <w:tab/>
        <w:t>Domeniul de aplicare al unui acord succesor ar trebui să fie identic sau similar cu domeniul de aplicare al ITTA 2006. Adăugirile la domeniul de aplicare ar trebui să fie bine justificate și să evite suprapunerea cu alte instrumente sau procese internaționale.</w:t>
      </w:r>
    </w:p>
    <w:p>
      <w:pPr>
        <w:pStyle w:val="Formuledadoption"/>
        <w:rPr>
          <w:noProof/>
        </w:rPr>
      </w:pPr>
    </w:p>
    <w:p>
      <w:pPr>
        <w:rPr>
          <w:noProof/>
        </w:rPr>
      </w:pPr>
      <w:r>
        <w:rPr>
          <w:noProof/>
        </w:rPr>
        <w:t xml:space="preserve">ADOPTĂ PREZENTA DECIZIE: </w:t>
      </w:r>
    </w:p>
    <w:p>
      <w:pPr>
        <w:pStyle w:val="Titrearticle"/>
        <w:rPr>
          <w:noProof/>
        </w:rPr>
      </w:pPr>
      <w:r>
        <w:rPr>
          <w:noProof/>
        </w:rPr>
        <w:t>Articolul 1</w:t>
      </w:r>
    </w:p>
    <w:p>
      <w:pPr>
        <w:rPr>
          <w:noProof/>
        </w:rPr>
      </w:pPr>
      <w:r>
        <w:rPr>
          <w:noProof/>
        </w:rPr>
        <w:t>Se autorizează participarea la negocierile referitoare la un acord succesor Acordului internațional privind esențele de lemn tropical.</w:t>
      </w:r>
    </w:p>
    <w:p>
      <w:pPr>
        <w:pStyle w:val="Titrearticle"/>
        <w:keepNext w:val="0"/>
        <w:rPr>
          <w:noProof/>
        </w:rPr>
      </w:pPr>
      <w:r>
        <w:rPr>
          <w:noProof/>
        </w:rPr>
        <w:t>Articolul 2</w:t>
      </w:r>
      <w:r>
        <w:rPr>
          <w:i w:val="0"/>
          <w:noProof/>
        </w:rPr>
        <w:t xml:space="preserve"> </w:t>
      </w:r>
    </w:p>
    <w:p>
      <w:pPr>
        <w:rPr>
          <w:noProof/>
        </w:rPr>
      </w:pPr>
      <w:r>
        <w:rPr>
          <w:noProof/>
        </w:rPr>
        <w:t xml:space="preserve">Comisia este desemnată negociator al Uniunii. </w:t>
      </w:r>
    </w:p>
    <w:p>
      <w:pPr>
        <w:keepLines/>
        <w:jc w:val="center"/>
        <w:rPr>
          <w:noProof/>
        </w:rPr>
      </w:pPr>
      <w:bookmarkStart w:id="6" w:name="_Hlk126129799"/>
      <w:bookmarkEnd w:id="6"/>
      <w:r>
        <w:rPr>
          <w:i/>
          <w:noProof/>
        </w:rPr>
        <w:t>Articolul 3</w:t>
      </w:r>
    </w:p>
    <w:p>
      <w:pPr>
        <w:rPr>
          <w:noProof/>
        </w:rPr>
      </w:pPr>
      <w:r>
        <w:rPr>
          <w:noProof/>
        </w:rPr>
        <w:t>Directivele de negociere prevăzute în addendumul la prezenta decizie se adresează Comisiei.</w:t>
      </w:r>
    </w:p>
    <w:p>
      <w:pPr>
        <w:keepLines/>
        <w:jc w:val="center"/>
        <w:rPr>
          <w:i/>
          <w:iCs/>
          <w:noProof/>
        </w:rPr>
      </w:pPr>
      <w:r>
        <w:rPr>
          <w:i/>
          <w:noProof/>
        </w:rPr>
        <w:t>Articolul 4</w:t>
      </w:r>
    </w:p>
    <w:p>
      <w:pPr>
        <w:keepLines/>
        <w:rPr>
          <w:noProof/>
        </w:rPr>
      </w:pPr>
      <w:r>
        <w:rPr>
          <w:noProof/>
        </w:rPr>
        <w:t>Negocierile se desfășoară în consultare cu Grupul de lucru pentru produse de bază al Consiliului, care este desemnat prin prezenta decizie drept comitetul special prevăzut la articolul 218 alineatul (4) din TFUE.</w:t>
      </w:r>
    </w:p>
    <w:p>
      <w:pPr>
        <w:keepLines/>
        <w:jc w:val="center"/>
        <w:rPr>
          <w:i/>
          <w:iCs/>
          <w:noProof/>
        </w:rPr>
      </w:pPr>
      <w:r>
        <w:rPr>
          <w:i/>
          <w:noProof/>
        </w:rPr>
        <w:t>Articolul 5</w:t>
      </w:r>
    </w:p>
    <w:p>
      <w:pPr>
        <w:keepLines/>
        <w:rPr>
          <w:noProof/>
        </w:rPr>
      </w:pPr>
      <w:r>
        <w:rPr>
          <w:noProof/>
        </w:rPr>
        <w:t>Prezenta decizie se adresează Comisiei.</w:t>
      </w:r>
    </w:p>
    <w:p>
      <w:pPr>
        <w:keepLines/>
        <w:jc w:val="center"/>
        <w:rPr>
          <w:noProof/>
        </w:rPr>
      </w:pPr>
    </w:p>
    <w:p>
      <w:pPr>
        <w:rPr>
          <w:noProof/>
        </w:rPr>
      </w:pPr>
    </w:p>
    <w:p>
      <w:pPr>
        <w:pStyle w:val="Fait"/>
        <w:rPr>
          <w:noProof/>
        </w:rPr>
      </w:pPr>
      <w:r>
        <w:rPr>
          <w:noProof/>
        </w:rPr>
        <w:t>Adoptată la Bruxelles,</w:t>
      </w:r>
    </w:p>
    <w:p>
      <w:pPr>
        <w:pStyle w:val="Institutionquisigne"/>
        <w:rPr>
          <w:noProof/>
        </w:rPr>
      </w:pPr>
      <w:r>
        <w:rPr>
          <w:noProof/>
        </w:rPr>
        <w:tab/>
        <w:t>Pentru Consiliu</w:t>
      </w:r>
    </w:p>
    <w:p>
      <w:pPr>
        <w:pStyle w:val="Personnequisigne"/>
        <w:ind w:left="3532" w:firstLine="720"/>
        <w:rPr>
          <w:noProof/>
        </w:rPr>
      </w:pPr>
      <w:r>
        <w:rPr>
          <w:noProof/>
        </w:rPr>
        <w:t>Președintele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r>
      <w:hyperlink r:id="rId1" w:history="1">
        <w:r>
          <w:rPr>
            <w:rStyle w:val="Hyperlink"/>
          </w:rPr>
          <w:t>ITTA2006 English.doc</w:t>
        </w:r>
      </w:hyperlink>
      <w:r>
        <w:t>.</w:t>
      </w:r>
    </w:p>
  </w:footnote>
  <w:footnote w:id="2">
    <w:p>
      <w:pPr>
        <w:pStyle w:val="FootnoteText"/>
      </w:pPr>
      <w:r>
        <w:rPr>
          <w:rStyle w:val="FootnoteReference"/>
        </w:rPr>
        <w:footnoteRef/>
      </w:r>
      <w:r>
        <w:tab/>
        <w:t xml:space="preserve">Decizia ITTC 4 (LVII), </w:t>
      </w:r>
      <w:hyperlink r:id="rId2" w:history="1">
        <w:r>
          <w:rPr>
            <w:rStyle w:val="Hyperlink"/>
          </w:rPr>
          <w:t>topics_id=6960&amp;no=1&amp;disp=inline</w:t>
        </w:r>
      </w:hyperlink>
      <w:r>
        <w:t>.</w:t>
      </w:r>
    </w:p>
  </w:footnote>
  <w:footnote w:id="3">
    <w:p>
      <w:pPr>
        <w:pStyle w:val="FootnoteText"/>
      </w:pPr>
      <w:r>
        <w:rPr>
          <w:rStyle w:val="FootnoteReference"/>
        </w:rPr>
        <w:footnoteRef/>
      </w:r>
      <w:r>
        <w:tab/>
        <w:t xml:space="preserve">Decizia ITTC 1 (LIX.1), </w:t>
      </w:r>
      <w:hyperlink r:id="rId3" w:history="1">
        <w:r>
          <w:rPr>
            <w:rStyle w:val="Hyperlink"/>
          </w:rPr>
          <w:t>topics_id=7862&amp;no=1&amp;disp=inline</w:t>
        </w:r>
      </w:hyperlink>
      <w:r>
        <w:t>.</w:t>
      </w:r>
    </w:p>
  </w:footnote>
  <w:footnote w:id="4">
    <w:p>
      <w:pPr>
        <w:pStyle w:val="FootnoteText"/>
      </w:pPr>
      <w:r>
        <w:rPr>
          <w:rStyle w:val="FootnoteReference"/>
        </w:rPr>
        <w:footnoteRef/>
      </w:r>
      <w:r>
        <w:tab/>
      </w:r>
      <w:hyperlink r:id="rId4" w:history="1">
        <w:r>
          <w:rPr>
            <w:rStyle w:val="Hyperlink"/>
          </w:rPr>
          <w:t>Decizia - 2007/648 - EN - EUR-Lex</w:t>
        </w:r>
      </w:hyperlink>
      <w:r>
        <w:t>.</w:t>
      </w:r>
    </w:p>
  </w:footnote>
  <w:footnote w:id="5">
    <w:p>
      <w:pPr>
        <w:pStyle w:val="FootnoteText"/>
      </w:pPr>
      <w:r>
        <w:rPr>
          <w:rStyle w:val="FootnoteReference"/>
        </w:rPr>
        <w:footnoteRef/>
      </w:r>
      <w:r>
        <w:tab/>
        <w:t>COM(2021)66 final: Revizuirea politicii comerciale – O politică comercială deschisă, durabilă și fermă.</w:t>
      </w:r>
    </w:p>
  </w:footnote>
  <w:footnote w:id="6">
    <w:p>
      <w:pPr>
        <w:pStyle w:val="FootnoteText"/>
      </w:pPr>
      <w:r>
        <w:rPr>
          <w:rStyle w:val="FootnoteReference"/>
        </w:rPr>
        <w:footnoteRef/>
      </w:r>
      <w:r>
        <w:tab/>
        <w:t>Regulamentul (UE) 2023/1115 privind produsele care nu implică defrișări.</w:t>
      </w:r>
    </w:p>
  </w:footnote>
  <w:footnote w:id="7">
    <w:p>
      <w:pPr>
        <w:pStyle w:val="FootnoteText"/>
      </w:pPr>
      <w:r>
        <w:rPr>
          <w:rStyle w:val="FootnoteReference"/>
        </w:rPr>
        <w:footnoteRef/>
      </w:r>
      <w:r>
        <w:tab/>
        <w:t>COM(2021)572: Noua strategie a UE pentru păduri pentru 2030.</w:t>
      </w:r>
    </w:p>
  </w:footnote>
  <w:footnote w:id="8">
    <w:p>
      <w:pPr>
        <w:pStyle w:val="FootnoteText"/>
      </w:pPr>
      <w:r>
        <w:rPr>
          <w:rStyle w:val="FootnoteReference"/>
        </w:rPr>
        <w:footnoteRef/>
      </w:r>
      <w:r>
        <w:tab/>
        <w:t>COM(2019)352 final: Intensificarea acțiunii UE pentru protejarea și refacerea pădurilor la nivel mondial.</w:t>
      </w:r>
    </w:p>
  </w:footnote>
  <w:footnote w:id="9">
    <w:p>
      <w:pPr>
        <w:pStyle w:val="FootnoteText"/>
      </w:pPr>
      <w:r>
        <w:rPr>
          <w:rStyle w:val="FootnoteReference"/>
        </w:rPr>
        <w:footnoteRef/>
      </w:r>
      <w:r>
        <w:tab/>
        <w:t>COM(2003)251 final: Asigurarea respectării legislației, guvernanța și schimburile comerciale în domeniul forestier (FLEGT) – Propunere privind un plan de acțiune al UE.</w:t>
      </w:r>
    </w:p>
  </w:footnote>
  <w:footnote w:id="10">
    <w:p>
      <w:pPr>
        <w:pStyle w:val="FootnoteText"/>
      </w:pPr>
      <w:r>
        <w:rPr>
          <w:rStyle w:val="FootnoteReference"/>
        </w:rPr>
        <w:footnoteRef/>
      </w:r>
      <w:r>
        <w:tab/>
        <w:t>Regulamentul (UE) 2018/841 (LULUCF) cu privire la includerea emisiilor de gaze cu efect de seră și a absorbțiilor rezultate din activități legate de exploatarea terenurilor, schimbarea destinației terenurilor și silvicultură în cadrul de politici privind clima și energia pentru 2030; Regulamentul (UE) 2023/839 (de modificare).</w:t>
      </w:r>
    </w:p>
  </w:footnote>
  <w:footnote w:id="11">
    <w:p>
      <w:pPr>
        <w:pStyle w:val="FootnoteText"/>
      </w:pPr>
      <w:r>
        <w:rPr>
          <w:rStyle w:val="FootnoteReference"/>
        </w:rPr>
        <w:footnoteRef/>
      </w:r>
      <w:r>
        <w:tab/>
        <w:t>CCONUSC (2013), Cadrul de la Varșovia pentru REDD+, Deciziile 9/CP.19-15/CP.19, adoptate de Conferința părților în cadrul celei de a nouăsprezecea sesiuni (COP19), Varșovia, Polonia.</w:t>
      </w:r>
    </w:p>
  </w:footnote>
  <w:footnote w:id="12">
    <w:p>
      <w:pPr>
        <w:pStyle w:val="FootnoteText"/>
      </w:pPr>
      <w:r>
        <w:rPr>
          <w:rStyle w:val="FootnoteReference"/>
        </w:rPr>
        <w:footnoteRef/>
      </w:r>
      <w:r>
        <w:tab/>
        <w:t>COM/2020/380 final: Strategia UE privind biodiversitatea pentru 2030 – Readucerea naturii în viețile noastre.</w:t>
      </w:r>
    </w:p>
  </w:footnote>
  <w:footnote w:id="13">
    <w:p>
      <w:pPr>
        <w:pStyle w:val="FootnoteText"/>
      </w:pPr>
      <w:r>
        <w:rPr>
          <w:rStyle w:val="FootnoteReference"/>
        </w:rPr>
        <w:footnoteRef/>
      </w:r>
      <w:r>
        <w:tab/>
        <w:t>Regulamentul (UE) 2021/1119 al Parlamentului European și al Consiliului din 30 iunie 2021 de instituire a cadrului pentru realizarea neutralității climatice și de modificare a Regulamentelor (CE) nr. 401/2009 și (UE) 2018/1999 („Legea europeană a climei”).</w:t>
      </w:r>
    </w:p>
  </w:footnote>
  <w:footnote w:id="14">
    <w:p>
      <w:pPr>
        <w:pStyle w:val="FootnoteText"/>
      </w:pPr>
      <w:r>
        <w:rPr>
          <w:rStyle w:val="FootnoteReference"/>
        </w:rPr>
        <w:footnoteRef/>
      </w:r>
      <w:r>
        <w:tab/>
        <w:t>Regulamentul (UE) 2021/2115 al Parlamentului European și al Consiliului din 2 decembrie 2021 de stabilire a normelor privind sprijinul pentru planurile strategice care urmează a fi elaborate de statele membre în cadrul politicii agricole comune (planurile strategice PAC) și finanțate de Fondul european de garantare agricolă (FEGA) și de Fondul european agricol pentru dezvoltare rurală (FEADR) și de abrogare a Regulamentelor (UE) nr. 1305/2013 și (UE) nr. 1307/2013.</w:t>
      </w:r>
    </w:p>
  </w:footnote>
  <w:footnote w:id="15">
    <w:p>
      <w:pPr>
        <w:pStyle w:val="FootnoteText"/>
      </w:pPr>
      <w:r>
        <w:rPr>
          <w:rStyle w:val="FootnoteReference"/>
        </w:rPr>
        <w:footnoteRef/>
      </w:r>
      <w:r>
        <w:tab/>
      </w:r>
      <w:hyperlink r:id="rId5" w:history="1">
        <w:r>
          <w:rPr>
            <w:rStyle w:val="Hyperlink"/>
          </w:rPr>
          <w:t>Decizia - 2011/731 - EN - EUR-Lex</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intelligence2.xml><?xml version="1.0" encoding="utf-8"?>
<int2:intelligence xmlns:int2="http://schemas.microsoft.com/office/intelligence/2020/intelligence" xmlns:oel="http://schemas.microsoft.com/office/2019/extlst">
  <int2:observations>
    <int2:textHash int2:hashCode="YZvGHRa8sj9h7G" int2:id="ZNoMV9NB">
      <int2:state int2:value="Rejected" int2:type="spell"/>
    </int2:textHash>
    <int2:textHash int2:hashCode="coS8xj0kQZr240" int2:id="ITXR19lB">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429E2D3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E8E63FB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B7C4D1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82463DA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1 09:10:0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C9C9AA3-26E9-4D32-9BD6-0AE4A026A1DC"/>
    <w:docVar w:name="LW_COVERPAGE_TYPE" w:val="1"/>
    <w:docVar w:name="LW_CreatedUtc" w:val="2026-05-04T08:55:39.7884453Z"/>
    <w:docVar w:name="LW_CROSSREFERENCE" w:val="&lt;UNUSED&gt;"/>
    <w:docVar w:name="LW_DocType" w:val="COM"/>
    <w:docVar w:name="LW_EMISSION" w:val="11.9.2026"/>
    <w:docVar w:name="LW_EMISSION_ISODATE" w:val="2026-09-11"/>
    <w:docVar w:name="LW_EMISSION_LOCATION" w:val="BRX"/>
    <w:docVar w:name="LW_EMISSION_PREFIX" w:val="Bruxelles,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45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de autorizare a particip\u259?rii la negocierile pentru un acord interna\u539?ional sau un alt instrument care s\u259? înlocuiasc\u259? Acordul interna\u539?ional privind esen\u539?ele de lemn tropical"/>
    <w:docVar w:name="LW_TYPE.DOC.CP" w:val="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3B1F856B-1B2C-4052-B38B-6A2D2B0A3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customStyle="1" w:styleId="eop">
    <w:name w:val="eop"/>
    <w:basedOn w:val="DefaultParagraphFont"/>
  </w:style>
  <w:style w:type="character" w:customStyle="1" w:styleId="normaltextrun">
    <w:name w:val="normaltextrun"/>
    <w:basedOn w:val="DefaultParagraphFont"/>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795053">
      <w:bodyDiv w:val="1"/>
      <w:marLeft w:val="0"/>
      <w:marRight w:val="0"/>
      <w:marTop w:val="0"/>
      <w:marBottom w:val="0"/>
      <w:divBdr>
        <w:top w:val="none" w:sz="0" w:space="0" w:color="auto"/>
        <w:left w:val="none" w:sz="0" w:space="0" w:color="auto"/>
        <w:bottom w:val="none" w:sz="0" w:space="0" w:color="auto"/>
        <w:right w:val="none" w:sz="0" w:space="0" w:color="auto"/>
      </w:divBdr>
    </w:div>
    <w:div w:id="379403999">
      <w:bodyDiv w:val="1"/>
      <w:marLeft w:val="0"/>
      <w:marRight w:val="0"/>
      <w:marTop w:val="0"/>
      <w:marBottom w:val="0"/>
      <w:divBdr>
        <w:top w:val="none" w:sz="0" w:space="0" w:color="auto"/>
        <w:left w:val="none" w:sz="0" w:space="0" w:color="auto"/>
        <w:bottom w:val="none" w:sz="0" w:space="0" w:color="auto"/>
        <w:right w:val="none" w:sz="0" w:space="0" w:color="auto"/>
      </w:divBdr>
    </w:div>
    <w:div w:id="578296027">
      <w:bodyDiv w:val="1"/>
      <w:marLeft w:val="0"/>
      <w:marRight w:val="0"/>
      <w:marTop w:val="0"/>
      <w:marBottom w:val="0"/>
      <w:divBdr>
        <w:top w:val="none" w:sz="0" w:space="0" w:color="auto"/>
        <w:left w:val="none" w:sz="0" w:space="0" w:color="auto"/>
        <w:bottom w:val="none" w:sz="0" w:space="0" w:color="auto"/>
        <w:right w:val="none" w:sz="0" w:space="0" w:color="auto"/>
      </w:divBdr>
    </w:div>
    <w:div w:id="1104614559">
      <w:bodyDiv w:val="1"/>
      <w:marLeft w:val="0"/>
      <w:marRight w:val="0"/>
      <w:marTop w:val="0"/>
      <w:marBottom w:val="0"/>
      <w:divBdr>
        <w:top w:val="none" w:sz="0" w:space="0" w:color="auto"/>
        <w:left w:val="none" w:sz="0" w:space="0" w:color="auto"/>
        <w:bottom w:val="none" w:sz="0" w:space="0" w:color="auto"/>
        <w:right w:val="none" w:sz="0" w:space="0" w:color="auto"/>
      </w:divBdr>
    </w:div>
    <w:div w:id="1121261895">
      <w:bodyDiv w:val="1"/>
      <w:marLeft w:val="0"/>
      <w:marRight w:val="0"/>
      <w:marTop w:val="0"/>
      <w:marBottom w:val="0"/>
      <w:divBdr>
        <w:top w:val="none" w:sz="0" w:space="0" w:color="auto"/>
        <w:left w:val="none" w:sz="0" w:space="0" w:color="auto"/>
        <w:bottom w:val="none" w:sz="0" w:space="0" w:color="auto"/>
        <w:right w:val="none" w:sz="0" w:space="0" w:color="auto"/>
      </w:divBdr>
    </w:div>
    <w:div w:id="194880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www.itto.int/direct/topics/topics_pdf_download/topics_id=7862&amp;no=1&amp;disp=inline" TargetMode="External"/><Relationship Id="rId2" Type="http://schemas.openxmlformats.org/officeDocument/2006/relationships/hyperlink" Target="https://www.itto.int/direct/topics/topics_pdf_download/topics_id=6960&amp;no=1&amp;disp=inline" TargetMode="External"/><Relationship Id="rId1" Type="http://schemas.openxmlformats.org/officeDocument/2006/relationships/hyperlink" Target="https://www.itto.int/direct/topics/topics_pdf_download/topics_id=3363&amp;no=1&amp;disp=inline" TargetMode="External"/><Relationship Id="rId5" Type="http://schemas.openxmlformats.org/officeDocument/2006/relationships/hyperlink" Target="https://eur-lex.europa.eu/legal-content/RO/ALL/?uri=CELEX:32011D0731" TargetMode="External"/><Relationship Id="rId4" Type="http://schemas.openxmlformats.org/officeDocument/2006/relationships/hyperlink" Target="https://eur-lex.europa.eu/eli/dec/2007/648/oj/e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7c5e3fa-378b-48b1-a129-e33a73f99ee9">
      <Terms xmlns="http://schemas.microsoft.com/office/infopath/2007/PartnerControls"/>
    </lcf76f155ced4ddcb4097134ff3c332f>
    <TaxCatchAll xmlns="098ed42e-6899-48a5-86ec-62908de97b0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6802581D1E5194BB751F4A1219E22A7" ma:contentTypeVersion="16" ma:contentTypeDescription="Create a new document." ma:contentTypeScope="" ma:versionID="986cc29f3b84d3243bd4a811381330bc">
  <xsd:schema xmlns:xsd="http://www.w3.org/2001/XMLSchema" xmlns:xs="http://www.w3.org/2001/XMLSchema" xmlns:p="http://schemas.microsoft.com/office/2006/metadata/properties" xmlns:ns2="f7c5e3fa-378b-48b1-a129-e33a73f99ee9" xmlns:ns3="098ed42e-6899-48a5-86ec-62908de97b08" targetNamespace="http://schemas.microsoft.com/office/2006/metadata/properties" ma:root="true" ma:fieldsID="9c7185e649ccb5aad8f9a1a939dfca32" ns2:_="" ns3:_="">
    <xsd:import namespace="f7c5e3fa-378b-48b1-a129-e33a73f99ee9"/>
    <xsd:import namespace="098ed42e-6899-48a5-86ec-62908de97b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c5e3fa-378b-48b1-a129-e33a73f99e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ed42e-6899-48a5-86ec-62908de97b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3a6b4ef-48d7-465a-b381-6e50bb88f2f3}" ma:internalName="TaxCatchAll" ma:showField="CatchAllData" ma:web="098ed42e-6899-48a5-86ec-62908de97b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50F37F-D9B5-4A6F-B465-1937B63F9B97}">
  <ds:schemaRefs>
    <ds:schemaRef ds:uri="http://schemas.microsoft.com/office/2006/metadata/properties"/>
    <ds:schemaRef ds:uri="http://schemas.microsoft.com/office/infopath/2007/PartnerControls"/>
    <ds:schemaRef ds:uri="f7c5e3fa-378b-48b1-a129-e33a73f99ee9"/>
    <ds:schemaRef ds:uri="098ed42e-6899-48a5-86ec-62908de97b08"/>
  </ds:schemaRefs>
</ds:datastoreItem>
</file>

<file path=customXml/itemProps2.xml><?xml version="1.0" encoding="utf-8"?>
<ds:datastoreItem xmlns:ds="http://schemas.openxmlformats.org/officeDocument/2006/customXml" ds:itemID="{B1D40FF3-A4EF-4D9E-8C32-C58553E5F95E}">
  <ds:schemaRefs>
    <ds:schemaRef ds:uri="http://schemas.microsoft.com/sharepoint/v3/contenttype/forms"/>
  </ds:schemaRefs>
</ds:datastoreItem>
</file>

<file path=customXml/itemProps3.xml><?xml version="1.0" encoding="utf-8"?>
<ds:datastoreItem xmlns:ds="http://schemas.openxmlformats.org/officeDocument/2006/customXml" ds:itemID="{E6F3F285-AD49-4FEB-AF5C-7979E45191F2}">
  <ds:schemaRefs>
    <ds:schemaRef ds:uri="http://schemas.openxmlformats.org/officeDocument/2006/bibliography"/>
  </ds:schemaRefs>
</ds:datastoreItem>
</file>

<file path=customXml/itemProps4.xml><?xml version="1.0" encoding="utf-8"?>
<ds:datastoreItem xmlns:ds="http://schemas.openxmlformats.org/officeDocument/2006/customXml" ds:itemID="{120DFB8A-CED8-429B-B1C5-EE69B8643B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c5e3fa-378b-48b1-a129-e33a73f99ee9"/>
    <ds:schemaRef ds:uri="098ed42e-6899-48a5-86ec-62908de97b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COM.dotm</Template>
  <TotalTime>14</TotalTime>
  <Pages>4</Pages>
  <Words>2891</Words>
  <Characters>16482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22</cp:revision>
  <dcterms:created xsi:type="dcterms:W3CDTF">2026-09-07T08:03:00Z</dcterms:created>
  <dcterms:modified xsi:type="dcterms:W3CDTF">2026-09-11T07:10:00Z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MSIP_Label_6bd9ddd1-4d20-43f6-abfa-fc3c07406f94_Enabled">
    <vt:lpwstr>true</vt:lpwstr>
  </property>
  <property fmtid="{D5CDD505-2E9C-101B-9397-08002B2CF9AE}" pid="11" name="MSIP_Label_6bd9ddd1-4d20-43f6-abfa-fc3c07406f94_SetDate">
    <vt:lpwstr>2026-05-04T08:55:48Z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5169f4b0-abed-422a-b943-1a4aa25065ea</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0x01010046802581D1E5194BB751F4A1219E22A7</vt:lpwstr>
  </property>
  <property fmtid="{D5CDD505-2E9C-101B-9397-08002B2CF9AE}" pid="19" name="MediaServiceImageTags">
    <vt:lpwstr/>
  </property>
  <property fmtid="{D5CDD505-2E9C-101B-9397-08002B2CF9AE}" pid="20" name="DQCStatus">
    <vt:lpwstr>Green (DQC version 03)</vt:lpwstr>
  </property>
</Properties>
</file>