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85CCCE0-EBA6-4FE2-9DA2-C4D451B131CF" style="width:455.25pt;height:381.7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ADDENDUM</w:t>
      </w:r>
    </w:p>
    <w:p>
      <w:pPr>
        <w:rPr>
          <w:noProof/>
        </w:rPr>
      </w:pPr>
      <w:r>
        <w:rPr>
          <w:noProof/>
        </w:rPr>
        <w:t xml:space="preserve">DIRECTIVE DE NEGOCIERE A UNUI NOU ACORD INTERNAȚIONAL PRIVIND ESENȚELE DE LEMN TROPICAL </w:t>
      </w:r>
    </w:p>
    <w:p>
      <w:pPr>
        <w:pStyle w:val="LegalNumPar"/>
        <w:spacing w:line="240" w:lineRule="auto"/>
        <w:rPr>
          <w:noProof/>
        </w:rPr>
      </w:pPr>
      <w:r>
        <w:rPr>
          <w:noProof/>
        </w:rPr>
        <w:t>Comisia, în numele Uniunii Europene, depune eforturi pentru a obține un rezultat negociat cuprinzător, care să cuprindă obiectivele și principiile prezentate mai jos.</w:t>
      </w:r>
    </w:p>
    <w:p>
      <w:pPr>
        <w:pStyle w:val="LegalNumPar"/>
        <w:rPr>
          <w:noProof/>
        </w:rPr>
      </w:pPr>
      <w:r>
        <w:rPr>
          <w:noProof/>
        </w:rPr>
        <w:t>Generalități</w:t>
      </w:r>
    </w:p>
    <w:p>
      <w:pPr>
        <w:ind w:left="426"/>
        <w:rPr>
          <w:noProof/>
        </w:rPr>
      </w:pPr>
      <w:r>
        <w:rPr>
          <w:noProof/>
        </w:rPr>
        <w:t>Noul acord ar trebui să instituie un cadru și o instituție internaționale pentru ca părțile la acord să promoveze comerțul internațional cu esențe de lemn tropical provenite din păduri gestionate în mod durabil și recoltate legal, diversificarea produselor în cauză, transparența pieței și gestionarea durabilă a pădurilor producătoare de esențe de lemn tropical.</w:t>
      </w:r>
    </w:p>
    <w:p>
      <w:pPr>
        <w:pStyle w:val="LegalNumPar"/>
        <w:rPr>
          <w:noProof/>
        </w:rPr>
      </w:pPr>
      <w:r>
        <w:rPr>
          <w:noProof/>
        </w:rPr>
        <w:t>Mandat și nomenclatură</w:t>
      </w:r>
    </w:p>
    <w:p>
      <w:pPr>
        <w:ind w:left="426"/>
        <w:rPr>
          <w:noProof/>
        </w:rPr>
      </w:pPr>
      <w:r>
        <w:rPr>
          <w:noProof/>
        </w:rPr>
        <w:t xml:space="preserve">Domeniul de aplicare al noului acord ar trebui să fie identic sau similar cu domeniul de aplicare al ITTA 2006. Adăugirile la domeniul de aplicare ar trebui să fie bine justificate și să evite pe cât posibil suprapunerea cu alte instrumente sau procese internaționale. </w:t>
      </w:r>
    </w:p>
    <w:p>
      <w:pPr>
        <w:ind w:left="426"/>
        <w:rPr>
          <w:noProof/>
        </w:rPr>
      </w:pPr>
      <w:r>
        <w:rPr>
          <w:noProof/>
        </w:rPr>
        <w:t>Noul acord ar trebui să afirme funcția ITTO de cadru internațional pentru facilitarea, sprijinirea și promovarea comerțului cu esențe de lemn tropical provenite din păduri gestionate în mod durabil și recoltate legal, precum și transparența aferentă a pieței.</w:t>
      </w:r>
    </w:p>
    <w:p>
      <w:pPr>
        <w:ind w:left="426"/>
        <w:rPr>
          <w:noProof/>
        </w:rPr>
      </w:pPr>
      <w:r>
        <w:rPr>
          <w:noProof/>
        </w:rPr>
        <w:t>Noul acord trebuie să asigure contribuția ITTO la agenda și la obiectivele globale privind pădurile. De asemenea, acesta ar trebui să promoveze sinergiile cu alte instrumente și obiective internaționale legate de păduri și să evite duplicarea sau suprapunerea inutilă.</w:t>
      </w:r>
    </w:p>
    <w:p>
      <w:pPr>
        <w:ind w:left="426"/>
        <w:rPr>
          <w:noProof/>
        </w:rPr>
      </w:pPr>
      <w:r>
        <w:rPr>
          <w:noProof/>
        </w:rPr>
        <w:t>Noul acord poate include dispoziții privind dezactivarea sau întreruperea activităților operaționale în cazul în care ponderea din comerțul cu esențe de lemn tropical a membrilor activi și a celor contribuitori scade sub un anumit prag.</w:t>
      </w:r>
    </w:p>
    <w:p>
      <w:pPr>
        <w:ind w:left="426"/>
        <w:rPr>
          <w:noProof/>
        </w:rPr>
      </w:pPr>
      <w:r>
        <w:rPr>
          <w:noProof/>
        </w:rPr>
        <w:t xml:space="preserve">Negocierile ar trebui să ia în considerare opțiunea de a atinge obiectivele ITTO prin intermediul unor instrumente alternative, de exemplu instrumente care nu sunt prevăzute în tratate, dacă acest lucru este mai adecvat. </w:t>
      </w:r>
    </w:p>
    <w:p>
      <w:pPr>
        <w:pStyle w:val="LegalNumPar"/>
        <w:rPr>
          <w:noProof/>
        </w:rPr>
      </w:pPr>
      <w:r>
        <w:rPr>
          <w:noProof/>
        </w:rPr>
        <w:t>Eficiența și eficacitatea guvernanței ITTO</w:t>
      </w:r>
    </w:p>
    <w:p>
      <w:pPr>
        <w:ind w:left="426"/>
        <w:rPr>
          <w:noProof/>
        </w:rPr>
      </w:pPr>
      <w:r>
        <w:rPr>
          <w:noProof/>
        </w:rPr>
        <w:t>Noul acord poate fi negociat sub auspiciile Conferinței Organizației Națiunilor Unite pentru Comerț și Dezvoltare (UNCTAD) sau sub auspiciile unui model alternativ de guvernanță, cu condiția ca obiectivele să poată fi îndeplinite într-un mod eficient și rentabil.</w:t>
      </w:r>
    </w:p>
    <w:p>
      <w:pPr>
        <w:ind w:left="426"/>
        <w:rPr>
          <w:noProof/>
        </w:rPr>
      </w:pPr>
      <w:r>
        <w:rPr>
          <w:noProof/>
        </w:rPr>
        <w:t xml:space="preserve">Ca și actualul ITTA, noul acord poate institui diferite comitete și ar trebui, de asemenea, să confere ITTC competența de a institui noi comitete sau de a le dizolva pe cele existente. </w:t>
      </w:r>
    </w:p>
    <w:p>
      <w:pPr>
        <w:ind w:left="426"/>
        <w:rPr>
          <w:noProof/>
        </w:rPr>
      </w:pPr>
      <w:r>
        <w:rPr>
          <w:noProof/>
        </w:rPr>
        <w:t xml:space="preserve">Noul acord ar putea avea o dată clară de expirare, ar putea prevedea o revizuire periodică a funcționării sale, dar nu ar fixa nicio limită în ceea ce privește numărul de prelungiri. Durata maximă a unei prelungiri individuale ar trebui stabilită în noul acord și ar putea fi de 10-15 ani. </w:t>
      </w:r>
    </w:p>
    <w:p>
      <w:pPr>
        <w:ind w:left="426"/>
        <w:rPr>
          <w:noProof/>
        </w:rPr>
      </w:pPr>
      <w:r>
        <w:rPr>
          <w:noProof/>
        </w:rPr>
        <w:t xml:space="preserve">Noul acord ar trebui să includă dispoziții privind posibile modificări. Cu toate acestea, nu ar trebui să fie prea ușor să se modifice noul acord, în special dispozițiile privind drepturile și obligațiile membrilor. </w:t>
      </w:r>
    </w:p>
    <w:p>
      <w:pPr>
        <w:ind w:left="426"/>
        <w:rPr>
          <w:noProof/>
        </w:rPr>
      </w:pPr>
      <w:r>
        <w:rPr>
          <w:noProof/>
        </w:rPr>
        <w:t xml:space="preserve">Noul acord ar trebui să ofere flexibilitate pentru optimizarea frecvenței reuniunilor ITTC. </w:t>
      </w:r>
    </w:p>
    <w:p>
      <w:pPr>
        <w:ind w:left="426"/>
        <w:rPr>
          <w:noProof/>
        </w:rPr>
      </w:pPr>
      <w:r>
        <w:rPr>
          <w:noProof/>
        </w:rPr>
        <w:lastRenderedPageBreak/>
        <w:t>Noul acord ar trebui să includă dispoziții care să permită formate de reuniuni virtuale sau hibride.</w:t>
      </w:r>
    </w:p>
    <w:p>
      <w:pPr>
        <w:ind w:left="426"/>
        <w:rPr>
          <w:noProof/>
        </w:rPr>
      </w:pPr>
      <w:r>
        <w:rPr>
          <w:noProof/>
        </w:rPr>
        <w:t>Dispozițiile privind gestiunea financiară a finanțării relevante ar trebui să asigure eficiența și transparența și să reducă la minimum riscul de gestionare defectuoasă sau de abuz al resurselor.</w:t>
      </w:r>
    </w:p>
    <w:p>
      <w:pPr>
        <w:pStyle w:val="LegalNumPar"/>
        <w:rPr>
          <w:noProof/>
        </w:rPr>
      </w:pPr>
      <w:r>
        <w:rPr>
          <w:noProof/>
        </w:rPr>
        <w:t>Sistemul de vot și contribuțiile obligatorii</w:t>
      </w:r>
    </w:p>
    <w:p>
      <w:pPr>
        <w:ind w:left="567"/>
        <w:rPr>
          <w:noProof/>
        </w:rPr>
      </w:pPr>
      <w:r>
        <w:rPr>
          <w:noProof/>
        </w:rPr>
        <w:t xml:space="preserve">Noul acord ar trebui să includă dispoziții adecvate pentru a încuraja părțile să își plătească contribuțiile obligatorii. </w:t>
      </w:r>
    </w:p>
    <w:p>
      <w:pPr>
        <w:ind w:left="567"/>
        <w:rPr>
          <w:noProof/>
        </w:rPr>
      </w:pPr>
      <w:r>
        <w:rPr>
          <w:noProof/>
        </w:rPr>
        <w:t>Noul acord ar trebui să stabilească un cvorum pentru luarea deciziilor și să includă dispoziții de salvgardare adecvate pentru a aborda situațiile în care ITTC nu atinge cvorumul.</w:t>
      </w:r>
    </w:p>
    <w:p>
      <w:pPr>
        <w:ind w:left="567"/>
        <w:rPr>
          <w:noProof/>
        </w:rPr>
      </w:pPr>
      <w:r>
        <w:rPr>
          <w:noProof/>
        </w:rPr>
        <w:t>Scopul acestuia ar trebui să fie evitarea polarizării inutile între părțile producătoare și cele consumatoare, promovând o abordare echitabilă și bazată pe cooperare.</w:t>
      </w:r>
    </w:p>
    <w:p>
      <w:pPr>
        <w:pStyle w:val="LegalNumPar"/>
        <w:spacing w:line="240" w:lineRule="auto"/>
        <w:rPr>
          <w:noProof/>
        </w:rPr>
      </w:pPr>
      <w:r>
        <w:rPr>
          <w:noProof/>
        </w:rPr>
        <w:t>Comisia se asigură că noul acord conține dispoziții adecvate care să permită Uniunii să fie parte la acesta.</w:t>
      </w:r>
    </w:p>
    <w:p>
      <w:pPr>
        <w:pStyle w:val="LegalNumPar"/>
        <w:spacing w:line="240" w:lineRule="auto"/>
        <w:rPr>
          <w:noProof/>
        </w:rPr>
      </w:pPr>
      <w:r>
        <w:rPr>
          <w:noProof/>
        </w:rPr>
        <w:t>Comisia ar trebui să depună eforturi pentru a asigura coerența noului acord cu legislația și cu politicile relevante ale Uniunii, precum și cu angajamentele asumate de Uniune în temeiul altor acorduri multilaterale relevante.</w:t>
      </w:r>
    </w:p>
    <w:p>
      <w:pPr>
        <w:pStyle w:val="LegalNumPar"/>
        <w:spacing w:line="240" w:lineRule="auto"/>
        <w:rPr>
          <w:noProof/>
        </w:rPr>
      </w:pPr>
      <w:r>
        <w:rPr>
          <w:noProof/>
        </w:rPr>
        <w:t>Comisia ar trebui să conducă negocierile în conformitate cu legislația relevantă în vigoare a Uniunii.</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0CEACB8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5AAC03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97AA7D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F4896F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11000B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C98C53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4A4FE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FCCEC5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2"/>
  </w:num>
  <w:num w:numId="10">
    <w:abstractNumId w:val="20"/>
  </w:num>
  <w:num w:numId="11">
    <w:abstractNumId w:val="13"/>
  </w:num>
  <w:num w:numId="12">
    <w:abstractNumId w:val="22"/>
  </w:num>
  <w:num w:numId="13">
    <w:abstractNumId w:val="11"/>
  </w:num>
  <w:num w:numId="14">
    <w:abstractNumId w:val="14"/>
  </w:num>
  <w:num w:numId="15">
    <w:abstractNumId w:val="15"/>
  </w:num>
  <w:num w:numId="16">
    <w:abstractNumId w:val="9"/>
  </w:num>
  <w:num w:numId="17">
    <w:abstractNumId w:val="21"/>
  </w:num>
  <w:num w:numId="18">
    <w:abstractNumId w:val="8"/>
  </w:num>
  <w:num w:numId="19">
    <w:abstractNumId w:val="16"/>
  </w:num>
  <w:num w:numId="20">
    <w:abstractNumId w:val="18"/>
  </w:num>
  <w:num w:numId="21">
    <w:abstractNumId w:val="19"/>
  </w:num>
  <w:num w:numId="22">
    <w:abstractNumId w:val="10"/>
  </w:num>
  <w:num w:numId="23">
    <w:abstractNumId w:val="17"/>
  </w:num>
  <w:num w:numId="24">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9:11: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A85CCCE0-EBA6-4FE2-9DA2-C4D451B131CF"/>
    <w:docVar w:name="LW_COVERPAGE_TYPE" w:val="1"/>
    <w:docVar w:name="LW_CreatedUtc" w:val="2026-06-17T11:09:51.1930533Z"/>
    <w:docVar w:name="LW_CROSSREFERENCE" w:val="&lt;UNUSED&gt;"/>
    <w:docVar w:name="LW_DocType" w:val="ANNEX"/>
    <w:docVar w:name="LW_EMISSION" w:val="11.9.2026"/>
    <w:docVar w:name="LW_EMISSION_ISODATE" w:val="2026-09-11"/>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de autorizare a particip\u259?rii la negocierile pentru un acord interna\u539?ional sau un alt instrument care s\u259? înlocuiasc\u259? Acordul interna\u539?ional privind esen\u539?ele de lemn tropical_x000d__x000d__x000b__x000d__x000b_ADDENDUM"/>
    <w:docVar w:name="LW_OBJETACTEPRINCIPAL.CP" w:val="de autorizare a particip\u259?rii la negocierile pentru un acord interna\u539?ional sau un alt instrument care s\u259? înlocuiasc\u259? Acordul interna\u539?ional privind esen\u539?ele de lemn tropical_x000d__x000d__x000b__x000d__x000b_ADDENDUM"/>
    <w:docVar w:name="LW_PART_NBR" w:val="1"/>
    <w:docVar w:name="LW_PART_NBR_TOTAL" w:val="1"/>
    <w:docVar w:name="LW_REF.INST.NEW" w:val="COM"/>
    <w:docVar w:name="LW_REF.INST.NEW_ADOPTED" w:val="final"/>
    <w:docVar w:name="LW_REF.INST.NEW_TEXT" w:val="(2026) 4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Recomandarea de decizie a Consiliului"/>
    <w:docVar w:name="LW_TYPEACTEPRINCIPAL.CP" w:val="Recomanda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7E17799-F439-41BF-A3CF-BB0927746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customStyle="1" w:styleId="LegalNumPar">
    <w:name w:val="LegalNumPar"/>
    <w:basedOn w:val="Normal"/>
    <w:pPr>
      <w:numPr>
        <w:numId w:val="9"/>
      </w:numPr>
      <w:spacing w:line="360" w:lineRule="auto"/>
    </w:pPr>
  </w:style>
  <w:style w:type="paragraph" w:customStyle="1" w:styleId="LegalNumPar2">
    <w:name w:val="LegalNumPar2"/>
    <w:basedOn w:val="Normal"/>
    <w:pPr>
      <w:numPr>
        <w:ilvl w:val="1"/>
        <w:numId w:val="9"/>
      </w:numPr>
      <w:spacing w:line="360" w:lineRule="auto"/>
    </w:pPr>
  </w:style>
  <w:style w:type="paragraph" w:customStyle="1" w:styleId="LegalNumPar3">
    <w:name w:val="LegalNumPar3"/>
    <w:basedOn w:val="Normal"/>
    <w:pPr>
      <w:numPr>
        <w:ilvl w:val="2"/>
        <w:numId w:val="9"/>
      </w:numPr>
      <w:spacing w:line="360" w:lineRule="auto"/>
    </w:p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5</TotalTime>
  <Pages>3</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17</cp:revision>
  <dcterms:created xsi:type="dcterms:W3CDTF">2026-09-07T08:04:00Z</dcterms:created>
  <dcterms:modified xsi:type="dcterms:W3CDTF">2026-09-11T07:11:00Z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2026-06-17T11:14:06Z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d59cceec-ef6a-4ded-b3d9-ff0eb48e5686</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