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EA075D6A-CB53-4F73-9AF4-2E239FD884FA" style="width:455.25pt;height:369.75pt">
            <v:imagedata r:id="rId10" o:title=""/>
          </v:shape>
        </w:pict>
      </w:r>
    </w:p>
    <w:p>
      <w:pPr>
        <w:rPr>
          <w:noProof/>
        </w:r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Annexetitre"/>
        <w:rPr>
          <w:noProof/>
        </w:rPr>
      </w:pPr>
      <w:r>
        <w:rPr>
          <w:noProof/>
        </w:rPr>
        <w:lastRenderedPageBreak/>
        <w:t xml:space="preserve">ANNEXE </w:t>
      </w:r>
    </w:p>
    <w:p>
      <w:pPr>
        <w:pStyle w:val="Annexetitreexpos"/>
        <w:rPr>
          <w:noProof/>
          <w:u w:val="none"/>
        </w:rPr>
      </w:pPr>
    </w:p>
    <w:p>
      <w:pPr>
        <w:pStyle w:val="Annexetitreexpos"/>
        <w:rPr>
          <w:noProof/>
          <w:u w:val="none"/>
        </w:rPr>
      </w:pPr>
      <w:r>
        <w:rPr>
          <w:noProof/>
          <w:u w:val="none"/>
        </w:rPr>
        <w:t>Ordre de présentation des candidatures au titre de capitale européenne de la culture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95"/>
        <w:gridCol w:w="1456"/>
        <w:gridCol w:w="5742"/>
      </w:tblGrid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2034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Croatie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Roumanie</w:t>
            </w:r>
          </w:p>
        </w:tc>
        <w:tc>
          <w:tcPr>
            <w:tcW w:w="5779" w:type="dxa"/>
            <w:vAlign w:val="center"/>
          </w:tcPr>
          <w:p>
            <w:pPr>
              <w:jc w:val="left"/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2035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Irlande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Grèce</w:t>
            </w:r>
          </w:p>
        </w:tc>
        <w:tc>
          <w:tcPr>
            <w:tcW w:w="5779" w:type="dxa"/>
            <w:vAlign w:val="center"/>
          </w:tcPr>
          <w:p>
            <w:pPr>
              <w:jc w:val="left"/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2036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Lituanie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Autriche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</w:rPr>
              <w:t xml:space="preserve">Pays AELE/EEE, pays candidat ou candidat potentiel à l’adhésion à l’UE ou pays tiers associé au volet «Europe créative – Culture» du programme AgoraEU ou aux programmes ultérieurs de l’Union en faveur de la culture. 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2037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Hongrie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Luxembourg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2038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Estonie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Allemagne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</w:rPr>
              <w:t>Pays AELE/EEE, pays candidat ou candidat potentiel à l’adhésion à l’UE ou pays tiers associé au volet «Europe créative – Culture» du programme AgoraEU ou aux programmes ultérieurs de l’Union en faveur de la culture.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2039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Lettonie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Finlande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2040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Slovaquie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Portugal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2041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Slovénie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France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</w:rPr>
              <w:t>Pays AELE/EEE, pays candidat ou candidat potentiel à l’adhésion à l’UE ou pays tiers associé au volet «Europe créative – Culture» du programme AgoraEU ou aux programmes ultérieurs de l’Union en faveur de la culture.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2042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Tchéquie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Suède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2043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Pologne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Danemark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2044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Chypre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Italie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</w:rPr>
              <w:t>Pays AELE/EEE, pays candidat ou candidat potentiel à l’adhésion à l’UE ou pays tiers associé au volet «Europe créative – Culture» du programme AgoraEU ou aux programmes ultérieurs de l’Union en faveur de la culture.</w:t>
            </w: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2045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Malte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Belgique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2046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Bulgarie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Espagne</w:t>
            </w: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</w:p>
        </w:tc>
      </w:tr>
      <w:tr>
        <w:tc>
          <w:tcPr>
            <w:tcW w:w="69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</w:rPr>
              <w:t>2047</w:t>
            </w:r>
          </w:p>
        </w:tc>
        <w:tc>
          <w:tcPr>
            <w:tcW w:w="1397" w:type="dxa"/>
            <w:vAlign w:val="center"/>
          </w:tcPr>
          <w:p>
            <w:pPr>
              <w:jc w:val="left"/>
              <w:rPr>
                <w:noProof/>
              </w:rPr>
            </w:pPr>
            <w:r>
              <w:rPr>
                <w:noProof/>
              </w:rPr>
              <w:t>Pays-Bas</w:t>
            </w:r>
          </w:p>
        </w:tc>
        <w:tc>
          <w:tcPr>
            <w:tcW w:w="1417" w:type="dxa"/>
            <w:vAlign w:val="center"/>
          </w:tcPr>
          <w:p>
            <w:pPr>
              <w:jc w:val="left"/>
              <w:rPr>
                <w:noProof/>
              </w:rPr>
            </w:pPr>
          </w:p>
        </w:tc>
        <w:tc>
          <w:tcPr>
            <w:tcW w:w="5779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</w:rPr>
              <w:t>Pays AELE/EEE, pays candidat ou candidat potentiel à l’adhésion à l’UE ou pays tiers associé au volet «Europe créative – Culture» du programme AgoraEU ou aux programmes ultérieurs de l’Union en faveur de la culture.</w:t>
            </w:r>
          </w:p>
        </w:tc>
      </w:tr>
    </w:tbl>
    <w:p>
      <w:pPr>
        <w:rPr>
          <w:noProof/>
        </w:rPr>
      </w:pPr>
    </w:p>
    <w:sectPr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CFEAC0C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A260B4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F582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BD783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5"/>
  </w:num>
  <w:num w:numId="6">
    <w:abstractNumId w:val="8"/>
  </w:num>
  <w:num w:numId="7">
    <w:abstractNumId w:val="17"/>
  </w:num>
  <w:num w:numId="8">
    <w:abstractNumId w:val="7"/>
  </w:num>
  <w:num w:numId="9">
    <w:abstractNumId w:val="9"/>
  </w:num>
  <w:num w:numId="10">
    <w:abstractNumId w:val="10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13"/>
  </w:num>
  <w:num w:numId="16">
    <w:abstractNumId w:val="14"/>
  </w:num>
  <w:num w:numId="17">
    <w:abstractNumId w:val="6"/>
  </w:num>
  <w:num w:numId="18">
    <w:abstractNumId w:val="12"/>
  </w:num>
  <w:num w:numId="1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CR_RefLast" w:val="0"/>
    <w:docVar w:name="DQCDateTime" w:val="2026-09-09 17:26:11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de la"/>
    <w:docVar w:name="LW_ACCOMPAGNANT.CP" w:val="de 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EA075D6A-CB53-4F73-9AF4-2E239FD884FA"/>
    <w:docVar w:name="LW_COVERPAGE_TYPE" w:val="1"/>
    <w:docVar w:name="LW_CreatedUtc" w:val="2026-06-02T15:34:37.5954291Z"/>
    <w:docVar w:name="LW_CROSSREFERENCE" w:val="&lt;UNUSED&gt;"/>
    <w:docVar w:name="LW_DocType" w:val="ANNEX"/>
    <w:docVar w:name="LW_EMISSION" w:val="10.9.2026"/>
    <w:docVar w:name="LW_EMISSION_ISODATE" w:val="2026-09-10"/>
    <w:docVar w:name="LW_EMISSION_LOCATION" w:val="BRX"/>
    <w:docVar w:name="LW_EMISSION_PREFIX" w:val="Bruxelles, le "/>
    <w:docVar w:name="LW_EMISSION_SUFFIX" w:val=" "/>
    <w:docVar w:name="LW_ID_DOCSTRUCTURE" w:val="COM/ANNEX"/>
    <w:docVar w:name="LW_ID_DOCTYPE" w:val="SG-017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" w:val="&lt;FMT:Font=Calibri&gt;renouvelant une action de l\u8217?Union en faveur des capitales européennes de la culture pour les années 2034 à 2047 et abrogeant la décision nº 445/2014/UE&lt;/FMT&gt;_x000b_"/>
    <w:docVar w:name="LW_OBJETACTEPRINCIPAL.CP" w:val="&lt;FMT:Font=Calibri&gt;renouvelant une action de l\u8217?Union en faveur des capitales européennes de la culture pour les années 2034 à 2047 et abrogeant la décision nº 445/2014/UE&lt;/FMT&gt;_x000b_"/>
    <w:docVar w:name="LW_PART_NBR" w:val="1"/>
    <w:docVar w:name="LW_PART_NBR_TOTAL" w:val="1"/>
    <w:docVar w:name="LW_REF.INST.NEW" w:val="COM"/>
    <w:docVar w:name="LW_REF.INST.NEW_ADOPTED" w:val="final"/>
    <w:docVar w:name="LW_REF.INST.NEW_TEXT" w:val="(2026) 455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E"/>
    <w:docVar w:name="LW_TYPE.DOC.CP" w:val="ANNEXE"/>
    <w:docVar w:name="LW_TYPEACTEPRINCIPAL" w:val="Proposition de DÉCISION DU PARLEMENT EUROPÉEN ET DU CONSEIL"/>
    <w:docVar w:name="LW_TYPEACTEPRINCIPAL.CP" w:val="Proposition de DÉCISION DU PARLEMENT EUROPÉEN ET DU CONSEIL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docId w15:val="{ECDACC9F-52B0-4F3A-8D9E-C3B0B4B4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fr-FR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5"/>
      </w:numPr>
    </w:pPr>
  </w:style>
  <w:style w:type="paragraph" w:customStyle="1" w:styleId="Tiret1">
    <w:name w:val="Tiret 1"/>
    <w:basedOn w:val="Point1"/>
    <w:pPr>
      <w:numPr>
        <w:numId w:val="6"/>
      </w:numPr>
    </w:pPr>
  </w:style>
  <w:style w:type="paragraph" w:customStyle="1" w:styleId="Tiret2">
    <w:name w:val="Tiret 2"/>
    <w:basedOn w:val="Point2"/>
    <w:pPr>
      <w:numPr>
        <w:numId w:val="7"/>
      </w:numPr>
    </w:pPr>
  </w:style>
  <w:style w:type="paragraph" w:customStyle="1" w:styleId="Tiret3">
    <w:name w:val="Tiret 3"/>
    <w:basedOn w:val="Point3"/>
    <w:pPr>
      <w:numPr>
        <w:numId w:val="8"/>
      </w:numPr>
    </w:pPr>
  </w:style>
  <w:style w:type="paragraph" w:customStyle="1" w:styleId="Tiret4">
    <w:name w:val="Tiret 4"/>
    <w:basedOn w:val="Point4"/>
    <w:pPr>
      <w:numPr>
        <w:numId w:val="9"/>
      </w:numPr>
    </w:pPr>
  </w:style>
  <w:style w:type="paragraph" w:customStyle="1" w:styleId="Tiret5">
    <w:name w:val="Tiret 5"/>
    <w:basedOn w:val="Point5"/>
    <w:pPr>
      <w:numPr>
        <w:numId w:val="1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3"/>
      </w:numPr>
    </w:pPr>
  </w:style>
  <w:style w:type="paragraph" w:customStyle="1" w:styleId="Point1number">
    <w:name w:val="Point 1 (number)"/>
    <w:basedOn w:val="Normal"/>
    <w:pPr>
      <w:numPr>
        <w:ilvl w:val="2"/>
        <w:numId w:val="13"/>
      </w:numPr>
    </w:pPr>
  </w:style>
  <w:style w:type="paragraph" w:customStyle="1" w:styleId="Point2number">
    <w:name w:val="Point 2 (number)"/>
    <w:basedOn w:val="Normal"/>
    <w:pPr>
      <w:numPr>
        <w:ilvl w:val="4"/>
        <w:numId w:val="13"/>
      </w:numPr>
    </w:pPr>
  </w:style>
  <w:style w:type="paragraph" w:customStyle="1" w:styleId="Point3number">
    <w:name w:val="Point 3 (number)"/>
    <w:basedOn w:val="Normal"/>
    <w:pPr>
      <w:numPr>
        <w:ilvl w:val="6"/>
        <w:numId w:val="13"/>
      </w:numPr>
    </w:pPr>
  </w:style>
  <w:style w:type="paragraph" w:customStyle="1" w:styleId="Point0letter">
    <w:name w:val="Point 0 (letter)"/>
    <w:basedOn w:val="Normal"/>
    <w:pPr>
      <w:numPr>
        <w:ilvl w:val="1"/>
        <w:numId w:val="13"/>
      </w:numPr>
    </w:pPr>
  </w:style>
  <w:style w:type="paragraph" w:customStyle="1" w:styleId="Point1letter">
    <w:name w:val="Point 1 (letter)"/>
    <w:basedOn w:val="Normal"/>
    <w:pPr>
      <w:numPr>
        <w:ilvl w:val="3"/>
        <w:numId w:val="13"/>
      </w:numPr>
    </w:pPr>
  </w:style>
  <w:style w:type="paragraph" w:customStyle="1" w:styleId="Point2letter">
    <w:name w:val="Point 2 (letter)"/>
    <w:basedOn w:val="Normal"/>
    <w:pPr>
      <w:numPr>
        <w:ilvl w:val="5"/>
        <w:numId w:val="13"/>
      </w:numPr>
    </w:pPr>
  </w:style>
  <w:style w:type="paragraph" w:customStyle="1" w:styleId="Point3letter">
    <w:name w:val="Point 3 (letter)"/>
    <w:basedOn w:val="Normal"/>
    <w:pPr>
      <w:numPr>
        <w:ilvl w:val="7"/>
        <w:numId w:val="13"/>
      </w:numPr>
    </w:pPr>
  </w:style>
  <w:style w:type="paragraph" w:customStyle="1" w:styleId="Point4letter">
    <w:name w:val="Point 4 (letter)"/>
    <w:basedOn w:val="Normal"/>
    <w:pPr>
      <w:numPr>
        <w:ilvl w:val="8"/>
        <w:numId w:val="13"/>
      </w:numPr>
    </w:pPr>
  </w:style>
  <w:style w:type="paragraph" w:customStyle="1" w:styleId="Bullet0">
    <w:name w:val="Bullet 0"/>
    <w:basedOn w:val="Normal"/>
    <w:pPr>
      <w:numPr>
        <w:numId w:val="14"/>
      </w:numPr>
    </w:pPr>
  </w:style>
  <w:style w:type="paragraph" w:customStyle="1" w:styleId="Bullet1">
    <w:name w:val="Bullet 1"/>
    <w:basedOn w:val="Normal"/>
    <w:pPr>
      <w:numPr>
        <w:numId w:val="15"/>
      </w:numPr>
    </w:pPr>
  </w:style>
  <w:style w:type="paragraph" w:customStyle="1" w:styleId="Bullet2">
    <w:name w:val="Bullet 2"/>
    <w:basedOn w:val="Normal"/>
    <w:pPr>
      <w:numPr>
        <w:numId w:val="16"/>
      </w:numPr>
    </w:pPr>
  </w:style>
  <w:style w:type="paragraph" w:customStyle="1" w:styleId="Bullet3">
    <w:name w:val="Bullet 3"/>
    <w:basedOn w:val="Normal"/>
    <w:pPr>
      <w:numPr>
        <w:numId w:val="17"/>
      </w:numPr>
    </w:pPr>
  </w:style>
  <w:style w:type="paragraph" w:customStyle="1" w:styleId="Bullet4">
    <w:name w:val="Bullet 4"/>
    <w:basedOn w:val="Normal"/>
    <w:pPr>
      <w:numPr>
        <w:numId w:val="1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1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image" Target="media/image1.emf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BAD999D84E12C74482EA5120F5227F6F00217DECAAC21D6B43958DFE68658C192E" ma:contentTypeVersion="27" ma:contentTypeDescription="Create a new document in this library." ma:contentTypeScope="" ma:versionID="21d0a0e06688d09e97f4165f03ece64c">
  <xsd:schema xmlns:xsd="http://www.w3.org/2001/XMLSchema" xmlns:xs="http://www.w3.org/2001/XMLSchema" xmlns:p="http://schemas.microsoft.com/office/2006/metadata/properties" xmlns:ns2="http://schemas.microsoft.com/sharepoint/v3/fields" xmlns:ns3="144c03d0-0f03-451f-9d46-5279004462a4" xmlns:ns4="f7bb8512-91eb-4bfd-be42-d6f021407e9a" targetNamespace="http://schemas.microsoft.com/office/2006/metadata/properties" ma:root="true" ma:fieldsID="8f85106d4a88386bc052a7e1d0ca7ee0" ns2:_="" ns3:_="" ns4:_="">
    <xsd:import namespace="http://schemas.microsoft.com/sharepoint/v3/fields"/>
    <xsd:import namespace="144c03d0-0f03-451f-9d46-5279004462a4"/>
    <xsd:import namespace="f7bb8512-91eb-4bfd-be42-d6f021407e9a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SharedWithUsers" minOccurs="0"/>
                <xsd:element ref="ns3:SharedWithDetails" minOccurs="0"/>
                <xsd:element ref="ns3:EC_Collab_Status" minOccurs="0"/>
                <xsd:element ref="ns4:MediaServiceSearchPropertie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 ma:readOnly="false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c03d0-0f03-451f-9d46-5279004462a4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 ma:readOnly="false">
      <xsd:simpleType>
        <xsd:restriction base="dms:Text"/>
      </xsd:simpleType>
    </xsd:element>
    <xsd:element name="EC_Collab_DocumentLanguage" ma:index="14" ma:displayName="Language" ma:default="EN" ma:format="Dropdown" ma:internalName="EC_Collab_DocumentLanguage" ma:readOnly="fals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EC_Collab_Status" ma:index="17" nillable="true" ma:displayName="EC Status" ma:default="Not Started" ma:format="Dropdown" ma:internalName="EC_Collab_Status" ma:readOnly="false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TaxCatchAll" ma:index="21" nillable="true" ma:displayName="Taxonomy Catch All Column" ma:hidden="true" ma:list="{51513471-611d-4aba-ae12-e8d0e877eea6}" ma:internalName="TaxCatchAll" ma:showField="CatchAllData" ma:web="144c03d0-0f03-451f-9d46-5279004462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b8512-91eb-4bfd-be42-d6f021407e9a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144c03d0-0f03-451f-9d46-5279004462a4" xsi:nil="true"/>
    <EC_Collab_Status xmlns="144c03d0-0f03-451f-9d46-5279004462a4">Not Started</EC_Collab_Status>
    <_Status xmlns="http://schemas.microsoft.com/sharepoint/v3/fields">Not Started</_Status>
    <EC_Collab_DocumentLanguage xmlns="144c03d0-0f03-451f-9d46-5279004462a4">EN</EC_Collab_DocumentLanguage>
    <lcf76f155ced4ddcb4097134ff3c332f xmlns="f7bb8512-91eb-4bfd-be42-d6f021407e9a">
      <Terms xmlns="http://schemas.microsoft.com/office/infopath/2007/PartnerControls"/>
    </lcf76f155ced4ddcb4097134ff3c332f>
    <TaxCatchAll xmlns="144c03d0-0f03-451f-9d46-5279004462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3A429E-8451-4900-A4E4-167CF560A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44c03d0-0f03-451f-9d46-5279004462a4"/>
    <ds:schemaRef ds:uri="f7bb8512-91eb-4bfd-be42-d6f02140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B06863-8994-4DD5-BB08-A9216FBC7265}">
  <ds:schemaRefs>
    <ds:schemaRef ds:uri="http://schemas.microsoft.com/office/2006/metadata/properties"/>
    <ds:schemaRef ds:uri="http://schemas.microsoft.com/office/infopath/2007/PartnerControls"/>
    <ds:schemaRef ds:uri="144c03d0-0f03-451f-9d46-5279004462a4"/>
    <ds:schemaRef ds:uri="http://schemas.microsoft.com/sharepoint/v3/fields"/>
    <ds:schemaRef ds:uri="f7bb8512-91eb-4bfd-be42-d6f021407e9a"/>
  </ds:schemaRefs>
</ds:datastoreItem>
</file>

<file path=customXml/itemProps3.xml><?xml version="1.0" encoding="utf-8"?>
<ds:datastoreItem xmlns:ds="http://schemas.openxmlformats.org/officeDocument/2006/customXml" ds:itemID="{F8EAC885-EC16-49FB-9D77-3FE32BE301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11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15</cp:revision>
  <dcterms:created xsi:type="dcterms:W3CDTF">2026-07-28T08:12:00Z</dcterms:created>
  <dcterms:modified xsi:type="dcterms:W3CDTF">2026-09-09T15:26:00Z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2026-06-02T15:37:55Z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ff95d6ba-c23c-42b2-b24d-d4020b79dd73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MSIP_Label_6bd9ddd1-4d20-43f6-abfa-fc3c07406f94_Tag">
    <vt:lpwstr>10, 3, 0, 1</vt:lpwstr>
  </property>
  <property fmtid="{D5CDD505-2E9C-101B-9397-08002B2CF9AE}" pid="21" name="ContentTypeId">
    <vt:lpwstr>0x010100BAD999D84E12C74482EA5120F5227F6F00217DECAAC21D6B43958DFE68658C192E</vt:lpwstr>
  </property>
  <property fmtid="{D5CDD505-2E9C-101B-9397-08002B2CF9AE}" pid="22" name="MediaServiceImageTags">
    <vt:lpwstr/>
  </property>
  <property fmtid="{D5CDD505-2E9C-101B-9397-08002B2CF9AE}" pid="23" name="DQCStatus">
    <vt:lpwstr>Green (DQC version 03)</vt:lpwstr>
  </property>
</Properties>
</file>