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3C24847-5F5C-4266-966D-B74590B780FE" style="width:455.25pt;height:357.7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bdr w:val="nil"/>
        </w:rPr>
        <w:t>•</w:t>
      </w:r>
      <w:r>
        <w:rPr>
          <w:noProof/>
        </w:rPr>
        <w:tab/>
        <w:t>Motivele și obiectivele propunerii</w:t>
      </w:r>
    </w:p>
    <w:p>
      <w:pPr>
        <w:rPr>
          <w:rFonts w:eastAsiaTheme="minorEastAsia"/>
          <w:noProof/>
          <w:sz w:val="22"/>
        </w:rPr>
      </w:pPr>
      <w:r>
        <w:rPr>
          <w:noProof/>
          <w:sz w:val="22"/>
        </w:rPr>
        <w:t>Capitalele europene ale culturii (CEC) au fost create în 1985 ca inițiativă interguvernamentală. Acestea au fost transformate în mod oficial într-o acțiune a Uniunii Europene în 1999 pentru a face inițiativa mai eficace. Au fost stabilite noi criterii și proceduri de selecție, s-a elaborat o listă cronologică a statelor membre care indică ordinea în care acestea au dreptul de a găzdui „titlul” și a fost creat un juriu european de experți independenți pentru a evalua candidaturile (Decizia nr. 1419/1999/CE a Parlamentului European și a Consiliului din 25 mai 1999 de stabilire a unei acțiuni comunitare în favoarea evenimentului „Capitala europeană a culturii” pentru perioada 2005-2019</w:t>
      </w:r>
      <w:r>
        <w:rPr>
          <w:rStyle w:val="FootnoteReference"/>
          <w:rFonts w:eastAsiaTheme="minorEastAsia"/>
          <w:noProof/>
          <w:sz w:val="22"/>
        </w:rPr>
        <w:footnoteReference w:id="1"/>
      </w:r>
      <w:r>
        <w:rPr>
          <w:noProof/>
          <w:sz w:val="22"/>
        </w:rPr>
        <w:t xml:space="preserve">). </w:t>
      </w:r>
    </w:p>
    <w:p>
      <w:pPr>
        <w:rPr>
          <w:rFonts w:eastAsiaTheme="minorEastAsia"/>
          <w:noProof/>
          <w:sz w:val="22"/>
        </w:rPr>
      </w:pPr>
      <w:r>
        <w:rPr>
          <w:noProof/>
          <w:sz w:val="22"/>
        </w:rPr>
        <w:t>Normele au fost reînnoite în 2006 pentru a spori și mai mult eficacitatea inițiativei prin stimularea concurenței între orașe și îmbunătățirea calității ofertelor. Aceste norme noi au introdus, de asemenea, diverse măsuri de asistare a orașelor în pregătirea acestora, inclusiv un proces de monitorizare (Decizia nr. 1622/2006/CE a Parlamentului European și a Consiliului din 24 octombrie 2006 de stabilire a unei acțiuni comunitare în favoarea evenimentului „Capitala europeană a culturii” pentru perioada 2007-2019</w:t>
      </w:r>
      <w:r>
        <w:rPr>
          <w:rStyle w:val="FootnoteReference"/>
          <w:rFonts w:eastAsiaTheme="minorEastAsia"/>
          <w:noProof/>
          <w:sz w:val="22"/>
        </w:rPr>
        <w:footnoteReference w:id="2"/>
      </w:r>
      <w:r>
        <w:rPr>
          <w:noProof/>
          <w:sz w:val="22"/>
        </w:rPr>
        <w:t>). Temeiul juridic actual (Decizia nr. 445/2014/UE a Parlamentului European și a Consiliului</w:t>
      </w:r>
      <w:r>
        <w:rPr>
          <w:rStyle w:val="FootnoteReference"/>
          <w:rFonts w:eastAsiaTheme="minorEastAsia"/>
          <w:noProof/>
          <w:sz w:val="22"/>
        </w:rPr>
        <w:footnoteReference w:id="3"/>
      </w:r>
      <w:r>
        <w:rPr>
          <w:noProof/>
          <w:sz w:val="22"/>
        </w:rPr>
        <w:t>) a fost adoptat în 2014.</w:t>
      </w:r>
    </w:p>
    <w:p>
      <w:pPr>
        <w:spacing w:before="0" w:after="240"/>
        <w:rPr>
          <w:rFonts w:eastAsiaTheme="minorEastAsia"/>
          <w:noProof/>
          <w:sz w:val="22"/>
        </w:rPr>
      </w:pPr>
      <w:r>
        <w:rPr>
          <w:noProof/>
          <w:sz w:val="22"/>
        </w:rPr>
        <w:t>Decizia nr. 445/2014/UE va lua sfârșit în 2033. Competiția pentru titlu este lansată în prezent cu șase ani în avans pentru a oferi orașelor timp suficient pentru pregătirea acestora înainte de începerea anului pentru care este acordat titlul. Prin urmare, noul temei juridic pentru continuarea programului „Capitalele europene ale culturii” ar trebui să fie adoptat în 2027, cu scopul de a asigura o tranziție fără probleme în 2034. Acest nou cadru juridic urmărește să garanteze relevanța continuă a inițiativei, luând în considerare, în același timp, necesitatea unor măsuri de simplificare.</w:t>
      </w:r>
    </w:p>
    <w:p>
      <w:pPr>
        <w:pStyle w:val="ManualHeading2"/>
        <w:rPr>
          <w:rFonts w:eastAsia="Arial Unicode MS"/>
          <w:noProof/>
          <w:color w:val="000000"/>
          <w:u w:color="000000"/>
          <w:bdr w:val="nil"/>
        </w:rPr>
      </w:pPr>
      <w:r>
        <w:rPr>
          <w:noProof/>
          <w:color w:val="000000"/>
          <w:bdr w:val="nil"/>
        </w:rPr>
        <w:t>•</w:t>
      </w:r>
      <w:r>
        <w:rPr>
          <w:noProof/>
        </w:rPr>
        <w:tab/>
        <w:t>Coerența cu dispozițiile de politică existente în domeniul de politică vizat</w:t>
      </w:r>
    </w:p>
    <w:p>
      <w:pPr>
        <w:pBdr>
          <w:top w:val="nil"/>
          <w:left w:val="nil"/>
          <w:bottom w:val="nil"/>
          <w:right w:val="nil"/>
          <w:between w:val="nil"/>
        </w:pBdr>
        <w:spacing w:before="0" w:after="240"/>
        <w:rPr>
          <w:rFonts w:eastAsia="Arial Unicode MS"/>
          <w:noProof/>
          <w:sz w:val="22"/>
        </w:rPr>
      </w:pPr>
      <w:r>
        <w:rPr>
          <w:noProof/>
          <w:sz w:val="22"/>
        </w:rPr>
        <w:t xml:space="preserve">Inițiativa este în concordanță cu angajamentul politic comun de a proteja, promova și sprijini cultura în Europa, prevăzut în Declarația comună „Europa pentru cultură – cultura pentru Europa” a Parlamentului European, a Consiliului și a Comisiei, precum și cu </w:t>
      </w:r>
      <w:r>
        <w:rPr>
          <w:b/>
          <w:noProof/>
          <w:sz w:val="22"/>
        </w:rPr>
        <w:t>Busola pentru cultura Europei</w:t>
      </w:r>
      <w:r>
        <w:rPr>
          <w:rStyle w:val="FootnoteReference"/>
          <w:rFonts w:eastAsia="Arial Unicode MS"/>
          <w:b/>
          <w:bCs/>
          <w:noProof/>
          <w:sz w:val="22"/>
        </w:rPr>
        <w:footnoteReference w:id="4"/>
      </w:r>
      <w:r>
        <w:rPr>
          <w:noProof/>
          <w:sz w:val="22"/>
        </w:rPr>
        <w:t xml:space="preserve">. </w:t>
      </w:r>
    </w:p>
    <w:p>
      <w:pPr>
        <w:pBdr>
          <w:top w:val="nil"/>
          <w:left w:val="nil"/>
          <w:bottom w:val="nil"/>
          <w:right w:val="nil"/>
          <w:between w:val="nil"/>
        </w:pBdr>
        <w:spacing w:before="0" w:after="240"/>
        <w:rPr>
          <w:rFonts w:eastAsia="Arial Unicode MS"/>
          <w:noProof/>
          <w:sz w:val="22"/>
        </w:rPr>
      </w:pPr>
      <w:r>
        <w:rPr>
          <w:noProof/>
          <w:sz w:val="22"/>
        </w:rPr>
        <w:t xml:space="preserve">Ea se aliniază la inițiative europene precum </w:t>
      </w:r>
      <w:r>
        <w:rPr>
          <w:b/>
          <w:noProof/>
          <w:sz w:val="22"/>
        </w:rPr>
        <w:t>noul Bauhaus european</w:t>
      </w:r>
      <w:r>
        <w:rPr>
          <w:rStyle w:val="FootnoteReference"/>
          <w:rFonts w:eastAsia="Arial Unicode MS"/>
          <w:b/>
          <w:noProof/>
          <w:sz w:val="22"/>
        </w:rPr>
        <w:footnoteReference w:id="5"/>
      </w:r>
      <w:r>
        <w:rPr>
          <w:noProof/>
          <w:sz w:val="22"/>
        </w:rPr>
        <w:t xml:space="preserve"> și este în concordanță cu Convenția UNESCO din 2005 asupra protecției și promovării diversității expresiilor culturale, la care Uniunea și statele sale membre sunt părți, și cu Declarația de la Roma din martie 2017, în care statele membre și instituțiile UE au avut viziunea unei Uniuni „în care cetățenii au noi oportunități de dezvoltare culturală și socială și de creștere economică [...]; o Uniune care păstrează patrimoniul nostru cultural și promovează diversitatea culturală”. Inițiativa se aliniază la Agenda strategică 2024-2029 a Consiliului, angajându-se să promoveze diversitatea culturală și patrimoniul cultural al UE</w:t>
      </w:r>
      <w:r>
        <w:rPr>
          <w:rStyle w:val="FootnoteReference"/>
          <w:rFonts w:eastAsia="Arial Unicode MS"/>
          <w:noProof/>
          <w:sz w:val="22"/>
        </w:rPr>
        <w:footnoteReference w:id="6"/>
      </w:r>
      <w:r>
        <w:rPr>
          <w:noProof/>
          <w:sz w:val="22"/>
        </w:rPr>
        <w:t>.</w:t>
      </w:r>
    </w:p>
    <w:p>
      <w:pPr>
        <w:pStyle w:val="ManualHeading2"/>
        <w:rPr>
          <w:rFonts w:eastAsia="Arial Unicode MS"/>
          <w:noProof/>
        </w:rPr>
      </w:pPr>
      <w:r>
        <w:rPr>
          <w:noProof/>
          <w:color w:val="000000"/>
          <w:bdr w:val="nil"/>
        </w:rPr>
        <w:t>•</w:t>
      </w:r>
      <w:r>
        <w:rPr>
          <w:noProof/>
        </w:rPr>
        <w:tab/>
        <w:t>Coerența cu alte politici ale Uniunii</w:t>
      </w:r>
    </w:p>
    <w:p>
      <w:pPr>
        <w:pStyle w:val="Text1"/>
        <w:ind w:left="0"/>
        <w:rPr>
          <w:rFonts w:eastAsiaTheme="minorEastAsia"/>
          <w:noProof/>
          <w:sz w:val="22"/>
        </w:rPr>
      </w:pPr>
      <w:r>
        <w:rPr>
          <w:noProof/>
          <w:sz w:val="22"/>
        </w:rPr>
        <w:t xml:space="preserve">Inițiativa este aliniată la prioritățile generale de politică ale Comisiei Europene pentru perioada 2024-2029, inclusiv 1) sprijinirea cetățenilor, consolidarea societăților noastre și a modelului nostru social; </w:t>
      </w:r>
      <w:r>
        <w:rPr>
          <w:noProof/>
          <w:sz w:val="22"/>
        </w:rPr>
        <w:lastRenderedPageBreak/>
        <w:t>2) protejarea democrației și apărarea valorilor noastre; 3) prosperitatea și competitivitatea sustenabile ale Europei și 4) o Europă globală.</w:t>
      </w:r>
    </w:p>
    <w:p>
      <w:pPr>
        <w:pStyle w:val="ManualHeading1"/>
        <w:rPr>
          <w:noProof/>
        </w:rPr>
      </w:pPr>
      <w:r>
        <w:rPr>
          <w:noProof/>
        </w:rPr>
        <w:t>2.</w:t>
      </w:r>
      <w:r>
        <w:rPr>
          <w:noProof/>
        </w:rPr>
        <w:tab/>
        <w:t>TEMEI JURIDIC, SUBSIDIARITATE ȘI PROPORȚIONALITATE</w:t>
      </w:r>
    </w:p>
    <w:p>
      <w:pPr>
        <w:pStyle w:val="ManualHeading2"/>
        <w:rPr>
          <w:rFonts w:eastAsia="Arial Unicode MS"/>
          <w:noProof/>
          <w:u w:color="000000"/>
          <w:bdr w:val="nil"/>
        </w:rPr>
      </w:pPr>
      <w:r>
        <w:rPr>
          <w:noProof/>
          <w:bdr w:val="nil"/>
        </w:rPr>
        <w:t>•</w:t>
      </w:r>
      <w:r>
        <w:rPr>
          <w:noProof/>
        </w:rPr>
        <w:tab/>
      </w:r>
      <w:r>
        <w:rPr>
          <w:noProof/>
          <w:bdr w:val="nil"/>
        </w:rPr>
        <w:t>Temei juridic</w:t>
      </w:r>
    </w:p>
    <w:p>
      <w:pPr>
        <w:pBdr>
          <w:top w:val="nil"/>
          <w:left w:val="nil"/>
          <w:bottom w:val="nil"/>
          <w:right w:val="nil"/>
          <w:between w:val="nil"/>
        </w:pBdr>
        <w:spacing w:before="0" w:after="240"/>
        <w:rPr>
          <w:rFonts w:eastAsia="Arial Unicode MS"/>
          <w:noProof/>
          <w:sz w:val="22"/>
        </w:rPr>
      </w:pPr>
      <w:r>
        <w:rPr>
          <w:noProof/>
          <w:sz w:val="22"/>
        </w:rPr>
        <w:t>Inițiativa CEC se întemeiază pe articolul 167 din Tratatul privind funcționarea Uniunii Europene (TFUE). Articolul 167 alineatul (1) împuternicește UE să „contribuie la înflorirea culturilor statelor membre, respectând diversitatea națională și regională a acestora și punând în evidență, în același timp, moștenirea culturală comună”. De asemenea, în conformitate cu articolul 167 alineatul (2), Uniunea urmărește să încurajeze „cooperarea dintre statele membre” în domeniul culturii și, „în cazul în care este necesar, să sprijine și să completeze acțiunea acestora”.</w:t>
      </w:r>
    </w:p>
    <w:p>
      <w:pPr>
        <w:pStyle w:val="Text1"/>
        <w:pBdr>
          <w:top w:val="nil"/>
          <w:left w:val="nil"/>
          <w:bottom w:val="nil"/>
          <w:right w:val="nil"/>
          <w:between w:val="nil"/>
          <w:bar w:val="nil"/>
        </w:pBdr>
        <w:spacing w:before="0" w:after="240"/>
        <w:ind w:left="0"/>
        <w:rPr>
          <w:rFonts w:eastAsia="Arial Unicode MS"/>
          <w:b/>
          <w:bCs/>
          <w:noProof/>
          <w:szCs w:val="24"/>
          <w:bdr w:val="nil"/>
        </w:rPr>
      </w:pPr>
      <w:r>
        <w:rPr>
          <w:noProof/>
          <w:bdr w:val="nil"/>
        </w:rPr>
        <w:t>•</w:t>
      </w:r>
      <w:r>
        <w:rPr>
          <w:noProof/>
        </w:rPr>
        <w:tab/>
      </w:r>
      <w:r>
        <w:rPr>
          <w:b/>
          <w:noProof/>
        </w:rPr>
        <w:t>Subsidiaritate/proporționalitate</w:t>
      </w:r>
    </w:p>
    <w:p>
      <w:pPr>
        <w:pBdr>
          <w:top w:val="nil"/>
          <w:left w:val="nil"/>
          <w:bottom w:val="nil"/>
          <w:right w:val="nil"/>
          <w:between w:val="nil"/>
        </w:pBdr>
        <w:spacing w:before="0" w:after="240"/>
        <w:rPr>
          <w:rFonts w:eastAsia="Arial Unicode MS"/>
          <w:noProof/>
          <w:sz w:val="22"/>
          <w:bdr w:val="nil"/>
        </w:rPr>
      </w:pPr>
      <w:r>
        <w:rPr>
          <w:noProof/>
          <w:sz w:val="22"/>
        </w:rPr>
        <w:t>Propunerea respectă principiile subsidiarității și proporționalității. Principalul nivel de acțiune pentru punerea în aplicare a inițiativei CEC rămâne local și național. Cu toate acestea, evaluarea și consultarea publică au arătat că Uniunea joacă un rol esențial în coordonarea dintre statele membre pentru a asigura aplicarea unor criterii comune, clare și transparente, precum și în ceea ce privește procedurile de selecție și de monitorizare pentru CEC. Uniunea sprijină, de asemenea, pregătirea orașelor selecționate prin intermediul recomandărilor juriului european de experți, prin schimbul de bune practici între orașe și printr-o contribuție financiară sub forma premiului Melina Mercouri.</w:t>
      </w:r>
    </w:p>
    <w:p>
      <w:pPr>
        <w:pStyle w:val="ManualHeading1"/>
        <w:rPr>
          <w:noProof/>
        </w:rPr>
      </w:pPr>
      <w:r>
        <w:rPr>
          <w:noProof/>
        </w:rPr>
        <w:t>3.</w:t>
      </w:r>
      <w:r>
        <w:rPr>
          <w:noProof/>
        </w:rPr>
        <w:tab/>
        <w:t xml:space="preserve">REZULTATELE EVALUĂRILOR </w:t>
      </w:r>
      <w:r>
        <w:rPr>
          <w:i/>
          <w:iCs/>
          <w:noProof/>
        </w:rPr>
        <w:t>EX POST</w:t>
      </w:r>
      <w:r>
        <w:rPr>
          <w:noProof/>
        </w:rPr>
        <w:t>, ALE CONSULTĂRILOR CU PĂRȚILE INTERESATE ȘI ALE EVALUĂRII IMPACTULUI</w:t>
      </w:r>
    </w:p>
    <w:p>
      <w:pPr>
        <w:pStyle w:val="ManualHeading2"/>
        <w:rPr>
          <w:rFonts w:eastAsia="Arial Unicode MS"/>
          <w:noProof/>
          <w:bdr w:val="nil"/>
        </w:rPr>
      </w:pPr>
      <w:r>
        <w:rPr>
          <w:noProof/>
          <w:bdr w:val="nil"/>
        </w:rPr>
        <w:t>•</w:t>
      </w:r>
      <w:r>
        <w:rPr>
          <w:noProof/>
        </w:rPr>
        <w:tab/>
      </w:r>
      <w:r>
        <w:rPr>
          <w:noProof/>
          <w:bdr w:val="nil"/>
        </w:rPr>
        <w:t>Evaluarea interimară a legislației existente</w:t>
      </w:r>
    </w:p>
    <w:p>
      <w:pPr>
        <w:pBdr>
          <w:top w:val="nil"/>
          <w:left w:val="nil"/>
          <w:bottom w:val="nil"/>
          <w:right w:val="nil"/>
          <w:between w:val="nil"/>
        </w:pBdr>
        <w:spacing w:before="0" w:after="240"/>
        <w:rPr>
          <w:rFonts w:eastAsia="Arial Unicode MS"/>
          <w:noProof/>
          <w:sz w:val="22"/>
        </w:rPr>
      </w:pPr>
      <w:r>
        <w:rPr>
          <w:noProof/>
          <w:sz w:val="22"/>
        </w:rPr>
        <w:t>Activitatea Comisiei legată de propunerea privind CEC după 2033 s-a bazat pe o gamă largă de contribuții.</w:t>
      </w:r>
    </w:p>
    <w:p>
      <w:pPr>
        <w:pBdr>
          <w:top w:val="nil"/>
          <w:left w:val="nil"/>
          <w:bottom w:val="nil"/>
          <w:right w:val="nil"/>
          <w:between w:val="nil"/>
        </w:pBdr>
        <w:spacing w:before="0" w:after="240"/>
        <w:rPr>
          <w:rFonts w:eastAsia="Arial Unicode MS"/>
          <w:noProof/>
          <w:sz w:val="22"/>
        </w:rPr>
      </w:pPr>
      <w:r>
        <w:rPr>
          <w:noProof/>
          <w:sz w:val="22"/>
        </w:rPr>
        <w:t>În perioada 2024-2025, a fost efectuată prima evaluare interimară a Acțiunii CEC 2020-2033</w:t>
      </w:r>
      <w:r>
        <w:rPr>
          <w:rStyle w:val="FootnoteReference"/>
          <w:rFonts w:eastAsia="Arial Unicode MS"/>
          <w:noProof/>
          <w:sz w:val="22"/>
        </w:rPr>
        <w:footnoteReference w:id="7"/>
      </w:r>
      <w:r>
        <w:rPr>
          <w:noProof/>
          <w:sz w:val="22"/>
        </w:rPr>
        <w:t xml:space="preserve">. Acoperind orașele care au deținut titlul de „Capitală europeană a culturii” în perioada 2013-2023 și orașele candidate pentru perioada 2020-2028, evaluarea a identificat succesele obținute și lecțiile învățate în cursul punerii în aplicare a inițiativei. </w:t>
      </w:r>
    </w:p>
    <w:p>
      <w:pPr>
        <w:pBdr>
          <w:top w:val="nil"/>
          <w:left w:val="nil"/>
          <w:bottom w:val="nil"/>
          <w:right w:val="nil"/>
          <w:between w:val="nil"/>
        </w:pBdr>
        <w:spacing w:before="0" w:after="240"/>
        <w:rPr>
          <w:rFonts w:eastAsia="Arial Unicode MS"/>
          <w:noProof/>
          <w:sz w:val="22"/>
        </w:rPr>
      </w:pPr>
      <w:r>
        <w:rPr>
          <w:noProof/>
          <w:sz w:val="22"/>
        </w:rPr>
        <w:t>Este important de menționat faptul că, în toate aspectele esențiale, a existat o convergență generală între dovezile și datele colectate prin intermediul evaluărilor și punctele de vedere exprimate în cursul procesului de consultare. Acest lucru a permis Comisiei să tragă o serie de învățăminte importante pentru viitor, referitoare la CEC.</w:t>
      </w:r>
    </w:p>
    <w:p>
      <w:pPr>
        <w:pBdr>
          <w:top w:val="nil"/>
          <w:left w:val="nil"/>
          <w:bottom w:val="nil"/>
          <w:right w:val="nil"/>
          <w:between w:val="nil"/>
        </w:pBdr>
        <w:spacing w:before="0" w:after="240"/>
        <w:rPr>
          <w:rFonts w:eastAsia="Arial Unicode MS"/>
          <w:noProof/>
          <w:sz w:val="22"/>
        </w:rPr>
      </w:pPr>
      <w:r>
        <w:rPr>
          <w:noProof/>
          <w:sz w:val="22"/>
        </w:rPr>
        <w:t xml:space="preserve">Există un consens conform căruia CEC reprezintă o acțiune de mare succes, existând un sprijin puternic pentru menținerea acesteia și după 2033. Este clar că aceasta a devenit una dintre cele mai ambițioase inițiative culturale din Europa, atât ca domeniu de aplicare, cât și ca amploare, precum și una dintre cele mai vizibile și prestigioase inițiative ale Uniunii și, probabil, una dintre cele mai apreciate de către cetățenii europeni. </w:t>
      </w:r>
    </w:p>
    <w:p>
      <w:pPr>
        <w:pBdr>
          <w:top w:val="nil"/>
          <w:left w:val="nil"/>
          <w:bottom w:val="nil"/>
          <w:right w:val="nil"/>
          <w:between w:val="nil"/>
        </w:pBdr>
        <w:spacing w:before="0" w:after="240"/>
        <w:rPr>
          <w:rFonts w:eastAsia="Arial Unicode MS"/>
          <w:noProof/>
          <w:sz w:val="22"/>
        </w:rPr>
      </w:pPr>
      <w:r>
        <w:rPr>
          <w:noProof/>
          <w:sz w:val="22"/>
        </w:rPr>
        <w:t>Evenimentul „Capitalele europene ale culturii” poate aduce multe beneficii orașelor atunci când este planificat cu atenție. Acesta rămâne, în primul rând, un eveniment cultural, dar poate avea, de asemenea, avantaje sociale și economice semnificative, în special atunci când este inclus în strategia de dezvoltare a culturii pe termen lung în cadrul orașului și a zonei sale limitrofe. De asemenea, trebuie menționat faptul că, deși numai un oraș din fiecare stat membru poate găzdui evenimentul într-un an, competiția are un efect de pârghie important asupra dezvoltării de politici și strategii noi sau mai eficace, chiar și în orașele care nu obțin titlul.</w:t>
      </w:r>
    </w:p>
    <w:p>
      <w:pPr>
        <w:pBdr>
          <w:top w:val="nil"/>
          <w:left w:val="nil"/>
          <w:bottom w:val="nil"/>
          <w:right w:val="nil"/>
          <w:between w:val="nil"/>
        </w:pBdr>
        <w:spacing w:before="0" w:after="240"/>
        <w:rPr>
          <w:rFonts w:eastAsia="Arial Unicode MS"/>
          <w:noProof/>
          <w:sz w:val="22"/>
        </w:rPr>
      </w:pPr>
      <w:r>
        <w:rPr>
          <w:noProof/>
          <w:sz w:val="22"/>
        </w:rPr>
        <w:t>CEC prezintă însă și o serie de provocări. Pregătirea unui program de activități culturale desfășurate pe parcursul unui an este solicitantă, iar unele orașe deținătoare ale titlului au reușit mai bine decât altele să valorifice potențialul acestuia. Principala provocare pentru viitor va fi, prin urmare, valorificarea punctelor forte ale sistemului actual, ajutând, în același timp, fiecare capitală să valorifice la maximum potențialul oferit de titlu și să optimizeze beneficiile culturale, economice și sociale.</w:t>
      </w:r>
    </w:p>
    <w:p>
      <w:pPr>
        <w:pBdr>
          <w:top w:val="nil"/>
          <w:left w:val="nil"/>
          <w:bottom w:val="nil"/>
          <w:right w:val="nil"/>
          <w:between w:val="nil"/>
        </w:pBdr>
        <w:spacing w:before="0" w:after="240"/>
        <w:rPr>
          <w:rFonts w:eastAsia="Arial Unicode MS"/>
          <w:noProof/>
          <w:sz w:val="22"/>
        </w:rPr>
      </w:pPr>
      <w:r>
        <w:rPr>
          <w:noProof/>
          <w:sz w:val="22"/>
        </w:rPr>
        <w:t>Pe baza rezultatelor evaluării și a consultărilor, Comisia a identificat principalele probleme care impun adaptarea și modernizarea inițiativei, luând în considerare, în același timp, necesitatea unor măsuri de simplificare.</w:t>
      </w:r>
    </w:p>
    <w:p>
      <w:pPr>
        <w:pBdr>
          <w:top w:val="nil"/>
          <w:left w:val="nil"/>
          <w:bottom w:val="nil"/>
          <w:right w:val="nil"/>
          <w:between w:val="nil"/>
        </w:pBdr>
        <w:spacing w:before="0" w:after="240"/>
        <w:rPr>
          <w:rFonts w:eastAsia="Arial Unicode MS"/>
          <w:noProof/>
          <w:sz w:val="22"/>
        </w:rPr>
      </w:pPr>
      <w:r>
        <w:rPr>
          <w:noProof/>
          <w:sz w:val="22"/>
        </w:rPr>
        <w:t>În primul rând, dimensiunea europeană, deși este una dintre componentele-cheie ale inițiativei și unul dintre criteriile de selecție actuale, este adesea înțeleasă greșit și, prin urmare, trecută cu vederea de orașele candidate.</w:t>
      </w:r>
    </w:p>
    <w:p>
      <w:pPr>
        <w:pBdr>
          <w:top w:val="nil"/>
          <w:left w:val="nil"/>
          <w:bottom w:val="nil"/>
          <w:right w:val="nil"/>
          <w:between w:val="nil"/>
        </w:pBdr>
        <w:spacing w:before="0" w:after="240"/>
        <w:rPr>
          <w:rFonts w:eastAsia="Arial Unicode MS"/>
          <w:noProof/>
          <w:sz w:val="22"/>
        </w:rPr>
      </w:pPr>
      <w:r>
        <w:rPr>
          <w:noProof/>
          <w:sz w:val="22"/>
        </w:rPr>
        <w:t>În al doilea rând, chiar dacă evaluarea candidaturilor orașelor implică un criteriu privind „contribuția la strategia pe termen lung”, unele orașe nu au resimțit pe deplin impactul preconizat pe termen lung. Punerea unui accent mai puternic pe acest criteriu ar putea fi benefic atât pentru orașe, cât și pentru relevanța acțiunii.</w:t>
      </w:r>
    </w:p>
    <w:p>
      <w:pPr>
        <w:pBdr>
          <w:top w:val="nil"/>
          <w:left w:val="nil"/>
          <w:bottom w:val="nil"/>
          <w:right w:val="nil"/>
          <w:between w:val="nil"/>
        </w:pBdr>
        <w:spacing w:before="0" w:after="240"/>
        <w:rPr>
          <w:rFonts w:eastAsia="Arial Unicode MS"/>
          <w:noProof/>
          <w:sz w:val="22"/>
        </w:rPr>
      </w:pPr>
      <w:r>
        <w:rPr>
          <w:noProof/>
          <w:sz w:val="22"/>
        </w:rPr>
        <w:t>În al treilea rând, întrucât în prezent nu există o rețea instituțională legată de CEC, există riscul de pierdere a cunoștințelor între orașele candidate și cele deținătoare ale titlului din trecut, din prezent și din viitor.</w:t>
      </w:r>
    </w:p>
    <w:p>
      <w:pPr>
        <w:pBdr>
          <w:top w:val="nil"/>
          <w:left w:val="nil"/>
          <w:bottom w:val="nil"/>
          <w:right w:val="nil"/>
          <w:between w:val="nil"/>
        </w:pBdr>
        <w:spacing w:before="0" w:after="240"/>
        <w:rPr>
          <w:rFonts w:eastAsia="Arial Unicode MS"/>
          <w:noProof/>
          <w:sz w:val="22"/>
        </w:rPr>
      </w:pPr>
      <w:r>
        <w:rPr>
          <w:noProof/>
          <w:sz w:val="22"/>
        </w:rPr>
        <w:t>În al patrulea rând, Comisia Europeană comunică în prezent cu privire la desemnarea oficială a CEC prin canalele sale obișnuite, inclusiv prin comunicate de presă, articole postate pe site-uri web și postări pe platformele de comunicare socială. Cu toate acestea, în prezent nu există campanii comune de comunicare la nivelul UE pentru a promova orașele deținătoare ale titlului. Vizibilitatea și impactul acțiunii, precum și nivelul de sensibilizare a publicului cu privire la aceasta, ar putea fi sporite în urma unor eforturi coordonate între instituțiile UE, statele membre și orașele deținătoare ale titlului.</w:t>
      </w:r>
    </w:p>
    <w:p>
      <w:pPr>
        <w:pBdr>
          <w:top w:val="nil"/>
          <w:left w:val="nil"/>
          <w:bottom w:val="nil"/>
          <w:right w:val="nil"/>
          <w:between w:val="nil"/>
        </w:pBdr>
        <w:spacing w:before="0" w:after="240"/>
        <w:rPr>
          <w:rFonts w:eastAsia="Arial Unicode MS"/>
          <w:noProof/>
          <w:sz w:val="22"/>
        </w:rPr>
      </w:pPr>
      <w:r>
        <w:rPr>
          <w:noProof/>
          <w:sz w:val="22"/>
        </w:rPr>
        <w:t>În al cincilea rând, orașele în cauză nu au instituit încă mecanisme de măsurare și, prin urmare, nu sunt disponibile date primare privind impactul titlului. Acest lucru face dificilă comparația între diferitele CEC și afectează în mod negativ transferul de experiență.</w:t>
      </w:r>
    </w:p>
    <w:p>
      <w:pPr>
        <w:pBdr>
          <w:top w:val="nil"/>
          <w:left w:val="nil"/>
          <w:bottom w:val="nil"/>
          <w:right w:val="nil"/>
          <w:between w:val="nil"/>
        </w:pBdr>
        <w:spacing w:before="0" w:after="240"/>
        <w:rPr>
          <w:rFonts w:eastAsia="Arial Unicode MS"/>
          <w:noProof/>
          <w:sz w:val="22"/>
        </w:rPr>
      </w:pPr>
      <w:r>
        <w:rPr>
          <w:noProof/>
          <w:sz w:val="22"/>
        </w:rPr>
        <w:t xml:space="preserve">În al șaselea rând, o dificultate recurentă a fost efectul politicii naționale și locale asupra bugetelor, care trebuie să fie cât se poate de stabile în perioada dintre ofertare și etapa finală. Politica a afectat și alte aspecte legate de organizarea evenimentului. Sprijinul politic este fundamental, întrucât majoritatea fondurilor sunt publice și, fără acestea, un oraș nu poate avea o ofertă credibilă. În același timp, echipa însărcinată cu punerea în aplicare are nevoie de o independență artistică care trebuie respectată pentru a proteja credibilitatea evenimentului. </w:t>
      </w:r>
    </w:p>
    <w:p>
      <w:pPr>
        <w:pBdr>
          <w:top w:val="nil"/>
          <w:left w:val="nil"/>
          <w:bottom w:val="nil"/>
          <w:right w:val="nil"/>
          <w:between w:val="nil"/>
        </w:pBdr>
        <w:spacing w:before="0" w:after="240"/>
        <w:rPr>
          <w:rFonts w:eastAsia="Arial Unicode MS"/>
          <w:noProof/>
          <w:sz w:val="22"/>
        </w:rPr>
      </w:pPr>
      <w:r>
        <w:rPr>
          <w:noProof/>
          <w:sz w:val="22"/>
        </w:rPr>
        <w:t>În cele din urmă, mai multe state membre au găzduit deja titlul de mai multe ori și unele dintre acestea dețin doar un număr limitat de candidate realiste pentru un eveniment de mare amploare precum „Capitalele europene ale culturii”. Găzduirea titlului ar putea avea efecte negative puternice asupra unui oraș cu resurse limitate și selectarea unui astfel de oraș drept „Capitală europeană a culturii” ar risca să deterioreze pe termen lung prestigiul și valoarea unei mărci precum cea a CEC.</w:t>
      </w:r>
    </w:p>
    <w:p>
      <w:pPr>
        <w:pBdr>
          <w:top w:val="nil"/>
          <w:left w:val="nil"/>
          <w:bottom w:val="nil"/>
          <w:right w:val="nil"/>
          <w:between w:val="nil"/>
        </w:pBdr>
        <w:spacing w:before="0" w:after="240"/>
        <w:rPr>
          <w:rFonts w:eastAsia="Arial Unicode MS"/>
          <w:noProof/>
          <w:sz w:val="22"/>
        </w:rPr>
      </w:pPr>
      <w:r>
        <w:rPr>
          <w:noProof/>
          <w:sz w:val="22"/>
        </w:rPr>
        <w:t>Prin urmare, s-a decis continuarea acțiunii cu un nou temei juridic care abordează problemele întâmpinate în punerea în aplicare a deciziei actuale. În anexă poate fi consultată o nouă listă cronologică a statelor membre.</w:t>
      </w:r>
    </w:p>
    <w:p>
      <w:pPr>
        <w:pStyle w:val="ManualHeading2"/>
        <w:rPr>
          <w:rFonts w:eastAsia="Arial Unicode MS"/>
          <w:noProof/>
          <w:bdr w:val="nil"/>
        </w:rPr>
      </w:pPr>
      <w:r>
        <w:rPr>
          <w:noProof/>
          <w:bdr w:val="nil"/>
        </w:rPr>
        <w:t>•</w:t>
      </w:r>
      <w:r>
        <w:rPr>
          <w:noProof/>
        </w:rPr>
        <w:tab/>
      </w:r>
      <w:r>
        <w:rPr>
          <w:noProof/>
          <w:bdr w:val="nil"/>
        </w:rPr>
        <w:t>Consultarea părților interesate</w:t>
      </w:r>
    </w:p>
    <w:p>
      <w:pPr>
        <w:pBdr>
          <w:top w:val="nil"/>
          <w:left w:val="nil"/>
          <w:bottom w:val="nil"/>
          <w:right w:val="nil"/>
          <w:between w:val="nil"/>
        </w:pBdr>
        <w:spacing w:before="0" w:after="240"/>
        <w:rPr>
          <w:rFonts w:eastAsia="Arial Unicode MS"/>
          <w:noProof/>
          <w:sz w:val="22"/>
        </w:rPr>
      </w:pPr>
      <w:r>
        <w:rPr>
          <w:noProof/>
          <w:sz w:val="22"/>
        </w:rPr>
        <w:t>În cadrul primei evaluări interimare a Acțiunii Capitalele europene ale culturii 2020-2033, în vara anului 2024 a fost organizată o consultare publică</w:t>
      </w:r>
      <w:r>
        <w:rPr>
          <w:rStyle w:val="FootnoteReference"/>
          <w:rFonts w:eastAsia="Arial Unicode MS"/>
          <w:noProof/>
          <w:sz w:val="22"/>
        </w:rPr>
        <w:footnoteReference w:id="8"/>
      </w:r>
      <w:r>
        <w:rPr>
          <w:noProof/>
          <w:sz w:val="22"/>
        </w:rPr>
        <w:t xml:space="preserve">, care a inclus mai multe întrebări privind temeiul juridic după 2033. </w:t>
      </w:r>
    </w:p>
    <w:p>
      <w:pPr>
        <w:pBdr>
          <w:top w:val="nil"/>
          <w:left w:val="nil"/>
          <w:bottom w:val="nil"/>
          <w:right w:val="nil"/>
          <w:between w:val="nil"/>
        </w:pBdr>
        <w:spacing w:before="0" w:after="240"/>
        <w:rPr>
          <w:rFonts w:eastAsia="Arial Unicode MS"/>
          <w:noProof/>
          <w:sz w:val="22"/>
        </w:rPr>
      </w:pPr>
      <w:r>
        <w:rPr>
          <w:noProof/>
          <w:sz w:val="22"/>
        </w:rPr>
        <w:t xml:space="preserve">Referitor la acțiunea CEC a fost publicată o cerere de contribuții care s-a desfășurat în perioada 3 decembrie 2025-16 ianuarie 2026, pentru a colecta contribuții de la o gamă largă de părți interesate cu privire la revizuirea temeiului juridic al acțiunii. Aceasta a vizat în special responsabilii cu gestionarea CEC (foști, actuali și viitori); autoritățile care gestionează CEC din statele membre (și anume Ministerul Culturii respectiv); experții universitari în dezvoltarea culturală a orașelor și juriul de experți CEC; publicul larg; rețelele culturale, organizațiile neguvernamentale și organizațiile societății civile. S-au primit douăzeci și șase de răspunsuri până la termenul-limită. Acestea au fost luate în considerare în cadrul sesiunilor de brainstorming ulterioare referitoare la reînnoirea acestui cadru juridic. </w:t>
      </w:r>
    </w:p>
    <w:p>
      <w:pPr>
        <w:pStyle w:val="ManualHeading2"/>
        <w:rPr>
          <w:rFonts w:eastAsia="Arial Unicode MS"/>
          <w:noProof/>
          <w:u w:color="000000"/>
          <w:bdr w:val="nil"/>
        </w:rPr>
      </w:pPr>
      <w:r>
        <w:rPr>
          <w:noProof/>
          <w:u w:color="000000"/>
          <w:bdr w:val="nil"/>
        </w:rPr>
        <w:t>•</w:t>
      </w:r>
      <w:r>
        <w:rPr>
          <w:noProof/>
        </w:rPr>
        <w:tab/>
      </w:r>
      <w:r>
        <w:rPr>
          <w:noProof/>
          <w:u w:color="000000"/>
          <w:bdr w:val="nil"/>
        </w:rPr>
        <w:t>Obținerea și utilizarea expertizei</w:t>
      </w:r>
    </w:p>
    <w:p>
      <w:pPr>
        <w:pBdr>
          <w:top w:val="nil"/>
          <w:left w:val="nil"/>
          <w:bottom w:val="nil"/>
          <w:right w:val="nil"/>
          <w:between w:val="nil"/>
          <w:bar w:val="nil"/>
        </w:pBdr>
        <w:spacing w:before="0" w:after="240"/>
        <w:rPr>
          <w:rFonts w:eastAsia="Arial Unicode MS"/>
          <w:noProof/>
          <w:sz w:val="22"/>
        </w:rPr>
      </w:pPr>
      <w:r>
        <w:rPr>
          <w:noProof/>
          <w:sz w:val="22"/>
        </w:rPr>
        <w:t>Contribuțiile la procesul de reflecție privind viitorul CEC au fost furnizate, de asemenea, prin rapoarte și studii din proprie inițiativă elaborate de părțile interesate, inclusiv Culture Next</w:t>
      </w:r>
      <w:r>
        <w:rPr>
          <w:rStyle w:val="FootnoteReference"/>
          <w:rFonts w:eastAsia="Arial Unicode MS"/>
          <w:noProof/>
          <w:sz w:val="22"/>
        </w:rPr>
        <w:footnoteReference w:id="9"/>
      </w:r>
      <w:r>
        <w:rPr>
          <w:noProof/>
          <w:sz w:val="22"/>
        </w:rPr>
        <w:t xml:space="preserve"> (finanțată în cadrul acțiunii „Rețele europene ale organizațiilor culturale” din cadrul programului „Europa creativă” în perioada 2022-2028) și Eurocities</w:t>
      </w:r>
      <w:r>
        <w:rPr>
          <w:rStyle w:val="FootnoteReference"/>
          <w:rFonts w:eastAsia="Arial Unicode MS"/>
          <w:noProof/>
          <w:sz w:val="22"/>
        </w:rPr>
        <w:footnoteReference w:id="10"/>
      </w:r>
      <w:r>
        <w:rPr>
          <w:noProof/>
          <w:sz w:val="22"/>
        </w:rPr>
        <w:t>.</w:t>
      </w:r>
      <w:r>
        <w:rPr>
          <w:noProof/>
        </w:rPr>
        <w:t xml:space="preserve"> </w:t>
      </w:r>
    </w:p>
    <w:p>
      <w:pPr>
        <w:pBdr>
          <w:top w:val="nil"/>
          <w:left w:val="nil"/>
          <w:bottom w:val="nil"/>
          <w:right w:val="nil"/>
          <w:between w:val="nil"/>
          <w:bar w:val="nil"/>
        </w:pBdr>
        <w:spacing w:before="0" w:after="240"/>
        <w:rPr>
          <w:rFonts w:eastAsia="Arial Unicode MS"/>
          <w:noProof/>
          <w:sz w:val="22"/>
        </w:rPr>
      </w:pPr>
      <w:r>
        <w:rPr>
          <w:noProof/>
          <w:sz w:val="22"/>
        </w:rPr>
        <w:t>În plus, cu ocazia celei de a 40-a aniversări a inițiativei CEC în aprilie/mai 2024, viitorul acțiunii a fost discutat pe larg, aceste discuții conducând la publicarea Cărții albe intitulate „40 de recomandări bazate pe cei 40 de ani de CEC”</w:t>
      </w:r>
      <w:r>
        <w:rPr>
          <w:rStyle w:val="FootnoteReference"/>
          <w:rFonts w:eastAsia="Arial Unicode MS"/>
          <w:noProof/>
          <w:sz w:val="22"/>
        </w:rPr>
        <w:footnoteReference w:id="11"/>
      </w:r>
      <w:r>
        <w:rPr>
          <w:noProof/>
          <w:sz w:val="22"/>
        </w:rPr>
        <w:t xml:space="preserve"> de către Chemnitz 2025 și Nova Gorica 2025.</w:t>
      </w:r>
    </w:p>
    <w:p>
      <w:pPr>
        <w:pStyle w:val="ManualHeading2"/>
        <w:rPr>
          <w:rFonts w:eastAsia="Arial Unicode MS"/>
          <w:noProof/>
          <w:u w:color="000000"/>
          <w:bdr w:val="nil"/>
        </w:rPr>
      </w:pPr>
      <w:r>
        <w:rPr>
          <w:noProof/>
          <w:bdr w:val="nil"/>
        </w:rPr>
        <w:t>•</w:t>
      </w:r>
      <w:r>
        <w:rPr>
          <w:noProof/>
        </w:rPr>
        <w:tab/>
      </w:r>
      <w:r>
        <w:rPr>
          <w:noProof/>
          <w:bdr w:val="nil"/>
        </w:rPr>
        <w:t>Evaluarea impactului</w:t>
      </w:r>
    </w:p>
    <w:p>
      <w:pPr>
        <w:pBdr>
          <w:top w:val="nil"/>
          <w:left w:val="nil"/>
          <w:bottom w:val="nil"/>
          <w:right w:val="nil"/>
          <w:between w:val="nil"/>
        </w:pBdr>
        <w:spacing w:before="0" w:after="240"/>
        <w:rPr>
          <w:rFonts w:eastAsia="Arial Unicode MS"/>
          <w:noProof/>
          <w:sz w:val="22"/>
        </w:rPr>
      </w:pPr>
      <w:r>
        <w:rPr>
          <w:noProof/>
          <w:sz w:val="22"/>
        </w:rPr>
        <w:t xml:space="preserve">Nu s-a realizat o evaluare a impactului, din următoarele motive: </w:t>
      </w:r>
    </w:p>
    <w:p>
      <w:pPr>
        <w:pBdr>
          <w:top w:val="nil"/>
          <w:left w:val="nil"/>
          <w:bottom w:val="nil"/>
          <w:right w:val="nil"/>
          <w:between w:val="nil"/>
        </w:pBdr>
        <w:spacing w:before="0" w:after="240"/>
        <w:rPr>
          <w:rFonts w:eastAsia="Arial Unicode MS"/>
          <w:noProof/>
          <w:sz w:val="22"/>
        </w:rPr>
      </w:pPr>
      <w:r>
        <w:rPr>
          <w:noProof/>
          <w:sz w:val="22"/>
        </w:rPr>
        <w:t xml:space="preserve">1) Amploarea impactului CEC este limitată. </w:t>
      </w:r>
    </w:p>
    <w:p>
      <w:pPr>
        <w:pBdr>
          <w:top w:val="nil"/>
          <w:left w:val="nil"/>
          <w:bottom w:val="nil"/>
          <w:right w:val="nil"/>
          <w:between w:val="nil"/>
        </w:pBdr>
        <w:spacing w:before="0" w:after="240"/>
        <w:rPr>
          <w:rFonts w:eastAsia="Arial Unicode MS"/>
          <w:noProof/>
          <w:sz w:val="22"/>
        </w:rPr>
      </w:pPr>
      <w:r>
        <w:rPr>
          <w:noProof/>
          <w:sz w:val="22"/>
        </w:rPr>
        <w:t xml:space="preserve">2) CEC nu este un program inclus în cadrul financiar multianual (CFM), costurile sale fiind integrate în programul „Europa creativă” (sau în programele care îi vor succeda). Acesta are un impact limitat asupra bugetului UE, deoarece, în prezent, fiecărei CEC îi este alocată o sumă de numai 1,5 milioane EUR, la care se adaugă cheltuielile aferente juriilor de experți. Nu există un pachet financiar legat de temeiul juridic al CEC; acesta este inclus în temeiul juridic al programului „Europa creativă”. </w:t>
      </w:r>
    </w:p>
    <w:p>
      <w:pPr>
        <w:pBdr>
          <w:top w:val="nil"/>
          <w:left w:val="nil"/>
          <w:bottom w:val="nil"/>
          <w:right w:val="nil"/>
          <w:between w:val="nil"/>
        </w:pBdr>
        <w:spacing w:before="0" w:after="240"/>
        <w:rPr>
          <w:rFonts w:eastAsia="Arial Unicode MS"/>
          <w:noProof/>
          <w:sz w:val="22"/>
        </w:rPr>
      </w:pPr>
      <w:r>
        <w:rPr>
          <w:noProof/>
          <w:sz w:val="22"/>
        </w:rPr>
        <w:t>3) Nu s-a realizat o evaluare a impactului pentru temeiul juridic anterior.</w:t>
      </w:r>
    </w:p>
    <w:p>
      <w:pPr>
        <w:pStyle w:val="ManualHeading2"/>
        <w:rPr>
          <w:rFonts w:eastAsia="Arial Unicode MS"/>
          <w:noProof/>
          <w:u w:color="000000"/>
          <w:bdr w:val="nil"/>
        </w:rPr>
      </w:pPr>
      <w:r>
        <w:rPr>
          <w:noProof/>
          <w:u w:color="000000"/>
          <w:bdr w:val="nil"/>
        </w:rPr>
        <w:t>•</w:t>
      </w:r>
      <w:r>
        <w:rPr>
          <w:noProof/>
        </w:rPr>
        <w:tab/>
      </w:r>
      <w:r>
        <w:rPr>
          <w:noProof/>
          <w:u w:color="000000"/>
          <w:bdr w:val="nil"/>
        </w:rPr>
        <w:t>Adecvarea reglementărilor și simplificarea</w:t>
      </w:r>
    </w:p>
    <w:p>
      <w:pPr>
        <w:pBdr>
          <w:top w:val="nil"/>
          <w:left w:val="nil"/>
          <w:bottom w:val="nil"/>
          <w:right w:val="nil"/>
          <w:between w:val="nil"/>
          <w:bar w:val="nil"/>
        </w:pBdr>
        <w:spacing w:before="0" w:after="240"/>
        <w:rPr>
          <w:rFonts w:eastAsia="Arial Unicode MS"/>
          <w:noProof/>
          <w:sz w:val="22"/>
        </w:rPr>
      </w:pPr>
      <w:r>
        <w:rPr>
          <w:noProof/>
          <w:sz w:val="22"/>
        </w:rPr>
        <w:t>Reînnoirea temeiului juridic al CEC va oferi ocazia de a continua eforturile de simplificare și de a realiza o acțiune mai accesibilă, mai ușor de utilizat și mai centrată pe cetățeni. Noul cadru CEC deschide calea către:</w:t>
      </w:r>
    </w:p>
    <w:p>
      <w:pPr>
        <w:pStyle w:val="Tiret1"/>
        <w:numPr>
          <w:ilvl w:val="0"/>
          <w:numId w:val="18"/>
        </w:numPr>
        <w:rPr>
          <w:rFonts w:eastAsia="Arial Unicode MS"/>
          <w:noProof/>
          <w:sz w:val="22"/>
        </w:rPr>
      </w:pPr>
      <w:r>
        <w:rPr>
          <w:noProof/>
          <w:sz w:val="22"/>
        </w:rPr>
        <w:t>sprijin specific suplimentar pentru orașele candidate și cele desemnate;</w:t>
      </w:r>
    </w:p>
    <w:p>
      <w:pPr>
        <w:pStyle w:val="Tiret1"/>
        <w:rPr>
          <w:noProof/>
          <w:sz w:val="22"/>
        </w:rPr>
      </w:pPr>
      <w:r>
        <w:rPr>
          <w:noProof/>
          <w:sz w:val="22"/>
        </w:rPr>
        <w:t>activități de comunicare mai centralizate, care să sporească nivelul de sensibilizare a cetățenilor cu privire la inițiativă;</w:t>
      </w:r>
    </w:p>
    <w:p>
      <w:pPr>
        <w:pStyle w:val="Tiret1"/>
        <w:rPr>
          <w:rFonts w:eastAsia="Arial Unicode MS"/>
          <w:noProof/>
          <w:sz w:val="22"/>
        </w:rPr>
      </w:pPr>
      <w:r>
        <w:rPr>
          <w:noProof/>
          <w:sz w:val="22"/>
        </w:rPr>
        <w:t>orientări mai transparente pentru evaluarea candidaturilor orașelor (în special în ceea ce privește „dimensiunea europeană”);</w:t>
      </w:r>
    </w:p>
    <w:p>
      <w:pPr>
        <w:pStyle w:val="Tiret1"/>
        <w:rPr>
          <w:rFonts w:eastAsia="Arial Unicode MS"/>
          <w:noProof/>
          <w:sz w:val="22"/>
        </w:rPr>
      </w:pPr>
      <w:r>
        <w:rPr>
          <w:noProof/>
          <w:sz w:val="22"/>
        </w:rPr>
        <w:t>revizuirea și clarificarea conceptelor din chestionarele de selecție și a limbajului;</w:t>
      </w:r>
    </w:p>
    <w:p>
      <w:pPr>
        <w:pStyle w:val="Tiret1"/>
        <w:rPr>
          <w:rFonts w:eastAsia="Arial Unicode MS"/>
          <w:noProof/>
          <w:sz w:val="22"/>
        </w:rPr>
      </w:pPr>
      <w:r>
        <w:rPr>
          <w:noProof/>
          <w:sz w:val="22"/>
        </w:rPr>
        <w:t>o colaborare mai strânsă și un schimb mai eficient de cunoștințe între orașe, în special prin posibilitatea de a candida ca grupuri (transfrontaliere) de orașe, cu un oraș principal care va coordona și gestiona oferta.</w:t>
      </w:r>
    </w:p>
    <w:p>
      <w:pPr>
        <w:pStyle w:val="ManualHeading2"/>
        <w:rPr>
          <w:rFonts w:eastAsia="Arial Unicode MS"/>
          <w:noProof/>
          <w:u w:color="000000"/>
          <w:bdr w:val="nil"/>
        </w:rPr>
      </w:pPr>
      <w:r>
        <w:rPr>
          <w:noProof/>
          <w:bdr w:val="nil"/>
        </w:rPr>
        <w:t>•</w:t>
      </w:r>
      <w:r>
        <w:rPr>
          <w:noProof/>
        </w:rPr>
        <w:tab/>
      </w:r>
      <w:r>
        <w:rPr>
          <w:noProof/>
          <w:bdr w:val="nil"/>
        </w:rPr>
        <w:t>Drepturile fundamentale</w:t>
      </w:r>
    </w:p>
    <w:p>
      <w:pPr>
        <w:pBdr>
          <w:top w:val="nil"/>
          <w:left w:val="nil"/>
          <w:bottom w:val="nil"/>
          <w:right w:val="nil"/>
          <w:between w:val="nil"/>
        </w:pBdr>
        <w:spacing w:before="0" w:after="240"/>
        <w:rPr>
          <w:rFonts w:eastAsia="Arial Unicode MS"/>
          <w:b/>
          <w:bCs/>
          <w:noProof/>
          <w:sz w:val="22"/>
        </w:rPr>
      </w:pPr>
      <w:r>
        <w:rPr>
          <w:noProof/>
          <w:sz w:val="22"/>
        </w:rPr>
        <w:t xml:space="preserve">Propunerea este pe deplin conformă cu </w:t>
      </w:r>
      <w:r>
        <w:rPr>
          <w:b/>
          <w:noProof/>
          <w:sz w:val="22"/>
        </w:rPr>
        <w:t>Carta drepturilor fundamentale a Uniunii Europene</w:t>
      </w:r>
      <w:r>
        <w:rPr>
          <w:rStyle w:val="FootnoteReference"/>
          <w:rFonts w:eastAsia="Arial Unicode MS"/>
          <w:b/>
          <w:bCs/>
          <w:noProof/>
          <w:sz w:val="22"/>
        </w:rPr>
        <w:footnoteReference w:id="12"/>
      </w:r>
      <w:r>
        <w:rPr>
          <w:noProof/>
          <w:sz w:val="22"/>
        </w:rPr>
        <w:t xml:space="preserve"> și cu toate cadrele de politică și legislative relevante ale UE în domeniul egalității și al nediscriminării.</w:t>
      </w:r>
    </w:p>
    <w:p>
      <w:pPr>
        <w:pBdr>
          <w:top w:val="nil"/>
          <w:left w:val="nil"/>
          <w:bottom w:val="nil"/>
          <w:right w:val="nil"/>
          <w:between w:val="nil"/>
        </w:pBdr>
        <w:spacing w:before="0" w:after="240"/>
        <w:rPr>
          <w:rFonts w:eastAsia="Arial Unicode MS"/>
          <w:noProof/>
          <w:sz w:val="22"/>
        </w:rPr>
      </w:pPr>
      <w:r>
        <w:rPr>
          <w:noProof/>
          <w:sz w:val="22"/>
        </w:rPr>
        <w:t>Orașele sunt invitate să își îndeplinească angajamentele asumate în cadrul procedurii de ofertare și să asigure respectarea continuă a </w:t>
      </w:r>
      <w:hyperlink r:id="rId14">
        <w:r>
          <w:rPr>
            <w:rStyle w:val="Hyperlink"/>
            <w:noProof/>
            <w:color w:val="auto"/>
            <w:sz w:val="22"/>
            <w:u w:val="none"/>
          </w:rPr>
          <w:t>Cartei drepturilor fundamentale a Uniunii Europene</w:t>
        </w:r>
      </w:hyperlink>
      <w:r>
        <w:rPr>
          <w:noProof/>
          <w:sz w:val="22"/>
        </w:rPr>
        <w:t>.</w:t>
      </w:r>
    </w:p>
    <w:p>
      <w:pPr>
        <w:pStyle w:val="ManualHeading1"/>
        <w:rPr>
          <w:noProof/>
        </w:rPr>
      </w:pPr>
      <w:r>
        <w:rPr>
          <w:noProof/>
        </w:rPr>
        <w:t>4.</w:t>
      </w:r>
      <w:r>
        <w:rPr>
          <w:noProof/>
        </w:rPr>
        <w:tab/>
        <w:t>IMPLICAȚII BUGETARE</w:t>
      </w:r>
    </w:p>
    <w:p>
      <w:pPr>
        <w:rPr>
          <w:noProof/>
          <w:sz w:val="22"/>
        </w:rPr>
      </w:pPr>
      <w:r>
        <w:rPr>
          <w:noProof/>
          <w:sz w:val="22"/>
        </w:rPr>
        <w:t xml:space="preserve">În ceea ce privește prezenta decizie de reînnoire a Deciziei nr. 445/2014/UE, această nouă propunere a Comisiei nu are implicații bugetare imediate directe. </w:t>
      </w:r>
    </w:p>
    <w:p>
      <w:pPr>
        <w:rPr>
          <w:noProof/>
          <w:sz w:val="22"/>
        </w:rPr>
      </w:pPr>
      <w:r>
        <w:rPr>
          <w:noProof/>
          <w:sz w:val="22"/>
        </w:rPr>
        <w:t xml:space="preserve">Perioada acoperită de propunere coincide cu mai multe cadre financiare multianuale. </w:t>
      </w:r>
    </w:p>
    <w:p>
      <w:pPr>
        <w:rPr>
          <w:rFonts w:eastAsia="Times New Roman"/>
          <w:noProof/>
          <w:sz w:val="22"/>
        </w:rPr>
      </w:pPr>
      <w:r>
        <w:rPr>
          <w:noProof/>
          <w:sz w:val="22"/>
        </w:rPr>
        <w:t>Pentru perioada de după 2033, aspectele juridice și financiare referitoare la CEC vor fi legate în mod direct de dispozițiile incluse în viitoarele cadre financiare multianuale. În acest context, acestea vor fi tratate în cadrul programelor corespunzătoare ale Uniunii vizând sprijinirea culturii, și anume noul program „AgoraEU” și programele care îi vor succeda.</w:t>
      </w:r>
    </w:p>
    <w:p>
      <w:pPr>
        <w:pBdr>
          <w:top w:val="nil"/>
          <w:left w:val="nil"/>
          <w:bottom w:val="nil"/>
          <w:right w:val="nil"/>
          <w:between w:val="nil"/>
          <w:bar w:val="nil"/>
        </w:pBdr>
        <w:spacing w:before="0" w:after="240"/>
        <w:rPr>
          <w:noProof/>
          <w:sz w:val="22"/>
        </w:rPr>
      </w:pPr>
      <w:r>
        <w:rPr>
          <w:noProof/>
          <w:sz w:val="22"/>
        </w:rPr>
        <w:t>Pentru detalii suplimentare, a se vedea fișa financiară legislativă și digitală (LFDS).</w:t>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t>2026/0259 (COD)</w:t>
      </w:r>
    </w:p>
    <w:p>
      <w:pPr>
        <w:pStyle w:val="Statut"/>
        <w:rPr>
          <w:noProof/>
        </w:rPr>
      </w:pPr>
      <w:bookmarkStart w:id="0" w:name="_Hlk233615162"/>
      <w:r>
        <w:rPr>
          <w:noProof/>
        </w:rPr>
        <w:t>Propunere de</w:t>
      </w:r>
    </w:p>
    <w:p>
      <w:pPr>
        <w:pStyle w:val="Typedudocument"/>
        <w:rPr>
          <w:noProof/>
        </w:rPr>
      </w:pPr>
      <w:r>
        <w:rPr>
          <w:noProof/>
        </w:rPr>
        <w:t>DECIZIE A PARLAMENTULUI EUROPEAN ȘI A CONSILIULUI</w:t>
      </w:r>
    </w:p>
    <w:p>
      <w:pPr>
        <w:pStyle w:val="Titreobjet"/>
        <w:rPr>
          <w:noProof/>
        </w:rPr>
      </w:pPr>
      <w:r>
        <w:rPr>
          <w:noProof/>
        </w:rPr>
        <w:t>de reînnoire a unei acțiuni a Uniunii în favoarea evenimentului „Capitalele europene ale culturii” pentru anii 2034-2047 și de abrogare a Deciziei nr. 445/2014/UE</w:t>
      </w:r>
    </w:p>
    <w:bookmarkEnd w:id="0"/>
    <w:p>
      <w:pPr>
        <w:pStyle w:val="IntrtEEE"/>
        <w:rPr>
          <w:noProof/>
        </w:rPr>
      </w:pPr>
      <w:r>
        <w:rPr>
          <w:noProof/>
        </w:rPr>
        <w:t>(Text cu relevanță pentru SEE)</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167 alineatul (5),</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w:t>
      </w:r>
      <w:r>
        <w:rPr>
          <w:rStyle w:val="FootnoteReference"/>
          <w:noProof/>
        </w:rPr>
        <w:footnoteReference w:id="13"/>
      </w:r>
      <w:r>
        <w:rPr>
          <w:noProof/>
        </w:rPr>
        <w:t>,</w:t>
      </w:r>
    </w:p>
    <w:p>
      <w:pPr>
        <w:rPr>
          <w:noProof/>
        </w:rPr>
      </w:pPr>
      <w:r>
        <w:rPr>
          <w:noProof/>
        </w:rPr>
        <w:t>având în vedere avizul Comitetului Regiunilor</w:t>
      </w:r>
      <w:r>
        <w:rPr>
          <w:rStyle w:val="FootnoteReference"/>
          <w:noProof/>
        </w:rPr>
        <w:footnoteReference w:id="14"/>
      </w:r>
      <w:r>
        <w:rPr>
          <w:noProof/>
        </w:rPr>
        <w:t xml:space="preserve">, </w:t>
      </w:r>
    </w:p>
    <w:p>
      <w:pPr>
        <w:rPr>
          <w:noProof/>
        </w:rPr>
      </w:pPr>
      <w:r>
        <w:rPr>
          <w:noProof/>
        </w:rPr>
        <w:t>hotărând în conformitate cu procedura legislativă ordinară,</w:t>
      </w:r>
    </w:p>
    <w:p>
      <w:pPr>
        <w:rPr>
          <w:noProof/>
        </w:rPr>
      </w:pPr>
      <w:r>
        <w:rPr>
          <w:noProof/>
        </w:rPr>
        <w:t>întrucât:</w:t>
      </w:r>
    </w:p>
    <w:p>
      <w:pPr>
        <w:pStyle w:val="ManualConsidrant"/>
        <w:rPr>
          <w:noProof/>
        </w:rPr>
      </w:pPr>
      <w:r>
        <w:rPr>
          <w:noProof/>
        </w:rPr>
        <w:t>(1)</w:t>
      </w:r>
      <w:r>
        <w:rPr>
          <w:noProof/>
        </w:rPr>
        <w:tab/>
      </w:r>
      <w:bookmarkStart w:id="1" w:name="_Hlk231987325"/>
      <w:r>
        <w:rPr>
          <w:noProof/>
        </w:rPr>
        <w:t>Tratatul privind funcționarea Uniunii Europene (TFUE) urmărește realizarea unei uniuni tot mai strânse între popoarele europene și însărcinează Uniunea, între altele, să contribuie la înflorirea culturilor statelor membre, respectând diversitatea națională și regională a acestora și punând în evidență, în același timp, moștenirea culturală comună. Din acest punct de vedere, Uniunea, după caz, sprijină și completează acțiunea statelor membre de îmbunătățire a cunoașterii și diseminării culturii și istoriei popoarelor europene.</w:t>
      </w:r>
      <w:bookmarkStart w:id="2" w:name="_Hlk231986615"/>
      <w:bookmarkEnd w:id="1"/>
    </w:p>
    <w:p>
      <w:pPr>
        <w:pStyle w:val="ManualConsidrant"/>
        <w:rPr>
          <w:noProof/>
        </w:rPr>
      </w:pPr>
      <w:r>
        <w:rPr>
          <w:noProof/>
        </w:rPr>
        <w:t>(2)</w:t>
      </w:r>
      <w:r>
        <w:rPr>
          <w:noProof/>
        </w:rPr>
        <w:tab/>
        <w:t>Comunicarea Comisiei intitulată „Busolă pentru cultura Europei”</w:t>
      </w:r>
      <w:r>
        <w:rPr>
          <w:rStyle w:val="FootnoteReference"/>
          <w:noProof/>
        </w:rPr>
        <w:footnoteReference w:id="15"/>
      </w:r>
      <w:r>
        <w:rPr>
          <w:noProof/>
        </w:rPr>
        <w:t xml:space="preserve"> („Busola pentru cultură”) stabilește viziunea strategică a Uniunii pentru politica culturală, promovând accesul și participarea la cultură, diversitatea culturală și lingvistică, coeziunea și dialogul intercultural, consolidând în același timp rolul culturii în creativitate, inovare, competitivitate și relațiile internaționale.  </w:t>
      </w:r>
    </w:p>
    <w:p>
      <w:pPr>
        <w:pStyle w:val="ManualConsidrant"/>
        <w:rPr>
          <w:noProof/>
        </w:rPr>
      </w:pPr>
      <w:r>
        <w:rPr>
          <w:noProof/>
        </w:rPr>
        <w:t>(3)</w:t>
      </w:r>
      <w:r>
        <w:rPr>
          <w:noProof/>
        </w:rPr>
        <w:tab/>
      </w:r>
      <w:bookmarkStart w:id="3" w:name="_Hlk231986644"/>
      <w:bookmarkEnd w:id="2"/>
      <w:r>
        <w:rPr>
          <w:noProof/>
        </w:rPr>
        <w:t>Declarația comună „Europa pentru cultură – cultura pentru Europa”</w:t>
      </w:r>
      <w:r>
        <w:rPr>
          <w:rStyle w:val="FootnoteReference"/>
          <w:noProof/>
        </w:rPr>
        <w:footnoteReference w:id="16"/>
      </w:r>
      <w:r>
        <w:rPr>
          <w:noProof/>
        </w:rPr>
        <w:t xml:space="preserve"> transformă viziunea prezentată în Busola pentru cultură într-un angajament politic comun al Comisiei Europene, al Parlamentului European și al Consiliului Uniunii Europene, oferind un cadru strategic care plasează cultura în centrul identității Europei și subliniază importanța acesteia pentru indivizi, comunități și Uniunea Europeană. </w:t>
      </w:r>
    </w:p>
    <w:p>
      <w:pPr>
        <w:pStyle w:val="ManualConsidrant"/>
        <w:rPr>
          <w:noProof/>
        </w:rPr>
      </w:pPr>
      <w:r>
        <w:rPr>
          <w:noProof/>
        </w:rPr>
        <w:t>(4)</w:t>
      </w:r>
      <w:r>
        <w:rPr>
          <w:noProof/>
        </w:rPr>
        <w:tab/>
      </w:r>
      <w:bookmarkStart w:id="4" w:name="_Hlk231986665"/>
      <w:bookmarkEnd w:id="3"/>
      <w:r>
        <w:rPr>
          <w:noProof/>
        </w:rPr>
        <w:t>Convenția UNESCO asupra protecției și promovării diversității expresiilor culturale</w:t>
      </w:r>
      <w:r>
        <w:rPr>
          <w:rStyle w:val="FootnoteReference"/>
          <w:noProof/>
        </w:rPr>
        <w:footnoteReference w:id="17"/>
      </w:r>
      <w:r>
        <w:rPr>
          <w:noProof/>
        </w:rPr>
        <w:t>, care a intrat în vigoare la 18 martie 2007 și la care Uniunea este parte, are ca scop protejarea și promovarea diversității culturale, stimularea interculturalității și creșterea gradului de conștientizare a valorii diversității culturale la nivel local, național și internațional.</w:t>
      </w:r>
    </w:p>
    <w:p>
      <w:pPr>
        <w:pStyle w:val="ManualConsidrant"/>
        <w:rPr>
          <w:noProof/>
        </w:rPr>
      </w:pPr>
      <w:r>
        <w:rPr>
          <w:noProof/>
        </w:rPr>
        <w:t>(5)</w:t>
      </w:r>
      <w:r>
        <w:rPr>
          <w:noProof/>
        </w:rPr>
        <w:tab/>
      </w:r>
      <w:bookmarkStart w:id="5" w:name="_Hlk231986686"/>
      <w:bookmarkEnd w:id="4"/>
      <w:r>
        <w:rPr>
          <w:noProof/>
        </w:rPr>
        <w:t>Decizia nr. 445/2014/CE a Parlamentului European și a Consiliului din 16 aprilie 2014</w:t>
      </w:r>
      <w:r>
        <w:rPr>
          <w:rStyle w:val="FootnoteReference"/>
          <w:noProof/>
        </w:rPr>
        <w:footnoteReference w:id="18"/>
      </w:r>
      <w:r>
        <w:rPr>
          <w:noProof/>
        </w:rPr>
        <w:t xml:space="preserve"> a instituit o acțiune a Uniunii în favoarea evenimentului „Capitalele europene ale culturii” pentru anii 2020-2033. Este necesar ca această decizie să fie abrogată. Cu toate acestea, dispozițiile sale ar trebui să se aplice în continuare pentru toate orașele care au fost deja desemnate sau sunt în curs de a fi desemnate până în 2033.</w:t>
      </w:r>
    </w:p>
    <w:p>
      <w:pPr>
        <w:pStyle w:val="ManualConsidrant"/>
        <w:rPr>
          <w:noProof/>
        </w:rPr>
      </w:pPr>
      <w:r>
        <w:rPr>
          <w:noProof/>
        </w:rPr>
        <w:t>(6)</w:t>
      </w:r>
      <w:r>
        <w:rPr>
          <w:noProof/>
        </w:rPr>
        <w:tab/>
      </w:r>
      <w:bookmarkStart w:id="6" w:name="_Hlk231986714"/>
      <w:bookmarkEnd w:id="5"/>
      <w:r>
        <w:rPr>
          <w:noProof/>
        </w:rPr>
        <w:t>Busola pentru cultură recunoaște rolul revitalizant al culturii în contexte urbane după 2033 și rolul Capitalelor europene ale culturii (CEC) în transformarea și regenerarea urbană și regională bazată pe cultură și favorabilă incluziunii a orașelor și a regiunilor din întreaga Europă. Aceasta acționează ca un catalizator pentru coeziunea socială, creșterea economică, inovare, atractivitatea teritorială și dezvoltarea durabilă.</w:t>
      </w:r>
    </w:p>
    <w:p>
      <w:pPr>
        <w:pStyle w:val="ManualConsidrant"/>
        <w:rPr>
          <w:noProof/>
        </w:rPr>
      </w:pPr>
      <w:r>
        <w:rPr>
          <w:noProof/>
        </w:rPr>
        <w:t>(7)</w:t>
      </w:r>
      <w:r>
        <w:rPr>
          <w:noProof/>
        </w:rPr>
        <w:tab/>
      </w:r>
      <w:bookmarkStart w:id="7" w:name="_Hlk231986744"/>
      <w:bookmarkEnd w:id="6"/>
      <w:r>
        <w:rPr>
          <w:noProof/>
        </w:rPr>
        <w:t>Acțiunea la nivelul Uniunii în domeniul culturii ar trebui să se bazeze pe inițiativele existente, cum ar fi planurile de lucru ale Consiliului în domeniul culturii, Comunicarea comună „Către o strategie a UE pentru relațiile culturale internaționale”</w:t>
      </w:r>
      <w:r>
        <w:rPr>
          <w:rStyle w:val="FootnoteReference"/>
          <w:noProof/>
        </w:rPr>
        <w:footnoteReference w:id="19"/>
      </w:r>
      <w:r>
        <w:rPr>
          <w:noProof/>
        </w:rPr>
        <w:t>, Cadrul de acțiune european pentru patrimoniul cultural</w:t>
      </w:r>
      <w:r>
        <w:rPr>
          <w:rStyle w:val="FootnoteReference"/>
          <w:noProof/>
        </w:rPr>
        <w:footnoteReference w:id="20"/>
      </w:r>
      <w:r>
        <w:rPr>
          <w:noProof/>
        </w:rPr>
        <w:t xml:space="preserve"> și Declarația de la Roma din martie 2017</w:t>
      </w:r>
      <w:r>
        <w:rPr>
          <w:rStyle w:val="FootnoteReference"/>
          <w:noProof/>
        </w:rPr>
        <w:footnoteReference w:id="21"/>
      </w:r>
      <w:r>
        <w:rPr>
          <w:noProof/>
        </w:rPr>
        <w:t>, și să se alinieze îndeaproape la obiectivele Busolei pentru cultura Europei și ale Declarației comune „Europa pentru cultură – cultura pentru Europa”.</w:t>
      </w:r>
    </w:p>
    <w:bookmarkEnd w:id="7"/>
    <w:p>
      <w:pPr>
        <w:pStyle w:val="ManualConsidrant"/>
        <w:rPr>
          <w:noProof/>
        </w:rPr>
      </w:pPr>
      <w:r>
        <w:rPr>
          <w:noProof/>
        </w:rPr>
        <w:t>(8)</w:t>
      </w:r>
      <w:r>
        <w:rPr>
          <w:noProof/>
        </w:rPr>
        <w:tab/>
        <w:t>CEC ar trebui să se alinieze la inițiative europene relevante, cum ar fi noul Bauhaus european (NBE)</w:t>
      </w:r>
      <w:r>
        <w:rPr>
          <w:rStyle w:val="FootnoteReference"/>
          <w:noProof/>
        </w:rPr>
        <w:footnoteReference w:id="22"/>
      </w:r>
      <w:r>
        <w:rPr>
          <w:noProof/>
        </w:rPr>
        <w:t>, Marca patrimoniului european, Agenda UE pentru orașe</w:t>
      </w:r>
      <w:r>
        <w:rPr>
          <w:rStyle w:val="FootnoteReference"/>
          <w:noProof/>
        </w:rPr>
        <w:footnoteReference w:id="23"/>
      </w:r>
      <w:r>
        <w:rPr>
          <w:noProof/>
        </w:rPr>
        <w:t>, Scutul european pentru democrație</w:t>
      </w:r>
      <w:r>
        <w:rPr>
          <w:rStyle w:val="FootnoteReference"/>
          <w:noProof/>
        </w:rPr>
        <w:footnoteReference w:id="24"/>
      </w:r>
      <w:r>
        <w:rPr>
          <w:noProof/>
        </w:rPr>
        <w:t xml:space="preserve"> și Strategia privind echitatea între generații</w:t>
      </w:r>
      <w:r>
        <w:rPr>
          <w:rStyle w:val="FootnoteReference"/>
          <w:noProof/>
        </w:rPr>
        <w:footnoteReference w:id="25"/>
      </w:r>
      <w:r>
        <w:rPr>
          <w:noProof/>
        </w:rPr>
        <w:t>. Recomandarea Consiliului către statele membre privind noul Bauhaus european, adoptată la 11 mai 2026, invită Consiliul și Parlamentul European să consolideze CEC într-un mod care să creeze sinergii cu valorile și principiile NBE, care să sprijine dezvoltarea, transformarea sau regenerarea durabilă, favorabilă incluziunii și bazată pe calitate a cartierelor din orașele întregii Europe.</w:t>
      </w:r>
    </w:p>
    <w:p>
      <w:pPr>
        <w:pStyle w:val="ManualConsidrant"/>
        <w:rPr>
          <w:noProof/>
        </w:rPr>
      </w:pPr>
      <w:r>
        <w:rPr>
          <w:noProof/>
        </w:rPr>
        <w:t>(9)</w:t>
      </w:r>
      <w:r>
        <w:rPr>
          <w:noProof/>
        </w:rPr>
        <w:tab/>
        <w:t>Prima evaluare intermediară</w:t>
      </w:r>
      <w:r>
        <w:rPr>
          <w:rStyle w:val="FootnoteReference"/>
          <w:noProof/>
        </w:rPr>
        <w:footnoteReference w:id="26"/>
      </w:r>
      <w:r>
        <w:rPr>
          <w:noProof/>
        </w:rPr>
        <w:t>, precum și consultarea publică din vara anului 2024</w:t>
      </w:r>
      <w:r>
        <w:rPr>
          <w:rStyle w:val="FootnoteReference"/>
          <w:noProof/>
        </w:rPr>
        <w:footnoteReference w:id="27"/>
      </w:r>
      <w:r>
        <w:rPr>
          <w:noProof/>
        </w:rPr>
        <w:t xml:space="preserve"> au demonstrat că CEC este o inițiativă culturală ambițioasă în Europa și bine apreciată de cetățenii săi. După 40 de ani, CEC rămâne o acțiune emblematică de succes, stimulând sectoarele culturale și creative, sporind vizibilitatea internațională a orașelor gazdă și sprijinind dezvoltarea rurală și urbană prin cultură. Este o acțiune eficientă din punctul de vedere al costurilor, care mobilizează finanțare publică și privată și acționează ca un catalizator pentru dezvoltarea socială și economică, în special atunci când este integrată în strategiile locale și regionale pe termen lung. În acest context, acțiunea CEC ar trebui continuată și actualizată pentru a lua în considerare tendințele emergente. Prin urmare, ar trebui instituită o acțiune reînnoită pentru perioada de după 2033. </w:t>
      </w:r>
    </w:p>
    <w:p>
      <w:pPr>
        <w:pStyle w:val="ManualConsidrant"/>
        <w:rPr>
          <w:noProof/>
        </w:rPr>
      </w:pPr>
      <w:r>
        <w:rPr>
          <w:noProof/>
        </w:rPr>
        <w:t>(10)</w:t>
      </w:r>
      <w:r>
        <w:rPr>
          <w:noProof/>
        </w:rPr>
        <w:tab/>
        <w:t xml:space="preserve">Pe lângă faptul că ilustrează diversitatea culturală și patrimoniul comun al Europei, titlul de „Capitală europeană a culturii” (denumit în continuare „titlul”) ajută orașele să îmbogățească viața culturală, să consolideze sectoarele culturale și creative, să îmbunătățească accesul la bunurile culturale și vizibilitatea acestora, să sprijine dezvoltarea urbană pe termen lung și să promoveze un sentiment comun de apartenență și dialogul intercultural. </w:t>
      </w:r>
    </w:p>
    <w:p>
      <w:pPr>
        <w:pStyle w:val="ManualConsidrant"/>
        <w:rPr>
          <w:noProof/>
        </w:rPr>
      </w:pPr>
      <w:r>
        <w:rPr>
          <w:noProof/>
        </w:rPr>
        <w:t>(11)</w:t>
      </w:r>
      <w:r>
        <w:rPr>
          <w:noProof/>
        </w:rPr>
        <w:tab/>
      </w:r>
      <w:bookmarkStart w:id="8" w:name="_Hlk231995222"/>
      <w:r>
        <w:rPr>
          <w:noProof/>
        </w:rPr>
        <w:t>Obiectivul acțiunii stabilite prin prezenta decizie ar trebui să fie în deplină concordanță cu obiectivele Regulamentului Parlamentului European și al Consiliului de instituire a programului „AgoraEU”</w:t>
      </w:r>
      <w:r>
        <w:rPr>
          <w:rStyle w:val="FootnoteReference"/>
          <w:noProof/>
        </w:rPr>
        <w:footnoteReference w:id="28"/>
      </w:r>
      <w:r>
        <w:rPr>
          <w:noProof/>
        </w:rPr>
        <w:t xml:space="preserve"> și cu obiectivele specifice ale componentei sale „Europa creativă – Cultură”</w:t>
      </w:r>
      <w:r>
        <w:rPr>
          <w:rStyle w:val="FootnoteReference"/>
          <w:noProof/>
        </w:rPr>
        <w:footnoteReference w:id="29"/>
      </w:r>
      <w:r>
        <w:rPr>
          <w:noProof/>
        </w:rPr>
        <w:t>,</w:t>
      </w:r>
      <w:bookmarkStart w:id="9" w:name="_Hlk231995382"/>
      <w:bookmarkEnd w:id="8"/>
    </w:p>
    <w:p>
      <w:pPr>
        <w:pStyle w:val="ManualConsidrant"/>
        <w:rPr>
          <w:noProof/>
        </w:rPr>
      </w:pPr>
      <w:r>
        <w:rPr>
          <w:noProof/>
        </w:rPr>
        <w:t>(12)</w:t>
      </w:r>
      <w:r>
        <w:rPr>
          <w:noProof/>
        </w:rPr>
        <w:tab/>
        <w:t>Pentru realizarea obiectivelor acțiunii, orașele deținătoare ale titlului ar trebui să consolideze capacitatea digitală și de inovare a sectoarelor culturale, să creeze legături puternice între cultură și alte sectoare relevante, cum ar fi educația, cercetarea, mediul, dezvoltarea urbană, sportul și turismul cultural durabil, în conformitate cu Strategia europeană privind turismul durabil, și să utilizeze CEC drept catalizator pentru dezvoltarea locală durabilă, medii urbane sănătoase și verzi</w:t>
      </w:r>
      <w:r>
        <w:rPr>
          <w:rStyle w:val="FootnoteReference"/>
          <w:noProof/>
        </w:rPr>
        <w:footnoteReference w:id="30"/>
      </w:r>
      <w:r>
        <w:rPr>
          <w:noProof/>
        </w:rPr>
        <w:t xml:space="preserve"> și să consolideze profilul internațional al orașelor prin cultură. De asemenea, acestea ar trebui să promoveze incluziunea socială și egalitatea de șanse, să îmbunătățească accesul și participarea la cultură, să asigure implicarea în măsura cea mai mare cu putință a cetățenilor în pregătirea și punerea în aplicare a programului cultural, în special a copiilor, a tinerilor, a persoanelor cu handicap și a persoanelor expuse riscului de sărăcie sau de excluziune socială, respectând totodată pe deplin libertatea artistică, diversitatea expresiilor culturale și asigurând îmbunătățirea condițiilor de muncă pentru artiști și profesioniștii din domeniul cultural și creativ. </w:t>
      </w:r>
    </w:p>
    <w:bookmarkEnd w:id="9"/>
    <w:p>
      <w:pPr>
        <w:pStyle w:val="ManualConsidrant"/>
        <w:rPr>
          <w:noProof/>
        </w:rPr>
      </w:pPr>
      <w:r>
        <w:rPr>
          <w:noProof/>
        </w:rPr>
        <w:t>(13)</w:t>
      </w:r>
      <w:r>
        <w:rPr>
          <w:noProof/>
        </w:rPr>
        <w:tab/>
        <w:t>Acțiunea CEC necesită eforturi semnificative din partea orașelor candidate și deținătoare ale titlului, inclusiv pregătirea și punerea în aplicare a unui program cultural la nivel înalt, pe parcursul unui an, și a unei planificări pe termen lung menite să lase o moștenire durabilă. Prin urmare, orașele au nevoie de sprijin, instrumente, orientări și consiliere adecvate. Comisia ar trebui să coordoneze activitățile relevante pentru a contribui la maximizarea impactului de durată al acțiunii.</w:t>
      </w:r>
    </w:p>
    <w:p>
      <w:pPr>
        <w:pStyle w:val="ManualConsidrant"/>
        <w:rPr>
          <w:noProof/>
        </w:rPr>
      </w:pPr>
      <w:r>
        <w:rPr>
          <w:noProof/>
        </w:rPr>
        <w:t>(14)</w:t>
      </w:r>
      <w:r>
        <w:rPr>
          <w:noProof/>
        </w:rPr>
        <w:tab/>
        <w:t>Competițiile pentru titlu ar trebui să aibă loc în fiecare an în două state membre diferite, conform calendarului cronologic prevăzut în anexă (denumit în continuare „calendarul”), asigurând astfel o distribuție echitabilă a titlului în toate statele membre. În anii respectivi, competiția ar trebui să fie deschisă și orașelor din țările AELS/SEE, din țările candidate sau potențial candidate la aderarea la UE și din țările terțe asociate componentei „Europa creativă – Cultură” a programului AgoraEU sau programelor ulterioare de sprijinire a culturii ale Uniunii, cu condiția ca fiecare țară eligibilă să obțină titlul o singură dată în perioada 2034-2047. Experiențele anterioare au arătat că aceasta este o modalitate de a le apropia de Uniune prin scoaterea în evidență a aspectelor comune ale culturilor europene. În cazurile de forță majoră sau de extindere a Uniunii, Comisia ar trebui să aibă posibilitatea de a modifica anexa.</w:t>
      </w:r>
    </w:p>
    <w:p>
      <w:pPr>
        <w:pStyle w:val="ManualConsidrant"/>
        <w:rPr>
          <w:noProof/>
        </w:rPr>
      </w:pPr>
      <w:r>
        <w:rPr>
          <w:noProof/>
        </w:rPr>
        <w:t>(15)</w:t>
      </w:r>
      <w:r>
        <w:rPr>
          <w:noProof/>
        </w:rPr>
        <w:tab/>
        <w:t>Pentru a asigura o reacție eficientă și în timp util la cazurile de forță majoră sau de extindere a Uniunii, Comisiei ar trebui să îi fie delegată competența de a adopta acte în conformitate cu articolul 290 din TFUE pentru a modifica anexa. Este deosebit de important ca, în cursul activității sale pregătitoare, Comisia să organizeze toate consultările necesare, inclusiv la nivel de experți, și ca respectivele consultări să se desfășoare în conformitate cu principiile prevăzute în Acordul interinstituțional din 13 aprilie 2016 privind o mai bună legiferare</w:t>
      </w:r>
      <w:r>
        <w:rPr>
          <w:rStyle w:val="FootnoteReference"/>
          <w:noProof/>
        </w:rPr>
        <w:footnoteReference w:id="31"/>
      </w:r>
      <w:r>
        <w:rPr>
          <w:noProof/>
        </w:rPr>
        <w:t>. În particular, pentru a asigura participarea lor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pPr>
        <w:pStyle w:val="ManualConsidrant"/>
        <w:rPr>
          <w:noProof/>
        </w:rPr>
      </w:pPr>
      <w:r>
        <w:rPr>
          <w:noProof/>
        </w:rPr>
        <w:t>(16)</w:t>
      </w:r>
      <w:r>
        <w:rPr>
          <w:noProof/>
        </w:rPr>
        <w:tab/>
        <w:t>Titlul ar trebui rezervat orașelor sau grupurilor transfrontaliere de orașe, indiferent de dimensiunea acestora. Pentru a ajunge la un public mai larg și pentru a amplifica impactul titlului, orașele ar putea implica întreaga lor zonă limitrofă.</w:t>
      </w:r>
    </w:p>
    <w:p>
      <w:pPr>
        <w:pStyle w:val="ManualConsidrant"/>
        <w:rPr>
          <w:noProof/>
        </w:rPr>
      </w:pPr>
      <w:r>
        <w:rPr>
          <w:noProof/>
        </w:rPr>
        <w:t>(17)</w:t>
      </w:r>
      <w:r>
        <w:rPr>
          <w:noProof/>
        </w:rPr>
        <w:tab/>
        <w:t>Acordarea titlului ar trebui să se bazeze pe un program cultural cu o dimensiune europeană puternică. Programul cultural respectiv ar trebui să fie special creat pentru anul în care este acordat titlul și să facă parte dintr-o strategie pe termen lung.</w:t>
      </w:r>
    </w:p>
    <w:p>
      <w:pPr>
        <w:pStyle w:val="ManualConsidrant"/>
        <w:rPr>
          <w:noProof/>
        </w:rPr>
      </w:pPr>
      <w:r>
        <w:rPr>
          <w:noProof/>
        </w:rPr>
        <w:t>(18)</w:t>
      </w:r>
      <w:r>
        <w:rPr>
          <w:noProof/>
        </w:rPr>
        <w:tab/>
        <w:t>Procedura de selecție ar trebui să fie organizată în două etape (preselecție și selecție) și să fie realizată de către un juriu de experți independenți. Această organizare echitabilă și transparentă le permite orașelor să își amelioreze candidaturile între etapa preselecției și cea a selecției pe baza sugestiilor primite de la juriu. În plus, pentru a garanta continuitatea acțiunii CEC și transferul experienței și al know-how-ului, înlocuirea experților ar trebui să se facă în mod eșalonat.</w:t>
      </w:r>
    </w:p>
    <w:p>
      <w:pPr>
        <w:pStyle w:val="ManualConsidrant"/>
        <w:rPr>
          <w:noProof/>
        </w:rPr>
      </w:pPr>
      <w:r>
        <w:rPr>
          <w:noProof/>
        </w:rPr>
        <w:t>(19)</w:t>
      </w:r>
      <w:r>
        <w:rPr>
          <w:noProof/>
        </w:rPr>
        <w:tab/>
        <w:t>Ar trebui să se asigure în continuare participarea experților numiți la nivel național, acordându-se statelor membre posibilitatea să numească maximum doi experți în juriul care desfășoară procedura de selecție și de monitorizare.</w:t>
      </w:r>
    </w:p>
    <w:p>
      <w:pPr>
        <w:pStyle w:val="ManualConsidrant"/>
        <w:rPr>
          <w:noProof/>
        </w:rPr>
      </w:pPr>
      <w:r>
        <w:rPr>
          <w:noProof/>
        </w:rPr>
        <w:t>(20)</w:t>
      </w:r>
      <w:r>
        <w:rPr>
          <w:noProof/>
        </w:rPr>
        <w:tab/>
        <w:t>Criteriile de selecție ar trebui să ofere orientări orașelor candidate în ceea ce privește obiectivele și cerințele pe care trebuie să le îndeplinească pentru a li se acorda titlul. Deși ar trebui să se pună un accent mai puternic pe sustenabilitate, pe planificarea pe termen lung și pe accesibilitatea digitală, dimensiunea europeană ar trebui să devină un criteriu general, astfel cum se recomandă în prima evaluare interimară a Acțiunii Capitalele europene ale culturii 2020-2033.</w:t>
      </w:r>
    </w:p>
    <w:p>
      <w:pPr>
        <w:pStyle w:val="ManualConsidrant"/>
        <w:rPr>
          <w:noProof/>
        </w:rPr>
      </w:pPr>
      <w:r>
        <w:rPr>
          <w:noProof/>
        </w:rPr>
        <w:t>(21)</w:t>
      </w:r>
      <w:r>
        <w:rPr>
          <w:noProof/>
        </w:rPr>
        <w:tab/>
        <w:t>Orașele candidate ar trebui să exploreze posibilitatea, acolo unde este cazul, de a recurge la sprijin financiar din partea altor programe și fonduri relevante ale Uniunii, în special din partea programului AgoraEU și a fondurilor europene pentru coeziune economică, socială și teritorială, agricultură și zone rurale, pescuit și afaceri maritime, și prosperitate și securitate, canalizate prin planurile de parteneriat național și regional, precum și prin programe ulterioare.</w:t>
      </w:r>
    </w:p>
    <w:p>
      <w:pPr>
        <w:pStyle w:val="ManualConsidrant"/>
        <w:rPr>
          <w:noProof/>
        </w:rPr>
      </w:pPr>
      <w:r>
        <w:rPr>
          <w:noProof/>
        </w:rPr>
        <w:t>(22)</w:t>
      </w:r>
      <w:r>
        <w:rPr>
          <w:noProof/>
        </w:rPr>
        <w:tab/>
        <w:t xml:space="preserve">Faza de pregătire dintre nominalizarea orașului și anul pentru care se acordă titlul este crucială pentru succesul unei capitale europene a culturii. Evaluările și consultările cu părțile interesate au demonstrat că măsurile de sprijin introduse prin cadrele juridice anterioare au fost extrem de valoroase și ar trebui dezvoltate și coordonate în continuare între orașele care au deținut, dețin și vor deține titlul, precum și orașele candidate, și Comisia Europeană, sprijinind o rețea de orașe destinată schimbului de experiență și de cunoștințe. </w:t>
      </w:r>
    </w:p>
    <w:p>
      <w:pPr>
        <w:pStyle w:val="ManualConsidrant"/>
        <w:rPr>
          <w:noProof/>
        </w:rPr>
      </w:pPr>
      <w:r>
        <w:rPr>
          <w:noProof/>
        </w:rPr>
        <w:t>(23)</w:t>
      </w:r>
      <w:r>
        <w:rPr>
          <w:noProof/>
        </w:rPr>
        <w:tab/>
        <w:t>Titlul de CEC și premiul Melina Mercouri, a cărui contravaloare ar trebui plătită în două tranșe, au o puternică valoare simbolică. Se preconizează că orașele deținătoare ale titlului își vor îndeplini angajamentele asumate în cursul procedurii de ofertare și vor asigura respectarea continuă a Cartei drepturilor fundamentale a Uniunii Europene</w:t>
      </w:r>
      <w:r>
        <w:rPr>
          <w:rStyle w:val="FootnoteReference"/>
          <w:noProof/>
        </w:rPr>
        <w:footnoteReference w:id="32"/>
      </w:r>
      <w:r>
        <w:rPr>
          <w:noProof/>
        </w:rPr>
        <w:t>. Prin urmare, titlul și premiul ar trebui să fie acordate în condiții stricte și clare și ar trebui introdus, de asemenea, un cadru pentru retragerea acestora, dacă este necesar, atunci când orașul care deține titlul nu mai îndeplinește criteriile sau nu mai respectă proiectul și planul de lucru prezentate în candidatura sa.</w:t>
      </w:r>
    </w:p>
    <w:p>
      <w:pPr>
        <w:pStyle w:val="ManualConsidrant"/>
        <w:rPr>
          <w:noProof/>
        </w:rPr>
      </w:pPr>
      <w:r>
        <w:rPr>
          <w:noProof/>
        </w:rPr>
        <w:t>(24)</w:t>
      </w:r>
      <w:r>
        <w:rPr>
          <w:noProof/>
        </w:rPr>
        <w:tab/>
        <w:t>Orașele deținătoare ale titlului ar trebui să se asigure, din momentul numirii lor până la sfârșitul anului pentru care este acordat titlul, că toate evenimentele, activitățile și materialele de comunicare prezintă în mod clar logoul UE, împreună cu logoul CEC comun și, dacă este cazul, drapelul UE. Acestea ar trebui să recunoască întotdeauna faptul că CEC este o acțiune finanțată de Uniunea Europeană, cu participarea clară a Comisiei Europene.</w:t>
      </w:r>
    </w:p>
    <w:p>
      <w:pPr>
        <w:pStyle w:val="ManualConsidrant"/>
        <w:rPr>
          <w:noProof/>
        </w:rPr>
      </w:pPr>
      <w:r>
        <w:rPr>
          <w:noProof/>
        </w:rPr>
        <w:t>(25)</w:t>
      </w:r>
      <w:r>
        <w:rPr>
          <w:noProof/>
        </w:rPr>
        <w:tab/>
        <w:t>Orașele însele ar trebui să fie în continuare actorii-cheie în procesul de evaluare, pentru a asigura colectarea de date primare relevante la nivel local, în special în ceea ce privește impactul titlului.</w:t>
      </w:r>
    </w:p>
    <w:p>
      <w:pPr>
        <w:pStyle w:val="ManualConsidrant"/>
        <w:rPr>
          <w:noProof/>
        </w:rPr>
      </w:pPr>
      <w:r>
        <w:rPr>
          <w:noProof/>
        </w:rPr>
        <w:t>(26)</w:t>
      </w:r>
      <w:r>
        <w:rPr>
          <w:noProof/>
        </w:rPr>
        <w:tab/>
        <w:t>Obiectivele prezentei decizii, respectiv protejarea și promovarea diversității culturilor în Europa, evidențierea trăsăturilor comune și stimularea contribuției culturii la dezvoltarea pe termen lung a orașelor, nu pot fi îndeplinite în mod suficient de către statele membre, dată fiind nevoia, în special, de criterii și proceduri comune, clare și transparente pentru selecție și monitorizare, precum și de o strânsă coordonare între statele membre, dar, având în vedere amploarea și efectele preconizate ale acțiunii, pot să fie îndeplinite mai bine la nivelul Uniunii, Uniunea poate adopta măsuri în conformitate cu principiul subsidiarității definit la articolul 5 din Tratatul privind Uniunea Europeană (TUE). În conformitate cu principiul proporționalității, prevăzut la articolul respectiv, prezenta decizie nu depășește ceea ce este necesar pentru atingerea acestor obiective,</w:t>
      </w:r>
    </w:p>
    <w:p>
      <w:pPr>
        <w:rPr>
          <w:noProof/>
        </w:rPr>
      </w:pPr>
    </w:p>
    <w:p>
      <w:pPr>
        <w:pStyle w:val="Formuledadoption"/>
        <w:rPr>
          <w:noProof/>
        </w:rPr>
      </w:pPr>
      <w:r>
        <w:rPr>
          <w:noProof/>
        </w:rPr>
        <w:t xml:space="preserve">ADOPTĂ PREZENTA DECIZIE: </w:t>
      </w:r>
    </w:p>
    <w:p>
      <w:pPr>
        <w:pStyle w:val="Titrearticle"/>
        <w:rPr>
          <w:noProof/>
        </w:rPr>
      </w:pPr>
      <w:r>
        <w:rPr>
          <w:noProof/>
        </w:rPr>
        <w:t>Articolul 1</w:t>
      </w:r>
    </w:p>
    <w:p>
      <w:pPr>
        <w:pStyle w:val="Titrearticle"/>
        <w:rPr>
          <w:b/>
          <w:bCs/>
          <w:i w:val="0"/>
          <w:iCs/>
          <w:noProof/>
        </w:rPr>
      </w:pPr>
      <w:r>
        <w:rPr>
          <w:b/>
          <w:i w:val="0"/>
          <w:noProof/>
        </w:rPr>
        <w:t>Reînnoirea acțiunii</w:t>
      </w:r>
    </w:p>
    <w:p>
      <w:pPr>
        <w:rPr>
          <w:noProof/>
        </w:rPr>
      </w:pPr>
      <w:r>
        <w:rPr>
          <w:noProof/>
        </w:rPr>
        <w:t>Acțiunea Uniunii intitulată „Capitalele europene ale culturii” („CEC”) este reînnoită pentru perioada 2034-2047 (denumită în continuare „acțiunea”).</w:t>
      </w:r>
    </w:p>
    <w:p>
      <w:pPr>
        <w:pStyle w:val="Titrearticle"/>
        <w:rPr>
          <w:noProof/>
        </w:rPr>
      </w:pPr>
      <w:r>
        <w:rPr>
          <w:noProof/>
        </w:rPr>
        <w:t>Articolul 2</w:t>
      </w:r>
    </w:p>
    <w:p>
      <w:pPr>
        <w:pStyle w:val="Titrearticle"/>
        <w:rPr>
          <w:b/>
          <w:bCs/>
          <w:i w:val="0"/>
          <w:iCs/>
          <w:noProof/>
        </w:rPr>
      </w:pPr>
      <w:r>
        <w:rPr>
          <w:b/>
          <w:i w:val="0"/>
          <w:noProof/>
        </w:rPr>
        <w:t>Obiective</w:t>
      </w:r>
    </w:p>
    <w:p>
      <w:pPr>
        <w:rPr>
          <w:noProof/>
        </w:rPr>
      </w:pPr>
      <w:r>
        <w:rPr>
          <w:noProof/>
        </w:rPr>
        <w:t>(1) Obiectivele generale ale acțiunii sunt:</w:t>
      </w:r>
    </w:p>
    <w:p>
      <w:pPr>
        <w:rPr>
          <w:noProof/>
        </w:rPr>
      </w:pPr>
      <w:r>
        <w:rPr>
          <w:noProof/>
        </w:rPr>
        <w:t>(a) protejarea și promovarea diversității culturilor în Europa și evidențierea caracteristicilor lor comune, precum și întărirea sentimentului european de apartenență la un spațiu cultural comun și promovarea valorilor pe care se întemeiază Uniunea;</w:t>
      </w:r>
    </w:p>
    <w:p>
      <w:pPr>
        <w:rPr>
          <w:noProof/>
        </w:rPr>
      </w:pPr>
      <w:r>
        <w:rPr>
          <w:noProof/>
        </w:rPr>
        <w:t>(b) stimularea contribuției culturii la dezvoltarea durabilă și favorabilă incluziunii a orașelor, în conformitate cu strategiile și prioritățile acestora, îmbogățindu-le în același timp viața culturală, consolidându-le ecosistemele culturale și creative și sporind vizibilitatea, accesibilitatea și diversitatea bunurilor, patrimoniului și expresiilor lor culturale.</w:t>
      </w:r>
    </w:p>
    <w:p>
      <w:pPr>
        <w:rPr>
          <w:noProof/>
        </w:rPr>
      </w:pPr>
      <w:r>
        <w:rPr>
          <w:noProof/>
        </w:rPr>
        <w:t>(2) Obiectivele specifice ale acțiunii sunt următoarele:</w:t>
      </w:r>
    </w:p>
    <w:p>
      <w:pPr>
        <w:rPr>
          <w:noProof/>
        </w:rPr>
      </w:pPr>
      <w:r>
        <w:rPr>
          <w:noProof/>
        </w:rPr>
        <w:t>(a) îmbunătățirea gamei, a diversității și a dimensiunii europene a ofertei culturale din orașe, inclusiv prin intermediul cooperării transnaționale, conturând astfel mai ferm profilul internațional al orașelor;</w:t>
      </w:r>
    </w:p>
    <w:p>
      <w:pPr>
        <w:rPr>
          <w:noProof/>
        </w:rPr>
      </w:pPr>
      <w:r>
        <w:rPr>
          <w:noProof/>
        </w:rPr>
        <w:t>(b) îmbunătățirea accesului și a participării la cultură, artă și patrimoniu cultural pentru toți, în special pentru tineri, precum și consolidarea coeziunii sociale, a echității între generații, a egalității și a diversității, prin implicare culturală;</w:t>
      </w:r>
    </w:p>
    <w:p>
      <w:pPr>
        <w:rPr>
          <w:noProof/>
        </w:rPr>
      </w:pPr>
      <w:r>
        <w:rPr>
          <w:noProof/>
        </w:rPr>
        <w:t>(c) consolidarea capacității digitale și de inovare a sectorului cultural local, precum și a cooperării acestuia cu alte sectoare. </w:t>
      </w:r>
    </w:p>
    <w:p>
      <w:pPr>
        <w:pStyle w:val="Titrearticle"/>
        <w:rPr>
          <w:noProof/>
        </w:rPr>
      </w:pPr>
      <w:r>
        <w:rPr>
          <w:noProof/>
        </w:rPr>
        <w:t>Articolul 3</w:t>
      </w:r>
    </w:p>
    <w:p>
      <w:pPr>
        <w:pStyle w:val="Titrearticle"/>
        <w:rPr>
          <w:b/>
          <w:bCs/>
          <w:i w:val="0"/>
          <w:iCs/>
          <w:noProof/>
        </w:rPr>
      </w:pPr>
      <w:r>
        <w:rPr>
          <w:b/>
          <w:i w:val="0"/>
          <w:noProof/>
        </w:rPr>
        <w:t>Accesul la acțiune</w:t>
      </w:r>
    </w:p>
    <w:p>
      <w:pPr>
        <w:rPr>
          <w:noProof/>
        </w:rPr>
      </w:pPr>
      <w:r>
        <w:rPr>
          <w:noProof/>
        </w:rPr>
        <w:t>(1)</w:t>
      </w:r>
      <w:r>
        <w:rPr>
          <w:noProof/>
        </w:rPr>
        <w:tab/>
        <w:t xml:space="preserve">Competiția pentru titlu este deschisă orașelor sau grupurilor (transfrontaliere) de orașe (ambele înțelese în continuare ca „oraș/orașe”), care pot implica și zonele lor limitrofe. </w:t>
      </w:r>
    </w:p>
    <w:p>
      <w:pPr>
        <w:rPr>
          <w:noProof/>
        </w:rPr>
      </w:pPr>
      <w:r>
        <w:rPr>
          <w:noProof/>
        </w:rPr>
        <w:t>(2)</w:t>
      </w:r>
      <w:r>
        <w:rPr>
          <w:noProof/>
        </w:rPr>
        <w:tab/>
        <w:t xml:space="preserve">Numărul de orașe deținătoare ale titlului în fiecare an (denumit în continuare „anul pentru care este acordat titlul”) este de maximum trei. </w:t>
      </w:r>
    </w:p>
    <w:p>
      <w:pPr>
        <w:rPr>
          <w:noProof/>
        </w:rPr>
      </w:pPr>
      <w:r>
        <w:rPr>
          <w:noProof/>
        </w:rPr>
        <w:t>Titlul se acordă în fiecare an cel mult unui oraș din fiecare dintre cele două state membre care figurează în calendarul prevăzut în anexă (denumit în continuare „calendarul”).  În anii respectivi, titlul se acordă, de asemenea, unui oraș dintr-o țară membră a Asociației Europene a Liberului Schimb care este parte la Acordul privind Spațiul Economic European („țară AELS/SEE”), dintr-o țară candidată ori potențial candidată la aderarea la UE, dintr-o țară terță asociată componentei „Europa creativă – Cultură” a programului AgoraEU sau programelor ulterioare de sprijinire a culturii ale Uniunii, sau unui oraș dintr-o țară care aderă la Uniune în condițiile prevăzute la alineatul (5). În cazurile de forță majoră sau de extindere a Uniunii, anexa poate fi modificată de către Comisie prin intermediul unui act delegat.</w:t>
      </w:r>
    </w:p>
    <w:p>
      <w:pPr>
        <w:rPr>
          <w:noProof/>
        </w:rPr>
      </w:pPr>
      <w:r>
        <w:rPr>
          <w:noProof/>
        </w:rPr>
        <w:t>(3)</w:t>
      </w:r>
      <w:r>
        <w:rPr>
          <w:noProof/>
        </w:rPr>
        <w:tab/>
        <w:t>Orașele din statele membre au dreptul de a li se acorda titlul pentru un an conform ordinii în care figurează statele membre în calendar. În cazurile de forță majoră care afectează un oraș desemnat și care întârzie începerea activităților din anul pentru care este acordat titlul, orașul în cauză poate amâna anul prin transmiterea de către țara afectată a unei cereri scrise către Comisie, care modifică anexa prin intermediul unui act delegat.</w:t>
      </w:r>
    </w:p>
    <w:p>
      <w:pPr>
        <w:rPr>
          <w:noProof/>
        </w:rPr>
      </w:pPr>
      <w:r>
        <w:rPr>
          <w:noProof/>
        </w:rPr>
        <w:t>(4)</w:t>
      </w:r>
      <w:r>
        <w:rPr>
          <w:noProof/>
        </w:rPr>
        <w:tab/>
        <w:t xml:space="preserve">Orașele din țările AELS/SEE, din țările candidate ori potențial candidate la aderarea la UE sau din țările terțe asociate componentei „Europa creativă – Cultură” a programului AgoraEU sau programelor ulterioare de sprijinire a culturii ale Uniunii la data publicării cererii de depunere a candidaturilor menționată la articolul 10 alineatul (2) își pot depune candidatura pentru titlu într-un singur an în cadrul unei competiții deschise organizate conform calendarului. </w:t>
      </w:r>
    </w:p>
    <w:p>
      <w:pPr>
        <w:rPr>
          <w:noProof/>
        </w:rPr>
      </w:pPr>
      <w:r>
        <w:rPr>
          <w:noProof/>
        </w:rPr>
        <w:t>Fiecare țară AELS/SEE, țară candidată ori potențial candidată la aderarea la UE sau țară terță asociată componentei „Europa creativă – Cultură” a programului AgoraEU sau programelor ulterioare de sprijinire a culturii ale Uniunii poate deține titlul doar o singură dată în perioada 2034-2047.</w:t>
      </w:r>
    </w:p>
    <w:p>
      <w:pPr>
        <w:rPr>
          <w:noProof/>
        </w:rPr>
      </w:pPr>
      <w:r>
        <w:rPr>
          <w:noProof/>
        </w:rPr>
        <w:t>(5)</w:t>
      </w:r>
      <w:r>
        <w:rPr>
          <w:noProof/>
        </w:rPr>
        <w:tab/>
        <w:t>Atunci când o țară aderă la Uniune după [</w:t>
      </w:r>
      <w:r>
        <w:rPr>
          <w:i/>
          <w:noProof/>
        </w:rPr>
        <w:t>o zi după publicarea în JO</w:t>
      </w:r>
      <w:r>
        <w:rPr>
          <w:noProof/>
        </w:rPr>
        <w:t>], însă înainte de 1 ianuarie 2041, aceasta are dreptul de a găzdui evenimentul la șapte ani după aderarea sa, conform normelor și procedurilor aplicabile statelor membre, în funcție de numărul de țări care aderă la Uniune în același timp. Calendarul va fi actualizat în consecință de către Comisie prin intermediul unui act delegat. Atunci când o țară aderă la Uniune la data de 1 ianuarie 2041 sau ulterior acestei date, ea nu are dreptul de a participa la acțiune în calitate de stat membru. </w:t>
      </w:r>
    </w:p>
    <w:p>
      <w:pPr>
        <w:rPr>
          <w:noProof/>
        </w:rPr>
      </w:pPr>
      <w:r>
        <w:rPr>
          <w:noProof/>
        </w:rPr>
        <w:t>Cu toate acestea, în anii în care există deja trei orașe care dețin titlul conform calendarului, orașele din țările menționate la primul paragraf au dreptul de a deține titlul numai în anul următor disponibil în calendar, în ordinea aderării țărilor respective.</w:t>
      </w:r>
    </w:p>
    <w:p>
      <w:pPr>
        <w:rPr>
          <w:noProof/>
        </w:rPr>
      </w:pPr>
      <w:r>
        <w:rPr>
          <w:noProof/>
        </w:rPr>
        <w:t xml:space="preserve">Dacă un oraș dintr-o țară menționată la primul paragraf a participat anterior la o competiție pentru țările candidate și potențial candidate, acesta nu poate participa la nicio competiție ulterioară pentru statele membre. În cazul în care un oraș dintr-o astfel de țară a fost desemnat să dețină titlul în perioada 2034-2047, în conformitate cu alineatul (4), țara respectivă nu are dreptul, după aderarea sa, de a organiza o competiție ca stat membru în perioada menționată. </w:t>
      </w:r>
    </w:p>
    <w:p>
      <w:pPr>
        <w:rPr>
          <w:noProof/>
        </w:rPr>
      </w:pPr>
      <w:r>
        <w:rPr>
          <w:noProof/>
        </w:rPr>
        <w:t>În cazul în care mai mult de o țară aderă la Uniune la aceeași dată și nu există un acord între țările respective privind ordinea de participare la acțiune, Consiliul organizează o tragere la sorți.</w:t>
      </w:r>
    </w:p>
    <w:p>
      <w:pPr>
        <w:rPr>
          <w:noProof/>
        </w:rPr>
      </w:pPr>
      <w:r>
        <w:rPr>
          <w:noProof/>
        </w:rPr>
        <w:t>(6)</w:t>
      </w:r>
      <w:r>
        <w:rPr>
          <w:noProof/>
        </w:rPr>
        <w:tab/>
        <w:t>Comisia adoptă acte delegate în conformitate cu articolul 18 în ceea ce privește modificarea anexei.</w:t>
      </w:r>
    </w:p>
    <w:p>
      <w:pPr>
        <w:pStyle w:val="Titrearticle"/>
        <w:rPr>
          <w:noProof/>
        </w:rPr>
      </w:pPr>
      <w:r>
        <w:rPr>
          <w:noProof/>
        </w:rPr>
        <w:t>Articolul 4</w:t>
      </w:r>
    </w:p>
    <w:p>
      <w:pPr>
        <w:pStyle w:val="Titrearticle"/>
        <w:rPr>
          <w:b/>
          <w:bCs/>
          <w:i w:val="0"/>
          <w:iCs/>
          <w:noProof/>
        </w:rPr>
      </w:pPr>
      <w:r>
        <w:rPr>
          <w:b/>
          <w:i w:val="0"/>
          <w:noProof/>
        </w:rPr>
        <w:t>Depunerea candidaturilor</w:t>
      </w:r>
    </w:p>
    <w:p>
      <w:pPr>
        <w:rPr>
          <w:noProof/>
        </w:rPr>
      </w:pPr>
      <w:r>
        <w:rPr>
          <w:noProof/>
        </w:rPr>
        <w:t>(1)</w:t>
      </w:r>
      <w:r>
        <w:rPr>
          <w:noProof/>
        </w:rPr>
        <w:tab/>
        <w:t xml:space="preserve">Pe baza criteriilor prevăzute la articolul 5, Comisia furnizează un formular de candidatură comun, care este utilizat de toate orașele candidate. </w:t>
      </w:r>
    </w:p>
    <w:p>
      <w:pPr>
        <w:rPr>
          <w:noProof/>
        </w:rPr>
      </w:pPr>
      <w:r>
        <w:rPr>
          <w:noProof/>
        </w:rPr>
        <w:t>În cazul în care un oraș candidat implică zona sa limitrofă, candidatura se înregistrează sub denumirea orașului respectiv. În cazul depunerii candidaturii de către un grup de orașe, candidatura se înregistrează sub numele orașului principal din statul membru în cauză.</w:t>
      </w:r>
    </w:p>
    <w:p>
      <w:pPr>
        <w:rPr>
          <w:noProof/>
        </w:rPr>
      </w:pPr>
      <w:r>
        <w:rPr>
          <w:noProof/>
        </w:rPr>
        <w:t>(2)</w:t>
      </w:r>
      <w:r>
        <w:rPr>
          <w:noProof/>
        </w:rPr>
        <w:tab/>
        <w:t>Fiecare candidatură se bazează pe un program cultural cu o dimensiune europeană puternică, respectă libertatea artistică și diversitatea expresiilor culturale și contribuie la îmbunătățirea condițiilor de muncă ale artiștilor și ale profesioniștilor din domeniul cultural și creativ.</w:t>
      </w:r>
    </w:p>
    <w:p>
      <w:pPr>
        <w:rPr>
          <w:noProof/>
        </w:rPr>
      </w:pPr>
      <w:r>
        <w:rPr>
          <w:noProof/>
        </w:rPr>
        <w:t>Programul cultural se desfășoară pe durata anului pentru care este acordat titlul și este special creat pentru titlu, în conformitate cu criteriile prevăzute la articolul 5.</w:t>
      </w:r>
    </w:p>
    <w:p>
      <w:pPr>
        <w:pStyle w:val="Titrearticle"/>
        <w:rPr>
          <w:noProof/>
        </w:rPr>
      </w:pPr>
      <w:r>
        <w:rPr>
          <w:noProof/>
        </w:rPr>
        <w:t>Articolul 5</w:t>
      </w:r>
    </w:p>
    <w:p>
      <w:pPr>
        <w:pStyle w:val="Titrearticle"/>
        <w:rPr>
          <w:b/>
          <w:bCs/>
          <w:i w:val="0"/>
          <w:iCs/>
          <w:noProof/>
        </w:rPr>
      </w:pPr>
      <w:r>
        <w:rPr>
          <w:b/>
          <w:i w:val="0"/>
          <w:noProof/>
        </w:rPr>
        <w:t>Criterii</w:t>
      </w:r>
    </w:p>
    <w:p>
      <w:pPr>
        <w:rPr>
          <w:noProof/>
        </w:rPr>
      </w:pPr>
      <w:r>
        <w:rPr>
          <w:noProof/>
        </w:rPr>
        <w:t>Candidaturile sunt evaluate pe baza următoarelor criterii și toate criteriile includ o puternică dimensiune europeană. Comisia oferă orientări privind definirea și înțelegerea acestor criterii, în special a dimensiunii europene, ținând cont de sinergiile cu inițiativele relevante, cum ar fi noul Bauhaus european. Criteriile de evaluare a candidaturilor sunt următoarele:</w:t>
      </w:r>
    </w:p>
    <w:p>
      <w:pPr>
        <w:ind w:left="360"/>
        <w:rPr>
          <w:noProof/>
        </w:rPr>
      </w:pPr>
      <w:r>
        <w:rPr>
          <w:noProof/>
        </w:rPr>
        <w:t>(a) strategie pe termen lung și moștenire;</w:t>
      </w:r>
    </w:p>
    <w:p>
      <w:pPr>
        <w:ind w:left="360"/>
        <w:rPr>
          <w:noProof/>
        </w:rPr>
      </w:pPr>
      <w:r>
        <w:rPr>
          <w:noProof/>
        </w:rPr>
        <w:t>(b) conținut cultural și artistic;</w:t>
      </w:r>
    </w:p>
    <w:p>
      <w:pPr>
        <w:ind w:left="360"/>
        <w:rPr>
          <w:noProof/>
        </w:rPr>
      </w:pPr>
      <w:r>
        <w:rPr>
          <w:noProof/>
        </w:rPr>
        <w:t xml:space="preserve">(c) sensibilizare, comunicare și participarea cetățenilor; </w:t>
      </w:r>
    </w:p>
    <w:p>
      <w:pPr>
        <w:ind w:left="360"/>
        <w:rPr>
          <w:noProof/>
        </w:rPr>
      </w:pPr>
      <w:r>
        <w:rPr>
          <w:noProof/>
        </w:rPr>
        <w:t>(d) gestionare și capacitate de realizare.</w:t>
      </w:r>
    </w:p>
    <w:p>
      <w:pPr>
        <w:ind w:left="360"/>
        <w:rPr>
          <w:noProof/>
        </w:rPr>
      </w:pPr>
    </w:p>
    <w:p>
      <w:pPr>
        <w:rPr>
          <w:noProof/>
        </w:rPr>
      </w:pPr>
      <w:r>
        <w:rPr>
          <w:noProof/>
        </w:rPr>
        <w:t>(1) în ceea ce privește categoria „strategie pe termen lung și moștenire”, se iau în considerare următorii factori:</w:t>
      </w:r>
    </w:p>
    <w:p>
      <w:pPr>
        <w:ind w:left="360"/>
        <w:rPr>
          <w:noProof/>
        </w:rPr>
      </w:pPr>
      <w:r>
        <w:rPr>
          <w:noProof/>
        </w:rPr>
        <w:t>(a) existența unei strategii culturale care, la data depunerii candidaturii, acoperă acțiunea și include planuri pentru activitățile din anii următori anului pentru care este acordat titlul;</w:t>
      </w:r>
    </w:p>
    <w:p>
      <w:pPr>
        <w:ind w:left="360"/>
        <w:rPr>
          <w:noProof/>
        </w:rPr>
      </w:pPr>
      <w:r>
        <w:rPr>
          <w:noProof/>
        </w:rPr>
        <w:t>(b) planurile de consolidare a capacității sectoarelor culturale și creative, inclusiv dezvoltarea unei cooperări pe termen lung între sectoarele culturale, socioeconomice și sociale, cu un accent deosebit pe condițiile de muncă ale artiștilor;</w:t>
      </w:r>
    </w:p>
    <w:p>
      <w:pPr>
        <w:ind w:left="360"/>
        <w:rPr>
          <w:noProof/>
        </w:rPr>
      </w:pPr>
      <w:r>
        <w:rPr>
          <w:noProof/>
        </w:rPr>
        <w:t>(c) impactul cultural, social și economic preconizat pe termen lung al titlului, inclusiv în ceea ce privește dezvoltarea durabilă, urbană și, dacă este cazul, rurală;</w:t>
      </w:r>
    </w:p>
    <w:p>
      <w:pPr>
        <w:ind w:left="360"/>
        <w:rPr>
          <w:noProof/>
        </w:rPr>
      </w:pPr>
      <w:r>
        <w:rPr>
          <w:noProof/>
        </w:rPr>
        <w:t>(d) planurile de monitorizare și evaluare a impactului titlului și de diseminare a rezultatelor evaluării la nivel european.</w:t>
      </w:r>
    </w:p>
    <w:p>
      <w:pPr>
        <w:rPr>
          <w:noProof/>
        </w:rPr>
      </w:pPr>
      <w:r>
        <w:rPr>
          <w:noProof/>
        </w:rPr>
        <w:t>(2) în ceea ce privește categoria „conținut cultural și artistic”, se evaluează următorii factori:</w:t>
      </w:r>
    </w:p>
    <w:p>
      <w:pPr>
        <w:ind w:left="360"/>
        <w:rPr>
          <w:noProof/>
        </w:rPr>
      </w:pPr>
      <w:r>
        <w:rPr>
          <w:noProof/>
        </w:rPr>
        <w:t>(a) existența unei viziuni și a unei strategii artistice clare și coerente pentru programul cultural: promovarea diversității culturale și lingvistice a Europei, precum și a libertății artistice;</w:t>
      </w:r>
    </w:p>
    <w:p>
      <w:pPr>
        <w:ind w:left="360"/>
        <w:rPr>
          <w:noProof/>
        </w:rPr>
      </w:pPr>
      <w:r>
        <w:rPr>
          <w:noProof/>
        </w:rPr>
        <w:t xml:space="preserve">(b) implicarea artiștilor, a organizațiilor culturale și a rezidenților de la nivel local și european, inclusiv a tinerilor, în elaborarea și punerea în aplicare a programului cultural; </w:t>
      </w:r>
    </w:p>
    <w:p>
      <w:pPr>
        <w:ind w:left="360"/>
        <w:rPr>
          <w:noProof/>
        </w:rPr>
      </w:pPr>
      <w:r>
        <w:rPr>
          <w:noProof/>
        </w:rPr>
        <w:t>(c) cooperarea cu orașe din diferite țări europene și cu orașe care dețin titlul în același an;</w:t>
      </w:r>
    </w:p>
    <w:p>
      <w:pPr>
        <w:ind w:left="360"/>
        <w:rPr>
          <w:noProof/>
        </w:rPr>
      </w:pPr>
      <w:r>
        <w:rPr>
          <w:noProof/>
        </w:rPr>
        <w:t>(d) gama și nivelul general de calitate artistică a activităților care pun în evidență aspectele comune ale culturilor, patrimoniului și istoriei europene, precum și integrarea europeană și temele europene actuale;</w:t>
      </w:r>
    </w:p>
    <w:p>
      <w:pPr>
        <w:ind w:left="360"/>
        <w:rPr>
          <w:noProof/>
        </w:rPr>
      </w:pPr>
      <w:r>
        <w:rPr>
          <w:noProof/>
        </w:rPr>
        <w:t>(e) capacitatea de a îmbina patrimoniul cultural și formele de artă tradiționale cu expresiile culturale digitale noi, inovatoare și experimentale, promovând noi moduri de implicare fizică și digitală.</w:t>
      </w:r>
    </w:p>
    <w:p>
      <w:pPr>
        <w:rPr>
          <w:noProof/>
        </w:rPr>
      </w:pPr>
      <w:r>
        <w:rPr>
          <w:noProof/>
        </w:rPr>
        <w:t>(3) în ceea ce privește categoria „sensibilizare, comunicare și participarea cetățenilor”, se evaluează următorii factori:</w:t>
      </w:r>
    </w:p>
    <w:p>
      <w:pPr>
        <w:ind w:left="360"/>
        <w:rPr>
          <w:noProof/>
        </w:rPr>
      </w:pPr>
      <w:r>
        <w:rPr>
          <w:noProof/>
        </w:rPr>
        <w:t>(a) implicarea semnificativă a comunităților locale diverse și a societății civile în pregătirea candidaturii și în punerea în aplicare a acțiunii;</w:t>
      </w:r>
    </w:p>
    <w:p>
      <w:pPr>
        <w:ind w:left="360"/>
        <w:rPr>
          <w:noProof/>
        </w:rPr>
      </w:pPr>
      <w:r>
        <w:rPr>
          <w:noProof/>
        </w:rPr>
        <w:t>(b) crearea de oportunități noi și favorabile incluziunii, inclusiv digitale, pentru o gamă largă de locuitori, în special copii și tineri, inclusiv pentru cei din zonele periferice și vizitatori, de a asista, de a avea acces sau de a participa la activități culturale, acordându-se o atenție deosebită persoanelor cu handicap și persoanelor în vârstă în ceea ce privește accesibilitatea acestor activități;</w:t>
      </w:r>
    </w:p>
    <w:p>
      <w:pPr>
        <w:ind w:left="360"/>
        <w:rPr>
          <w:noProof/>
        </w:rPr>
      </w:pPr>
      <w:r>
        <w:rPr>
          <w:noProof/>
        </w:rPr>
        <w:t>(c) strategia generală pentru extinderea categoriilor de public, subliniind legătura cu mediul educațional și participarea școlilor și a instituțiilor de învățământ superior;</w:t>
      </w:r>
    </w:p>
    <w:p>
      <w:pPr>
        <w:ind w:left="360"/>
        <w:rPr>
          <w:noProof/>
        </w:rPr>
      </w:pPr>
      <w:r>
        <w:rPr>
          <w:noProof/>
        </w:rPr>
        <w:t>(d) o strategie cuprinzătoare de marketing și comunicare, menită să atragă interesul publicului larg local, european și internațional și să scoată în evidență faptul că acțiunea este o acțiune a Uniunii prin utilizarea logoului și a etichetei CEC comune.</w:t>
      </w:r>
    </w:p>
    <w:p>
      <w:pPr>
        <w:rPr>
          <w:noProof/>
        </w:rPr>
      </w:pPr>
      <w:r>
        <w:rPr>
          <w:noProof/>
        </w:rPr>
        <w:t>(4) în ceea ce privește categoria „gestionare și capacitate de realizare”, sunt evaluați următorii factori:</w:t>
      </w:r>
    </w:p>
    <w:p>
      <w:pPr>
        <w:ind w:left="360"/>
        <w:rPr>
          <w:noProof/>
        </w:rPr>
      </w:pPr>
      <w:r>
        <w:rPr>
          <w:noProof/>
        </w:rPr>
        <w:t>(a) fezabilitatea strategiei de strângere de fonduri și a bugetului propus, care include, dacă este cazul, planuri de solicitare a unui sprijin financiar din programele și fondurile Uniunii și acoperă faza de pregătire, anul pentru care este acordat titlul, evaluarea și activitățile ulterioare, precum și planul pentru situațiile neprevăzute;</w:t>
      </w:r>
    </w:p>
    <w:p>
      <w:pPr>
        <w:ind w:left="360"/>
        <w:rPr>
          <w:noProof/>
        </w:rPr>
      </w:pPr>
      <w:r>
        <w:rPr>
          <w:noProof/>
        </w:rPr>
        <w:t xml:space="preserve">(b) structura de gestiune și de realizare, cu personal care dispune de competențele necesare pentru punerea în aplicare durabilă a acțiunii, permițând o cooperare eficientă între autoritățile locale și structura de realizare, inclusiv echipa artistică; </w:t>
      </w:r>
    </w:p>
    <w:p>
      <w:pPr>
        <w:ind w:left="360"/>
        <w:rPr>
          <w:noProof/>
        </w:rPr>
      </w:pPr>
      <w:r>
        <w:rPr>
          <w:noProof/>
        </w:rPr>
        <w:t>(c) procedurile pentru numirea directorului general și a directorului artistic și domeniile lor de acțiune;</w:t>
      </w:r>
    </w:p>
    <w:p>
      <w:pPr>
        <w:ind w:left="360"/>
        <w:rPr>
          <w:noProof/>
        </w:rPr>
      </w:pPr>
      <w:r>
        <w:rPr>
          <w:noProof/>
        </w:rPr>
        <w:t>(d) candidatura beneficiază de o susținere extinsă și un angajament financiar sustenabil din partea autorităților locale, regionale și naționale;</w:t>
      </w:r>
    </w:p>
    <w:p>
      <w:pPr>
        <w:ind w:left="360"/>
        <w:rPr>
          <w:noProof/>
        </w:rPr>
      </w:pPr>
      <w:r>
        <w:rPr>
          <w:noProof/>
        </w:rPr>
        <w:t>(e) orașul candidat dispune sau va dispune de o infrastructură adecvată și viabilă pentru a deține titlul.</w:t>
      </w:r>
    </w:p>
    <w:p>
      <w:pPr>
        <w:pStyle w:val="Titrearticle"/>
        <w:rPr>
          <w:noProof/>
        </w:rPr>
      </w:pPr>
      <w:r>
        <w:rPr>
          <w:noProof/>
        </w:rPr>
        <w:t>Articolul 6</w:t>
      </w:r>
    </w:p>
    <w:p>
      <w:pPr>
        <w:pStyle w:val="Titrearticle"/>
        <w:rPr>
          <w:b/>
          <w:bCs/>
          <w:i w:val="0"/>
          <w:iCs/>
          <w:noProof/>
        </w:rPr>
      </w:pPr>
      <w:r>
        <w:rPr>
          <w:b/>
          <w:i w:val="0"/>
          <w:noProof/>
        </w:rPr>
        <w:t>Juriul de experți</w:t>
      </w:r>
    </w:p>
    <w:p>
      <w:pPr>
        <w:rPr>
          <w:noProof/>
        </w:rPr>
      </w:pPr>
      <w:r>
        <w:rPr>
          <w:noProof/>
        </w:rPr>
        <w:t>(1)</w:t>
      </w:r>
      <w:r>
        <w:rPr>
          <w:noProof/>
        </w:rPr>
        <w:tab/>
        <w:t>Se înființează un juriu de experți independenți (denumit în continuare „juriul”) pentru desfășurarea procedurilor de selecție și de monitorizare.</w:t>
      </w:r>
    </w:p>
    <w:p>
      <w:pPr>
        <w:rPr>
          <w:noProof/>
        </w:rPr>
      </w:pPr>
      <w:r>
        <w:rPr>
          <w:noProof/>
        </w:rPr>
        <w:t>(2)</w:t>
      </w:r>
      <w:r>
        <w:rPr>
          <w:noProof/>
        </w:rPr>
        <w:tab/>
        <w:t>Juriul este format din 12 experți numiți de instituțiile și organele Uniunii (denumiți în continuare „experți europeni”) în conformitate cu alineatul (3).</w:t>
      </w:r>
    </w:p>
    <w:p>
      <w:pPr>
        <w:rPr>
          <w:noProof/>
        </w:rPr>
      </w:pPr>
      <w:r>
        <w:rPr>
          <w:noProof/>
        </w:rPr>
        <w:t>(3)</w:t>
      </w:r>
      <w:r>
        <w:rPr>
          <w:noProof/>
        </w:rPr>
        <w:tab/>
        <w:t xml:space="preserve">Comisia propune un grup de potențiali experți europeni în urma organizării unei cereri deschise de exprimare a interesului. </w:t>
      </w:r>
    </w:p>
    <w:p>
      <w:pPr>
        <w:rPr>
          <w:noProof/>
        </w:rPr>
      </w:pPr>
      <w:r>
        <w:rPr>
          <w:noProof/>
        </w:rPr>
        <w:t xml:space="preserve">Parlamentul European, Consiliul și Comisia numesc câte trei experți, în conformitate cu propriile proceduri, și desemnează alți trei experți ca rezerve. </w:t>
      </w:r>
    </w:p>
    <w:p>
      <w:pPr>
        <w:rPr>
          <w:noProof/>
        </w:rPr>
      </w:pPr>
      <w:r>
        <w:rPr>
          <w:noProof/>
        </w:rPr>
        <w:t xml:space="preserve">Comitetul Regiunilor și Comitetul Economic și Social European numesc câte un expert, în conformitate cu propriile proceduri, și desemnează câte unul ca rezervă. </w:t>
      </w:r>
    </w:p>
    <w:p>
      <w:pPr>
        <w:rPr>
          <w:noProof/>
        </w:rPr>
      </w:pPr>
      <w:r>
        <w:rPr>
          <w:noProof/>
        </w:rPr>
        <w:t>În plus, Comisia selectează un expert din Rețeaua ambasadorilor culturali ai tineretului</w:t>
      </w:r>
      <w:r>
        <w:rPr>
          <w:rStyle w:val="FootnoteReference"/>
          <w:noProof/>
        </w:rPr>
        <w:footnoteReference w:id="33"/>
      </w:r>
      <w:r>
        <w:rPr>
          <w:noProof/>
        </w:rPr>
        <w:t xml:space="preserve"> și numește un expert ca rezervă, în conformitate cu procedura sa. </w:t>
      </w:r>
    </w:p>
    <w:p>
      <w:pPr>
        <w:rPr>
          <w:noProof/>
        </w:rPr>
      </w:pPr>
      <w:r>
        <w:rPr>
          <w:noProof/>
        </w:rPr>
        <w:t>La selectarea experților europeni, fiecare dintre aceste instituții și organe ale Uniunii urmărește să asigure, în alcătuirea globală a juriului, competențe complementare, o repartizare geografică echilibrată, echilibrul de gen și o diversitate de medii de proveniență pentru a reflecta preocupările diferitelor societăți europene. </w:t>
      </w:r>
    </w:p>
    <w:p>
      <w:pPr>
        <w:rPr>
          <w:noProof/>
        </w:rPr>
      </w:pPr>
      <w:r>
        <w:rPr>
          <w:noProof/>
        </w:rPr>
        <w:t>(4)</w:t>
      </w:r>
      <w:r>
        <w:rPr>
          <w:noProof/>
        </w:rPr>
        <w:tab/>
        <w:t>Pe lângă experții europeni, pentru selecția și monitorizarea unui oraș dintr-un stat membru, statul membru în cauză are dreptul de a numi până la doi experți în juriu, în conformitate cu propriile sale proceduri și cu consultarea Comisiei. Statul membru în cauză este responsabil cu contractarea acestor doi experți. Această dispoziție nu se aplică în cazul competițiilor destinate țărilor terțe.</w:t>
      </w:r>
    </w:p>
    <w:p>
      <w:pPr>
        <w:rPr>
          <w:noProof/>
        </w:rPr>
      </w:pPr>
      <w:r>
        <w:rPr>
          <w:noProof/>
        </w:rPr>
        <w:t xml:space="preserve">(5) </w:t>
      </w:r>
      <w:r>
        <w:rPr>
          <w:noProof/>
        </w:rPr>
        <w:tab/>
        <w:t>Toți experții trebuie:</w:t>
      </w:r>
    </w:p>
    <w:p>
      <w:pPr>
        <w:ind w:left="360"/>
        <w:rPr>
          <w:noProof/>
        </w:rPr>
      </w:pPr>
      <w:r>
        <w:rPr>
          <w:noProof/>
        </w:rPr>
        <w:t>(a) să fie cetățeni și rezidenți ai Uniunii;</w:t>
      </w:r>
    </w:p>
    <w:p>
      <w:pPr>
        <w:ind w:left="360"/>
        <w:rPr>
          <w:noProof/>
        </w:rPr>
      </w:pPr>
      <w:r>
        <w:rPr>
          <w:noProof/>
        </w:rPr>
        <w:t>(b) să fie independenți;</w:t>
      </w:r>
    </w:p>
    <w:p>
      <w:pPr>
        <w:ind w:left="360"/>
        <w:rPr>
          <w:noProof/>
        </w:rPr>
      </w:pPr>
      <w:r>
        <w:rPr>
          <w:noProof/>
        </w:rPr>
        <w:t>(c) să aibă experiență și expertiză aprofundate în:</w:t>
      </w:r>
    </w:p>
    <w:p>
      <w:pPr>
        <w:ind w:firstLine="720"/>
        <w:rPr>
          <w:noProof/>
        </w:rPr>
      </w:pPr>
      <w:r>
        <w:rPr>
          <w:noProof/>
        </w:rPr>
        <w:t>(i) cel puțin unul dintre sectoarele culturale și creative;</w:t>
      </w:r>
    </w:p>
    <w:p>
      <w:pPr>
        <w:ind w:firstLine="720"/>
        <w:rPr>
          <w:noProof/>
        </w:rPr>
      </w:pPr>
      <w:r>
        <w:rPr>
          <w:noProof/>
        </w:rPr>
        <w:t>(ii) dezvoltarea culturală a orașelor; sau</w:t>
      </w:r>
    </w:p>
    <w:p>
      <w:pPr>
        <w:ind w:left="720"/>
        <w:rPr>
          <w:noProof/>
        </w:rPr>
      </w:pPr>
      <w:r>
        <w:rPr>
          <w:noProof/>
        </w:rPr>
        <w:t>(iii) organizarea unui eveniment CEC sau a unui eveniment cultural internațional de o amploare și o importanță similare; sau</w:t>
      </w:r>
    </w:p>
    <w:p>
      <w:pPr>
        <w:ind w:firstLine="720"/>
        <w:rPr>
          <w:noProof/>
        </w:rPr>
      </w:pPr>
      <w:r>
        <w:rPr>
          <w:noProof/>
        </w:rPr>
        <w:t>(iv) promovarea și gestionarea turismului cultural.</w:t>
      </w:r>
    </w:p>
    <w:p>
      <w:pPr>
        <w:ind w:left="360"/>
        <w:rPr>
          <w:noProof/>
        </w:rPr>
      </w:pPr>
      <w:r>
        <w:rPr>
          <w:noProof/>
        </w:rPr>
        <w:t>(d) să fie în măsură să consacre mai multe zile de lucru pe an juriului, inclusiv pentru călătorii (aproximativ 30-40 de zile).</w:t>
      </w:r>
    </w:p>
    <w:p>
      <w:pPr>
        <w:rPr>
          <w:noProof/>
        </w:rPr>
      </w:pPr>
      <w:r>
        <w:rPr>
          <w:noProof/>
        </w:rPr>
        <w:t>(6)</w:t>
      </w:r>
      <w:r>
        <w:rPr>
          <w:noProof/>
        </w:rPr>
        <w:tab/>
        <w:t>Membrii juriului au dreptul la o remunerație pentru serviciile prestate, precum și la plata tuturor cheltuielilor direct legate de îndeplinirea sarcinilor care le revin în temeiul acestui mandat.  </w:t>
      </w:r>
    </w:p>
    <w:p>
      <w:pPr>
        <w:rPr>
          <w:noProof/>
        </w:rPr>
      </w:pPr>
      <w:r>
        <w:rPr>
          <w:noProof/>
        </w:rPr>
        <w:t>Remunerația și cheltuielile se plătesc pentru întreaga durată a numirii lor. </w:t>
      </w:r>
    </w:p>
    <w:p>
      <w:pPr>
        <w:rPr>
          <w:noProof/>
        </w:rPr>
      </w:pPr>
      <w:r>
        <w:rPr>
          <w:noProof/>
        </w:rPr>
        <w:t>Toți membrii juriului primesc o remunerație egală, indiferent de instituția de care au fost numiți. </w:t>
      </w:r>
    </w:p>
    <w:p>
      <w:pPr>
        <w:rPr>
          <w:noProof/>
        </w:rPr>
      </w:pPr>
      <w:r>
        <w:rPr>
          <w:noProof/>
        </w:rPr>
        <w:t>(7)</w:t>
      </w:r>
      <w:r>
        <w:rPr>
          <w:noProof/>
        </w:rPr>
        <w:tab/>
        <w:t>Juriul își desemnează președintele.</w:t>
      </w:r>
    </w:p>
    <w:p>
      <w:pPr>
        <w:rPr>
          <w:noProof/>
        </w:rPr>
      </w:pPr>
      <w:r>
        <w:rPr>
          <w:noProof/>
        </w:rPr>
        <w:t>(8)</w:t>
      </w:r>
      <w:r>
        <w:rPr>
          <w:noProof/>
        </w:rPr>
        <w:tab/>
        <w:t xml:space="preserve">Experții europeni sunt numiți pentru o perioadă de trei ani. </w:t>
      </w:r>
    </w:p>
    <w:p>
      <w:pPr>
        <w:rPr>
          <w:noProof/>
        </w:rPr>
      </w:pPr>
      <w:r>
        <w:rPr>
          <w:noProof/>
        </w:rPr>
        <w:t>Cu toate acestea, în ceea ce privește alcătuirea inițială a juriului în temeiul prezentei decizii, Parlamentul European își numește experții pentru trei ani, Comisia pentru doi ani, iar Consiliul, Comitetul Regiunilor și Comitetul Economic și Social European pentru un an, astfel încât expertiza să fie menținută fără a aduce atingere rotației periodice a juriului de experți.</w:t>
      </w:r>
    </w:p>
    <w:p>
      <w:pPr>
        <w:rPr>
          <w:noProof/>
        </w:rPr>
      </w:pPr>
      <w:r>
        <w:rPr>
          <w:noProof/>
        </w:rPr>
        <w:t>(9)</w:t>
      </w:r>
      <w:r>
        <w:rPr>
          <w:noProof/>
        </w:rPr>
        <w:tab/>
        <w:t>În cazul în care un expert demisionează sau nu este în măsură să își îndeplinească sarcinile înainte de încheierea mandatului său sau în cazul în care Comisia Europeană îi reziliază contractul, expertul respectiv este înlocuit de un expert desemnat ca rezervă pentru perioada rămasă până la încheierea mandatului.</w:t>
      </w:r>
    </w:p>
    <w:p>
      <w:pPr>
        <w:rPr>
          <w:noProof/>
        </w:rPr>
      </w:pPr>
      <w:r>
        <w:rPr>
          <w:noProof/>
        </w:rPr>
        <w:t>(10)</w:t>
      </w:r>
      <w:r>
        <w:rPr>
          <w:noProof/>
        </w:rPr>
        <w:tab/>
        <w:t>Toți experții declară orice conflict de interese existent sau potențial cu privire la un anumit oraș candidat. În cazul în care un expert face o astfel de declarație sau în cazul în care un astfel de conflict de interese iese la iveală, expertul respectiv demisionează, iar instituția sau organul relevant al Uniunii sau statul membru în cauză îl înlocuiește pe expertul respectiv pentru perioada rămasă până la încheierea mandatului, în conformitate cu alineatul (9).</w:t>
      </w:r>
    </w:p>
    <w:p>
      <w:pPr>
        <w:pStyle w:val="Titrearticle"/>
        <w:rPr>
          <w:noProof/>
        </w:rPr>
      </w:pPr>
      <w:r>
        <w:rPr>
          <w:noProof/>
        </w:rPr>
        <w:t>Articolul 7</w:t>
      </w:r>
    </w:p>
    <w:p>
      <w:pPr>
        <w:pStyle w:val="Titrearticle"/>
        <w:rPr>
          <w:b/>
          <w:bCs/>
          <w:i w:val="0"/>
          <w:iCs/>
          <w:noProof/>
        </w:rPr>
      </w:pPr>
      <w:r>
        <w:rPr>
          <w:b/>
          <w:i w:val="0"/>
          <w:noProof/>
        </w:rPr>
        <w:t>Depunerea candidaturilor în statele membre</w:t>
      </w:r>
    </w:p>
    <w:p>
      <w:pPr>
        <w:rPr>
          <w:noProof/>
        </w:rPr>
      </w:pPr>
      <w:r>
        <w:rPr>
          <w:noProof/>
        </w:rPr>
        <w:t>(1)</w:t>
      </w:r>
      <w:r>
        <w:rPr>
          <w:noProof/>
        </w:rPr>
        <w:tab/>
        <w:t>Conform calendarului prevăzut în anexă, fiecare stat membru este responsabil pentru organizarea competiției între orașele de pe teritoriul său.</w:t>
      </w:r>
    </w:p>
    <w:p>
      <w:pPr>
        <w:rPr>
          <w:noProof/>
        </w:rPr>
      </w:pPr>
      <w:r>
        <w:rPr>
          <w:noProof/>
        </w:rPr>
        <w:t>(2)</w:t>
      </w:r>
      <w:r>
        <w:rPr>
          <w:noProof/>
        </w:rPr>
        <w:tab/>
        <w:t>Statele membre în cauză publică un apel pentru depunerea candidaturilor cel puțin cu șase ani înaintea anului pentru care este acordat titlul. </w:t>
      </w:r>
    </w:p>
    <w:p>
      <w:pPr>
        <w:rPr>
          <w:noProof/>
        </w:rPr>
      </w:pPr>
      <w:r>
        <w:rPr>
          <w:noProof/>
        </w:rPr>
        <w:t xml:space="preserve">Fiecare apel pentru depunerea candidaturilor cuprinde formularul de candidatură menționat la articolul 4 alineatul (1). </w:t>
      </w:r>
    </w:p>
    <w:p>
      <w:pPr>
        <w:rPr>
          <w:noProof/>
        </w:rPr>
      </w:pPr>
      <w:r>
        <w:rPr>
          <w:noProof/>
        </w:rPr>
        <w:t>Termenul de depunere a candidaturilor de către orașele candidate în cadrul fiecărui apel pentru depunerea candidaturilor se stabilește la cel puțin zece luni de la data publicării sale.</w:t>
      </w:r>
    </w:p>
    <w:p>
      <w:pPr>
        <w:rPr>
          <w:noProof/>
        </w:rPr>
      </w:pPr>
      <w:r>
        <w:rPr>
          <w:noProof/>
        </w:rPr>
        <w:t>(3)</w:t>
      </w:r>
      <w:r>
        <w:rPr>
          <w:noProof/>
        </w:rPr>
        <w:tab/>
        <w:t>Candidaturile sunt notificate Comisiei de către statele membre în cauză. </w:t>
      </w:r>
    </w:p>
    <w:p>
      <w:pPr>
        <w:pStyle w:val="Titrearticle"/>
        <w:rPr>
          <w:noProof/>
        </w:rPr>
      </w:pPr>
      <w:r>
        <w:rPr>
          <w:noProof/>
        </w:rPr>
        <w:t>Articolul 8</w:t>
      </w:r>
    </w:p>
    <w:p>
      <w:pPr>
        <w:pStyle w:val="Titrearticle"/>
        <w:rPr>
          <w:b/>
          <w:bCs/>
          <w:i w:val="0"/>
          <w:iCs/>
          <w:noProof/>
        </w:rPr>
      </w:pPr>
      <w:r>
        <w:rPr>
          <w:b/>
          <w:i w:val="0"/>
          <w:noProof/>
        </w:rPr>
        <w:t>Preselecția în statele membre</w:t>
      </w:r>
    </w:p>
    <w:p>
      <w:pPr>
        <w:rPr>
          <w:noProof/>
        </w:rPr>
      </w:pPr>
      <w:r>
        <w:rPr>
          <w:noProof/>
        </w:rPr>
        <w:t>(1)</w:t>
      </w:r>
      <w:r>
        <w:rPr>
          <w:noProof/>
        </w:rPr>
        <w:tab/>
        <w:t>Fiecare stat membru în cauză convoacă juriul pentru o reuniune de preselecție cu orașele candidate, în termen de cel mult cinci ani înaintea anului pentru care este acordat titlul.</w:t>
      </w:r>
    </w:p>
    <w:p>
      <w:pPr>
        <w:rPr>
          <w:noProof/>
        </w:rPr>
      </w:pPr>
      <w:r>
        <w:rPr>
          <w:noProof/>
        </w:rPr>
        <w:t>(2)</w:t>
      </w:r>
      <w:r>
        <w:rPr>
          <w:noProof/>
        </w:rPr>
        <w:tab/>
        <w:t>După evaluarea candidaturilor conform criteriilor, juriul convine asupra unei liste restrânse de orașe candidate și întocmește un raport de preselecție pentru toate candidaturile, furnizând printre altele recomandări în atenția orașelor candidate preselecționate.</w:t>
      </w:r>
    </w:p>
    <w:p>
      <w:pPr>
        <w:rPr>
          <w:noProof/>
        </w:rPr>
      </w:pPr>
      <w:r>
        <w:rPr>
          <w:noProof/>
        </w:rPr>
        <w:t>(3)</w:t>
      </w:r>
      <w:r>
        <w:rPr>
          <w:noProof/>
        </w:rPr>
        <w:tab/>
        <w:t>Juriul prezintă raportul de preselecție statelor membre în cauză și Comisiei.</w:t>
      </w:r>
    </w:p>
    <w:p>
      <w:pPr>
        <w:rPr>
          <w:noProof/>
        </w:rPr>
      </w:pPr>
      <w:r>
        <w:rPr>
          <w:noProof/>
        </w:rPr>
        <w:t>(4)</w:t>
      </w:r>
      <w:r>
        <w:rPr>
          <w:noProof/>
        </w:rPr>
        <w:tab/>
        <w:t>Fiecare stat membru în cauză aprobă în mod oficial candidaturile preselecționate, pe baza raportului juriului.</w:t>
      </w:r>
    </w:p>
    <w:p>
      <w:pPr>
        <w:pStyle w:val="Titrearticle"/>
        <w:rPr>
          <w:noProof/>
        </w:rPr>
      </w:pPr>
      <w:r>
        <w:rPr>
          <w:noProof/>
        </w:rPr>
        <w:t>Articolul 9</w:t>
      </w:r>
    </w:p>
    <w:p>
      <w:pPr>
        <w:pStyle w:val="Titrearticle"/>
        <w:rPr>
          <w:b/>
          <w:bCs/>
          <w:i w:val="0"/>
          <w:iCs/>
          <w:noProof/>
        </w:rPr>
      </w:pPr>
      <w:r>
        <w:rPr>
          <w:b/>
          <w:i w:val="0"/>
          <w:noProof/>
        </w:rPr>
        <w:t>Selecția în statele membre</w:t>
      </w:r>
    </w:p>
    <w:p>
      <w:pPr>
        <w:rPr>
          <w:noProof/>
        </w:rPr>
      </w:pPr>
      <w:r>
        <w:rPr>
          <w:noProof/>
        </w:rPr>
        <w:t>(1)</w:t>
      </w:r>
      <w:r>
        <w:rPr>
          <w:noProof/>
        </w:rPr>
        <w:tab/>
        <w:t>Pe baza recomandărilor cuprinse în raportul de preselecție, orașele candidate preselecționate își completează și își revizuiesc candidaturile astfel încât să respecte criteriile. Acestea le prezintă statului membru în cauză, care, la rândul său, le transmite Comisiei.</w:t>
      </w:r>
    </w:p>
    <w:p>
      <w:pPr>
        <w:rPr>
          <w:noProof/>
        </w:rPr>
      </w:pPr>
      <w:r>
        <w:rPr>
          <w:noProof/>
        </w:rPr>
        <w:t>(2)</w:t>
      </w:r>
      <w:r>
        <w:rPr>
          <w:noProof/>
        </w:rPr>
        <w:tab/>
        <w:t xml:space="preserve">Fiecare stat membru în cauză convoacă juriul pentru o reuniune de selecție cu orașele candidate preselecționate, în termen de cel mult nouă luni după reuniunea de preselecție. </w:t>
      </w:r>
    </w:p>
    <w:p>
      <w:pPr>
        <w:rPr>
          <w:noProof/>
        </w:rPr>
      </w:pPr>
      <w:r>
        <w:rPr>
          <w:noProof/>
        </w:rPr>
        <w:t>Dacă este necesar, în consultare cu Comisia, statul membru în cauză poate prelungi termenul de nouă luni cu o perioadă rezonabilă.</w:t>
      </w:r>
    </w:p>
    <w:p>
      <w:pPr>
        <w:rPr>
          <w:noProof/>
        </w:rPr>
      </w:pPr>
      <w:r>
        <w:rPr>
          <w:noProof/>
        </w:rPr>
        <w:t>(3)</w:t>
      </w:r>
      <w:r>
        <w:rPr>
          <w:noProof/>
        </w:rPr>
        <w:tab/>
        <w:t>Juriul evaluează candidaturile completate și revizuite.</w:t>
      </w:r>
    </w:p>
    <w:p>
      <w:pPr>
        <w:rPr>
          <w:noProof/>
        </w:rPr>
      </w:pPr>
      <w:r>
        <w:rPr>
          <w:noProof/>
        </w:rPr>
        <w:t>(4)</w:t>
      </w:r>
      <w:r>
        <w:rPr>
          <w:noProof/>
        </w:rPr>
        <w:tab/>
        <w:t xml:space="preserve">Juriul întocmește un raport de selecție privind candidaturile orașelor candidate preselecționate, precum și o recomandare pentru desemnarea unui singur oraș din statul membru în cauză. </w:t>
      </w:r>
    </w:p>
    <w:p>
      <w:pPr>
        <w:rPr>
          <w:noProof/>
        </w:rPr>
      </w:pPr>
      <w:r>
        <w:rPr>
          <w:noProof/>
        </w:rPr>
        <w:t xml:space="preserve">Raportul de selecție conține, de asemenea, recomandări adresate orașului câștigător cu privire la progresele care trebuie realizate până în anul pentru care este acordat titlul. </w:t>
      </w:r>
    </w:p>
    <w:p>
      <w:pPr>
        <w:rPr>
          <w:noProof/>
        </w:rPr>
      </w:pPr>
      <w:r>
        <w:rPr>
          <w:noProof/>
        </w:rPr>
        <w:t>Juriul prezintă raportul de selecție statului membru în cauză și Comisiei.</w:t>
      </w:r>
    </w:p>
    <w:p>
      <w:pPr>
        <w:rPr>
          <w:noProof/>
        </w:rPr>
      </w:pPr>
      <w:r>
        <w:rPr>
          <w:noProof/>
        </w:rPr>
        <w:t>(5)</w:t>
      </w:r>
      <w:r>
        <w:rPr>
          <w:noProof/>
        </w:rPr>
        <w:tab/>
        <w:t>Fără a aduce atingere alineatului (4), în cazul în care niciunul dintre orașele candidate nu îndeplinește toate criteriile, juriul poate recomanda neacordarea titlului în anul respectiv.</w:t>
      </w:r>
    </w:p>
    <w:p>
      <w:pPr>
        <w:pStyle w:val="Titrearticle"/>
        <w:rPr>
          <w:noProof/>
        </w:rPr>
      </w:pPr>
      <w:r>
        <w:rPr>
          <w:noProof/>
        </w:rPr>
        <w:t>Articolul 10</w:t>
      </w:r>
    </w:p>
    <w:p>
      <w:pPr>
        <w:pStyle w:val="Titrearticle"/>
        <w:rPr>
          <w:b/>
          <w:bCs/>
          <w:i w:val="0"/>
          <w:iCs/>
          <w:noProof/>
        </w:rPr>
      </w:pPr>
      <w:r>
        <w:rPr>
          <w:b/>
          <w:i w:val="0"/>
          <w:noProof/>
        </w:rPr>
        <w:t>Dispoziție referitoare la țările AELS/SEE, țările candidate sau potențial candidate la aderarea la UE și țările terțe asociate componentei „Europa creativă – Cultură” a programului AgoraEU sau programelor ulterioare de sprijinire a culturii ale Uniunii</w:t>
      </w:r>
    </w:p>
    <w:p>
      <w:pPr>
        <w:rPr>
          <w:noProof/>
        </w:rPr>
      </w:pPr>
      <w:r>
        <w:rPr>
          <w:noProof/>
        </w:rPr>
        <w:t>(1)</w:t>
      </w:r>
      <w:r>
        <w:rPr>
          <w:noProof/>
        </w:rPr>
        <w:tab/>
        <w:t>Comisia este responsabilă de organizarea competiției dintre orașele din țările AELS/SEE, din țările candidate sau potențial candidate la aderarea la UE și din țările terțe asociate componentei „Europa creativă – Cultură” a programului AgoraEU sau programelor ulterioare de sprijinire a culturii ale Uniunii (denumite în continuare „competiții pentru țări terțe”).</w:t>
      </w:r>
    </w:p>
    <w:p>
      <w:pPr>
        <w:rPr>
          <w:noProof/>
        </w:rPr>
      </w:pPr>
      <w:r>
        <w:rPr>
          <w:noProof/>
        </w:rPr>
        <w:t>(2)</w:t>
      </w:r>
      <w:r>
        <w:rPr>
          <w:noProof/>
        </w:rPr>
        <w:tab/>
        <w:t xml:space="preserve">Comisia publică în </w:t>
      </w:r>
      <w:r>
        <w:rPr>
          <w:i/>
          <w:noProof/>
        </w:rPr>
        <w:t>Jurnalul Oficial al Uniunii Europene</w:t>
      </w:r>
      <w:r>
        <w:rPr>
          <w:noProof/>
        </w:rPr>
        <w:t xml:space="preserve"> un apel pentru depunerea candidaturilor, cel puțin cu șase ani înaintea anului pentru care este acordat titlul. Fiecare apel pentru depunerea candidaturilor cuprinde formularul de candidatură menționat la articolul 4 alineatul (1). Termenul pentru depunerea candidaturilor în cadrul fiecărui apel pentru depunerea candidaturilor se stabilește la cel puțin zece luni de la data publicării sale.</w:t>
      </w:r>
    </w:p>
    <w:p>
      <w:pPr>
        <w:rPr>
          <w:noProof/>
        </w:rPr>
      </w:pPr>
      <w:r>
        <w:rPr>
          <w:noProof/>
        </w:rPr>
        <w:t>(3)</w:t>
      </w:r>
      <w:r>
        <w:rPr>
          <w:noProof/>
        </w:rPr>
        <w:tab/>
        <w:t xml:space="preserve">Preselecția orașelor este efectuată de juriu cel puțin cu cinci ani înaintea anului pentru care este acordat titlul, pe baza candidaturilor acestora. Nu se organizează nicio reuniune cu orașele candidate. </w:t>
      </w:r>
    </w:p>
    <w:p>
      <w:pPr>
        <w:rPr>
          <w:noProof/>
        </w:rPr>
      </w:pPr>
      <w:r>
        <w:rPr>
          <w:noProof/>
        </w:rPr>
        <w:t>După evaluarea candidaturilor conform criteriilor, juriul convine asupra unei liste restrânse de orașe candidate și întocmește un raport de preselecție pentru toate candidaturile, furnizând printre altele recomandări în atenția orașelor candidate preselecționate. Juriul transmite Comisiei raportul de preselecție.</w:t>
      </w:r>
    </w:p>
    <w:p>
      <w:pPr>
        <w:rPr>
          <w:noProof/>
        </w:rPr>
      </w:pPr>
      <w:r>
        <w:rPr>
          <w:noProof/>
        </w:rPr>
        <w:t>(4)</w:t>
      </w:r>
      <w:r>
        <w:rPr>
          <w:noProof/>
        </w:rPr>
        <w:tab/>
        <w:t xml:space="preserve">Orașele candidate preselecționate își completează și își revizuiesc candidaturile astfel încât să respecte criteriile, luând în considerare recomandările cuprinse în raportul de preselecție și le înaintează Comisiei. </w:t>
      </w:r>
    </w:p>
    <w:p>
      <w:pPr>
        <w:rPr>
          <w:noProof/>
        </w:rPr>
      </w:pPr>
      <w:r>
        <w:rPr>
          <w:noProof/>
        </w:rPr>
        <w:t xml:space="preserve">Comisia convoacă juriul pentru o reuniune de selecție cu orașele candidate preselecționate, în termen de cel mult nouă luni după reuniunea de preselecție. </w:t>
      </w:r>
    </w:p>
    <w:p>
      <w:pPr>
        <w:rPr>
          <w:noProof/>
        </w:rPr>
      </w:pPr>
      <w:r>
        <w:rPr>
          <w:noProof/>
        </w:rPr>
        <w:t>Dacă este necesar, Comisia poate prelungi termenul de nouă luni cu o perioadă rezonabilă.</w:t>
      </w:r>
    </w:p>
    <w:p>
      <w:pPr>
        <w:rPr>
          <w:noProof/>
        </w:rPr>
      </w:pPr>
      <w:r>
        <w:rPr>
          <w:noProof/>
        </w:rPr>
        <w:t>(5)</w:t>
      </w:r>
      <w:r>
        <w:rPr>
          <w:noProof/>
        </w:rPr>
        <w:tab/>
        <w:t>Juriul evaluează candidaturile completate și revizuite.</w:t>
      </w:r>
    </w:p>
    <w:p>
      <w:pPr>
        <w:rPr>
          <w:noProof/>
        </w:rPr>
      </w:pPr>
      <w:r>
        <w:rPr>
          <w:noProof/>
        </w:rPr>
        <w:t>(6)</w:t>
      </w:r>
      <w:r>
        <w:rPr>
          <w:noProof/>
        </w:rPr>
        <w:tab/>
        <w:t xml:space="preserve">Juriul întocmește un raport de selecție privind candidaturile orașelor candidate preselecționate, precum și o recomandare pentru desemnarea unui singur oraș dintr-o țară AELS/SEE, dintr-o țară candidată ori potențial candidată la aderarea la UE sau dintr-o țară terță asociată componentei „Europa creativă – Cultură” a programului AgoraEU sau programelor ulterioare de sprijinire a culturii ale Uniunii. </w:t>
      </w:r>
    </w:p>
    <w:p>
      <w:pPr>
        <w:rPr>
          <w:noProof/>
        </w:rPr>
      </w:pPr>
      <w:r>
        <w:rPr>
          <w:noProof/>
        </w:rPr>
        <w:t xml:space="preserve">Raportul de selecție conține, de asemenea, recomandări adresate orașului în cauză cu privire la progresele care trebuie realizate înainte de anul pentru care este acordat titlul. </w:t>
      </w:r>
    </w:p>
    <w:p>
      <w:pPr>
        <w:rPr>
          <w:noProof/>
        </w:rPr>
      </w:pPr>
      <w:r>
        <w:rPr>
          <w:noProof/>
        </w:rPr>
        <w:t>Juriul transmite Comisiei raportul de selecție.</w:t>
      </w:r>
    </w:p>
    <w:p>
      <w:pPr>
        <w:rPr>
          <w:noProof/>
        </w:rPr>
      </w:pPr>
      <w:r>
        <w:rPr>
          <w:noProof/>
        </w:rPr>
        <w:t>(7)</w:t>
      </w:r>
      <w:r>
        <w:rPr>
          <w:noProof/>
        </w:rPr>
        <w:tab/>
        <w:t>Fără a aduce atingere alineatului (6), în cazul în care niciunul dintre orașele candidate nu îndeplinește toate criteriile, juriul poate recomanda neacordarea titlului în anul respectiv.</w:t>
      </w:r>
    </w:p>
    <w:p>
      <w:pPr>
        <w:pStyle w:val="Titrearticle"/>
        <w:rPr>
          <w:noProof/>
        </w:rPr>
      </w:pPr>
      <w:r>
        <w:rPr>
          <w:noProof/>
        </w:rPr>
        <w:t>Articolul 11</w:t>
      </w:r>
    </w:p>
    <w:p>
      <w:pPr>
        <w:pStyle w:val="Titrearticle"/>
        <w:rPr>
          <w:b/>
          <w:bCs/>
          <w:i w:val="0"/>
          <w:iCs/>
          <w:noProof/>
        </w:rPr>
      </w:pPr>
      <w:r>
        <w:rPr>
          <w:b/>
          <w:i w:val="0"/>
          <w:noProof/>
        </w:rPr>
        <w:t>Nominalizarea</w:t>
      </w:r>
    </w:p>
    <w:p>
      <w:pPr>
        <w:rPr>
          <w:noProof/>
        </w:rPr>
      </w:pPr>
      <w:r>
        <w:rPr>
          <w:noProof/>
        </w:rPr>
        <w:t>(1)</w:t>
      </w:r>
      <w:r>
        <w:rPr>
          <w:noProof/>
        </w:rPr>
        <w:tab/>
        <w:t xml:space="preserve">Fiecare stat membru în cauză nominalizează un oraș destinat să dețină titlul, pe baza recomandărilor cuprinse în raportul de selecție al juriului, și notifică în acest sens Parlamentul European, Consiliul, Comisia, Comitetul Economic și Social European și Comitetul Regiunilor, în termen de cel mult patru ani înaintea anului pentru care este acordat titlul. </w:t>
      </w:r>
    </w:p>
    <w:p>
      <w:pPr>
        <w:rPr>
          <w:noProof/>
        </w:rPr>
      </w:pPr>
      <w:r>
        <w:rPr>
          <w:noProof/>
        </w:rPr>
        <w:t>(2)</w:t>
      </w:r>
      <w:r>
        <w:rPr>
          <w:noProof/>
        </w:rPr>
        <w:tab/>
        <w:t>În cazul țărilor AELS/SEE, al țărilor candidate ori potențial candidate la aderarea la UE sau al țărilor terțe asociate componentei „Europa creativă – Cultură” a programului AgoraEU sau programelor ulterioare de sprijinire a culturii ale Uniunii, Comisia nominalizează un oraș destinat să dețină titlul în anii respectivi, pe baza recomandărilor cuprinse în raportul de selecție al juriului. Comisia notifică în acest sens Parlamentul European, Consiliul, Comitetul Economic și Social European și Comitetul Regiunilor, în termen de cel mult patru ani înaintea anului pentru care este acordat titlul.</w:t>
      </w:r>
    </w:p>
    <w:p>
      <w:pPr>
        <w:rPr>
          <w:noProof/>
        </w:rPr>
      </w:pPr>
      <w:r>
        <w:rPr>
          <w:noProof/>
        </w:rPr>
        <w:t>(3)</w:t>
      </w:r>
      <w:r>
        <w:rPr>
          <w:noProof/>
        </w:rPr>
        <w:tab/>
        <w:t>Nominalizările menționate la alineatele (1) și (2) sunt însoțite de o justificare pe baza rapoartelor juriului.</w:t>
      </w:r>
    </w:p>
    <w:p>
      <w:pPr>
        <w:rPr>
          <w:noProof/>
        </w:rPr>
      </w:pPr>
      <w:r>
        <w:rPr>
          <w:noProof/>
        </w:rPr>
        <w:t>(4)</w:t>
      </w:r>
      <w:r>
        <w:rPr>
          <w:noProof/>
        </w:rPr>
        <w:tab/>
        <w:t>În cazul în care un oraș implică zona sa limitrofă, nominalizarea se aplică orașului.</w:t>
      </w:r>
    </w:p>
    <w:p>
      <w:pPr>
        <w:rPr>
          <w:noProof/>
        </w:rPr>
      </w:pPr>
      <w:r>
        <w:rPr>
          <w:noProof/>
        </w:rPr>
        <w:t>(5)</w:t>
      </w:r>
      <w:r>
        <w:rPr>
          <w:noProof/>
        </w:rPr>
        <w:tab/>
        <w:t xml:space="preserve">În termen de două luni de la notificarea nominalizărilor, Comisia publică lista orașelor nominalizate drept CEC în </w:t>
      </w:r>
      <w:r>
        <w:rPr>
          <w:i/>
          <w:noProof/>
        </w:rPr>
        <w:t>Jurnalul Oficial al Uniunii Europene</w:t>
      </w:r>
      <w:r>
        <w:rPr>
          <w:noProof/>
        </w:rPr>
        <w:t>, seria C.</w:t>
      </w:r>
    </w:p>
    <w:p>
      <w:pPr>
        <w:pStyle w:val="Titrearticle"/>
        <w:rPr>
          <w:noProof/>
        </w:rPr>
      </w:pPr>
      <w:r>
        <w:rPr>
          <w:noProof/>
        </w:rPr>
        <w:t>Articolul 12</w:t>
      </w:r>
    </w:p>
    <w:p>
      <w:pPr>
        <w:pStyle w:val="Titrearticle"/>
        <w:rPr>
          <w:b/>
          <w:bCs/>
          <w:i w:val="0"/>
          <w:iCs/>
          <w:noProof/>
        </w:rPr>
      </w:pPr>
      <w:r>
        <w:rPr>
          <w:b/>
          <w:i w:val="0"/>
          <w:noProof/>
        </w:rPr>
        <w:t>Cooperarea între orașele nominalizate</w:t>
      </w:r>
    </w:p>
    <w:p>
      <w:pPr>
        <w:rPr>
          <w:noProof/>
        </w:rPr>
      </w:pPr>
      <w:r>
        <w:rPr>
          <w:noProof/>
        </w:rPr>
        <w:t>Orașele nominalizate pentru același an, anul anterior și anul următor urmăresc să dezvolte legături între programele lor culturale, o astfel de cooperare putând fi luată în considerare în cadrul procedurii de monitorizare prevăzute la articolul 13.</w:t>
      </w:r>
    </w:p>
    <w:p>
      <w:pPr>
        <w:pStyle w:val="Titrearticle"/>
        <w:rPr>
          <w:noProof/>
        </w:rPr>
      </w:pPr>
      <w:r>
        <w:rPr>
          <w:noProof/>
        </w:rPr>
        <w:t>Articolul 13</w:t>
      </w:r>
    </w:p>
    <w:p>
      <w:pPr>
        <w:pStyle w:val="Titrearticle"/>
        <w:rPr>
          <w:b/>
          <w:bCs/>
          <w:i w:val="0"/>
          <w:iCs/>
          <w:noProof/>
        </w:rPr>
      </w:pPr>
      <w:r>
        <w:rPr>
          <w:b/>
          <w:i w:val="0"/>
          <w:noProof/>
        </w:rPr>
        <w:t>Monitorizarea</w:t>
      </w:r>
    </w:p>
    <w:p>
      <w:pPr>
        <w:rPr>
          <w:noProof/>
        </w:rPr>
      </w:pPr>
      <w:r>
        <w:rPr>
          <w:noProof/>
        </w:rPr>
        <w:t>(1)</w:t>
      </w:r>
      <w:r>
        <w:rPr>
          <w:noProof/>
        </w:rPr>
        <w:tab/>
        <w:t>Juriul monitorizează pregătirea orașelor nominalizate pentru anul pentru care este acordat titlul, furnizând acestora sprijin și orientări din momentul nominalizării lor până la sfârșitul anului pentru care este acordat titlul.</w:t>
      </w:r>
    </w:p>
    <w:p>
      <w:pPr>
        <w:rPr>
          <w:noProof/>
        </w:rPr>
      </w:pPr>
      <w:r>
        <w:rPr>
          <w:noProof/>
        </w:rPr>
        <w:t>(2)</w:t>
      </w:r>
      <w:r>
        <w:rPr>
          <w:noProof/>
        </w:rPr>
        <w:tab/>
        <w:t>În acest scop, Comisia convoacă patru reuniuni de monitorizare la care participă juriul și orașele nominalizate, în mod ideal:   </w:t>
      </w:r>
    </w:p>
    <w:p>
      <w:pPr>
        <w:ind w:firstLine="720"/>
        <w:rPr>
          <w:noProof/>
        </w:rPr>
      </w:pPr>
      <w:r>
        <w:rPr>
          <w:noProof/>
        </w:rPr>
        <w:t>(a) după șase-nouă luni de la nominalizarea orașului;   </w:t>
      </w:r>
    </w:p>
    <w:p>
      <w:pPr>
        <w:ind w:firstLine="720"/>
        <w:rPr>
          <w:noProof/>
        </w:rPr>
      </w:pPr>
      <w:r>
        <w:rPr>
          <w:noProof/>
        </w:rPr>
        <w:t>(b) cu 18 luni înaintea anului pentru care este acordat titlul;   </w:t>
      </w:r>
    </w:p>
    <w:p>
      <w:pPr>
        <w:ind w:firstLine="720"/>
        <w:rPr>
          <w:noProof/>
        </w:rPr>
      </w:pPr>
      <w:r>
        <w:rPr>
          <w:noProof/>
        </w:rPr>
        <w:t>(c) cu șase luni înaintea anului pentru care este acordat titlul;</w:t>
      </w:r>
    </w:p>
    <w:p>
      <w:pPr>
        <w:ind w:firstLine="720"/>
        <w:rPr>
          <w:noProof/>
        </w:rPr>
      </w:pPr>
      <w:r>
        <w:rPr>
          <w:noProof/>
        </w:rPr>
        <w:t>(d) la un an după anul pentru care este acordat titlul;</w:t>
      </w:r>
    </w:p>
    <w:p>
      <w:pPr>
        <w:rPr>
          <w:noProof/>
        </w:rPr>
      </w:pPr>
      <w:r>
        <w:rPr>
          <w:noProof/>
        </w:rPr>
        <w:t>Statul membru respectiv sau țara AELS/SEE, țara candidată ori potențial candidată sau țara terță asociată componentei „Europa creativă – Cultură” a programului AgoraEU sau programelor ulterioare de sprijinire a culturii ale Uniunii poate desemna un observator care să participe la reuniunile respective.</w:t>
      </w:r>
    </w:p>
    <w:p>
      <w:pPr>
        <w:rPr>
          <w:noProof/>
        </w:rPr>
      </w:pPr>
      <w:r>
        <w:rPr>
          <w:noProof/>
        </w:rPr>
        <w:t>Cu două săptămâni înainte de fiecare reuniune de monitorizare, orașele nominalizate transmit Comisiei rapoarte privind progresele înregistrate.</w:t>
      </w:r>
    </w:p>
    <w:p>
      <w:pPr>
        <w:rPr>
          <w:noProof/>
        </w:rPr>
      </w:pPr>
      <w:r>
        <w:rPr>
          <w:noProof/>
        </w:rPr>
        <w:t>În timpul reuniunilor de monitorizare, juriul evaluează pregătirile și planificarea activităților ulterioare și oferă consiliere cu scopul de a ajuta orașele nominalizate să dezvolte un program cultural de înaltă calitate cu o puternică dimensiune europeană și o strategie eficace pentru atingerea acestui obiectiv. Juriul acordă o atenție deosebită recomandărilor stabilite în raportul de selecție și în rapoartele de monitorizare precedente menționate la alineatul (3).</w:t>
      </w:r>
    </w:p>
    <w:p>
      <w:pPr>
        <w:rPr>
          <w:noProof/>
        </w:rPr>
      </w:pPr>
      <w:r>
        <w:rPr>
          <w:noProof/>
        </w:rPr>
        <w:t>(3)</w:t>
      </w:r>
      <w:r>
        <w:rPr>
          <w:noProof/>
        </w:rPr>
        <w:tab/>
        <w:t xml:space="preserve">După fiecare reuniune de monitorizare, juriul întocmește un raport de monitorizare a stadiului pregătirilor, a planificării activităților ulterioare și a potențialelor măsuri de luat. </w:t>
      </w:r>
    </w:p>
    <w:p>
      <w:pPr>
        <w:rPr>
          <w:noProof/>
        </w:rPr>
      </w:pPr>
      <w:r>
        <w:rPr>
          <w:noProof/>
        </w:rPr>
        <w:t xml:space="preserve">Juriul transmite Comisiei rapoartele de monitorizare. În cazul competițiilor din statele membre, Comisia transmite rapoartele statului membru respectiv, care, la rândul său, le transmite orașelor nominalizate. În cazul competițiilor pentru țări terțe, Comisia transmite aceste rapoarte de monitorizare direct orașelor nominalizate.  </w:t>
      </w:r>
    </w:p>
    <w:p>
      <w:pPr>
        <w:rPr>
          <w:noProof/>
        </w:rPr>
      </w:pPr>
      <w:r>
        <w:rPr>
          <w:noProof/>
        </w:rPr>
        <w:t>(4)</w:t>
      </w:r>
      <w:r>
        <w:rPr>
          <w:noProof/>
        </w:rPr>
        <w:tab/>
        <w:t>Pe lângă reuniunile de monitorizare, Comisia poate organiza vizite ale juriului în orașele nominalizate ori de câte ori este necesar. Dacă este necesar, aceste vizite pot fi efectuate virtual.</w:t>
      </w:r>
    </w:p>
    <w:p>
      <w:pPr>
        <w:pStyle w:val="Titrearticle"/>
        <w:rPr>
          <w:noProof/>
        </w:rPr>
      </w:pPr>
      <w:r>
        <w:rPr>
          <w:noProof/>
        </w:rPr>
        <w:t>Articolul 14</w:t>
      </w:r>
    </w:p>
    <w:p>
      <w:pPr>
        <w:pStyle w:val="Titrearticle"/>
        <w:rPr>
          <w:b/>
          <w:bCs/>
          <w:i w:val="0"/>
          <w:iCs/>
          <w:noProof/>
        </w:rPr>
      </w:pPr>
      <w:r>
        <w:rPr>
          <w:b/>
          <w:i w:val="0"/>
          <w:noProof/>
        </w:rPr>
        <w:t>Retragerea titlului</w:t>
      </w:r>
    </w:p>
    <w:p>
      <w:pPr>
        <w:rPr>
          <w:noProof/>
        </w:rPr>
      </w:pPr>
      <w:r>
        <w:rPr>
          <w:noProof/>
        </w:rPr>
        <w:t>(1)</w:t>
      </w:r>
      <w:r>
        <w:rPr>
          <w:noProof/>
        </w:rPr>
        <w:tab/>
        <w:t>În cazul în care, în urma unei reuniuni de monitorizare sau a oricărei vizite suplimentare, astfel cum se prevede la articolul 13 alineatul (4), juriul stabilește că un oraș deținător al titlului nu a reușit în mod substanțial: (i) să îndeplinească criteriile pe baza cărora a fost nominalizat sau (ii) să respecte proiectul și planul de lucru prezentate în candidatura sa, acesta inițiază un dialog cu statul membru în cauză prin intermediul Comisiei, în vederea facilitării ajustărilor necesare.</w:t>
      </w:r>
    </w:p>
    <w:p>
      <w:pPr>
        <w:rPr>
          <w:noProof/>
        </w:rPr>
      </w:pPr>
      <w:r>
        <w:rPr>
          <w:noProof/>
        </w:rPr>
        <w:t>(2)</w:t>
      </w:r>
      <w:r>
        <w:rPr>
          <w:noProof/>
        </w:rPr>
        <w:tab/>
        <w:t>În cazul în care ajustările necesare nu au fost efectuate în timp util, juriul notifică Comisia în acest sens. Notificarea este însoțită de o prezentare a motivelor și include recomandări practice referitoare la ameliorarea situației.</w:t>
      </w:r>
    </w:p>
    <w:p>
      <w:pPr>
        <w:rPr>
          <w:noProof/>
        </w:rPr>
      </w:pPr>
      <w:r>
        <w:rPr>
          <w:noProof/>
        </w:rPr>
        <w:t>(3)</w:t>
      </w:r>
      <w:r>
        <w:rPr>
          <w:noProof/>
        </w:rPr>
        <w:tab/>
        <w:t>În cazul în care recomandările practice nu au fost puse în aplicare în timp util, juriul emite un aviz către Comisie în vederea retragerii titlului orașului în cauză.</w:t>
      </w:r>
    </w:p>
    <w:p>
      <w:pPr>
        <w:rPr>
          <w:noProof/>
        </w:rPr>
      </w:pPr>
      <w:r>
        <w:rPr>
          <w:noProof/>
        </w:rPr>
        <w:t>(4)</w:t>
      </w:r>
      <w:r>
        <w:rPr>
          <w:noProof/>
        </w:rPr>
        <w:tab/>
        <w:t>În cazul unui oraș dintr-un stat membru, Comisia solicită statului membru să retragă titlul, ținând seama în mod corespunzător de avizul menționat la alineatul (3). Statul membru informează Parlamentul European, Consiliul, Comitetul Economic și Social European și Comitetul Regiunilor cu privire la motivele retragerii titlului.</w:t>
      </w:r>
    </w:p>
    <w:p>
      <w:pPr>
        <w:rPr>
          <w:noProof/>
        </w:rPr>
      </w:pPr>
      <w:r>
        <w:rPr>
          <w:noProof/>
        </w:rPr>
        <w:t>(5)</w:t>
      </w:r>
      <w:r>
        <w:rPr>
          <w:noProof/>
        </w:rPr>
        <w:tab/>
        <w:t>În cazul unui oraș dintr-o țară AELS/SEE, dintr-o țară candidată ori potențial candidată la aderarea la UE sau dintr-o țară terță asociată componentei „Europa creativă – Cultură” a programului AgoraEU sau programelor ulterioare de sprijinire a culturii ale Uniunii, Comisia adoptă decizia de retragere a titlului ținând seama în mod corespunzător de avizul menționat la alineatul (3). Comisia informează Parlamentul European, Consiliul, Comitetul Economic și Social European și Comitetul Regiunilor cu privire la motivele retragerii titlului.</w:t>
      </w:r>
    </w:p>
    <w:p>
      <w:pPr>
        <w:pStyle w:val="Titrearticle"/>
        <w:rPr>
          <w:noProof/>
        </w:rPr>
      </w:pPr>
      <w:r>
        <w:rPr>
          <w:noProof/>
        </w:rPr>
        <w:t>Articolul 15</w:t>
      </w:r>
    </w:p>
    <w:p>
      <w:pPr>
        <w:pStyle w:val="Titrearticle"/>
        <w:rPr>
          <w:b/>
          <w:bCs/>
          <w:i w:val="0"/>
          <w:iCs/>
          <w:noProof/>
        </w:rPr>
      </w:pPr>
      <w:r>
        <w:rPr>
          <w:b/>
          <w:i w:val="0"/>
          <w:noProof/>
        </w:rPr>
        <w:t>Premiul</w:t>
      </w:r>
    </w:p>
    <w:p>
      <w:pPr>
        <w:rPr>
          <w:noProof/>
        </w:rPr>
      </w:pPr>
      <w:r>
        <w:rPr>
          <w:noProof/>
        </w:rPr>
        <w:t>(1)</w:t>
      </w:r>
      <w:r>
        <w:rPr>
          <w:noProof/>
        </w:rPr>
        <w:tab/>
        <w:t>Comisia poate acorda orașelor nominalizate un premiu sub forma unei sume de bani în onoarea Melinei Mercouri (denumit în continuare „premiul”), sub rezerva disponibilității finanțării în temeiul cadrului financiar aplicabil.</w:t>
      </w:r>
    </w:p>
    <w:p>
      <w:pPr>
        <w:rPr>
          <w:noProof/>
        </w:rPr>
      </w:pPr>
      <w:r>
        <w:rPr>
          <w:noProof/>
        </w:rPr>
        <w:t>Premiul este acordat în conformitate cu normele care reglementează programele aplicabile de sprijinire a culturii ale Uniunii.</w:t>
      </w:r>
    </w:p>
    <w:p>
      <w:pPr>
        <w:rPr>
          <w:noProof/>
        </w:rPr>
      </w:pPr>
      <w:r>
        <w:rPr>
          <w:noProof/>
        </w:rPr>
        <w:t>(2)</w:t>
      </w:r>
      <w:r>
        <w:rPr>
          <w:noProof/>
        </w:rPr>
        <w:tab/>
        <w:t>Două treimi din contravaloarea premiului se achită până la sfârșitul lunii martie a anului pentru care este acordat titlul, cu condiția ca orașul nominalizat să respecte în continuare angajamentele asumate în stadiul depunerii candidaturii, să se conformeze criteriilor și să țină seama de recomandările cuprinse în rapoartele de selecție și de monitorizare.</w:t>
      </w:r>
    </w:p>
    <w:p>
      <w:pPr>
        <w:rPr>
          <w:noProof/>
        </w:rPr>
      </w:pPr>
      <w:r>
        <w:rPr>
          <w:noProof/>
        </w:rPr>
        <w:t>Se consideră că orașul nominalizat și-a respectat angajamentele asumate în etapa depunerii candidaturii dacă nu s-a operat nicio modificare substanțială a programului și a strategiei în perioada cuprinsă între etapa de depunere a candidaturii și anul pentru care se acordă titlul, mai exact dacă: </w:t>
      </w:r>
    </w:p>
    <w:p>
      <w:pPr>
        <w:ind w:left="360"/>
        <w:rPr>
          <w:noProof/>
        </w:rPr>
      </w:pPr>
      <w:r>
        <w:rPr>
          <w:noProof/>
        </w:rPr>
        <w:t>(a) bugetul a fost menținut la un nivel care permite asigurarea unui program cultural de înaltă calitate conform candidaturii și criteriilor;</w:t>
      </w:r>
    </w:p>
    <w:p>
      <w:pPr>
        <w:ind w:left="360"/>
        <w:rPr>
          <w:noProof/>
        </w:rPr>
      </w:pPr>
      <w:r>
        <w:rPr>
          <w:noProof/>
        </w:rPr>
        <w:t>(b) independența echipei artistice a fost respectată;</w:t>
      </w:r>
    </w:p>
    <w:p>
      <w:pPr>
        <w:ind w:left="360"/>
        <w:rPr>
          <w:noProof/>
        </w:rPr>
      </w:pPr>
      <w:r>
        <w:rPr>
          <w:noProof/>
        </w:rPr>
        <w:t>(c) dimensiunea europeană a rămas substanțială în versiunea finală a programului cultural;</w:t>
      </w:r>
    </w:p>
    <w:p>
      <w:pPr>
        <w:ind w:left="360"/>
        <w:rPr>
          <w:noProof/>
        </w:rPr>
      </w:pPr>
      <w:r>
        <w:rPr>
          <w:noProof/>
        </w:rPr>
        <w:t>(d) strategia de marketing și comunicare și materialele promoționale utilizate de către orașul nominalizate reflectă în mod clar faptul că acțiunea este o acțiune a Uniunii;</w:t>
      </w:r>
    </w:p>
    <w:p>
      <w:pPr>
        <w:ind w:left="360"/>
        <w:rPr>
          <w:noProof/>
        </w:rPr>
      </w:pPr>
      <w:r>
        <w:rPr>
          <w:noProof/>
        </w:rPr>
        <w:t>(e) sunt prevăzute planuri de monitorizare și de evaluare a impactului titlului asupra orașului nominalizat.</w:t>
      </w:r>
    </w:p>
    <w:p>
      <w:pPr>
        <w:rPr>
          <w:noProof/>
        </w:rPr>
      </w:pPr>
      <w:r>
        <w:rPr>
          <w:noProof/>
        </w:rPr>
        <w:t>(3)</w:t>
      </w:r>
      <w:r>
        <w:rPr>
          <w:noProof/>
        </w:rPr>
        <w:tab/>
        <w:t>Restul premiului în bani se plătește în termen de cel mult 24 de luni de la prima plată, cu condiția ca orașul nominalizat în cauză să dispună de planuri solide pentru activitățile ulterioare anului pentru care este acordat titlul, în special:</w:t>
      </w:r>
    </w:p>
    <w:p>
      <w:pPr>
        <w:ind w:left="360"/>
        <w:rPr>
          <w:noProof/>
        </w:rPr>
      </w:pPr>
      <w:r>
        <w:rPr>
          <w:noProof/>
        </w:rPr>
        <w:t>(a) un buget dedicat activităților ulterioare anului pentru care este acordat titlul;</w:t>
      </w:r>
    </w:p>
    <w:p>
      <w:pPr>
        <w:ind w:left="360"/>
        <w:rPr>
          <w:noProof/>
        </w:rPr>
      </w:pPr>
      <w:r>
        <w:rPr>
          <w:noProof/>
        </w:rPr>
        <w:t>(b) un program artistic ulterior cu o dimensiune europeană;</w:t>
      </w:r>
    </w:p>
    <w:p>
      <w:pPr>
        <w:ind w:left="360"/>
        <w:rPr>
          <w:noProof/>
        </w:rPr>
      </w:pPr>
      <w:r>
        <w:rPr>
          <w:noProof/>
        </w:rPr>
        <w:t>(c) strategii de marketing și comunicare care să scoată în evidență faptul că acțiunea reprezintă o acțiune a Uniunii.</w:t>
      </w:r>
    </w:p>
    <w:p>
      <w:pPr>
        <w:rPr>
          <w:noProof/>
        </w:rPr>
      </w:pPr>
      <w:r>
        <w:rPr>
          <w:noProof/>
        </w:rPr>
        <w:t>(4)</w:t>
      </w:r>
      <w:r>
        <w:rPr>
          <w:noProof/>
        </w:rPr>
        <w:tab/>
        <w:t>În cazul în care retragerea titlului prevăzută la articolul 14 are loc în cursul anului pentru care este acordat titlul, partea din premiu deja plătită este recuperată de Comisie.</w:t>
      </w:r>
    </w:p>
    <w:p>
      <w:pPr>
        <w:pStyle w:val="Titrearticle"/>
        <w:rPr>
          <w:noProof/>
        </w:rPr>
      </w:pPr>
      <w:r>
        <w:rPr>
          <w:noProof/>
        </w:rPr>
        <w:t>Articolul 16</w:t>
      </w:r>
    </w:p>
    <w:p>
      <w:pPr>
        <w:pStyle w:val="Titrearticle"/>
        <w:rPr>
          <w:b/>
          <w:bCs/>
          <w:i w:val="0"/>
          <w:iCs/>
          <w:noProof/>
        </w:rPr>
      </w:pPr>
      <w:r>
        <w:rPr>
          <w:b/>
          <w:i w:val="0"/>
          <w:noProof/>
        </w:rPr>
        <w:t>Măsuri practice</w:t>
      </w:r>
    </w:p>
    <w:p>
      <w:pPr>
        <w:rPr>
          <w:noProof/>
        </w:rPr>
      </w:pPr>
      <w:r>
        <w:rPr>
          <w:noProof/>
        </w:rPr>
        <w:t>(1)</w:t>
      </w:r>
      <w:r>
        <w:rPr>
          <w:noProof/>
        </w:rPr>
        <w:tab/>
        <w:t>Comisia urmărește în special:</w:t>
      </w:r>
    </w:p>
    <w:p>
      <w:pPr>
        <w:ind w:left="360"/>
        <w:rPr>
          <w:noProof/>
        </w:rPr>
      </w:pPr>
      <w:r>
        <w:rPr>
          <w:noProof/>
        </w:rPr>
        <w:t>(a) să asigure coerența de ansamblu a acțiunii și să ofere sprijinul necesar pentru CEC desemnate;</w:t>
      </w:r>
    </w:p>
    <w:p>
      <w:pPr>
        <w:ind w:left="360"/>
        <w:rPr>
          <w:noProof/>
        </w:rPr>
      </w:pPr>
      <w:r>
        <w:rPr>
          <w:noProof/>
        </w:rPr>
        <w:t>(b) să asigure coordonarea dintre statele membre și juriu;</w:t>
      </w:r>
    </w:p>
    <w:p>
      <w:pPr>
        <w:ind w:left="360"/>
        <w:rPr>
          <w:noProof/>
        </w:rPr>
      </w:pPr>
      <w:r>
        <w:rPr>
          <w:noProof/>
        </w:rPr>
        <w:t>(c) din perspectiva obiectivelor menționate la articolul 2 și a criteriilor menționate la articolul 5, să stabilească orientări pentru sprijinirea procedurilor de selecție și monitorizare - inclusiv dimensiunea europeană - în strânsă cooperare cu juriul;</w:t>
      </w:r>
    </w:p>
    <w:p>
      <w:pPr>
        <w:ind w:left="360"/>
        <w:rPr>
          <w:noProof/>
        </w:rPr>
      </w:pPr>
      <w:r>
        <w:rPr>
          <w:noProof/>
        </w:rPr>
        <w:t>(d) să ofere sprijin tehnic juriului;</w:t>
      </w:r>
    </w:p>
    <w:p>
      <w:pPr>
        <w:ind w:left="360"/>
        <w:rPr>
          <w:noProof/>
        </w:rPr>
      </w:pPr>
      <w:r>
        <w:rPr>
          <w:noProof/>
        </w:rPr>
        <w:t>(e) să publice toate rapoartele juriului pe site-ul său web.</w:t>
      </w:r>
    </w:p>
    <w:p>
      <w:pPr>
        <w:rPr>
          <w:noProof/>
        </w:rPr>
      </w:pPr>
      <w:r>
        <w:rPr>
          <w:noProof/>
        </w:rPr>
        <w:t>(2)</w:t>
      </w:r>
      <w:r>
        <w:rPr>
          <w:noProof/>
        </w:rPr>
        <w:tab/>
        <w:t>Comisia coordonează punerea în aplicare a activităților de sprijinire a acțiunii CEC, în special:</w:t>
      </w:r>
    </w:p>
    <w:p>
      <w:pPr>
        <w:ind w:left="360"/>
        <w:rPr>
          <w:noProof/>
        </w:rPr>
      </w:pPr>
      <w:r>
        <w:rPr>
          <w:noProof/>
        </w:rPr>
        <w:t>(a) face publice toate informațiile pertinente și contribuie la vizibilitatea acțiunii la nivel european și la nivel internațional;</w:t>
      </w:r>
    </w:p>
    <w:p>
      <w:pPr>
        <w:ind w:left="360"/>
        <w:rPr>
          <w:noProof/>
        </w:rPr>
      </w:pPr>
      <w:r>
        <w:rPr>
          <w:noProof/>
        </w:rPr>
        <w:t>(b) stimulează schimbul de experiență și de bune practici între precedentele, actualele și viitoarele orașe deținătoare ale titlului, precum și între orașele candidate și promovează diseminarea pe scară mai largă a rapoartelor de evaluare a orașelor și a concluziilor care se desprind din acestea;</w:t>
      </w:r>
    </w:p>
    <w:p>
      <w:pPr>
        <w:ind w:left="360"/>
        <w:rPr>
          <w:noProof/>
        </w:rPr>
      </w:pPr>
      <w:r>
        <w:rPr>
          <w:noProof/>
        </w:rPr>
        <w:t>(c) coordonează și sprijină o rețea de orașe CEC și oferă orașelor sprijin pentru pregătirea candidaturilor, punerea în aplicare a programelor acestora și valorificarea experienței lor de orașe nominalizate la titlu, inclusiv integrarea acesteia în planificarea urbană și a politicilor pe termen lung, indiferent dacă li s-a acordat sau nu titlul;</w:t>
      </w:r>
    </w:p>
    <w:p>
      <w:pPr>
        <w:ind w:left="360"/>
        <w:rPr>
          <w:noProof/>
        </w:rPr>
      </w:pPr>
      <w:r>
        <w:rPr>
          <w:noProof/>
        </w:rPr>
        <w:t>(d) concepe activități de comunicare specifice pentru a spori vizibilitatea și acoperirea acțiunii CEC pe teritoriul Europei și în afara acesteia;</w:t>
      </w:r>
    </w:p>
    <w:p>
      <w:pPr>
        <w:ind w:left="360"/>
        <w:rPr>
          <w:noProof/>
        </w:rPr>
      </w:pPr>
      <w:r>
        <w:rPr>
          <w:noProof/>
        </w:rPr>
        <w:t xml:space="preserve">(e) furnizează informații cu privire la fondurile europene existente pentru dezvoltarea de proiecte de către orașe, inclusiv pentru mentorat și formare. </w:t>
      </w:r>
    </w:p>
    <w:p>
      <w:pPr>
        <w:pStyle w:val="Titrearticle"/>
        <w:rPr>
          <w:noProof/>
        </w:rPr>
      </w:pPr>
      <w:r>
        <w:rPr>
          <w:noProof/>
        </w:rPr>
        <w:t>Articolul 17</w:t>
      </w:r>
    </w:p>
    <w:p>
      <w:pPr>
        <w:pStyle w:val="Titrearticle"/>
        <w:rPr>
          <w:b/>
          <w:bCs/>
          <w:i w:val="0"/>
          <w:iCs/>
          <w:noProof/>
        </w:rPr>
      </w:pPr>
      <w:r>
        <w:rPr>
          <w:b/>
          <w:i w:val="0"/>
          <w:noProof/>
        </w:rPr>
        <w:t>Evaluare</w:t>
      </w:r>
    </w:p>
    <w:p>
      <w:pPr>
        <w:rPr>
          <w:noProof/>
        </w:rPr>
      </w:pPr>
      <w:r>
        <w:rPr>
          <w:noProof/>
        </w:rPr>
        <w:t>(1)</w:t>
      </w:r>
      <w:r>
        <w:rPr>
          <w:noProof/>
        </w:rPr>
        <w:tab/>
        <w:t>Răspunderea de a evalua rezultatele anului în calitate de CEC revine fiecărui oraș în cauză.</w:t>
      </w:r>
    </w:p>
    <w:p>
      <w:pPr>
        <w:rPr>
          <w:noProof/>
        </w:rPr>
      </w:pPr>
      <w:r>
        <w:rPr>
          <w:noProof/>
        </w:rPr>
        <w:t>Comisia stabilește orientări comune și indicatori pentru orașele respective, pe baza obiectivelor menționate la articolul 2 și a criteriilor menționate la articolul 5, pentru a asigura o abordare coerentă a procedurii de evaluare.</w:t>
      </w:r>
    </w:p>
    <w:p>
      <w:pPr>
        <w:rPr>
          <w:noProof/>
        </w:rPr>
      </w:pPr>
      <w:r>
        <w:rPr>
          <w:noProof/>
        </w:rPr>
        <w:t>Orașele respective întocmesc rapoartele lor de evaluare și le transmit Comisiei până la data de 31 decembrie a anului următor anului pentru care este acordat titlul. Comisia publică rapoartele de evaluare pe site-ul său.</w:t>
      </w:r>
    </w:p>
    <w:p>
      <w:pPr>
        <w:rPr>
          <w:noProof/>
        </w:rPr>
      </w:pPr>
      <w:r>
        <w:rPr>
          <w:noProof/>
        </w:rPr>
        <w:t>(2)</w:t>
      </w:r>
      <w:r>
        <w:rPr>
          <w:noProof/>
        </w:rPr>
        <w:tab/>
        <w:t>În afara evaluărilor realizate de către orașe, Comisia asigură faptul că au loc periodic evaluări externe și independente ale rezultatelor acțiunii.</w:t>
      </w:r>
    </w:p>
    <w:p>
      <w:pPr>
        <w:rPr>
          <w:noProof/>
        </w:rPr>
      </w:pPr>
      <w:r>
        <w:rPr>
          <w:noProof/>
        </w:rPr>
        <w:t>Evaluările externe și independente se axează pe plasarea tuturor CEC precedente într-un context european, pentru a permite comparații și pentru a trage învățăminte utile pentru viitoarele CEC, precum și pentru toate orașele europene. Evaluările respective includ o evaluare a acțiunii în ansamblu, inclusiv a eficienței proceselor implicate în desfășurarea sa, a impactului său și a modului în care aceasta ar putea fi îmbunătățită.</w:t>
      </w:r>
    </w:p>
    <w:p>
      <w:pPr>
        <w:rPr>
          <w:noProof/>
        </w:rPr>
      </w:pPr>
      <w:r>
        <w:rPr>
          <w:noProof/>
        </w:rPr>
        <w:t>Comisia prezintă Parlamentului European, Consiliului, Comitetului Economic și Social European și Comitetului Regiunilor următoarele rapoarte întocmite pe baza evaluărilor menționate, însoțite de orice propuneri corespunzătoare:</w:t>
      </w:r>
    </w:p>
    <w:p>
      <w:pPr>
        <w:ind w:firstLine="720"/>
        <w:rPr>
          <w:noProof/>
        </w:rPr>
      </w:pPr>
      <w:r>
        <w:rPr>
          <w:noProof/>
        </w:rPr>
        <w:t>(a) un prim raport intermediar până la 31 decembrie 2038;</w:t>
      </w:r>
    </w:p>
    <w:p>
      <w:pPr>
        <w:ind w:firstLine="720"/>
        <w:rPr>
          <w:noProof/>
        </w:rPr>
      </w:pPr>
      <w:r>
        <w:rPr>
          <w:noProof/>
        </w:rPr>
        <w:t>(b) un al doilea raport intermediar până la 31 decembrie 2043;</w:t>
      </w:r>
    </w:p>
    <w:p>
      <w:pPr>
        <w:ind w:firstLine="720"/>
        <w:rPr>
          <w:noProof/>
        </w:rPr>
      </w:pPr>
      <w:r>
        <w:rPr>
          <w:noProof/>
        </w:rPr>
        <w:t>(c) un raport ex post până la 31 decembrie 2048.</w:t>
      </w:r>
    </w:p>
    <w:p>
      <w:pPr>
        <w:pStyle w:val="Titrearticle"/>
        <w:rPr>
          <w:noProof/>
        </w:rPr>
      </w:pPr>
      <w:r>
        <w:rPr>
          <w:noProof/>
        </w:rPr>
        <w:t>Articolul 18</w:t>
      </w:r>
    </w:p>
    <w:p>
      <w:pPr>
        <w:pStyle w:val="Titrearticle"/>
        <w:rPr>
          <w:b/>
          <w:bCs/>
          <w:i w:val="0"/>
          <w:iCs/>
          <w:noProof/>
        </w:rPr>
      </w:pPr>
      <w:r>
        <w:rPr>
          <w:b/>
          <w:i w:val="0"/>
          <w:noProof/>
        </w:rPr>
        <w:t>Exercitarea delegării de competențe</w:t>
      </w:r>
    </w:p>
    <w:p>
      <w:pPr>
        <w:rPr>
          <w:noProof/>
        </w:rPr>
      </w:pPr>
    </w:p>
    <w:p>
      <w:pPr>
        <w:rPr>
          <w:noProof/>
        </w:rPr>
      </w:pPr>
      <w:r>
        <w:rPr>
          <w:noProof/>
        </w:rPr>
        <w:t>(1)</w:t>
      </w:r>
      <w:r>
        <w:rPr>
          <w:noProof/>
        </w:rPr>
        <w:tab/>
        <w:t>Competența de a adopta acte delegate îi este conferită Comisiei în condițiile prevăzute la prezentul articol.</w:t>
      </w:r>
    </w:p>
    <w:p>
      <w:pPr>
        <w:rPr>
          <w:noProof/>
        </w:rPr>
      </w:pPr>
      <w:r>
        <w:rPr>
          <w:noProof/>
        </w:rPr>
        <w:t>(2)</w:t>
      </w:r>
      <w:r>
        <w:rPr>
          <w:noProof/>
        </w:rPr>
        <w:tab/>
        <w:t>Competența de a adopta acte delegate prevăzută la articolul 3 se conferă Comisiei pe o perioadă de timp nedeterminată, începând cu [</w:t>
      </w:r>
      <w:r>
        <w:rPr>
          <w:i/>
          <w:noProof/>
        </w:rPr>
        <w:t>data intrării în vigoare a actului legislativ de bază sau o altă dată stabilită de colegiuitori</w:t>
      </w:r>
      <w:r>
        <w:rPr>
          <w:noProof/>
        </w:rPr>
        <w:t>].</w:t>
      </w:r>
    </w:p>
    <w:p>
      <w:pPr>
        <w:rPr>
          <w:noProof/>
        </w:rPr>
      </w:pPr>
      <w:r>
        <w:rPr>
          <w:noProof/>
        </w:rPr>
        <w:t>(3)</w:t>
      </w:r>
      <w:r>
        <w:rPr>
          <w:noProof/>
        </w:rPr>
        <w:tab/>
        <w:t xml:space="preserve">Delegarea de competențe menționată la articolul 3 poate fi revocată oricând de Parlamentul European sau de Consiliu. O decizie de revocare pune capăt delegării de competențe specificate în decizia respectivă. Decizia produce efecte din ziua care urmează datei publicării acesteia în </w:t>
      </w:r>
      <w:r>
        <w:rPr>
          <w:i/>
          <w:noProof/>
        </w:rPr>
        <w:t>Jurnalul Oficial al Uniunii Europene</w:t>
      </w:r>
      <w:r>
        <w:rPr>
          <w:noProof/>
        </w:rPr>
        <w:t xml:space="preserve"> sau de la o dată ulterioară menționată în decizie. Decizia nu afectează valabilitatea actelor delegate care sunt deja în vigoare.</w:t>
      </w:r>
    </w:p>
    <w:p>
      <w:pPr>
        <w:rPr>
          <w:noProof/>
        </w:rPr>
      </w:pPr>
      <w:r>
        <w:rPr>
          <w:noProof/>
        </w:rPr>
        <w:t>(4)</w:t>
      </w:r>
      <w:r>
        <w:rPr>
          <w:noProof/>
        </w:rPr>
        <w:tab/>
        <w:t>Înainte de adoptarea unui act delegat, Comisia consultă experții desemnați de fiecare stat membru în conformitate cu principiile prevăzute în Acordul interinstituțional din 13 aprilie 2016 privind o mai bună legiferare.</w:t>
      </w:r>
    </w:p>
    <w:p>
      <w:pPr>
        <w:rPr>
          <w:noProof/>
        </w:rPr>
      </w:pPr>
      <w:r>
        <w:rPr>
          <w:noProof/>
        </w:rPr>
        <w:t>(5)</w:t>
      </w:r>
      <w:r>
        <w:rPr>
          <w:noProof/>
        </w:rPr>
        <w:tab/>
        <w:t>De îndată ce adoptă un act delegat, Comisia îl notifică simultan Parlamentului European și Consiliului.</w:t>
      </w:r>
    </w:p>
    <w:p>
      <w:pPr>
        <w:rPr>
          <w:noProof/>
        </w:rPr>
      </w:pPr>
      <w:r>
        <w:rPr>
          <w:noProof/>
        </w:rPr>
        <w:t>(6)</w:t>
      </w:r>
      <w:r>
        <w:rPr>
          <w:noProof/>
        </w:rPr>
        <w:tab/>
        <w:t>Un act delegat adoptat în temeiul articolului 3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pPr>
        <w:pStyle w:val="Titrearticle"/>
        <w:rPr>
          <w:noProof/>
        </w:rPr>
      </w:pPr>
      <w:r>
        <w:rPr>
          <w:noProof/>
        </w:rPr>
        <w:t>Articolul 19</w:t>
      </w:r>
    </w:p>
    <w:p>
      <w:pPr>
        <w:pStyle w:val="Titrearticle"/>
        <w:rPr>
          <w:b/>
          <w:bCs/>
          <w:i w:val="0"/>
          <w:iCs/>
          <w:noProof/>
        </w:rPr>
      </w:pPr>
      <w:r>
        <w:rPr>
          <w:b/>
          <w:i w:val="0"/>
          <w:noProof/>
        </w:rPr>
        <w:t>Abrogare și dispoziții tranzitorii</w:t>
      </w:r>
    </w:p>
    <w:p>
      <w:pPr>
        <w:rPr>
          <w:noProof/>
        </w:rPr>
      </w:pPr>
      <w:r>
        <w:rPr>
          <w:noProof/>
        </w:rPr>
        <w:t>Decizia nr. 445/2014/CE se abrogă. Cu toate acestea, ea continuă să se aplice în cazul orașelor care au fost nominalizate sau care urmează să fie nominalizate drept CEC pentru perioada 2020-2033.</w:t>
      </w:r>
    </w:p>
    <w:p>
      <w:pPr>
        <w:pStyle w:val="Titrearticle"/>
        <w:rPr>
          <w:noProof/>
        </w:rPr>
      </w:pPr>
      <w:r>
        <w:rPr>
          <w:noProof/>
        </w:rPr>
        <w:t>Articolul 20</w:t>
      </w:r>
    </w:p>
    <w:p>
      <w:pPr>
        <w:pStyle w:val="Titrearticle"/>
        <w:rPr>
          <w:b/>
          <w:bCs/>
          <w:i w:val="0"/>
          <w:iCs/>
          <w:noProof/>
        </w:rPr>
      </w:pPr>
      <w:r>
        <w:rPr>
          <w:b/>
          <w:i w:val="0"/>
          <w:noProof/>
        </w:rPr>
        <w:t>Intrarea în vigoare</w:t>
      </w:r>
    </w:p>
    <w:p>
      <w:pPr>
        <w:keepNext/>
        <w:keepLines/>
        <w:rPr>
          <w:noProof/>
        </w:rPr>
      </w:pPr>
      <w:r>
        <w:rPr>
          <w:noProof/>
        </w:rPr>
        <w:t xml:space="preserve">Prezenta decizie intră în vigoare în ziua următoare datei publicării în </w:t>
      </w:r>
      <w:r>
        <w:rPr>
          <w:i/>
          <w:noProof/>
        </w:rPr>
        <w:t>Jurnalul Oficial al Uniunii Europene</w:t>
      </w:r>
      <w:r>
        <w:rPr>
          <w:noProof/>
        </w:rPr>
        <w:t>.</w:t>
      </w:r>
    </w:p>
    <w:p>
      <w:pPr>
        <w:keepNext/>
        <w:keepLines/>
        <w:rPr>
          <w:noProof/>
        </w:rPr>
      </w:pPr>
    </w:p>
    <w:p>
      <w:pPr>
        <w:pStyle w:val="Fait"/>
        <w:rPr>
          <w:noProof/>
        </w:rPr>
      </w:pPr>
      <w:r>
        <w:rPr>
          <w:noProof/>
        </w:rPr>
        <w:t>Adoptată la Bruxelles,</w:t>
      </w:r>
    </w:p>
    <w:p>
      <w:pPr>
        <w:pStyle w:val="Institutionquisigne"/>
        <w:rPr>
          <w:noProof/>
        </w:rPr>
      </w:pPr>
      <w:r>
        <w:rPr>
          <w:noProof/>
        </w:rPr>
        <w:t>Pentru Parlamentul European</w:t>
      </w:r>
      <w:r>
        <w:rPr>
          <w:noProof/>
        </w:rPr>
        <w:tab/>
        <w:t>Pentru Consiliu</w:t>
      </w:r>
    </w:p>
    <w:p>
      <w:pPr>
        <w:pStyle w:val="Personnequisigne"/>
        <w:rPr>
          <w:noProof/>
        </w:rPr>
      </w:pPr>
      <w:r>
        <w:rPr>
          <w:noProof/>
        </w:rPr>
        <w:t>Președinta</w:t>
      </w:r>
      <w:r>
        <w:rPr>
          <w:noProof/>
        </w:rPr>
        <w:tab/>
        <w:t>Președinta</w:t>
      </w:r>
    </w:p>
    <w:p>
      <w:pPr>
        <w:rPr>
          <w:noProof/>
        </w:rPr>
        <w:sectPr>
          <w:footnotePr>
            <w:numRestart w:val="eachSect"/>
          </w:footnotePr>
          <w:pgSz w:w="11907" w:h="16839"/>
          <w:pgMar w:top="1134" w:right="1417" w:bottom="1134" w:left="1417" w:header="709" w:footer="709" w:gutter="0"/>
          <w:cols w:space="708"/>
          <w:docGrid w:linePitch="360"/>
        </w:sectPr>
      </w:pPr>
    </w:p>
    <w:p>
      <w:pPr>
        <w:pStyle w:val="Fichefinanciretitre"/>
        <w:keepNext/>
        <w:rPr>
          <w:noProof/>
        </w:rPr>
      </w:pPr>
      <w:r>
        <w:rPr>
          <w:noProof/>
        </w:rPr>
        <w:t xml:space="preserve">FIȘĂ FINANCIARĂ LEGISLATIVĂ ȘI DIGITALĂ </w:t>
      </w:r>
    </w:p>
    <w:p>
      <w:pPr>
        <w:pStyle w:val="TOC1"/>
        <w:rPr>
          <w:rFonts w:asciiTheme="minorHAnsi" w:eastAsiaTheme="minorEastAsia" w:hAnsiTheme="minorHAnsi" w:cstheme="minorBidi"/>
          <w:noProof/>
          <w:kern w:val="2"/>
          <w:sz w:val="22"/>
          <w14:ligatures w14:val="standardContextual"/>
        </w:rPr>
      </w:pPr>
      <w:r>
        <w:rPr>
          <w:noProof/>
        </w:rPr>
        <w:t>1.</w:t>
      </w:r>
      <w:r>
        <w:rPr>
          <w:noProof/>
        </w:rPr>
        <w:tab/>
        <w:t>CADRUL PROPUNERII/INIȚIATIVEI</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1.1.</w:t>
      </w:r>
      <w:r>
        <w:rPr>
          <w:noProof/>
        </w:rPr>
        <w:tab/>
        <w:t>Titlul propunerii/inițiativei</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1.2.</w:t>
      </w:r>
      <w:r>
        <w:rPr>
          <w:noProof/>
        </w:rPr>
        <w:tab/>
        <w:t>Domeniul (domeniile) de politică vizat(e)</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1.3.</w:t>
      </w:r>
      <w:r>
        <w:rPr>
          <w:noProof/>
        </w:rPr>
        <w:tab/>
        <w:t>Obiectiv(e)</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1.3.1.</w:t>
      </w:r>
      <w:r>
        <w:rPr>
          <w:noProof/>
        </w:rPr>
        <w:tab/>
        <w:t>Obiectiv(e) general(e)</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1.3.2.</w:t>
      </w:r>
      <w:r>
        <w:rPr>
          <w:noProof/>
        </w:rPr>
        <w:tab/>
        <w:t>Obiectiv(e) specific(e)</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1.3.3.</w:t>
      </w:r>
      <w:r>
        <w:rPr>
          <w:noProof/>
        </w:rPr>
        <w:tab/>
        <w:t>Rezultatul (rezultatele) și impactul preconizate</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1.3.4.</w:t>
      </w:r>
      <w:r>
        <w:rPr>
          <w:noProof/>
        </w:rPr>
        <w:tab/>
        <w:t>Indicatori de performanță</w:t>
      </w:r>
      <w:r>
        <w:rPr>
          <w:noProof/>
        </w:rPr>
        <w:tab/>
      </w:r>
      <w:r>
        <w:rPr>
          <w:noProof/>
          <w:webHidden/>
        </w:rPr>
        <w:t>4</w:t>
      </w:r>
    </w:p>
    <w:p>
      <w:pPr>
        <w:pStyle w:val="TOC2"/>
        <w:rPr>
          <w:rFonts w:asciiTheme="minorHAnsi" w:eastAsiaTheme="minorEastAsia" w:hAnsiTheme="minorHAnsi" w:cstheme="minorBidi"/>
          <w:noProof/>
          <w:kern w:val="2"/>
          <w:sz w:val="22"/>
          <w14:ligatures w14:val="standardContextual"/>
        </w:rPr>
      </w:pPr>
      <w:r>
        <w:rPr>
          <w:noProof/>
        </w:rPr>
        <w:t>1.4.</w:t>
      </w:r>
      <w:r>
        <w:rPr>
          <w:noProof/>
        </w:rPr>
        <w:tab/>
        <w:t>Obiectul propunerii/inițiativei</w:t>
      </w:r>
      <w:r>
        <w:rPr>
          <w:noProof/>
        </w:rPr>
        <w:tab/>
      </w:r>
      <w:r>
        <w:rPr>
          <w:noProof/>
          <w:webHidden/>
        </w:rPr>
        <w:t>4</w:t>
      </w:r>
    </w:p>
    <w:p>
      <w:pPr>
        <w:pStyle w:val="TOC2"/>
        <w:rPr>
          <w:rFonts w:asciiTheme="minorHAnsi" w:eastAsiaTheme="minorEastAsia" w:hAnsiTheme="minorHAnsi" w:cstheme="minorBidi"/>
          <w:noProof/>
          <w:kern w:val="2"/>
          <w:sz w:val="22"/>
          <w14:ligatures w14:val="standardContextual"/>
        </w:rPr>
      </w:pPr>
      <w:r>
        <w:rPr>
          <w:noProof/>
        </w:rPr>
        <w:t>1.5.</w:t>
      </w:r>
      <w:r>
        <w:rPr>
          <w:noProof/>
        </w:rPr>
        <w:tab/>
        <w:t>Motivele propunerii/inițiativei</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1.5.1.</w:t>
      </w:r>
      <w:r>
        <w:rPr>
          <w:noProof/>
        </w:rPr>
        <w:tab/>
        <w:t>Cerința (cerințele) care trebuie îndeplinită (îndeplinite) pe termen scurt sau lung, inclusiv un calendar detaliat pentru punerea în aplicare a inițiativei</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1.5.2.</w:t>
      </w:r>
      <w:r>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1.5.3.</w:t>
      </w:r>
      <w:r>
        <w:rPr>
          <w:noProof/>
        </w:rPr>
        <w:tab/>
        <w:t>Învățăminte desprinse din experiențele anterioare similare</w:t>
      </w:r>
      <w:r>
        <w:rPr>
          <w:noProof/>
        </w:rPr>
        <w:tab/>
      </w:r>
      <w:r>
        <w:rPr>
          <w:noProof/>
          <w:webHidden/>
        </w:rPr>
        <w:t>5</w:t>
      </w:r>
    </w:p>
    <w:p>
      <w:pPr>
        <w:pStyle w:val="TOC3"/>
        <w:rPr>
          <w:rFonts w:asciiTheme="minorHAnsi" w:eastAsiaTheme="minorEastAsia" w:hAnsiTheme="minorHAnsi" w:cstheme="minorBidi"/>
          <w:noProof/>
          <w:kern w:val="2"/>
          <w:sz w:val="22"/>
          <w14:ligatures w14:val="standardContextual"/>
        </w:rPr>
      </w:pPr>
      <w:r>
        <w:rPr>
          <w:noProof/>
        </w:rPr>
        <w:t>1.5.4.</w:t>
      </w:r>
      <w:r>
        <w:rPr>
          <w:noProof/>
        </w:rPr>
        <w:tab/>
        <w:t>Compatibilitatea cu cadrul financiar multianual și posibilele sinergii cu alte instrumente corespunzătoare</w:t>
      </w:r>
      <w:r>
        <w:rPr>
          <w:noProof/>
        </w:rPr>
        <w:tab/>
      </w:r>
      <w:r>
        <w:rPr>
          <w:noProof/>
          <w:webHidden/>
        </w:rPr>
        <w:t>6</w:t>
      </w:r>
    </w:p>
    <w:p>
      <w:pPr>
        <w:pStyle w:val="TOC3"/>
        <w:rPr>
          <w:rFonts w:asciiTheme="minorHAnsi" w:eastAsiaTheme="minorEastAsia" w:hAnsiTheme="minorHAnsi" w:cstheme="minorBidi"/>
          <w:noProof/>
          <w:kern w:val="2"/>
          <w:sz w:val="22"/>
          <w14:ligatures w14:val="standardContextual"/>
        </w:rPr>
      </w:pPr>
      <w:r>
        <w:rPr>
          <w:noProof/>
        </w:rPr>
        <w:t>1.5.5.</w:t>
      </w:r>
      <w:r>
        <w:rPr>
          <w:noProof/>
        </w:rPr>
        <w:tab/>
        <w:t xml:space="preserve">Evaluarea diferitelor opțiuni de finanțare disponibile, inclusiv a posibilităților de realocare a creditelor </w:t>
      </w:r>
      <w:r>
        <w:rPr>
          <w:noProof/>
        </w:rPr>
        <w:tab/>
      </w:r>
      <w:r>
        <w:rPr>
          <w:noProof/>
          <w:webHidden/>
        </w:rPr>
        <w:t>6</w:t>
      </w:r>
    </w:p>
    <w:p>
      <w:pPr>
        <w:pStyle w:val="TOC2"/>
        <w:rPr>
          <w:rFonts w:asciiTheme="minorHAnsi" w:eastAsiaTheme="minorEastAsia" w:hAnsiTheme="minorHAnsi" w:cstheme="minorBidi"/>
          <w:noProof/>
          <w:kern w:val="2"/>
          <w:sz w:val="22"/>
          <w14:ligatures w14:val="standardContextual"/>
        </w:rPr>
      </w:pPr>
      <w:r>
        <w:rPr>
          <w:noProof/>
        </w:rPr>
        <w:t>1.6.</w:t>
      </w:r>
      <w:r>
        <w:rPr>
          <w:noProof/>
        </w:rPr>
        <w:tab/>
        <w:t>Durata propunerii/inițiativei și a impactului său financiar</w:t>
      </w:r>
      <w:r>
        <w:rPr>
          <w:noProof/>
        </w:rPr>
        <w:tab/>
      </w:r>
      <w:r>
        <w:rPr>
          <w:noProof/>
          <w:webHidden/>
        </w:rPr>
        <w:t>7</w:t>
      </w:r>
    </w:p>
    <w:p>
      <w:pPr>
        <w:pStyle w:val="TOC2"/>
        <w:rPr>
          <w:rFonts w:asciiTheme="minorHAnsi" w:eastAsiaTheme="minorEastAsia" w:hAnsiTheme="minorHAnsi" w:cstheme="minorBidi"/>
          <w:noProof/>
          <w:kern w:val="2"/>
          <w:sz w:val="22"/>
          <w14:ligatures w14:val="standardContextual"/>
        </w:rPr>
      </w:pPr>
      <w:r>
        <w:rPr>
          <w:noProof/>
        </w:rPr>
        <w:t>1.7.</w:t>
      </w:r>
      <w:r>
        <w:rPr>
          <w:noProof/>
        </w:rPr>
        <w:tab/>
        <w:t>Metoda (metodele) de execuție a bugetului planificată (planificate)</w:t>
      </w:r>
      <w:r>
        <w:rPr>
          <w:noProof/>
        </w:rPr>
        <w:tab/>
      </w:r>
      <w:r>
        <w:rPr>
          <w:noProof/>
          <w:webHidden/>
        </w:rPr>
        <w:t>7</w:t>
      </w:r>
    </w:p>
    <w:p>
      <w:pPr>
        <w:pStyle w:val="TOC1"/>
        <w:rPr>
          <w:rFonts w:asciiTheme="minorHAnsi" w:eastAsiaTheme="minorEastAsia" w:hAnsiTheme="minorHAnsi" w:cstheme="minorBidi"/>
          <w:noProof/>
          <w:kern w:val="2"/>
          <w:sz w:val="22"/>
          <w14:ligatures w14:val="standardContextual"/>
        </w:rPr>
      </w:pPr>
      <w:r>
        <w:rPr>
          <w:noProof/>
        </w:rPr>
        <w:t>2.</w:t>
      </w:r>
      <w:r>
        <w:rPr>
          <w:noProof/>
        </w:rPr>
        <w:tab/>
        <w:t>MĂSURI DE GESTIUNE</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2.1.</w:t>
      </w:r>
      <w:r>
        <w:rPr>
          <w:noProof/>
        </w:rPr>
        <w:tab/>
        <w:t>Dispoziții în materie de monitorizare și de raportare</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2.2.</w:t>
      </w:r>
      <w:r>
        <w:rPr>
          <w:noProof/>
        </w:rPr>
        <w:tab/>
        <w:t>Sistemul (sistemele) de gestiune și de control</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2.2.1.</w:t>
      </w:r>
      <w:r>
        <w:rPr>
          <w:noProof/>
        </w:rPr>
        <w:tab/>
        <w:t>Justificarea metodei (metodelor) de execuție bugetară, a mecanismului (mecanismelor) de punere în aplicare a finanțării, a modalităților de plată și a strategiei de control propuse</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2.2.2.</w:t>
      </w:r>
      <w:r>
        <w:rPr>
          <w:noProof/>
        </w:rPr>
        <w:tab/>
        <w:t>Informații privind riscurile identificate și sistemul (sistemele) de control intern instituit(e) pentru atenuarea lor</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2.2.3.</w:t>
      </w:r>
      <w:r>
        <w:rPr>
          <w:noProof/>
        </w:rPr>
        <w:tab/>
        <w:t>Estimarea și justificarea raportului cost-eficacitate al controalelor (raportul dintre costurile controalelor și valoarea fondurilor aferente gestionate) și evaluarea nivelurilor preconizate ale riscurilor de eroare (la plată și la închidere)</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2.3.</w:t>
      </w:r>
      <w:r>
        <w:rPr>
          <w:noProof/>
        </w:rPr>
        <w:tab/>
        <w:t>Măsuri de prevenire a fraudelor și a neregulilor</w:t>
      </w:r>
      <w:r>
        <w:rPr>
          <w:noProof/>
        </w:rPr>
        <w:tab/>
      </w:r>
      <w:r>
        <w:rPr>
          <w:noProof/>
          <w:webHidden/>
        </w:rPr>
        <w:t>8</w:t>
      </w:r>
    </w:p>
    <w:p>
      <w:pPr>
        <w:pStyle w:val="TOC1"/>
        <w:rPr>
          <w:rFonts w:asciiTheme="minorHAnsi" w:eastAsiaTheme="minorEastAsia" w:hAnsiTheme="minorHAnsi" w:cstheme="minorBidi"/>
          <w:noProof/>
          <w:kern w:val="2"/>
          <w:sz w:val="22"/>
          <w14:ligatures w14:val="standardContextual"/>
        </w:rPr>
      </w:pPr>
      <w:r>
        <w:rPr>
          <w:noProof/>
        </w:rPr>
        <w:t>3.</w:t>
      </w:r>
      <w:r>
        <w:rPr>
          <w:noProof/>
        </w:rPr>
        <w:tab/>
        <w:t>IMPACTUL FINANCIAR ESTIMAT AL PROPUNERII/INIȚIATIVEI</w:t>
      </w:r>
      <w:r>
        <w:rPr>
          <w:noProof/>
        </w:rPr>
        <w:tab/>
      </w:r>
      <w:r>
        <w:rPr>
          <w:noProof/>
          <w:webHidden/>
        </w:rPr>
        <w:t>9</w:t>
      </w:r>
    </w:p>
    <w:p>
      <w:pPr>
        <w:pStyle w:val="TOC2"/>
        <w:rPr>
          <w:rFonts w:asciiTheme="minorHAnsi" w:eastAsiaTheme="minorEastAsia" w:hAnsiTheme="minorHAnsi" w:cstheme="minorBidi"/>
          <w:noProof/>
          <w:kern w:val="2"/>
          <w:sz w:val="22"/>
          <w14:ligatures w14:val="standardContextual"/>
        </w:rPr>
      </w:pPr>
      <w:r>
        <w:rPr>
          <w:noProof/>
        </w:rPr>
        <w:t>3.1.</w:t>
      </w:r>
      <w:r>
        <w:rPr>
          <w:noProof/>
        </w:rPr>
        <w:tab/>
        <w:t>Rubrica (rubricile) din cadrul financiar multianual și linia (liniile) bugetară (bugetare) de cheltuieli afectată (afectate)</w:t>
      </w:r>
      <w:r>
        <w:rPr>
          <w:noProof/>
        </w:rPr>
        <w:tab/>
      </w:r>
      <w:r>
        <w:rPr>
          <w:noProof/>
          <w:webHidden/>
        </w:rPr>
        <w:t>9</w:t>
      </w:r>
    </w:p>
    <w:p>
      <w:pPr>
        <w:pStyle w:val="TOC2"/>
        <w:rPr>
          <w:rFonts w:asciiTheme="minorHAnsi" w:eastAsiaTheme="minorEastAsia" w:hAnsiTheme="minorHAnsi" w:cstheme="minorBidi"/>
          <w:noProof/>
          <w:kern w:val="2"/>
          <w:sz w:val="22"/>
          <w14:ligatures w14:val="standardContextual"/>
        </w:rPr>
      </w:pPr>
      <w:r>
        <w:rPr>
          <w:noProof/>
        </w:rPr>
        <w:t>3.2.</w:t>
      </w:r>
      <w:r>
        <w:rPr>
          <w:noProof/>
        </w:rPr>
        <w:tab/>
        <w:t>Impactul financiar estimat al propunerii asupra creditelor</w:t>
      </w:r>
      <w:r>
        <w:rPr>
          <w:noProof/>
        </w:rPr>
        <w:tab/>
      </w:r>
      <w:r>
        <w:rPr>
          <w:noProof/>
          <w:webHidden/>
        </w:rPr>
        <w:t>10</w:t>
      </w:r>
    </w:p>
    <w:p>
      <w:pPr>
        <w:pStyle w:val="TOC3"/>
        <w:rPr>
          <w:rFonts w:asciiTheme="minorHAnsi" w:eastAsiaTheme="minorEastAsia" w:hAnsiTheme="minorHAnsi" w:cstheme="minorBidi"/>
          <w:noProof/>
          <w:kern w:val="2"/>
          <w:sz w:val="22"/>
          <w14:ligatures w14:val="standardContextual"/>
        </w:rPr>
      </w:pPr>
      <w:r>
        <w:rPr>
          <w:noProof/>
        </w:rPr>
        <w:t>3.2.1.</w:t>
      </w:r>
      <w:r>
        <w:rPr>
          <w:noProof/>
        </w:rPr>
        <w:tab/>
        <w:t>Sinteza impactului estimat asupra creditelor operaționale</w:t>
      </w:r>
      <w:r>
        <w:rPr>
          <w:noProof/>
        </w:rPr>
        <w:tab/>
      </w:r>
      <w:r>
        <w:rPr>
          <w:noProof/>
          <w:webHidden/>
        </w:rPr>
        <w:t>10</w:t>
      </w:r>
    </w:p>
    <w:p>
      <w:pPr>
        <w:pStyle w:val="TOC3"/>
        <w:rPr>
          <w:rFonts w:asciiTheme="minorHAnsi" w:eastAsiaTheme="minorEastAsia" w:hAnsiTheme="minorHAnsi" w:cstheme="minorBidi"/>
          <w:noProof/>
          <w:kern w:val="2"/>
          <w:sz w:val="22"/>
          <w14:ligatures w14:val="standardContextual"/>
        </w:rPr>
      </w:pPr>
      <w:r>
        <w:rPr>
          <w:noProof/>
        </w:rPr>
        <w:t>3.2.1.1.</w:t>
      </w:r>
      <w:r>
        <w:rPr>
          <w:noProof/>
        </w:rPr>
        <w:tab/>
        <w:t>Credite din bugetul votat</w:t>
      </w:r>
      <w:r>
        <w:rPr>
          <w:noProof/>
        </w:rPr>
        <w:tab/>
      </w:r>
      <w:r>
        <w:rPr>
          <w:noProof/>
          <w:webHidden/>
        </w:rPr>
        <w:t>10</w:t>
      </w:r>
    </w:p>
    <w:p>
      <w:pPr>
        <w:pStyle w:val="TOC3"/>
        <w:rPr>
          <w:rFonts w:asciiTheme="minorHAnsi" w:eastAsiaTheme="minorEastAsia" w:hAnsiTheme="minorHAnsi" w:cstheme="minorBidi"/>
          <w:noProof/>
          <w:kern w:val="2"/>
          <w:sz w:val="22"/>
          <w14:ligatures w14:val="standardContextual"/>
        </w:rPr>
      </w:pPr>
      <w:r>
        <w:rPr>
          <w:noProof/>
        </w:rPr>
        <w:t>3.2.1.2.</w:t>
      </w:r>
      <w:r>
        <w:rPr>
          <w:noProof/>
        </w:rPr>
        <w:tab/>
        <w:t>Credite din venituri alocate externe</w:t>
      </w:r>
      <w:r>
        <w:rPr>
          <w:noProof/>
        </w:rPr>
        <w:tab/>
      </w:r>
      <w:r>
        <w:rPr>
          <w:noProof/>
          <w:webHidden/>
        </w:rPr>
        <w:t>10</w:t>
      </w:r>
    </w:p>
    <w:p>
      <w:pPr>
        <w:pStyle w:val="TOC3"/>
        <w:rPr>
          <w:rFonts w:asciiTheme="minorHAnsi" w:eastAsiaTheme="minorEastAsia" w:hAnsiTheme="minorHAnsi" w:cstheme="minorBidi"/>
          <w:noProof/>
          <w:kern w:val="2"/>
          <w:sz w:val="22"/>
          <w14:ligatures w14:val="standardContextual"/>
        </w:rPr>
      </w:pPr>
      <w:r>
        <w:rPr>
          <w:noProof/>
        </w:rPr>
        <w:t>3.2.2.</w:t>
      </w:r>
      <w:r>
        <w:rPr>
          <w:noProof/>
        </w:rPr>
        <w:tab/>
        <w:t>Realizările preconizate finanțate din credite operaționale</w:t>
      </w:r>
      <w:r>
        <w:rPr>
          <w:noProof/>
        </w:rPr>
        <w:tab/>
      </w:r>
      <w:r>
        <w:rPr>
          <w:noProof/>
          <w:webHidden/>
        </w:rPr>
        <w:t>10</w:t>
      </w:r>
    </w:p>
    <w:p>
      <w:pPr>
        <w:pStyle w:val="TOC3"/>
        <w:rPr>
          <w:rFonts w:asciiTheme="minorHAnsi" w:eastAsiaTheme="minorEastAsia" w:hAnsiTheme="minorHAnsi" w:cstheme="minorBidi"/>
          <w:noProof/>
          <w:kern w:val="2"/>
          <w:sz w:val="22"/>
          <w14:ligatures w14:val="standardContextual"/>
        </w:rPr>
      </w:pPr>
      <w:r>
        <w:rPr>
          <w:noProof/>
        </w:rPr>
        <w:t>3.2.3.</w:t>
      </w:r>
      <w:r>
        <w:rPr>
          <w:noProof/>
        </w:rPr>
        <w:tab/>
        <w:t>Sinteza impactului estimat asupra creditelor administrative</w:t>
      </w:r>
      <w:r>
        <w:rPr>
          <w:noProof/>
        </w:rPr>
        <w:tab/>
      </w:r>
      <w:r>
        <w:rPr>
          <w:noProof/>
          <w:webHidden/>
        </w:rPr>
        <w:t>11</w:t>
      </w:r>
    </w:p>
    <w:p>
      <w:pPr>
        <w:pStyle w:val="TOC3"/>
        <w:rPr>
          <w:rFonts w:asciiTheme="minorHAnsi" w:eastAsiaTheme="minorEastAsia" w:hAnsiTheme="minorHAnsi" w:cstheme="minorBidi"/>
          <w:noProof/>
          <w:kern w:val="2"/>
          <w:sz w:val="22"/>
          <w14:ligatures w14:val="standardContextual"/>
        </w:rPr>
      </w:pPr>
      <w:r>
        <w:rPr>
          <w:noProof/>
        </w:rPr>
        <w:t>3.2.3.1. Credite din bugetul votat</w:t>
      </w:r>
      <w:r>
        <w:rPr>
          <w:noProof/>
        </w:rPr>
        <w:tab/>
      </w:r>
      <w:r>
        <w:rPr>
          <w:noProof/>
          <w:webHidden/>
        </w:rPr>
        <w:t>11</w:t>
      </w:r>
    </w:p>
    <w:p>
      <w:pPr>
        <w:pStyle w:val="TOC3"/>
        <w:rPr>
          <w:rFonts w:asciiTheme="minorHAnsi" w:eastAsiaTheme="minorEastAsia" w:hAnsiTheme="minorHAnsi" w:cstheme="minorBidi"/>
          <w:noProof/>
          <w:kern w:val="2"/>
          <w:sz w:val="22"/>
          <w14:ligatures w14:val="standardContextual"/>
        </w:rPr>
      </w:pPr>
      <w:r>
        <w:rPr>
          <w:noProof/>
        </w:rPr>
        <w:t>3.2.3.2.</w:t>
      </w:r>
      <w:r>
        <w:rPr>
          <w:noProof/>
        </w:rPr>
        <w:tab/>
        <w:t>Credite din venituri alocate externe</w:t>
      </w:r>
      <w:r>
        <w:rPr>
          <w:noProof/>
        </w:rPr>
        <w:tab/>
      </w:r>
      <w:r>
        <w:rPr>
          <w:noProof/>
          <w:webHidden/>
        </w:rPr>
        <w:t>11</w:t>
      </w:r>
    </w:p>
    <w:p>
      <w:pPr>
        <w:pStyle w:val="TOC3"/>
        <w:rPr>
          <w:rFonts w:asciiTheme="minorHAnsi" w:eastAsiaTheme="minorEastAsia" w:hAnsiTheme="minorHAnsi" w:cstheme="minorBidi"/>
          <w:noProof/>
          <w:kern w:val="2"/>
          <w:sz w:val="22"/>
          <w14:ligatures w14:val="standardContextual"/>
        </w:rPr>
      </w:pPr>
      <w:r>
        <w:rPr>
          <w:noProof/>
        </w:rPr>
        <w:t>3.2.3.3.</w:t>
      </w:r>
      <w:r>
        <w:rPr>
          <w:noProof/>
        </w:rPr>
        <w:tab/>
        <w:t>Total credite</w:t>
      </w:r>
      <w:r>
        <w:rPr>
          <w:noProof/>
        </w:rPr>
        <w:tab/>
      </w:r>
      <w:r>
        <w:rPr>
          <w:noProof/>
          <w:webHidden/>
        </w:rPr>
        <w:t>11</w:t>
      </w:r>
    </w:p>
    <w:p>
      <w:pPr>
        <w:pStyle w:val="TOC3"/>
        <w:rPr>
          <w:rFonts w:asciiTheme="minorHAnsi" w:eastAsiaTheme="minorEastAsia" w:hAnsiTheme="minorHAnsi" w:cstheme="minorBidi"/>
          <w:noProof/>
          <w:kern w:val="2"/>
          <w:sz w:val="22"/>
          <w14:ligatures w14:val="standardContextual"/>
        </w:rPr>
      </w:pPr>
      <w:r>
        <w:rPr>
          <w:noProof/>
        </w:rPr>
        <w:t>3.2.4.</w:t>
      </w:r>
      <w:r>
        <w:rPr>
          <w:noProof/>
        </w:rPr>
        <w:tab/>
        <w:t>Necesarul de resurse umane estimat</w:t>
      </w:r>
      <w:r>
        <w:rPr>
          <w:noProof/>
        </w:rPr>
        <w:tab/>
      </w:r>
      <w:r>
        <w:rPr>
          <w:noProof/>
          <w:webHidden/>
        </w:rPr>
        <w:t>11</w:t>
      </w:r>
    </w:p>
    <w:p>
      <w:pPr>
        <w:pStyle w:val="TOC3"/>
        <w:rPr>
          <w:rFonts w:asciiTheme="minorHAnsi" w:eastAsiaTheme="minorEastAsia" w:hAnsiTheme="minorHAnsi" w:cstheme="minorBidi"/>
          <w:noProof/>
          <w:kern w:val="2"/>
          <w:sz w:val="22"/>
          <w14:ligatures w14:val="standardContextual"/>
        </w:rPr>
      </w:pPr>
      <w:r>
        <w:rPr>
          <w:noProof/>
        </w:rPr>
        <w:t>3.2.4.1.</w:t>
      </w:r>
      <w:r>
        <w:rPr>
          <w:noProof/>
        </w:rPr>
        <w:tab/>
        <w:t>Finanțare din bugetul votat</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3.2.4.2.</w:t>
      </w:r>
      <w:r>
        <w:rPr>
          <w:noProof/>
        </w:rPr>
        <w:tab/>
        <w:t>Finanțare din venituri alocate externe</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3.2.4.3.</w:t>
      </w:r>
      <w:r>
        <w:rPr>
          <w:noProof/>
        </w:rPr>
        <w:tab/>
        <w:t>Necesarul total de resurse umane</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3.2.5.</w:t>
      </w:r>
      <w:r>
        <w:rPr>
          <w:noProof/>
        </w:rPr>
        <w:tab/>
        <w:t>Prezentare generală a impactului estimat asupra investițiilor legate de tehnologia digitală</w:t>
      </w:r>
      <w:r>
        <w:rPr>
          <w:noProof/>
        </w:rPr>
        <w:tab/>
      </w:r>
      <w:r>
        <w:rPr>
          <w:noProof/>
          <w:webHidden/>
        </w:rPr>
        <w:t>14</w:t>
      </w:r>
    </w:p>
    <w:p>
      <w:pPr>
        <w:pStyle w:val="TOC3"/>
        <w:rPr>
          <w:rFonts w:asciiTheme="minorHAnsi" w:eastAsiaTheme="minorEastAsia" w:hAnsiTheme="minorHAnsi" w:cstheme="minorBidi"/>
          <w:noProof/>
          <w:kern w:val="2"/>
          <w:sz w:val="22"/>
          <w14:ligatures w14:val="standardContextual"/>
        </w:rPr>
      </w:pPr>
      <w:r>
        <w:rPr>
          <w:noProof/>
        </w:rPr>
        <w:t>3.2.6.</w:t>
      </w:r>
      <w:r>
        <w:rPr>
          <w:noProof/>
        </w:rPr>
        <w:tab/>
        <w:t>Compatibilitatea cu cadrul financiar multianual actual</w:t>
      </w:r>
      <w:r>
        <w:rPr>
          <w:noProof/>
        </w:rPr>
        <w:tab/>
      </w:r>
      <w:r>
        <w:rPr>
          <w:noProof/>
          <w:webHidden/>
        </w:rPr>
        <w:t>14</w:t>
      </w:r>
    </w:p>
    <w:p>
      <w:pPr>
        <w:pStyle w:val="TOC3"/>
        <w:rPr>
          <w:rFonts w:asciiTheme="minorHAnsi" w:eastAsiaTheme="minorEastAsia" w:hAnsiTheme="minorHAnsi" w:cstheme="minorBidi"/>
          <w:noProof/>
          <w:kern w:val="2"/>
          <w:sz w:val="22"/>
          <w14:ligatures w14:val="standardContextual"/>
        </w:rPr>
      </w:pPr>
      <w:r>
        <w:rPr>
          <w:noProof/>
        </w:rPr>
        <w:t>3.2.7.</w:t>
      </w:r>
      <w:r>
        <w:rPr>
          <w:noProof/>
        </w:rPr>
        <w:tab/>
        <w:t>Contribuțiile terților</w:t>
      </w:r>
      <w:r>
        <w:rPr>
          <w:noProof/>
        </w:rPr>
        <w:tab/>
      </w:r>
      <w:r>
        <w:rPr>
          <w:noProof/>
          <w:webHidden/>
        </w:rPr>
        <w:t>14</w:t>
      </w:r>
    </w:p>
    <w:p>
      <w:pPr>
        <w:pStyle w:val="TOC2"/>
        <w:rPr>
          <w:rFonts w:asciiTheme="minorHAnsi" w:eastAsiaTheme="minorEastAsia" w:hAnsiTheme="minorHAnsi" w:cstheme="minorBidi"/>
          <w:noProof/>
          <w:kern w:val="2"/>
          <w:sz w:val="22"/>
          <w14:ligatures w14:val="standardContextual"/>
        </w:rPr>
      </w:pPr>
      <w:r>
        <w:rPr>
          <w:noProof/>
        </w:rPr>
        <w:t>3.3.</w:t>
      </w:r>
      <w:r>
        <w:rPr>
          <w:noProof/>
        </w:rPr>
        <w:tab/>
        <w:t>Impactul estimat asupra veniturilor</w:t>
      </w:r>
      <w:r>
        <w:rPr>
          <w:noProof/>
        </w:rPr>
        <w:tab/>
      </w:r>
      <w:r>
        <w:rPr>
          <w:noProof/>
          <w:webHidden/>
        </w:rPr>
        <w:t>14</w:t>
      </w:r>
    </w:p>
    <w:p>
      <w:pPr>
        <w:pStyle w:val="TOC1"/>
        <w:rPr>
          <w:rFonts w:asciiTheme="minorHAnsi" w:eastAsiaTheme="minorEastAsia" w:hAnsiTheme="minorHAnsi" w:cstheme="minorBidi"/>
          <w:noProof/>
          <w:kern w:val="2"/>
          <w:sz w:val="22"/>
          <w14:ligatures w14:val="standardContextual"/>
        </w:rPr>
      </w:pPr>
      <w:r>
        <w:rPr>
          <w:noProof/>
        </w:rPr>
        <w:t>4.</w:t>
      </w:r>
      <w:r>
        <w:rPr>
          <w:noProof/>
        </w:rPr>
        <w:tab/>
      </w:r>
      <w:r>
        <w:rPr>
          <w:caps/>
          <w:noProof/>
        </w:rPr>
        <w:t>Dimensiunile digitale</w:t>
      </w:r>
      <w:r>
        <w:rPr>
          <w:noProof/>
        </w:rPr>
        <w:tab/>
      </w:r>
      <w:r>
        <w:rPr>
          <w:noProof/>
          <w:webHidden/>
        </w:rPr>
        <w:t>16</w:t>
      </w:r>
    </w:p>
    <w:p>
      <w:pPr>
        <w:pStyle w:val="TOC2"/>
        <w:rPr>
          <w:rFonts w:asciiTheme="minorHAnsi" w:eastAsiaTheme="minorEastAsia" w:hAnsiTheme="minorHAnsi" w:cstheme="minorBidi"/>
          <w:noProof/>
          <w:kern w:val="2"/>
          <w:sz w:val="22"/>
          <w14:ligatures w14:val="standardContextual"/>
        </w:rPr>
      </w:pPr>
      <w:r>
        <w:rPr>
          <w:noProof/>
        </w:rPr>
        <w:t>4.1.</w:t>
      </w:r>
      <w:r>
        <w:rPr>
          <w:noProof/>
        </w:rPr>
        <w:tab/>
        <w:t>Cerințe cu relevanță digitală</w:t>
      </w:r>
      <w:r>
        <w:rPr>
          <w:noProof/>
        </w:rPr>
        <w:tab/>
      </w:r>
      <w:r>
        <w:rPr>
          <w:noProof/>
          <w:webHidden/>
        </w:rPr>
        <w:t>16</w:t>
      </w:r>
    </w:p>
    <w:p>
      <w:pPr>
        <w:pStyle w:val="TOC2"/>
        <w:rPr>
          <w:rFonts w:asciiTheme="minorHAnsi" w:eastAsiaTheme="minorEastAsia" w:hAnsiTheme="minorHAnsi" w:cstheme="minorBidi"/>
          <w:noProof/>
          <w:kern w:val="2"/>
          <w:sz w:val="22"/>
          <w14:ligatures w14:val="standardContextual"/>
        </w:rPr>
      </w:pPr>
      <w:r>
        <w:rPr>
          <w:noProof/>
        </w:rPr>
        <w:t>4.2.</w:t>
      </w:r>
      <w:r>
        <w:rPr>
          <w:noProof/>
        </w:rPr>
        <w:tab/>
        <w:t>Date</w:t>
      </w:r>
      <w:r>
        <w:rPr>
          <w:noProof/>
        </w:rPr>
        <w:tab/>
      </w:r>
      <w:r>
        <w:rPr>
          <w:noProof/>
          <w:webHidden/>
        </w:rPr>
        <w:t>16</w:t>
      </w:r>
    </w:p>
    <w:p>
      <w:pPr>
        <w:pStyle w:val="TOC2"/>
        <w:rPr>
          <w:rFonts w:asciiTheme="minorHAnsi" w:eastAsiaTheme="minorEastAsia" w:hAnsiTheme="minorHAnsi" w:cstheme="minorBidi"/>
          <w:noProof/>
          <w:kern w:val="2"/>
          <w:sz w:val="22"/>
          <w14:ligatures w14:val="standardContextual"/>
        </w:rPr>
      </w:pPr>
      <w:r>
        <w:rPr>
          <w:noProof/>
        </w:rPr>
        <w:t>4.3.</w:t>
      </w:r>
      <w:r>
        <w:rPr>
          <w:noProof/>
        </w:rPr>
        <w:tab/>
        <w:t>Soluții digitale</w:t>
      </w:r>
      <w:r>
        <w:rPr>
          <w:noProof/>
        </w:rPr>
        <w:tab/>
      </w:r>
      <w:r>
        <w:rPr>
          <w:noProof/>
          <w:webHidden/>
        </w:rPr>
        <w:t>16</w:t>
      </w:r>
    </w:p>
    <w:p>
      <w:pPr>
        <w:pStyle w:val="TOC2"/>
        <w:rPr>
          <w:rFonts w:asciiTheme="minorHAnsi" w:eastAsiaTheme="minorEastAsia" w:hAnsiTheme="minorHAnsi" w:cstheme="minorBidi"/>
          <w:noProof/>
          <w:kern w:val="2"/>
          <w:sz w:val="22"/>
          <w14:ligatures w14:val="standardContextual"/>
        </w:rPr>
      </w:pPr>
      <w:r>
        <w:rPr>
          <w:noProof/>
        </w:rPr>
        <w:t>4.4.</w:t>
      </w:r>
      <w:r>
        <w:rPr>
          <w:noProof/>
        </w:rPr>
        <w:tab/>
        <w:t>Evaluarea interoperabilității</w:t>
      </w:r>
      <w:r>
        <w:rPr>
          <w:noProof/>
        </w:rPr>
        <w:tab/>
      </w:r>
      <w:r>
        <w:rPr>
          <w:noProof/>
          <w:webHidden/>
        </w:rPr>
        <w:t>16</w:t>
      </w:r>
    </w:p>
    <w:p>
      <w:pPr>
        <w:pStyle w:val="TOC2"/>
        <w:rPr>
          <w:rFonts w:asciiTheme="minorHAnsi" w:eastAsiaTheme="minorEastAsia" w:hAnsiTheme="minorHAnsi" w:cstheme="minorBidi"/>
          <w:noProof/>
          <w:kern w:val="2"/>
          <w:sz w:val="22"/>
          <w14:ligatures w14:val="standardContextual"/>
        </w:rPr>
      </w:pPr>
      <w:r>
        <w:rPr>
          <w:noProof/>
        </w:rPr>
        <w:t>4.5.</w:t>
      </w:r>
      <w:r>
        <w:rPr>
          <w:noProof/>
        </w:rPr>
        <w:tab/>
        <w:t>Măsuri de sprijinire a implementării digitale</w:t>
      </w:r>
      <w:r>
        <w:rPr>
          <w:noProof/>
        </w:rPr>
        <w:tab/>
      </w:r>
      <w:r>
        <w:rPr>
          <w:noProof/>
          <w:webHidden/>
        </w:rPr>
        <w:t>16</w:t>
      </w:r>
    </w:p>
    <w:p>
      <w:pPr>
        <w:pStyle w:val="TOC1"/>
        <w:ind w:left="0" w:firstLine="0"/>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10" w:name="_Toc514938007"/>
      <w:bookmarkStart w:id="11" w:name="_Toc520485025"/>
      <w:bookmarkStart w:id="12" w:name="_Toc160804567"/>
      <w:bookmarkStart w:id="13" w:name="_Toc167220259"/>
      <w:bookmarkStart w:id="14" w:name="_Toc177548992"/>
      <w:r>
        <w:rPr>
          <w:noProof/>
        </w:rPr>
        <w:t>1.</w:t>
      </w:r>
      <w:r>
        <w:rPr>
          <w:noProof/>
        </w:rPr>
        <w:tab/>
        <w:t>CADRUL PROPUNERII/INIȚIATIVEI</w:t>
      </w:r>
      <w:bookmarkEnd w:id="10"/>
      <w:bookmarkEnd w:id="11"/>
      <w:bookmarkEnd w:id="12"/>
      <w:bookmarkEnd w:id="13"/>
      <w:bookmarkEnd w:id="14"/>
      <w:r>
        <w:rPr>
          <w:noProof/>
        </w:rPr>
        <w:t xml:space="preserve"> </w:t>
      </w:r>
    </w:p>
    <w:p>
      <w:pPr>
        <w:pStyle w:val="ManualHeading2"/>
        <w:rPr>
          <w:noProof/>
        </w:rPr>
      </w:pPr>
      <w:bookmarkStart w:id="15" w:name="_Toc514938008"/>
      <w:bookmarkStart w:id="16" w:name="_Toc520485026"/>
      <w:bookmarkStart w:id="17" w:name="_Toc160804568"/>
      <w:bookmarkStart w:id="18" w:name="_Toc167220260"/>
      <w:bookmarkStart w:id="19" w:name="_Toc177548993"/>
      <w:r>
        <w:rPr>
          <w:noProof/>
        </w:rPr>
        <w:t>1.1.</w:t>
      </w:r>
      <w:r>
        <w:rPr>
          <w:noProof/>
        </w:rPr>
        <w:tab/>
        <w:t>Titlul propunerii/inițiativei</w:t>
      </w:r>
      <w:bookmarkEnd w:id="15"/>
      <w:bookmarkEnd w:id="16"/>
      <w:bookmarkEnd w:id="17"/>
      <w:bookmarkEnd w:id="18"/>
      <w:bookmarkEnd w:id="19"/>
    </w:p>
    <w:p>
      <w:pPr>
        <w:pStyle w:val="Text1"/>
        <w:pBdr>
          <w:top w:val="single" w:sz="4" w:space="1" w:color="auto"/>
          <w:left w:val="single" w:sz="4" w:space="4" w:color="auto"/>
          <w:bottom w:val="single" w:sz="4" w:space="1" w:color="auto"/>
          <w:right w:val="single" w:sz="4" w:space="4" w:color="auto"/>
        </w:pBdr>
        <w:rPr>
          <w:noProof/>
        </w:rPr>
      </w:pPr>
      <w:r>
        <w:rPr>
          <w:noProof/>
        </w:rPr>
        <w:t>Propunere de Decizie a Parlamentului European și a Consiliului de reînnoire a unei acțiuni a Uniunii în favoarea evenimentului „Capitalele europene ale culturii” pentru anii 2034-2047 și de abrogare a Deciziei nr. 445/2014/UE.</w:t>
      </w:r>
    </w:p>
    <w:p>
      <w:pPr>
        <w:pStyle w:val="ManualHeading2"/>
        <w:rPr>
          <w:i/>
          <w:noProof/>
        </w:rPr>
      </w:pPr>
      <w:bookmarkStart w:id="20" w:name="_Toc514938011"/>
      <w:bookmarkStart w:id="21" w:name="_Toc520485027"/>
      <w:bookmarkStart w:id="22" w:name="_Toc160804569"/>
      <w:bookmarkStart w:id="23" w:name="_Toc167220261"/>
      <w:bookmarkStart w:id="24" w:name="_Toc177548994"/>
      <w:r>
        <w:rPr>
          <w:noProof/>
        </w:rPr>
        <w:t>1.2.</w:t>
      </w:r>
      <w:r>
        <w:rPr>
          <w:noProof/>
        </w:rPr>
        <w:tab/>
        <w:t>Domeniul (domeniile) de politică vizat(e)</w:t>
      </w:r>
      <w:bookmarkEnd w:id="20"/>
      <w:bookmarkEnd w:id="21"/>
      <w:bookmarkEnd w:id="22"/>
      <w:bookmarkEnd w:id="23"/>
      <w:bookmarkEnd w:id="24"/>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Cultură, orașe.</w:t>
      </w:r>
    </w:p>
    <w:p>
      <w:pPr>
        <w:pStyle w:val="ManualHeading2"/>
        <w:rPr>
          <w:noProof/>
        </w:rPr>
      </w:pPr>
      <w:bookmarkStart w:id="25" w:name="_Toc514938015"/>
      <w:bookmarkStart w:id="26" w:name="_Toc520485029"/>
      <w:bookmarkStart w:id="27" w:name="_Toc160804571"/>
      <w:bookmarkStart w:id="28" w:name="_Toc167220263"/>
      <w:bookmarkStart w:id="29" w:name="_Toc177548995"/>
      <w:r>
        <w:rPr>
          <w:noProof/>
        </w:rPr>
        <w:t>1.3.</w:t>
      </w:r>
      <w:r>
        <w:rPr>
          <w:noProof/>
        </w:rPr>
        <w:tab/>
        <w:t>Obiectiv(e)</w:t>
      </w:r>
      <w:bookmarkEnd w:id="25"/>
      <w:bookmarkEnd w:id="26"/>
      <w:bookmarkEnd w:id="27"/>
      <w:bookmarkEnd w:id="28"/>
      <w:bookmarkEnd w:id="29"/>
    </w:p>
    <w:p>
      <w:pPr>
        <w:pStyle w:val="ManualHeading3"/>
        <w:rPr>
          <w:noProof/>
        </w:rPr>
      </w:pPr>
      <w:bookmarkStart w:id="30" w:name="_Toc514938016"/>
      <w:bookmarkStart w:id="31" w:name="_Toc520485030"/>
      <w:bookmarkStart w:id="32" w:name="_Toc160804572"/>
      <w:bookmarkStart w:id="33" w:name="_Toc167220264"/>
      <w:bookmarkStart w:id="34" w:name="_Toc177548996"/>
      <w:r>
        <w:rPr>
          <w:noProof/>
        </w:rPr>
        <w:t>1.3.1.</w:t>
      </w:r>
      <w:r>
        <w:rPr>
          <w:noProof/>
        </w:rPr>
        <w:tab/>
        <w:t>Obiectiv(e) general(e)</w:t>
      </w:r>
      <w:bookmarkEnd w:id="30"/>
      <w:bookmarkEnd w:id="31"/>
      <w:bookmarkEnd w:id="32"/>
      <w:bookmarkEnd w:id="33"/>
      <w:bookmarkEnd w:id="34"/>
    </w:p>
    <w:p>
      <w:pPr>
        <w:pStyle w:val="Text1"/>
        <w:pBdr>
          <w:top w:val="single" w:sz="4" w:space="1" w:color="auto"/>
          <w:left w:val="single" w:sz="4" w:space="4" w:color="auto"/>
          <w:bottom w:val="single" w:sz="4" w:space="1" w:color="auto"/>
          <w:right w:val="single" w:sz="4" w:space="4" w:color="auto"/>
        </w:pBdr>
        <w:rPr>
          <w:noProof/>
        </w:rPr>
      </w:pPr>
      <w:r>
        <w:rPr>
          <w:noProof/>
        </w:rPr>
        <w:t>Primul obiectiv general al acțiunii este protejarea și promovarea diversității culturilor din Europa și evidențierea caracteristicilor comune, precum și creșterea sentimentului european de apartenență la un spațiu cultural comun. Al doilea obiectiv general este stimularea contribuției culturii la dezvoltarea durabilă și favorabilă incluziunii a orașelor, în conformitate cu strategiile și prioritățile acestora.</w:t>
      </w:r>
    </w:p>
    <w:p>
      <w:pPr>
        <w:pStyle w:val="ManualHeading3"/>
        <w:rPr>
          <w:noProof/>
        </w:rPr>
      </w:pPr>
      <w:bookmarkStart w:id="35" w:name="_Toc514938018"/>
      <w:bookmarkStart w:id="36" w:name="_Toc520485031"/>
      <w:bookmarkStart w:id="37" w:name="_Toc160804573"/>
      <w:bookmarkStart w:id="38" w:name="_Toc167220265"/>
      <w:bookmarkStart w:id="39" w:name="_Toc177548997"/>
      <w:r>
        <w:rPr>
          <w:noProof/>
        </w:rPr>
        <w:t>1.3.2.</w:t>
      </w:r>
      <w:r>
        <w:rPr>
          <w:noProof/>
        </w:rPr>
        <w:tab/>
        <w:t>Obiectiv(e) specific(e)</w:t>
      </w:r>
      <w:bookmarkEnd w:id="35"/>
      <w:bookmarkEnd w:id="36"/>
      <w:bookmarkEnd w:id="37"/>
      <w:bookmarkEnd w:id="38"/>
      <w:bookmarkEnd w:id="39"/>
    </w:p>
    <w:p>
      <w:pPr>
        <w:pStyle w:val="Text1"/>
        <w:pBdr>
          <w:top w:val="single" w:sz="4" w:space="1" w:color="auto"/>
          <w:left w:val="single" w:sz="4" w:space="4" w:color="auto"/>
          <w:bottom w:val="single" w:sz="4" w:space="1" w:color="auto"/>
          <w:right w:val="single" w:sz="4" w:space="4" w:color="auto"/>
        </w:pBdr>
        <w:rPr>
          <w:noProof/>
        </w:rPr>
      </w:pPr>
      <w:r>
        <w:rPr>
          <w:noProof/>
        </w:rPr>
        <w:t>Acțiunea va sta la baza următoarelor obiective specifice:</w:t>
      </w:r>
    </w:p>
    <w:p>
      <w:pPr>
        <w:pStyle w:val="Text1"/>
        <w:pBdr>
          <w:top w:val="single" w:sz="4" w:space="1" w:color="auto"/>
          <w:left w:val="single" w:sz="4" w:space="4" w:color="auto"/>
          <w:bottom w:val="single" w:sz="4" w:space="1" w:color="auto"/>
          <w:right w:val="single" w:sz="4" w:space="4" w:color="auto"/>
        </w:pBdr>
        <w:rPr>
          <w:noProof/>
        </w:rPr>
      </w:pPr>
      <w:r>
        <w:rPr>
          <w:noProof/>
        </w:rPr>
        <w:t>a) îmbunătățirea gamei, a diversității și a dimensiunii europene a ofertei culturale din orașe, inclusiv prin intermediul cooperării transnaționale, conturând astfel mai ferm profilul internațional al orașelor;</w:t>
      </w:r>
    </w:p>
    <w:p>
      <w:pPr>
        <w:pStyle w:val="Text1"/>
        <w:pBdr>
          <w:top w:val="single" w:sz="4" w:space="1" w:color="auto"/>
          <w:left w:val="single" w:sz="4" w:space="4" w:color="auto"/>
          <w:bottom w:val="single" w:sz="4" w:space="1" w:color="auto"/>
          <w:right w:val="single" w:sz="4" w:space="4" w:color="auto"/>
        </w:pBdr>
        <w:rPr>
          <w:noProof/>
        </w:rPr>
      </w:pPr>
      <w:r>
        <w:rPr>
          <w:noProof/>
        </w:rPr>
        <w:t>b) îmbunătățirea accesului și a participării la cultură, artă și la patrimoniul cultural pentru toți, în special pentru tineri, precum și consolidarea coeziunii sociale, a echității între generații, a egalității și a diversității, prin implicare culturală;</w:t>
      </w:r>
    </w:p>
    <w:p>
      <w:pPr>
        <w:pStyle w:val="Text1"/>
        <w:pBdr>
          <w:top w:val="single" w:sz="4" w:space="1" w:color="auto"/>
          <w:left w:val="single" w:sz="4" w:space="4" w:color="auto"/>
          <w:bottom w:val="single" w:sz="4" w:space="1" w:color="auto"/>
          <w:right w:val="single" w:sz="4" w:space="4" w:color="auto"/>
        </w:pBdr>
        <w:rPr>
          <w:noProof/>
        </w:rPr>
      </w:pPr>
      <w:r>
        <w:rPr>
          <w:noProof/>
        </w:rPr>
        <w:t>c) consolidarea capacității de inovare a sectorului cultural local, inclusiv a capacității digitale, precum și a cooperării acestuia cu alte sectoare.</w:t>
      </w:r>
    </w:p>
    <w:p>
      <w:pPr>
        <w:pStyle w:val="ManualHeading3"/>
        <w:rPr>
          <w:noProof/>
        </w:rPr>
      </w:pPr>
      <w:bookmarkStart w:id="40" w:name="_Toc514938019"/>
      <w:bookmarkStart w:id="41" w:name="_Toc520485032"/>
      <w:bookmarkStart w:id="42" w:name="_Toc160804574"/>
      <w:bookmarkStart w:id="43" w:name="_Toc167220266"/>
      <w:bookmarkStart w:id="44" w:name="_Toc177548998"/>
      <w:r>
        <w:rPr>
          <w:noProof/>
        </w:rPr>
        <w:t>1.3.3.</w:t>
      </w:r>
      <w:r>
        <w:rPr>
          <w:noProof/>
        </w:rPr>
        <w:tab/>
        <w:t>Rezultatul (rezultatele) și impactul preconizate</w:t>
      </w:r>
      <w:bookmarkEnd w:id="40"/>
      <w:bookmarkEnd w:id="41"/>
      <w:bookmarkEnd w:id="42"/>
      <w:bookmarkEnd w:id="43"/>
      <w:bookmarkEnd w:id="44"/>
    </w:p>
    <w:p>
      <w:pPr>
        <w:pStyle w:val="Text1"/>
        <w:rPr>
          <w:i/>
          <w:noProof/>
          <w:sz w:val="20"/>
        </w:rPr>
      </w:pPr>
      <w:r>
        <w:rPr>
          <w:i/>
          <w:noProof/>
          <w:sz w:val="20"/>
        </w:rPr>
        <w:t>A se preciza efectele pe care ar trebui să le aibă propunerea/inițiativa asupra beneficiarilor vizați/grupurilor vizate.</w:t>
      </w:r>
    </w:p>
    <w:p>
      <w:pPr>
        <w:pStyle w:val="Text1"/>
        <w:pBdr>
          <w:top w:val="single" w:sz="4" w:space="1" w:color="auto"/>
          <w:left w:val="single" w:sz="4" w:space="4" w:color="auto"/>
          <w:bottom w:val="single" w:sz="4" w:space="1" w:color="auto"/>
          <w:right w:val="single" w:sz="4" w:space="4" w:color="auto"/>
        </w:pBdr>
        <w:rPr>
          <w:noProof/>
        </w:rPr>
      </w:pPr>
      <w:r>
        <w:rPr>
          <w:noProof/>
        </w:rPr>
        <w:t>Se preconizează că propunerea de revizuire a temeiului juridic al CEC va avea un impact social, economic, de mediu și internațional pozitiv.</w:t>
      </w:r>
    </w:p>
    <w:p>
      <w:pPr>
        <w:pStyle w:val="Text1"/>
        <w:pBdr>
          <w:top w:val="single" w:sz="4" w:space="1" w:color="auto"/>
          <w:left w:val="single" w:sz="4" w:space="4" w:color="auto"/>
          <w:bottom w:val="single" w:sz="4" w:space="1" w:color="auto"/>
          <w:right w:val="single" w:sz="4" w:space="4" w:color="auto"/>
        </w:pBdr>
        <w:rPr>
          <w:noProof/>
        </w:rPr>
      </w:pPr>
      <w:r>
        <w:rPr>
          <w:b/>
          <w:noProof/>
        </w:rPr>
        <w:t>Impactul social:</w:t>
      </w:r>
      <w:r>
        <w:rPr>
          <w:noProof/>
        </w:rPr>
        <w:t> Se preconizează că acțiunea CEC revizuită va consolida sentimentul de identitate și apartenență europeană, lărgind accesul și participarea la cultură. În special, aceasta va aduce beneficii persoanelor din regiunile rurale și mai puțin vizibile și va încuraja mai mulți tineri să se implice. De asemenea, va sprijini inițiativele care vizează implicarea copiilor și a tinerilor. Aceasta va sprijini coeziunea socială, dialogul intercultural și intergenerațional și angajamentul democratic în UE și în afara acesteia.</w:t>
      </w:r>
    </w:p>
    <w:p>
      <w:pPr>
        <w:pStyle w:val="Text1"/>
        <w:pBdr>
          <w:top w:val="single" w:sz="4" w:space="1" w:color="auto"/>
          <w:left w:val="single" w:sz="4" w:space="4" w:color="auto"/>
          <w:bottom w:val="single" w:sz="4" w:space="1" w:color="auto"/>
          <w:right w:val="single" w:sz="4" w:space="4" w:color="auto"/>
        </w:pBdr>
        <w:rPr>
          <w:noProof/>
        </w:rPr>
      </w:pPr>
      <w:r>
        <w:rPr>
          <w:b/>
          <w:noProof/>
        </w:rPr>
        <w:t>Impactul economic:</w:t>
      </w:r>
      <w:r>
        <w:rPr>
          <w:noProof/>
        </w:rPr>
        <w:t> Prin îmbunătățirea vizibilității și a acoperirii CEC, este probabil ca inițiativa să stimuleze turismul cultural local, inovarea și dezvoltarea regională și să creeze locuri de muncă, în special în întreprinderile culturale mici și mijlocii.</w:t>
      </w:r>
    </w:p>
    <w:p>
      <w:pPr>
        <w:pStyle w:val="Text1"/>
        <w:pBdr>
          <w:top w:val="single" w:sz="4" w:space="1" w:color="auto"/>
          <w:left w:val="single" w:sz="4" w:space="4" w:color="auto"/>
          <w:bottom w:val="single" w:sz="4" w:space="1" w:color="auto"/>
          <w:right w:val="single" w:sz="4" w:space="4" w:color="auto"/>
        </w:pBdr>
        <w:rPr>
          <w:noProof/>
        </w:rPr>
      </w:pPr>
      <w:r>
        <w:rPr>
          <w:b/>
          <w:noProof/>
        </w:rPr>
        <w:t>Impactul de mediu: </w:t>
      </w:r>
      <w:r>
        <w:rPr>
          <w:noProof/>
        </w:rPr>
        <w:t>Cadrul revizuit va integra sustenabilitatea într-un mod mai explicit în procesele de selecție și monitorizare, încurajând orașele să adopte practici ecologice în ceea ce privește gestionarea, implicarea vizitatorilor și operațiunile. Acest lucru va contribui la sensibilizarea cu privire la aspectele climatice prin discursuri culturale și la stimularea rolului culturii în promovarea tranziției verzi.</w:t>
      </w:r>
    </w:p>
    <w:p>
      <w:pPr>
        <w:pStyle w:val="Text1"/>
        <w:pBdr>
          <w:top w:val="single" w:sz="4" w:space="1" w:color="auto"/>
          <w:left w:val="single" w:sz="4" w:space="4" w:color="auto"/>
          <w:bottom w:val="single" w:sz="4" w:space="1" w:color="auto"/>
          <w:right w:val="single" w:sz="4" w:space="4" w:color="auto"/>
        </w:pBdr>
        <w:rPr>
          <w:noProof/>
        </w:rPr>
      </w:pPr>
      <w:r>
        <w:rPr>
          <w:b/>
          <w:noProof/>
        </w:rPr>
        <w:t>Impactul internațional:</w:t>
      </w:r>
      <w:r>
        <w:rPr>
          <w:noProof/>
        </w:rPr>
        <w:t> Cadrul revizuit se va concentra în primul rând pe statele membre, așa cum se întâmplă în prezent, în conformitate cu instrumentul care oferă sprijin financiar direct CEC la nivelul UE (programul „Europa creativă” până în 2027 și succesorul acestuia). Cu toate acestea, prioritățile acțiunii externe a UE vor fi, de asemenea, luate în considerare pentru a se asigura că cadrul revizuit joacă un rol în politica de extindere a UE, în diplomația culturală și în relațiile culturale internaționale.</w:t>
      </w:r>
    </w:p>
    <w:p>
      <w:pPr>
        <w:pStyle w:val="Text1"/>
        <w:pBdr>
          <w:top w:val="single" w:sz="4" w:space="1" w:color="auto"/>
          <w:left w:val="single" w:sz="4" w:space="4" w:color="auto"/>
          <w:bottom w:val="single" w:sz="4" w:space="1" w:color="auto"/>
          <w:right w:val="single" w:sz="4" w:space="4" w:color="auto"/>
        </w:pBdr>
        <w:rPr>
          <w:noProof/>
        </w:rPr>
      </w:pPr>
      <w:r>
        <w:rPr>
          <w:b/>
          <w:noProof/>
        </w:rPr>
        <w:t>Obiectivele de dezvoltare durabilă ale ONU (ODD):</w:t>
      </w:r>
      <w:r>
        <w:rPr>
          <w:noProof/>
        </w:rPr>
        <w:t> Inițiativa va contribui în mod pozitiv la mai multe ODD, în special: ODD 4 (Educație de calitate); ODD 5 (Egalitatea de gen); ODD 8 (Condiții de muncă decente și creștere economică); ODD 10 (Reducerea inegalităților); ODD 11 (Orașe și comunități durabile); ODD 13 (Acțiune climatică); ODD 16 (Pace, justiție și instituții puternice); ODD 17 (Parteneriate pentru realizarea obiectivelor).</w:t>
      </w:r>
    </w:p>
    <w:p>
      <w:pPr>
        <w:pStyle w:val="ManualHeading3"/>
        <w:rPr>
          <w:noProof/>
        </w:rPr>
      </w:pPr>
      <w:bookmarkStart w:id="45" w:name="_Toc514938023"/>
      <w:bookmarkStart w:id="46" w:name="_Toc520485033"/>
      <w:bookmarkStart w:id="47" w:name="_Toc160804575"/>
      <w:bookmarkStart w:id="48" w:name="_Toc167220267"/>
      <w:bookmarkStart w:id="49" w:name="_Toc177548999"/>
      <w:r>
        <w:rPr>
          <w:noProof/>
        </w:rPr>
        <w:t>1.3.4.</w:t>
      </w:r>
      <w:r>
        <w:rPr>
          <w:noProof/>
        </w:rPr>
        <w:tab/>
        <w:t>Indicatori de performanță</w:t>
      </w:r>
      <w:bookmarkEnd w:id="45"/>
      <w:bookmarkEnd w:id="46"/>
      <w:bookmarkEnd w:id="47"/>
      <w:bookmarkEnd w:id="48"/>
      <w:bookmarkEnd w:id="49"/>
    </w:p>
    <w:p>
      <w:pPr>
        <w:pStyle w:val="Text1"/>
        <w:rPr>
          <w:i/>
          <w:noProof/>
          <w:sz w:val="20"/>
        </w:rPr>
      </w:pPr>
      <w:r>
        <w:rPr>
          <w:i/>
          <w:noProof/>
          <w:sz w:val="20"/>
        </w:rPr>
        <w:t>A se preciza indicatorii care permit monitorizarea progreselor și a realizărilor obținute.</w:t>
      </w:r>
    </w:p>
    <w:p>
      <w:pPr>
        <w:pStyle w:val="Text1"/>
        <w:pBdr>
          <w:top w:val="single" w:sz="4" w:space="1" w:color="auto"/>
          <w:left w:val="single" w:sz="4" w:space="4" w:color="auto"/>
          <w:bottom w:val="single" w:sz="4" w:space="1" w:color="auto"/>
          <w:right w:val="single" w:sz="4" w:space="4" w:color="auto"/>
        </w:pBdr>
        <w:rPr>
          <w:noProof/>
        </w:rPr>
      </w:pPr>
      <w:r>
        <w:rPr>
          <w:noProof/>
        </w:rPr>
        <w:t>Nu se aplică. Acțiunea CEC nu dispune de fonduri proprii. Bugetul aferent acțiunii va proveni din programul care va succeda programului „Europa creativă”. Fiecare oraș desemnat efectuează propria evaluare a performanței, pe baza orientărilor Comisiei, care vor fi revizuite după adoptarea temeiului juridic.</w:t>
      </w:r>
    </w:p>
    <w:p>
      <w:pPr>
        <w:pStyle w:val="ManualHeading2"/>
        <w:rPr>
          <w:noProof/>
        </w:rPr>
      </w:pPr>
      <w:bookmarkStart w:id="50" w:name="_Toc177549000"/>
      <w:r>
        <w:rPr>
          <w:noProof/>
        </w:rPr>
        <w:t>1.4.</w:t>
      </w:r>
      <w:r>
        <w:rPr>
          <w:noProof/>
        </w:rPr>
        <w:tab/>
        <w:t>Obiectul propunerii/inițiativei</w:t>
      </w:r>
      <w:bookmarkEnd w:id="50"/>
      <w:r>
        <w:rPr>
          <w:noProof/>
        </w:rPr>
        <w:t xml:space="preserve"> </w:t>
      </w:r>
    </w:p>
    <w:p>
      <w:pPr>
        <w:pStyle w:val="Text1"/>
        <w:rPr>
          <w:noProof/>
          <w:sz w:val="22"/>
        </w:rPr>
      </w:pPr>
      <w:r>
        <w:rPr>
          <w:rFonts w:ascii="Wingdings" w:hAnsi="Wingdings"/>
          <w:noProof/>
          <w:sz w:val="22"/>
        </w:rPr>
        <w:t>¨</w:t>
      </w:r>
      <w:r>
        <w:rPr>
          <w:i/>
          <w:noProof/>
          <w:sz w:val="22"/>
        </w:rPr>
        <w:t xml:space="preserve"> </w:t>
      </w:r>
      <w:r>
        <w:rPr>
          <w:noProof/>
        </w:rPr>
        <w:t>o acțiune nouă</w:t>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o acțiune nouă întreprinsă ca urmare a unui proiect-pilot/a unei acțiuni pregătitoare</w:t>
      </w:r>
      <w:r>
        <w:rPr>
          <w:rStyle w:val="FootnoteReference"/>
          <w:noProof/>
        </w:rPr>
        <w:footnoteReference w:id="34"/>
      </w:r>
      <w:r>
        <w:rPr>
          <w:noProof/>
          <w:sz w:val="22"/>
        </w:rPr>
        <w:t xml:space="preserve"> </w:t>
      </w:r>
    </w:p>
    <w:p>
      <w:pPr>
        <w:pStyle w:val="Text1"/>
        <w:rPr>
          <w:noProof/>
          <w:sz w:val="22"/>
        </w:rPr>
      </w:pPr>
      <w:r>
        <w:rPr>
          <w:rFonts w:ascii="Wingdings" w:hAnsi="Wingdings"/>
          <w:noProof/>
          <w:sz w:val="22"/>
        </w:rPr>
        <w:t>x</w:t>
      </w:r>
      <w:r>
        <w:rPr>
          <w:i/>
          <w:noProof/>
          <w:sz w:val="22"/>
        </w:rPr>
        <w:t xml:space="preserve"> </w:t>
      </w:r>
      <w:r>
        <w:rPr>
          <w:noProof/>
        </w:rPr>
        <w:t>prelungirea unei acțiuni existente</w:t>
      </w:r>
      <w:r>
        <w:rPr>
          <w:noProof/>
          <w:sz w:val="22"/>
        </w:rPr>
        <w:t xml:space="preserve"> </w:t>
      </w:r>
    </w:p>
    <w:p>
      <w:pPr>
        <w:pStyle w:val="Text1"/>
        <w:rPr>
          <w:noProof/>
        </w:rPr>
      </w:pPr>
      <w:r>
        <w:rPr>
          <w:rFonts w:ascii="Wingdings" w:hAnsi="Wingdings"/>
          <w:noProof/>
          <w:sz w:val="22"/>
        </w:rPr>
        <w:t>¨</w:t>
      </w:r>
      <w:r>
        <w:rPr>
          <w:i/>
          <w:noProof/>
          <w:sz w:val="22"/>
        </w:rPr>
        <w:t xml:space="preserve"> </w:t>
      </w:r>
      <w:r>
        <w:rPr>
          <w:noProof/>
        </w:rPr>
        <w:t>o fuziune sau o redirecționare a uneia sau mai multor acțiuni către o altă/o nouă acțiune</w:t>
      </w:r>
    </w:p>
    <w:p>
      <w:pPr>
        <w:pStyle w:val="ManualHeading2"/>
        <w:rPr>
          <w:bCs/>
          <w:noProof/>
          <w:szCs w:val="24"/>
        </w:rPr>
      </w:pPr>
      <w:bookmarkStart w:id="51" w:name="_Toc514938025"/>
      <w:bookmarkStart w:id="52" w:name="_Toc520485034"/>
      <w:bookmarkStart w:id="53" w:name="_Toc160804576"/>
      <w:bookmarkStart w:id="54" w:name="_Toc167220268"/>
      <w:bookmarkStart w:id="55" w:name="_Toc177549001"/>
      <w:r>
        <w:rPr>
          <w:noProof/>
        </w:rPr>
        <w:t>1.5.</w:t>
      </w:r>
      <w:r>
        <w:rPr>
          <w:noProof/>
        </w:rPr>
        <w:tab/>
        <w:t>Motivele propunerii/inițiativei</w:t>
      </w:r>
      <w:bookmarkEnd w:id="51"/>
      <w:bookmarkEnd w:id="52"/>
      <w:bookmarkEnd w:id="53"/>
      <w:bookmarkEnd w:id="54"/>
      <w:bookmarkEnd w:id="55"/>
      <w:r>
        <w:rPr>
          <w:noProof/>
        </w:rPr>
        <w:t xml:space="preserve"> </w:t>
      </w:r>
    </w:p>
    <w:p>
      <w:pPr>
        <w:pStyle w:val="ManualHeading3"/>
        <w:rPr>
          <w:noProof/>
        </w:rPr>
      </w:pPr>
      <w:bookmarkStart w:id="56" w:name="_Toc514938026"/>
      <w:bookmarkStart w:id="57" w:name="_Toc520485035"/>
      <w:bookmarkStart w:id="58" w:name="_Toc160804577"/>
      <w:bookmarkStart w:id="59" w:name="_Toc167220269"/>
      <w:bookmarkStart w:id="60" w:name="_Toc177549002"/>
      <w:r>
        <w:rPr>
          <w:noProof/>
        </w:rPr>
        <w:t>1.5.1.</w:t>
      </w:r>
      <w:r>
        <w:rPr>
          <w:noProof/>
        </w:rPr>
        <w:tab/>
        <w:t>Cerința (cerințele) care trebuie îndeplinită (îndeplinite) pe termen scurt sau lung, inclusiv un calendar detaliat pentru punerea în aplicare a inițiativei</w:t>
      </w:r>
      <w:bookmarkEnd w:id="56"/>
      <w:bookmarkEnd w:id="57"/>
      <w:bookmarkEnd w:id="58"/>
      <w:bookmarkEnd w:id="59"/>
      <w:bookmarkEnd w:id="60"/>
    </w:p>
    <w:p>
      <w:pPr>
        <w:pStyle w:val="Text1"/>
        <w:pBdr>
          <w:top w:val="single" w:sz="4" w:space="1" w:color="auto"/>
          <w:left w:val="single" w:sz="4" w:space="4" w:color="auto"/>
          <w:bottom w:val="single" w:sz="4" w:space="0" w:color="auto"/>
          <w:right w:val="single" w:sz="4" w:space="4" w:color="auto"/>
        </w:pBdr>
        <w:rPr>
          <w:noProof/>
        </w:rPr>
      </w:pPr>
      <w:r>
        <w:rPr>
          <w:noProof/>
        </w:rPr>
        <w:t>Acțiunea CEC va continua să scoată în evidență bogăția, diversitatea și caracteristicile comune ale culturilor europene, să promoveze o mai bună înțelegere între oameni și să încurajeze contribuția culturii la dezvoltarea pe termen lung a orașelor. </w:t>
      </w:r>
    </w:p>
    <w:p>
      <w:pPr>
        <w:pStyle w:val="ManualHeading3"/>
        <w:rPr>
          <w:bCs/>
          <w:noProof/>
          <w:szCs w:val="24"/>
        </w:rPr>
      </w:pPr>
      <w:bookmarkStart w:id="61" w:name="_Toc514938029"/>
      <w:bookmarkStart w:id="62" w:name="_Toc520485036"/>
      <w:bookmarkStart w:id="63" w:name="_Toc160804578"/>
      <w:bookmarkStart w:id="64" w:name="_Toc167220270"/>
      <w:bookmarkStart w:id="65" w:name="_Toc177549003"/>
      <w:r>
        <w:rPr>
          <w:noProof/>
        </w:rPr>
        <w:t>1.5.2.</w:t>
      </w:r>
      <w:r>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61"/>
      <w:bookmarkEnd w:id="62"/>
      <w:bookmarkEnd w:id="63"/>
      <w:bookmarkEnd w:id="64"/>
      <w:bookmarkEnd w:id="65"/>
    </w:p>
    <w:p>
      <w:pPr>
        <w:pStyle w:val="Text1"/>
        <w:pBdr>
          <w:top w:val="single" w:sz="4" w:space="1" w:color="auto"/>
          <w:left w:val="single" w:sz="4" w:space="4" w:color="auto"/>
          <w:bottom w:val="single" w:sz="4" w:space="1" w:color="auto"/>
          <w:right w:val="single" w:sz="4" w:space="4" w:color="auto"/>
        </w:pBdr>
        <w:rPr>
          <w:noProof/>
        </w:rPr>
      </w:pPr>
      <w:r>
        <w:rPr>
          <w:noProof/>
        </w:rPr>
        <w:t>Motivele acțiunii la nivelul UE (</w:t>
      </w:r>
      <w:r>
        <w:rPr>
          <w:i/>
          <w:noProof/>
        </w:rPr>
        <w:t>ex ante</w:t>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Guvernele naționale joacă un rol central în protejarea și promovarea culturii și a patrimoniului lor național. Cu toate acestea, prima evaluare interimară a Acțiunii Capitalele europene ale culturii 2020-2033 a constatat că CEC aduce o valoare adăugată semnificativă, oferind un cadru la nivel european care evidențiază importanța internațională a orașelor selectate. De asemenea, acțiunea consolidează rolul acestor orașe în promovarea diversității culturilor din Europa și a caracteristicilor lor comune, precum și în promovarea valorilor, a istoriei și a identității europene comune.</w:t>
      </w:r>
    </w:p>
    <w:p>
      <w:pPr>
        <w:pStyle w:val="Text1"/>
        <w:pBdr>
          <w:top w:val="single" w:sz="4" w:space="1" w:color="auto"/>
          <w:left w:val="single" w:sz="4" w:space="4" w:color="auto"/>
          <w:bottom w:val="single" w:sz="4" w:space="1" w:color="auto"/>
          <w:right w:val="single" w:sz="4" w:space="4" w:color="auto"/>
        </w:pBdr>
        <w:rPr>
          <w:noProof/>
        </w:rPr>
      </w:pPr>
      <w:r>
        <w:rPr>
          <w:noProof/>
        </w:rPr>
        <w:t>Valoarea adăugată pe care se preconizează că o va avea intervenția (</w:t>
      </w:r>
      <w:r>
        <w:rPr>
          <w:i/>
          <w:noProof/>
        </w:rPr>
        <w:t>ex post</w:t>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Acțiunea va îmbunătăți cooperarea voluntară, transferul de cunoștințe și vizibilitatea între orașele din întreaga UE și din afara acesteia. Titlul CEC a fost acordat de trei ori unor orașe din afara UE și va fi acordat din nou în 2030 și 2033 unui oraș dintr-o țară AELS/SEE, dintr-o țară candidată sau potențial candidată care participă la programul „Europa creativă” al UE. Acțiunea CEC sprijină eforturile naționale prin integrarea acestora într-o strategie coerentă a UE, contribuind la alinierea inițiativelor culturale la prioritățile mai ample ale UE, cum ar fi implicarea tinerilor, sustenabilitatea și inovarea digitală. Această inițiativă promovează, de asemenea, o reprezentare geografică mai echilibrată. Aspectul extern al acțiunii CEC se aliniază la eforturile mai ample ale UE de consolidare a politicilor de extindere, de promovare a diplomației culturale și a relațiilor culturale internaționale.</w:t>
      </w:r>
    </w:p>
    <w:p>
      <w:pPr>
        <w:pStyle w:val="Text1"/>
        <w:pBdr>
          <w:top w:val="single" w:sz="4" w:space="1" w:color="auto"/>
          <w:left w:val="single" w:sz="4" w:space="4" w:color="auto"/>
          <w:bottom w:val="single" w:sz="4" w:space="1" w:color="auto"/>
          <w:right w:val="single" w:sz="4" w:space="4" w:color="auto"/>
        </w:pBdr>
        <w:rPr>
          <w:noProof/>
        </w:rPr>
      </w:pPr>
      <w:r>
        <w:rPr>
          <w:noProof/>
        </w:rPr>
        <w:t>Reînnoirea temeiului juridic va consolida capacitatea inițiativei de a sprijini orașele într-un mod mai eficace, de a spori flexibilitatea în conceperea sa și de a îmbunătăți coerența și impactul său pe termen lung. Acest lucru va asigura faptul că UE continuă să joace un rol constructiv și complementar în peisajul cultural și al patrimoniului.</w:t>
      </w:r>
    </w:p>
    <w:p>
      <w:pPr>
        <w:pStyle w:val="ManualHeading3"/>
        <w:rPr>
          <w:noProof/>
        </w:rPr>
      </w:pPr>
      <w:bookmarkStart w:id="66" w:name="_Toc514938030"/>
      <w:bookmarkStart w:id="67" w:name="_Toc520485037"/>
      <w:bookmarkStart w:id="68" w:name="_Toc160804579"/>
      <w:bookmarkStart w:id="69" w:name="_Toc167220271"/>
      <w:bookmarkStart w:id="70" w:name="_Toc177549004"/>
      <w:r>
        <w:rPr>
          <w:noProof/>
        </w:rPr>
        <w:t>1.5.3.</w:t>
      </w:r>
      <w:r>
        <w:rPr>
          <w:noProof/>
        </w:rPr>
        <w:tab/>
        <w:t>Învățăminte desprinse din experiențele anterioare similare</w:t>
      </w:r>
      <w:bookmarkEnd w:id="66"/>
      <w:bookmarkEnd w:id="67"/>
      <w:bookmarkEnd w:id="68"/>
      <w:bookmarkEnd w:id="69"/>
      <w:bookmarkEnd w:id="70"/>
    </w:p>
    <w:p>
      <w:pPr>
        <w:pStyle w:val="Text1"/>
        <w:pBdr>
          <w:top w:val="single" w:sz="4" w:space="1" w:color="auto"/>
          <w:left w:val="single" w:sz="4" w:space="4" w:color="auto"/>
          <w:bottom w:val="single" w:sz="4" w:space="1" w:color="auto"/>
          <w:right w:val="single" w:sz="4" w:space="4" w:color="auto"/>
        </w:pBdr>
        <w:rPr>
          <w:noProof/>
        </w:rPr>
      </w:pPr>
      <w:r>
        <w:rPr>
          <w:noProof/>
        </w:rPr>
        <w:t>Prima evaluare interimară a acțiunii CEC pentru perioada 2020-2033 arată că aceasta este o acțiune emblematică de succes, cu un raport cost-eficacitate substanțial pentru UE, din cauza impactului său foarte limitat asupra bugetului UE. În plus, inițiativa poate transforma orașele candidate și orașele selectate. Acest lucru se datorează faptului că orașele trebuie să se implice în planificarea pe termen lung și să integreze cultura în politicile locale ale orașelor care urmează să fie luate în considerare pentru titlu. Acțiunea este, de asemenea, în concordanță cu alte inițiative ale UE (de exemplu, programul „Europa creativă”), facilitează partajarea valorilor UE și sprijină circulația profesioniștilor din domeniul culturii și a artiștilor europeni, precum și circulația operelor lor în întreaga UE și în afara acesteia.</w:t>
      </w:r>
    </w:p>
    <w:p>
      <w:pPr>
        <w:pStyle w:val="Text1"/>
        <w:pBdr>
          <w:top w:val="single" w:sz="4" w:space="1" w:color="auto"/>
          <w:left w:val="single" w:sz="4" w:space="4" w:color="auto"/>
          <w:bottom w:val="single" w:sz="4" w:space="1" w:color="auto"/>
          <w:right w:val="single" w:sz="4" w:space="4" w:color="auto"/>
        </w:pBdr>
        <w:rPr>
          <w:noProof/>
        </w:rPr>
      </w:pPr>
      <w:r>
        <w:rPr>
          <w:noProof/>
        </w:rPr>
        <w:t>După 40 de ani, acțiunea rămâne foarte dorită de orașe și de regiunile mai extinse care doresc să se dezvolte prin cultură. Cu toate acestea, pentru a asigura relevanța sa continuă în viitor, este necesar să se actualizeze acțiunea, ținând seama de tendințele emergente, cum ar fi numărul tot mai mare de orașe mai mici care concurează pentru titlu.</w:t>
      </w:r>
    </w:p>
    <w:p>
      <w:pPr>
        <w:pStyle w:val="Text1"/>
        <w:pBdr>
          <w:top w:val="single" w:sz="4" w:space="1" w:color="auto"/>
          <w:left w:val="single" w:sz="4" w:space="4" w:color="auto"/>
          <w:bottom w:val="single" w:sz="4" w:space="1" w:color="auto"/>
          <w:right w:val="single" w:sz="4" w:space="4" w:color="auto"/>
        </w:pBdr>
        <w:rPr>
          <w:noProof/>
        </w:rPr>
      </w:pPr>
      <w:r>
        <w:rPr>
          <w:b/>
          <w:noProof/>
        </w:rPr>
        <w:t xml:space="preserve">Dimensiunea europeană: </w:t>
      </w:r>
      <w:r>
        <w:rPr>
          <w:noProof/>
        </w:rPr>
        <w:t>Acesta este un aspect-cheie al acțiunii CEC (și unul dintre criteriile de selecție a orașelor deținătoare ale titlului), dar adesea nu este pe deplin înțeles de multe părți interesate. Evaluarea recomandă Comisiei să exploreze modalități de a explica mai bine acest aspect părților interesate.</w:t>
      </w:r>
    </w:p>
    <w:p>
      <w:pPr>
        <w:pStyle w:val="Text1"/>
        <w:pBdr>
          <w:top w:val="single" w:sz="4" w:space="1" w:color="auto"/>
          <w:left w:val="single" w:sz="4" w:space="4" w:color="auto"/>
          <w:bottom w:val="single" w:sz="4" w:space="1" w:color="auto"/>
          <w:right w:val="single" w:sz="4" w:space="4" w:color="auto"/>
        </w:pBdr>
        <w:rPr>
          <w:noProof/>
        </w:rPr>
      </w:pPr>
      <w:r>
        <w:rPr>
          <w:b/>
          <w:noProof/>
        </w:rPr>
        <w:t>Cunoștințe pe termen lung:</w:t>
      </w:r>
      <w:r>
        <w:rPr>
          <w:noProof/>
        </w:rPr>
        <w:t> Există o rețea de orașe candidate denumită Culture Next, înființată în 2017, care include orașe actuale și foste orașe, indiferent dacă li s-a acordat sau nu titlul. Cu toate acestea, nu există o rețea oficială a CEC, astfel încât apare riscul nepartajării cunoștințelor între orașele deținătoare ale titlului recent numite și cele anterioare. Comisia ar putea investiga modalitățile de promovare a schimbului de cunoștințe în cadrul comunității CEC pentru a maximiza întregul potențial al inițiativei, în special al dimensiunii sale europene.</w:t>
      </w:r>
    </w:p>
    <w:p>
      <w:pPr>
        <w:pStyle w:val="Text1"/>
        <w:pBdr>
          <w:top w:val="single" w:sz="4" w:space="1" w:color="auto"/>
          <w:left w:val="single" w:sz="4" w:space="4" w:color="auto"/>
          <w:bottom w:val="single" w:sz="4" w:space="1" w:color="auto"/>
          <w:right w:val="single" w:sz="4" w:space="4" w:color="auto"/>
        </w:pBdr>
        <w:rPr>
          <w:noProof/>
        </w:rPr>
      </w:pPr>
      <w:r>
        <w:rPr>
          <w:b/>
          <w:noProof/>
        </w:rPr>
        <w:t>Comunicare:</w:t>
      </w:r>
      <w:r>
        <w:rPr>
          <w:noProof/>
        </w:rPr>
        <w:t xml:space="preserve"> </w:t>
      </w:r>
      <w:bookmarkStart w:id="71" w:name="_Hlk233623138"/>
      <w:r>
        <w:rPr>
          <w:noProof/>
        </w:rPr>
        <w:t>În prezent, nu există campanii de comunicare la nivelul UE coordonate de Comisie sau de alte instituții ale UE pentru a promova orașele CEC. Acest lucru afectează vizibilitatea, impactul și sensibilizarea publicului cu privire la inițiativă. CEC ar putea beneficia de pe urma eforturilor de comunicare ale UE pentru a sprijini și a completa activitatea orașelor deținătoare ale titlului, cu contribuții din partea statelor membre. Numirea ambasadorilor CEC, cum ar fi comisarii sau deputații în Parlamentul European, ar putea, de asemenea, să consolideze inițiativa.</w:t>
      </w:r>
    </w:p>
    <w:bookmarkEnd w:id="71"/>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72" w:name="_Toc514938033"/>
      <w:bookmarkStart w:id="73" w:name="_Toc520485038"/>
      <w:bookmarkStart w:id="74" w:name="_Toc160804580"/>
      <w:bookmarkStart w:id="75" w:name="_Toc167220272"/>
      <w:bookmarkStart w:id="76" w:name="_Toc177549005"/>
      <w:r>
        <w:rPr>
          <w:noProof/>
        </w:rPr>
        <w:t>1.5.4.</w:t>
      </w:r>
      <w:r>
        <w:rPr>
          <w:noProof/>
        </w:rPr>
        <w:tab/>
        <w:t>Compatibilitatea cu cadrul financiar multianual și posibilele sinergii cu alte instrumente corespunzătoare</w:t>
      </w:r>
      <w:bookmarkEnd w:id="72"/>
      <w:bookmarkEnd w:id="73"/>
      <w:bookmarkEnd w:id="74"/>
      <w:bookmarkEnd w:id="75"/>
      <w:bookmarkEnd w:id="76"/>
    </w:p>
    <w:p>
      <w:pPr>
        <w:pStyle w:val="Text1"/>
        <w:pBdr>
          <w:top w:val="single" w:sz="4" w:space="1" w:color="auto"/>
          <w:left w:val="single" w:sz="4" w:space="4" w:color="auto"/>
          <w:bottom w:val="single" w:sz="4" w:space="1" w:color="auto"/>
          <w:right w:val="single" w:sz="4" w:space="4" w:color="auto"/>
        </w:pBdr>
        <w:rPr>
          <w:noProof/>
        </w:rPr>
      </w:pPr>
      <w:r>
        <w:rPr>
          <w:noProof/>
        </w:rPr>
        <w:t>Acțiunea „Capitalele europene ale culturii” (CEC) va decurge din succesorul programului „Europa creativă” (în prezent, propunerea de instituire a programului AgoraEU), care face parte din propunerea de cadru financiar multianual 2028-2034.</w:t>
      </w:r>
    </w:p>
    <w:p>
      <w:pPr>
        <w:pStyle w:val="Text1"/>
        <w:pBdr>
          <w:top w:val="single" w:sz="4" w:space="1" w:color="auto"/>
          <w:left w:val="single" w:sz="4" w:space="4" w:color="auto"/>
          <w:bottom w:val="single" w:sz="4" w:space="1" w:color="auto"/>
          <w:right w:val="single" w:sz="4" w:space="4" w:color="auto"/>
        </w:pBdr>
        <w:rPr>
          <w:noProof/>
        </w:rPr>
      </w:pPr>
      <w:r>
        <w:rPr>
          <w:noProof/>
        </w:rPr>
        <w:t>Acțiunea CEC este aliniată la obiectivele Busolei pentru cultura Europei și se bazează pe mai multe inițiative de politică esențiale, inclusiv Noua agendă europeană pentru cultură a Comisiei, planurile de lucru ale Consiliului în domeniul culturii, Comunicarea comună intitulată „Către o strategie a UE pentru relațiile culturale internaționale” și Cadrul de acțiune european pentru patrimoniul cultural.</w:t>
      </w:r>
    </w:p>
    <w:p>
      <w:pPr>
        <w:pStyle w:val="Text1"/>
        <w:pBdr>
          <w:top w:val="single" w:sz="4" w:space="1" w:color="auto"/>
          <w:left w:val="single" w:sz="4" w:space="4" w:color="auto"/>
          <w:bottom w:val="single" w:sz="4" w:space="1" w:color="auto"/>
          <w:right w:val="single" w:sz="4" w:space="4" w:color="auto"/>
        </w:pBdr>
        <w:rPr>
          <w:noProof/>
        </w:rPr>
      </w:pPr>
      <w:r>
        <w:rPr>
          <w:noProof/>
        </w:rPr>
        <w:t>Acțiunea Uniunii se aliniază, de asemenea, la inițiativele europene, cum ar fi noul Bauhaus european, Marca patrimoniului european și Agenda UE pentru orașe. De asemenea, inițiativa este în concordanță cu Declarația de la Roma din martie 2017, în care statele membre și instituțiile UE au avut în vedere o Uniune „în care cetățenii să beneficieze de noi oportunități de dezvoltare culturală și socială și de creștere economică [...]; o Uniune care păstrează patrimoniul nostru cultural și promovează diversitatea culturală”. În plus, aceasta se aliniază la Scutul european pentru democrație și la Strategia privind echitatea între generații. Acțiunea CEC va fi, de asemenea, în conformitate cu Strategia europeană pentru turismul durabil.</w:t>
      </w:r>
    </w:p>
    <w:p>
      <w:pPr>
        <w:pStyle w:val="Text1"/>
        <w:pBdr>
          <w:top w:val="single" w:sz="4" w:space="1" w:color="auto"/>
          <w:left w:val="single" w:sz="4" w:space="4" w:color="auto"/>
          <w:bottom w:val="single" w:sz="4" w:space="1" w:color="auto"/>
          <w:right w:val="single" w:sz="4" w:space="4" w:color="auto"/>
        </w:pBdr>
        <w:rPr>
          <w:noProof/>
        </w:rPr>
      </w:pPr>
      <w:bookmarkStart w:id="77" w:name="_Hlk234834294"/>
      <w:r>
        <w:rPr>
          <w:noProof/>
        </w:rPr>
        <w:t>Orașele candidate sunt încurajate să exploreze posibilitatea, acolo unde este cazul, de a recurge la sprijin financiar din partea programelor și a fondurilor Uniunii, în special din partea programului AgoraEU și a fondurilor europene pentru coeziune economică, socială și teritorială, agricultură și zone rurale, pescuit și afaceri maritime, și prosperitate și securitate, canalizate prin planurile de parteneriat național și regional, precum și prin programe ulterioare.</w:t>
      </w:r>
    </w:p>
    <w:p>
      <w:pPr>
        <w:pStyle w:val="ManualHeading3"/>
        <w:rPr>
          <w:noProof/>
        </w:rPr>
      </w:pPr>
      <w:bookmarkStart w:id="78" w:name="_Toc514938036"/>
      <w:bookmarkStart w:id="79" w:name="_Toc520485039"/>
      <w:bookmarkStart w:id="80" w:name="_Toc160804581"/>
      <w:bookmarkStart w:id="81" w:name="_Toc167220273"/>
      <w:bookmarkStart w:id="82" w:name="_Toc177549006"/>
      <w:bookmarkEnd w:id="77"/>
      <w:r>
        <w:rPr>
          <w:noProof/>
        </w:rPr>
        <w:t>1.5.5.</w:t>
      </w:r>
      <w:r>
        <w:rPr>
          <w:noProof/>
        </w:rPr>
        <w:tab/>
        <w:t xml:space="preserve">Evaluarea diferitelor opțiuni de finanțare disponibile, inclusiv a posibilităților de realocare a creditelor </w:t>
      </w:r>
      <w:bookmarkEnd w:id="78"/>
      <w:bookmarkEnd w:id="79"/>
      <w:bookmarkEnd w:id="80"/>
      <w:bookmarkEnd w:id="81"/>
      <w:bookmarkEnd w:id="82"/>
    </w:p>
    <w:p>
      <w:pPr>
        <w:pStyle w:val="Text1"/>
        <w:pBdr>
          <w:top w:val="single" w:sz="4" w:space="1" w:color="auto"/>
          <w:left w:val="single" w:sz="4" w:space="4" w:color="auto"/>
          <w:bottom w:val="single" w:sz="4" w:space="1" w:color="auto"/>
          <w:right w:val="single" w:sz="4" w:space="4" w:color="auto"/>
        </w:pBdr>
        <w:rPr>
          <w:noProof/>
        </w:rPr>
      </w:pPr>
      <w:r>
        <w:rPr>
          <w:noProof/>
        </w:rPr>
        <w:t>Nu se aplică</w:t>
      </w:r>
    </w:p>
    <w:p>
      <w:pPr>
        <w:pStyle w:val="ManualHeading2"/>
        <w:rPr>
          <w:bCs/>
          <w:noProof/>
          <w:szCs w:val="24"/>
        </w:rPr>
      </w:pPr>
      <w:r>
        <w:rPr>
          <w:noProof/>
        </w:rPr>
        <w:br w:type="page"/>
      </w:r>
      <w:bookmarkStart w:id="83" w:name="_Toc514938039"/>
      <w:bookmarkStart w:id="84" w:name="_Toc520485040"/>
      <w:bookmarkStart w:id="85" w:name="_Toc160804582"/>
      <w:bookmarkStart w:id="86" w:name="_Toc167220274"/>
      <w:bookmarkStart w:id="87" w:name="_Toc177549007"/>
      <w:r>
        <w:rPr>
          <w:noProof/>
        </w:rPr>
        <w:t>1.6.</w:t>
      </w:r>
      <w:r>
        <w:rPr>
          <w:noProof/>
        </w:rPr>
        <w:tab/>
        <w:t>Durata propunerii/inițiativei</w:t>
      </w:r>
      <w:bookmarkEnd w:id="83"/>
      <w:bookmarkEnd w:id="84"/>
      <w:r>
        <w:rPr>
          <w:noProof/>
        </w:rPr>
        <w:t xml:space="preserve"> și a impactului său financiar</w:t>
      </w:r>
      <w:bookmarkEnd w:id="85"/>
      <w:bookmarkEnd w:id="86"/>
      <w:bookmarkEnd w:id="87"/>
    </w:p>
    <w:p>
      <w:pPr>
        <w:pStyle w:val="Text1"/>
        <w:rPr>
          <w:noProof/>
        </w:rPr>
      </w:pPr>
      <w:r>
        <w:rPr>
          <w:rFonts w:ascii="Wingdings" w:hAnsi="Wingdings"/>
          <w:noProof/>
        </w:rPr>
        <w:t>x</w:t>
      </w:r>
      <w:r>
        <w:rPr>
          <w:b/>
          <w:i/>
          <w:noProof/>
        </w:rPr>
        <w:t xml:space="preserve"> </w:t>
      </w:r>
      <w:r>
        <w:rPr>
          <w:b/>
          <w:noProof/>
        </w:rPr>
        <w:t xml:space="preserve">durată limitată </w:t>
      </w:r>
    </w:p>
    <w:p>
      <w:pPr>
        <w:pStyle w:val="ListDash2"/>
        <w:rPr>
          <w:noProof/>
        </w:rPr>
      </w:pPr>
      <w:r>
        <w:rPr>
          <w:rFonts w:ascii="Wingdings" w:hAnsi="Wingdings"/>
          <w:noProof/>
        </w:rPr>
        <w:t>x</w:t>
      </w:r>
      <w:r>
        <w:rPr>
          <w:noProof/>
        </w:rPr>
        <w:tab/>
        <w:t xml:space="preserve">în vigoare de la 1.1.2034 până la 31.12.2047 </w:t>
      </w:r>
    </w:p>
    <w:p>
      <w:pPr>
        <w:pStyle w:val="ListDash2"/>
        <w:rPr>
          <w:noProof/>
        </w:rPr>
      </w:pPr>
      <w:r>
        <w:rPr>
          <w:rFonts w:ascii="Wingdings" w:hAnsi="Wingdings"/>
          <w:noProof/>
        </w:rPr>
        <w:t>x</w:t>
      </w:r>
      <w:r>
        <w:rPr>
          <w:noProof/>
        </w:rPr>
        <w:tab/>
        <w:t xml:space="preserve">impactul financiar din 2034 până în 2047 pentru creditele de angajament și din 2034 până în 2027 pentru creditele de plată. </w:t>
      </w:r>
    </w:p>
    <w:p>
      <w:pPr>
        <w:pStyle w:val="Text1"/>
        <w:rPr>
          <w:noProof/>
        </w:rPr>
      </w:pPr>
      <w:r>
        <w:rPr>
          <w:rFonts w:ascii="Wingdings" w:hAnsi="Wingdings"/>
          <w:noProof/>
        </w:rPr>
        <w:t>¨</w:t>
      </w:r>
      <w:r>
        <w:rPr>
          <w:b/>
          <w:noProof/>
        </w:rPr>
        <w:t xml:space="preserve"> durată nelimitată</w:t>
      </w:r>
    </w:p>
    <w:p>
      <w:pPr>
        <w:pStyle w:val="ListDash1"/>
        <w:rPr>
          <w:noProof/>
        </w:rPr>
      </w:pPr>
      <w:r>
        <w:rPr>
          <w:noProof/>
        </w:rPr>
        <w:t>punere în aplicare cu o perioadă de creștere în intensitate din AAAA până în AAAA,</w:t>
      </w:r>
    </w:p>
    <w:p>
      <w:pPr>
        <w:pStyle w:val="ListDash1"/>
        <w:rPr>
          <w:noProof/>
        </w:rPr>
      </w:pPr>
      <w:r>
        <w:rPr>
          <w:noProof/>
        </w:rPr>
        <w:t>urmată de o perioadă de funcționare la capacitate maximă.</w:t>
      </w:r>
    </w:p>
    <w:p>
      <w:pPr>
        <w:pStyle w:val="ManualHeading2"/>
        <w:rPr>
          <w:bCs/>
          <w:noProof/>
          <w:szCs w:val="24"/>
        </w:rPr>
      </w:pPr>
      <w:bookmarkStart w:id="88" w:name="_Toc514938040"/>
      <w:bookmarkStart w:id="89" w:name="_Toc520485041"/>
      <w:bookmarkStart w:id="90" w:name="_Toc160804583"/>
      <w:bookmarkStart w:id="91" w:name="_Toc167220275"/>
      <w:bookmarkStart w:id="92" w:name="_Toc177549008"/>
      <w:r>
        <w:rPr>
          <w:noProof/>
        </w:rPr>
        <w:t>1.7.</w:t>
      </w:r>
      <w:r>
        <w:rPr>
          <w:noProof/>
        </w:rPr>
        <w:tab/>
        <w:t>Metoda (metodele) de execuție a bugetului planificată (planificate)</w:t>
      </w:r>
      <w:bookmarkEnd w:id="88"/>
      <w:bookmarkEnd w:id="89"/>
      <w:bookmarkEnd w:id="90"/>
      <w:bookmarkEnd w:id="91"/>
      <w:bookmarkEnd w:id="92"/>
      <w:r>
        <w:rPr>
          <w:noProof/>
        </w:rPr>
        <w:t xml:space="preserve"> </w:t>
      </w:r>
    </w:p>
    <w:p>
      <w:pPr>
        <w:pStyle w:val="Text1"/>
        <w:rPr>
          <w:noProof/>
        </w:rPr>
      </w:pPr>
      <w:r>
        <w:rPr>
          <w:rFonts w:ascii="Wingdings" w:hAnsi="Wingdings"/>
          <w:noProof/>
        </w:rPr>
        <w:t>x</w:t>
      </w:r>
      <w:r>
        <w:rPr>
          <w:i/>
          <w:noProof/>
        </w:rPr>
        <w:t xml:space="preserve"> </w:t>
      </w:r>
      <w:r>
        <w:rPr>
          <w:b/>
          <w:noProof/>
        </w:rPr>
        <w:t>Gestiune directă</w:t>
      </w:r>
      <w:r>
        <w:rPr>
          <w:noProof/>
        </w:rPr>
        <w:t xml:space="preserve"> asigurată de Comisie</w:t>
      </w:r>
    </w:p>
    <w:p>
      <w:pPr>
        <w:pStyle w:val="ListDash2"/>
        <w:rPr>
          <w:rFonts w:cs="EUAlbertina"/>
          <w:noProof/>
        </w:rPr>
      </w:pPr>
      <w:r>
        <w:rPr>
          <w:rFonts w:ascii="Wingdings" w:hAnsi="Wingdings"/>
          <w:noProof/>
        </w:rPr>
        <w:t>x</w:t>
      </w:r>
      <w:r>
        <w:rPr>
          <w:noProof/>
        </w:rPr>
        <w:t xml:space="preserve"> prin intermediul serviciilor sale, inclusiv al personalului din delegațiile Uniunii; </w:t>
      </w:r>
    </w:p>
    <w:p>
      <w:pPr>
        <w:pStyle w:val="ListDash2"/>
        <w:rPr>
          <w:noProof/>
        </w:rPr>
      </w:pPr>
      <w:r>
        <w:rPr>
          <w:rFonts w:ascii="Wingdings" w:hAnsi="Wingdings"/>
          <w:noProof/>
        </w:rPr>
        <w:t>x</w:t>
      </w:r>
      <w:r>
        <w:rPr>
          <w:noProof/>
        </w:rPr>
        <w:t xml:space="preserve"> prin intermediul agențiilor executive. </w:t>
      </w:r>
    </w:p>
    <w:p>
      <w:pPr>
        <w:pStyle w:val="Text1"/>
        <w:rPr>
          <w:noProof/>
        </w:rPr>
      </w:pPr>
      <w:r>
        <w:rPr>
          <w:rFonts w:ascii="Wingdings" w:hAnsi="Wingdings"/>
          <w:noProof/>
        </w:rPr>
        <w:t>¨</w:t>
      </w:r>
      <w:r>
        <w:rPr>
          <w:b/>
          <w:i/>
          <w:noProof/>
        </w:rPr>
        <w:t xml:space="preserve"> </w:t>
      </w:r>
      <w:r>
        <w:rPr>
          <w:b/>
          <w:noProof/>
        </w:rPr>
        <w:t>Gestiune partajată</w:t>
      </w:r>
      <w:r>
        <w:rPr>
          <w:noProof/>
        </w:rPr>
        <w:t xml:space="preserve"> cu statele membre </w:t>
      </w:r>
    </w:p>
    <w:p>
      <w:pPr>
        <w:pStyle w:val="Text1"/>
        <w:rPr>
          <w:noProof/>
        </w:rPr>
      </w:pPr>
      <w:r>
        <w:rPr>
          <w:rFonts w:ascii="Wingdings" w:hAnsi="Wingdings"/>
          <w:noProof/>
        </w:rPr>
        <w:t>¨</w:t>
      </w:r>
      <w:r>
        <w:rPr>
          <w:i/>
          <w:noProof/>
        </w:rPr>
        <w:t xml:space="preserve"> </w:t>
      </w:r>
      <w:r>
        <w:rPr>
          <w:b/>
          <w:noProof/>
        </w:rPr>
        <w:t>Gestiune indirectă</w:t>
      </w:r>
      <w:r>
        <w:rPr>
          <w:noProof/>
        </w:rPr>
        <w:t>, cu delegarea sarcinilor de execuție bugetară:</w:t>
      </w:r>
    </w:p>
    <w:p>
      <w:pPr>
        <w:pStyle w:val="ListDash2"/>
        <w:rPr>
          <w:noProof/>
        </w:rPr>
      </w:pPr>
      <w:r>
        <w:rPr>
          <w:rFonts w:ascii="Wingdings" w:hAnsi="Wingdings"/>
          <w:noProof/>
        </w:rPr>
        <w:t>¨</w:t>
      </w:r>
      <w:r>
        <w:rPr>
          <w:noProof/>
        </w:rPr>
        <w:t xml:space="preserve"> țărilor terțe sau organismelor pe care le-au desemnat acestea</w:t>
      </w:r>
    </w:p>
    <w:p>
      <w:pPr>
        <w:pStyle w:val="ListDash2"/>
        <w:rPr>
          <w:noProof/>
        </w:rPr>
      </w:pPr>
      <w:r>
        <w:rPr>
          <w:rFonts w:ascii="Wingdings" w:hAnsi="Wingdings"/>
          <w:noProof/>
        </w:rPr>
        <w:t>¨</w:t>
      </w:r>
      <w:r>
        <w:rPr>
          <w:noProof/>
        </w:rPr>
        <w:t xml:space="preserve"> organizațiilor internaționale și agențiilor acestora (a se preciza)</w:t>
      </w:r>
    </w:p>
    <w:p>
      <w:pPr>
        <w:pStyle w:val="ListDash2"/>
        <w:rPr>
          <w:noProof/>
        </w:rPr>
      </w:pPr>
      <w:r>
        <w:rPr>
          <w:rFonts w:ascii="Wingdings" w:hAnsi="Wingdings"/>
          <w:noProof/>
        </w:rPr>
        <w:t>¨</w:t>
      </w:r>
      <w:r>
        <w:rPr>
          <w:noProof/>
        </w:rPr>
        <w:t xml:space="preserve"> Băncii Europene de Investiții și Fondului European de Investiții</w:t>
      </w:r>
    </w:p>
    <w:p>
      <w:pPr>
        <w:pStyle w:val="ListDash2"/>
        <w:rPr>
          <w:noProof/>
        </w:rPr>
      </w:pPr>
      <w:r>
        <w:rPr>
          <w:rFonts w:ascii="Wingdings" w:hAnsi="Wingdings"/>
          <w:noProof/>
        </w:rPr>
        <w:t>¨</w:t>
      </w:r>
      <w:r>
        <w:rPr>
          <w:noProof/>
        </w:rPr>
        <w:t xml:space="preserve"> organismelor menționate la articolele 70 și 71 din Regulamentul financiar</w:t>
      </w:r>
    </w:p>
    <w:p>
      <w:pPr>
        <w:pStyle w:val="ListDash2"/>
        <w:rPr>
          <w:noProof/>
        </w:rPr>
      </w:pPr>
      <w:r>
        <w:rPr>
          <w:rFonts w:ascii="Wingdings" w:hAnsi="Wingdings"/>
          <w:noProof/>
        </w:rPr>
        <w:t>¨</w:t>
      </w:r>
      <w:r>
        <w:rPr>
          <w:noProof/>
        </w:rPr>
        <w:t xml:space="preserve"> organismelor de drept public</w:t>
      </w:r>
    </w:p>
    <w:p>
      <w:pPr>
        <w:pStyle w:val="ListDash2"/>
        <w:rPr>
          <w:noProof/>
        </w:rPr>
      </w:pPr>
      <w:r>
        <w:rPr>
          <w:rFonts w:ascii="Wingdings" w:hAnsi="Wingdings"/>
          <w:noProof/>
        </w:rPr>
        <w:t>¨</w:t>
      </w:r>
      <w:r>
        <w:rPr>
          <w:noProof/>
        </w:rPr>
        <w:t xml:space="preserve"> organismelor de drept privat cu misiune de serviciu public, cu condiția să li se furnizeze garanții financiare adecvate</w:t>
      </w:r>
    </w:p>
    <w:p>
      <w:pPr>
        <w:pStyle w:val="ListDash2"/>
        <w:rPr>
          <w:noProof/>
        </w:rPr>
      </w:pPr>
      <w:r>
        <w:rPr>
          <w:rFonts w:ascii="Wingdings" w:hAnsi="Wingdings"/>
          <w:noProof/>
        </w:rPr>
        <w:t>¨</w:t>
      </w:r>
      <w:r>
        <w:rPr>
          <w:noProof/>
        </w:rPr>
        <w:t xml:space="preserve"> organismelor de drept privat dintr-un stat membru care sunt responsabile cu punerea în aplicare a unui parteneriat public-privat și cărora li se furnizează garanții financiare adecvate</w:t>
      </w:r>
    </w:p>
    <w:p>
      <w:pPr>
        <w:pStyle w:val="ListDash2"/>
        <w:rPr>
          <w:noProof/>
        </w:rPr>
      </w:pPr>
      <w:r>
        <w:rPr>
          <w:rFonts w:ascii="Wingdings" w:hAnsi="Wingdings"/>
          <w:noProof/>
        </w:rPr>
        <w:t>¨</w:t>
      </w:r>
      <w:r>
        <w:rPr>
          <w:noProof/>
        </w:rPr>
        <w:t>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pPr>
        <w:pStyle w:val="ListDash2"/>
        <w:rPr>
          <w:noProof/>
        </w:rPr>
      </w:pPr>
      <w:r>
        <w:rPr>
          <w:rFonts w:ascii="Wingdings" w:hAnsi="Wingdings"/>
          <w:noProof/>
        </w:rPr>
        <w:t>¨</w:t>
      </w:r>
      <w:r>
        <w:rPr>
          <w:noProof/>
        </w:rPr>
        <w:t xml:space="preserve"> 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pPr>
        <w:rPr>
          <w:noProof/>
        </w:rPr>
      </w:pPr>
      <w:r>
        <w:rPr>
          <w:noProof/>
        </w:rPr>
        <w:t xml:space="preserve">Observații </w:t>
      </w:r>
    </w:p>
    <w:p>
      <w:pPr>
        <w:pBdr>
          <w:top w:val="single" w:sz="4" w:space="1" w:color="auto"/>
          <w:left w:val="single" w:sz="4" w:space="4" w:color="auto"/>
          <w:bottom w:val="single" w:sz="4" w:space="1" w:color="auto"/>
          <w:right w:val="single" w:sz="4" w:space="4" w:color="auto"/>
        </w:pBdr>
        <w:rPr>
          <w:noProof/>
        </w:rPr>
      </w:pPr>
      <w:r>
        <w:rPr>
          <w:noProof/>
        </w:rPr>
        <w:t>Acțiunea va fi pusă în aplicare prin gestiune directă de către Comisie, existând posibilitatea ca unele părți ale acesteia să fie delegate unui organism de punere în aplicare a programului.</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93" w:name="_Toc514938041"/>
      <w:bookmarkStart w:id="94" w:name="_Toc520485042"/>
      <w:bookmarkStart w:id="95" w:name="_Toc160804584"/>
      <w:bookmarkStart w:id="96" w:name="_Toc167220276"/>
      <w:bookmarkStart w:id="97" w:name="_Toc177549009"/>
      <w:r>
        <w:rPr>
          <w:noProof/>
        </w:rPr>
        <w:t>2.</w:t>
      </w:r>
      <w:r>
        <w:rPr>
          <w:noProof/>
        </w:rPr>
        <w:tab/>
        <w:t>MĂSURI DE GESTIUNE</w:t>
      </w:r>
      <w:bookmarkEnd w:id="93"/>
      <w:bookmarkEnd w:id="94"/>
      <w:bookmarkEnd w:id="95"/>
      <w:bookmarkEnd w:id="96"/>
      <w:bookmarkEnd w:id="97"/>
      <w:r>
        <w:rPr>
          <w:noProof/>
        </w:rPr>
        <w:t xml:space="preserve"> </w:t>
      </w:r>
    </w:p>
    <w:p>
      <w:pPr>
        <w:pStyle w:val="ManualHeading2"/>
        <w:rPr>
          <w:noProof/>
        </w:rPr>
      </w:pPr>
      <w:bookmarkStart w:id="98" w:name="_Toc514938042"/>
      <w:bookmarkStart w:id="99" w:name="_Toc520485043"/>
      <w:bookmarkStart w:id="100" w:name="_Toc160804585"/>
      <w:bookmarkStart w:id="101" w:name="_Toc167220277"/>
      <w:bookmarkStart w:id="102" w:name="_Toc177549010"/>
      <w:r>
        <w:rPr>
          <w:noProof/>
        </w:rPr>
        <w:t>2.1.</w:t>
      </w:r>
      <w:r>
        <w:rPr>
          <w:noProof/>
        </w:rPr>
        <w:tab/>
        <w:t>Dispoziții în materie de monitorizare și de raportare</w:t>
      </w:r>
      <w:bookmarkEnd w:id="98"/>
      <w:bookmarkEnd w:id="99"/>
      <w:bookmarkEnd w:id="100"/>
      <w:bookmarkEnd w:id="101"/>
      <w:bookmarkEnd w:id="102"/>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Nu se aplică. Fiecare oraș desemnat efectuează propria evaluare a performanței, pe baza orientărilor Comisiei, care vor fi revizuite după adoptarea temeiului juridic. </w:t>
      </w:r>
    </w:p>
    <w:p>
      <w:pPr>
        <w:pStyle w:val="Text1"/>
        <w:pBdr>
          <w:top w:val="single" w:sz="4" w:space="1" w:color="auto"/>
          <w:left w:val="single" w:sz="4" w:space="4" w:color="auto"/>
          <w:bottom w:val="single" w:sz="4" w:space="1" w:color="auto"/>
          <w:right w:val="single" w:sz="4" w:space="4" w:color="auto"/>
        </w:pBdr>
        <w:rPr>
          <w:noProof/>
        </w:rPr>
      </w:pPr>
      <w:r>
        <w:rPr>
          <w:noProof/>
        </w:rPr>
        <w:t>Comisia va prezenta Parlamentului European, Consiliului, Comitetului Economic și Social European și Comitetului Regiunilor următoarele rapoarte, întocmite pe baza evaluărilor menționate și însoțite, dacă este cazul, de propuneri corespunzătoare:</w:t>
      </w:r>
    </w:p>
    <w:p>
      <w:pPr>
        <w:pStyle w:val="Text1"/>
        <w:pBdr>
          <w:top w:val="single" w:sz="4" w:space="1" w:color="auto"/>
          <w:left w:val="single" w:sz="4" w:space="4" w:color="auto"/>
          <w:bottom w:val="single" w:sz="4" w:space="1" w:color="auto"/>
          <w:right w:val="single" w:sz="4" w:space="4" w:color="auto"/>
        </w:pBdr>
        <w:rPr>
          <w:noProof/>
        </w:rPr>
      </w:pPr>
      <w:r>
        <w:rPr>
          <w:noProof/>
        </w:rPr>
        <w:t>(a) un raport intermediar inițial;</w:t>
      </w:r>
    </w:p>
    <w:p>
      <w:pPr>
        <w:pStyle w:val="Text1"/>
        <w:pBdr>
          <w:top w:val="single" w:sz="4" w:space="1" w:color="auto"/>
          <w:left w:val="single" w:sz="4" w:space="4" w:color="auto"/>
          <w:bottom w:val="single" w:sz="4" w:space="1" w:color="auto"/>
          <w:right w:val="single" w:sz="4" w:space="4" w:color="auto"/>
        </w:pBdr>
        <w:rPr>
          <w:noProof/>
        </w:rPr>
      </w:pPr>
      <w:r>
        <w:rPr>
          <w:noProof/>
        </w:rPr>
        <w:t>(b) un al doilea raport intermediar;</w:t>
      </w:r>
    </w:p>
    <w:p>
      <w:pPr>
        <w:pStyle w:val="Text1"/>
        <w:pBdr>
          <w:top w:val="single" w:sz="4" w:space="1" w:color="auto"/>
          <w:left w:val="single" w:sz="4" w:space="4" w:color="auto"/>
          <w:bottom w:val="single" w:sz="4" w:space="1" w:color="auto"/>
          <w:right w:val="single" w:sz="4" w:space="4" w:color="auto"/>
        </w:pBdr>
        <w:rPr>
          <w:noProof/>
        </w:rPr>
      </w:pPr>
      <w:r>
        <w:rPr>
          <w:noProof/>
        </w:rPr>
        <w:t>(c) un raport ex post.</w:t>
      </w:r>
    </w:p>
    <w:p>
      <w:pPr>
        <w:pStyle w:val="ManualHeading2"/>
        <w:rPr>
          <w:bCs/>
          <w:noProof/>
          <w:szCs w:val="24"/>
        </w:rPr>
      </w:pPr>
      <w:bookmarkStart w:id="103" w:name="_Toc514938045"/>
      <w:bookmarkStart w:id="104" w:name="_Toc520485044"/>
      <w:bookmarkStart w:id="105" w:name="_Toc160804586"/>
      <w:bookmarkStart w:id="106" w:name="_Toc167220278"/>
      <w:bookmarkStart w:id="107" w:name="_Toc177549011"/>
      <w:r>
        <w:rPr>
          <w:noProof/>
        </w:rPr>
        <w:t>2.2.</w:t>
      </w:r>
      <w:r>
        <w:rPr>
          <w:noProof/>
        </w:rPr>
        <w:tab/>
        <w:t>Sistemul (sistemele) de gestiune și de control</w:t>
      </w:r>
      <w:bookmarkEnd w:id="103"/>
      <w:bookmarkEnd w:id="104"/>
      <w:bookmarkEnd w:id="105"/>
      <w:bookmarkEnd w:id="106"/>
      <w:bookmarkEnd w:id="107"/>
      <w:r>
        <w:rPr>
          <w:noProof/>
        </w:rPr>
        <w:t xml:space="preserve"> </w:t>
      </w:r>
    </w:p>
    <w:p>
      <w:pPr>
        <w:pStyle w:val="ManualHeading3"/>
        <w:rPr>
          <w:noProof/>
        </w:rPr>
      </w:pPr>
      <w:bookmarkStart w:id="108" w:name="_Toc514938046"/>
      <w:bookmarkStart w:id="109" w:name="_Toc520485045"/>
      <w:bookmarkStart w:id="110" w:name="_Toc160804587"/>
      <w:bookmarkStart w:id="111" w:name="_Toc167220279"/>
      <w:bookmarkStart w:id="112" w:name="_Toc177549012"/>
      <w:r>
        <w:rPr>
          <w:noProof/>
        </w:rPr>
        <w:t>2.2.1.</w:t>
      </w:r>
      <w:r>
        <w:rPr>
          <w:noProof/>
        </w:rPr>
        <w:tab/>
        <w:t>Justificarea metodei (metodelor) de execuție bugetară, a mecanismului (mecanismelor) de punere în aplicare a finanțării, a modalităților de plată și a strategiei de control propuse</w:t>
      </w:r>
      <w:bookmarkEnd w:id="108"/>
      <w:bookmarkEnd w:id="109"/>
      <w:bookmarkEnd w:id="110"/>
      <w:bookmarkEnd w:id="111"/>
      <w:bookmarkEnd w:id="112"/>
    </w:p>
    <w:p>
      <w:pPr>
        <w:pStyle w:val="Text1"/>
        <w:pBdr>
          <w:top w:val="single" w:sz="4" w:space="1" w:color="auto"/>
          <w:left w:val="single" w:sz="4" w:space="4" w:color="auto"/>
          <w:bottom w:val="single" w:sz="4" w:space="1" w:color="auto"/>
          <w:right w:val="single" w:sz="4" w:space="4" w:color="auto"/>
        </w:pBdr>
        <w:rPr>
          <w:noProof/>
        </w:rPr>
      </w:pPr>
      <w:r>
        <w:rPr>
          <w:noProof/>
        </w:rPr>
        <w:t xml:space="preserve">Nu se aplică. Bugetul aferent acțiunii CEC va proveni din programul care va succeda programului „Europa creativă”. </w:t>
      </w:r>
    </w:p>
    <w:p>
      <w:pPr>
        <w:pStyle w:val="ManualHeading3"/>
        <w:rPr>
          <w:bCs/>
          <w:noProof/>
          <w:szCs w:val="24"/>
        </w:rPr>
      </w:pPr>
      <w:bookmarkStart w:id="113" w:name="_Toc514938047"/>
      <w:bookmarkStart w:id="114" w:name="_Toc520485046"/>
      <w:bookmarkStart w:id="115" w:name="_Toc160804588"/>
      <w:bookmarkStart w:id="116" w:name="_Toc167220280"/>
      <w:bookmarkStart w:id="117" w:name="_Toc177549013"/>
      <w:r>
        <w:rPr>
          <w:noProof/>
        </w:rPr>
        <w:t>2.2.2.</w:t>
      </w:r>
      <w:r>
        <w:rPr>
          <w:noProof/>
        </w:rPr>
        <w:tab/>
        <w:t>Informații privind riscurile identificate și sistemul (sistemele) de control intern instituit(e) pentru atenuarea lor</w:t>
      </w:r>
      <w:bookmarkEnd w:id="113"/>
      <w:bookmarkEnd w:id="114"/>
      <w:bookmarkEnd w:id="115"/>
      <w:bookmarkEnd w:id="116"/>
      <w:bookmarkEnd w:id="117"/>
    </w:p>
    <w:p>
      <w:pPr>
        <w:pStyle w:val="Text1"/>
        <w:pBdr>
          <w:top w:val="single" w:sz="4" w:space="1" w:color="auto"/>
          <w:left w:val="single" w:sz="4" w:space="4" w:color="auto"/>
          <w:bottom w:val="single" w:sz="4" w:space="1" w:color="auto"/>
          <w:right w:val="single" w:sz="4" w:space="4" w:color="auto"/>
        </w:pBdr>
        <w:rPr>
          <w:noProof/>
        </w:rPr>
      </w:pPr>
      <w:r>
        <w:rPr>
          <w:noProof/>
        </w:rPr>
        <w:t>Comisia acordă un premiu în bani simbolic fiecărui oraș desemnat care și-a îndeplinit angajamentele asumate în cadrul procedurii de ofertare și care are un plan de activități cu efecte durabile și o dimensiune europeană. Premiul este o sumă fixă plătită în două tranșe după mai multe reuniuni de monitorizare desfășurate de un juriu de experți independenți.</w:t>
      </w:r>
    </w:p>
    <w:p>
      <w:pPr>
        <w:pStyle w:val="ManualHeading3"/>
        <w:rPr>
          <w:noProof/>
        </w:rPr>
      </w:pPr>
      <w:bookmarkStart w:id="118" w:name="_Toc514938048"/>
      <w:bookmarkStart w:id="119" w:name="_Toc520485047"/>
      <w:bookmarkStart w:id="120" w:name="_Toc160804589"/>
      <w:bookmarkStart w:id="121" w:name="_Toc167220281"/>
      <w:bookmarkStart w:id="122" w:name="_Toc177549014"/>
      <w:r>
        <w:rPr>
          <w:noProof/>
        </w:rPr>
        <w:t>2.2.3.</w:t>
      </w:r>
      <w:r>
        <w:rPr>
          <w:noProof/>
        </w:rPr>
        <w:tab/>
        <w:t>Estimarea și justificarea raportului cost-eficacitate al controalelor (raportul dintre costurile controalelor și valoarea fondurilor aferente gestionate) și evaluarea nivelurilor preconizate ale riscurilor de eroare (la plată și la închidere)</w:t>
      </w:r>
      <w:bookmarkEnd w:id="118"/>
      <w:bookmarkEnd w:id="119"/>
      <w:bookmarkEnd w:id="120"/>
      <w:bookmarkEnd w:id="121"/>
      <w:bookmarkEnd w:id="122"/>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Nu se aplică. Fiecare oraș desemnat efectuează propria evaluare a performanței, pe baza orientărilor Comisiei, care vor fi revizuite după adoptarea temeiului juridic.</w:t>
      </w:r>
    </w:p>
    <w:p>
      <w:pPr>
        <w:pStyle w:val="ManualHeading2"/>
        <w:rPr>
          <w:bCs/>
          <w:noProof/>
          <w:szCs w:val="24"/>
        </w:rPr>
      </w:pPr>
      <w:bookmarkStart w:id="123" w:name="_Toc514938049"/>
      <w:bookmarkStart w:id="124" w:name="_Toc520485048"/>
      <w:bookmarkStart w:id="125" w:name="_Toc160804590"/>
      <w:bookmarkStart w:id="126" w:name="_Toc167220282"/>
      <w:bookmarkStart w:id="127" w:name="_Toc177549015"/>
      <w:r>
        <w:rPr>
          <w:noProof/>
        </w:rPr>
        <w:t>2.3.</w:t>
      </w:r>
      <w:r>
        <w:rPr>
          <w:noProof/>
        </w:rPr>
        <w:tab/>
        <w:t>Măsuri de prevenire a fraudelor și a neregulilor</w:t>
      </w:r>
      <w:bookmarkEnd w:id="123"/>
      <w:bookmarkEnd w:id="124"/>
      <w:bookmarkEnd w:id="125"/>
      <w:bookmarkEnd w:id="126"/>
      <w:bookmarkEnd w:id="127"/>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Serviciile respective vor aplica în continuare strategia lor antifraudă – în concordanță cu strategia antifraudă a Comisiei (SAFC) – pentru a asigura, printre altele, alinierea deplină la SAFC a controalelor lor antifraudă interne și faptul că abordarea lor privind gestionarea riscurilor legate de fraude se concentrează pe identificarea cazurilor cu risc de fraudă și găsirea soluțiilor adecvate. Strategiile antifraudă în vigoare permit abordarea riscului de fraudă, în principal prin măsuri de prevenire a neregulilor, care sunt apoi intensificate în cazul detectării fraudelor. </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128" w:name="_Toc514938050"/>
      <w:bookmarkStart w:id="129" w:name="_Toc520485049"/>
      <w:bookmarkStart w:id="130" w:name="_Toc160804591"/>
      <w:bookmarkStart w:id="131" w:name="_Toc167220283"/>
      <w:bookmarkStart w:id="132" w:name="_Toc177549016"/>
      <w:r>
        <w:rPr>
          <w:noProof/>
        </w:rPr>
        <w:t>3.</w:t>
      </w:r>
      <w:r>
        <w:rPr>
          <w:noProof/>
        </w:rPr>
        <w:tab/>
        <w:t>IMPACTUL FINANCIAR ESTIMAT AL PROPUNERII/INIȚIATIVEI</w:t>
      </w:r>
      <w:bookmarkEnd w:id="128"/>
      <w:bookmarkEnd w:id="129"/>
      <w:bookmarkEnd w:id="130"/>
      <w:bookmarkEnd w:id="131"/>
      <w:bookmarkEnd w:id="132"/>
      <w:r>
        <w:rPr>
          <w:noProof/>
        </w:rPr>
        <w:t xml:space="preserve"> </w:t>
      </w:r>
    </w:p>
    <w:p>
      <w:pPr>
        <w:pStyle w:val="ManualHeading2"/>
        <w:rPr>
          <w:noProof/>
        </w:rPr>
      </w:pPr>
      <w:bookmarkStart w:id="133" w:name="_Toc514938051"/>
      <w:bookmarkStart w:id="134" w:name="_Toc520485050"/>
      <w:bookmarkStart w:id="135" w:name="_Toc160804592"/>
      <w:bookmarkStart w:id="136" w:name="_Toc167220284"/>
      <w:bookmarkStart w:id="137" w:name="_Toc177549017"/>
      <w:r>
        <w:rPr>
          <w:noProof/>
        </w:rPr>
        <w:t>3.1.</w:t>
      </w:r>
      <w:r>
        <w:rPr>
          <w:noProof/>
        </w:rPr>
        <w:tab/>
        <w:t>Rubrica (rubricile) din cadrul financiar multianual și linia (liniile) bugetară (bugetare) de cheltuieli afectată (afectate)</w:t>
      </w:r>
      <w:bookmarkEnd w:id="133"/>
      <w:bookmarkEnd w:id="134"/>
      <w:bookmarkEnd w:id="135"/>
      <w:bookmarkEnd w:id="136"/>
      <w:bookmarkEnd w:id="137"/>
      <w:r>
        <w:rPr>
          <w:noProof/>
        </w:rPr>
        <w:t xml:space="preserve"> </w:t>
      </w:r>
    </w:p>
    <w:p>
      <w:pPr>
        <w:pStyle w:val="ListBullet1"/>
        <w:rPr>
          <w:noProof/>
        </w:rPr>
      </w:pPr>
      <w:r>
        <w:rPr>
          <w:noProof/>
        </w:rPr>
        <w:t xml:space="preserve">Linii bugetare existente </w:t>
      </w:r>
    </w:p>
    <w:p>
      <w:pPr>
        <w:pStyle w:val="Text1"/>
        <w:rPr>
          <w:i/>
          <w:noProof/>
        </w:rPr>
      </w:pPr>
      <w:r>
        <w:rPr>
          <w:i/>
          <w:noProof/>
          <w:u w:val="single"/>
        </w:rPr>
        <w:t>În ordinea</w:t>
      </w:r>
      <w:r>
        <w:rPr>
          <w:i/>
          <w:noProof/>
        </w:rPr>
        <w:t xml:space="preserve"> rubricilor din cadrul financiar multianual și a liniilor bugetare.</w:t>
      </w:r>
    </w:p>
    <w:p>
      <w:pPr>
        <w:pStyle w:val="Text1"/>
        <w:ind w:left="0"/>
        <w:rPr>
          <w:iCs/>
          <w:noProof/>
        </w:rPr>
      </w:pPr>
      <w:r>
        <w:rPr>
          <w:noProof/>
        </w:rPr>
        <w:t>Observație: Nu se aplică. Acțiunea CEC nu dispune de fonduri proprii. Bugetul aferent acțiunii va proveni din programul care va succeda programului „Europa creativă”.</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Rubrica din cadrul financiar multianual</w:t>
            </w:r>
          </w:p>
        </w:tc>
        <w:tc>
          <w:tcPr>
            <w:tcW w:w="4002" w:type="dxa"/>
            <w:vAlign w:val="center"/>
          </w:tcPr>
          <w:p>
            <w:pPr>
              <w:spacing w:before="60" w:after="60"/>
              <w:jc w:val="center"/>
              <w:rPr>
                <w:noProof/>
              </w:rPr>
            </w:pPr>
            <w:r>
              <w:rPr>
                <w:noProof/>
                <w:sz w:val="20"/>
              </w:rPr>
              <w:t>Linia bugetară</w:t>
            </w:r>
          </w:p>
        </w:tc>
        <w:tc>
          <w:tcPr>
            <w:tcW w:w="1092" w:type="dxa"/>
            <w:vAlign w:val="center"/>
          </w:tcPr>
          <w:p>
            <w:pPr>
              <w:spacing w:before="60" w:after="60"/>
              <w:jc w:val="center"/>
              <w:rPr>
                <w:noProof/>
              </w:rPr>
            </w:pPr>
            <w:r>
              <w:rPr>
                <w:noProof/>
                <w:sz w:val="18"/>
              </w:rPr>
              <w:t>Tipul de cheltuieli</w:t>
            </w:r>
          </w:p>
        </w:tc>
        <w:tc>
          <w:tcPr>
            <w:tcW w:w="4487" w:type="dxa"/>
            <w:gridSpan w:val="4"/>
            <w:vAlign w:val="center"/>
          </w:tcPr>
          <w:p>
            <w:pPr>
              <w:spacing w:before="60" w:after="60"/>
              <w:jc w:val="center"/>
              <w:rPr>
                <w:noProof/>
              </w:rPr>
            </w:pPr>
            <w:r>
              <w:rPr>
                <w:noProof/>
                <w:sz w:val="20"/>
              </w:rPr>
              <w:t xml:space="preserve">Contribuție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Numărul </w:t>
            </w:r>
            <w:r>
              <w:rPr>
                <w:noProof/>
              </w:rPr>
              <w:t xml:space="preserve"> </w:t>
            </w:r>
            <w:r>
              <w:rPr>
                <w:noProof/>
              </w:rPr>
              <w:br/>
            </w:r>
          </w:p>
        </w:tc>
        <w:tc>
          <w:tcPr>
            <w:tcW w:w="1092" w:type="dxa"/>
            <w:vAlign w:val="center"/>
          </w:tcPr>
          <w:p>
            <w:pPr>
              <w:jc w:val="center"/>
              <w:rPr>
                <w:noProof/>
              </w:rPr>
            </w:pPr>
            <w:r>
              <w:rPr>
                <w:noProof/>
              </w:rPr>
              <w:t>Dif./Nedif.</w:t>
            </w:r>
            <w:r>
              <w:rPr>
                <w:rStyle w:val="FootnoteReference"/>
                <w:noProof/>
              </w:rPr>
              <w:footnoteReference w:id="35"/>
            </w:r>
          </w:p>
        </w:tc>
        <w:tc>
          <w:tcPr>
            <w:tcW w:w="966" w:type="dxa"/>
            <w:vAlign w:val="center"/>
          </w:tcPr>
          <w:p>
            <w:pPr>
              <w:jc w:val="center"/>
              <w:rPr>
                <w:b/>
                <w:noProof/>
                <w:sz w:val="18"/>
              </w:rPr>
            </w:pPr>
            <w:r>
              <w:rPr>
                <w:noProof/>
                <w:sz w:val="18"/>
              </w:rPr>
              <w:t>din partea țărilor AELS</w:t>
            </w:r>
            <w:r>
              <w:rPr>
                <w:rStyle w:val="FootnoteReference"/>
                <w:noProof/>
                <w:sz w:val="18"/>
                <w:szCs w:val="18"/>
              </w:rPr>
              <w:footnoteReference w:id="36"/>
            </w:r>
          </w:p>
        </w:tc>
        <w:tc>
          <w:tcPr>
            <w:tcW w:w="1092" w:type="dxa"/>
            <w:vAlign w:val="center"/>
          </w:tcPr>
          <w:p>
            <w:pPr>
              <w:jc w:val="center"/>
              <w:rPr>
                <w:noProof/>
                <w:sz w:val="18"/>
              </w:rPr>
            </w:pPr>
            <w:r>
              <w:rPr>
                <w:noProof/>
                <w:sz w:val="18"/>
              </w:rPr>
              <w:t>din partea țărilor candidate și potențial candidate</w:t>
            </w:r>
            <w:r>
              <w:rPr>
                <w:rStyle w:val="FootnoteReference"/>
                <w:noProof/>
                <w:sz w:val="18"/>
                <w:szCs w:val="18"/>
              </w:rPr>
              <w:footnoteReference w:id="37"/>
            </w:r>
          </w:p>
        </w:tc>
        <w:tc>
          <w:tcPr>
            <w:tcW w:w="966" w:type="dxa"/>
            <w:vAlign w:val="center"/>
          </w:tcPr>
          <w:p>
            <w:pPr>
              <w:jc w:val="center"/>
              <w:rPr>
                <w:noProof/>
                <w:sz w:val="18"/>
              </w:rPr>
            </w:pPr>
            <w:r>
              <w:rPr>
                <w:noProof/>
                <w:sz w:val="18"/>
              </w:rPr>
              <w:t>din partea altor țări terțe</w:t>
            </w:r>
          </w:p>
        </w:tc>
        <w:tc>
          <w:tcPr>
            <w:tcW w:w="1463" w:type="dxa"/>
            <w:vAlign w:val="center"/>
          </w:tcPr>
          <w:p>
            <w:pPr>
              <w:jc w:val="center"/>
              <w:rPr>
                <w:noProof/>
              </w:rPr>
            </w:pPr>
            <w:r>
              <w:rPr>
                <w:noProof/>
                <w:sz w:val="18"/>
              </w:rPr>
              <w:t>alte venituri alocate</w:t>
            </w:r>
          </w:p>
        </w:tc>
      </w:tr>
      <w:tr>
        <w:trPr>
          <w:jc w:val="center"/>
        </w:trPr>
        <w:tc>
          <w:tcPr>
            <w:tcW w:w="1092" w:type="dxa"/>
            <w:vAlign w:val="center"/>
          </w:tcPr>
          <w:p>
            <w:pPr>
              <w:jc w:val="center"/>
              <w:rPr>
                <w:noProof/>
              </w:rPr>
            </w:pPr>
            <w:r>
              <w:rPr>
                <w:noProof/>
              </w:rPr>
              <w:t>2</w:t>
            </w:r>
          </w:p>
        </w:tc>
        <w:tc>
          <w:tcPr>
            <w:tcW w:w="4002" w:type="dxa"/>
            <w:vAlign w:val="center"/>
          </w:tcPr>
          <w:p>
            <w:pPr>
              <w:spacing w:after="60"/>
              <w:jc w:val="left"/>
              <w:rPr>
                <w:noProof/>
              </w:rPr>
            </w:pPr>
            <w:r>
              <w:rPr>
                <w:noProof/>
                <w:sz w:val="22"/>
              </w:rPr>
              <w:t>06 01 02 Cheltuieli de sprijin pentru programul „AgoraEU”</w:t>
            </w:r>
          </w:p>
        </w:tc>
        <w:tc>
          <w:tcPr>
            <w:tcW w:w="1092" w:type="dxa"/>
            <w:vAlign w:val="center"/>
          </w:tcPr>
          <w:p>
            <w:pPr>
              <w:jc w:val="center"/>
              <w:rPr>
                <w:noProof/>
                <w:color w:val="0000FF"/>
              </w:rPr>
            </w:pPr>
            <w:r>
              <w:rPr>
                <w:noProof/>
                <w:sz w:val="22"/>
              </w:rPr>
              <w:t>Nedif.</w:t>
            </w:r>
          </w:p>
        </w:tc>
        <w:tc>
          <w:tcPr>
            <w:tcW w:w="966" w:type="dxa"/>
            <w:vAlign w:val="center"/>
          </w:tcPr>
          <w:p>
            <w:pPr>
              <w:jc w:val="center"/>
              <w:rPr>
                <w:noProof/>
                <w:sz w:val="20"/>
                <w:szCs w:val="20"/>
              </w:rPr>
            </w:pPr>
            <w:r>
              <w:rPr>
                <w:noProof/>
                <w:sz w:val="20"/>
              </w:rPr>
              <w:t>DA/NU</w:t>
            </w:r>
          </w:p>
        </w:tc>
        <w:tc>
          <w:tcPr>
            <w:tcW w:w="1092" w:type="dxa"/>
            <w:vAlign w:val="center"/>
          </w:tcPr>
          <w:p>
            <w:pPr>
              <w:jc w:val="center"/>
              <w:rPr>
                <w:noProof/>
                <w:sz w:val="20"/>
                <w:szCs w:val="20"/>
              </w:rPr>
            </w:pPr>
            <w:r>
              <w:rPr>
                <w:noProof/>
                <w:sz w:val="20"/>
              </w:rPr>
              <w:t>DA/NU</w:t>
            </w:r>
          </w:p>
        </w:tc>
        <w:tc>
          <w:tcPr>
            <w:tcW w:w="966" w:type="dxa"/>
            <w:vAlign w:val="center"/>
          </w:tcPr>
          <w:p>
            <w:pPr>
              <w:jc w:val="center"/>
              <w:rPr>
                <w:noProof/>
                <w:sz w:val="20"/>
                <w:szCs w:val="20"/>
              </w:rPr>
            </w:pPr>
            <w:r>
              <w:rPr>
                <w:noProof/>
                <w:sz w:val="20"/>
              </w:rPr>
              <w:t>DA/NU</w:t>
            </w:r>
          </w:p>
        </w:tc>
        <w:tc>
          <w:tcPr>
            <w:tcW w:w="1463" w:type="dxa"/>
            <w:vAlign w:val="center"/>
          </w:tcPr>
          <w:p>
            <w:pPr>
              <w:jc w:val="center"/>
              <w:rPr>
                <w:noProof/>
                <w:sz w:val="20"/>
                <w:szCs w:val="20"/>
              </w:rPr>
            </w:pPr>
            <w:r>
              <w:rPr>
                <w:noProof/>
                <w:sz w:val="20"/>
              </w:rPr>
              <w:t>DA/NU</w:t>
            </w:r>
          </w:p>
        </w:tc>
      </w:tr>
      <w:tr>
        <w:trPr>
          <w:jc w:val="center"/>
        </w:trPr>
        <w:tc>
          <w:tcPr>
            <w:tcW w:w="1092" w:type="dxa"/>
            <w:vAlign w:val="center"/>
          </w:tcPr>
          <w:p>
            <w:pPr>
              <w:jc w:val="center"/>
              <w:rPr>
                <w:noProof/>
              </w:rPr>
            </w:pPr>
            <w:r>
              <w:rPr>
                <w:noProof/>
              </w:rPr>
              <w:t>2</w:t>
            </w:r>
          </w:p>
        </w:tc>
        <w:tc>
          <w:tcPr>
            <w:tcW w:w="4002" w:type="dxa"/>
            <w:vAlign w:val="center"/>
          </w:tcPr>
          <w:p>
            <w:pPr>
              <w:spacing w:after="60"/>
              <w:rPr>
                <w:noProof/>
              </w:rPr>
            </w:pPr>
            <w:r>
              <w:rPr>
                <w:noProof/>
                <w:sz w:val="22"/>
              </w:rPr>
              <w:t>06 03 01 Europa creativă – Cultură</w:t>
            </w:r>
          </w:p>
        </w:tc>
        <w:tc>
          <w:tcPr>
            <w:tcW w:w="1092" w:type="dxa"/>
            <w:vAlign w:val="center"/>
          </w:tcPr>
          <w:p>
            <w:pPr>
              <w:jc w:val="center"/>
              <w:rPr>
                <w:noProof/>
                <w:color w:val="0000FF"/>
              </w:rPr>
            </w:pPr>
            <w:r>
              <w:rPr>
                <w:noProof/>
                <w:sz w:val="22"/>
              </w:rPr>
              <w:t>Dif.</w:t>
            </w:r>
          </w:p>
        </w:tc>
        <w:tc>
          <w:tcPr>
            <w:tcW w:w="966" w:type="dxa"/>
            <w:vAlign w:val="center"/>
          </w:tcPr>
          <w:p>
            <w:pPr>
              <w:jc w:val="center"/>
              <w:rPr>
                <w:noProof/>
                <w:sz w:val="20"/>
                <w:szCs w:val="20"/>
              </w:rPr>
            </w:pPr>
            <w:r>
              <w:rPr>
                <w:noProof/>
                <w:sz w:val="20"/>
              </w:rPr>
              <w:t>DA/NU</w:t>
            </w:r>
          </w:p>
        </w:tc>
        <w:tc>
          <w:tcPr>
            <w:tcW w:w="1092" w:type="dxa"/>
            <w:vAlign w:val="center"/>
          </w:tcPr>
          <w:p>
            <w:pPr>
              <w:jc w:val="center"/>
              <w:rPr>
                <w:noProof/>
                <w:sz w:val="20"/>
                <w:szCs w:val="20"/>
              </w:rPr>
            </w:pPr>
            <w:r>
              <w:rPr>
                <w:noProof/>
                <w:sz w:val="20"/>
              </w:rPr>
              <w:t>DA/NU</w:t>
            </w:r>
          </w:p>
        </w:tc>
        <w:tc>
          <w:tcPr>
            <w:tcW w:w="966" w:type="dxa"/>
            <w:vAlign w:val="center"/>
          </w:tcPr>
          <w:p>
            <w:pPr>
              <w:jc w:val="center"/>
              <w:rPr>
                <w:noProof/>
                <w:sz w:val="20"/>
                <w:szCs w:val="20"/>
              </w:rPr>
            </w:pPr>
            <w:r>
              <w:rPr>
                <w:noProof/>
                <w:sz w:val="20"/>
              </w:rPr>
              <w:t>DA/NU</w:t>
            </w:r>
          </w:p>
        </w:tc>
        <w:tc>
          <w:tcPr>
            <w:tcW w:w="1463" w:type="dxa"/>
            <w:vAlign w:val="center"/>
          </w:tcPr>
          <w:p>
            <w:pPr>
              <w:jc w:val="center"/>
              <w:rPr>
                <w:noProof/>
                <w:sz w:val="20"/>
                <w:szCs w:val="20"/>
              </w:rPr>
            </w:pPr>
            <w:r>
              <w:rPr>
                <w:noProof/>
                <w:sz w:val="20"/>
              </w:rPr>
              <w:t>DA/NU</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138" w:name="_Toc514938052"/>
      <w:bookmarkStart w:id="139" w:name="_Toc520485051"/>
      <w:bookmarkStart w:id="140" w:name="_Toc160804593"/>
      <w:bookmarkStart w:id="141" w:name="_Toc167220285"/>
      <w:bookmarkStart w:id="142" w:name="_Toc177549018"/>
      <w:r>
        <w:rPr>
          <w:noProof/>
        </w:rPr>
        <w:t>3.2.</w:t>
      </w:r>
      <w:r>
        <w:rPr>
          <w:noProof/>
        </w:rPr>
        <w:tab/>
        <w:t>Impactul financiar estimat al propunerii asupra creditelor</w:t>
      </w:r>
      <w:bookmarkEnd w:id="138"/>
      <w:bookmarkEnd w:id="139"/>
      <w:bookmarkEnd w:id="140"/>
      <w:bookmarkEnd w:id="141"/>
      <w:bookmarkEnd w:id="142"/>
    </w:p>
    <w:p>
      <w:pPr>
        <w:pStyle w:val="ManualHeading3"/>
        <w:rPr>
          <w:noProof/>
        </w:rPr>
      </w:pPr>
      <w:bookmarkStart w:id="143" w:name="_Toc514938053"/>
      <w:bookmarkStart w:id="144" w:name="_Toc520485052"/>
      <w:bookmarkStart w:id="145" w:name="_Toc160804594"/>
      <w:bookmarkStart w:id="146" w:name="_Toc167220286"/>
      <w:bookmarkStart w:id="147" w:name="_Toc177549019"/>
      <w:r>
        <w:rPr>
          <w:noProof/>
        </w:rPr>
        <w:t>3.2.1.</w:t>
      </w:r>
      <w:r>
        <w:rPr>
          <w:noProof/>
        </w:rPr>
        <w:tab/>
        <w:t>Sinteza impactului estimat asupra creditelor operaționale</w:t>
      </w:r>
      <w:bookmarkEnd w:id="143"/>
      <w:bookmarkEnd w:id="144"/>
      <w:bookmarkEnd w:id="145"/>
      <w:bookmarkEnd w:id="146"/>
      <w:bookmarkEnd w:id="147"/>
      <w:r>
        <w:rPr>
          <w:noProof/>
        </w:rPr>
        <w:t xml:space="preserve"> </w:t>
      </w:r>
    </w:p>
    <w:p>
      <w:pPr>
        <w:pStyle w:val="Text1"/>
        <w:ind w:left="0"/>
        <w:rPr>
          <w:noProof/>
        </w:rPr>
      </w:pPr>
      <w:r>
        <w:rPr>
          <w:noProof/>
        </w:rPr>
        <w:t>Impactul estimat asupra cheltuielilor și a personalului pentru 2028 și ulterior este adăugat doar cu titlu orientativ și nu aduce atingere următorului cadru financiar multianual. Sursa de finanțare și domeniul de aplicare al angajamentelor financiare ale Uniunii pentru perioada de după 2027 depind în continuare de rezultatul negocierilor interinstituționale privind următoarele cadre financiare multianuale și, ulterior, vor fi stabilite prin procedura bugetară anuală. Toate creditele și alocările de personal începând cu 2028 sunt orientative.</w:t>
      </w:r>
    </w:p>
    <w:p>
      <w:pPr>
        <w:pStyle w:val="ManualHeading3"/>
        <w:rPr>
          <w:noProof/>
        </w:rPr>
      </w:pPr>
      <w:bookmarkStart w:id="148" w:name="_Toc160804595"/>
      <w:bookmarkStart w:id="149" w:name="_Toc167220287"/>
      <w:bookmarkStart w:id="150" w:name="_Toc177549020"/>
      <w:r>
        <w:rPr>
          <w:noProof/>
        </w:rPr>
        <w:t>3.2.1.1.</w:t>
      </w:r>
      <w:r>
        <w:rPr>
          <w:noProof/>
        </w:rPr>
        <w:tab/>
        <w:t>Credite din bugetul votat</w:t>
      </w:r>
      <w:bookmarkEnd w:id="148"/>
      <w:bookmarkEnd w:id="149"/>
      <w:bookmarkEnd w:id="150"/>
    </w:p>
    <w:p>
      <w:pPr>
        <w:pStyle w:val="Text1"/>
        <w:ind w:left="0"/>
        <w:rPr>
          <w:noProof/>
        </w:rPr>
      </w:pPr>
      <w:r>
        <w:rPr>
          <w:noProof/>
        </w:rPr>
        <w:t>Nu se aplică.</w:t>
      </w:r>
    </w:p>
    <w:p>
      <w:pPr>
        <w:jc w:val="right"/>
        <w:rPr>
          <w:noProof/>
          <w:sz w:val="18"/>
          <w:szCs w:val="18"/>
        </w:rPr>
      </w:pPr>
      <w:r>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b/>
                <w:noProof/>
              </w:rPr>
            </w:pPr>
            <w:r>
              <w:rPr>
                <w:b/>
                <w:noProof/>
                <w:sz w:val="22"/>
              </w:rPr>
              <w:t xml:space="preserve">Rubrica din cadrul financiar multianual </w:t>
            </w:r>
          </w:p>
        </w:tc>
        <w:tc>
          <w:tcPr>
            <w:tcW w:w="396" w:type="pct"/>
            <w:vAlign w:val="center"/>
          </w:tcPr>
          <w:p>
            <w:pPr>
              <w:spacing w:before="60" w:after="60"/>
              <w:jc w:val="center"/>
              <w:rPr>
                <w:noProof/>
              </w:rPr>
            </w:pPr>
            <w:r>
              <w:rPr>
                <w:noProof/>
                <w:sz w:val="22"/>
              </w:rPr>
              <w:t>Numărul</w:t>
            </w:r>
          </w:p>
        </w:tc>
        <w:tc>
          <w:tcPr>
            <w:tcW w:w="2865" w:type="pct"/>
            <w:vAlign w:val="center"/>
          </w:tcPr>
          <w:p>
            <w:pPr>
              <w:spacing w:before="60" w:after="60"/>
              <w:rPr>
                <w:noProof/>
              </w:rPr>
            </w:pPr>
            <w:r>
              <w:rPr>
                <w:noProof/>
              </w:rPr>
              <w:t>2</w:t>
            </w:r>
          </w:p>
        </w:tc>
      </w:tr>
    </w:tbl>
    <w:p>
      <w:pPr>
        <w:rPr>
          <w:noProof/>
          <w:sz w:val="16"/>
        </w:rPr>
      </w:pPr>
    </w:p>
    <w:tbl>
      <w:tblPr>
        <w:tblW w:w="5000" w:type="pct"/>
        <w:tblLook w:val="04A0" w:firstRow="1" w:lastRow="0" w:firstColumn="1" w:lastColumn="0" w:noHBand="0" w:noVBand="1"/>
      </w:tblPr>
      <w:tblGrid>
        <w:gridCol w:w="1691"/>
        <w:gridCol w:w="1463"/>
        <w:gridCol w:w="1540"/>
        <w:gridCol w:w="1210"/>
        <w:gridCol w:w="968"/>
        <w:gridCol w:w="968"/>
        <w:gridCol w:w="968"/>
        <w:gridCol w:w="968"/>
        <w:gridCol w:w="930"/>
        <w:gridCol w:w="1171"/>
        <w:gridCol w:w="1177"/>
        <w:gridCol w:w="1166"/>
      </w:tblGrid>
      <w:tr>
        <w:trPr>
          <w:trHeight w:val="420"/>
        </w:trPr>
        <w:tc>
          <w:tcPr>
            <w:tcW w:w="2351" w:type="pct"/>
            <w:gridSpan w:val="5"/>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EAC</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3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21"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20"/>
                <w:szCs w:val="20"/>
              </w:rPr>
            </w:pPr>
            <w:r>
              <w:rPr>
                <w:noProof/>
                <w:color w:val="000000"/>
                <w:sz w:val="20"/>
              </w:rPr>
              <w:t>Anul</w:t>
            </w:r>
          </w:p>
        </w:tc>
        <w:tc>
          <w:tcPr>
            <w:tcW w:w="423"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20"/>
                <w:szCs w:val="20"/>
              </w:rPr>
            </w:pPr>
            <w:r>
              <w:rPr>
                <w:noProof/>
                <w:color w:val="000000"/>
                <w:sz w:val="20"/>
              </w:rPr>
              <w:t>Anul</w:t>
            </w:r>
          </w:p>
        </w:tc>
        <w:tc>
          <w:tcPr>
            <w:tcW w:w="419"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2034-2047</w:t>
            </w:r>
          </w:p>
        </w:tc>
      </w:tr>
      <w:tr>
        <w:trPr>
          <w:trHeight w:val="288"/>
        </w:trPr>
        <w:tc>
          <w:tcPr>
            <w:tcW w:w="2351" w:type="pct"/>
            <w:gridSpan w:val="5"/>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350"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2034</w:t>
            </w:r>
          </w:p>
        </w:tc>
        <w:tc>
          <w:tcPr>
            <w:tcW w:w="350"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2035</w:t>
            </w:r>
          </w:p>
        </w:tc>
        <w:tc>
          <w:tcPr>
            <w:tcW w:w="350"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2036</w:t>
            </w:r>
          </w:p>
        </w:tc>
        <w:tc>
          <w:tcPr>
            <w:tcW w:w="33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2037</w:t>
            </w:r>
          </w:p>
        </w:tc>
        <w:tc>
          <w:tcPr>
            <w:tcW w:w="421"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20"/>
                <w:szCs w:val="20"/>
              </w:rPr>
            </w:pPr>
            <w:r>
              <w:rPr>
                <w:b/>
                <w:noProof/>
                <w:color w:val="000000"/>
                <w:sz w:val="20"/>
              </w:rPr>
              <w:t>2038</w:t>
            </w:r>
          </w:p>
        </w:tc>
        <w:tc>
          <w:tcPr>
            <w:tcW w:w="423"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20"/>
                <w:szCs w:val="20"/>
              </w:rPr>
            </w:pPr>
            <w:r>
              <w:rPr>
                <w:b/>
                <w:noProof/>
                <w:color w:val="000000"/>
                <w:sz w:val="20"/>
              </w:rPr>
              <w:t>2039-2047</w:t>
            </w:r>
          </w:p>
        </w:tc>
        <w:tc>
          <w:tcPr>
            <w:tcW w:w="419"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64" w:type="pct"/>
            <w:tcBorders>
              <w:top w:val="single" w:sz="8" w:space="0" w:color="auto"/>
              <w:left w:val="single" w:sz="8" w:space="0" w:color="auto"/>
              <w:bottom w:val="single" w:sz="8" w:space="0" w:color="auto"/>
              <w:right w:val="single" w:sz="8" w:space="0" w:color="auto"/>
            </w:tcBorders>
          </w:tcPr>
          <w:p>
            <w:pPr>
              <w:spacing w:before="0" w:after="0"/>
              <w:jc w:val="left"/>
              <w:rPr>
                <w:noProof/>
                <w:color w:val="000000"/>
                <w:sz w:val="21"/>
                <w:szCs w:val="21"/>
                <w:lang w:eastAsia="en-IE"/>
              </w:rPr>
            </w:pPr>
          </w:p>
        </w:tc>
        <w:tc>
          <w:tcPr>
            <w:tcW w:w="488" w:type="pct"/>
            <w:tcBorders>
              <w:top w:val="single" w:sz="8" w:space="0" w:color="auto"/>
              <w:left w:val="single" w:sz="8" w:space="0" w:color="auto"/>
              <w:bottom w:val="single" w:sz="8" w:space="0" w:color="auto"/>
              <w:right w:val="single" w:sz="8" w:space="0" w:color="auto"/>
            </w:tcBorders>
          </w:tcPr>
          <w:p>
            <w:pPr>
              <w:spacing w:before="0" w:after="0"/>
              <w:jc w:val="left"/>
              <w:rPr>
                <w:noProof/>
                <w:color w:val="000000"/>
                <w:sz w:val="21"/>
                <w:szCs w:val="21"/>
                <w:lang w:eastAsia="en-IE"/>
              </w:rPr>
            </w:pPr>
          </w:p>
        </w:tc>
        <w:tc>
          <w:tcPr>
            <w:tcW w:w="3948" w:type="pct"/>
            <w:gridSpan w:val="10"/>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Credite operaționale </w:t>
            </w:r>
          </w:p>
        </w:tc>
      </w:tr>
      <w:tr>
        <w:trPr>
          <w:trHeight w:val="288"/>
        </w:trPr>
        <w:tc>
          <w:tcPr>
            <w:tcW w:w="1566" w:type="pct"/>
            <w:gridSpan w:val="3"/>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Linia bugetară 06 03 01 Europa creativă – Cultură </w:t>
            </w:r>
          </w:p>
        </w:tc>
        <w:tc>
          <w:tcPr>
            <w:tcW w:w="435"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350" w:type="pct"/>
            <w:tcBorders>
              <w:top w:val="nil"/>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6,45</w:t>
            </w:r>
          </w:p>
        </w:tc>
        <w:tc>
          <w:tcPr>
            <w:tcW w:w="350" w:type="pct"/>
            <w:tcBorders>
              <w:top w:val="nil"/>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9,45</w:t>
            </w:r>
          </w:p>
        </w:tc>
        <w:tc>
          <w:tcPr>
            <w:tcW w:w="350" w:type="pct"/>
            <w:tcBorders>
              <w:top w:val="nil"/>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6,45</w:t>
            </w:r>
          </w:p>
        </w:tc>
        <w:tc>
          <w:tcPr>
            <w:tcW w:w="336" w:type="pct"/>
            <w:tcBorders>
              <w:top w:val="nil"/>
              <w:left w:val="nil"/>
              <w:bottom w:val="single" w:sz="8" w:space="0" w:color="auto"/>
              <w:right w:val="single" w:sz="4" w:space="0" w:color="auto"/>
            </w:tcBorders>
            <w:vAlign w:val="center"/>
            <w:hideMark/>
          </w:tcPr>
          <w:p>
            <w:pPr>
              <w:spacing w:before="0" w:after="0"/>
              <w:jc w:val="center"/>
              <w:rPr>
                <w:noProof/>
                <w:color w:val="000000"/>
                <w:sz w:val="20"/>
                <w:szCs w:val="20"/>
              </w:rPr>
            </w:pPr>
            <w:r>
              <w:rPr>
                <w:noProof/>
                <w:color w:val="000000"/>
                <w:sz w:val="20"/>
              </w:rPr>
              <w:t>9,7</w:t>
            </w:r>
          </w:p>
        </w:tc>
        <w:tc>
          <w:tcPr>
            <w:tcW w:w="421"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color w:val="000000"/>
                <w:sz w:val="20"/>
                <w:szCs w:val="20"/>
              </w:rPr>
            </w:pPr>
            <w:r>
              <w:rPr>
                <w:noProof/>
                <w:color w:val="000000"/>
                <w:sz w:val="20"/>
              </w:rPr>
              <w:t>6,45</w:t>
            </w:r>
          </w:p>
        </w:tc>
        <w:tc>
          <w:tcPr>
            <w:tcW w:w="423"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color w:val="000000"/>
                <w:sz w:val="20"/>
                <w:szCs w:val="20"/>
              </w:rPr>
            </w:pPr>
            <w:r>
              <w:rPr>
                <w:noProof/>
                <w:color w:val="000000"/>
                <w:sz w:val="20"/>
              </w:rPr>
              <w:t>64,55</w:t>
            </w:r>
          </w:p>
        </w:tc>
        <w:tc>
          <w:tcPr>
            <w:tcW w:w="419"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103,05</w:t>
            </w:r>
          </w:p>
        </w:tc>
      </w:tr>
      <w:tr>
        <w:trPr>
          <w:trHeight w:val="315"/>
        </w:trPr>
        <w:tc>
          <w:tcPr>
            <w:tcW w:w="1566" w:type="pct"/>
            <w:gridSpan w:val="3"/>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rPr>
            </w:pPr>
            <w:bookmarkStart w:id="151" w:name="_Hlk231479810"/>
          </w:p>
        </w:tc>
        <w:tc>
          <w:tcPr>
            <w:tcW w:w="435"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350" w:type="pct"/>
            <w:tcBorders>
              <w:top w:val="nil"/>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4,45</w:t>
            </w:r>
          </w:p>
        </w:tc>
        <w:tc>
          <w:tcPr>
            <w:tcW w:w="350" w:type="pct"/>
            <w:tcBorders>
              <w:top w:val="nil"/>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4,45</w:t>
            </w:r>
          </w:p>
        </w:tc>
        <w:tc>
          <w:tcPr>
            <w:tcW w:w="350" w:type="pct"/>
            <w:tcBorders>
              <w:top w:val="nil"/>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8,45</w:t>
            </w:r>
          </w:p>
        </w:tc>
        <w:tc>
          <w:tcPr>
            <w:tcW w:w="336" w:type="pct"/>
            <w:tcBorders>
              <w:top w:val="nil"/>
              <w:left w:val="nil"/>
              <w:bottom w:val="single" w:sz="8" w:space="0" w:color="auto"/>
              <w:right w:val="single" w:sz="4" w:space="0" w:color="auto"/>
            </w:tcBorders>
            <w:vAlign w:val="center"/>
            <w:hideMark/>
          </w:tcPr>
          <w:p>
            <w:pPr>
              <w:spacing w:before="0" w:after="0"/>
              <w:jc w:val="center"/>
              <w:rPr>
                <w:noProof/>
                <w:color w:val="000000"/>
                <w:sz w:val="20"/>
                <w:szCs w:val="20"/>
              </w:rPr>
            </w:pPr>
            <w:r>
              <w:rPr>
                <w:noProof/>
                <w:color w:val="000000"/>
                <w:sz w:val="20"/>
              </w:rPr>
              <w:t>6,45</w:t>
            </w:r>
          </w:p>
        </w:tc>
        <w:tc>
          <w:tcPr>
            <w:tcW w:w="421"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color w:val="000000"/>
                <w:sz w:val="20"/>
                <w:szCs w:val="20"/>
              </w:rPr>
            </w:pPr>
            <w:r>
              <w:rPr>
                <w:noProof/>
                <w:color w:val="000000"/>
                <w:sz w:val="20"/>
              </w:rPr>
              <w:t>9,7</w:t>
            </w:r>
          </w:p>
        </w:tc>
        <w:tc>
          <w:tcPr>
            <w:tcW w:w="423"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color w:val="000000"/>
                <w:sz w:val="20"/>
                <w:szCs w:val="20"/>
              </w:rPr>
            </w:pPr>
            <w:r>
              <w:rPr>
                <w:noProof/>
                <w:color w:val="000000"/>
                <w:sz w:val="20"/>
              </w:rPr>
              <w:t>65,30</w:t>
            </w:r>
          </w:p>
        </w:tc>
        <w:tc>
          <w:tcPr>
            <w:tcW w:w="419"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98,8</w:t>
            </w:r>
          </w:p>
        </w:tc>
      </w:tr>
      <w:bookmarkEnd w:id="151"/>
      <w:tr>
        <w:trPr>
          <w:trHeight w:val="288"/>
        </w:trPr>
        <w:tc>
          <w:tcPr>
            <w:tcW w:w="564" w:type="pct"/>
            <w:tcBorders>
              <w:top w:val="single" w:sz="8" w:space="0" w:color="auto"/>
              <w:left w:val="single" w:sz="8" w:space="0" w:color="auto"/>
              <w:bottom w:val="single" w:sz="8" w:space="0" w:color="auto"/>
              <w:right w:val="single" w:sz="8" w:space="0" w:color="auto"/>
            </w:tcBorders>
          </w:tcPr>
          <w:p>
            <w:pPr>
              <w:spacing w:before="0" w:after="0"/>
              <w:jc w:val="left"/>
              <w:rPr>
                <w:noProof/>
                <w:color w:val="000000"/>
                <w:sz w:val="22"/>
                <w:lang w:eastAsia="en-IE"/>
              </w:rPr>
            </w:pPr>
          </w:p>
        </w:tc>
        <w:tc>
          <w:tcPr>
            <w:tcW w:w="488" w:type="pct"/>
            <w:tcBorders>
              <w:top w:val="single" w:sz="8" w:space="0" w:color="auto"/>
              <w:left w:val="single" w:sz="8" w:space="0" w:color="auto"/>
              <w:bottom w:val="single" w:sz="8" w:space="0" w:color="auto"/>
              <w:right w:val="single" w:sz="4" w:space="0" w:color="auto"/>
            </w:tcBorders>
          </w:tcPr>
          <w:p>
            <w:pPr>
              <w:spacing w:before="0" w:after="0"/>
              <w:jc w:val="left"/>
              <w:rPr>
                <w:noProof/>
                <w:color w:val="000000"/>
                <w:sz w:val="22"/>
                <w:lang w:eastAsia="en-IE"/>
              </w:rPr>
            </w:pPr>
          </w:p>
        </w:tc>
        <w:tc>
          <w:tcPr>
            <w:tcW w:w="3948" w:type="pct"/>
            <w:gridSpan w:val="10"/>
            <w:tcBorders>
              <w:top w:val="single" w:sz="4" w:space="0" w:color="auto"/>
              <w:left w:val="single" w:sz="4" w:space="0" w:color="auto"/>
              <w:bottom w:val="single" w:sz="4" w:space="0" w:color="auto"/>
              <w:right w:val="single" w:sz="4" w:space="0" w:color="auto"/>
            </w:tcBorders>
            <w:noWrap/>
            <w:vAlign w:val="bottom"/>
            <w:hideMark/>
          </w:tcPr>
          <w:p>
            <w:pPr>
              <w:spacing w:before="0" w:after="0"/>
              <w:jc w:val="left"/>
              <w:rPr>
                <w:noProof/>
                <w:color w:val="000000"/>
                <w:sz w:val="22"/>
              </w:rPr>
            </w:pPr>
            <w:r>
              <w:rPr>
                <w:noProof/>
                <w:color w:val="000000"/>
                <w:sz w:val="22"/>
              </w:rPr>
              <w:t>Credite cu caracter administrativ finanțate din bugetul unor programe specifice</w:t>
            </w:r>
          </w:p>
        </w:tc>
      </w:tr>
      <w:tr>
        <w:trPr>
          <w:trHeight w:val="288"/>
        </w:trPr>
        <w:tc>
          <w:tcPr>
            <w:tcW w:w="1566" w:type="pct"/>
            <w:gridSpan w:val="3"/>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435" w:type="pct"/>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350"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350"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350"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336" w:type="pct"/>
            <w:tcBorders>
              <w:top w:val="nil"/>
              <w:left w:val="nil"/>
              <w:bottom w:val="single" w:sz="8" w:space="0" w:color="auto"/>
              <w:right w:val="single" w:sz="4"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21" w:type="pct"/>
            <w:tcBorders>
              <w:top w:val="single" w:sz="4" w:space="0" w:color="auto"/>
              <w:left w:val="single" w:sz="4" w:space="0" w:color="auto"/>
              <w:bottom w:val="single" w:sz="4" w:space="0" w:color="auto"/>
              <w:right w:val="single" w:sz="4" w:space="0" w:color="auto"/>
            </w:tcBorders>
          </w:tcPr>
          <w:p>
            <w:pPr>
              <w:spacing w:before="0" w:after="0"/>
              <w:jc w:val="right"/>
              <w:rPr>
                <w:b/>
                <w:bCs/>
                <w:noProof/>
                <w:color w:val="000000"/>
                <w:sz w:val="20"/>
                <w:szCs w:val="20"/>
                <w:lang w:eastAsia="en-IE"/>
              </w:rPr>
            </w:pPr>
          </w:p>
        </w:tc>
        <w:tc>
          <w:tcPr>
            <w:tcW w:w="423" w:type="pct"/>
            <w:tcBorders>
              <w:top w:val="single" w:sz="4" w:space="0" w:color="auto"/>
              <w:left w:val="single" w:sz="4" w:space="0" w:color="auto"/>
              <w:bottom w:val="single" w:sz="4" w:space="0" w:color="auto"/>
              <w:right w:val="single" w:sz="4" w:space="0" w:color="auto"/>
            </w:tcBorders>
          </w:tcPr>
          <w:p>
            <w:pPr>
              <w:spacing w:before="0" w:after="0"/>
              <w:jc w:val="right"/>
              <w:rPr>
                <w:b/>
                <w:bCs/>
                <w:noProof/>
                <w:color w:val="000000"/>
                <w:sz w:val="20"/>
                <w:szCs w:val="20"/>
                <w:lang w:eastAsia="en-IE"/>
              </w:rPr>
            </w:pPr>
          </w:p>
        </w:tc>
        <w:tc>
          <w:tcPr>
            <w:tcW w:w="419"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566" w:type="pct"/>
            <w:gridSpan w:val="3"/>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credite</w:t>
            </w:r>
          </w:p>
          <w:p>
            <w:pPr>
              <w:spacing w:before="0" w:after="0"/>
              <w:jc w:val="center"/>
              <w:rPr>
                <w:b/>
                <w:bCs/>
                <w:noProof/>
                <w:color w:val="000000"/>
                <w:sz w:val="22"/>
              </w:rPr>
            </w:pPr>
            <w:r>
              <w:rPr>
                <w:b/>
                <w:noProof/>
                <w:color w:val="000000"/>
                <w:sz w:val="22"/>
              </w:rPr>
              <w:t>pentru DG EAC</w:t>
            </w:r>
          </w:p>
        </w:tc>
        <w:tc>
          <w:tcPr>
            <w:tcW w:w="435"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20"/>
                <w:szCs w:val="20"/>
              </w:rPr>
            </w:pPr>
            <w:r>
              <w:rPr>
                <w:b/>
                <w:noProof/>
                <w:color w:val="000000"/>
                <w:sz w:val="20"/>
              </w:rPr>
              <w:t>6,45</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20"/>
                <w:szCs w:val="20"/>
              </w:rPr>
            </w:pPr>
            <w:r>
              <w:rPr>
                <w:b/>
                <w:noProof/>
                <w:color w:val="000000"/>
                <w:sz w:val="20"/>
              </w:rPr>
              <w:t>9,45</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20"/>
                <w:szCs w:val="20"/>
              </w:rPr>
            </w:pPr>
            <w:r>
              <w:rPr>
                <w:b/>
                <w:noProof/>
                <w:color w:val="000000"/>
                <w:sz w:val="20"/>
              </w:rPr>
              <w:t>6,45</w:t>
            </w:r>
          </w:p>
        </w:tc>
        <w:tc>
          <w:tcPr>
            <w:tcW w:w="336" w:type="pct"/>
            <w:tcBorders>
              <w:top w:val="nil"/>
              <w:left w:val="nil"/>
              <w:bottom w:val="single" w:sz="8" w:space="0" w:color="auto"/>
              <w:right w:val="single" w:sz="4" w:space="0" w:color="auto"/>
            </w:tcBorders>
            <w:shd w:val="clear" w:color="000000" w:fill="D9D9D9"/>
            <w:vAlign w:val="center"/>
            <w:hideMark/>
          </w:tcPr>
          <w:p>
            <w:pPr>
              <w:spacing w:before="0" w:after="0"/>
              <w:jc w:val="center"/>
              <w:rPr>
                <w:b/>
                <w:bCs/>
                <w:noProof/>
                <w:color w:val="000000"/>
                <w:sz w:val="20"/>
                <w:szCs w:val="20"/>
              </w:rPr>
            </w:pPr>
            <w:r>
              <w:rPr>
                <w:b/>
                <w:noProof/>
                <w:color w:val="000000"/>
                <w:sz w:val="20"/>
              </w:rPr>
              <w:t>9,7</w:t>
            </w:r>
          </w:p>
        </w:tc>
        <w:tc>
          <w:tcPr>
            <w:tcW w:w="421" w:type="pct"/>
            <w:tcBorders>
              <w:top w:val="single" w:sz="4" w:space="0" w:color="auto"/>
              <w:left w:val="single" w:sz="4" w:space="0" w:color="auto"/>
              <w:bottom w:val="single" w:sz="4" w:space="0" w:color="auto"/>
              <w:right w:val="single" w:sz="4" w:space="0" w:color="auto"/>
            </w:tcBorders>
            <w:shd w:val="clear" w:color="000000" w:fill="D9D9D9"/>
            <w:vAlign w:val="center"/>
          </w:tcPr>
          <w:p>
            <w:pPr>
              <w:spacing w:before="0" w:after="0"/>
              <w:jc w:val="center"/>
              <w:rPr>
                <w:b/>
                <w:bCs/>
                <w:noProof/>
                <w:color w:val="000000"/>
                <w:sz w:val="20"/>
                <w:szCs w:val="20"/>
              </w:rPr>
            </w:pPr>
            <w:r>
              <w:rPr>
                <w:b/>
                <w:noProof/>
                <w:color w:val="000000"/>
                <w:sz w:val="20"/>
              </w:rPr>
              <w:t>6,45</w:t>
            </w:r>
          </w:p>
        </w:tc>
        <w:tc>
          <w:tcPr>
            <w:tcW w:w="423" w:type="pct"/>
            <w:tcBorders>
              <w:top w:val="single" w:sz="4" w:space="0" w:color="auto"/>
              <w:left w:val="single" w:sz="4" w:space="0" w:color="auto"/>
              <w:bottom w:val="single" w:sz="4" w:space="0" w:color="auto"/>
              <w:right w:val="single" w:sz="4" w:space="0" w:color="auto"/>
            </w:tcBorders>
            <w:shd w:val="clear" w:color="000000" w:fill="D9D9D9"/>
            <w:vAlign w:val="center"/>
          </w:tcPr>
          <w:p>
            <w:pPr>
              <w:spacing w:before="0" w:after="0"/>
              <w:jc w:val="center"/>
              <w:rPr>
                <w:b/>
                <w:bCs/>
                <w:noProof/>
                <w:color w:val="000000"/>
                <w:sz w:val="20"/>
                <w:szCs w:val="20"/>
              </w:rPr>
            </w:pPr>
            <w:r>
              <w:rPr>
                <w:b/>
                <w:noProof/>
                <w:color w:val="000000"/>
                <w:sz w:val="20"/>
              </w:rPr>
              <w:t>64,55</w:t>
            </w:r>
          </w:p>
        </w:tc>
        <w:tc>
          <w:tcPr>
            <w:tcW w:w="419"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103,05</w:t>
            </w:r>
          </w:p>
        </w:tc>
      </w:tr>
      <w:tr>
        <w:trPr>
          <w:trHeight w:val="288"/>
        </w:trPr>
        <w:tc>
          <w:tcPr>
            <w:tcW w:w="1566" w:type="pct"/>
            <w:gridSpan w:val="3"/>
            <w:vMerge/>
            <w:tcBorders>
              <w:left w:val="single" w:sz="8" w:space="0" w:color="auto"/>
              <w:bottom w:val="single" w:sz="4" w:space="0" w:color="auto"/>
              <w:right w:val="single" w:sz="8" w:space="0" w:color="auto"/>
            </w:tcBorders>
            <w:vAlign w:val="center"/>
            <w:hideMark/>
          </w:tcPr>
          <w:p>
            <w:pPr>
              <w:spacing w:before="0" w:after="0"/>
              <w:jc w:val="center"/>
              <w:rPr>
                <w:b/>
                <w:bCs/>
                <w:noProof/>
                <w:color w:val="000000"/>
                <w:sz w:val="22"/>
                <w:lang w:eastAsia="en-IE"/>
              </w:rPr>
            </w:pPr>
          </w:p>
        </w:tc>
        <w:tc>
          <w:tcPr>
            <w:tcW w:w="435"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bCs/>
                <w:noProof/>
                <w:color w:val="000000"/>
                <w:sz w:val="20"/>
                <w:szCs w:val="20"/>
              </w:rPr>
            </w:pPr>
            <w:r>
              <w:rPr>
                <w:b/>
                <w:noProof/>
                <w:color w:val="000000"/>
                <w:sz w:val="20"/>
              </w:rPr>
              <w:t>4,45</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bCs/>
                <w:noProof/>
                <w:color w:val="000000"/>
                <w:sz w:val="20"/>
                <w:szCs w:val="20"/>
              </w:rPr>
            </w:pPr>
            <w:r>
              <w:rPr>
                <w:b/>
                <w:noProof/>
                <w:color w:val="000000"/>
                <w:sz w:val="20"/>
              </w:rPr>
              <w:t>4,45</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bCs/>
                <w:noProof/>
                <w:color w:val="000000"/>
                <w:sz w:val="20"/>
                <w:szCs w:val="20"/>
              </w:rPr>
            </w:pPr>
            <w:r>
              <w:rPr>
                <w:b/>
                <w:noProof/>
                <w:color w:val="000000"/>
                <w:sz w:val="20"/>
              </w:rPr>
              <w:t>8,45</w:t>
            </w:r>
          </w:p>
        </w:tc>
        <w:tc>
          <w:tcPr>
            <w:tcW w:w="336" w:type="pct"/>
            <w:tcBorders>
              <w:top w:val="nil"/>
              <w:left w:val="nil"/>
              <w:bottom w:val="single" w:sz="8" w:space="0" w:color="auto"/>
              <w:right w:val="single" w:sz="4" w:space="0" w:color="auto"/>
            </w:tcBorders>
            <w:shd w:val="clear" w:color="auto" w:fill="D9D9D9" w:themeFill="background1" w:themeFillShade="D9"/>
            <w:vAlign w:val="center"/>
            <w:hideMark/>
          </w:tcPr>
          <w:p>
            <w:pPr>
              <w:spacing w:before="0" w:after="0"/>
              <w:jc w:val="center"/>
              <w:rPr>
                <w:b/>
                <w:bCs/>
                <w:noProof/>
                <w:color w:val="000000"/>
                <w:sz w:val="20"/>
                <w:szCs w:val="20"/>
              </w:rPr>
            </w:pPr>
            <w:r>
              <w:rPr>
                <w:b/>
                <w:noProof/>
                <w:color w:val="000000"/>
                <w:sz w:val="20"/>
              </w:rPr>
              <w:t>6,45</w:t>
            </w:r>
          </w:p>
        </w:tc>
        <w:tc>
          <w:tcPr>
            <w:tcW w:w="4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b/>
                <w:bCs/>
                <w:noProof/>
                <w:color w:val="000000"/>
                <w:sz w:val="20"/>
                <w:szCs w:val="20"/>
              </w:rPr>
            </w:pPr>
            <w:r>
              <w:rPr>
                <w:b/>
                <w:noProof/>
                <w:color w:val="000000"/>
                <w:sz w:val="20"/>
              </w:rPr>
              <w:t>9,7</w:t>
            </w:r>
          </w:p>
        </w:tc>
        <w:tc>
          <w:tcPr>
            <w:tcW w:w="4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b/>
                <w:bCs/>
                <w:noProof/>
                <w:color w:val="000000"/>
                <w:sz w:val="20"/>
                <w:szCs w:val="20"/>
              </w:rPr>
            </w:pPr>
            <w:r>
              <w:rPr>
                <w:b/>
                <w:noProof/>
                <w:color w:val="000000"/>
                <w:sz w:val="20"/>
              </w:rPr>
              <w:t>65,30</w:t>
            </w:r>
          </w:p>
        </w:tc>
        <w:tc>
          <w:tcPr>
            <w:tcW w:w="419"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98,8</w:t>
            </w:r>
          </w:p>
        </w:tc>
      </w:tr>
    </w:tbl>
    <w:p>
      <w:pPr>
        <w:pStyle w:val="ManualHeading3"/>
        <w:ind w:left="0" w:firstLine="0"/>
        <w:rPr>
          <w:noProof/>
        </w:rPr>
      </w:pPr>
      <w:bookmarkStart w:id="152" w:name="_Toc160804596"/>
      <w:bookmarkStart w:id="153" w:name="_Toc167220288"/>
      <w:bookmarkStart w:id="154" w:name="_Toc177549021"/>
      <w:r>
        <w:rPr>
          <w:noProof/>
        </w:rPr>
        <w:t>3.2.1.2.</w:t>
      </w:r>
      <w:r>
        <w:rPr>
          <w:noProof/>
        </w:rPr>
        <w:tab/>
        <w:t>Credite din venituri alocate externe</w:t>
      </w:r>
      <w:bookmarkEnd w:id="152"/>
      <w:bookmarkEnd w:id="153"/>
      <w:bookmarkEnd w:id="154"/>
    </w:p>
    <w:p>
      <w:pPr>
        <w:rPr>
          <w:noProof/>
        </w:rPr>
      </w:pPr>
      <w:r>
        <w:rPr>
          <w:noProof/>
        </w:rPr>
        <w:t xml:space="preserve">Nu se aplică. </w:t>
      </w:r>
    </w:p>
    <w:p>
      <w:pPr>
        <w:pStyle w:val="ManualHeading3"/>
        <w:rPr>
          <w:noProof/>
        </w:rPr>
      </w:pPr>
      <w:r>
        <w:rPr>
          <w:noProof/>
        </w:rPr>
        <w:t xml:space="preserve">3.2.2. </w:t>
      </w:r>
      <w:r>
        <w:rPr>
          <w:noProof/>
        </w:rPr>
        <w:tab/>
        <w:t>Realizările preconizate finanțate din credite operaționale (nu se completează pentru agențiile descentralizate)</w:t>
      </w:r>
    </w:p>
    <w:p>
      <w:pPr>
        <w:pStyle w:val="Text1"/>
        <w:ind w:left="0"/>
        <w:rPr>
          <w:noProof/>
        </w:rPr>
        <w:sectPr>
          <w:headerReference w:type="default" r:id="rId20"/>
          <w:footerReference w:type="default" r:id="rId21"/>
          <w:pgSz w:w="16840" w:h="11907" w:orient="landscape" w:code="9"/>
          <w:pgMar w:top="1134" w:right="1418" w:bottom="567" w:left="1418" w:header="709" w:footer="709" w:gutter="0"/>
          <w:cols w:space="708"/>
          <w:docGrid w:linePitch="360"/>
        </w:sectPr>
      </w:pPr>
      <w:r>
        <w:rPr>
          <w:noProof/>
        </w:rPr>
        <w:t>Nu se aplică.</w:t>
      </w:r>
    </w:p>
    <w:p>
      <w:pPr>
        <w:pStyle w:val="ManualHeading3"/>
        <w:rPr>
          <w:noProof/>
          <w:szCs w:val="24"/>
        </w:rPr>
      </w:pPr>
      <w:bookmarkStart w:id="155" w:name="_Toc514938055"/>
      <w:bookmarkStart w:id="156" w:name="_Toc520485054"/>
      <w:bookmarkStart w:id="157" w:name="_Toc160804598"/>
      <w:bookmarkStart w:id="158" w:name="_Toc167220290"/>
      <w:bookmarkStart w:id="159" w:name="_Toc177549023"/>
      <w:r>
        <w:rPr>
          <w:noProof/>
        </w:rPr>
        <w:t>3.2.3.</w:t>
      </w:r>
      <w:r>
        <w:rPr>
          <w:noProof/>
        </w:rPr>
        <w:tab/>
        <w:t>Sinteza impactului estimat asupra creditelor administrative</w:t>
      </w:r>
      <w:bookmarkEnd w:id="155"/>
      <w:bookmarkEnd w:id="156"/>
      <w:bookmarkEnd w:id="157"/>
      <w:bookmarkEnd w:id="158"/>
      <w:bookmarkEnd w:id="159"/>
      <w:r>
        <w:rPr>
          <w:noProof/>
        </w:rPr>
        <w:t xml:space="preserve"> </w:t>
      </w:r>
    </w:p>
    <w:p>
      <w:pPr>
        <w:pStyle w:val="Text1"/>
        <w:ind w:left="0"/>
        <w:rPr>
          <w:noProof/>
        </w:rPr>
      </w:pPr>
      <w:r>
        <w:rPr>
          <w:noProof/>
        </w:rPr>
        <w:t>Impactul estimat asupra cheltuielilor și a personalului pentru 2028 și ulterior este adăugat doar cu titlu orientativ și nu aduce atingere următorului cadru financiar multianual. Sursa de finanțare și domeniul de aplicare al angajamentelor financiare ale Uniunii pentru perioada de după 2027 depind în continuare de rezultatul negocierilor interinstituționale privind următoarele cadre financiare multianuale și, ulterior, vor fi stabilite prin procedura bugetară anuală. Toate creditele și alocările de personal începând cu 2028 sunt orientative.</w:t>
      </w:r>
    </w:p>
    <w:p>
      <w:pPr>
        <w:pStyle w:val="Text1"/>
        <w:ind w:left="0"/>
        <w:rPr>
          <w:noProof/>
        </w:rPr>
      </w:pPr>
      <w:r>
        <w:rPr>
          <w:noProof/>
        </w:rPr>
        <w:t xml:space="preserve"> </w:t>
      </w:r>
    </w:p>
    <w:p>
      <w:pPr>
        <w:pStyle w:val="ManualHeading3"/>
        <w:rPr>
          <w:noProof/>
        </w:rPr>
      </w:pPr>
      <w:bookmarkStart w:id="160" w:name="_Toc167220291"/>
      <w:bookmarkStart w:id="161" w:name="_Toc177549024"/>
      <w:r>
        <w:rPr>
          <w:noProof/>
        </w:rPr>
        <w:t>3.2.3.1. Credite din bugetul votat</w:t>
      </w:r>
      <w:bookmarkEnd w:id="160"/>
      <w:bookmarkEnd w:id="161"/>
      <w:r>
        <w:rPr>
          <w:noProof/>
        </w:rPr>
        <w:t xml:space="preserve"> (în milioane EUR)</w:t>
      </w:r>
    </w:p>
    <w:tbl>
      <w:tblPr>
        <w:tblW w:w="0" w:type="auto"/>
        <w:tblLook w:val="04A0" w:firstRow="1" w:lastRow="0" w:firstColumn="1" w:lastColumn="0" w:noHBand="0" w:noVBand="1"/>
      </w:tblPr>
      <w:tblGrid>
        <w:gridCol w:w="978"/>
        <w:gridCol w:w="1992"/>
        <w:gridCol w:w="1149"/>
        <w:gridCol w:w="1030"/>
        <w:gridCol w:w="1013"/>
        <w:gridCol w:w="892"/>
        <w:gridCol w:w="1091"/>
        <w:gridCol w:w="1102"/>
      </w:tblGrid>
      <w:tr>
        <w:trPr>
          <w:trHeight w:val="300"/>
        </w:trPr>
        <w:tc>
          <w:tcPr>
            <w:tcW w:w="2970" w:type="dxa"/>
            <w:gridSpan w:val="2"/>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bookmarkStart w:id="162" w:name="_Hlk234832989"/>
            <w:r>
              <w:rPr>
                <w:b/>
                <w:noProof/>
                <w:color w:val="000000" w:themeColor="text1"/>
                <w:sz w:val="18"/>
              </w:rPr>
              <w:t>CREDITE VOTATE</w:t>
            </w:r>
          </w:p>
        </w:tc>
        <w:tc>
          <w:tcPr>
            <w:tcW w:w="114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noProof/>
                <w:color w:val="000000" w:themeColor="text1"/>
                <w:sz w:val="18"/>
              </w:rPr>
              <w:t>Anul</w:t>
            </w:r>
          </w:p>
        </w:tc>
        <w:tc>
          <w:tcPr>
            <w:tcW w:w="1030" w:type="dxa"/>
            <w:tcBorders>
              <w:top w:val="single" w:sz="8" w:space="0" w:color="auto"/>
              <w:left w:val="single" w:sz="4"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noProof/>
                <w:color w:val="000000" w:themeColor="text1"/>
                <w:sz w:val="18"/>
              </w:rPr>
              <w:t>Anul</w:t>
            </w:r>
          </w:p>
        </w:tc>
        <w:tc>
          <w:tcPr>
            <w:tcW w:w="1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noProof/>
                <w:color w:val="000000" w:themeColor="text1"/>
                <w:sz w:val="18"/>
              </w:rPr>
              <w:t>Anul</w:t>
            </w:r>
          </w:p>
        </w:tc>
        <w:tc>
          <w:tcPr>
            <w:tcW w:w="8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noProof/>
                <w:color w:val="000000" w:themeColor="text1"/>
                <w:sz w:val="18"/>
              </w:rPr>
              <w:t>Anul</w:t>
            </w:r>
          </w:p>
        </w:tc>
        <w:tc>
          <w:tcPr>
            <w:tcW w:w="1091" w:type="dxa"/>
            <w:tcBorders>
              <w:top w:val="single" w:sz="8" w:space="0" w:color="auto"/>
              <w:left w:val="single" w:sz="8" w:space="0" w:color="auto"/>
              <w:bottom w:val="single" w:sz="8" w:space="0" w:color="auto"/>
              <w:right w:val="single" w:sz="4" w:space="0" w:color="auto"/>
            </w:tcBorders>
            <w:tcMar>
              <w:left w:w="108" w:type="dxa"/>
              <w:right w:w="108" w:type="dxa"/>
            </w:tcMar>
          </w:tcPr>
          <w:p>
            <w:pPr>
              <w:spacing w:before="0" w:after="0"/>
              <w:jc w:val="center"/>
              <w:rPr>
                <w:rFonts w:eastAsia="Times New Roman"/>
                <w:b/>
                <w:bCs/>
                <w:noProof/>
                <w:color w:val="000000" w:themeColor="text1"/>
                <w:sz w:val="18"/>
                <w:szCs w:val="18"/>
              </w:rPr>
            </w:pPr>
            <w:r>
              <w:rPr>
                <w:b/>
                <w:noProof/>
                <w:color w:val="000000" w:themeColor="text1"/>
                <w:sz w:val="18"/>
              </w:rPr>
              <w:t>Anul</w:t>
            </w:r>
          </w:p>
        </w:tc>
        <w:tc>
          <w:tcPr>
            <w:tcW w:w="1102"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TOTAL 2034-2047</w:t>
            </w:r>
          </w:p>
        </w:tc>
      </w:tr>
      <w:tr>
        <w:trPr>
          <w:trHeight w:val="300"/>
        </w:trPr>
        <w:tc>
          <w:tcPr>
            <w:tcW w:w="2970" w:type="dxa"/>
            <w:gridSpan w:val="2"/>
            <w:vMerge/>
            <w:tcBorders>
              <w:top w:val="single" w:sz="4" w:space="0" w:color="auto"/>
              <w:left w:val="single" w:sz="4" w:space="0" w:color="auto"/>
              <w:bottom w:val="single" w:sz="4" w:space="0" w:color="auto"/>
              <w:right w:val="single" w:sz="4" w:space="0" w:color="auto"/>
            </w:tcBorders>
            <w:vAlign w:val="center"/>
          </w:tcPr>
          <w:p>
            <w:pPr>
              <w:rPr>
                <w:noProof/>
              </w:rPr>
            </w:pPr>
          </w:p>
        </w:tc>
        <w:tc>
          <w:tcPr>
            <w:tcW w:w="114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2034</w:t>
            </w:r>
          </w:p>
        </w:tc>
        <w:tc>
          <w:tcPr>
            <w:tcW w:w="1030" w:type="dxa"/>
            <w:tcBorders>
              <w:top w:val="single" w:sz="8" w:space="0" w:color="auto"/>
              <w:left w:val="single" w:sz="4"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2035</w:t>
            </w:r>
          </w:p>
        </w:tc>
        <w:tc>
          <w:tcPr>
            <w:tcW w:w="1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2036</w:t>
            </w:r>
          </w:p>
        </w:tc>
        <w:tc>
          <w:tcPr>
            <w:tcW w:w="8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2037</w:t>
            </w:r>
          </w:p>
        </w:tc>
        <w:tc>
          <w:tcPr>
            <w:tcW w:w="1091" w:type="dxa"/>
            <w:tcBorders>
              <w:top w:val="single" w:sz="8" w:space="0" w:color="auto"/>
              <w:left w:val="single" w:sz="8" w:space="0" w:color="auto"/>
              <w:bottom w:val="single" w:sz="8"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2038-2047</w:t>
            </w:r>
          </w:p>
        </w:tc>
        <w:tc>
          <w:tcPr>
            <w:tcW w:w="1102" w:type="dxa"/>
            <w:vMerge/>
            <w:tcBorders>
              <w:top w:val="single" w:sz="4" w:space="0" w:color="auto"/>
              <w:left w:val="single" w:sz="4" w:space="0" w:color="auto"/>
              <w:bottom w:val="single" w:sz="4" w:space="0" w:color="auto"/>
              <w:right w:val="single" w:sz="4" w:space="0" w:color="auto"/>
            </w:tcBorders>
            <w:vAlign w:val="center"/>
          </w:tcPr>
          <w:p>
            <w:pPr>
              <w:rPr>
                <w:noProof/>
              </w:rPr>
            </w:pPr>
          </w:p>
        </w:tc>
      </w:tr>
      <w:tr>
        <w:trPr>
          <w:trHeight w:val="300"/>
        </w:trPr>
        <w:tc>
          <w:tcPr>
            <w:tcW w:w="978" w:type="dxa"/>
            <w:tcBorders>
              <w:top w:val="single" w:sz="4" w:space="0" w:color="auto"/>
              <w:left w:val="single" w:sz="4" w:space="0" w:color="auto"/>
              <w:bottom w:val="single" w:sz="4" w:space="0" w:color="auto"/>
              <w:right w:val="single" w:sz="4" w:space="0" w:color="auto"/>
            </w:tcBorders>
            <w:tcMar>
              <w:left w:w="108" w:type="dxa"/>
              <w:right w:w="108" w:type="dxa"/>
            </w:tcMar>
          </w:tcPr>
          <w:p>
            <w:pPr>
              <w:spacing w:before="0" w:after="0"/>
              <w:jc w:val="left"/>
              <w:rPr>
                <w:rFonts w:eastAsia="Times New Roman"/>
                <w:b/>
                <w:bCs/>
                <w:noProof/>
                <w:sz w:val="16"/>
                <w:szCs w:val="16"/>
              </w:rPr>
            </w:pPr>
            <w:r>
              <w:rPr>
                <w:b/>
                <w:noProof/>
                <w:sz w:val="16"/>
              </w:rPr>
              <w:t xml:space="preserve"> </w:t>
            </w:r>
          </w:p>
        </w:tc>
        <w:tc>
          <w:tcPr>
            <w:tcW w:w="8269" w:type="dxa"/>
            <w:gridSpan w:val="7"/>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b/>
                <w:bCs/>
                <w:noProof/>
                <w:sz w:val="16"/>
                <w:szCs w:val="16"/>
              </w:rPr>
            </w:pPr>
            <w:r>
              <w:rPr>
                <w:b/>
                <w:noProof/>
                <w:sz w:val="16"/>
              </w:rPr>
              <w:t>RUBRICA 4</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noProof/>
                <w:color w:val="000000" w:themeColor="text1"/>
                <w:sz w:val="16"/>
              </w:rPr>
              <w:t xml:space="preserve">Resurse umane </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1,005</w:t>
            </w:r>
          </w:p>
        </w:tc>
        <w:tc>
          <w:tcPr>
            <w:tcW w:w="1030" w:type="dxa"/>
            <w:tcBorders>
              <w:top w:val="nil"/>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1,005</w:t>
            </w:r>
          </w:p>
        </w:tc>
        <w:tc>
          <w:tcPr>
            <w:tcW w:w="101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1,005</w:t>
            </w:r>
          </w:p>
        </w:tc>
        <w:tc>
          <w:tcPr>
            <w:tcW w:w="892" w:type="dxa"/>
            <w:tcBorders>
              <w:top w:val="nil"/>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1,005</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10,050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14,070</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noProof/>
                <w:color w:val="000000" w:themeColor="text1"/>
                <w:sz w:val="16"/>
              </w:rPr>
              <w:t xml:space="preserve">Alte cheltuieli administrative </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0,015</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0,215</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0,015</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0,215</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 xml:space="preserve">1,150 </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1,610</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shd w:val="clear" w:color="auto" w:fill="CCCCCC"/>
            <w:tcMar>
              <w:left w:w="108" w:type="dxa"/>
              <w:right w:w="108" w:type="dxa"/>
            </w:tcMar>
            <w:vAlign w:val="center"/>
          </w:tcPr>
          <w:p>
            <w:pPr>
              <w:spacing w:before="0" w:after="0"/>
              <w:jc w:val="center"/>
              <w:rPr>
                <w:rFonts w:eastAsia="Times New Roman"/>
                <w:b/>
                <w:bCs/>
                <w:noProof/>
                <w:color w:val="000000" w:themeColor="text1"/>
                <w:sz w:val="16"/>
                <w:szCs w:val="16"/>
              </w:rPr>
            </w:pPr>
            <w:bookmarkStart w:id="163" w:name="_Hlk234846061"/>
            <w:r>
              <w:rPr>
                <w:b/>
                <w:noProof/>
                <w:color w:val="000000" w:themeColor="text1"/>
                <w:sz w:val="16"/>
              </w:rPr>
              <w:t>Subtotal de la RUBRICA 4</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1,020</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1,220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1,020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1,220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11,200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15,680</w:t>
            </w:r>
          </w:p>
        </w:tc>
      </w:tr>
      <w:bookmarkEnd w:id="163"/>
      <w:tr>
        <w:trPr>
          <w:trHeight w:val="300"/>
        </w:trPr>
        <w:tc>
          <w:tcPr>
            <w:tcW w:w="978" w:type="dxa"/>
            <w:tcBorders>
              <w:top w:val="single" w:sz="4" w:space="0" w:color="auto"/>
              <w:left w:val="single" w:sz="4" w:space="0" w:color="auto"/>
              <w:bottom w:val="single" w:sz="4" w:space="0" w:color="auto"/>
              <w:right w:val="single" w:sz="4" w:space="0" w:color="auto"/>
            </w:tcBorders>
            <w:tcMar>
              <w:left w:w="108" w:type="dxa"/>
              <w:right w:w="108" w:type="dxa"/>
            </w:tcMar>
          </w:tcPr>
          <w:p>
            <w:pPr>
              <w:spacing w:before="0" w:after="0"/>
              <w:jc w:val="left"/>
              <w:rPr>
                <w:rFonts w:eastAsia="Times New Roman"/>
                <w:b/>
                <w:bCs/>
                <w:noProof/>
                <w:sz w:val="16"/>
                <w:szCs w:val="16"/>
              </w:rPr>
            </w:pPr>
            <w:r>
              <w:rPr>
                <w:b/>
                <w:noProof/>
                <w:sz w:val="16"/>
              </w:rPr>
              <w:t xml:space="preserve"> </w:t>
            </w:r>
          </w:p>
        </w:tc>
        <w:tc>
          <w:tcPr>
            <w:tcW w:w="8269" w:type="dxa"/>
            <w:gridSpan w:val="7"/>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b/>
                <w:bCs/>
                <w:noProof/>
                <w:sz w:val="16"/>
                <w:szCs w:val="16"/>
              </w:rPr>
            </w:pPr>
            <w:r>
              <w:rPr>
                <w:b/>
                <w:noProof/>
                <w:sz w:val="16"/>
              </w:rPr>
              <w:t>În afara RUBRICII 4</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noProof/>
                <w:color w:val="000000" w:themeColor="text1"/>
                <w:sz w:val="16"/>
              </w:rPr>
              <w:t xml:space="preserve">Resurse umane </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30" w:type="dxa"/>
            <w:tcBorders>
              <w:top w:val="nil"/>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1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892" w:type="dxa"/>
            <w:tcBorders>
              <w:top w:val="nil"/>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noProof/>
                <w:color w:val="000000" w:themeColor="text1"/>
                <w:sz w:val="16"/>
              </w:rPr>
              <w:t>Alte cheltuieli cu caracter administrativ</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r>
      <w:tr>
        <w:trPr>
          <w:trHeight w:val="300"/>
        </w:trPr>
        <w:tc>
          <w:tcPr>
            <w:tcW w:w="2970" w:type="dxa"/>
            <w:gridSpan w:val="2"/>
            <w:tcBorders>
              <w:top w:val="single" w:sz="4"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pPr>
              <w:spacing w:before="0" w:after="0"/>
              <w:jc w:val="center"/>
              <w:rPr>
                <w:rFonts w:eastAsia="Times New Roman"/>
                <w:b/>
                <w:bCs/>
                <w:noProof/>
                <w:color w:val="000000" w:themeColor="text1"/>
                <w:sz w:val="16"/>
                <w:szCs w:val="16"/>
              </w:rPr>
            </w:pPr>
            <w:r>
              <w:rPr>
                <w:b/>
                <w:noProof/>
                <w:color w:val="000000" w:themeColor="text1"/>
                <w:sz w:val="16"/>
              </w:rPr>
              <w:t>Subtotal în afara RUBRICII 4</w:t>
            </w:r>
          </w:p>
        </w:tc>
        <w:tc>
          <w:tcPr>
            <w:tcW w:w="1149" w:type="dxa"/>
            <w:tcBorders>
              <w:top w:val="single" w:sz="4" w:space="0" w:color="auto"/>
              <w:left w:val="nil"/>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c>
          <w:tcPr>
            <w:tcW w:w="103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r>
      <w:tr>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center"/>
              <w:rPr>
                <w:rFonts w:eastAsia="Times New Roman"/>
                <w:noProof/>
                <w:color w:val="000000" w:themeColor="text1"/>
                <w:sz w:val="16"/>
                <w:szCs w:val="16"/>
              </w:rPr>
            </w:pPr>
            <w:r>
              <w:rPr>
                <w:noProof/>
                <w:color w:val="000000" w:themeColor="text1"/>
                <w:sz w:val="16"/>
              </w:rPr>
              <w:t xml:space="preserve"> </w:t>
            </w:r>
          </w:p>
        </w:tc>
        <w:tc>
          <w:tcPr>
            <w:tcW w:w="8269" w:type="dxa"/>
            <w:gridSpan w:val="7"/>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6"/>
                <w:szCs w:val="16"/>
              </w:rPr>
            </w:pPr>
            <w:r>
              <w:rPr>
                <w:noProof/>
                <w:color w:val="000000" w:themeColor="text1"/>
                <w:sz w:val="16"/>
              </w:rPr>
              <w:t xml:space="preserve"> </w:t>
            </w:r>
          </w:p>
        </w:tc>
      </w:tr>
      <w:tr>
        <w:trPr>
          <w:trHeight w:val="300"/>
        </w:trPr>
        <w:tc>
          <w:tcPr>
            <w:tcW w:w="2970"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6"/>
                <w:szCs w:val="16"/>
              </w:rPr>
            </w:pPr>
            <w:r>
              <w:rPr>
                <w:b/>
                <w:noProof/>
                <w:color w:val="000000" w:themeColor="text1"/>
                <w:sz w:val="16"/>
              </w:rPr>
              <w:t>TOTAL</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1,020</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1,220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1,020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1,220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11,200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15,680</w:t>
            </w:r>
          </w:p>
        </w:tc>
      </w:tr>
    </w:tbl>
    <w:p>
      <w:pPr>
        <w:pStyle w:val="ManualHeading3"/>
        <w:rPr>
          <w:i w:val="0"/>
          <w:noProof/>
        </w:rPr>
      </w:pPr>
      <w:bookmarkStart w:id="164" w:name="_Toc167220293"/>
      <w:bookmarkStart w:id="165" w:name="_Toc177549026"/>
      <w:bookmarkEnd w:id="162"/>
    </w:p>
    <w:p>
      <w:pPr>
        <w:pStyle w:val="ManualHeading3"/>
        <w:rPr>
          <w:noProof/>
        </w:rPr>
      </w:pPr>
      <w:r>
        <w:rPr>
          <w:noProof/>
        </w:rPr>
        <w:t>3.2.3.3.</w:t>
      </w:r>
      <w:r>
        <w:rPr>
          <w:noProof/>
        </w:rPr>
        <w:tab/>
        <w:t>Total credite</w:t>
      </w:r>
      <w:bookmarkEnd w:id="164"/>
      <w:bookmarkEnd w:id="165"/>
      <w:r>
        <w:rPr>
          <w:noProof/>
        </w:rPr>
        <w:t xml:space="preserve"> (în milioane EUR)</w:t>
      </w:r>
    </w:p>
    <w:tbl>
      <w:tblPr>
        <w:tblW w:w="0" w:type="auto"/>
        <w:tblLook w:val="04A0" w:firstRow="1" w:lastRow="0" w:firstColumn="1" w:lastColumn="0" w:noHBand="0" w:noVBand="1"/>
      </w:tblPr>
      <w:tblGrid>
        <w:gridCol w:w="978"/>
        <w:gridCol w:w="1992"/>
        <w:gridCol w:w="1149"/>
        <w:gridCol w:w="1030"/>
        <w:gridCol w:w="1013"/>
        <w:gridCol w:w="892"/>
        <w:gridCol w:w="1091"/>
        <w:gridCol w:w="1102"/>
      </w:tblGrid>
      <w:tr>
        <w:trPr>
          <w:trHeight w:val="300"/>
        </w:trPr>
        <w:tc>
          <w:tcPr>
            <w:tcW w:w="2970" w:type="dxa"/>
            <w:gridSpan w:val="2"/>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TOTAL CREDITE VOTATE + VENITURI ALOCATE EXTERNE</w:t>
            </w:r>
          </w:p>
        </w:tc>
        <w:tc>
          <w:tcPr>
            <w:tcW w:w="114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noProof/>
                <w:color w:val="000000" w:themeColor="text1"/>
                <w:sz w:val="18"/>
              </w:rPr>
              <w:t>Anul</w:t>
            </w:r>
          </w:p>
        </w:tc>
        <w:tc>
          <w:tcPr>
            <w:tcW w:w="1030" w:type="dxa"/>
            <w:tcBorders>
              <w:top w:val="single" w:sz="8" w:space="0" w:color="auto"/>
              <w:left w:val="single" w:sz="4"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noProof/>
                <w:color w:val="000000" w:themeColor="text1"/>
                <w:sz w:val="18"/>
              </w:rPr>
              <w:t>Anul</w:t>
            </w:r>
          </w:p>
        </w:tc>
        <w:tc>
          <w:tcPr>
            <w:tcW w:w="1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noProof/>
                <w:color w:val="000000" w:themeColor="text1"/>
                <w:sz w:val="18"/>
              </w:rPr>
              <w:t>Anul</w:t>
            </w:r>
          </w:p>
        </w:tc>
        <w:tc>
          <w:tcPr>
            <w:tcW w:w="8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noProof/>
                <w:color w:val="000000" w:themeColor="text1"/>
                <w:sz w:val="18"/>
              </w:rPr>
              <w:t>Anul</w:t>
            </w:r>
          </w:p>
        </w:tc>
        <w:tc>
          <w:tcPr>
            <w:tcW w:w="1091" w:type="dxa"/>
            <w:tcBorders>
              <w:top w:val="single" w:sz="8" w:space="0" w:color="auto"/>
              <w:left w:val="single" w:sz="8" w:space="0" w:color="auto"/>
              <w:bottom w:val="single" w:sz="8" w:space="0" w:color="auto"/>
              <w:right w:val="single" w:sz="4" w:space="0" w:color="auto"/>
            </w:tcBorders>
            <w:tcMar>
              <w:left w:w="108" w:type="dxa"/>
              <w:right w:w="108" w:type="dxa"/>
            </w:tcMar>
          </w:tcPr>
          <w:p>
            <w:pPr>
              <w:spacing w:before="0" w:after="0"/>
              <w:jc w:val="center"/>
              <w:rPr>
                <w:rFonts w:eastAsia="Times New Roman"/>
                <w:b/>
                <w:bCs/>
                <w:noProof/>
                <w:color w:val="000000" w:themeColor="text1"/>
                <w:sz w:val="18"/>
                <w:szCs w:val="18"/>
              </w:rPr>
            </w:pPr>
            <w:r>
              <w:rPr>
                <w:b/>
                <w:noProof/>
                <w:color w:val="000000" w:themeColor="text1"/>
                <w:sz w:val="18"/>
              </w:rPr>
              <w:t>Anul</w:t>
            </w:r>
          </w:p>
        </w:tc>
        <w:tc>
          <w:tcPr>
            <w:tcW w:w="1102"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TOTAL 2034-2047</w:t>
            </w:r>
          </w:p>
        </w:tc>
      </w:tr>
      <w:tr>
        <w:trPr>
          <w:trHeight w:val="300"/>
        </w:trPr>
        <w:tc>
          <w:tcPr>
            <w:tcW w:w="2970" w:type="dxa"/>
            <w:gridSpan w:val="2"/>
            <w:vMerge/>
            <w:tcBorders>
              <w:top w:val="single" w:sz="4" w:space="0" w:color="auto"/>
              <w:left w:val="single" w:sz="4" w:space="0" w:color="auto"/>
              <w:bottom w:val="single" w:sz="4" w:space="0" w:color="auto"/>
              <w:right w:val="single" w:sz="4" w:space="0" w:color="auto"/>
            </w:tcBorders>
            <w:vAlign w:val="center"/>
          </w:tcPr>
          <w:p>
            <w:pPr>
              <w:rPr>
                <w:noProof/>
              </w:rPr>
            </w:pPr>
          </w:p>
        </w:tc>
        <w:tc>
          <w:tcPr>
            <w:tcW w:w="114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2034</w:t>
            </w:r>
          </w:p>
        </w:tc>
        <w:tc>
          <w:tcPr>
            <w:tcW w:w="1030" w:type="dxa"/>
            <w:tcBorders>
              <w:top w:val="single" w:sz="8" w:space="0" w:color="auto"/>
              <w:left w:val="single" w:sz="4"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2035</w:t>
            </w:r>
          </w:p>
        </w:tc>
        <w:tc>
          <w:tcPr>
            <w:tcW w:w="1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2036</w:t>
            </w:r>
          </w:p>
        </w:tc>
        <w:tc>
          <w:tcPr>
            <w:tcW w:w="8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2037</w:t>
            </w:r>
          </w:p>
        </w:tc>
        <w:tc>
          <w:tcPr>
            <w:tcW w:w="1091" w:type="dxa"/>
            <w:tcBorders>
              <w:top w:val="single" w:sz="8" w:space="0" w:color="auto"/>
              <w:left w:val="single" w:sz="8" w:space="0" w:color="auto"/>
              <w:bottom w:val="single" w:sz="8"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2038-2047</w:t>
            </w:r>
          </w:p>
        </w:tc>
        <w:tc>
          <w:tcPr>
            <w:tcW w:w="1102" w:type="dxa"/>
            <w:vMerge/>
            <w:tcBorders>
              <w:top w:val="single" w:sz="4" w:space="0" w:color="auto"/>
              <w:left w:val="single" w:sz="4" w:space="0" w:color="auto"/>
              <w:bottom w:val="single" w:sz="4" w:space="0" w:color="auto"/>
              <w:right w:val="single" w:sz="4" w:space="0" w:color="auto"/>
            </w:tcBorders>
            <w:vAlign w:val="center"/>
          </w:tcPr>
          <w:p>
            <w:pPr>
              <w:rPr>
                <w:noProof/>
              </w:rPr>
            </w:pPr>
          </w:p>
        </w:tc>
      </w:tr>
      <w:tr>
        <w:trPr>
          <w:trHeight w:val="300"/>
        </w:trPr>
        <w:tc>
          <w:tcPr>
            <w:tcW w:w="978" w:type="dxa"/>
            <w:tcBorders>
              <w:top w:val="single" w:sz="4" w:space="0" w:color="auto"/>
              <w:left w:val="single" w:sz="4" w:space="0" w:color="auto"/>
              <w:bottom w:val="single" w:sz="4" w:space="0" w:color="auto"/>
              <w:right w:val="single" w:sz="4" w:space="0" w:color="auto"/>
            </w:tcBorders>
            <w:tcMar>
              <w:left w:w="108" w:type="dxa"/>
              <w:right w:w="108" w:type="dxa"/>
            </w:tcMar>
          </w:tcPr>
          <w:p>
            <w:pPr>
              <w:spacing w:before="0" w:after="0"/>
              <w:jc w:val="left"/>
              <w:rPr>
                <w:rFonts w:eastAsia="Times New Roman"/>
                <w:b/>
                <w:bCs/>
                <w:noProof/>
                <w:sz w:val="16"/>
                <w:szCs w:val="16"/>
              </w:rPr>
            </w:pPr>
            <w:r>
              <w:rPr>
                <w:b/>
                <w:noProof/>
                <w:sz w:val="16"/>
              </w:rPr>
              <w:t xml:space="preserve"> </w:t>
            </w:r>
          </w:p>
        </w:tc>
        <w:tc>
          <w:tcPr>
            <w:tcW w:w="8269" w:type="dxa"/>
            <w:gridSpan w:val="7"/>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b/>
                <w:bCs/>
                <w:noProof/>
                <w:sz w:val="16"/>
                <w:szCs w:val="16"/>
              </w:rPr>
            </w:pPr>
            <w:r>
              <w:rPr>
                <w:b/>
                <w:noProof/>
                <w:sz w:val="16"/>
              </w:rPr>
              <w:t>RUBRICA 4</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noProof/>
                <w:color w:val="000000" w:themeColor="text1"/>
                <w:sz w:val="16"/>
              </w:rPr>
              <w:t xml:space="preserve">Resurse umane </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1,005</w:t>
            </w:r>
          </w:p>
        </w:tc>
        <w:tc>
          <w:tcPr>
            <w:tcW w:w="1030" w:type="dxa"/>
            <w:tcBorders>
              <w:top w:val="nil"/>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1,005</w:t>
            </w:r>
          </w:p>
        </w:tc>
        <w:tc>
          <w:tcPr>
            <w:tcW w:w="101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1,005</w:t>
            </w:r>
          </w:p>
        </w:tc>
        <w:tc>
          <w:tcPr>
            <w:tcW w:w="892" w:type="dxa"/>
            <w:tcBorders>
              <w:top w:val="nil"/>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1,005</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10,050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14,070</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noProof/>
                <w:color w:val="000000" w:themeColor="text1"/>
                <w:sz w:val="16"/>
              </w:rPr>
              <w:t xml:space="preserve">Alte cheltuieli administrative </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0,015</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0,215</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0,015</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0,215</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 xml:space="preserve">1,150 </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1,610</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shd w:val="clear" w:color="auto" w:fill="CCCCCC"/>
            <w:tcMar>
              <w:left w:w="108" w:type="dxa"/>
              <w:right w:w="108" w:type="dxa"/>
            </w:tcMar>
            <w:vAlign w:val="center"/>
          </w:tcPr>
          <w:p>
            <w:pPr>
              <w:spacing w:before="0" w:after="0"/>
              <w:jc w:val="center"/>
              <w:rPr>
                <w:rFonts w:eastAsia="Times New Roman"/>
                <w:b/>
                <w:bCs/>
                <w:noProof/>
                <w:color w:val="000000" w:themeColor="text1"/>
                <w:sz w:val="16"/>
                <w:szCs w:val="16"/>
              </w:rPr>
            </w:pPr>
            <w:r>
              <w:rPr>
                <w:b/>
                <w:noProof/>
                <w:color w:val="000000" w:themeColor="text1"/>
                <w:sz w:val="16"/>
              </w:rPr>
              <w:t>Subtotal de la RUBRICA 4</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1,020</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1,220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1,020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1,220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11,200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15,680</w:t>
            </w:r>
          </w:p>
        </w:tc>
      </w:tr>
      <w:tr>
        <w:trPr>
          <w:trHeight w:val="300"/>
        </w:trPr>
        <w:tc>
          <w:tcPr>
            <w:tcW w:w="978" w:type="dxa"/>
            <w:tcBorders>
              <w:top w:val="single" w:sz="4" w:space="0" w:color="auto"/>
              <w:left w:val="single" w:sz="4" w:space="0" w:color="auto"/>
              <w:bottom w:val="single" w:sz="4" w:space="0" w:color="auto"/>
              <w:right w:val="single" w:sz="4" w:space="0" w:color="auto"/>
            </w:tcBorders>
            <w:tcMar>
              <w:left w:w="108" w:type="dxa"/>
              <w:right w:w="108" w:type="dxa"/>
            </w:tcMar>
          </w:tcPr>
          <w:p>
            <w:pPr>
              <w:spacing w:before="0" w:after="0"/>
              <w:jc w:val="left"/>
              <w:rPr>
                <w:rFonts w:eastAsia="Times New Roman"/>
                <w:b/>
                <w:bCs/>
                <w:noProof/>
                <w:sz w:val="16"/>
                <w:szCs w:val="16"/>
              </w:rPr>
            </w:pPr>
            <w:r>
              <w:rPr>
                <w:b/>
                <w:noProof/>
                <w:sz w:val="16"/>
              </w:rPr>
              <w:t xml:space="preserve"> </w:t>
            </w:r>
          </w:p>
        </w:tc>
        <w:tc>
          <w:tcPr>
            <w:tcW w:w="8269" w:type="dxa"/>
            <w:gridSpan w:val="7"/>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b/>
                <w:bCs/>
                <w:noProof/>
                <w:sz w:val="16"/>
                <w:szCs w:val="16"/>
              </w:rPr>
            </w:pPr>
            <w:r>
              <w:rPr>
                <w:b/>
                <w:noProof/>
                <w:sz w:val="16"/>
              </w:rPr>
              <w:t>În afara RUBRICII 4</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noProof/>
                <w:color w:val="000000" w:themeColor="text1"/>
                <w:sz w:val="16"/>
              </w:rPr>
              <w:t xml:space="preserve">Resurse umane </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30" w:type="dxa"/>
            <w:tcBorders>
              <w:top w:val="nil"/>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1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892" w:type="dxa"/>
            <w:tcBorders>
              <w:top w:val="nil"/>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noProof/>
                <w:color w:val="000000" w:themeColor="text1"/>
                <w:sz w:val="16"/>
              </w:rPr>
              <w:t>Alte cheltuieli cu caracter administrativ</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r>
      <w:tr>
        <w:trPr>
          <w:trHeight w:val="300"/>
        </w:trPr>
        <w:tc>
          <w:tcPr>
            <w:tcW w:w="2970" w:type="dxa"/>
            <w:gridSpan w:val="2"/>
            <w:tcBorders>
              <w:top w:val="single" w:sz="4"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pPr>
              <w:spacing w:before="0" w:after="0"/>
              <w:jc w:val="center"/>
              <w:rPr>
                <w:rFonts w:eastAsia="Times New Roman"/>
                <w:b/>
                <w:bCs/>
                <w:noProof/>
                <w:color w:val="000000" w:themeColor="text1"/>
                <w:sz w:val="16"/>
                <w:szCs w:val="16"/>
              </w:rPr>
            </w:pPr>
            <w:r>
              <w:rPr>
                <w:b/>
                <w:noProof/>
                <w:color w:val="000000" w:themeColor="text1"/>
                <w:sz w:val="16"/>
              </w:rPr>
              <w:t>Subtotal în afara RUBRICII 4</w:t>
            </w:r>
          </w:p>
        </w:tc>
        <w:tc>
          <w:tcPr>
            <w:tcW w:w="1149" w:type="dxa"/>
            <w:tcBorders>
              <w:top w:val="single" w:sz="4" w:space="0" w:color="auto"/>
              <w:left w:val="nil"/>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c>
          <w:tcPr>
            <w:tcW w:w="103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r>
      <w:tr>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center"/>
              <w:rPr>
                <w:rFonts w:eastAsia="Times New Roman"/>
                <w:noProof/>
                <w:color w:val="000000" w:themeColor="text1"/>
                <w:sz w:val="16"/>
                <w:szCs w:val="16"/>
              </w:rPr>
            </w:pPr>
            <w:r>
              <w:rPr>
                <w:noProof/>
                <w:color w:val="000000" w:themeColor="text1"/>
                <w:sz w:val="16"/>
              </w:rPr>
              <w:t xml:space="preserve"> </w:t>
            </w:r>
          </w:p>
        </w:tc>
        <w:tc>
          <w:tcPr>
            <w:tcW w:w="8269" w:type="dxa"/>
            <w:gridSpan w:val="7"/>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6"/>
                <w:szCs w:val="16"/>
              </w:rPr>
            </w:pPr>
            <w:r>
              <w:rPr>
                <w:noProof/>
                <w:color w:val="000000" w:themeColor="text1"/>
                <w:sz w:val="16"/>
              </w:rPr>
              <w:t xml:space="preserve"> </w:t>
            </w:r>
          </w:p>
        </w:tc>
      </w:tr>
      <w:tr>
        <w:trPr>
          <w:trHeight w:val="300"/>
        </w:trPr>
        <w:tc>
          <w:tcPr>
            <w:tcW w:w="2970"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6"/>
                <w:szCs w:val="16"/>
              </w:rPr>
            </w:pPr>
            <w:r>
              <w:rPr>
                <w:b/>
                <w:noProof/>
                <w:color w:val="000000" w:themeColor="text1"/>
                <w:sz w:val="16"/>
              </w:rPr>
              <w:t>TOTAL</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1,020</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1,220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1,020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1,220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11,200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15,680</w:t>
            </w:r>
          </w:p>
        </w:tc>
      </w:tr>
    </w:tbl>
    <w:p>
      <w:pPr>
        <w:pStyle w:val="Text1"/>
        <w:ind w:left="0"/>
        <w:rPr>
          <w:noProof/>
        </w:rPr>
      </w:pPr>
    </w:p>
    <w:p>
      <w:pPr>
        <w:pStyle w:val="ManualHeading3"/>
        <w:rPr>
          <w:noProof/>
        </w:rPr>
      </w:pPr>
      <w:bookmarkStart w:id="166" w:name="_Toc167220294"/>
      <w:bookmarkStart w:id="167" w:name="_Toc177549027"/>
      <w:r>
        <w:rPr>
          <w:noProof/>
        </w:rPr>
        <w:t>3.2.4.</w:t>
      </w:r>
      <w:r>
        <w:rPr>
          <w:noProof/>
        </w:rPr>
        <w:tab/>
        <w:t>Necesarul de resurse umane estimat</w:t>
      </w:r>
      <w:bookmarkEnd w:id="166"/>
      <w:bookmarkEnd w:id="167"/>
      <w:r>
        <w:rPr>
          <w:noProof/>
        </w:rPr>
        <w:t xml:space="preserve"> </w:t>
      </w:r>
    </w:p>
    <w:p>
      <w:pPr>
        <w:pStyle w:val="Text1"/>
        <w:ind w:left="0"/>
        <w:rPr>
          <w:noProof/>
        </w:rPr>
      </w:pPr>
      <w:r>
        <w:rPr>
          <w:noProof/>
        </w:rPr>
        <w:t>Impactul estimat asupra cheltuielilor și a personalului pentru 2028 și ulterior este adăugat doar cu titlu orientativ și nu aduce atingere următorului cadru financiar multianual. Sursa de finanțare și domeniul de aplicare al angajamentelor financiare ale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pStyle w:val="ManualHeading3"/>
        <w:rPr>
          <w:noProof/>
        </w:rPr>
      </w:pPr>
      <w:bookmarkStart w:id="168" w:name="_Toc167220295"/>
      <w:bookmarkStart w:id="169" w:name="_Toc177549028"/>
      <w:r>
        <w:rPr>
          <w:noProof/>
        </w:rPr>
        <w:t>3.2.4.1.</w:t>
      </w:r>
      <w:r>
        <w:rPr>
          <w:noProof/>
        </w:rPr>
        <w:tab/>
        <w:t>Finanțare din bugetul votat</w:t>
      </w:r>
      <w:bookmarkEnd w:id="168"/>
      <w:bookmarkEnd w:id="169"/>
    </w:p>
    <w:p>
      <w:pPr>
        <w:spacing w:after="60"/>
        <w:jc w:val="right"/>
        <w:rPr>
          <w:i/>
          <w:noProof/>
          <w:sz w:val="20"/>
        </w:rPr>
      </w:pPr>
      <w:r>
        <w:rPr>
          <w:i/>
          <w:noProof/>
          <w:sz w:val="20"/>
        </w:rPr>
        <w:t>Estimări în echivalent normă întreagă (ENI)</w:t>
      </w:r>
    </w:p>
    <w:p>
      <w:pPr>
        <w:pStyle w:val="Text1"/>
        <w:spacing w:before="60" w:after="60"/>
        <w:ind w:left="-426" w:right="-427"/>
        <w:rPr>
          <w:b/>
          <w:noProof/>
          <w:sz w:val="18"/>
          <w:szCs w:val="18"/>
        </w:rPr>
      </w:pPr>
      <w:bookmarkStart w:id="170" w:name="_Hlk156979231"/>
    </w:p>
    <w:tbl>
      <w:tblPr>
        <w:tblW w:w="4865" w:type="pct"/>
        <w:tblLook w:val="04A0" w:firstRow="1" w:lastRow="0" w:firstColumn="1" w:lastColumn="0" w:noHBand="0" w:noVBand="1"/>
      </w:tblPr>
      <w:tblGrid>
        <w:gridCol w:w="1297"/>
        <w:gridCol w:w="3167"/>
        <w:gridCol w:w="616"/>
        <w:gridCol w:w="616"/>
        <w:gridCol w:w="754"/>
        <w:gridCol w:w="616"/>
        <w:gridCol w:w="768"/>
        <w:gridCol w:w="1204"/>
      </w:tblGrid>
      <w:tr>
        <w:trPr>
          <w:trHeight w:val="300"/>
        </w:trPr>
        <w:tc>
          <w:tcPr>
            <w:tcW w:w="2469"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rPr>
            </w:pPr>
            <w:r>
              <w:rPr>
                <w:b/>
                <w:noProof/>
                <w:color w:val="000000"/>
                <w:sz w:val="18"/>
              </w:rPr>
              <w:t>CREDITE VOTATE</w:t>
            </w:r>
          </w:p>
        </w:tc>
        <w:tc>
          <w:tcPr>
            <w:tcW w:w="3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17"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25" w:type="pct"/>
            <w:tcBorders>
              <w:top w:val="single" w:sz="8" w:space="0" w:color="auto"/>
              <w:left w:val="nil"/>
              <w:bottom w:val="nil"/>
              <w:right w:val="single" w:sz="8" w:space="0" w:color="auto"/>
            </w:tcBorders>
            <w:vAlign w:val="center"/>
          </w:tcPr>
          <w:p>
            <w:pPr>
              <w:spacing w:before="0" w:after="0"/>
              <w:jc w:val="center"/>
              <w:rPr>
                <w:noProof/>
                <w:color w:val="000000"/>
                <w:sz w:val="20"/>
                <w:szCs w:val="20"/>
              </w:rPr>
            </w:pPr>
            <w:r>
              <w:rPr>
                <w:noProof/>
                <w:color w:val="000000"/>
                <w:sz w:val="20"/>
              </w:rPr>
              <w:t>Anul</w:t>
            </w:r>
          </w:p>
        </w:tc>
        <w:tc>
          <w:tcPr>
            <w:tcW w:w="666" w:type="pct"/>
            <w:tcBorders>
              <w:top w:val="single" w:sz="8" w:space="0" w:color="auto"/>
              <w:left w:val="nil"/>
              <w:bottom w:val="nil"/>
              <w:right w:val="single" w:sz="8" w:space="0" w:color="auto"/>
            </w:tcBorders>
            <w:vAlign w:val="center"/>
          </w:tcPr>
          <w:p>
            <w:pPr>
              <w:spacing w:before="0" w:after="0"/>
              <w:jc w:val="center"/>
              <w:rPr>
                <w:noProof/>
                <w:color w:val="000000"/>
                <w:sz w:val="20"/>
                <w:szCs w:val="20"/>
              </w:rPr>
            </w:pPr>
            <w:r>
              <w:rPr>
                <w:noProof/>
                <w:color w:val="000000"/>
                <w:sz w:val="20"/>
              </w:rPr>
              <w:t>Anul</w:t>
            </w:r>
          </w:p>
        </w:tc>
      </w:tr>
      <w:tr>
        <w:trPr>
          <w:trHeight w:val="300"/>
        </w:trPr>
        <w:tc>
          <w:tcPr>
            <w:tcW w:w="2469" w:type="pct"/>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eastAsia="en-IE"/>
              </w:rPr>
            </w:pPr>
          </w:p>
        </w:tc>
        <w:tc>
          <w:tcPr>
            <w:tcW w:w="3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2034</w:t>
            </w:r>
          </w:p>
        </w:tc>
        <w:tc>
          <w:tcPr>
            <w:tcW w:w="3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2035</w:t>
            </w:r>
          </w:p>
        </w:tc>
        <w:tc>
          <w:tcPr>
            <w:tcW w:w="417"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2036</w:t>
            </w:r>
          </w:p>
        </w:tc>
        <w:tc>
          <w:tcPr>
            <w:tcW w:w="3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2037</w:t>
            </w:r>
          </w:p>
        </w:tc>
        <w:tc>
          <w:tcPr>
            <w:tcW w:w="425" w:type="pct"/>
            <w:tcBorders>
              <w:top w:val="nil"/>
              <w:left w:val="nil"/>
              <w:bottom w:val="single" w:sz="8" w:space="0" w:color="auto"/>
              <w:right w:val="single" w:sz="8" w:space="0" w:color="auto"/>
            </w:tcBorders>
            <w:vAlign w:val="center"/>
          </w:tcPr>
          <w:p>
            <w:pPr>
              <w:spacing w:before="0" w:after="0"/>
              <w:jc w:val="center"/>
              <w:rPr>
                <w:b/>
                <w:bCs/>
                <w:noProof/>
                <w:color w:val="000000"/>
                <w:sz w:val="20"/>
                <w:szCs w:val="20"/>
              </w:rPr>
            </w:pPr>
            <w:r>
              <w:rPr>
                <w:b/>
                <w:noProof/>
                <w:color w:val="000000"/>
                <w:sz w:val="20"/>
              </w:rPr>
              <w:t>2038</w:t>
            </w:r>
          </w:p>
        </w:tc>
        <w:tc>
          <w:tcPr>
            <w:tcW w:w="666" w:type="pct"/>
            <w:tcBorders>
              <w:top w:val="nil"/>
              <w:left w:val="nil"/>
              <w:bottom w:val="single" w:sz="8" w:space="0" w:color="auto"/>
              <w:right w:val="single" w:sz="8" w:space="0" w:color="auto"/>
            </w:tcBorders>
            <w:vAlign w:val="center"/>
          </w:tcPr>
          <w:p>
            <w:pPr>
              <w:spacing w:before="0" w:after="0"/>
              <w:rPr>
                <w:b/>
                <w:bCs/>
                <w:noProof/>
                <w:color w:val="000000"/>
                <w:sz w:val="20"/>
                <w:szCs w:val="20"/>
              </w:rPr>
            </w:pPr>
            <w:r>
              <w:rPr>
                <w:b/>
                <w:noProof/>
                <w:color w:val="000000"/>
                <w:sz w:val="20"/>
              </w:rPr>
              <w:t>2039-2047</w:t>
            </w:r>
          </w:p>
        </w:tc>
      </w:tr>
      <w:tr>
        <w:trPr>
          <w:trHeight w:val="300"/>
        </w:trPr>
        <w:tc>
          <w:tcPr>
            <w:tcW w:w="3909"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Wingdings" w:hAnsi="Wingdings"/>
                <w:b/>
                <w:noProof/>
                <w:color w:val="000000"/>
                <w:sz w:val="16"/>
              </w:rPr>
              <w:t>Ÿ</w:t>
            </w:r>
            <w:r>
              <w:rPr>
                <w:b/>
                <w:noProof/>
                <w:color w:val="000000"/>
                <w:sz w:val="16"/>
              </w:rPr>
              <w:t xml:space="preserve"> Posturi din schema de personal (funcționari și agenți temporari)</w:t>
            </w:r>
          </w:p>
        </w:tc>
        <w:tc>
          <w:tcPr>
            <w:tcW w:w="425"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Wingdings" w:hAnsi="Wingdings" w:cs="Calibri"/>
                <w:b/>
                <w:bCs/>
                <w:noProof/>
                <w:color w:val="000000"/>
                <w:sz w:val="16"/>
                <w:szCs w:val="16"/>
                <w:lang w:eastAsia="en-IE"/>
              </w:rPr>
            </w:pPr>
          </w:p>
        </w:tc>
        <w:tc>
          <w:tcPr>
            <w:tcW w:w="666"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Wingdings" w:hAnsi="Wingdings" w:cs="Calibri"/>
                <w:b/>
                <w:bCs/>
                <w:noProof/>
                <w:color w:val="000000"/>
                <w:sz w:val="16"/>
                <w:szCs w:val="16"/>
                <w:lang w:eastAsia="en-IE"/>
              </w:rPr>
            </w:pP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20 01 02 01</w:t>
            </w:r>
            <w:r>
              <w:rPr>
                <w:noProof/>
                <w:color w:val="000000"/>
              </w:rPr>
              <w:t xml:space="preserve"> </w:t>
            </w:r>
            <w:r>
              <w:rPr>
                <w:noProof/>
                <w:color w:val="000000"/>
                <w:sz w:val="16"/>
              </w:rPr>
              <w:t>(la sediu și în reprezentanțele Comisiei)</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3</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3</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3</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3</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3</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3</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03 (delegațiile UE)</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01 01 01 01</w:t>
            </w:r>
            <w:r>
              <w:rPr>
                <w:noProof/>
                <w:color w:val="000000"/>
              </w:rPr>
              <w:t xml:space="preserve"> </w:t>
            </w:r>
            <w:r>
              <w:rPr>
                <w:noProof/>
                <w:color w:val="000000"/>
                <w:sz w:val="16"/>
              </w:rPr>
              <w:t>(cercetare indirectă)</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11 (cercetare directă)</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3909"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Calibri" w:hAnsi="Calibri"/>
                <w:b/>
                <w:noProof/>
                <w:color w:val="000000"/>
                <w:sz w:val="16"/>
              </w:rPr>
              <w:t>•</w:t>
            </w:r>
            <w:r>
              <w:rPr>
                <w:b/>
                <w:noProof/>
                <w:color w:val="000000"/>
                <w:sz w:val="16"/>
              </w:rPr>
              <w:t xml:space="preserve"> Personal extern (în ENI)</w:t>
            </w:r>
          </w:p>
        </w:tc>
        <w:tc>
          <w:tcPr>
            <w:tcW w:w="425"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Calibri" w:hAnsi="Calibri" w:cs="Calibri"/>
                <w:b/>
                <w:bCs/>
                <w:noProof/>
                <w:color w:val="000000"/>
                <w:sz w:val="16"/>
                <w:szCs w:val="16"/>
                <w:lang w:eastAsia="en-IE"/>
              </w:rPr>
            </w:pPr>
          </w:p>
        </w:tc>
        <w:tc>
          <w:tcPr>
            <w:tcW w:w="666"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Calibri" w:hAnsi="Calibri" w:cs="Calibri"/>
                <w:b/>
                <w:bCs/>
                <w:noProof/>
                <w:color w:val="000000"/>
                <w:sz w:val="16"/>
                <w:szCs w:val="16"/>
                <w:lang w:eastAsia="en-IE"/>
              </w:rPr>
            </w:pP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20 02 01</w:t>
            </w:r>
            <w:r>
              <w:rPr>
                <w:noProof/>
                <w:color w:val="000000"/>
              </w:rPr>
              <w:t xml:space="preserve"> </w:t>
            </w:r>
            <w:r>
              <w:rPr>
                <w:noProof/>
                <w:color w:val="000000"/>
                <w:sz w:val="16"/>
              </w:rPr>
              <w:t>(AC, END din „pachetul global”)</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4</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4</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4</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4</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4</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4</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03 (AC, AL, END și JPD în delegațiile UE)</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717" w:type="pct"/>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rPr>
            </w:pPr>
            <w:r>
              <w:rPr>
                <w:noProof/>
                <w:color w:val="000000"/>
                <w:sz w:val="16"/>
              </w:rPr>
              <w:t>Linia de sprijin administrativ</w:t>
            </w:r>
            <w:r>
              <w:rPr>
                <w:noProof/>
              </w:rPr>
              <w:t xml:space="preserve"> </w:t>
            </w:r>
            <w:r>
              <w:rPr>
                <w:noProof/>
              </w:rPr>
              <w:br/>
            </w:r>
            <w:r>
              <w:rPr>
                <w:noProof/>
                <w:color w:val="000000"/>
                <w:sz w:val="16"/>
              </w:rPr>
              <w:t>[XX.01.YY.YY]</w:t>
            </w:r>
          </w:p>
        </w:tc>
        <w:tc>
          <w:tcPr>
            <w:tcW w:w="1752"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la sediu</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717"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p>
        </w:tc>
        <w:tc>
          <w:tcPr>
            <w:tcW w:w="1752"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în delegațiile UE </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01 01 01 02</w:t>
            </w:r>
            <w:r>
              <w:rPr>
                <w:noProof/>
                <w:color w:val="000000"/>
              </w:rPr>
              <w:t xml:space="preserve"> </w:t>
            </w:r>
            <w:r>
              <w:rPr>
                <w:noProof/>
                <w:color w:val="000000"/>
                <w:sz w:val="16"/>
              </w:rPr>
              <w:t>(AC, END – cercetare indirectă)</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01 01 01 12 (AC, END – cercetare directă)</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 – rubrica 4</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 – în afara rubricii 4</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rPr>
            </w:pPr>
            <w:r>
              <w:rPr>
                <w:b/>
                <w:noProof/>
                <w:color w:val="000000"/>
                <w:sz w:val="16"/>
              </w:rPr>
              <w:t>TOTAL</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7</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7</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7</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7</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b/>
                <w:bCs/>
                <w:noProof/>
                <w:color w:val="000000"/>
                <w:sz w:val="16"/>
                <w:szCs w:val="16"/>
              </w:rPr>
            </w:pPr>
            <w:r>
              <w:rPr>
                <w:b/>
                <w:noProof/>
                <w:color w:val="000000"/>
                <w:sz w:val="16"/>
              </w:rPr>
              <w:t>7</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b/>
                <w:bCs/>
                <w:noProof/>
                <w:color w:val="000000"/>
                <w:sz w:val="16"/>
                <w:szCs w:val="16"/>
              </w:rPr>
            </w:pPr>
            <w:r>
              <w:rPr>
                <w:b/>
                <w:noProof/>
                <w:color w:val="000000"/>
                <w:sz w:val="16"/>
              </w:rPr>
              <w:t>7</w:t>
            </w:r>
          </w:p>
        </w:tc>
      </w:tr>
    </w:tbl>
    <w:p>
      <w:pPr>
        <w:pStyle w:val="ManualHeading3"/>
        <w:rPr>
          <w:noProof/>
        </w:rPr>
      </w:pPr>
      <w:bookmarkStart w:id="171" w:name="_Toc167220296"/>
      <w:bookmarkStart w:id="172" w:name="_Toc177549029"/>
      <w:r>
        <w:rPr>
          <w:noProof/>
        </w:rPr>
        <w:t>3.2.4.2.</w:t>
      </w:r>
      <w:r>
        <w:rPr>
          <w:noProof/>
        </w:rPr>
        <w:tab/>
        <w:t>Finanțare din venituri alocate externe</w:t>
      </w:r>
      <w:bookmarkEnd w:id="171"/>
      <w:bookmarkEnd w:id="172"/>
    </w:p>
    <w:p>
      <w:pPr>
        <w:pStyle w:val="ManualHeading3"/>
        <w:rPr>
          <w:i w:val="0"/>
          <w:iCs/>
          <w:noProof/>
        </w:rPr>
      </w:pPr>
      <w:bookmarkStart w:id="173" w:name="_Toc167220297"/>
      <w:bookmarkStart w:id="174" w:name="_Toc177549030"/>
      <w:r>
        <w:rPr>
          <w:i w:val="0"/>
          <w:noProof/>
        </w:rPr>
        <w:t>Nu se aplică.</w:t>
      </w:r>
    </w:p>
    <w:p>
      <w:pPr>
        <w:pStyle w:val="ManualHeading3"/>
        <w:rPr>
          <w:noProof/>
        </w:rPr>
      </w:pPr>
      <w:r>
        <w:rPr>
          <w:noProof/>
        </w:rPr>
        <w:t>3.2.4.3.</w:t>
      </w:r>
      <w:r>
        <w:rPr>
          <w:noProof/>
        </w:rPr>
        <w:tab/>
        <w:t>Necesarul total de resurse umane</w:t>
      </w:r>
      <w:bookmarkEnd w:id="173"/>
      <w:bookmarkEnd w:id="174"/>
    </w:p>
    <w:tbl>
      <w:tblPr>
        <w:tblW w:w="4672" w:type="pct"/>
        <w:tblLook w:val="04A0" w:firstRow="1" w:lastRow="0" w:firstColumn="1" w:lastColumn="0" w:noHBand="0" w:noVBand="1"/>
      </w:tblPr>
      <w:tblGrid>
        <w:gridCol w:w="1298"/>
        <w:gridCol w:w="3191"/>
        <w:gridCol w:w="616"/>
        <w:gridCol w:w="616"/>
        <w:gridCol w:w="774"/>
        <w:gridCol w:w="616"/>
        <w:gridCol w:w="790"/>
        <w:gridCol w:w="779"/>
      </w:tblGrid>
      <w:tr>
        <w:trPr>
          <w:trHeight w:val="300"/>
        </w:trPr>
        <w:tc>
          <w:tcPr>
            <w:tcW w:w="2584"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rPr>
            </w:pPr>
            <w:r>
              <w:rPr>
                <w:b/>
                <w:noProof/>
                <w:color w:val="000000"/>
                <w:sz w:val="18"/>
              </w:rPr>
              <w:t>TOTAL CREDITE VOTATE + VENITURI ALOCATE EXTERNE</w:t>
            </w:r>
          </w:p>
        </w:tc>
        <w:tc>
          <w:tcPr>
            <w:tcW w:w="355"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55"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55"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55" w:type="pct"/>
            <w:tcBorders>
              <w:top w:val="single" w:sz="8" w:space="0" w:color="auto"/>
              <w:left w:val="nil"/>
              <w:bottom w:val="nil"/>
              <w:right w:val="single" w:sz="8" w:space="0" w:color="auto"/>
            </w:tcBorders>
            <w:vAlign w:val="center"/>
          </w:tcPr>
          <w:p>
            <w:pPr>
              <w:spacing w:before="0" w:after="0"/>
              <w:jc w:val="center"/>
              <w:rPr>
                <w:noProof/>
                <w:color w:val="000000"/>
                <w:sz w:val="20"/>
                <w:szCs w:val="20"/>
              </w:rPr>
            </w:pPr>
            <w:r>
              <w:rPr>
                <w:noProof/>
                <w:color w:val="000000"/>
                <w:sz w:val="20"/>
              </w:rPr>
              <w:t>Anul</w:t>
            </w:r>
          </w:p>
        </w:tc>
        <w:tc>
          <w:tcPr>
            <w:tcW w:w="450" w:type="pct"/>
            <w:tcBorders>
              <w:top w:val="single" w:sz="8" w:space="0" w:color="auto"/>
              <w:left w:val="nil"/>
              <w:bottom w:val="nil"/>
              <w:right w:val="single" w:sz="8" w:space="0" w:color="auto"/>
            </w:tcBorders>
            <w:vAlign w:val="center"/>
          </w:tcPr>
          <w:p>
            <w:pPr>
              <w:spacing w:before="0" w:after="0"/>
              <w:jc w:val="center"/>
              <w:rPr>
                <w:noProof/>
                <w:color w:val="000000"/>
                <w:sz w:val="20"/>
                <w:szCs w:val="20"/>
              </w:rPr>
            </w:pPr>
            <w:r>
              <w:rPr>
                <w:noProof/>
                <w:color w:val="000000"/>
                <w:sz w:val="20"/>
              </w:rPr>
              <w:t>Anul</w:t>
            </w:r>
          </w:p>
        </w:tc>
      </w:tr>
      <w:tr>
        <w:trPr>
          <w:trHeight w:val="300"/>
        </w:trPr>
        <w:tc>
          <w:tcPr>
            <w:tcW w:w="2584" w:type="pct"/>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eastAsia="en-IE"/>
              </w:rPr>
            </w:pPr>
          </w:p>
        </w:tc>
        <w:tc>
          <w:tcPr>
            <w:tcW w:w="355"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2034</w:t>
            </w:r>
          </w:p>
        </w:tc>
        <w:tc>
          <w:tcPr>
            <w:tcW w:w="355"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2035</w:t>
            </w:r>
          </w:p>
        </w:tc>
        <w:tc>
          <w:tcPr>
            <w:tcW w:w="44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2036</w:t>
            </w:r>
          </w:p>
        </w:tc>
        <w:tc>
          <w:tcPr>
            <w:tcW w:w="355"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2037</w:t>
            </w:r>
          </w:p>
        </w:tc>
        <w:tc>
          <w:tcPr>
            <w:tcW w:w="455" w:type="pct"/>
            <w:tcBorders>
              <w:top w:val="nil"/>
              <w:left w:val="nil"/>
              <w:bottom w:val="single" w:sz="8" w:space="0" w:color="auto"/>
              <w:right w:val="single" w:sz="8" w:space="0" w:color="auto"/>
            </w:tcBorders>
            <w:vAlign w:val="center"/>
          </w:tcPr>
          <w:p>
            <w:pPr>
              <w:spacing w:before="0" w:after="0"/>
              <w:jc w:val="center"/>
              <w:rPr>
                <w:b/>
                <w:bCs/>
                <w:noProof/>
                <w:color w:val="000000"/>
                <w:sz w:val="20"/>
                <w:szCs w:val="20"/>
              </w:rPr>
            </w:pPr>
            <w:r>
              <w:rPr>
                <w:b/>
                <w:noProof/>
                <w:color w:val="000000"/>
                <w:sz w:val="20"/>
              </w:rPr>
              <w:t>2038</w:t>
            </w:r>
          </w:p>
        </w:tc>
        <w:tc>
          <w:tcPr>
            <w:tcW w:w="450" w:type="pct"/>
            <w:tcBorders>
              <w:top w:val="nil"/>
              <w:left w:val="nil"/>
              <w:bottom w:val="single" w:sz="8" w:space="0" w:color="auto"/>
              <w:right w:val="single" w:sz="8" w:space="0" w:color="auto"/>
            </w:tcBorders>
            <w:vAlign w:val="center"/>
          </w:tcPr>
          <w:p>
            <w:pPr>
              <w:spacing w:before="0" w:after="0"/>
              <w:jc w:val="center"/>
              <w:rPr>
                <w:b/>
                <w:bCs/>
                <w:noProof/>
                <w:color w:val="000000"/>
                <w:sz w:val="20"/>
                <w:szCs w:val="20"/>
              </w:rPr>
            </w:pPr>
            <w:r>
              <w:rPr>
                <w:b/>
                <w:noProof/>
                <w:color w:val="000000"/>
                <w:sz w:val="20"/>
              </w:rPr>
              <w:t>2039-2047</w:t>
            </w:r>
          </w:p>
        </w:tc>
      </w:tr>
      <w:tr>
        <w:trPr>
          <w:trHeight w:val="300"/>
        </w:trPr>
        <w:tc>
          <w:tcPr>
            <w:tcW w:w="4094"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Wingdings" w:hAnsi="Wingdings"/>
                <w:b/>
                <w:noProof/>
                <w:color w:val="000000"/>
                <w:sz w:val="16"/>
              </w:rPr>
              <w:t>Ÿ</w:t>
            </w:r>
            <w:r>
              <w:rPr>
                <w:b/>
                <w:noProof/>
                <w:color w:val="000000"/>
                <w:sz w:val="16"/>
              </w:rPr>
              <w:t xml:space="preserve"> Posturi din schema de personal (funcționari și agenți temporari)</w:t>
            </w:r>
          </w:p>
        </w:tc>
        <w:tc>
          <w:tcPr>
            <w:tcW w:w="455"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Wingdings" w:hAnsi="Wingdings" w:cs="Calibri"/>
                <w:b/>
                <w:bCs/>
                <w:noProof/>
                <w:color w:val="000000"/>
                <w:sz w:val="16"/>
                <w:szCs w:val="16"/>
                <w:lang w:eastAsia="en-IE"/>
              </w:rPr>
            </w:pPr>
          </w:p>
        </w:tc>
        <w:tc>
          <w:tcPr>
            <w:tcW w:w="450"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Wingdings" w:hAnsi="Wingdings" w:cs="Calibri"/>
                <w:b/>
                <w:bCs/>
                <w:noProof/>
                <w:color w:val="000000"/>
                <w:sz w:val="16"/>
                <w:szCs w:val="16"/>
                <w:lang w:eastAsia="en-IE"/>
              </w:rPr>
            </w:pP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20 01 02 01</w:t>
            </w:r>
            <w:r>
              <w:rPr>
                <w:noProof/>
                <w:color w:val="000000"/>
              </w:rPr>
              <w:t xml:space="preserve"> </w:t>
            </w:r>
            <w:r>
              <w:rPr>
                <w:noProof/>
                <w:color w:val="000000"/>
                <w:sz w:val="16"/>
              </w:rPr>
              <w:t>(la sediu și în reprezentanțele Comisiei)</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3</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3</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3</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3</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3</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3</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03 (delegațiile UE)</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01 01 01 01</w:t>
            </w:r>
            <w:r>
              <w:rPr>
                <w:noProof/>
                <w:color w:val="000000"/>
              </w:rPr>
              <w:t xml:space="preserve"> </w:t>
            </w:r>
            <w:r>
              <w:rPr>
                <w:noProof/>
                <w:color w:val="000000"/>
                <w:sz w:val="16"/>
              </w:rPr>
              <w:t>(cercetare indirectă)</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11 (cercetare directă)</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4094"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Calibri" w:hAnsi="Calibri"/>
                <w:b/>
                <w:noProof/>
                <w:color w:val="000000"/>
                <w:sz w:val="16"/>
              </w:rPr>
              <w:t>•</w:t>
            </w:r>
            <w:r>
              <w:rPr>
                <w:b/>
                <w:noProof/>
                <w:color w:val="000000"/>
                <w:sz w:val="16"/>
              </w:rPr>
              <w:t xml:space="preserve"> Personal extern (în ENI)</w:t>
            </w:r>
          </w:p>
        </w:tc>
        <w:tc>
          <w:tcPr>
            <w:tcW w:w="455"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Calibri" w:hAnsi="Calibri" w:cs="Calibri"/>
                <w:b/>
                <w:bCs/>
                <w:noProof/>
                <w:color w:val="000000"/>
                <w:sz w:val="16"/>
                <w:szCs w:val="16"/>
                <w:lang w:eastAsia="en-IE"/>
              </w:rPr>
            </w:pPr>
          </w:p>
        </w:tc>
        <w:tc>
          <w:tcPr>
            <w:tcW w:w="450"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Calibri" w:hAnsi="Calibri" w:cs="Calibri"/>
                <w:b/>
                <w:bCs/>
                <w:noProof/>
                <w:color w:val="000000"/>
                <w:sz w:val="16"/>
                <w:szCs w:val="16"/>
                <w:lang w:eastAsia="en-IE"/>
              </w:rPr>
            </w:pP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20 02 01</w:t>
            </w:r>
            <w:r>
              <w:rPr>
                <w:noProof/>
                <w:color w:val="000000"/>
              </w:rPr>
              <w:t xml:space="preserve"> </w:t>
            </w:r>
            <w:r>
              <w:rPr>
                <w:noProof/>
                <w:color w:val="000000"/>
                <w:sz w:val="16"/>
              </w:rPr>
              <w:t>(AC, END din „pachetul global”)</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4</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4</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4</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4</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4</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4</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03 (AC, AL, END și JPD în delegațiile UE)</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747" w:type="pct"/>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rPr>
            </w:pPr>
            <w:r>
              <w:rPr>
                <w:noProof/>
                <w:color w:val="000000"/>
                <w:sz w:val="16"/>
              </w:rPr>
              <w:t>Linia de sprijin administrativ</w:t>
            </w:r>
            <w:r>
              <w:rPr>
                <w:noProof/>
              </w:rPr>
              <w:t xml:space="preserve"> </w:t>
            </w:r>
            <w:r>
              <w:rPr>
                <w:noProof/>
              </w:rPr>
              <w:br/>
            </w:r>
            <w:r>
              <w:rPr>
                <w:noProof/>
                <w:color w:val="000000"/>
                <w:sz w:val="16"/>
              </w:rPr>
              <w:t>[XX.01.YY.YY]</w:t>
            </w:r>
          </w:p>
        </w:tc>
        <w:tc>
          <w:tcPr>
            <w:tcW w:w="183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la sediu</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747"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p>
        </w:tc>
        <w:tc>
          <w:tcPr>
            <w:tcW w:w="183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în delegațiile UE </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01 01 01 02</w:t>
            </w:r>
            <w:r>
              <w:rPr>
                <w:noProof/>
                <w:color w:val="000000"/>
              </w:rPr>
              <w:t xml:space="preserve"> </w:t>
            </w:r>
            <w:r>
              <w:rPr>
                <w:noProof/>
                <w:color w:val="000000"/>
                <w:sz w:val="16"/>
              </w:rPr>
              <w:t>(AC, END – cercetare indirectă)</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01 01 01 12 (AC, END – cercetare directă)</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 – rubrica 4</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 – în afara rubricii 4</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rPr>
            </w:pPr>
            <w:r>
              <w:rPr>
                <w:b/>
                <w:noProof/>
                <w:color w:val="000000"/>
                <w:sz w:val="16"/>
              </w:rPr>
              <w:t>TOTAL</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7</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7</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7</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7</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b/>
                <w:bCs/>
                <w:noProof/>
                <w:color w:val="000000"/>
                <w:sz w:val="16"/>
                <w:szCs w:val="16"/>
              </w:rPr>
            </w:pPr>
            <w:r>
              <w:rPr>
                <w:b/>
                <w:noProof/>
                <w:color w:val="000000"/>
                <w:sz w:val="16"/>
              </w:rPr>
              <w:t>7</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b/>
                <w:bCs/>
                <w:noProof/>
                <w:color w:val="000000"/>
                <w:sz w:val="16"/>
                <w:szCs w:val="16"/>
              </w:rPr>
            </w:pPr>
            <w:r>
              <w:rPr>
                <w:b/>
                <w:noProof/>
                <w:color w:val="000000"/>
                <w:sz w:val="16"/>
              </w:rPr>
              <w:t>7</w:t>
            </w:r>
          </w:p>
        </w:tc>
      </w:tr>
    </w:tbl>
    <w:p>
      <w:pPr>
        <w:pStyle w:val="Text1"/>
        <w:ind w:left="0"/>
        <w:rPr>
          <w:noProof/>
        </w:rPr>
      </w:pPr>
    </w:p>
    <w:p>
      <w:pPr>
        <w:ind w:left="-426" w:right="-427"/>
        <w:rPr>
          <w:rFonts w:eastAsia="Times New Roman"/>
          <w:noProof/>
          <w:szCs w:val="24"/>
        </w:rPr>
      </w:pPr>
      <w:r>
        <w:rPr>
          <w:noProof/>
        </w:rPr>
        <w:t>Având în vedere situația dificilă per ansamblu de la rubrica 4, atât în ceea ce privește personalul, cât și nivelul creditelor, necesarul de resurse umane va fi asigurat din efectivele de personal ale DG-ului în cauză alocate deja pentru gestionarea acțiunii și/sau redistribuite în cadrul DG-ului sau al altor servicii ale Comisiei.</w:t>
      </w:r>
    </w:p>
    <w:p>
      <w:pPr>
        <w:ind w:left="-426"/>
        <w:rPr>
          <w:rFonts w:eastAsia="Times New Roman"/>
          <w:noProof/>
          <w:color w:val="000000" w:themeColor="text1"/>
          <w:szCs w:val="24"/>
        </w:rPr>
      </w:pPr>
      <w:r>
        <w:rPr>
          <w:noProof/>
          <w:color w:val="000000" w:themeColor="text1"/>
        </w:rPr>
        <w:t xml:space="preserve"> </w:t>
      </w:r>
    </w:p>
    <w:p>
      <w:pPr>
        <w:ind w:left="-426"/>
        <w:rPr>
          <w:rFonts w:eastAsia="Times New Roman"/>
          <w:noProof/>
          <w:color w:val="000000" w:themeColor="text1"/>
          <w:szCs w:val="24"/>
        </w:rPr>
      </w:pPr>
      <w:r>
        <w:rPr>
          <w:noProof/>
          <w:color w:val="000000" w:themeColor="text1"/>
        </w:rPr>
        <w:t xml:space="preserve">Personalul necesar pentru punerea în aplicare a propunerii (în ENI): </w:t>
      </w:r>
    </w:p>
    <w:tbl>
      <w:tblPr>
        <w:tblStyle w:val="TableGrid"/>
        <w:tblW w:w="0" w:type="auto"/>
        <w:tblLook w:val="04A0" w:firstRow="1" w:lastRow="0" w:firstColumn="1" w:lastColumn="0" w:noHBand="0" w:noVBand="1"/>
      </w:tblPr>
      <w:tblGrid>
        <w:gridCol w:w="1763"/>
        <w:gridCol w:w="1935"/>
        <w:gridCol w:w="1835"/>
        <w:gridCol w:w="1849"/>
        <w:gridCol w:w="1677"/>
      </w:tblGrid>
      <w:tr>
        <w:trPr>
          <w:trHeight w:val="300"/>
        </w:trPr>
        <w:tc>
          <w:tcPr>
            <w:tcW w:w="1763"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noProof/>
                <w:sz w:val="22"/>
              </w:rPr>
              <w:t xml:space="preserve"> </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noProof/>
                <w:sz w:val="22"/>
              </w:rPr>
              <w:t xml:space="preserve">Personal ce urmează să fie acoperit de personalul actual disponibil în cadrul serviciilor Comisiei </w:t>
            </w:r>
          </w:p>
        </w:tc>
        <w:tc>
          <w:tcPr>
            <w:tcW w:w="5361"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noProof/>
                <w:sz w:val="22"/>
              </w:rPr>
              <w:t>În mod excepțional, personal suplimentar*</w:t>
            </w:r>
          </w:p>
        </w:tc>
      </w:tr>
      <w:tr>
        <w:trPr>
          <w:trHeight w:val="300"/>
        </w:trPr>
        <w:tc>
          <w:tcPr>
            <w:tcW w:w="1763"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noProof/>
                <w:sz w:val="22"/>
              </w:rPr>
              <w:t xml:space="preserve"> </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noProof/>
                <w:sz w:val="22"/>
              </w:rPr>
              <w:t xml:space="preserve"> </w:t>
            </w:r>
          </w:p>
        </w:tc>
        <w:tc>
          <w:tcPr>
            <w:tcW w:w="1835"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noProof/>
                <w:sz w:val="22"/>
              </w:rPr>
              <w:t>Personal ce urmează să fie finanțat în cadrul rubricii 4 sau Cercetare</w:t>
            </w:r>
          </w:p>
        </w:tc>
        <w:tc>
          <w:tcPr>
            <w:tcW w:w="1849" w:type="dxa"/>
            <w:tcBorders>
              <w:top w:val="nil"/>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noProof/>
                <w:sz w:val="22"/>
              </w:rPr>
              <w:t>Personal ce urmează să fie finanțat de la linia BA</w:t>
            </w:r>
          </w:p>
        </w:tc>
        <w:tc>
          <w:tcPr>
            <w:tcW w:w="1677" w:type="dxa"/>
            <w:tcBorders>
              <w:top w:val="nil"/>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noProof/>
                <w:sz w:val="22"/>
              </w:rPr>
              <w:t>Personal ce urmează să fie finanțat din taxe</w:t>
            </w:r>
          </w:p>
        </w:tc>
      </w:tr>
      <w:tr>
        <w:trPr>
          <w:trHeight w:val="300"/>
        </w:trPr>
        <w:tc>
          <w:tcPr>
            <w:tcW w:w="1763"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rPr>
              <w:t>Posturi din schema de personal</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rPr>
              <w:t>3</w:t>
            </w:r>
          </w:p>
        </w:tc>
        <w:tc>
          <w:tcPr>
            <w:tcW w:w="183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rPr>
              <w:t xml:space="preserve"> </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rPr>
              <w:t>Nu se aplică</w:t>
            </w:r>
          </w:p>
        </w:tc>
        <w:tc>
          <w:tcPr>
            <w:tcW w:w="1677"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rPr>
              <w:t xml:space="preserve"> </w:t>
            </w:r>
          </w:p>
        </w:tc>
      </w:tr>
      <w:tr>
        <w:trPr>
          <w:trHeight w:val="300"/>
        </w:trPr>
        <w:tc>
          <w:tcPr>
            <w:tcW w:w="1763"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rPr>
              <w:t>Personal extern (AC, END, INT)</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rPr>
              <w:t>4</w:t>
            </w:r>
          </w:p>
        </w:tc>
        <w:tc>
          <w:tcPr>
            <w:tcW w:w="183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rPr>
              <w:t xml:space="preserve"> </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rPr>
              <w:t xml:space="preserve"> </w:t>
            </w:r>
          </w:p>
        </w:tc>
        <w:tc>
          <w:tcPr>
            <w:tcW w:w="1677"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rPr>
              <w:t xml:space="preserve"> </w:t>
            </w:r>
          </w:p>
        </w:tc>
      </w:tr>
    </w:tbl>
    <w:p>
      <w:pPr>
        <w:rPr>
          <w:rFonts w:eastAsia="Times New Roman"/>
          <w:noProof/>
          <w:szCs w:val="24"/>
        </w:rPr>
      </w:pPr>
      <w:r>
        <w:rPr>
          <w:noProof/>
        </w:rPr>
        <w:t xml:space="preserve"> </w:t>
      </w:r>
    </w:p>
    <w:p>
      <w:pPr>
        <w:rPr>
          <w:rFonts w:eastAsia="Times New Roman"/>
          <w:noProof/>
          <w:szCs w:val="24"/>
        </w:rPr>
      </w:pPr>
      <w:r>
        <w:rPr>
          <w:noProof/>
        </w:rPr>
        <w:t>Descrierea sarcinilor care trebuie efectuate de:</w:t>
      </w:r>
    </w:p>
    <w:tbl>
      <w:tblPr>
        <w:tblW w:w="0" w:type="auto"/>
        <w:tblInd w:w="-435" w:type="dxa"/>
        <w:tblLook w:val="01E0" w:firstRow="1" w:lastRow="1" w:firstColumn="1" w:lastColumn="1" w:noHBand="0" w:noVBand="0"/>
      </w:tblPr>
      <w:tblGrid>
        <w:gridCol w:w="2045"/>
        <w:gridCol w:w="7429"/>
      </w:tblGrid>
      <w:tr>
        <w:trPr>
          <w:trHeight w:val="300"/>
        </w:trPr>
        <w:tc>
          <w:tcPr>
            <w:tcW w:w="2045" w:type="dxa"/>
            <w:tcBorders>
              <w:top w:val="single" w:sz="8" w:space="0" w:color="auto"/>
              <w:left w:val="single" w:sz="8" w:space="0" w:color="auto"/>
              <w:bottom w:val="single" w:sz="8" w:space="0" w:color="auto"/>
              <w:right w:val="single" w:sz="4" w:space="0" w:color="auto"/>
            </w:tcBorders>
            <w:tcMar>
              <w:left w:w="108" w:type="dxa"/>
              <w:right w:w="108" w:type="dxa"/>
            </w:tcMar>
          </w:tcPr>
          <w:p>
            <w:pPr>
              <w:rPr>
                <w:rFonts w:eastAsia="Times New Roman"/>
                <w:noProof/>
                <w:sz w:val="20"/>
                <w:szCs w:val="20"/>
              </w:rPr>
            </w:pPr>
            <w:bookmarkStart w:id="175" w:name="_Hlk234833130"/>
            <w:r>
              <w:rPr>
                <w:noProof/>
                <w:sz w:val="20"/>
              </w:rPr>
              <w:t>Funcționari și personal temporar</w:t>
            </w:r>
          </w:p>
        </w:tc>
        <w:tc>
          <w:tcPr>
            <w:tcW w:w="7429" w:type="dxa"/>
            <w:tcBorders>
              <w:top w:val="single" w:sz="4" w:space="0" w:color="auto"/>
              <w:left w:val="single" w:sz="4" w:space="0" w:color="auto"/>
              <w:bottom w:val="single" w:sz="4" w:space="0" w:color="auto"/>
              <w:right w:val="single" w:sz="4" w:space="0" w:color="auto"/>
            </w:tcBorders>
          </w:tcPr>
          <w:p>
            <w:pPr>
              <w:rPr>
                <w:noProof/>
                <w:sz w:val="20"/>
                <w:szCs w:val="20"/>
              </w:rPr>
            </w:pPr>
            <w:r>
              <w:rPr>
                <w:noProof/>
                <w:sz w:val="20"/>
              </w:rPr>
              <w:t>Să asigure coerența de ansamblu a acțiunii și să ofere sprijinul necesar pentru CEC desemnate;</w:t>
            </w:r>
          </w:p>
          <w:p>
            <w:pPr>
              <w:rPr>
                <w:noProof/>
                <w:sz w:val="20"/>
                <w:szCs w:val="20"/>
              </w:rPr>
            </w:pPr>
            <w:r>
              <w:rPr>
                <w:noProof/>
                <w:sz w:val="20"/>
              </w:rPr>
              <w:t>Să asigure coordonarea dintre statele membre și juriu;</w:t>
            </w:r>
          </w:p>
          <w:p>
            <w:pPr>
              <w:rPr>
                <w:rFonts w:eastAsia="Times New Roman"/>
                <w:noProof/>
                <w:sz w:val="20"/>
                <w:szCs w:val="20"/>
              </w:rPr>
            </w:pPr>
            <w:r>
              <w:rPr>
                <w:noProof/>
                <w:sz w:val="20"/>
              </w:rPr>
              <w:t>Să asigure supravegherea și coordonarea juriului;</w:t>
            </w:r>
          </w:p>
          <w:p>
            <w:pPr>
              <w:rPr>
                <w:rFonts w:eastAsia="Times New Roman"/>
                <w:noProof/>
                <w:sz w:val="20"/>
                <w:szCs w:val="20"/>
              </w:rPr>
            </w:pPr>
            <w:r>
              <w:rPr>
                <w:noProof/>
                <w:sz w:val="20"/>
              </w:rPr>
              <w:t xml:space="preserve">Să asigure supravegherea competițiilor din statele membre; </w:t>
            </w:r>
          </w:p>
          <w:p>
            <w:pPr>
              <w:rPr>
                <w:rFonts w:eastAsia="Times New Roman"/>
                <w:noProof/>
                <w:sz w:val="20"/>
                <w:szCs w:val="20"/>
              </w:rPr>
            </w:pPr>
            <w:r>
              <w:rPr>
                <w:noProof/>
                <w:sz w:val="20"/>
              </w:rPr>
              <w:t>Să coordoneze competițiile din țările terțe.</w:t>
            </w:r>
          </w:p>
        </w:tc>
      </w:tr>
      <w:tr>
        <w:trPr>
          <w:trHeight w:val="300"/>
        </w:trPr>
        <w:tc>
          <w:tcPr>
            <w:tcW w:w="2045" w:type="dxa"/>
            <w:tcBorders>
              <w:top w:val="single" w:sz="8" w:space="0" w:color="auto"/>
              <w:left w:val="single" w:sz="8" w:space="0" w:color="auto"/>
              <w:bottom w:val="single" w:sz="8" w:space="0" w:color="auto"/>
              <w:right w:val="single" w:sz="4" w:space="0" w:color="auto"/>
            </w:tcBorders>
            <w:tcMar>
              <w:left w:w="108" w:type="dxa"/>
              <w:right w:w="108" w:type="dxa"/>
            </w:tcMar>
          </w:tcPr>
          <w:p>
            <w:pPr>
              <w:spacing w:before="60" w:after="60"/>
              <w:rPr>
                <w:rFonts w:eastAsia="Times New Roman"/>
                <w:noProof/>
                <w:sz w:val="20"/>
                <w:szCs w:val="20"/>
              </w:rPr>
            </w:pPr>
            <w:r>
              <w:rPr>
                <w:noProof/>
                <w:sz w:val="20"/>
              </w:rPr>
              <w:t>Personal extern</w:t>
            </w:r>
          </w:p>
        </w:tc>
        <w:tc>
          <w:tcPr>
            <w:tcW w:w="7429" w:type="dxa"/>
            <w:tcBorders>
              <w:top w:val="single" w:sz="4" w:space="0" w:color="auto"/>
              <w:left w:val="single" w:sz="4" w:space="0" w:color="auto"/>
              <w:bottom w:val="single" w:sz="4" w:space="0" w:color="auto"/>
              <w:right w:val="single" w:sz="4" w:space="0" w:color="auto"/>
            </w:tcBorders>
          </w:tcPr>
          <w:p>
            <w:pPr>
              <w:rPr>
                <w:noProof/>
                <w:sz w:val="20"/>
                <w:szCs w:val="20"/>
              </w:rPr>
            </w:pPr>
            <w:r>
              <w:rPr>
                <w:noProof/>
                <w:sz w:val="20"/>
              </w:rPr>
              <w:t>Să stabilească orientări pentru sprijinirea procedurilor de selecție și monitorizare, inclusiv dimensiunea europeană, în strânsă cooperare cu juriul;</w:t>
            </w:r>
          </w:p>
          <w:p>
            <w:pPr>
              <w:rPr>
                <w:noProof/>
                <w:sz w:val="20"/>
                <w:szCs w:val="20"/>
              </w:rPr>
            </w:pPr>
            <w:r>
              <w:rPr>
                <w:noProof/>
                <w:sz w:val="20"/>
              </w:rPr>
              <w:t>Să ofere sprijin tehnic juriului;</w:t>
            </w:r>
          </w:p>
          <w:p>
            <w:pPr>
              <w:rPr>
                <w:noProof/>
                <w:sz w:val="20"/>
                <w:szCs w:val="20"/>
              </w:rPr>
            </w:pPr>
            <w:r>
              <w:rPr>
                <w:noProof/>
                <w:sz w:val="20"/>
              </w:rPr>
              <w:t>Să publice toate rapoartele juriului pe pagina sa de internet;</w:t>
            </w:r>
          </w:p>
          <w:p>
            <w:pPr>
              <w:rPr>
                <w:noProof/>
                <w:sz w:val="20"/>
                <w:szCs w:val="20"/>
              </w:rPr>
            </w:pPr>
            <w:r>
              <w:rPr>
                <w:noProof/>
                <w:sz w:val="20"/>
              </w:rPr>
              <w:t>Să facă publice toate informațiile pertinente și să contribuie la vizibilitatea acțiunii la nivel european și la nivel internațional;</w:t>
            </w:r>
          </w:p>
          <w:p>
            <w:pPr>
              <w:rPr>
                <w:noProof/>
                <w:sz w:val="20"/>
                <w:szCs w:val="20"/>
              </w:rPr>
            </w:pPr>
            <w:r>
              <w:rPr>
                <w:noProof/>
                <w:sz w:val="20"/>
              </w:rPr>
              <w:t>Să stimuleze schimbul de experiență și de bune practici între precedentele, actualele și viitoarele orașe deținătoare ale titlului, precum și între orașele candidate și să promoveze diseminarea pe scară mai largă a rapoartelor de evaluare a orașelor și a concluziilor care se desprind din acestea;</w:t>
            </w:r>
          </w:p>
          <w:p>
            <w:pPr>
              <w:rPr>
                <w:noProof/>
                <w:sz w:val="20"/>
                <w:szCs w:val="20"/>
              </w:rPr>
            </w:pPr>
            <w:r>
              <w:rPr>
                <w:noProof/>
                <w:sz w:val="20"/>
              </w:rPr>
              <w:t>Să ofere orașelor sprijin pentru pregătirea candidaturilor, punerea în aplicare a programelor acestora și valorificarea experienței lor de orașe desemnate la titlu, inclusiv integrarea acesteia în planificarea urbană și a politicilor pe termen lung, indiferent dacă li s-a acordat sau nu titlul;</w:t>
            </w:r>
          </w:p>
          <w:p>
            <w:pPr>
              <w:rPr>
                <w:noProof/>
                <w:sz w:val="20"/>
                <w:szCs w:val="20"/>
              </w:rPr>
            </w:pPr>
            <w:r>
              <w:rPr>
                <w:noProof/>
                <w:sz w:val="20"/>
              </w:rPr>
              <w:t>Să conceapă activități de comunicare specifice pentru a spori vizibilitatea și acoperirea acțiunii CEC pe teritoriul Europei și în afara acesteia;</w:t>
            </w:r>
          </w:p>
          <w:p>
            <w:pPr>
              <w:rPr>
                <w:noProof/>
                <w:sz w:val="20"/>
                <w:szCs w:val="20"/>
              </w:rPr>
            </w:pPr>
            <w:r>
              <w:rPr>
                <w:noProof/>
                <w:sz w:val="20"/>
              </w:rPr>
              <w:t xml:space="preserve">Să furnizeze informații cu privire la fondurile europene existente pentru dezvoltarea de proiecte de către orașe, inclusiv pentru mentorat și formare. </w:t>
            </w:r>
          </w:p>
        </w:tc>
      </w:tr>
      <w:bookmarkEnd w:id="175"/>
    </w:tbl>
    <w:p>
      <w:pPr>
        <w:pStyle w:val="Text1"/>
        <w:ind w:left="0"/>
        <w:rPr>
          <w:noProof/>
        </w:rPr>
      </w:pPr>
    </w:p>
    <w:p>
      <w:pPr>
        <w:pStyle w:val="ManualHeading3"/>
        <w:rPr>
          <w:noProof/>
        </w:rPr>
      </w:pPr>
      <w:bookmarkStart w:id="176" w:name="_Toc177549031"/>
      <w:bookmarkStart w:id="177" w:name="_Hlk167692843"/>
      <w:bookmarkEnd w:id="170"/>
      <w:r>
        <w:rPr>
          <w:noProof/>
        </w:rPr>
        <w:t>3.2.5.</w:t>
      </w:r>
      <w:r>
        <w:rPr>
          <w:noProof/>
        </w:rPr>
        <w:tab/>
        <w:t>Prezentare generală a impactului estimat asupra investițiilor legate de tehnologia digitală</w:t>
      </w:r>
      <w:bookmarkEnd w:id="176"/>
    </w:p>
    <w:p>
      <w:pPr>
        <w:pStyle w:val="Text1"/>
        <w:spacing w:line="259" w:lineRule="auto"/>
        <w:ind w:left="0"/>
        <w:rPr>
          <w:noProof/>
        </w:rPr>
      </w:pPr>
      <w:r>
        <w:rPr>
          <w:noProof/>
        </w:rPr>
        <w:t>Nu se aplică.</w:t>
      </w:r>
    </w:p>
    <w:p>
      <w:pPr>
        <w:pStyle w:val="ManualHeading3"/>
        <w:rPr>
          <w:noProof/>
        </w:rPr>
      </w:pPr>
      <w:bookmarkStart w:id="178" w:name="_Toc514938056"/>
      <w:bookmarkStart w:id="179" w:name="_Toc520485055"/>
      <w:bookmarkStart w:id="180" w:name="_Toc160804599"/>
      <w:bookmarkStart w:id="181" w:name="_Toc167220298"/>
      <w:bookmarkStart w:id="182" w:name="_Toc177549032"/>
      <w:bookmarkEnd w:id="177"/>
      <w:r>
        <w:rPr>
          <w:noProof/>
        </w:rPr>
        <w:t>3.2.6.</w:t>
      </w:r>
      <w:r>
        <w:rPr>
          <w:noProof/>
        </w:rPr>
        <w:tab/>
        <w:t>Compatibilitatea cu cadrul financiar multianual actual</w:t>
      </w:r>
      <w:bookmarkEnd w:id="178"/>
      <w:bookmarkEnd w:id="179"/>
      <w:bookmarkEnd w:id="180"/>
      <w:bookmarkEnd w:id="181"/>
      <w:bookmarkEnd w:id="182"/>
      <w:r>
        <w:rPr>
          <w:noProof/>
        </w:rPr>
        <w:t xml:space="preserve"> </w:t>
      </w:r>
    </w:p>
    <w:p>
      <w:pPr>
        <w:pStyle w:val="Text1"/>
        <w:rPr>
          <w:noProof/>
        </w:rPr>
      </w:pPr>
      <w:r>
        <w:rPr>
          <w:noProof/>
        </w:rPr>
        <w:t>Propunerea/inițiativa este în concordanță cu propunerea privind CFM 2028-2034. </w:t>
      </w:r>
    </w:p>
    <w:p>
      <w:pPr>
        <w:pStyle w:val="ManualHeading3"/>
        <w:rPr>
          <w:noProof/>
        </w:rPr>
      </w:pPr>
      <w:bookmarkStart w:id="183" w:name="_Toc514938058"/>
      <w:bookmarkStart w:id="184" w:name="_Toc520485056"/>
      <w:bookmarkStart w:id="185" w:name="_Toc160804600"/>
      <w:bookmarkStart w:id="186" w:name="_Toc167220299"/>
      <w:bookmarkStart w:id="187" w:name="_Toc177549033"/>
      <w:r>
        <w:rPr>
          <w:noProof/>
        </w:rPr>
        <w:t>3.2.7.</w:t>
      </w:r>
      <w:r>
        <w:rPr>
          <w:noProof/>
        </w:rPr>
        <w:tab/>
        <w:t>Contribuțiile terților</w:t>
      </w:r>
      <w:bookmarkEnd w:id="183"/>
      <w:bookmarkEnd w:id="184"/>
      <w:bookmarkEnd w:id="185"/>
      <w:bookmarkEnd w:id="186"/>
      <w:bookmarkEnd w:id="187"/>
      <w:r>
        <w:rPr>
          <w:noProof/>
        </w:rPr>
        <w:t xml:space="preserve"> </w:t>
      </w:r>
    </w:p>
    <w:p>
      <w:pPr>
        <w:pStyle w:val="Text1"/>
        <w:rPr>
          <w:noProof/>
        </w:rPr>
      </w:pPr>
      <w:r>
        <w:rPr>
          <w:noProof/>
        </w:rPr>
        <w:t>Propunerea/inițiativa:</w:t>
      </w:r>
    </w:p>
    <w:p>
      <w:pPr>
        <w:pStyle w:val="ListDash1"/>
        <w:rPr>
          <w:noProof/>
        </w:rPr>
      </w:pPr>
      <w:r>
        <w:rPr>
          <w:rFonts w:ascii="Wingdings" w:hAnsi="Wingdings"/>
          <w:noProof/>
        </w:rPr>
        <w:t>x</w:t>
      </w:r>
      <w:r>
        <w:rPr>
          <w:noProof/>
        </w:rPr>
        <w:tab/>
        <w:t>nu prevede cofinanțare din partea terților</w:t>
      </w:r>
    </w:p>
    <w:p>
      <w:pPr>
        <w:pStyle w:val="ListDash1"/>
        <w:rPr>
          <w:noProof/>
        </w:rPr>
      </w:pPr>
      <w:r>
        <w:rPr>
          <w:rFonts w:ascii="Wingdings" w:hAnsi="Wingdings"/>
          <w:noProof/>
        </w:rPr>
        <w:t>¨</w:t>
      </w:r>
      <w:r>
        <w:rPr>
          <w:noProof/>
        </w:rPr>
        <w:tab/>
        <w:t>prevede cofinanțare din partea terților, estimată mai jos:</w:t>
      </w:r>
    </w:p>
    <w:p>
      <w:pPr>
        <w:jc w:val="right"/>
        <w:rPr>
          <w:noProof/>
          <w:sz w:val="20"/>
        </w:rPr>
      </w:pPr>
      <w:r>
        <w:rPr>
          <w:noProof/>
          <w:sz w:val="20"/>
        </w:rPr>
        <w:t>Credite în milioane EUR (cu 3 zecimale)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trPr>
          <w:cantSplit/>
        </w:trPr>
        <w:tc>
          <w:tcPr>
            <w:tcW w:w="1591" w:type="pct"/>
          </w:tcPr>
          <w:p>
            <w:pPr>
              <w:spacing w:before="60" w:after="60"/>
              <w:rPr>
                <w:noProof/>
                <w:sz w:val="20"/>
              </w:rPr>
            </w:pPr>
          </w:p>
        </w:tc>
        <w:tc>
          <w:tcPr>
            <w:tcW w:w="655" w:type="pct"/>
            <w:vAlign w:val="center"/>
          </w:tcPr>
          <w:p>
            <w:pPr>
              <w:jc w:val="center"/>
              <w:rPr>
                <w:noProof/>
                <w:sz w:val="20"/>
              </w:rPr>
            </w:pPr>
            <w:r>
              <w:rPr>
                <w:noProof/>
                <w:sz w:val="20"/>
              </w:rPr>
              <w:t xml:space="preserve">Anul </w:t>
            </w:r>
            <w:r>
              <w:rPr>
                <w:noProof/>
              </w:rPr>
              <w:t xml:space="preserve"> </w:t>
            </w:r>
            <w:r>
              <w:rPr>
                <w:noProof/>
              </w:rPr>
              <w:br/>
            </w:r>
            <w:r>
              <w:rPr>
                <w:b/>
                <w:noProof/>
                <w:sz w:val="20"/>
              </w:rPr>
              <w:t>2024</w:t>
            </w:r>
          </w:p>
        </w:tc>
        <w:tc>
          <w:tcPr>
            <w:tcW w:w="655" w:type="pct"/>
            <w:vAlign w:val="center"/>
          </w:tcPr>
          <w:p>
            <w:pPr>
              <w:jc w:val="center"/>
              <w:rPr>
                <w:noProof/>
                <w:sz w:val="20"/>
              </w:rPr>
            </w:pPr>
            <w:r>
              <w:rPr>
                <w:noProof/>
                <w:sz w:val="20"/>
              </w:rPr>
              <w:t xml:space="preserve">Anul </w:t>
            </w:r>
            <w:r>
              <w:rPr>
                <w:noProof/>
              </w:rPr>
              <w:t xml:space="preserve"> </w:t>
            </w:r>
            <w:r>
              <w:rPr>
                <w:noProof/>
              </w:rPr>
              <w:br/>
            </w:r>
            <w:r>
              <w:rPr>
                <w:b/>
                <w:noProof/>
                <w:sz w:val="20"/>
              </w:rPr>
              <w:t>2025</w:t>
            </w:r>
          </w:p>
        </w:tc>
        <w:tc>
          <w:tcPr>
            <w:tcW w:w="655" w:type="pct"/>
            <w:vAlign w:val="center"/>
          </w:tcPr>
          <w:p>
            <w:pPr>
              <w:jc w:val="center"/>
              <w:rPr>
                <w:noProof/>
                <w:sz w:val="20"/>
              </w:rPr>
            </w:pPr>
            <w:r>
              <w:rPr>
                <w:noProof/>
                <w:sz w:val="20"/>
              </w:rPr>
              <w:t xml:space="preserve">Anul </w:t>
            </w:r>
            <w:r>
              <w:rPr>
                <w:noProof/>
              </w:rPr>
              <w:t xml:space="preserve"> </w:t>
            </w:r>
            <w:r>
              <w:rPr>
                <w:noProof/>
              </w:rPr>
              <w:br/>
            </w:r>
            <w:r>
              <w:rPr>
                <w:b/>
                <w:noProof/>
                <w:sz w:val="20"/>
              </w:rPr>
              <w:t>2026</w:t>
            </w:r>
          </w:p>
        </w:tc>
        <w:tc>
          <w:tcPr>
            <w:tcW w:w="655" w:type="pct"/>
            <w:vAlign w:val="center"/>
          </w:tcPr>
          <w:p>
            <w:pPr>
              <w:jc w:val="center"/>
              <w:rPr>
                <w:noProof/>
                <w:sz w:val="20"/>
              </w:rPr>
            </w:pPr>
            <w:r>
              <w:rPr>
                <w:noProof/>
                <w:sz w:val="20"/>
              </w:rPr>
              <w:t xml:space="preserve">Anul </w:t>
            </w:r>
            <w:r>
              <w:rPr>
                <w:noProof/>
              </w:rPr>
              <w:t xml:space="preserve"> </w:t>
            </w:r>
            <w:r>
              <w:rPr>
                <w:noProof/>
              </w:rPr>
              <w:br/>
            </w:r>
            <w:r>
              <w:rPr>
                <w:b/>
                <w:noProof/>
                <w:sz w:val="20"/>
              </w:rPr>
              <w:t>2027</w:t>
            </w:r>
          </w:p>
        </w:tc>
        <w:tc>
          <w:tcPr>
            <w:tcW w:w="787" w:type="pct"/>
            <w:vAlign w:val="center"/>
          </w:tcPr>
          <w:p>
            <w:pPr>
              <w:spacing w:before="60" w:after="60"/>
              <w:jc w:val="center"/>
              <w:rPr>
                <w:noProof/>
                <w:sz w:val="20"/>
              </w:rPr>
            </w:pPr>
            <w:r>
              <w:rPr>
                <w:noProof/>
                <w:sz w:val="20"/>
              </w:rPr>
              <w:t>Total</w:t>
            </w:r>
          </w:p>
        </w:tc>
      </w:tr>
      <w:tr>
        <w:trPr>
          <w:cantSplit/>
        </w:trPr>
        <w:tc>
          <w:tcPr>
            <w:tcW w:w="1591" w:type="pct"/>
          </w:tcPr>
          <w:p>
            <w:pPr>
              <w:rPr>
                <w:noProof/>
              </w:rPr>
            </w:pPr>
            <w:r>
              <w:rPr>
                <w:noProof/>
                <w:sz w:val="20"/>
              </w:rPr>
              <w:t>A se preciza organismul care asigură cofinanțarea</w:t>
            </w:r>
            <w:r>
              <w:rPr>
                <w:i/>
                <w:noProof/>
                <w:sz w:val="20"/>
              </w:rPr>
              <w:t xml:space="preserve"> </w:t>
            </w: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787" w:type="pct"/>
            <w:vAlign w:val="center"/>
          </w:tcPr>
          <w:p>
            <w:pPr>
              <w:spacing w:before="60" w:after="60"/>
              <w:jc w:val="center"/>
              <w:rPr>
                <w:noProof/>
                <w:sz w:val="20"/>
              </w:rPr>
            </w:pPr>
          </w:p>
        </w:tc>
      </w:tr>
      <w:tr>
        <w:trPr>
          <w:cantSplit/>
        </w:trPr>
        <w:tc>
          <w:tcPr>
            <w:tcW w:w="1591" w:type="pct"/>
          </w:tcPr>
          <w:p>
            <w:pPr>
              <w:spacing w:before="60" w:after="60"/>
              <w:jc w:val="left"/>
              <w:rPr>
                <w:noProof/>
                <w:sz w:val="20"/>
              </w:rPr>
            </w:pPr>
            <w:r>
              <w:rPr>
                <w:noProof/>
                <w:sz w:val="20"/>
              </w:rPr>
              <w:t xml:space="preserve">TOTAL credite cofinanțate </w:t>
            </w: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787" w:type="pct"/>
            <w:vAlign w:val="center"/>
          </w:tcPr>
          <w:p>
            <w:pPr>
              <w:spacing w:before="60" w:after="60"/>
              <w:jc w:val="center"/>
              <w:rPr>
                <w:noProof/>
                <w:sz w:val="20"/>
              </w:rPr>
            </w:pPr>
          </w:p>
        </w:tc>
      </w:tr>
    </w:tbl>
    <w:p>
      <w:pPr>
        <w:outlineLvl w:val="1"/>
        <w:rPr>
          <w:noProof/>
          <w:szCs w:val="24"/>
        </w:rPr>
      </w:pPr>
      <w:r>
        <w:rPr>
          <w:noProof/>
        </w:rPr>
        <w:t xml:space="preserve"> </w:t>
      </w:r>
      <w:r>
        <w:rPr>
          <w:noProof/>
        </w:rPr>
        <w:br/>
      </w:r>
      <w:bookmarkStart w:id="188" w:name="_Toc514938059"/>
      <w:bookmarkStart w:id="189" w:name="_Toc520485057"/>
      <w:bookmarkStart w:id="190" w:name="_Toc160804602"/>
      <w:bookmarkStart w:id="191" w:name="_Toc167220300"/>
      <w:bookmarkStart w:id="192" w:name="_Toc177549034"/>
      <w:bookmarkStart w:id="193" w:name="_Hlk166860179"/>
      <w:r>
        <w:rPr>
          <w:noProof/>
        </w:rPr>
        <w:t>3.3.</w:t>
      </w:r>
      <w:r>
        <w:rPr>
          <w:noProof/>
        </w:rPr>
        <w:tab/>
        <w:t>Impactul estimat asupra veniturilor</w:t>
      </w:r>
      <w:bookmarkEnd w:id="188"/>
      <w:bookmarkEnd w:id="189"/>
      <w:bookmarkEnd w:id="190"/>
      <w:bookmarkEnd w:id="191"/>
      <w:bookmarkEnd w:id="192"/>
      <w:r>
        <w:rPr>
          <w:noProof/>
        </w:rPr>
        <w:t xml:space="preserve"> </w:t>
      </w:r>
    </w:p>
    <w:bookmarkEnd w:id="193"/>
    <w:p>
      <w:pPr>
        <w:pStyle w:val="ListDash1"/>
        <w:rPr>
          <w:noProof/>
        </w:rPr>
      </w:pPr>
      <w:r>
        <w:rPr>
          <w:rFonts w:ascii="Wingdings" w:hAnsi="Wingdings"/>
          <w:noProof/>
        </w:rPr>
        <w:t>x</w:t>
      </w:r>
      <w:r>
        <w:rPr>
          <w:noProof/>
        </w:rPr>
        <w:tab/>
        <w:t>Propunerea/inițiativa nu are impact financiar asupra veniturilor.</w:t>
      </w:r>
    </w:p>
    <w:p>
      <w:pPr>
        <w:pStyle w:val="ListDash1"/>
        <w:rPr>
          <w:noProof/>
        </w:rPr>
      </w:pPr>
      <w:r>
        <w:rPr>
          <w:rFonts w:ascii="Wingdings" w:hAnsi="Wingdings"/>
          <w:noProof/>
        </w:rPr>
        <w:t>¨</w:t>
      </w:r>
      <w:r>
        <w:rPr>
          <w:noProof/>
        </w:rPr>
        <w:tab/>
        <w:t>Propunerea/inițiativa are următorul impact financiar:</w:t>
      </w:r>
    </w:p>
    <w:p>
      <w:pPr>
        <w:pStyle w:val="ListNumberLevel3"/>
        <w:rPr>
          <w:noProof/>
        </w:rPr>
      </w:pPr>
      <w:r>
        <w:rPr>
          <w:rFonts w:ascii="Wingdings" w:hAnsi="Wingdings"/>
          <w:noProof/>
        </w:rPr>
        <w:t>¨</w:t>
      </w:r>
      <w:r>
        <w:rPr>
          <w:noProof/>
        </w:rPr>
        <w:tab/>
        <w:t xml:space="preserve">asupra resurselor proprii </w:t>
      </w:r>
    </w:p>
    <w:p>
      <w:pPr>
        <w:pStyle w:val="ListNumberLevel3"/>
        <w:rPr>
          <w:noProof/>
        </w:rPr>
      </w:pPr>
      <w:r>
        <w:rPr>
          <w:rFonts w:ascii="Wingdings" w:hAnsi="Wingdings"/>
          <w:noProof/>
        </w:rPr>
        <w:t>¨</w:t>
      </w:r>
      <w:r>
        <w:rPr>
          <w:noProof/>
        </w:rPr>
        <w:tab/>
        <w:t>asupra altor venituri</w:t>
      </w:r>
    </w:p>
    <w:p>
      <w:pPr>
        <w:pStyle w:val="ListNumberLevel3"/>
        <w:rPr>
          <w:noProof/>
        </w:rPr>
      </w:pPr>
      <w:r>
        <w:rPr>
          <w:rFonts w:ascii="Wingdings" w:hAnsi="Wingdings"/>
          <w:noProof/>
        </w:rPr>
        <w:t>¨</w:t>
      </w:r>
      <w:r>
        <w:rPr>
          <w:noProof/>
        </w:rPr>
        <w:tab/>
        <w:t>vă rugăm să precizați dacă veniturile sunt alocate unor linii de cheltuieli</w:t>
      </w:r>
    </w:p>
    <w:p>
      <w:pPr>
        <w:jc w:val="right"/>
        <w:rPr>
          <w:noProof/>
          <w:sz w:val="20"/>
        </w:rPr>
      </w:pPr>
      <w:r>
        <w:rPr>
          <w:noProof/>
          <w:sz w:val="20"/>
        </w:rPr>
        <w:t xml:space="preserve">     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trPr>
          <w:trHeight w:val="388"/>
        </w:trPr>
        <w:tc>
          <w:tcPr>
            <w:tcW w:w="1423" w:type="pct"/>
            <w:vMerge w:val="restart"/>
            <w:vAlign w:val="center"/>
          </w:tcPr>
          <w:p>
            <w:pPr>
              <w:spacing w:before="40" w:after="40"/>
              <w:rPr>
                <w:noProof/>
                <w:sz w:val="18"/>
              </w:rPr>
            </w:pPr>
            <w:r>
              <w:rPr>
                <w:noProof/>
                <w:sz w:val="18"/>
              </w:rPr>
              <w:t>Linia bugetară pentru venituri:</w:t>
            </w:r>
          </w:p>
        </w:tc>
        <w:tc>
          <w:tcPr>
            <w:tcW w:w="869" w:type="pct"/>
            <w:vMerge w:val="restart"/>
            <w:vAlign w:val="center"/>
          </w:tcPr>
          <w:p>
            <w:pPr>
              <w:jc w:val="center"/>
              <w:rPr>
                <w:noProof/>
                <w:sz w:val="18"/>
              </w:rPr>
            </w:pPr>
            <w:r>
              <w:rPr>
                <w:noProof/>
                <w:sz w:val="18"/>
              </w:rPr>
              <w:t>Credite disponibile pentru exercițiul financiar în curs</w:t>
            </w:r>
          </w:p>
        </w:tc>
        <w:tc>
          <w:tcPr>
            <w:tcW w:w="2709" w:type="pct"/>
            <w:gridSpan w:val="4"/>
            <w:vAlign w:val="center"/>
          </w:tcPr>
          <w:p>
            <w:pPr>
              <w:jc w:val="center"/>
              <w:rPr>
                <w:noProof/>
                <w:sz w:val="18"/>
              </w:rPr>
            </w:pPr>
            <w:r>
              <w:rPr>
                <w:noProof/>
                <w:sz w:val="18"/>
              </w:rPr>
              <w:t>Impactul propunerii/inițiativei</w:t>
            </w:r>
            <w:r>
              <w:rPr>
                <w:rStyle w:val="FootnoteReference"/>
                <w:noProof/>
                <w:sz w:val="18"/>
                <w:szCs w:val="18"/>
              </w:rPr>
              <w:footnoteReference w:id="38"/>
            </w:r>
          </w:p>
        </w:tc>
      </w:tr>
      <w:tr>
        <w:trPr>
          <w:trHeight w:val="388"/>
        </w:trPr>
        <w:tc>
          <w:tcPr>
            <w:tcW w:w="1423" w:type="pct"/>
            <w:vMerge/>
          </w:tcPr>
          <w:p>
            <w:pPr>
              <w:spacing w:before="40" w:after="40"/>
              <w:rPr>
                <w:noProof/>
                <w:sz w:val="18"/>
              </w:rPr>
            </w:pPr>
          </w:p>
        </w:tc>
        <w:tc>
          <w:tcPr>
            <w:tcW w:w="869" w:type="pct"/>
            <w:vMerge/>
          </w:tcPr>
          <w:p>
            <w:pPr>
              <w:spacing w:beforeLines="40" w:before="96" w:afterLines="40" w:after="96"/>
              <w:rPr>
                <w:i/>
                <w:noProof/>
                <w:sz w:val="18"/>
              </w:rPr>
            </w:pPr>
          </w:p>
        </w:tc>
        <w:tc>
          <w:tcPr>
            <w:tcW w:w="911" w:type="pct"/>
            <w:vAlign w:val="center"/>
          </w:tcPr>
          <w:p>
            <w:pPr>
              <w:jc w:val="center"/>
              <w:rPr>
                <w:noProof/>
                <w:sz w:val="18"/>
              </w:rPr>
            </w:pPr>
            <w:r>
              <w:rPr>
                <w:noProof/>
                <w:sz w:val="18"/>
              </w:rPr>
              <w:t xml:space="preserve">Anul </w:t>
            </w:r>
            <w:r>
              <w:rPr>
                <w:b/>
                <w:noProof/>
                <w:sz w:val="18"/>
              </w:rPr>
              <w:t>2024</w:t>
            </w:r>
          </w:p>
        </w:tc>
        <w:tc>
          <w:tcPr>
            <w:tcW w:w="562" w:type="pct"/>
            <w:vAlign w:val="center"/>
          </w:tcPr>
          <w:p>
            <w:pPr>
              <w:jc w:val="center"/>
              <w:rPr>
                <w:noProof/>
                <w:sz w:val="18"/>
              </w:rPr>
            </w:pPr>
            <w:r>
              <w:rPr>
                <w:noProof/>
                <w:sz w:val="18"/>
              </w:rPr>
              <w:t xml:space="preserve">Anul </w:t>
            </w:r>
            <w:r>
              <w:rPr>
                <w:b/>
                <w:noProof/>
                <w:sz w:val="18"/>
              </w:rPr>
              <w:t>2025</w:t>
            </w:r>
          </w:p>
        </w:tc>
        <w:tc>
          <w:tcPr>
            <w:tcW w:w="557" w:type="pct"/>
            <w:vAlign w:val="center"/>
          </w:tcPr>
          <w:p>
            <w:pPr>
              <w:jc w:val="center"/>
              <w:rPr>
                <w:noProof/>
                <w:sz w:val="18"/>
              </w:rPr>
            </w:pPr>
            <w:r>
              <w:rPr>
                <w:noProof/>
                <w:sz w:val="18"/>
              </w:rPr>
              <w:t xml:space="preserve">Anul </w:t>
            </w:r>
            <w:r>
              <w:rPr>
                <w:b/>
                <w:noProof/>
                <w:sz w:val="18"/>
              </w:rPr>
              <w:t>2026</w:t>
            </w:r>
          </w:p>
        </w:tc>
        <w:tc>
          <w:tcPr>
            <w:tcW w:w="679" w:type="pct"/>
            <w:vAlign w:val="center"/>
          </w:tcPr>
          <w:p>
            <w:pPr>
              <w:jc w:val="center"/>
              <w:rPr>
                <w:noProof/>
                <w:sz w:val="18"/>
              </w:rPr>
            </w:pPr>
            <w:r>
              <w:rPr>
                <w:noProof/>
                <w:sz w:val="18"/>
              </w:rPr>
              <w:t xml:space="preserve">Anul </w:t>
            </w:r>
            <w:r>
              <w:rPr>
                <w:b/>
                <w:noProof/>
                <w:sz w:val="18"/>
              </w:rPr>
              <w:t>2027</w:t>
            </w:r>
          </w:p>
        </w:tc>
      </w:tr>
      <w:tr>
        <w:trPr>
          <w:trHeight w:val="388"/>
        </w:trPr>
        <w:tc>
          <w:tcPr>
            <w:tcW w:w="1423" w:type="pct"/>
            <w:vAlign w:val="center"/>
          </w:tcPr>
          <w:p>
            <w:pPr>
              <w:spacing w:before="40" w:after="40"/>
              <w:rPr>
                <w:noProof/>
                <w:sz w:val="18"/>
              </w:rPr>
            </w:pPr>
            <w:r>
              <w:rPr>
                <w:noProof/>
                <w:sz w:val="18"/>
              </w:rPr>
              <w:t>Articolul ………….</w:t>
            </w:r>
          </w:p>
        </w:tc>
        <w:tc>
          <w:tcPr>
            <w:tcW w:w="869" w:type="pct"/>
          </w:tcPr>
          <w:p>
            <w:pPr>
              <w:spacing w:beforeLines="40" w:before="96" w:afterLines="40" w:after="96"/>
              <w:jc w:val="center"/>
              <w:rPr>
                <w:i/>
                <w:noProof/>
                <w:sz w:val="18"/>
              </w:rPr>
            </w:pPr>
          </w:p>
        </w:tc>
        <w:tc>
          <w:tcPr>
            <w:tcW w:w="911" w:type="pct"/>
          </w:tcPr>
          <w:p>
            <w:pPr>
              <w:spacing w:beforeLines="40" w:before="96" w:afterLines="40" w:after="96"/>
              <w:jc w:val="center"/>
              <w:rPr>
                <w:noProof/>
                <w:sz w:val="18"/>
              </w:rPr>
            </w:pPr>
          </w:p>
        </w:tc>
        <w:tc>
          <w:tcPr>
            <w:tcW w:w="562" w:type="pct"/>
          </w:tcPr>
          <w:p>
            <w:pPr>
              <w:spacing w:beforeLines="40" w:before="96" w:afterLines="40" w:after="96"/>
              <w:jc w:val="center"/>
              <w:rPr>
                <w:noProof/>
                <w:sz w:val="18"/>
              </w:rPr>
            </w:pPr>
          </w:p>
        </w:tc>
        <w:tc>
          <w:tcPr>
            <w:tcW w:w="557" w:type="pct"/>
          </w:tcPr>
          <w:p>
            <w:pPr>
              <w:spacing w:beforeLines="40" w:before="96" w:afterLines="40" w:after="96"/>
              <w:jc w:val="center"/>
              <w:rPr>
                <w:noProof/>
                <w:sz w:val="18"/>
              </w:rPr>
            </w:pPr>
          </w:p>
        </w:tc>
        <w:tc>
          <w:tcPr>
            <w:tcW w:w="679" w:type="pct"/>
          </w:tcPr>
          <w:p>
            <w:pPr>
              <w:spacing w:beforeLines="40" w:before="96" w:afterLines="40" w:after="96"/>
              <w:jc w:val="center"/>
              <w:rPr>
                <w:noProof/>
                <w:sz w:val="18"/>
              </w:rPr>
            </w:pPr>
          </w:p>
        </w:tc>
      </w:tr>
    </w:tbl>
    <w:p>
      <w:pPr>
        <w:pStyle w:val="Text1"/>
        <w:rPr>
          <w:noProof/>
          <w:szCs w:val="24"/>
        </w:rPr>
      </w:pPr>
      <w:r>
        <w:rPr>
          <w:noProof/>
        </w:rPr>
        <w:t>Pentru veniturile alocate, a se preciza linia (liniile) bugetară (bugetare) de cheltuieli afectată (afectate).</w:t>
      </w:r>
    </w:p>
    <w:p>
      <w:pPr>
        <w:pStyle w:val="Text1"/>
        <w:pBdr>
          <w:top w:val="single" w:sz="4" w:space="1" w:color="auto"/>
          <w:left w:val="single" w:sz="4" w:space="4" w:color="auto"/>
          <w:bottom w:val="single" w:sz="4" w:space="1" w:color="auto"/>
          <w:right w:val="single" w:sz="4" w:space="4" w:color="auto"/>
        </w:pBdr>
        <w:ind w:left="0"/>
        <w:rPr>
          <w:noProof/>
        </w:rPr>
      </w:pPr>
      <w:r>
        <w:rPr>
          <w:noProof/>
        </w:rPr>
        <w:t>Nu se aplică.</w:t>
      </w:r>
    </w:p>
    <w:p>
      <w:pPr>
        <w:pStyle w:val="Text1"/>
        <w:rPr>
          <w:noProof/>
          <w:szCs w:val="24"/>
        </w:rPr>
      </w:pPr>
      <w:r>
        <w:rPr>
          <w:noProof/>
        </w:rPr>
        <w:t>Alte observații (de exemplu, metoda/formula utilizată pentru calcularea impactului asupra veniturilor sau orice alte informații).</w:t>
      </w:r>
    </w:p>
    <w:p>
      <w:pPr>
        <w:pStyle w:val="Text1"/>
        <w:pBdr>
          <w:top w:val="single" w:sz="4" w:space="1" w:color="auto"/>
          <w:left w:val="single" w:sz="4" w:space="4" w:color="auto"/>
          <w:bottom w:val="single" w:sz="4" w:space="1" w:color="auto"/>
          <w:right w:val="single" w:sz="4" w:space="4" w:color="auto"/>
        </w:pBdr>
        <w:ind w:left="0"/>
        <w:rPr>
          <w:noProof/>
        </w:rPr>
      </w:pPr>
      <w:r>
        <w:rPr>
          <w:noProof/>
        </w:rPr>
        <w:t>Nu se aplică.</w:t>
      </w:r>
    </w:p>
    <w:p>
      <w:pPr>
        <w:spacing w:before="0" w:after="200" w:line="276" w:lineRule="auto"/>
        <w:jc w:val="left"/>
        <w:rPr>
          <w:b/>
          <w:smallCaps/>
          <w:noProof/>
        </w:rPr>
      </w:pPr>
      <w:bookmarkStart w:id="194" w:name="_Toc167220301"/>
      <w:bookmarkStart w:id="195" w:name="_Toc177549035"/>
      <w:r>
        <w:rPr>
          <w:noProof/>
        </w:rPr>
        <w:br w:type="page"/>
      </w:r>
    </w:p>
    <w:p>
      <w:pPr>
        <w:pStyle w:val="ManualHeading1"/>
        <w:rPr>
          <w:caps/>
          <w:noProof/>
        </w:rPr>
      </w:pPr>
      <w:r>
        <w:rPr>
          <w:noProof/>
        </w:rPr>
        <w:t>4.</w:t>
      </w:r>
      <w:r>
        <w:rPr>
          <w:noProof/>
        </w:rPr>
        <w:tab/>
      </w:r>
      <w:bookmarkStart w:id="196" w:name="_Hlk167692977"/>
      <w:r>
        <w:rPr>
          <w:caps/>
          <w:noProof/>
        </w:rPr>
        <w:t>Dimensiunile digitale</w:t>
      </w:r>
      <w:bookmarkEnd w:id="194"/>
      <w:bookmarkEnd w:id="195"/>
    </w:p>
    <w:p>
      <w:pPr>
        <w:pStyle w:val="ManualHeading2"/>
        <w:rPr>
          <w:noProof/>
        </w:rPr>
      </w:pPr>
      <w:bookmarkStart w:id="197" w:name="_Toc167220302"/>
      <w:bookmarkStart w:id="198" w:name="_Toc177549037"/>
      <w:r>
        <w:rPr>
          <w:noProof/>
        </w:rPr>
        <w:t>4.1.</w:t>
      </w:r>
      <w:r>
        <w:rPr>
          <w:noProof/>
        </w:rPr>
        <w:tab/>
        <w:t>Cerințe cu relevanță digitală</w:t>
      </w:r>
      <w:bookmarkEnd w:id="197"/>
      <w:bookmarkEnd w:id="198"/>
    </w:p>
    <w:tbl>
      <w:tblPr>
        <w:tblStyle w:val="TableGrid"/>
        <w:tblW w:w="9072" w:type="dxa"/>
        <w:tblInd w:w="-5" w:type="dxa"/>
        <w:tblLayout w:type="fixed"/>
        <w:tblLook w:val="06A0" w:firstRow="1" w:lastRow="0" w:firstColumn="1" w:lastColumn="0" w:noHBand="1" w:noVBand="1"/>
      </w:tblPr>
      <w:tblGrid>
        <w:gridCol w:w="9072"/>
      </w:tblGrid>
      <w:tr>
        <w:trPr>
          <w:trHeight w:val="300"/>
        </w:trPr>
        <w:tc>
          <w:tcPr>
            <w:tcW w:w="9072" w:type="dxa"/>
          </w:tcPr>
          <w:p>
            <w:pPr>
              <w:rPr>
                <w:noProof/>
              </w:rPr>
            </w:pPr>
            <w:r>
              <w:rPr>
                <w:noProof/>
              </w:rPr>
              <w:t>Cerința 1 (C1):</w:t>
            </w:r>
          </w:p>
          <w:p>
            <w:pPr>
              <w:rPr>
                <w:noProof/>
              </w:rPr>
            </w:pPr>
            <w:r>
              <w:rPr>
                <w:noProof/>
              </w:rPr>
              <w:t xml:space="preserve">După cum se prevede la articolul 16 alineatul (2) litera (a) din propunere, </w:t>
            </w:r>
            <w:r>
              <w:rPr>
                <w:i/>
                <w:noProof/>
              </w:rPr>
              <w:t>[...] să facă publice toate informațiile relevante și să contribuie la vizibilitatea acțiunii la nivel european și internațional</w:t>
            </w:r>
            <w:r>
              <w:rPr>
                <w:noProof/>
              </w:rPr>
              <w:t>. Actorii afectați sau vizați de această cerință sunt Comisia Europeană, autoritățile naționale și beneficiarii. Procesul de nivel înalt afectat este „diseminarea”.</w:t>
            </w:r>
          </w:p>
        </w:tc>
      </w:tr>
    </w:tbl>
    <w:p>
      <w:pPr>
        <w:pStyle w:val="ManualHeading2"/>
        <w:rPr>
          <w:noProof/>
        </w:rPr>
      </w:pPr>
      <w:bookmarkStart w:id="199" w:name="_Toc167220303"/>
      <w:bookmarkStart w:id="200" w:name="_Toc177549038"/>
      <w:r>
        <w:rPr>
          <w:noProof/>
        </w:rPr>
        <w:t>4.2.</w:t>
      </w:r>
      <w:r>
        <w:rPr>
          <w:noProof/>
        </w:rPr>
        <w:tab/>
        <w:t>Date</w:t>
      </w:r>
      <w:bookmarkEnd w:id="199"/>
      <w:bookmarkEnd w:id="200"/>
    </w:p>
    <w:tbl>
      <w:tblPr>
        <w:tblStyle w:val="TableGrid"/>
        <w:tblW w:w="0" w:type="auto"/>
        <w:tblLook w:val="04A0" w:firstRow="1" w:lastRow="0" w:firstColumn="1" w:lastColumn="0" w:noHBand="0" w:noVBand="1"/>
      </w:tblPr>
      <w:tblGrid>
        <w:gridCol w:w="9063"/>
      </w:tblGrid>
      <w:tr>
        <w:tc>
          <w:tcPr>
            <w:tcW w:w="9063" w:type="dxa"/>
          </w:tcPr>
          <w:p>
            <w:pPr>
              <w:rPr>
                <w:noProof/>
                <w:color w:val="0000FF"/>
              </w:rPr>
            </w:pPr>
            <w:r>
              <w:rPr>
                <w:noProof/>
              </w:rPr>
              <w:t>Datele furnizate sunt legate de informațiile, știrile și rezultatele acțiunii CEC și provin din rapoartele publice sau din formularele de candidatură ale orașelor.</w:t>
            </w:r>
          </w:p>
        </w:tc>
      </w:tr>
    </w:tbl>
    <w:p>
      <w:pPr>
        <w:pStyle w:val="ManualHeading2"/>
        <w:rPr>
          <w:noProof/>
        </w:rPr>
      </w:pPr>
      <w:bookmarkStart w:id="201" w:name="_Toc167220305"/>
      <w:bookmarkStart w:id="202" w:name="_Toc177549039"/>
      <w:r>
        <w:rPr>
          <w:noProof/>
        </w:rPr>
        <w:t>4.3.</w:t>
      </w:r>
      <w:r>
        <w:rPr>
          <w:noProof/>
        </w:rPr>
        <w:tab/>
        <w:t>Soluții digitale</w:t>
      </w:r>
      <w:bookmarkEnd w:id="201"/>
      <w:bookmarkEnd w:id="202"/>
    </w:p>
    <w:tbl>
      <w:tblPr>
        <w:tblStyle w:val="TableGrid"/>
        <w:tblpPr w:leftFromText="141" w:rightFromText="141" w:vertAnchor="text" w:horzAnchor="margin" w:tblpY="2"/>
        <w:tblW w:w="9067" w:type="dxa"/>
        <w:tblLook w:val="04A0" w:firstRow="1" w:lastRow="0" w:firstColumn="1" w:lastColumn="0" w:noHBand="0" w:noVBand="1"/>
      </w:tblPr>
      <w:tblGrid>
        <w:gridCol w:w="9067"/>
      </w:tblGrid>
      <w:tr>
        <w:tc>
          <w:tcPr>
            <w:tcW w:w="9067" w:type="dxa"/>
          </w:tcPr>
          <w:p>
            <w:pPr>
              <w:rPr>
                <w:noProof/>
              </w:rPr>
            </w:pPr>
            <w:r>
              <w:rPr>
                <w:noProof/>
              </w:rPr>
              <w:t xml:space="preserve">Soluția digitală avută în vedere este o platformă de diseminare, în conformitate cu articolul 16 din propunere. Principala funcție mandatată a platformei este diseminarea informațiilor, a știrilor și a rezultatelor acțiunii. Organismele de gestiune vor fi Comisia Europeană și un posibil organism de punere în aplicare a programului. </w:t>
            </w:r>
          </w:p>
          <w:p>
            <w:pPr>
              <w:rPr>
                <w:noProof/>
                <w:color w:val="0000FF"/>
              </w:rPr>
            </w:pPr>
            <w:r>
              <w:rPr>
                <w:noProof/>
              </w:rPr>
              <w:t>Accesibilitatea va fi asigurată, iar posibilitatea de reutilizare va fi luată în considerare în conformitate cu standardele Comisiei. Platforma va valorifica utilizarea inteligenței artificiale, dacă este cazul, respectând principiul precauției.</w:t>
            </w:r>
          </w:p>
          <w:p>
            <w:pPr>
              <w:rPr>
                <w:noProof/>
              </w:rPr>
            </w:pPr>
            <w:r>
              <w:rPr>
                <w:noProof/>
              </w:rPr>
              <w:t>În cazul utilizării IA, Comisia Europeană va asigura conformitatea cu Regulamentul privind IA.</w:t>
            </w:r>
          </w:p>
          <w:p>
            <w:pPr>
              <w:rPr>
                <w:noProof/>
                <w:color w:val="008000"/>
              </w:rPr>
            </w:pPr>
            <w:r>
              <w:rPr>
                <w:noProof/>
              </w:rPr>
              <w:t>Fără a aduce atingere </w:t>
            </w:r>
            <w:hyperlink r:id="rId22" w:tgtFrame="_blank" w:tooltip="către EUR-Lex" w:history="1">
              <w:r>
                <w:rPr>
                  <w:rStyle w:val="Hyperlink"/>
                  <w:noProof/>
                  <w:color w:val="auto"/>
                  <w:u w:val="none"/>
                </w:rPr>
                <w:t>Regulamentului (UE) 2016/679</w:t>
              </w:r>
            </w:hyperlink>
            <w:r>
              <w:rPr>
                <w:noProof/>
              </w:rPr>
              <w:t>, Comisia Europeană va asigura securitatea, integritatea, autenticitatea și confidențialitatea datelor colectate și stocate în scopul regulamentului amintit.</w:t>
            </w:r>
          </w:p>
        </w:tc>
      </w:tr>
    </w:tbl>
    <w:p>
      <w:pPr>
        <w:pStyle w:val="ManualHeading2"/>
        <w:rPr>
          <w:rStyle w:val="Emphasis"/>
          <w:b w:val="0"/>
          <w:bCs/>
          <w:i w:val="0"/>
          <w:iCs w:val="0"/>
          <w:noProof/>
        </w:rPr>
      </w:pPr>
      <w:bookmarkStart w:id="203" w:name="_Toc167220304"/>
      <w:bookmarkStart w:id="204" w:name="_Toc177549040"/>
      <w:r>
        <w:rPr>
          <w:rStyle w:val="Emphasis"/>
          <w:noProof/>
        </w:rPr>
        <w:t>4.4.</w:t>
      </w:r>
      <w:r>
        <w:rPr>
          <w:noProof/>
        </w:rPr>
        <w:tab/>
      </w:r>
      <w:r>
        <w:rPr>
          <w:rStyle w:val="Emphasis"/>
          <w:noProof/>
        </w:rPr>
        <w:t>Evaluarea interoperabilității</w:t>
      </w:r>
      <w:bookmarkEnd w:id="203"/>
      <w:bookmarkEnd w:id="204"/>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trPr>
          <w:trHeight w:val="300"/>
        </w:trPr>
        <w:tc>
          <w:tcPr>
            <w:tcW w:w="9067" w:type="dxa"/>
          </w:tcPr>
          <w:p>
            <w:pPr>
              <w:rPr>
                <w:noProof/>
                <w:color w:val="215868" w:themeColor="accent5" w:themeShade="80"/>
              </w:rPr>
            </w:pPr>
            <w:r>
              <w:rPr>
                <w:noProof/>
              </w:rPr>
              <w:t>Nu se aplică.</w:t>
            </w:r>
          </w:p>
        </w:tc>
      </w:tr>
    </w:tbl>
    <w:p>
      <w:pPr>
        <w:pStyle w:val="ManualHeading2"/>
        <w:rPr>
          <w:noProof/>
        </w:rPr>
      </w:pPr>
      <w:bookmarkStart w:id="205" w:name="_Toc167220306"/>
      <w:bookmarkStart w:id="206" w:name="_Toc177549041"/>
      <w:r>
        <w:rPr>
          <w:noProof/>
        </w:rPr>
        <w:t>4.5.</w:t>
      </w:r>
      <w:r>
        <w:rPr>
          <w:noProof/>
        </w:rPr>
        <w:tab/>
        <w:t>Măsuri de sprijinire a implementării digitale</w:t>
      </w:r>
      <w:bookmarkEnd w:id="205"/>
      <w:bookmarkEnd w:id="206"/>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tc>
          <w:tcPr>
            <w:tcW w:w="9067" w:type="dxa"/>
          </w:tcPr>
          <w:p>
            <w:pPr>
              <w:rPr>
                <w:noProof/>
                <w:color w:val="0000FF"/>
              </w:rPr>
            </w:pPr>
            <w:r>
              <w:rPr>
                <w:noProof/>
              </w:rPr>
              <w:t>Nu se aplică.</w:t>
            </w:r>
          </w:p>
        </w:tc>
      </w:tr>
      <w:bookmarkEnd w:id="196"/>
    </w:tbl>
    <w:p>
      <w:pPr>
        <w:rPr>
          <w:noProof/>
          <w:color w:val="008000"/>
        </w:rPr>
      </w:pPr>
    </w:p>
    <w:sectPr>
      <w:headerReference w:type="default" r:id="rId23"/>
      <w:footerReference w:type="default" r:id="rId2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JO L 166, 1.7.1999, p. 1, ELI: </w:t>
      </w:r>
      <w:hyperlink r:id="rId1" w:history="1">
        <w:r>
          <w:rPr>
            <w:rStyle w:val="Hyperlink"/>
          </w:rPr>
          <w:t>http://data.europa.eu/eli/dec/1999/1419/oj</w:t>
        </w:r>
      </w:hyperlink>
      <w:r>
        <w:t>.</w:t>
      </w:r>
    </w:p>
  </w:footnote>
  <w:footnote w:id="2">
    <w:p>
      <w:pPr>
        <w:pStyle w:val="FootnoteText"/>
      </w:pPr>
      <w:r>
        <w:rPr>
          <w:rStyle w:val="FootnoteReference"/>
        </w:rPr>
        <w:footnoteRef/>
      </w:r>
      <w:r>
        <w:tab/>
        <w:t xml:space="preserve">JO L 304, 3.11.2006, p. 1, ELI: </w:t>
      </w:r>
      <w:hyperlink r:id="rId2" w:history="1">
        <w:r>
          <w:rPr>
            <w:rStyle w:val="Hyperlink"/>
          </w:rPr>
          <w:t>http://data.europa.eu/eli/dec/2006/1622/oj</w:t>
        </w:r>
      </w:hyperlink>
      <w:r>
        <w:t>.</w:t>
      </w:r>
    </w:p>
  </w:footnote>
  <w:footnote w:id="3">
    <w:p>
      <w:pPr>
        <w:pStyle w:val="FootnoteText"/>
      </w:pPr>
      <w:r>
        <w:rPr>
          <w:rStyle w:val="FootnoteReference"/>
        </w:rPr>
        <w:footnoteRef/>
      </w:r>
      <w:r>
        <w:tab/>
        <w:t>Decizia nr. 445/2014/UE a Parlamentului European și a Consiliului din 16 aprilie 2014 de instituire a unei acțiuni a Uniunii în favoarea evenimentului „Capitale europene ale culturii” pentru anii 2020-2033 și de abrogare a Deciziei nr. 1622/2006/CE (JO L 132, 3.5.2014, p. 1, ELI: </w:t>
      </w:r>
      <w:hyperlink r:id="rId3" w:tooltip="Oferă acces la acest document prin identificatorul său uniform de resurse ELI." w:history="1">
        <w:r>
          <w:rPr>
            <w:rStyle w:val="Hyperlink"/>
          </w:rPr>
          <w:t>http://data.europa.eu/eli/dec/2014/445(1)/oj</w:t>
        </w:r>
      </w:hyperlink>
      <w:r>
        <w:t>).</w:t>
      </w:r>
    </w:p>
  </w:footnote>
  <w:footnote w:id="4">
    <w:p>
      <w:pPr>
        <w:pStyle w:val="FootnoteText"/>
      </w:pPr>
      <w:r>
        <w:rPr>
          <w:rStyle w:val="FootnoteReference"/>
        </w:rPr>
        <w:footnoteRef/>
      </w:r>
      <w:r>
        <w:rPr>
          <w:u w:val="single"/>
        </w:rPr>
        <w:tab/>
      </w:r>
      <w:hyperlink r:id="rId4" w:history="1">
        <w:r>
          <w:rPr>
            <w:rStyle w:val="Hyperlink"/>
          </w:rPr>
          <w:t>Busola pentru cultura Europei - COM(2025) 785 final</w:t>
        </w:r>
      </w:hyperlink>
      <w:r>
        <w:t>.</w:t>
      </w:r>
    </w:p>
  </w:footnote>
  <w:footnote w:id="5">
    <w:p>
      <w:pPr>
        <w:pStyle w:val="FootnoteText"/>
      </w:pPr>
      <w:r>
        <w:rPr>
          <w:rStyle w:val="FootnoteReference"/>
        </w:rPr>
        <w:footnoteRef/>
      </w:r>
      <w:r>
        <w:rPr>
          <w:u w:val="single"/>
        </w:rPr>
        <w:tab/>
      </w:r>
      <w:hyperlink r:id="rId5" w:history="1">
        <w:r>
          <w:rPr>
            <w:rStyle w:val="Hyperlink"/>
          </w:rPr>
          <w:t>Noul Bauhaus european - de la viziune la punerea sa în aplicare - COM(2025) 1026 final</w:t>
        </w:r>
      </w:hyperlink>
      <w:r>
        <w:t>.</w:t>
      </w:r>
    </w:p>
  </w:footnote>
  <w:footnote w:id="6">
    <w:p>
      <w:pPr>
        <w:pStyle w:val="FootnoteText"/>
      </w:pPr>
      <w:r>
        <w:rPr>
          <w:rStyle w:val="FootnoteReference"/>
        </w:rPr>
        <w:footnoteRef/>
      </w:r>
      <w:r>
        <w:rPr>
          <w:u w:val="single"/>
        </w:rPr>
        <w:tab/>
      </w:r>
      <w:hyperlink r:id="rId6" w:history="1">
        <w:r>
          <w:rPr>
            <w:rStyle w:val="Hyperlink"/>
          </w:rPr>
          <w:t>Agenda strategică 2024-2029 a Consiliului.</w:t>
        </w:r>
      </w:hyperlink>
    </w:p>
  </w:footnote>
  <w:footnote w:id="7">
    <w:p>
      <w:pPr>
        <w:pStyle w:val="FootnoteText"/>
      </w:pPr>
      <w:r>
        <w:rPr>
          <w:rStyle w:val="FootnoteReference"/>
        </w:rPr>
        <w:footnoteRef/>
      </w:r>
      <w:r>
        <w:rPr>
          <w:u w:val="single"/>
        </w:rPr>
        <w:tab/>
      </w:r>
      <w:hyperlink r:id="rId7" w:history="1">
        <w:r>
          <w:rPr>
            <w:rStyle w:val="Hyperlink"/>
          </w:rPr>
          <w:t>Raport al Comisiei către Parlamentul European, Consiliu, Comitetul Economic și Social European și Comitetul Regiunilor privind prima evaluare interimară a Acțiunii Capitalele europene ale culturii 2020-2033 – COM(2025) 587 final</w:t>
        </w:r>
      </w:hyperlink>
      <w:r>
        <w:t>.</w:t>
      </w:r>
    </w:p>
  </w:footnote>
  <w:footnote w:id="8">
    <w:p>
      <w:pPr>
        <w:pStyle w:val="FootnoteText"/>
      </w:pPr>
      <w:r>
        <w:rPr>
          <w:rStyle w:val="FootnoteReference"/>
        </w:rPr>
        <w:footnoteRef/>
      </w:r>
      <w:r>
        <w:tab/>
        <w:t xml:space="preserve">Consultare: </w:t>
      </w:r>
      <w:hyperlink r:id="rId8" w:history="1">
        <w:r>
          <w:rPr>
            <w:rStyle w:val="Hyperlink"/>
          </w:rPr>
          <w:t>Capitalele europene ale culturii - evaluare interimară pentru 2024</w:t>
        </w:r>
      </w:hyperlink>
      <w:r>
        <w:t>.</w:t>
      </w:r>
    </w:p>
  </w:footnote>
  <w:footnote w:id="9">
    <w:p>
      <w:pPr>
        <w:pStyle w:val="FootnoteText"/>
      </w:pPr>
      <w:r>
        <w:rPr>
          <w:rStyle w:val="FootnoteReference"/>
        </w:rPr>
        <w:footnoteRef/>
      </w:r>
      <w:r>
        <w:rPr>
          <w:u w:val="single"/>
        </w:rPr>
        <w:tab/>
      </w:r>
      <w:hyperlink r:id="rId9" w:history="1">
        <w:r>
          <w:rPr>
            <w:rStyle w:val="Hyperlink"/>
          </w:rPr>
          <w:t>Culture Next</w:t>
        </w:r>
      </w:hyperlink>
      <w:r>
        <w:t>.</w:t>
      </w:r>
    </w:p>
  </w:footnote>
  <w:footnote w:id="10">
    <w:p>
      <w:pPr>
        <w:pStyle w:val="FootnoteText"/>
      </w:pPr>
      <w:r>
        <w:rPr>
          <w:rStyle w:val="FootnoteReference"/>
        </w:rPr>
        <w:footnoteRef/>
      </w:r>
      <w:r>
        <w:rPr>
          <w:u w:val="single"/>
        </w:rPr>
        <w:tab/>
      </w:r>
      <w:hyperlink r:id="rId10" w:history="1">
        <w:r>
          <w:rPr>
            <w:rStyle w:val="Hyperlink"/>
          </w:rPr>
          <w:t>Eurocities</w:t>
        </w:r>
      </w:hyperlink>
      <w:r>
        <w:t>.</w:t>
      </w:r>
    </w:p>
  </w:footnote>
  <w:footnote w:id="11">
    <w:p>
      <w:pPr>
        <w:pStyle w:val="FootnoteText"/>
      </w:pPr>
      <w:r>
        <w:rPr>
          <w:rStyle w:val="FootnoteReference"/>
        </w:rPr>
        <w:footnoteRef/>
      </w:r>
      <w:r>
        <w:rPr>
          <w:u w:val="single"/>
        </w:rPr>
        <w:tab/>
      </w:r>
      <w:hyperlink r:id="rId11" w:history="1">
        <w:r>
          <w:rPr>
            <w:rStyle w:val="Hyperlink"/>
          </w:rPr>
          <w:t>40 de recomandări bazate pe cei 40 de ani de CEC</w:t>
        </w:r>
      </w:hyperlink>
      <w:r>
        <w:t>.</w:t>
      </w:r>
    </w:p>
  </w:footnote>
  <w:footnote w:id="12">
    <w:p>
      <w:pPr>
        <w:pStyle w:val="FootnoteText"/>
      </w:pPr>
      <w:r>
        <w:rPr>
          <w:rStyle w:val="FootnoteReference"/>
        </w:rPr>
        <w:footnoteRef/>
      </w:r>
      <w:r>
        <w:tab/>
        <w:t>Carta drepturilor fundamentale a Uniunii Europene, JO C 202, 7.6.2016, p. 389, ELI: </w:t>
      </w:r>
      <w:hyperlink r:id="rId12" w:tooltip="Oferă acces la acest document prin identificatorul său uniform de resurse ELI." w:history="1">
        <w:r>
          <w:rPr>
            <w:rStyle w:val="Hyperlink"/>
          </w:rPr>
          <w:t>http://data.europa.eu/eli/treaty/char_2016/oj</w:t>
        </w:r>
      </w:hyperlink>
      <w:r>
        <w:t>.</w:t>
      </w:r>
    </w:p>
  </w:footnote>
  <w:footnote w:id="13">
    <w:p>
      <w:pPr>
        <w:pStyle w:val="FootnoteText"/>
      </w:pPr>
      <w:r>
        <w:rPr>
          <w:rStyle w:val="FootnoteReference"/>
        </w:rPr>
        <w:footnoteRef/>
      </w:r>
      <w:r>
        <w:tab/>
        <w:t>JO C , , p. .</w:t>
      </w:r>
    </w:p>
  </w:footnote>
  <w:footnote w:id="14">
    <w:p>
      <w:pPr>
        <w:pStyle w:val="FootnoteText"/>
      </w:pPr>
      <w:r>
        <w:rPr>
          <w:rStyle w:val="FootnoteReference"/>
        </w:rPr>
        <w:footnoteRef/>
      </w:r>
      <w:r>
        <w:tab/>
        <w:t>JO C , , p. .</w:t>
      </w:r>
    </w:p>
  </w:footnote>
  <w:footnote w:id="15">
    <w:p>
      <w:pPr>
        <w:pStyle w:val="FootnoteText"/>
      </w:pPr>
      <w:r>
        <w:rPr>
          <w:rStyle w:val="FootnoteReference"/>
        </w:rPr>
        <w:footnoteRef/>
      </w:r>
      <w:r>
        <w:rPr>
          <w:u w:val="single"/>
        </w:rPr>
        <w:tab/>
      </w:r>
      <w:hyperlink r:id="rId13" w:history="1">
        <w:r>
          <w:rPr>
            <w:rStyle w:val="Hyperlink"/>
          </w:rPr>
          <w:t>Busola pentru cultura Europei - COM(2025) 785 final</w:t>
        </w:r>
      </w:hyperlink>
      <w:r>
        <w:t>.</w:t>
      </w:r>
    </w:p>
  </w:footnote>
  <w:footnote w:id="16">
    <w:p>
      <w:pPr>
        <w:pStyle w:val="FootnoteText"/>
      </w:pPr>
      <w:r>
        <w:rPr>
          <w:rStyle w:val="FootnoteReference"/>
        </w:rPr>
        <w:footnoteRef/>
      </w:r>
      <w:r>
        <w:tab/>
        <w:t>JO C, C/2026/3440, 25.6.2026, ELI: </w:t>
      </w:r>
      <w:hyperlink r:id="rId14" w:tgtFrame="_blank" w:tooltip="Oferă acces la acest document prin identificatorul său uniform de resurse ELI." w:history="1">
        <w:r>
          <w:rPr>
            <w:rStyle w:val="Hyperlink"/>
          </w:rPr>
          <w:t>http://data.europa.eu/eli/C/2026/3440/oj</w:t>
        </w:r>
      </w:hyperlink>
      <w:r>
        <w:t>.</w:t>
      </w:r>
    </w:p>
  </w:footnote>
  <w:footnote w:id="17">
    <w:p>
      <w:pPr>
        <w:pStyle w:val="FootnoteText"/>
      </w:pPr>
      <w:r>
        <w:rPr>
          <w:rStyle w:val="FootnoteReference"/>
        </w:rPr>
        <w:footnoteRef/>
      </w:r>
      <w:r>
        <w:rPr>
          <w:u w:val="single"/>
        </w:rPr>
        <w:tab/>
      </w:r>
      <w:hyperlink r:id="rId15" w:history="1">
        <w:r>
          <w:rPr>
            <w:rStyle w:val="Hyperlink"/>
          </w:rPr>
          <w:t>Convenția UNESCO asupra protecției și promovării diversității expresiilor culturale</w:t>
        </w:r>
      </w:hyperlink>
      <w:r>
        <w:t>.</w:t>
      </w:r>
    </w:p>
  </w:footnote>
  <w:footnote w:id="18">
    <w:p>
      <w:pPr>
        <w:pStyle w:val="FootnoteText"/>
      </w:pPr>
      <w:r>
        <w:rPr>
          <w:rStyle w:val="FootnoteReference"/>
        </w:rPr>
        <w:footnoteRef/>
      </w:r>
      <w:r>
        <w:tab/>
        <w:t>Decizia nr. 445/2014/UE a Parlamentului European și a Consiliului din 16 aprilie 2014 de instituire a unei acțiuni a Uniunii în favoarea evenimentului „Capitale europene ale culturii” pentru anii 2020-2033 și de abrogare a Deciziei nr. 1622/2006/CE (JO L 132, 3.5.2014, p. 1, ELI: </w:t>
      </w:r>
      <w:hyperlink r:id="rId16" w:tooltip="Oferă acces la acest document prin identificatorul său uniform de resurse ELI." w:history="1">
        <w:r>
          <w:rPr>
            <w:rStyle w:val="Hyperlink"/>
          </w:rPr>
          <w:t>http://data.europa.eu/eli/dec/2014/445(1)/oj</w:t>
        </w:r>
      </w:hyperlink>
      <w:r>
        <w:t>).</w:t>
      </w:r>
    </w:p>
  </w:footnote>
  <w:footnote w:id="19">
    <w:p>
      <w:pPr>
        <w:pStyle w:val="FootnoteText"/>
      </w:pPr>
      <w:r>
        <w:rPr>
          <w:rStyle w:val="FootnoteReference"/>
        </w:rPr>
        <w:footnoteRef/>
      </w:r>
      <w:r>
        <w:tab/>
        <w:t xml:space="preserve">Comunicare comună către Parlamentul European și Consiliu „Către o strategie a UE pentru relațiile culturale internaționale”, JOIN/2016/029 final. </w:t>
      </w:r>
      <w:hyperlink r:id="rId17" w:history="1">
        <w:r>
          <w:rPr>
            <w:rStyle w:val="Hyperlink"/>
          </w:rPr>
          <w:t>EUR-Lex - 52016JC0029 - EN - EUR-Lex</w:t>
        </w:r>
      </w:hyperlink>
      <w:r>
        <w:t xml:space="preserve">. </w:t>
      </w:r>
    </w:p>
  </w:footnote>
  <w:footnote w:id="20">
    <w:p>
      <w:pPr>
        <w:pStyle w:val="FootnoteText"/>
      </w:pPr>
      <w:r>
        <w:rPr>
          <w:rStyle w:val="FootnoteReference"/>
        </w:rPr>
        <w:footnoteRef/>
      </w:r>
      <w:r>
        <w:tab/>
        <w:t xml:space="preserve">Cadrul de acțiune european pentru patrimoniul cultural [SWD(2018) 491 final]. </w:t>
      </w:r>
    </w:p>
  </w:footnote>
  <w:footnote w:id="21">
    <w:p>
      <w:pPr>
        <w:pStyle w:val="FootnoteText"/>
      </w:pPr>
      <w:r>
        <w:rPr>
          <w:rStyle w:val="FootnoteReference"/>
        </w:rPr>
        <w:footnoteRef/>
      </w:r>
      <w:r>
        <w:tab/>
      </w:r>
      <w:hyperlink r:id="rId18" w:history="1">
        <w:r>
          <w:rPr>
            <w:rStyle w:val="Hyperlink"/>
          </w:rPr>
          <w:t>Declarația de la Roma.</w:t>
        </w:r>
      </w:hyperlink>
    </w:p>
  </w:footnote>
  <w:footnote w:id="22">
    <w:p>
      <w:pPr>
        <w:pStyle w:val="FootnoteText"/>
      </w:pPr>
      <w:r>
        <w:rPr>
          <w:rStyle w:val="FootnoteReference"/>
        </w:rPr>
        <w:footnoteRef/>
      </w:r>
      <w:r>
        <w:tab/>
      </w:r>
      <w:hyperlink r:id="rId19" w:history="1">
        <w:r>
          <w:rPr>
            <w:rStyle w:val="Hyperlink"/>
          </w:rPr>
          <w:t>Comunicarea Comisiei „Noul Bauhaus european – de la viziune la punerea sa în aplicare” – COM (2025) 1026</w:t>
        </w:r>
      </w:hyperlink>
      <w:r>
        <w:t xml:space="preserve"> și </w:t>
      </w:r>
      <w:hyperlink r:id="rId20" w:history="1">
        <w:r>
          <w:rPr>
            <w:rStyle w:val="Hyperlink"/>
          </w:rPr>
          <w:t>Recomandarea Consiliului privind Noul Bauhaus european</w:t>
        </w:r>
      </w:hyperlink>
      <w:r>
        <w:t>.</w:t>
      </w:r>
    </w:p>
  </w:footnote>
  <w:footnote w:id="23">
    <w:p>
      <w:pPr>
        <w:pStyle w:val="FootnoteText"/>
        <w:rPr>
          <w:color w:val="0000FF"/>
          <w:u w:val="single"/>
        </w:rPr>
      </w:pPr>
      <w:r>
        <w:rPr>
          <w:rStyle w:val="FootnoteReference"/>
        </w:rPr>
        <w:footnoteRef/>
      </w:r>
      <w:r>
        <w:tab/>
      </w:r>
      <w:hyperlink r:id="rId21" w:history="1">
        <w:r>
          <w:rPr>
            <w:rStyle w:val="Hyperlink"/>
          </w:rPr>
          <w:t>O Agendă a UE pentru orașe:</w:t>
        </w:r>
      </w:hyperlink>
      <w:hyperlink r:id="rId22" w:history="1">
        <w:r>
          <w:rPr>
            <w:rStyle w:val="Hyperlink"/>
          </w:rPr>
          <w:t>motor al creșterii și prosperității – COM (2025) 739</w:t>
        </w:r>
      </w:hyperlink>
      <w:r>
        <w:t>.</w:t>
      </w:r>
    </w:p>
  </w:footnote>
  <w:footnote w:id="24">
    <w:p>
      <w:pPr>
        <w:pStyle w:val="FootnoteText"/>
      </w:pPr>
      <w:r>
        <w:rPr>
          <w:rStyle w:val="FootnoteReference"/>
        </w:rPr>
        <w:footnoteRef/>
      </w:r>
      <w:r>
        <w:tab/>
      </w:r>
      <w:hyperlink r:id="rId23" w:history="1">
        <w:r>
          <w:rPr>
            <w:rStyle w:val="Hyperlink"/>
          </w:rPr>
          <w:t>Scutul european pentru democrație:</w:t>
        </w:r>
      </w:hyperlink>
      <w:hyperlink r:id="rId24" w:history="1">
        <w:r>
          <w:rPr>
            <w:rStyle w:val="Hyperlink"/>
          </w:rPr>
          <w:t xml:space="preserve"> consolidarea democrațiilor puternice și reziliente JOIN(2025) 791 final</w:t>
        </w:r>
      </w:hyperlink>
      <w:r>
        <w:t>.</w:t>
      </w:r>
    </w:p>
  </w:footnote>
  <w:footnote w:id="25">
    <w:p>
      <w:pPr>
        <w:pStyle w:val="FootnoteText"/>
        <w:rPr>
          <w:rFonts w:ascii="Aptos" w:eastAsia="Aptos" w:hAnsi="Aptos" w:cs="Aptos"/>
          <w:color w:val="467886"/>
          <w:sz w:val="22"/>
          <w:szCs w:val="22"/>
          <w:u w:val="single"/>
        </w:rPr>
      </w:pPr>
      <w:r>
        <w:rPr>
          <w:rStyle w:val="FootnoteReference"/>
        </w:rPr>
        <w:footnoteRef/>
      </w:r>
      <w:r>
        <w:tab/>
      </w:r>
      <w:hyperlink r:id="rId25" w:history="1">
        <w:r>
          <w:rPr>
            <w:rStyle w:val="Hyperlink"/>
          </w:rPr>
          <w:t>Strategia privind echitatea între generații</w:t>
        </w:r>
      </w:hyperlink>
      <w:r>
        <w:t xml:space="preserve">. </w:t>
      </w:r>
    </w:p>
  </w:footnote>
  <w:footnote w:id="26">
    <w:p>
      <w:pPr>
        <w:pStyle w:val="FootnoteText"/>
      </w:pPr>
      <w:r>
        <w:rPr>
          <w:rStyle w:val="FootnoteReference"/>
        </w:rPr>
        <w:footnoteRef/>
      </w:r>
      <w:r>
        <w:tab/>
      </w:r>
      <w:hyperlink r:id="rId26" w:history="1">
        <w:r>
          <w:rPr>
            <w:rStyle w:val="Hyperlink"/>
          </w:rPr>
          <w:t>Raport al Comisiei către Parlamentul European, Consiliu, Comitetul Economic și Social European și Comitetul Regiunilor privind prima evaluare interimară a Acțiunii Capitalele europene ale culturii 2020-2033 – COM(2025) 587 final</w:t>
        </w:r>
      </w:hyperlink>
      <w:r>
        <w:t>.</w:t>
      </w:r>
    </w:p>
  </w:footnote>
  <w:footnote w:id="27">
    <w:p>
      <w:pPr>
        <w:pStyle w:val="FootnoteText"/>
      </w:pPr>
      <w:r>
        <w:rPr>
          <w:rStyle w:val="FootnoteReference"/>
        </w:rPr>
        <w:footnoteRef/>
      </w:r>
      <w:r>
        <w:tab/>
        <w:t xml:space="preserve">CEC </w:t>
      </w:r>
      <w:hyperlink r:id="rId27" w:history="1">
        <w:r>
          <w:rPr>
            <w:rStyle w:val="Hyperlink"/>
          </w:rPr>
          <w:t>– evaluare intermediară pentru 2024</w:t>
        </w:r>
      </w:hyperlink>
      <w:r>
        <w:t>.</w:t>
      </w:r>
    </w:p>
  </w:footnote>
  <w:footnote w:id="28">
    <w:p>
      <w:pPr>
        <w:pStyle w:val="FootnoteText"/>
      </w:pPr>
      <w:r>
        <w:rPr>
          <w:rStyle w:val="FootnoteReference"/>
        </w:rPr>
        <w:footnoteRef/>
      </w:r>
      <w:r>
        <w:tab/>
        <w:t>Propunere de regulament al Parlamentului European și al Consiliului de instituire a programului „AgoraEU” pentru perioada 2028-2034 și de abrogare a Regulamentelor (UE) 2021/692 și (UE) 2021/818, COM(2025) 550 final (face obiectul negocierilor în curs privind CFM).</w:t>
      </w:r>
    </w:p>
  </w:footnote>
  <w:footnote w:id="29">
    <w:p>
      <w:pPr>
        <w:pStyle w:val="FootnoteText"/>
      </w:pPr>
      <w:r>
        <w:rPr>
          <w:rStyle w:val="FootnoteReference"/>
        </w:rPr>
        <w:footnoteRef/>
      </w:r>
      <w:r>
        <w:tab/>
        <w:t>Denumirea face obiectul negocierilor în curs privind CFM.</w:t>
      </w:r>
    </w:p>
  </w:footnote>
  <w:footnote w:id="30">
    <w:p>
      <w:pPr>
        <w:pStyle w:val="FootnoteText"/>
      </w:pPr>
      <w:r>
        <w:rPr>
          <w:rStyle w:val="FootnoteReference"/>
        </w:rPr>
        <w:footnoteRef/>
      </w:r>
      <w:r>
        <w:tab/>
        <w:t>În acest context, ar trebui încurajate și sinergiile cu alte inițiative ale Uniunii care recunosc durabilitatea urbană, cum ar fi premiul „Capitala europeană verde” și premiul „Frunza verde europeană”.</w:t>
      </w:r>
    </w:p>
  </w:footnote>
  <w:footnote w:id="31">
    <w:p>
      <w:pPr>
        <w:pStyle w:val="FootnoteText"/>
      </w:pPr>
      <w:r>
        <w:rPr>
          <w:rStyle w:val="FootnoteReference"/>
        </w:rPr>
        <w:footnoteRef/>
      </w:r>
      <w:r>
        <w:tab/>
      </w:r>
      <w:hyperlink r:id="rId28" w:history="1">
        <w:r>
          <w:rPr>
            <w:rStyle w:val="Hyperlink"/>
          </w:rPr>
          <w:t>Acordul interinstituțional dintre Parlamentul European, Consiliul Uniunii Europene și Comisia Europeană privind o mai bună legiferare</w:t>
        </w:r>
      </w:hyperlink>
      <w:r>
        <w:t xml:space="preserve"> (JO L123.12.5.2016, p. 1,  </w:t>
      </w:r>
      <w:r>
        <w:br/>
        <w:t xml:space="preserve">ELI: </w:t>
      </w:r>
      <w:hyperlink r:id="rId29" w:history="1">
        <w:r>
          <w:rPr>
            <w:rStyle w:val="Hyperlink"/>
          </w:rPr>
          <w:t>http://data.europa.eu/eli/agree_interinstit/2016/512/oj</w:t>
        </w:r>
      </w:hyperlink>
      <w:r>
        <w:t>).</w:t>
      </w:r>
    </w:p>
  </w:footnote>
  <w:footnote w:id="32">
    <w:p>
      <w:pPr>
        <w:pStyle w:val="FootnoteText"/>
      </w:pPr>
      <w:r>
        <w:rPr>
          <w:rStyle w:val="FootnoteReference"/>
        </w:rPr>
        <w:footnoteRef/>
      </w:r>
      <w:r>
        <w:tab/>
      </w:r>
      <w:hyperlink r:id="rId30" w:history="1">
        <w:r>
          <w:rPr>
            <w:rStyle w:val="Hyperlink"/>
          </w:rPr>
          <w:t>Carta drepturilor fundamentale a Uniunii Europene.</w:t>
        </w:r>
      </w:hyperlink>
      <w:r>
        <w:t>.</w:t>
      </w:r>
    </w:p>
  </w:footnote>
  <w:footnote w:id="33">
    <w:p>
      <w:pPr>
        <w:pStyle w:val="FootnoteText"/>
      </w:pPr>
      <w:r>
        <w:rPr>
          <w:rStyle w:val="FootnoteReference"/>
        </w:rPr>
        <w:footnoteRef/>
      </w:r>
      <w:r>
        <w:tab/>
        <w:t>Aceasta este o inițiativă a Busolei pentru cultura Europei, care este în curs de elaborare.</w:t>
      </w:r>
    </w:p>
  </w:footnote>
  <w:footnote w:id="34">
    <w:p>
      <w:pPr>
        <w:pStyle w:val="FootnoteText"/>
      </w:pPr>
      <w:r>
        <w:rPr>
          <w:rStyle w:val="FootnoteReference"/>
        </w:rPr>
        <w:footnoteRef/>
      </w:r>
      <w:r>
        <w:tab/>
        <w:t>Astfel cum se menționează la articolul 58 alineatul (2) litera (a) sau (b) din Regulamentul financiar.</w:t>
      </w:r>
    </w:p>
  </w:footnote>
  <w:footnote w:id="35">
    <w:p>
      <w:pPr>
        <w:pStyle w:val="FootnoteText"/>
        <w:rPr>
          <w:lang w:val="en-IE"/>
        </w:rPr>
      </w:pPr>
      <w:r>
        <w:rPr>
          <w:rStyle w:val="FootnoteReference"/>
        </w:rPr>
        <w:footnoteRef/>
      </w:r>
      <w:r>
        <w:tab/>
        <w:t>Dif. = credite diferențiate / Nedif. = credite nediferențiate</w:t>
      </w:r>
    </w:p>
  </w:footnote>
  <w:footnote w:id="36">
    <w:p>
      <w:pPr>
        <w:pStyle w:val="FootnoteText"/>
        <w:rPr>
          <w:szCs w:val="24"/>
        </w:rPr>
      </w:pPr>
      <w:r>
        <w:rPr>
          <w:rStyle w:val="FootnoteReference"/>
        </w:rPr>
        <w:footnoteRef/>
      </w:r>
      <w:r>
        <w:tab/>
        <w:t xml:space="preserve">AELS: Asociația Europeană a Liberului Schimb. </w:t>
      </w:r>
    </w:p>
  </w:footnote>
  <w:footnote w:id="37">
    <w:p>
      <w:pPr>
        <w:pStyle w:val="FootnoteText"/>
        <w:rPr>
          <w:szCs w:val="24"/>
        </w:rPr>
      </w:pPr>
      <w:r>
        <w:rPr>
          <w:rStyle w:val="FootnoteReference"/>
        </w:rPr>
        <w:footnoteRef/>
      </w:r>
      <w:r>
        <w:tab/>
        <w:t>Țările candidate și, după caz, candidații potențiali din Balcanii de Vest.</w:t>
      </w:r>
    </w:p>
  </w:footnote>
  <w:footnote w:id="38">
    <w:p>
      <w:pPr>
        <w:pStyle w:val="FootnoteText"/>
        <w:rPr>
          <w:szCs w:val="24"/>
        </w:rPr>
      </w:pPr>
      <w:r>
        <w:rPr>
          <w:rStyle w:val="FootnoteReference"/>
        </w:rPr>
        <w:footnoteRef/>
      </w:r>
      <w:r>
        <w:tab/>
        <w:t>În ceea ce privește resursele proprii tradiționale (taxe vamale, cotizații pentru zahăr), sumele indicate trebuie să fie sume nete, și anume sumele brute după deducerea unei cote de 20 %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12"/>
    <w:lvlOverride w:ilvl="0">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7:25: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3C24847-5F5C-4266-966D-B74590B780FE"/>
    <w:docVar w:name="LW_COVERPAGE_TYPE" w:val="1"/>
    <w:docVar w:name="LW_CreatedUtc" w:val="2026-06-01T12:44:13.3893106Z"/>
    <w:docVar w:name="LW_CROSSREFERENCE" w:val="&lt;UNUSED&gt;"/>
    <w:docVar w:name="LW_DocType" w:val="COM"/>
    <w:docVar w:name="LW_EMISSION" w:val="10.9.2026"/>
    <w:docVar w:name="LW_EMISSION_ISODATE" w:val="2026-09-10"/>
    <w:docVar w:name="LW_EMISSION_LOCATION" w:val="BRX"/>
    <w:docVar w:name="LW_EMISSION_PREFIX" w:val="Bruxelle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259"/>
    <w:docVar w:name="LW_REF.II.NEW.CP_YEAR" w:val="2026"/>
    <w:docVar w:name="LW_REF.INST.NEW" w:val="COM"/>
    <w:docVar w:name="LW_REF.INST.NEW_ADOPTED" w:val="final"/>
    <w:docVar w:name="LW_REF.INST.NEW_TEXT" w:val="(2026) 45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reînnoire a unei ac\u539?iuni a Uniunii în favoarea evenimentului \u8222?Capitalele europene ale culturii\u8221? pentru anii 2034-2047 \u537?i de abrogare a Deciziei nr. 445/2014/UE"/>
    <w:docVar w:name="LW_TYPE.DOC.CP" w:val="DECIZIE A PARLAMENTULUI EUROPEAN \u536?I A CONSILIULUI"/>
    <w:docVar w:name="LwApiVersions" w:val="LW4CoDe 1.25.1.0; LW 9.2, Build 20260702"/>
    <w:docVar w:name="Stamp" w:val="\\dossiers.dgt.cec.eu.int\dossiers\EAC\EAC-2026-00203\EAC-2026-00203-00-00-EN-EDT-00.202606251742439515534.DOCX"/>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C5D106F-9CCE-4DC3-B2D9-E557CCBBB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Pr>
      <w:color w:val="0000FF"/>
      <w:u w:val="single"/>
    </w:rPr>
  </w:style>
  <w:style w:type="paragraph" w:styleId="ListBullet">
    <w:name w:val="List Bullet"/>
    <w:basedOn w:val="Normal"/>
    <w:pPr>
      <w:numPr>
        <w:numId w:val="7"/>
      </w:numPr>
      <w:tabs>
        <w:tab w:val="clear" w:pos="283"/>
      </w:tabs>
      <w:ind w:left="0" w:firstLine="0"/>
    </w:pPr>
    <w:rPr>
      <w:rFonts w:eastAsia="Times New Roman"/>
      <w:lang w:eastAsia="en-GB"/>
    </w:rPr>
  </w:style>
  <w:style w:type="paragraph" w:styleId="ListBullet2">
    <w:name w:val="List Bullet 2"/>
    <w:basedOn w:val="Normal"/>
    <w:pPr>
      <w:numPr>
        <w:numId w:val="8"/>
      </w:numPr>
      <w:tabs>
        <w:tab w:val="clear" w:pos="1134"/>
      </w:tabs>
      <w:ind w:left="0" w:firstLine="0"/>
    </w:pPr>
    <w:rPr>
      <w:rFonts w:eastAsia="Times New Roman"/>
      <w:lang w:eastAsia="en-GB"/>
    </w:rPr>
  </w:style>
  <w:style w:type="paragraph" w:styleId="ListBullet3">
    <w:name w:val="List Bullet 3"/>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3"/>
      </w:numPr>
      <w:tabs>
        <w:tab w:val="clear" w:pos="1560"/>
      </w:tabs>
      <w:ind w:left="0" w:firstLine="0"/>
    </w:pPr>
    <w:rPr>
      <w:rFonts w:eastAsia="Times New Roman"/>
      <w:lang w:eastAsia="en-GB"/>
    </w:rPr>
  </w:style>
  <w:style w:type="paragraph" w:styleId="ListNumber3">
    <w:name w:val="List Number 3"/>
    <w:basedOn w:val="Normal"/>
    <w:pPr>
      <w:numPr>
        <w:numId w:val="14"/>
      </w:numPr>
      <w:tabs>
        <w:tab w:val="clear" w:pos="1560"/>
      </w:tabs>
      <w:ind w:left="0" w:firstLine="0"/>
    </w:pPr>
    <w:rPr>
      <w:rFonts w:eastAsia="Times New Roman"/>
      <w:lang w:eastAsia="en-GB"/>
    </w:rPr>
  </w:style>
  <w:style w:type="paragraph" w:styleId="ListNumber4">
    <w:name w:val="List Number 4"/>
    <w:basedOn w:val="Normal"/>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ro-RO"/>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37016">
      <w:bodyDiv w:val="1"/>
      <w:marLeft w:val="0"/>
      <w:marRight w:val="0"/>
      <w:marTop w:val="0"/>
      <w:marBottom w:val="0"/>
      <w:divBdr>
        <w:top w:val="none" w:sz="0" w:space="0" w:color="auto"/>
        <w:left w:val="none" w:sz="0" w:space="0" w:color="auto"/>
        <w:bottom w:val="none" w:sz="0" w:space="0" w:color="auto"/>
        <w:right w:val="none" w:sz="0" w:space="0" w:color="auto"/>
      </w:divBdr>
    </w:div>
    <w:div w:id="137187761">
      <w:bodyDiv w:val="1"/>
      <w:marLeft w:val="0"/>
      <w:marRight w:val="0"/>
      <w:marTop w:val="0"/>
      <w:marBottom w:val="0"/>
      <w:divBdr>
        <w:top w:val="none" w:sz="0" w:space="0" w:color="auto"/>
        <w:left w:val="none" w:sz="0" w:space="0" w:color="auto"/>
        <w:bottom w:val="none" w:sz="0" w:space="0" w:color="auto"/>
        <w:right w:val="none" w:sz="0" w:space="0" w:color="auto"/>
      </w:divBdr>
    </w:div>
    <w:div w:id="143395535">
      <w:bodyDiv w:val="1"/>
      <w:marLeft w:val="0"/>
      <w:marRight w:val="0"/>
      <w:marTop w:val="0"/>
      <w:marBottom w:val="0"/>
      <w:divBdr>
        <w:top w:val="none" w:sz="0" w:space="0" w:color="auto"/>
        <w:left w:val="none" w:sz="0" w:space="0" w:color="auto"/>
        <w:bottom w:val="none" w:sz="0" w:space="0" w:color="auto"/>
        <w:right w:val="none" w:sz="0" w:space="0" w:color="auto"/>
      </w:divBdr>
    </w:div>
    <w:div w:id="150610639">
      <w:bodyDiv w:val="1"/>
      <w:marLeft w:val="0"/>
      <w:marRight w:val="0"/>
      <w:marTop w:val="0"/>
      <w:marBottom w:val="0"/>
      <w:divBdr>
        <w:top w:val="none" w:sz="0" w:space="0" w:color="auto"/>
        <w:left w:val="none" w:sz="0" w:space="0" w:color="auto"/>
        <w:bottom w:val="none" w:sz="0" w:space="0" w:color="auto"/>
        <w:right w:val="none" w:sz="0" w:space="0" w:color="auto"/>
      </w:divBdr>
      <w:divsChild>
        <w:div w:id="1069764137">
          <w:marLeft w:val="0"/>
          <w:marRight w:val="0"/>
          <w:marTop w:val="0"/>
          <w:marBottom w:val="0"/>
          <w:divBdr>
            <w:top w:val="none" w:sz="0" w:space="0" w:color="auto"/>
            <w:left w:val="none" w:sz="0" w:space="0" w:color="auto"/>
            <w:bottom w:val="none" w:sz="0" w:space="0" w:color="auto"/>
            <w:right w:val="none" w:sz="0" w:space="0" w:color="auto"/>
          </w:divBdr>
        </w:div>
        <w:div w:id="1836337242">
          <w:marLeft w:val="0"/>
          <w:marRight w:val="0"/>
          <w:marTop w:val="0"/>
          <w:marBottom w:val="0"/>
          <w:divBdr>
            <w:top w:val="none" w:sz="0" w:space="0" w:color="auto"/>
            <w:left w:val="none" w:sz="0" w:space="0" w:color="auto"/>
            <w:bottom w:val="none" w:sz="0" w:space="0" w:color="auto"/>
            <w:right w:val="none" w:sz="0" w:space="0" w:color="auto"/>
          </w:divBdr>
          <w:divsChild>
            <w:div w:id="1489326802">
              <w:marLeft w:val="-75"/>
              <w:marRight w:val="0"/>
              <w:marTop w:val="30"/>
              <w:marBottom w:val="30"/>
              <w:divBdr>
                <w:top w:val="none" w:sz="0" w:space="0" w:color="auto"/>
                <w:left w:val="none" w:sz="0" w:space="0" w:color="auto"/>
                <w:bottom w:val="none" w:sz="0" w:space="0" w:color="auto"/>
                <w:right w:val="none" w:sz="0" w:space="0" w:color="auto"/>
              </w:divBdr>
              <w:divsChild>
                <w:div w:id="13239484">
                  <w:marLeft w:val="0"/>
                  <w:marRight w:val="0"/>
                  <w:marTop w:val="0"/>
                  <w:marBottom w:val="0"/>
                  <w:divBdr>
                    <w:top w:val="none" w:sz="0" w:space="0" w:color="auto"/>
                    <w:left w:val="none" w:sz="0" w:space="0" w:color="auto"/>
                    <w:bottom w:val="none" w:sz="0" w:space="0" w:color="auto"/>
                    <w:right w:val="none" w:sz="0" w:space="0" w:color="auto"/>
                  </w:divBdr>
                  <w:divsChild>
                    <w:div w:id="1662929204">
                      <w:marLeft w:val="0"/>
                      <w:marRight w:val="0"/>
                      <w:marTop w:val="0"/>
                      <w:marBottom w:val="0"/>
                      <w:divBdr>
                        <w:top w:val="none" w:sz="0" w:space="0" w:color="auto"/>
                        <w:left w:val="none" w:sz="0" w:space="0" w:color="auto"/>
                        <w:bottom w:val="none" w:sz="0" w:space="0" w:color="auto"/>
                        <w:right w:val="none" w:sz="0" w:space="0" w:color="auto"/>
                      </w:divBdr>
                    </w:div>
                  </w:divsChild>
                </w:div>
                <w:div w:id="217934260">
                  <w:marLeft w:val="0"/>
                  <w:marRight w:val="0"/>
                  <w:marTop w:val="0"/>
                  <w:marBottom w:val="0"/>
                  <w:divBdr>
                    <w:top w:val="none" w:sz="0" w:space="0" w:color="auto"/>
                    <w:left w:val="none" w:sz="0" w:space="0" w:color="auto"/>
                    <w:bottom w:val="none" w:sz="0" w:space="0" w:color="auto"/>
                    <w:right w:val="none" w:sz="0" w:space="0" w:color="auto"/>
                  </w:divBdr>
                  <w:divsChild>
                    <w:div w:id="987827812">
                      <w:marLeft w:val="0"/>
                      <w:marRight w:val="0"/>
                      <w:marTop w:val="0"/>
                      <w:marBottom w:val="0"/>
                      <w:divBdr>
                        <w:top w:val="none" w:sz="0" w:space="0" w:color="auto"/>
                        <w:left w:val="none" w:sz="0" w:space="0" w:color="auto"/>
                        <w:bottom w:val="none" w:sz="0" w:space="0" w:color="auto"/>
                        <w:right w:val="none" w:sz="0" w:space="0" w:color="auto"/>
                      </w:divBdr>
                    </w:div>
                  </w:divsChild>
                </w:div>
                <w:div w:id="244340807">
                  <w:marLeft w:val="0"/>
                  <w:marRight w:val="0"/>
                  <w:marTop w:val="0"/>
                  <w:marBottom w:val="0"/>
                  <w:divBdr>
                    <w:top w:val="none" w:sz="0" w:space="0" w:color="auto"/>
                    <w:left w:val="none" w:sz="0" w:space="0" w:color="auto"/>
                    <w:bottom w:val="none" w:sz="0" w:space="0" w:color="auto"/>
                    <w:right w:val="none" w:sz="0" w:space="0" w:color="auto"/>
                  </w:divBdr>
                  <w:divsChild>
                    <w:div w:id="1622030147">
                      <w:marLeft w:val="0"/>
                      <w:marRight w:val="0"/>
                      <w:marTop w:val="0"/>
                      <w:marBottom w:val="0"/>
                      <w:divBdr>
                        <w:top w:val="none" w:sz="0" w:space="0" w:color="auto"/>
                        <w:left w:val="none" w:sz="0" w:space="0" w:color="auto"/>
                        <w:bottom w:val="none" w:sz="0" w:space="0" w:color="auto"/>
                        <w:right w:val="none" w:sz="0" w:space="0" w:color="auto"/>
                      </w:divBdr>
                    </w:div>
                  </w:divsChild>
                </w:div>
                <w:div w:id="249853206">
                  <w:marLeft w:val="0"/>
                  <w:marRight w:val="0"/>
                  <w:marTop w:val="0"/>
                  <w:marBottom w:val="0"/>
                  <w:divBdr>
                    <w:top w:val="none" w:sz="0" w:space="0" w:color="auto"/>
                    <w:left w:val="none" w:sz="0" w:space="0" w:color="auto"/>
                    <w:bottom w:val="none" w:sz="0" w:space="0" w:color="auto"/>
                    <w:right w:val="none" w:sz="0" w:space="0" w:color="auto"/>
                  </w:divBdr>
                  <w:divsChild>
                    <w:div w:id="1235700825">
                      <w:marLeft w:val="0"/>
                      <w:marRight w:val="0"/>
                      <w:marTop w:val="0"/>
                      <w:marBottom w:val="0"/>
                      <w:divBdr>
                        <w:top w:val="none" w:sz="0" w:space="0" w:color="auto"/>
                        <w:left w:val="none" w:sz="0" w:space="0" w:color="auto"/>
                        <w:bottom w:val="none" w:sz="0" w:space="0" w:color="auto"/>
                        <w:right w:val="none" w:sz="0" w:space="0" w:color="auto"/>
                      </w:divBdr>
                    </w:div>
                  </w:divsChild>
                </w:div>
                <w:div w:id="723217446">
                  <w:marLeft w:val="0"/>
                  <w:marRight w:val="0"/>
                  <w:marTop w:val="0"/>
                  <w:marBottom w:val="0"/>
                  <w:divBdr>
                    <w:top w:val="none" w:sz="0" w:space="0" w:color="auto"/>
                    <w:left w:val="none" w:sz="0" w:space="0" w:color="auto"/>
                    <w:bottom w:val="none" w:sz="0" w:space="0" w:color="auto"/>
                    <w:right w:val="none" w:sz="0" w:space="0" w:color="auto"/>
                  </w:divBdr>
                  <w:divsChild>
                    <w:div w:id="858775">
                      <w:marLeft w:val="0"/>
                      <w:marRight w:val="0"/>
                      <w:marTop w:val="0"/>
                      <w:marBottom w:val="0"/>
                      <w:divBdr>
                        <w:top w:val="none" w:sz="0" w:space="0" w:color="auto"/>
                        <w:left w:val="none" w:sz="0" w:space="0" w:color="auto"/>
                        <w:bottom w:val="none" w:sz="0" w:space="0" w:color="auto"/>
                        <w:right w:val="none" w:sz="0" w:space="0" w:color="auto"/>
                      </w:divBdr>
                    </w:div>
                  </w:divsChild>
                </w:div>
                <w:div w:id="936905763">
                  <w:marLeft w:val="0"/>
                  <w:marRight w:val="0"/>
                  <w:marTop w:val="0"/>
                  <w:marBottom w:val="0"/>
                  <w:divBdr>
                    <w:top w:val="none" w:sz="0" w:space="0" w:color="auto"/>
                    <w:left w:val="none" w:sz="0" w:space="0" w:color="auto"/>
                    <w:bottom w:val="none" w:sz="0" w:space="0" w:color="auto"/>
                    <w:right w:val="none" w:sz="0" w:space="0" w:color="auto"/>
                  </w:divBdr>
                  <w:divsChild>
                    <w:div w:id="793214633">
                      <w:marLeft w:val="0"/>
                      <w:marRight w:val="0"/>
                      <w:marTop w:val="0"/>
                      <w:marBottom w:val="0"/>
                      <w:divBdr>
                        <w:top w:val="none" w:sz="0" w:space="0" w:color="auto"/>
                        <w:left w:val="none" w:sz="0" w:space="0" w:color="auto"/>
                        <w:bottom w:val="none" w:sz="0" w:space="0" w:color="auto"/>
                        <w:right w:val="none" w:sz="0" w:space="0" w:color="auto"/>
                      </w:divBdr>
                    </w:div>
                  </w:divsChild>
                </w:div>
                <w:div w:id="1166092132">
                  <w:marLeft w:val="0"/>
                  <w:marRight w:val="0"/>
                  <w:marTop w:val="0"/>
                  <w:marBottom w:val="0"/>
                  <w:divBdr>
                    <w:top w:val="none" w:sz="0" w:space="0" w:color="auto"/>
                    <w:left w:val="none" w:sz="0" w:space="0" w:color="auto"/>
                    <w:bottom w:val="none" w:sz="0" w:space="0" w:color="auto"/>
                    <w:right w:val="none" w:sz="0" w:space="0" w:color="auto"/>
                  </w:divBdr>
                  <w:divsChild>
                    <w:div w:id="1742019975">
                      <w:marLeft w:val="0"/>
                      <w:marRight w:val="0"/>
                      <w:marTop w:val="0"/>
                      <w:marBottom w:val="0"/>
                      <w:divBdr>
                        <w:top w:val="none" w:sz="0" w:space="0" w:color="auto"/>
                        <w:left w:val="none" w:sz="0" w:space="0" w:color="auto"/>
                        <w:bottom w:val="none" w:sz="0" w:space="0" w:color="auto"/>
                        <w:right w:val="none" w:sz="0" w:space="0" w:color="auto"/>
                      </w:divBdr>
                    </w:div>
                  </w:divsChild>
                </w:div>
                <w:div w:id="1897475551">
                  <w:marLeft w:val="0"/>
                  <w:marRight w:val="0"/>
                  <w:marTop w:val="0"/>
                  <w:marBottom w:val="0"/>
                  <w:divBdr>
                    <w:top w:val="none" w:sz="0" w:space="0" w:color="auto"/>
                    <w:left w:val="none" w:sz="0" w:space="0" w:color="auto"/>
                    <w:bottom w:val="none" w:sz="0" w:space="0" w:color="auto"/>
                    <w:right w:val="none" w:sz="0" w:space="0" w:color="auto"/>
                  </w:divBdr>
                  <w:divsChild>
                    <w:div w:id="940573866">
                      <w:marLeft w:val="0"/>
                      <w:marRight w:val="0"/>
                      <w:marTop w:val="0"/>
                      <w:marBottom w:val="0"/>
                      <w:divBdr>
                        <w:top w:val="none" w:sz="0" w:space="0" w:color="auto"/>
                        <w:left w:val="none" w:sz="0" w:space="0" w:color="auto"/>
                        <w:bottom w:val="none" w:sz="0" w:space="0" w:color="auto"/>
                        <w:right w:val="none" w:sz="0" w:space="0" w:color="auto"/>
                      </w:divBdr>
                    </w:div>
                  </w:divsChild>
                </w:div>
                <w:div w:id="2034645242">
                  <w:marLeft w:val="0"/>
                  <w:marRight w:val="0"/>
                  <w:marTop w:val="0"/>
                  <w:marBottom w:val="0"/>
                  <w:divBdr>
                    <w:top w:val="none" w:sz="0" w:space="0" w:color="auto"/>
                    <w:left w:val="none" w:sz="0" w:space="0" w:color="auto"/>
                    <w:bottom w:val="none" w:sz="0" w:space="0" w:color="auto"/>
                    <w:right w:val="none" w:sz="0" w:space="0" w:color="auto"/>
                  </w:divBdr>
                  <w:divsChild>
                    <w:div w:id="378437057">
                      <w:marLeft w:val="0"/>
                      <w:marRight w:val="0"/>
                      <w:marTop w:val="0"/>
                      <w:marBottom w:val="0"/>
                      <w:divBdr>
                        <w:top w:val="none" w:sz="0" w:space="0" w:color="auto"/>
                        <w:left w:val="none" w:sz="0" w:space="0" w:color="auto"/>
                        <w:bottom w:val="none" w:sz="0" w:space="0" w:color="auto"/>
                        <w:right w:val="none" w:sz="0" w:space="0" w:color="auto"/>
                      </w:divBdr>
                    </w:div>
                  </w:divsChild>
                </w:div>
                <w:div w:id="2060586217">
                  <w:marLeft w:val="0"/>
                  <w:marRight w:val="0"/>
                  <w:marTop w:val="0"/>
                  <w:marBottom w:val="0"/>
                  <w:divBdr>
                    <w:top w:val="none" w:sz="0" w:space="0" w:color="auto"/>
                    <w:left w:val="none" w:sz="0" w:space="0" w:color="auto"/>
                    <w:bottom w:val="none" w:sz="0" w:space="0" w:color="auto"/>
                    <w:right w:val="none" w:sz="0" w:space="0" w:color="auto"/>
                  </w:divBdr>
                  <w:divsChild>
                    <w:div w:id="121257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666390">
      <w:bodyDiv w:val="1"/>
      <w:marLeft w:val="0"/>
      <w:marRight w:val="0"/>
      <w:marTop w:val="0"/>
      <w:marBottom w:val="0"/>
      <w:divBdr>
        <w:top w:val="none" w:sz="0" w:space="0" w:color="auto"/>
        <w:left w:val="none" w:sz="0" w:space="0" w:color="auto"/>
        <w:bottom w:val="none" w:sz="0" w:space="0" w:color="auto"/>
        <w:right w:val="none" w:sz="0" w:space="0" w:color="auto"/>
      </w:divBdr>
    </w:div>
    <w:div w:id="511535172">
      <w:bodyDiv w:val="1"/>
      <w:marLeft w:val="0"/>
      <w:marRight w:val="0"/>
      <w:marTop w:val="0"/>
      <w:marBottom w:val="0"/>
      <w:divBdr>
        <w:top w:val="none" w:sz="0" w:space="0" w:color="auto"/>
        <w:left w:val="none" w:sz="0" w:space="0" w:color="auto"/>
        <w:bottom w:val="none" w:sz="0" w:space="0" w:color="auto"/>
        <w:right w:val="none" w:sz="0" w:space="0" w:color="auto"/>
      </w:divBdr>
    </w:div>
    <w:div w:id="561134088">
      <w:bodyDiv w:val="1"/>
      <w:marLeft w:val="0"/>
      <w:marRight w:val="0"/>
      <w:marTop w:val="0"/>
      <w:marBottom w:val="0"/>
      <w:divBdr>
        <w:top w:val="none" w:sz="0" w:space="0" w:color="auto"/>
        <w:left w:val="none" w:sz="0" w:space="0" w:color="auto"/>
        <w:bottom w:val="none" w:sz="0" w:space="0" w:color="auto"/>
        <w:right w:val="none" w:sz="0" w:space="0" w:color="auto"/>
      </w:divBdr>
    </w:div>
    <w:div w:id="581379397">
      <w:bodyDiv w:val="1"/>
      <w:marLeft w:val="0"/>
      <w:marRight w:val="0"/>
      <w:marTop w:val="0"/>
      <w:marBottom w:val="0"/>
      <w:divBdr>
        <w:top w:val="none" w:sz="0" w:space="0" w:color="auto"/>
        <w:left w:val="none" w:sz="0" w:space="0" w:color="auto"/>
        <w:bottom w:val="none" w:sz="0" w:space="0" w:color="auto"/>
        <w:right w:val="none" w:sz="0" w:space="0" w:color="auto"/>
      </w:divBdr>
    </w:div>
    <w:div w:id="693192616">
      <w:bodyDiv w:val="1"/>
      <w:marLeft w:val="0"/>
      <w:marRight w:val="0"/>
      <w:marTop w:val="0"/>
      <w:marBottom w:val="0"/>
      <w:divBdr>
        <w:top w:val="none" w:sz="0" w:space="0" w:color="auto"/>
        <w:left w:val="none" w:sz="0" w:space="0" w:color="auto"/>
        <w:bottom w:val="none" w:sz="0" w:space="0" w:color="auto"/>
        <w:right w:val="none" w:sz="0" w:space="0" w:color="auto"/>
      </w:divBdr>
    </w:div>
    <w:div w:id="712854205">
      <w:bodyDiv w:val="1"/>
      <w:marLeft w:val="0"/>
      <w:marRight w:val="0"/>
      <w:marTop w:val="0"/>
      <w:marBottom w:val="0"/>
      <w:divBdr>
        <w:top w:val="none" w:sz="0" w:space="0" w:color="auto"/>
        <w:left w:val="none" w:sz="0" w:space="0" w:color="auto"/>
        <w:bottom w:val="none" w:sz="0" w:space="0" w:color="auto"/>
        <w:right w:val="none" w:sz="0" w:space="0" w:color="auto"/>
      </w:divBdr>
    </w:div>
    <w:div w:id="744648224">
      <w:bodyDiv w:val="1"/>
      <w:marLeft w:val="0"/>
      <w:marRight w:val="0"/>
      <w:marTop w:val="0"/>
      <w:marBottom w:val="0"/>
      <w:divBdr>
        <w:top w:val="none" w:sz="0" w:space="0" w:color="auto"/>
        <w:left w:val="none" w:sz="0" w:space="0" w:color="auto"/>
        <w:bottom w:val="none" w:sz="0" w:space="0" w:color="auto"/>
        <w:right w:val="none" w:sz="0" w:space="0" w:color="auto"/>
      </w:divBdr>
    </w:div>
    <w:div w:id="825781421">
      <w:bodyDiv w:val="1"/>
      <w:marLeft w:val="0"/>
      <w:marRight w:val="0"/>
      <w:marTop w:val="0"/>
      <w:marBottom w:val="0"/>
      <w:divBdr>
        <w:top w:val="none" w:sz="0" w:space="0" w:color="auto"/>
        <w:left w:val="none" w:sz="0" w:space="0" w:color="auto"/>
        <w:bottom w:val="none" w:sz="0" w:space="0" w:color="auto"/>
        <w:right w:val="none" w:sz="0" w:space="0" w:color="auto"/>
      </w:divBdr>
    </w:div>
    <w:div w:id="839082297">
      <w:bodyDiv w:val="1"/>
      <w:marLeft w:val="0"/>
      <w:marRight w:val="0"/>
      <w:marTop w:val="0"/>
      <w:marBottom w:val="0"/>
      <w:divBdr>
        <w:top w:val="none" w:sz="0" w:space="0" w:color="auto"/>
        <w:left w:val="none" w:sz="0" w:space="0" w:color="auto"/>
        <w:bottom w:val="none" w:sz="0" w:space="0" w:color="auto"/>
        <w:right w:val="none" w:sz="0" w:space="0" w:color="auto"/>
      </w:divBdr>
    </w:div>
    <w:div w:id="890073732">
      <w:bodyDiv w:val="1"/>
      <w:marLeft w:val="0"/>
      <w:marRight w:val="0"/>
      <w:marTop w:val="0"/>
      <w:marBottom w:val="0"/>
      <w:divBdr>
        <w:top w:val="none" w:sz="0" w:space="0" w:color="auto"/>
        <w:left w:val="none" w:sz="0" w:space="0" w:color="auto"/>
        <w:bottom w:val="none" w:sz="0" w:space="0" w:color="auto"/>
        <w:right w:val="none" w:sz="0" w:space="0" w:color="auto"/>
      </w:divBdr>
    </w:div>
    <w:div w:id="958417483">
      <w:bodyDiv w:val="1"/>
      <w:marLeft w:val="0"/>
      <w:marRight w:val="0"/>
      <w:marTop w:val="0"/>
      <w:marBottom w:val="0"/>
      <w:divBdr>
        <w:top w:val="none" w:sz="0" w:space="0" w:color="auto"/>
        <w:left w:val="none" w:sz="0" w:space="0" w:color="auto"/>
        <w:bottom w:val="none" w:sz="0" w:space="0" w:color="auto"/>
        <w:right w:val="none" w:sz="0" w:space="0" w:color="auto"/>
      </w:divBdr>
    </w:div>
    <w:div w:id="977610414">
      <w:bodyDiv w:val="1"/>
      <w:marLeft w:val="0"/>
      <w:marRight w:val="0"/>
      <w:marTop w:val="0"/>
      <w:marBottom w:val="0"/>
      <w:divBdr>
        <w:top w:val="none" w:sz="0" w:space="0" w:color="auto"/>
        <w:left w:val="none" w:sz="0" w:space="0" w:color="auto"/>
        <w:bottom w:val="none" w:sz="0" w:space="0" w:color="auto"/>
        <w:right w:val="none" w:sz="0" w:space="0" w:color="auto"/>
      </w:divBdr>
    </w:div>
    <w:div w:id="982655241">
      <w:bodyDiv w:val="1"/>
      <w:marLeft w:val="0"/>
      <w:marRight w:val="0"/>
      <w:marTop w:val="0"/>
      <w:marBottom w:val="0"/>
      <w:divBdr>
        <w:top w:val="none" w:sz="0" w:space="0" w:color="auto"/>
        <w:left w:val="none" w:sz="0" w:space="0" w:color="auto"/>
        <w:bottom w:val="none" w:sz="0" w:space="0" w:color="auto"/>
        <w:right w:val="none" w:sz="0" w:space="0" w:color="auto"/>
      </w:divBdr>
    </w:div>
    <w:div w:id="998073982">
      <w:bodyDiv w:val="1"/>
      <w:marLeft w:val="0"/>
      <w:marRight w:val="0"/>
      <w:marTop w:val="0"/>
      <w:marBottom w:val="0"/>
      <w:divBdr>
        <w:top w:val="none" w:sz="0" w:space="0" w:color="auto"/>
        <w:left w:val="none" w:sz="0" w:space="0" w:color="auto"/>
        <w:bottom w:val="none" w:sz="0" w:space="0" w:color="auto"/>
        <w:right w:val="none" w:sz="0" w:space="0" w:color="auto"/>
      </w:divBdr>
    </w:div>
    <w:div w:id="1004166185">
      <w:bodyDiv w:val="1"/>
      <w:marLeft w:val="0"/>
      <w:marRight w:val="0"/>
      <w:marTop w:val="0"/>
      <w:marBottom w:val="0"/>
      <w:divBdr>
        <w:top w:val="none" w:sz="0" w:space="0" w:color="auto"/>
        <w:left w:val="none" w:sz="0" w:space="0" w:color="auto"/>
        <w:bottom w:val="none" w:sz="0" w:space="0" w:color="auto"/>
        <w:right w:val="none" w:sz="0" w:space="0" w:color="auto"/>
      </w:divBdr>
    </w:div>
    <w:div w:id="1051884469">
      <w:bodyDiv w:val="1"/>
      <w:marLeft w:val="0"/>
      <w:marRight w:val="0"/>
      <w:marTop w:val="0"/>
      <w:marBottom w:val="0"/>
      <w:divBdr>
        <w:top w:val="none" w:sz="0" w:space="0" w:color="auto"/>
        <w:left w:val="none" w:sz="0" w:space="0" w:color="auto"/>
        <w:bottom w:val="none" w:sz="0" w:space="0" w:color="auto"/>
        <w:right w:val="none" w:sz="0" w:space="0" w:color="auto"/>
      </w:divBdr>
    </w:div>
    <w:div w:id="1080327657">
      <w:bodyDiv w:val="1"/>
      <w:marLeft w:val="0"/>
      <w:marRight w:val="0"/>
      <w:marTop w:val="0"/>
      <w:marBottom w:val="0"/>
      <w:divBdr>
        <w:top w:val="none" w:sz="0" w:space="0" w:color="auto"/>
        <w:left w:val="none" w:sz="0" w:space="0" w:color="auto"/>
        <w:bottom w:val="none" w:sz="0" w:space="0" w:color="auto"/>
        <w:right w:val="none" w:sz="0" w:space="0" w:color="auto"/>
      </w:divBdr>
    </w:div>
    <w:div w:id="1105230885">
      <w:bodyDiv w:val="1"/>
      <w:marLeft w:val="0"/>
      <w:marRight w:val="0"/>
      <w:marTop w:val="0"/>
      <w:marBottom w:val="0"/>
      <w:divBdr>
        <w:top w:val="none" w:sz="0" w:space="0" w:color="auto"/>
        <w:left w:val="none" w:sz="0" w:space="0" w:color="auto"/>
        <w:bottom w:val="none" w:sz="0" w:space="0" w:color="auto"/>
        <w:right w:val="none" w:sz="0" w:space="0" w:color="auto"/>
      </w:divBdr>
      <w:divsChild>
        <w:div w:id="1175653900">
          <w:marLeft w:val="0"/>
          <w:marRight w:val="0"/>
          <w:marTop w:val="0"/>
          <w:marBottom w:val="0"/>
          <w:divBdr>
            <w:top w:val="none" w:sz="0" w:space="0" w:color="auto"/>
            <w:left w:val="none" w:sz="0" w:space="0" w:color="auto"/>
            <w:bottom w:val="none" w:sz="0" w:space="0" w:color="auto"/>
            <w:right w:val="none" w:sz="0" w:space="0" w:color="auto"/>
          </w:divBdr>
          <w:divsChild>
            <w:div w:id="119148233">
              <w:marLeft w:val="-75"/>
              <w:marRight w:val="0"/>
              <w:marTop w:val="30"/>
              <w:marBottom w:val="30"/>
              <w:divBdr>
                <w:top w:val="none" w:sz="0" w:space="0" w:color="auto"/>
                <w:left w:val="none" w:sz="0" w:space="0" w:color="auto"/>
                <w:bottom w:val="none" w:sz="0" w:space="0" w:color="auto"/>
                <w:right w:val="none" w:sz="0" w:space="0" w:color="auto"/>
              </w:divBdr>
              <w:divsChild>
                <w:div w:id="85806667">
                  <w:marLeft w:val="0"/>
                  <w:marRight w:val="0"/>
                  <w:marTop w:val="0"/>
                  <w:marBottom w:val="0"/>
                  <w:divBdr>
                    <w:top w:val="none" w:sz="0" w:space="0" w:color="auto"/>
                    <w:left w:val="none" w:sz="0" w:space="0" w:color="auto"/>
                    <w:bottom w:val="none" w:sz="0" w:space="0" w:color="auto"/>
                    <w:right w:val="none" w:sz="0" w:space="0" w:color="auto"/>
                  </w:divBdr>
                  <w:divsChild>
                    <w:div w:id="686061526">
                      <w:marLeft w:val="0"/>
                      <w:marRight w:val="0"/>
                      <w:marTop w:val="0"/>
                      <w:marBottom w:val="0"/>
                      <w:divBdr>
                        <w:top w:val="none" w:sz="0" w:space="0" w:color="auto"/>
                        <w:left w:val="none" w:sz="0" w:space="0" w:color="auto"/>
                        <w:bottom w:val="none" w:sz="0" w:space="0" w:color="auto"/>
                        <w:right w:val="none" w:sz="0" w:space="0" w:color="auto"/>
                      </w:divBdr>
                    </w:div>
                  </w:divsChild>
                </w:div>
                <w:div w:id="234710395">
                  <w:marLeft w:val="0"/>
                  <w:marRight w:val="0"/>
                  <w:marTop w:val="0"/>
                  <w:marBottom w:val="0"/>
                  <w:divBdr>
                    <w:top w:val="none" w:sz="0" w:space="0" w:color="auto"/>
                    <w:left w:val="none" w:sz="0" w:space="0" w:color="auto"/>
                    <w:bottom w:val="none" w:sz="0" w:space="0" w:color="auto"/>
                    <w:right w:val="none" w:sz="0" w:space="0" w:color="auto"/>
                  </w:divBdr>
                  <w:divsChild>
                    <w:div w:id="69818414">
                      <w:marLeft w:val="0"/>
                      <w:marRight w:val="0"/>
                      <w:marTop w:val="0"/>
                      <w:marBottom w:val="0"/>
                      <w:divBdr>
                        <w:top w:val="none" w:sz="0" w:space="0" w:color="auto"/>
                        <w:left w:val="none" w:sz="0" w:space="0" w:color="auto"/>
                        <w:bottom w:val="none" w:sz="0" w:space="0" w:color="auto"/>
                        <w:right w:val="none" w:sz="0" w:space="0" w:color="auto"/>
                      </w:divBdr>
                    </w:div>
                  </w:divsChild>
                </w:div>
                <w:div w:id="443692249">
                  <w:marLeft w:val="0"/>
                  <w:marRight w:val="0"/>
                  <w:marTop w:val="0"/>
                  <w:marBottom w:val="0"/>
                  <w:divBdr>
                    <w:top w:val="none" w:sz="0" w:space="0" w:color="auto"/>
                    <w:left w:val="none" w:sz="0" w:space="0" w:color="auto"/>
                    <w:bottom w:val="none" w:sz="0" w:space="0" w:color="auto"/>
                    <w:right w:val="none" w:sz="0" w:space="0" w:color="auto"/>
                  </w:divBdr>
                  <w:divsChild>
                    <w:div w:id="1009797376">
                      <w:marLeft w:val="0"/>
                      <w:marRight w:val="0"/>
                      <w:marTop w:val="0"/>
                      <w:marBottom w:val="0"/>
                      <w:divBdr>
                        <w:top w:val="none" w:sz="0" w:space="0" w:color="auto"/>
                        <w:left w:val="none" w:sz="0" w:space="0" w:color="auto"/>
                        <w:bottom w:val="none" w:sz="0" w:space="0" w:color="auto"/>
                        <w:right w:val="none" w:sz="0" w:space="0" w:color="auto"/>
                      </w:divBdr>
                    </w:div>
                  </w:divsChild>
                </w:div>
                <w:div w:id="590621556">
                  <w:marLeft w:val="0"/>
                  <w:marRight w:val="0"/>
                  <w:marTop w:val="0"/>
                  <w:marBottom w:val="0"/>
                  <w:divBdr>
                    <w:top w:val="none" w:sz="0" w:space="0" w:color="auto"/>
                    <w:left w:val="none" w:sz="0" w:space="0" w:color="auto"/>
                    <w:bottom w:val="none" w:sz="0" w:space="0" w:color="auto"/>
                    <w:right w:val="none" w:sz="0" w:space="0" w:color="auto"/>
                  </w:divBdr>
                  <w:divsChild>
                    <w:div w:id="1593588307">
                      <w:marLeft w:val="0"/>
                      <w:marRight w:val="0"/>
                      <w:marTop w:val="0"/>
                      <w:marBottom w:val="0"/>
                      <w:divBdr>
                        <w:top w:val="none" w:sz="0" w:space="0" w:color="auto"/>
                        <w:left w:val="none" w:sz="0" w:space="0" w:color="auto"/>
                        <w:bottom w:val="none" w:sz="0" w:space="0" w:color="auto"/>
                        <w:right w:val="none" w:sz="0" w:space="0" w:color="auto"/>
                      </w:divBdr>
                    </w:div>
                  </w:divsChild>
                </w:div>
                <w:div w:id="774639233">
                  <w:marLeft w:val="0"/>
                  <w:marRight w:val="0"/>
                  <w:marTop w:val="0"/>
                  <w:marBottom w:val="0"/>
                  <w:divBdr>
                    <w:top w:val="none" w:sz="0" w:space="0" w:color="auto"/>
                    <w:left w:val="none" w:sz="0" w:space="0" w:color="auto"/>
                    <w:bottom w:val="none" w:sz="0" w:space="0" w:color="auto"/>
                    <w:right w:val="none" w:sz="0" w:space="0" w:color="auto"/>
                  </w:divBdr>
                  <w:divsChild>
                    <w:div w:id="683753381">
                      <w:marLeft w:val="0"/>
                      <w:marRight w:val="0"/>
                      <w:marTop w:val="0"/>
                      <w:marBottom w:val="0"/>
                      <w:divBdr>
                        <w:top w:val="none" w:sz="0" w:space="0" w:color="auto"/>
                        <w:left w:val="none" w:sz="0" w:space="0" w:color="auto"/>
                        <w:bottom w:val="none" w:sz="0" w:space="0" w:color="auto"/>
                        <w:right w:val="none" w:sz="0" w:space="0" w:color="auto"/>
                      </w:divBdr>
                    </w:div>
                  </w:divsChild>
                </w:div>
                <w:div w:id="929121010">
                  <w:marLeft w:val="0"/>
                  <w:marRight w:val="0"/>
                  <w:marTop w:val="0"/>
                  <w:marBottom w:val="0"/>
                  <w:divBdr>
                    <w:top w:val="none" w:sz="0" w:space="0" w:color="auto"/>
                    <w:left w:val="none" w:sz="0" w:space="0" w:color="auto"/>
                    <w:bottom w:val="none" w:sz="0" w:space="0" w:color="auto"/>
                    <w:right w:val="none" w:sz="0" w:space="0" w:color="auto"/>
                  </w:divBdr>
                  <w:divsChild>
                    <w:div w:id="1176186871">
                      <w:marLeft w:val="0"/>
                      <w:marRight w:val="0"/>
                      <w:marTop w:val="0"/>
                      <w:marBottom w:val="0"/>
                      <w:divBdr>
                        <w:top w:val="none" w:sz="0" w:space="0" w:color="auto"/>
                        <w:left w:val="none" w:sz="0" w:space="0" w:color="auto"/>
                        <w:bottom w:val="none" w:sz="0" w:space="0" w:color="auto"/>
                        <w:right w:val="none" w:sz="0" w:space="0" w:color="auto"/>
                      </w:divBdr>
                    </w:div>
                  </w:divsChild>
                </w:div>
                <w:div w:id="1066805759">
                  <w:marLeft w:val="0"/>
                  <w:marRight w:val="0"/>
                  <w:marTop w:val="0"/>
                  <w:marBottom w:val="0"/>
                  <w:divBdr>
                    <w:top w:val="none" w:sz="0" w:space="0" w:color="auto"/>
                    <w:left w:val="none" w:sz="0" w:space="0" w:color="auto"/>
                    <w:bottom w:val="none" w:sz="0" w:space="0" w:color="auto"/>
                    <w:right w:val="none" w:sz="0" w:space="0" w:color="auto"/>
                  </w:divBdr>
                  <w:divsChild>
                    <w:div w:id="1029185683">
                      <w:marLeft w:val="0"/>
                      <w:marRight w:val="0"/>
                      <w:marTop w:val="0"/>
                      <w:marBottom w:val="0"/>
                      <w:divBdr>
                        <w:top w:val="none" w:sz="0" w:space="0" w:color="auto"/>
                        <w:left w:val="none" w:sz="0" w:space="0" w:color="auto"/>
                        <w:bottom w:val="none" w:sz="0" w:space="0" w:color="auto"/>
                        <w:right w:val="none" w:sz="0" w:space="0" w:color="auto"/>
                      </w:divBdr>
                    </w:div>
                  </w:divsChild>
                </w:div>
                <w:div w:id="1074157700">
                  <w:marLeft w:val="0"/>
                  <w:marRight w:val="0"/>
                  <w:marTop w:val="0"/>
                  <w:marBottom w:val="0"/>
                  <w:divBdr>
                    <w:top w:val="none" w:sz="0" w:space="0" w:color="auto"/>
                    <w:left w:val="none" w:sz="0" w:space="0" w:color="auto"/>
                    <w:bottom w:val="none" w:sz="0" w:space="0" w:color="auto"/>
                    <w:right w:val="none" w:sz="0" w:space="0" w:color="auto"/>
                  </w:divBdr>
                  <w:divsChild>
                    <w:div w:id="42025600">
                      <w:marLeft w:val="0"/>
                      <w:marRight w:val="0"/>
                      <w:marTop w:val="0"/>
                      <w:marBottom w:val="0"/>
                      <w:divBdr>
                        <w:top w:val="none" w:sz="0" w:space="0" w:color="auto"/>
                        <w:left w:val="none" w:sz="0" w:space="0" w:color="auto"/>
                        <w:bottom w:val="none" w:sz="0" w:space="0" w:color="auto"/>
                        <w:right w:val="none" w:sz="0" w:space="0" w:color="auto"/>
                      </w:divBdr>
                    </w:div>
                  </w:divsChild>
                </w:div>
                <w:div w:id="1944261375">
                  <w:marLeft w:val="0"/>
                  <w:marRight w:val="0"/>
                  <w:marTop w:val="0"/>
                  <w:marBottom w:val="0"/>
                  <w:divBdr>
                    <w:top w:val="none" w:sz="0" w:space="0" w:color="auto"/>
                    <w:left w:val="none" w:sz="0" w:space="0" w:color="auto"/>
                    <w:bottom w:val="none" w:sz="0" w:space="0" w:color="auto"/>
                    <w:right w:val="none" w:sz="0" w:space="0" w:color="auto"/>
                  </w:divBdr>
                  <w:divsChild>
                    <w:div w:id="96754677">
                      <w:marLeft w:val="0"/>
                      <w:marRight w:val="0"/>
                      <w:marTop w:val="0"/>
                      <w:marBottom w:val="0"/>
                      <w:divBdr>
                        <w:top w:val="none" w:sz="0" w:space="0" w:color="auto"/>
                        <w:left w:val="none" w:sz="0" w:space="0" w:color="auto"/>
                        <w:bottom w:val="none" w:sz="0" w:space="0" w:color="auto"/>
                        <w:right w:val="none" w:sz="0" w:space="0" w:color="auto"/>
                      </w:divBdr>
                    </w:div>
                  </w:divsChild>
                </w:div>
                <w:div w:id="2018538195">
                  <w:marLeft w:val="0"/>
                  <w:marRight w:val="0"/>
                  <w:marTop w:val="0"/>
                  <w:marBottom w:val="0"/>
                  <w:divBdr>
                    <w:top w:val="none" w:sz="0" w:space="0" w:color="auto"/>
                    <w:left w:val="none" w:sz="0" w:space="0" w:color="auto"/>
                    <w:bottom w:val="none" w:sz="0" w:space="0" w:color="auto"/>
                    <w:right w:val="none" w:sz="0" w:space="0" w:color="auto"/>
                  </w:divBdr>
                  <w:divsChild>
                    <w:div w:id="151456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463784">
          <w:marLeft w:val="0"/>
          <w:marRight w:val="0"/>
          <w:marTop w:val="0"/>
          <w:marBottom w:val="0"/>
          <w:divBdr>
            <w:top w:val="none" w:sz="0" w:space="0" w:color="auto"/>
            <w:left w:val="none" w:sz="0" w:space="0" w:color="auto"/>
            <w:bottom w:val="none" w:sz="0" w:space="0" w:color="auto"/>
            <w:right w:val="none" w:sz="0" w:space="0" w:color="auto"/>
          </w:divBdr>
        </w:div>
      </w:divsChild>
    </w:div>
    <w:div w:id="1280525526">
      <w:bodyDiv w:val="1"/>
      <w:marLeft w:val="0"/>
      <w:marRight w:val="0"/>
      <w:marTop w:val="0"/>
      <w:marBottom w:val="0"/>
      <w:divBdr>
        <w:top w:val="none" w:sz="0" w:space="0" w:color="auto"/>
        <w:left w:val="none" w:sz="0" w:space="0" w:color="auto"/>
        <w:bottom w:val="none" w:sz="0" w:space="0" w:color="auto"/>
        <w:right w:val="none" w:sz="0" w:space="0" w:color="auto"/>
      </w:divBdr>
    </w:div>
    <w:div w:id="1295939294">
      <w:bodyDiv w:val="1"/>
      <w:marLeft w:val="0"/>
      <w:marRight w:val="0"/>
      <w:marTop w:val="0"/>
      <w:marBottom w:val="0"/>
      <w:divBdr>
        <w:top w:val="none" w:sz="0" w:space="0" w:color="auto"/>
        <w:left w:val="none" w:sz="0" w:space="0" w:color="auto"/>
        <w:bottom w:val="none" w:sz="0" w:space="0" w:color="auto"/>
        <w:right w:val="none" w:sz="0" w:space="0" w:color="auto"/>
      </w:divBdr>
    </w:div>
    <w:div w:id="1324315586">
      <w:bodyDiv w:val="1"/>
      <w:marLeft w:val="0"/>
      <w:marRight w:val="0"/>
      <w:marTop w:val="0"/>
      <w:marBottom w:val="0"/>
      <w:divBdr>
        <w:top w:val="none" w:sz="0" w:space="0" w:color="auto"/>
        <w:left w:val="none" w:sz="0" w:space="0" w:color="auto"/>
        <w:bottom w:val="none" w:sz="0" w:space="0" w:color="auto"/>
        <w:right w:val="none" w:sz="0" w:space="0" w:color="auto"/>
      </w:divBdr>
    </w:div>
    <w:div w:id="1335956215">
      <w:bodyDiv w:val="1"/>
      <w:marLeft w:val="0"/>
      <w:marRight w:val="0"/>
      <w:marTop w:val="0"/>
      <w:marBottom w:val="0"/>
      <w:divBdr>
        <w:top w:val="none" w:sz="0" w:space="0" w:color="auto"/>
        <w:left w:val="none" w:sz="0" w:space="0" w:color="auto"/>
        <w:bottom w:val="none" w:sz="0" w:space="0" w:color="auto"/>
        <w:right w:val="none" w:sz="0" w:space="0" w:color="auto"/>
      </w:divBdr>
    </w:div>
    <w:div w:id="1483040959">
      <w:bodyDiv w:val="1"/>
      <w:marLeft w:val="0"/>
      <w:marRight w:val="0"/>
      <w:marTop w:val="0"/>
      <w:marBottom w:val="0"/>
      <w:divBdr>
        <w:top w:val="none" w:sz="0" w:space="0" w:color="auto"/>
        <w:left w:val="none" w:sz="0" w:space="0" w:color="auto"/>
        <w:bottom w:val="none" w:sz="0" w:space="0" w:color="auto"/>
        <w:right w:val="none" w:sz="0" w:space="0" w:color="auto"/>
      </w:divBdr>
      <w:divsChild>
        <w:div w:id="402528207">
          <w:marLeft w:val="0"/>
          <w:marRight w:val="0"/>
          <w:marTop w:val="0"/>
          <w:marBottom w:val="0"/>
          <w:divBdr>
            <w:top w:val="none" w:sz="0" w:space="0" w:color="auto"/>
            <w:left w:val="none" w:sz="0" w:space="0" w:color="auto"/>
            <w:bottom w:val="none" w:sz="0" w:space="0" w:color="auto"/>
            <w:right w:val="none" w:sz="0" w:space="0" w:color="auto"/>
          </w:divBdr>
          <w:divsChild>
            <w:div w:id="399526260">
              <w:marLeft w:val="-75"/>
              <w:marRight w:val="0"/>
              <w:marTop w:val="30"/>
              <w:marBottom w:val="30"/>
              <w:divBdr>
                <w:top w:val="none" w:sz="0" w:space="0" w:color="auto"/>
                <w:left w:val="none" w:sz="0" w:space="0" w:color="auto"/>
                <w:bottom w:val="none" w:sz="0" w:space="0" w:color="auto"/>
                <w:right w:val="none" w:sz="0" w:space="0" w:color="auto"/>
              </w:divBdr>
              <w:divsChild>
                <w:div w:id="369230475">
                  <w:marLeft w:val="0"/>
                  <w:marRight w:val="0"/>
                  <w:marTop w:val="0"/>
                  <w:marBottom w:val="0"/>
                  <w:divBdr>
                    <w:top w:val="none" w:sz="0" w:space="0" w:color="auto"/>
                    <w:left w:val="none" w:sz="0" w:space="0" w:color="auto"/>
                    <w:bottom w:val="none" w:sz="0" w:space="0" w:color="auto"/>
                    <w:right w:val="none" w:sz="0" w:space="0" w:color="auto"/>
                  </w:divBdr>
                  <w:divsChild>
                    <w:div w:id="1114059793">
                      <w:marLeft w:val="0"/>
                      <w:marRight w:val="0"/>
                      <w:marTop w:val="0"/>
                      <w:marBottom w:val="0"/>
                      <w:divBdr>
                        <w:top w:val="none" w:sz="0" w:space="0" w:color="auto"/>
                        <w:left w:val="none" w:sz="0" w:space="0" w:color="auto"/>
                        <w:bottom w:val="none" w:sz="0" w:space="0" w:color="auto"/>
                        <w:right w:val="none" w:sz="0" w:space="0" w:color="auto"/>
                      </w:divBdr>
                    </w:div>
                  </w:divsChild>
                </w:div>
                <w:div w:id="440685188">
                  <w:marLeft w:val="0"/>
                  <w:marRight w:val="0"/>
                  <w:marTop w:val="0"/>
                  <w:marBottom w:val="0"/>
                  <w:divBdr>
                    <w:top w:val="none" w:sz="0" w:space="0" w:color="auto"/>
                    <w:left w:val="none" w:sz="0" w:space="0" w:color="auto"/>
                    <w:bottom w:val="none" w:sz="0" w:space="0" w:color="auto"/>
                    <w:right w:val="none" w:sz="0" w:space="0" w:color="auto"/>
                  </w:divBdr>
                  <w:divsChild>
                    <w:div w:id="1339892669">
                      <w:marLeft w:val="0"/>
                      <w:marRight w:val="0"/>
                      <w:marTop w:val="0"/>
                      <w:marBottom w:val="0"/>
                      <w:divBdr>
                        <w:top w:val="none" w:sz="0" w:space="0" w:color="auto"/>
                        <w:left w:val="none" w:sz="0" w:space="0" w:color="auto"/>
                        <w:bottom w:val="none" w:sz="0" w:space="0" w:color="auto"/>
                        <w:right w:val="none" w:sz="0" w:space="0" w:color="auto"/>
                      </w:divBdr>
                    </w:div>
                  </w:divsChild>
                </w:div>
                <w:div w:id="802696582">
                  <w:marLeft w:val="0"/>
                  <w:marRight w:val="0"/>
                  <w:marTop w:val="0"/>
                  <w:marBottom w:val="0"/>
                  <w:divBdr>
                    <w:top w:val="none" w:sz="0" w:space="0" w:color="auto"/>
                    <w:left w:val="none" w:sz="0" w:space="0" w:color="auto"/>
                    <w:bottom w:val="none" w:sz="0" w:space="0" w:color="auto"/>
                    <w:right w:val="none" w:sz="0" w:space="0" w:color="auto"/>
                  </w:divBdr>
                  <w:divsChild>
                    <w:div w:id="80100587">
                      <w:marLeft w:val="0"/>
                      <w:marRight w:val="0"/>
                      <w:marTop w:val="0"/>
                      <w:marBottom w:val="0"/>
                      <w:divBdr>
                        <w:top w:val="none" w:sz="0" w:space="0" w:color="auto"/>
                        <w:left w:val="none" w:sz="0" w:space="0" w:color="auto"/>
                        <w:bottom w:val="none" w:sz="0" w:space="0" w:color="auto"/>
                        <w:right w:val="none" w:sz="0" w:space="0" w:color="auto"/>
                      </w:divBdr>
                    </w:div>
                  </w:divsChild>
                </w:div>
                <w:div w:id="1175922122">
                  <w:marLeft w:val="0"/>
                  <w:marRight w:val="0"/>
                  <w:marTop w:val="0"/>
                  <w:marBottom w:val="0"/>
                  <w:divBdr>
                    <w:top w:val="none" w:sz="0" w:space="0" w:color="auto"/>
                    <w:left w:val="none" w:sz="0" w:space="0" w:color="auto"/>
                    <w:bottom w:val="none" w:sz="0" w:space="0" w:color="auto"/>
                    <w:right w:val="none" w:sz="0" w:space="0" w:color="auto"/>
                  </w:divBdr>
                  <w:divsChild>
                    <w:div w:id="1160001261">
                      <w:marLeft w:val="0"/>
                      <w:marRight w:val="0"/>
                      <w:marTop w:val="0"/>
                      <w:marBottom w:val="0"/>
                      <w:divBdr>
                        <w:top w:val="none" w:sz="0" w:space="0" w:color="auto"/>
                        <w:left w:val="none" w:sz="0" w:space="0" w:color="auto"/>
                        <w:bottom w:val="none" w:sz="0" w:space="0" w:color="auto"/>
                        <w:right w:val="none" w:sz="0" w:space="0" w:color="auto"/>
                      </w:divBdr>
                    </w:div>
                  </w:divsChild>
                </w:div>
                <w:div w:id="1234704110">
                  <w:marLeft w:val="0"/>
                  <w:marRight w:val="0"/>
                  <w:marTop w:val="0"/>
                  <w:marBottom w:val="0"/>
                  <w:divBdr>
                    <w:top w:val="none" w:sz="0" w:space="0" w:color="auto"/>
                    <w:left w:val="none" w:sz="0" w:space="0" w:color="auto"/>
                    <w:bottom w:val="none" w:sz="0" w:space="0" w:color="auto"/>
                    <w:right w:val="none" w:sz="0" w:space="0" w:color="auto"/>
                  </w:divBdr>
                  <w:divsChild>
                    <w:div w:id="421340485">
                      <w:marLeft w:val="0"/>
                      <w:marRight w:val="0"/>
                      <w:marTop w:val="0"/>
                      <w:marBottom w:val="0"/>
                      <w:divBdr>
                        <w:top w:val="none" w:sz="0" w:space="0" w:color="auto"/>
                        <w:left w:val="none" w:sz="0" w:space="0" w:color="auto"/>
                        <w:bottom w:val="none" w:sz="0" w:space="0" w:color="auto"/>
                        <w:right w:val="none" w:sz="0" w:space="0" w:color="auto"/>
                      </w:divBdr>
                    </w:div>
                  </w:divsChild>
                </w:div>
                <w:div w:id="1305044510">
                  <w:marLeft w:val="0"/>
                  <w:marRight w:val="0"/>
                  <w:marTop w:val="0"/>
                  <w:marBottom w:val="0"/>
                  <w:divBdr>
                    <w:top w:val="none" w:sz="0" w:space="0" w:color="auto"/>
                    <w:left w:val="none" w:sz="0" w:space="0" w:color="auto"/>
                    <w:bottom w:val="none" w:sz="0" w:space="0" w:color="auto"/>
                    <w:right w:val="none" w:sz="0" w:space="0" w:color="auto"/>
                  </w:divBdr>
                  <w:divsChild>
                    <w:div w:id="1932814162">
                      <w:marLeft w:val="0"/>
                      <w:marRight w:val="0"/>
                      <w:marTop w:val="0"/>
                      <w:marBottom w:val="0"/>
                      <w:divBdr>
                        <w:top w:val="none" w:sz="0" w:space="0" w:color="auto"/>
                        <w:left w:val="none" w:sz="0" w:space="0" w:color="auto"/>
                        <w:bottom w:val="none" w:sz="0" w:space="0" w:color="auto"/>
                        <w:right w:val="none" w:sz="0" w:space="0" w:color="auto"/>
                      </w:divBdr>
                    </w:div>
                  </w:divsChild>
                </w:div>
                <w:div w:id="1313173944">
                  <w:marLeft w:val="0"/>
                  <w:marRight w:val="0"/>
                  <w:marTop w:val="0"/>
                  <w:marBottom w:val="0"/>
                  <w:divBdr>
                    <w:top w:val="none" w:sz="0" w:space="0" w:color="auto"/>
                    <w:left w:val="none" w:sz="0" w:space="0" w:color="auto"/>
                    <w:bottom w:val="none" w:sz="0" w:space="0" w:color="auto"/>
                    <w:right w:val="none" w:sz="0" w:space="0" w:color="auto"/>
                  </w:divBdr>
                  <w:divsChild>
                    <w:div w:id="1055082803">
                      <w:marLeft w:val="0"/>
                      <w:marRight w:val="0"/>
                      <w:marTop w:val="0"/>
                      <w:marBottom w:val="0"/>
                      <w:divBdr>
                        <w:top w:val="none" w:sz="0" w:space="0" w:color="auto"/>
                        <w:left w:val="none" w:sz="0" w:space="0" w:color="auto"/>
                        <w:bottom w:val="none" w:sz="0" w:space="0" w:color="auto"/>
                        <w:right w:val="none" w:sz="0" w:space="0" w:color="auto"/>
                      </w:divBdr>
                    </w:div>
                  </w:divsChild>
                </w:div>
                <w:div w:id="1798066033">
                  <w:marLeft w:val="0"/>
                  <w:marRight w:val="0"/>
                  <w:marTop w:val="0"/>
                  <w:marBottom w:val="0"/>
                  <w:divBdr>
                    <w:top w:val="none" w:sz="0" w:space="0" w:color="auto"/>
                    <w:left w:val="none" w:sz="0" w:space="0" w:color="auto"/>
                    <w:bottom w:val="none" w:sz="0" w:space="0" w:color="auto"/>
                    <w:right w:val="none" w:sz="0" w:space="0" w:color="auto"/>
                  </w:divBdr>
                  <w:divsChild>
                    <w:div w:id="1142766649">
                      <w:marLeft w:val="0"/>
                      <w:marRight w:val="0"/>
                      <w:marTop w:val="0"/>
                      <w:marBottom w:val="0"/>
                      <w:divBdr>
                        <w:top w:val="none" w:sz="0" w:space="0" w:color="auto"/>
                        <w:left w:val="none" w:sz="0" w:space="0" w:color="auto"/>
                        <w:bottom w:val="none" w:sz="0" w:space="0" w:color="auto"/>
                        <w:right w:val="none" w:sz="0" w:space="0" w:color="auto"/>
                      </w:divBdr>
                    </w:div>
                  </w:divsChild>
                </w:div>
                <w:div w:id="1892496843">
                  <w:marLeft w:val="0"/>
                  <w:marRight w:val="0"/>
                  <w:marTop w:val="0"/>
                  <w:marBottom w:val="0"/>
                  <w:divBdr>
                    <w:top w:val="none" w:sz="0" w:space="0" w:color="auto"/>
                    <w:left w:val="none" w:sz="0" w:space="0" w:color="auto"/>
                    <w:bottom w:val="none" w:sz="0" w:space="0" w:color="auto"/>
                    <w:right w:val="none" w:sz="0" w:space="0" w:color="auto"/>
                  </w:divBdr>
                  <w:divsChild>
                    <w:div w:id="648025292">
                      <w:marLeft w:val="0"/>
                      <w:marRight w:val="0"/>
                      <w:marTop w:val="0"/>
                      <w:marBottom w:val="0"/>
                      <w:divBdr>
                        <w:top w:val="none" w:sz="0" w:space="0" w:color="auto"/>
                        <w:left w:val="none" w:sz="0" w:space="0" w:color="auto"/>
                        <w:bottom w:val="none" w:sz="0" w:space="0" w:color="auto"/>
                        <w:right w:val="none" w:sz="0" w:space="0" w:color="auto"/>
                      </w:divBdr>
                    </w:div>
                  </w:divsChild>
                </w:div>
                <w:div w:id="1893423896">
                  <w:marLeft w:val="0"/>
                  <w:marRight w:val="0"/>
                  <w:marTop w:val="0"/>
                  <w:marBottom w:val="0"/>
                  <w:divBdr>
                    <w:top w:val="none" w:sz="0" w:space="0" w:color="auto"/>
                    <w:left w:val="none" w:sz="0" w:space="0" w:color="auto"/>
                    <w:bottom w:val="none" w:sz="0" w:space="0" w:color="auto"/>
                    <w:right w:val="none" w:sz="0" w:space="0" w:color="auto"/>
                  </w:divBdr>
                  <w:divsChild>
                    <w:div w:id="66829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146949">
          <w:marLeft w:val="0"/>
          <w:marRight w:val="0"/>
          <w:marTop w:val="0"/>
          <w:marBottom w:val="0"/>
          <w:divBdr>
            <w:top w:val="none" w:sz="0" w:space="0" w:color="auto"/>
            <w:left w:val="none" w:sz="0" w:space="0" w:color="auto"/>
            <w:bottom w:val="none" w:sz="0" w:space="0" w:color="auto"/>
            <w:right w:val="none" w:sz="0" w:space="0" w:color="auto"/>
          </w:divBdr>
        </w:div>
      </w:divsChild>
    </w:div>
    <w:div w:id="1544058650">
      <w:bodyDiv w:val="1"/>
      <w:marLeft w:val="0"/>
      <w:marRight w:val="0"/>
      <w:marTop w:val="0"/>
      <w:marBottom w:val="0"/>
      <w:divBdr>
        <w:top w:val="none" w:sz="0" w:space="0" w:color="auto"/>
        <w:left w:val="none" w:sz="0" w:space="0" w:color="auto"/>
        <w:bottom w:val="none" w:sz="0" w:space="0" w:color="auto"/>
        <w:right w:val="none" w:sz="0" w:space="0" w:color="auto"/>
      </w:divBdr>
    </w:div>
    <w:div w:id="1826164835">
      <w:bodyDiv w:val="1"/>
      <w:marLeft w:val="0"/>
      <w:marRight w:val="0"/>
      <w:marTop w:val="0"/>
      <w:marBottom w:val="0"/>
      <w:divBdr>
        <w:top w:val="none" w:sz="0" w:space="0" w:color="auto"/>
        <w:left w:val="none" w:sz="0" w:space="0" w:color="auto"/>
        <w:bottom w:val="none" w:sz="0" w:space="0" w:color="auto"/>
        <w:right w:val="none" w:sz="0" w:space="0" w:color="auto"/>
      </w:divBdr>
    </w:div>
    <w:div w:id="1869829665">
      <w:bodyDiv w:val="1"/>
      <w:marLeft w:val="0"/>
      <w:marRight w:val="0"/>
      <w:marTop w:val="0"/>
      <w:marBottom w:val="0"/>
      <w:divBdr>
        <w:top w:val="none" w:sz="0" w:space="0" w:color="auto"/>
        <w:left w:val="none" w:sz="0" w:space="0" w:color="auto"/>
        <w:bottom w:val="none" w:sz="0" w:space="0" w:color="auto"/>
        <w:right w:val="none" w:sz="0" w:space="0" w:color="auto"/>
      </w:divBdr>
    </w:div>
    <w:div w:id="2017151638">
      <w:bodyDiv w:val="1"/>
      <w:marLeft w:val="0"/>
      <w:marRight w:val="0"/>
      <w:marTop w:val="0"/>
      <w:marBottom w:val="0"/>
      <w:divBdr>
        <w:top w:val="none" w:sz="0" w:space="0" w:color="auto"/>
        <w:left w:val="none" w:sz="0" w:space="0" w:color="auto"/>
        <w:bottom w:val="none" w:sz="0" w:space="0" w:color="auto"/>
        <w:right w:val="none" w:sz="0" w:space="0" w:color="auto"/>
      </w:divBdr>
    </w:div>
    <w:div w:id="2143111206">
      <w:bodyDiv w:val="1"/>
      <w:marLeft w:val="0"/>
      <w:marRight w:val="0"/>
      <w:marTop w:val="0"/>
      <w:marBottom w:val="0"/>
      <w:divBdr>
        <w:top w:val="none" w:sz="0" w:space="0" w:color="auto"/>
        <w:left w:val="none" w:sz="0" w:space="0" w:color="auto"/>
        <w:bottom w:val="none" w:sz="0" w:space="0" w:color="auto"/>
        <w:right w:val="none" w:sz="0" w:space="0" w:color="auto"/>
      </w:divBdr>
    </w:div>
    <w:div w:id="2143617055">
      <w:bodyDiv w:val="1"/>
      <w:marLeft w:val="0"/>
      <w:marRight w:val="0"/>
      <w:marTop w:val="0"/>
      <w:marBottom w:val="0"/>
      <w:divBdr>
        <w:top w:val="none" w:sz="0" w:space="0" w:color="auto"/>
        <w:left w:val="none" w:sz="0" w:space="0" w:color="auto"/>
        <w:bottom w:val="none" w:sz="0" w:space="0" w:color="auto"/>
        <w:right w:val="none" w:sz="0" w:space="0" w:color="auto"/>
      </w:divBdr>
      <w:divsChild>
        <w:div w:id="950016876">
          <w:marLeft w:val="0"/>
          <w:marRight w:val="0"/>
          <w:marTop w:val="0"/>
          <w:marBottom w:val="0"/>
          <w:divBdr>
            <w:top w:val="none" w:sz="0" w:space="0" w:color="auto"/>
            <w:left w:val="none" w:sz="0" w:space="0" w:color="auto"/>
            <w:bottom w:val="none" w:sz="0" w:space="0" w:color="auto"/>
            <w:right w:val="none" w:sz="0" w:space="0" w:color="auto"/>
          </w:divBdr>
        </w:div>
        <w:div w:id="1908606064">
          <w:marLeft w:val="0"/>
          <w:marRight w:val="0"/>
          <w:marTop w:val="0"/>
          <w:marBottom w:val="0"/>
          <w:divBdr>
            <w:top w:val="none" w:sz="0" w:space="0" w:color="auto"/>
            <w:left w:val="none" w:sz="0" w:space="0" w:color="auto"/>
            <w:bottom w:val="none" w:sz="0" w:space="0" w:color="auto"/>
            <w:right w:val="none" w:sz="0" w:space="0" w:color="auto"/>
          </w:divBdr>
          <w:divsChild>
            <w:div w:id="206839433">
              <w:marLeft w:val="-75"/>
              <w:marRight w:val="0"/>
              <w:marTop w:val="30"/>
              <w:marBottom w:val="30"/>
              <w:divBdr>
                <w:top w:val="none" w:sz="0" w:space="0" w:color="auto"/>
                <w:left w:val="none" w:sz="0" w:space="0" w:color="auto"/>
                <w:bottom w:val="none" w:sz="0" w:space="0" w:color="auto"/>
                <w:right w:val="none" w:sz="0" w:space="0" w:color="auto"/>
              </w:divBdr>
              <w:divsChild>
                <w:div w:id="54551456">
                  <w:marLeft w:val="0"/>
                  <w:marRight w:val="0"/>
                  <w:marTop w:val="0"/>
                  <w:marBottom w:val="0"/>
                  <w:divBdr>
                    <w:top w:val="none" w:sz="0" w:space="0" w:color="auto"/>
                    <w:left w:val="none" w:sz="0" w:space="0" w:color="auto"/>
                    <w:bottom w:val="none" w:sz="0" w:space="0" w:color="auto"/>
                    <w:right w:val="none" w:sz="0" w:space="0" w:color="auto"/>
                  </w:divBdr>
                  <w:divsChild>
                    <w:div w:id="1842742265">
                      <w:marLeft w:val="0"/>
                      <w:marRight w:val="0"/>
                      <w:marTop w:val="0"/>
                      <w:marBottom w:val="0"/>
                      <w:divBdr>
                        <w:top w:val="none" w:sz="0" w:space="0" w:color="auto"/>
                        <w:left w:val="none" w:sz="0" w:space="0" w:color="auto"/>
                        <w:bottom w:val="none" w:sz="0" w:space="0" w:color="auto"/>
                        <w:right w:val="none" w:sz="0" w:space="0" w:color="auto"/>
                      </w:divBdr>
                    </w:div>
                  </w:divsChild>
                </w:div>
                <w:div w:id="135806011">
                  <w:marLeft w:val="0"/>
                  <w:marRight w:val="0"/>
                  <w:marTop w:val="0"/>
                  <w:marBottom w:val="0"/>
                  <w:divBdr>
                    <w:top w:val="none" w:sz="0" w:space="0" w:color="auto"/>
                    <w:left w:val="none" w:sz="0" w:space="0" w:color="auto"/>
                    <w:bottom w:val="none" w:sz="0" w:space="0" w:color="auto"/>
                    <w:right w:val="none" w:sz="0" w:space="0" w:color="auto"/>
                  </w:divBdr>
                  <w:divsChild>
                    <w:div w:id="489298512">
                      <w:marLeft w:val="0"/>
                      <w:marRight w:val="0"/>
                      <w:marTop w:val="0"/>
                      <w:marBottom w:val="0"/>
                      <w:divBdr>
                        <w:top w:val="none" w:sz="0" w:space="0" w:color="auto"/>
                        <w:left w:val="none" w:sz="0" w:space="0" w:color="auto"/>
                        <w:bottom w:val="none" w:sz="0" w:space="0" w:color="auto"/>
                        <w:right w:val="none" w:sz="0" w:space="0" w:color="auto"/>
                      </w:divBdr>
                    </w:div>
                  </w:divsChild>
                </w:div>
                <w:div w:id="315036143">
                  <w:marLeft w:val="0"/>
                  <w:marRight w:val="0"/>
                  <w:marTop w:val="0"/>
                  <w:marBottom w:val="0"/>
                  <w:divBdr>
                    <w:top w:val="none" w:sz="0" w:space="0" w:color="auto"/>
                    <w:left w:val="none" w:sz="0" w:space="0" w:color="auto"/>
                    <w:bottom w:val="none" w:sz="0" w:space="0" w:color="auto"/>
                    <w:right w:val="none" w:sz="0" w:space="0" w:color="auto"/>
                  </w:divBdr>
                  <w:divsChild>
                    <w:div w:id="1675260599">
                      <w:marLeft w:val="0"/>
                      <w:marRight w:val="0"/>
                      <w:marTop w:val="0"/>
                      <w:marBottom w:val="0"/>
                      <w:divBdr>
                        <w:top w:val="none" w:sz="0" w:space="0" w:color="auto"/>
                        <w:left w:val="none" w:sz="0" w:space="0" w:color="auto"/>
                        <w:bottom w:val="none" w:sz="0" w:space="0" w:color="auto"/>
                        <w:right w:val="none" w:sz="0" w:space="0" w:color="auto"/>
                      </w:divBdr>
                    </w:div>
                  </w:divsChild>
                </w:div>
                <w:div w:id="339432857">
                  <w:marLeft w:val="0"/>
                  <w:marRight w:val="0"/>
                  <w:marTop w:val="0"/>
                  <w:marBottom w:val="0"/>
                  <w:divBdr>
                    <w:top w:val="none" w:sz="0" w:space="0" w:color="auto"/>
                    <w:left w:val="none" w:sz="0" w:space="0" w:color="auto"/>
                    <w:bottom w:val="none" w:sz="0" w:space="0" w:color="auto"/>
                    <w:right w:val="none" w:sz="0" w:space="0" w:color="auto"/>
                  </w:divBdr>
                  <w:divsChild>
                    <w:div w:id="1506240983">
                      <w:marLeft w:val="0"/>
                      <w:marRight w:val="0"/>
                      <w:marTop w:val="0"/>
                      <w:marBottom w:val="0"/>
                      <w:divBdr>
                        <w:top w:val="none" w:sz="0" w:space="0" w:color="auto"/>
                        <w:left w:val="none" w:sz="0" w:space="0" w:color="auto"/>
                        <w:bottom w:val="none" w:sz="0" w:space="0" w:color="auto"/>
                        <w:right w:val="none" w:sz="0" w:space="0" w:color="auto"/>
                      </w:divBdr>
                    </w:div>
                  </w:divsChild>
                </w:div>
                <w:div w:id="511996720">
                  <w:marLeft w:val="0"/>
                  <w:marRight w:val="0"/>
                  <w:marTop w:val="0"/>
                  <w:marBottom w:val="0"/>
                  <w:divBdr>
                    <w:top w:val="none" w:sz="0" w:space="0" w:color="auto"/>
                    <w:left w:val="none" w:sz="0" w:space="0" w:color="auto"/>
                    <w:bottom w:val="none" w:sz="0" w:space="0" w:color="auto"/>
                    <w:right w:val="none" w:sz="0" w:space="0" w:color="auto"/>
                  </w:divBdr>
                  <w:divsChild>
                    <w:div w:id="1203984978">
                      <w:marLeft w:val="0"/>
                      <w:marRight w:val="0"/>
                      <w:marTop w:val="0"/>
                      <w:marBottom w:val="0"/>
                      <w:divBdr>
                        <w:top w:val="none" w:sz="0" w:space="0" w:color="auto"/>
                        <w:left w:val="none" w:sz="0" w:space="0" w:color="auto"/>
                        <w:bottom w:val="none" w:sz="0" w:space="0" w:color="auto"/>
                        <w:right w:val="none" w:sz="0" w:space="0" w:color="auto"/>
                      </w:divBdr>
                    </w:div>
                  </w:divsChild>
                </w:div>
                <w:div w:id="578563585">
                  <w:marLeft w:val="0"/>
                  <w:marRight w:val="0"/>
                  <w:marTop w:val="0"/>
                  <w:marBottom w:val="0"/>
                  <w:divBdr>
                    <w:top w:val="none" w:sz="0" w:space="0" w:color="auto"/>
                    <w:left w:val="none" w:sz="0" w:space="0" w:color="auto"/>
                    <w:bottom w:val="none" w:sz="0" w:space="0" w:color="auto"/>
                    <w:right w:val="none" w:sz="0" w:space="0" w:color="auto"/>
                  </w:divBdr>
                  <w:divsChild>
                    <w:div w:id="1250777645">
                      <w:marLeft w:val="0"/>
                      <w:marRight w:val="0"/>
                      <w:marTop w:val="0"/>
                      <w:marBottom w:val="0"/>
                      <w:divBdr>
                        <w:top w:val="none" w:sz="0" w:space="0" w:color="auto"/>
                        <w:left w:val="none" w:sz="0" w:space="0" w:color="auto"/>
                        <w:bottom w:val="none" w:sz="0" w:space="0" w:color="auto"/>
                        <w:right w:val="none" w:sz="0" w:space="0" w:color="auto"/>
                      </w:divBdr>
                    </w:div>
                  </w:divsChild>
                </w:div>
                <w:div w:id="714699634">
                  <w:marLeft w:val="0"/>
                  <w:marRight w:val="0"/>
                  <w:marTop w:val="0"/>
                  <w:marBottom w:val="0"/>
                  <w:divBdr>
                    <w:top w:val="none" w:sz="0" w:space="0" w:color="auto"/>
                    <w:left w:val="none" w:sz="0" w:space="0" w:color="auto"/>
                    <w:bottom w:val="none" w:sz="0" w:space="0" w:color="auto"/>
                    <w:right w:val="none" w:sz="0" w:space="0" w:color="auto"/>
                  </w:divBdr>
                  <w:divsChild>
                    <w:div w:id="479082681">
                      <w:marLeft w:val="0"/>
                      <w:marRight w:val="0"/>
                      <w:marTop w:val="0"/>
                      <w:marBottom w:val="0"/>
                      <w:divBdr>
                        <w:top w:val="none" w:sz="0" w:space="0" w:color="auto"/>
                        <w:left w:val="none" w:sz="0" w:space="0" w:color="auto"/>
                        <w:bottom w:val="none" w:sz="0" w:space="0" w:color="auto"/>
                        <w:right w:val="none" w:sz="0" w:space="0" w:color="auto"/>
                      </w:divBdr>
                    </w:div>
                  </w:divsChild>
                </w:div>
                <w:div w:id="1296911287">
                  <w:marLeft w:val="0"/>
                  <w:marRight w:val="0"/>
                  <w:marTop w:val="0"/>
                  <w:marBottom w:val="0"/>
                  <w:divBdr>
                    <w:top w:val="none" w:sz="0" w:space="0" w:color="auto"/>
                    <w:left w:val="none" w:sz="0" w:space="0" w:color="auto"/>
                    <w:bottom w:val="none" w:sz="0" w:space="0" w:color="auto"/>
                    <w:right w:val="none" w:sz="0" w:space="0" w:color="auto"/>
                  </w:divBdr>
                  <w:divsChild>
                    <w:div w:id="574168705">
                      <w:marLeft w:val="0"/>
                      <w:marRight w:val="0"/>
                      <w:marTop w:val="0"/>
                      <w:marBottom w:val="0"/>
                      <w:divBdr>
                        <w:top w:val="none" w:sz="0" w:space="0" w:color="auto"/>
                        <w:left w:val="none" w:sz="0" w:space="0" w:color="auto"/>
                        <w:bottom w:val="none" w:sz="0" w:space="0" w:color="auto"/>
                        <w:right w:val="none" w:sz="0" w:space="0" w:color="auto"/>
                      </w:divBdr>
                    </w:div>
                  </w:divsChild>
                </w:div>
                <w:div w:id="1551569716">
                  <w:marLeft w:val="0"/>
                  <w:marRight w:val="0"/>
                  <w:marTop w:val="0"/>
                  <w:marBottom w:val="0"/>
                  <w:divBdr>
                    <w:top w:val="none" w:sz="0" w:space="0" w:color="auto"/>
                    <w:left w:val="none" w:sz="0" w:space="0" w:color="auto"/>
                    <w:bottom w:val="none" w:sz="0" w:space="0" w:color="auto"/>
                    <w:right w:val="none" w:sz="0" w:space="0" w:color="auto"/>
                  </w:divBdr>
                  <w:divsChild>
                    <w:div w:id="519202792">
                      <w:marLeft w:val="0"/>
                      <w:marRight w:val="0"/>
                      <w:marTop w:val="0"/>
                      <w:marBottom w:val="0"/>
                      <w:divBdr>
                        <w:top w:val="none" w:sz="0" w:space="0" w:color="auto"/>
                        <w:left w:val="none" w:sz="0" w:space="0" w:color="auto"/>
                        <w:bottom w:val="none" w:sz="0" w:space="0" w:color="auto"/>
                        <w:right w:val="none" w:sz="0" w:space="0" w:color="auto"/>
                      </w:divBdr>
                    </w:div>
                  </w:divsChild>
                </w:div>
                <w:div w:id="2008244825">
                  <w:marLeft w:val="0"/>
                  <w:marRight w:val="0"/>
                  <w:marTop w:val="0"/>
                  <w:marBottom w:val="0"/>
                  <w:divBdr>
                    <w:top w:val="none" w:sz="0" w:space="0" w:color="auto"/>
                    <w:left w:val="none" w:sz="0" w:space="0" w:color="auto"/>
                    <w:bottom w:val="none" w:sz="0" w:space="0" w:color="auto"/>
                    <w:right w:val="none" w:sz="0" w:space="0" w:color="auto"/>
                  </w:divBdr>
                  <w:divsChild>
                    <w:div w:id="200023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ata.europa.eu/eli/treaty/char_2012/oj" TargetMode="External"/><Relationship Id="rId22" Type="http://schemas.openxmlformats.org/officeDocument/2006/relationships/hyperlink" Target="http://data.europa.eu/eli/reg/2016/679/oj"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law/better-regulation/have-your-say/initiatives/13790-European-Capital-of-Culture-interim-evaluation-for-2024/public-consultation_ro" TargetMode="External"/><Relationship Id="rId13" Type="http://schemas.openxmlformats.org/officeDocument/2006/relationships/hyperlink" Target="https://eur-lex.europa.eu/legal-content/RO/TXT/PDF/?uri=COM:2025:785:FIN" TargetMode="External"/><Relationship Id="rId18" Type="http://schemas.openxmlformats.org/officeDocument/2006/relationships/hyperlink" Target="https://www.consilium.europa.eu/en/press/press-releases/2017/03/25/rome-declaration/" TargetMode="External"/><Relationship Id="rId26" Type="http://schemas.openxmlformats.org/officeDocument/2006/relationships/hyperlink" Target="https://eur-lex.europa.eu/legal-content/EN/TXT/PDF/?uri=CELEX:52025DC0587" TargetMode="External"/><Relationship Id="rId3" Type="http://schemas.openxmlformats.org/officeDocument/2006/relationships/hyperlink" Target="http://data.europa.eu/eli/dec/2014/445(1)/oj" TargetMode="External"/><Relationship Id="rId21" Type="http://schemas.openxmlformats.org/officeDocument/2006/relationships/hyperlink" Target="https://eur-lex.europa.eu/legal-content/RO/TXT/PDF/?uri=CELEX:52025DC0739" TargetMode="External"/><Relationship Id="rId7" Type="http://schemas.openxmlformats.org/officeDocument/2006/relationships/hyperlink" Target="https://eur-lex.europa.eu/legal-content/RO/TXT/?uri=celex:52025DC0587" TargetMode="External"/><Relationship Id="rId12" Type="http://schemas.openxmlformats.org/officeDocument/2006/relationships/hyperlink" Target="http://data.europa.eu/eli/treaty/char_2016/oj" TargetMode="External"/><Relationship Id="rId17" Type="http://schemas.openxmlformats.org/officeDocument/2006/relationships/hyperlink" Target="https://eur-lex.europa.eu/legal-content/EN/TXT/?uri=CELEX:52016JC0029" TargetMode="External"/><Relationship Id="rId25" Type="http://schemas.openxmlformats.org/officeDocument/2006/relationships/hyperlink" Target="https://eur-lex.europa.eu/legal-content/RO/TXT/PDF/?uri=CELEX:52026DC0110" TargetMode="External"/><Relationship Id="rId2" Type="http://schemas.openxmlformats.org/officeDocument/2006/relationships/hyperlink" Target="http://data.europa.eu/eli/dec/2006/1622/oj" TargetMode="External"/><Relationship Id="rId16" Type="http://schemas.openxmlformats.org/officeDocument/2006/relationships/hyperlink" Target="http://data.europa.eu/eli/dec/2014/445(1)/oj" TargetMode="External"/><Relationship Id="rId20" Type="http://schemas.openxmlformats.org/officeDocument/2006/relationships/hyperlink" Target="https://eur-lex.europa.eu/legal-content/RO/TXT/PDF/?uri=CONSIL:ST_9128_2026_INIT" TargetMode="External"/><Relationship Id="rId29" Type="http://schemas.openxmlformats.org/officeDocument/2006/relationships/hyperlink" Target="http://data.europa.eu/eli/agree_interinstit/2016/512/oj" TargetMode="External"/><Relationship Id="rId1" Type="http://schemas.openxmlformats.org/officeDocument/2006/relationships/hyperlink" Target="http://data.europa.eu/eli/dec/1999/1419/oj" TargetMode="External"/><Relationship Id="rId6" Type="http://schemas.openxmlformats.org/officeDocument/2006/relationships/hyperlink" Target="https://www.consilium.europa.eu/media/4aldqfl2/2024_557_new-strategic-agenda.pdf" TargetMode="External"/><Relationship Id="rId11" Type="http://schemas.openxmlformats.org/officeDocument/2006/relationships/hyperlink" Target="https://chemnitz2025.de/fileadmin/khs/02_PROGRAMM/01_EMoD_European_Makers_of_Democracy/40_Jahre_Europ%C3%A4ische_Kulturhauptst%C3%A4dte_Europas/Chemnitz_Whitebook_-_40_Recommendations_from_40_years_of_ECoC.pdf" TargetMode="External"/><Relationship Id="rId24" Type="http://schemas.openxmlformats.org/officeDocument/2006/relationships/hyperlink" Target="https://eur-lex.europa.eu/legal-content/RO/TXT/?uri=celex:52025JC0791" TargetMode="External"/><Relationship Id="rId5" Type="http://schemas.openxmlformats.org/officeDocument/2006/relationships/hyperlink" Target="https://new-european-bauhaus.europa.eu/new-european-bauhaus-vision-implementation_en" TargetMode="External"/><Relationship Id="rId15" Type="http://schemas.openxmlformats.org/officeDocument/2006/relationships/hyperlink" Target="https://www.unesco.org/en/legal-affairs/convention-protection-and-promotion-diversity-cultural-expressions?hub=66920" TargetMode="External"/><Relationship Id="rId23" Type="http://schemas.openxmlformats.org/officeDocument/2006/relationships/hyperlink" Target="https://eur-lex.europa.eu/legal-content/RO/TXT/?uri=celex:52025JC0791" TargetMode="External"/><Relationship Id="rId28" Type="http://schemas.openxmlformats.org/officeDocument/2006/relationships/hyperlink" Target="https://eur-lex.europa.eu/eli/agree_interinstit/2016/512/oj/eng" TargetMode="External"/><Relationship Id="rId10" Type="http://schemas.openxmlformats.org/officeDocument/2006/relationships/hyperlink" Target="https://eurocities.eu/" TargetMode="External"/><Relationship Id="rId19" Type="http://schemas.openxmlformats.org/officeDocument/2006/relationships/hyperlink" Target="https://webgate.ec.testa.eu/docfinder/external.php?url=https://eur-lex.europa.eu/legal-content/RO/TXT/PDF/?uri=CELEX:52025DC1026" TargetMode="External"/><Relationship Id="rId4" Type="http://schemas.openxmlformats.org/officeDocument/2006/relationships/hyperlink" Target="https://eur-lex.europa.eu/legal-content/RO/TXT/PDF/?uri=COM:2025:785:FIN" TargetMode="External"/><Relationship Id="rId9" Type="http://schemas.openxmlformats.org/officeDocument/2006/relationships/hyperlink" Target="https://culturenext.eu/" TargetMode="External"/><Relationship Id="rId14" Type="http://schemas.openxmlformats.org/officeDocument/2006/relationships/hyperlink" Target="http://data.europa.eu/eli/C/2026/3440/oj" TargetMode="External"/><Relationship Id="rId22" Type="http://schemas.openxmlformats.org/officeDocument/2006/relationships/hyperlink" Target="https://eur-lex.europa.eu/legal-content/RO/TXT/PDF/?uri=CELEX:52025DC0739" TargetMode="External"/><Relationship Id="rId27" Type="http://schemas.openxmlformats.org/officeDocument/2006/relationships/hyperlink" Target="https://ec.europa.eu/info/law/better-regulation/have-your-say/initiatives/13790-European-Capital-of-Culture-interim-evaluation-for-2024/public-consultation_ro" TargetMode="External"/><Relationship Id="rId30" Type="http://schemas.openxmlformats.org/officeDocument/2006/relationships/hyperlink" Target="https://eur-lex.europa.eu/eli/treaty/char_2012/oj/e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0DCB9447BD744ABB7779D87DFF2D13" ma:contentTypeVersion="7" ma:contentTypeDescription="Create a new document." ma:contentTypeScope="" ma:versionID="3062159384d74c8470b62dccd090f7e9">
  <xsd:schema xmlns:xsd="http://www.w3.org/2001/XMLSchema" xmlns:xs="http://www.w3.org/2001/XMLSchema" xmlns:p="http://schemas.microsoft.com/office/2006/metadata/properties" xmlns:ns2="2df98db3-3620-4103-92c3-581a907270ee" targetNamespace="http://schemas.microsoft.com/office/2006/metadata/properties" ma:root="true" ma:fieldsID="ccf417248524ab4ce32642199498b059" ns2:_="">
    <xsd:import namespace="2df98db3-3620-4103-92c3-581a90727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f98db3-3620-4103-92c3-581a907270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DC1254-5DE5-4048-9E9E-B9CDB8CF61B1}">
  <ds:schemaRefs>
    <ds:schemaRef ds:uri="http://schemas.openxmlformats.org/officeDocument/2006/bibliography"/>
  </ds:schemaRefs>
</ds:datastoreItem>
</file>

<file path=customXml/itemProps2.xml><?xml version="1.0" encoding="utf-8"?>
<ds:datastoreItem xmlns:ds="http://schemas.openxmlformats.org/officeDocument/2006/customXml" ds:itemID="{F719833E-F9C5-4C9E-8033-2CE256D748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0C06E37-63C5-4296-80C2-BFFF7BA14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f98db3-3620-4103-92c3-581a907270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664971-522B-4AD4-A7C3-39B4B50319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23</TotalTime>
  <Pages>17</Pages>
  <Words>14535</Words>
  <Characters>82853</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97194</CharactersWithSpaces>
  <SharedDoc>false</SharedDoc>
  <HLinks>
    <vt:vector size="186" baseType="variant">
      <vt:variant>
        <vt:i4>4915224</vt:i4>
      </vt:variant>
      <vt:variant>
        <vt:i4>6</vt:i4>
      </vt:variant>
      <vt:variant>
        <vt:i4>0</vt:i4>
      </vt:variant>
      <vt:variant>
        <vt:i4>5</vt:i4>
      </vt:variant>
      <vt:variant>
        <vt:lpwstr>http://data.europa.eu/eli/reg/2016/679/oj</vt:lpwstr>
      </vt:variant>
      <vt:variant>
        <vt:lpwstr/>
      </vt:variant>
      <vt:variant>
        <vt:i4>3997765</vt:i4>
      </vt:variant>
      <vt:variant>
        <vt:i4>0</vt:i4>
      </vt:variant>
      <vt:variant>
        <vt:i4>0</vt:i4>
      </vt:variant>
      <vt:variant>
        <vt:i4>5</vt:i4>
      </vt:variant>
      <vt:variant>
        <vt:lpwstr>http://data.europa.eu/eli/treaty/char_2012/oj</vt:lpwstr>
      </vt:variant>
      <vt:variant>
        <vt:lpwstr/>
      </vt:variant>
      <vt:variant>
        <vt:i4>7012352</vt:i4>
      </vt:variant>
      <vt:variant>
        <vt:i4>102</vt:i4>
      </vt:variant>
      <vt:variant>
        <vt:i4>0</vt:i4>
      </vt:variant>
      <vt:variant>
        <vt:i4>5</vt:i4>
      </vt:variant>
      <vt:variant>
        <vt:lpwstr>https://eur-lex.europa.eu/eli/treaty/char_2012/oj/eng</vt:lpwstr>
      </vt:variant>
      <vt:variant>
        <vt:lpwstr/>
      </vt:variant>
      <vt:variant>
        <vt:i4>196732</vt:i4>
      </vt:variant>
      <vt:variant>
        <vt:i4>99</vt:i4>
      </vt:variant>
      <vt:variant>
        <vt:i4>0</vt:i4>
      </vt:variant>
      <vt:variant>
        <vt:i4>5</vt:i4>
      </vt:variant>
      <vt:variant>
        <vt:lpwstr>http://data.europa.eu/eli/agree_interinstit/2016/512/oj</vt:lpwstr>
      </vt:variant>
      <vt:variant>
        <vt:lpwstr/>
      </vt:variant>
      <vt:variant>
        <vt:i4>5570617</vt:i4>
      </vt:variant>
      <vt:variant>
        <vt:i4>96</vt:i4>
      </vt:variant>
      <vt:variant>
        <vt:i4>0</vt:i4>
      </vt:variant>
      <vt:variant>
        <vt:i4>5</vt:i4>
      </vt:variant>
      <vt:variant>
        <vt:lpwstr>https://eur-lex.europa.eu/eli/agree_interinstit/2016/512/oj/eng</vt:lpwstr>
      </vt:variant>
      <vt:variant>
        <vt:lpwstr/>
      </vt:variant>
      <vt:variant>
        <vt:i4>4718642</vt:i4>
      </vt:variant>
      <vt:variant>
        <vt:i4>90</vt:i4>
      </vt:variant>
      <vt:variant>
        <vt:i4>0</vt:i4>
      </vt:variant>
      <vt:variant>
        <vt:i4>5</vt:i4>
      </vt:variant>
      <vt:variant>
        <vt:lpwstr>https://ec.europa.eu/info/law/better-regulation/have-your-say/initiatives/13790-European-Capital-of-Culture-interim-evaluation-for-2024/public-consultation_en</vt:lpwstr>
      </vt:variant>
      <vt:variant>
        <vt:lpwstr/>
      </vt:variant>
      <vt:variant>
        <vt:i4>1966175</vt:i4>
      </vt:variant>
      <vt:variant>
        <vt:i4>87</vt:i4>
      </vt:variant>
      <vt:variant>
        <vt:i4>0</vt:i4>
      </vt:variant>
      <vt:variant>
        <vt:i4>5</vt:i4>
      </vt:variant>
      <vt:variant>
        <vt:lpwstr>https://eur-lex.europa.eu/legal-content/EN/TXT/PDF/?uri=CELEX:52025DC0587</vt:lpwstr>
      </vt:variant>
      <vt:variant>
        <vt:lpwstr/>
      </vt:variant>
      <vt:variant>
        <vt:i4>1310767</vt:i4>
      </vt:variant>
      <vt:variant>
        <vt:i4>84</vt:i4>
      </vt:variant>
      <vt:variant>
        <vt:i4>0</vt:i4>
      </vt:variant>
      <vt:variant>
        <vt:i4>5</vt:i4>
      </vt:variant>
      <vt:variant>
        <vt:lpwstr>https://ec.europa.eu/assets/eac/intergenerational-fairness-communication/intergenerational_fairness_strategy_layout.pdf</vt:lpwstr>
      </vt:variant>
      <vt:variant>
        <vt:lpwstr/>
      </vt:variant>
      <vt:variant>
        <vt:i4>8323190</vt:i4>
      </vt:variant>
      <vt:variant>
        <vt:i4>81</vt:i4>
      </vt:variant>
      <vt:variant>
        <vt:i4>0</vt:i4>
      </vt:variant>
      <vt:variant>
        <vt:i4>5</vt:i4>
      </vt:variant>
      <vt:variant>
        <vt:lpwstr>European Democracy Shield: Empowering Strong and Resilient Democracies - JOIN(2025) 791</vt:lpwstr>
      </vt:variant>
      <vt:variant>
        <vt:lpwstr/>
      </vt:variant>
      <vt:variant>
        <vt:i4>5636215</vt:i4>
      </vt:variant>
      <vt:variant>
        <vt:i4>78</vt:i4>
      </vt:variant>
      <vt:variant>
        <vt:i4>0</vt:i4>
      </vt:variant>
      <vt:variant>
        <vt:i4>5</vt:i4>
      </vt:variant>
      <vt:variant>
        <vt:lpwstr>https://ec.europa.eu/regional_policy/sources/communication/2025-cities-agenda/2025-cities-agenda-communication.pdf</vt:lpwstr>
      </vt:variant>
      <vt:variant>
        <vt:lpwstr/>
      </vt:variant>
      <vt:variant>
        <vt:i4>6750215</vt:i4>
      </vt:variant>
      <vt:variant>
        <vt:i4>75</vt:i4>
      </vt:variant>
      <vt:variant>
        <vt:i4>0</vt:i4>
      </vt:variant>
      <vt:variant>
        <vt:i4>5</vt:i4>
      </vt:variant>
      <vt:variant>
        <vt:lpwstr>https://new-european-bauhaus.europa.eu/document/download/0d1e674a-9caa-47d1-9cbd-e1376bdda3ef_en?filename=COUNCIL%20RECOMMENDATION%20PROPOSAL%20New%20European%20Bauhaus.pdf</vt:lpwstr>
      </vt:variant>
      <vt:variant>
        <vt:lpwstr/>
      </vt:variant>
      <vt:variant>
        <vt:i4>2228283</vt:i4>
      </vt:variant>
      <vt:variant>
        <vt:i4>72</vt:i4>
      </vt:variant>
      <vt:variant>
        <vt:i4>0</vt:i4>
      </vt:variant>
      <vt:variant>
        <vt:i4>5</vt:i4>
      </vt:variant>
      <vt:variant>
        <vt:lpwstr>https://new-european-bauhaus.europa.eu/document/download/659d8ea3-edd7-4d7f-bc4c-17162f0d6e4a_en?filename=COMMUNICATION%20New%20European%20Bauhaus_0.pdf</vt:lpwstr>
      </vt:variant>
      <vt:variant>
        <vt:lpwstr/>
      </vt:variant>
      <vt:variant>
        <vt:i4>6029384</vt:i4>
      </vt:variant>
      <vt:variant>
        <vt:i4>60</vt:i4>
      </vt:variant>
      <vt:variant>
        <vt:i4>0</vt:i4>
      </vt:variant>
      <vt:variant>
        <vt:i4>5</vt:i4>
      </vt:variant>
      <vt:variant>
        <vt:lpwstr>http://data.europa.eu/eli/dec/2014/445(1)/oj</vt:lpwstr>
      </vt:variant>
      <vt:variant>
        <vt:lpwstr/>
      </vt:variant>
      <vt:variant>
        <vt:i4>5111889</vt:i4>
      </vt:variant>
      <vt:variant>
        <vt:i4>57</vt:i4>
      </vt:variant>
      <vt:variant>
        <vt:i4>0</vt:i4>
      </vt:variant>
      <vt:variant>
        <vt:i4>5</vt:i4>
      </vt:variant>
      <vt:variant>
        <vt:lpwstr>https://www.unesco.org/en/legal-affairs/convention-protection-and-promotion-diversity-cultural-expressions?hub=66920</vt:lpwstr>
      </vt:variant>
      <vt:variant>
        <vt:lpwstr/>
      </vt:variant>
      <vt:variant>
        <vt:i4>786462</vt:i4>
      </vt:variant>
      <vt:variant>
        <vt:i4>54</vt:i4>
      </vt:variant>
      <vt:variant>
        <vt:i4>0</vt:i4>
      </vt:variant>
      <vt:variant>
        <vt:i4>5</vt:i4>
      </vt:variant>
      <vt:variant>
        <vt:lpwstr>http://data.europa.eu/eli/C/2026/3440/oj</vt:lpwstr>
      </vt:variant>
      <vt:variant>
        <vt:lpwstr/>
      </vt:variant>
      <vt:variant>
        <vt:i4>1179665</vt:i4>
      </vt:variant>
      <vt:variant>
        <vt:i4>48</vt:i4>
      </vt:variant>
      <vt:variant>
        <vt:i4>0</vt:i4>
      </vt:variant>
      <vt:variant>
        <vt:i4>5</vt:i4>
      </vt:variant>
      <vt:variant>
        <vt:lpwstr>https://eur-lex.europa.eu/legal-content/EN/TXT/PDF/?uri=COM:2025:785:FIN</vt:lpwstr>
      </vt:variant>
      <vt:variant>
        <vt:lpwstr/>
      </vt:variant>
      <vt:variant>
        <vt:i4>3735621</vt:i4>
      </vt:variant>
      <vt:variant>
        <vt:i4>39</vt:i4>
      </vt:variant>
      <vt:variant>
        <vt:i4>0</vt:i4>
      </vt:variant>
      <vt:variant>
        <vt:i4>5</vt:i4>
      </vt:variant>
      <vt:variant>
        <vt:lpwstr>http://data.europa.eu/eli/treaty/char_2016/oj</vt:lpwstr>
      </vt:variant>
      <vt:variant>
        <vt:lpwstr/>
      </vt:variant>
      <vt:variant>
        <vt:i4>3473426</vt:i4>
      </vt:variant>
      <vt:variant>
        <vt:i4>36</vt:i4>
      </vt:variant>
      <vt:variant>
        <vt:i4>0</vt:i4>
      </vt:variant>
      <vt:variant>
        <vt:i4>5</vt:i4>
      </vt:variant>
      <vt:variant>
        <vt:lpwstr>https://chemnitz2025.de/fileadmin/khs/02_PROGRAMM/01_EMoD_European_Makers_of_Democracy/40_Jahre_Europ%C3%A4ische_Kulturhauptst%C3%A4dte_Europas/Chemnitz_Whitebook_-_40_Recommendations_from_40_years_of_ECoC.pdf</vt:lpwstr>
      </vt:variant>
      <vt:variant>
        <vt:lpwstr/>
      </vt:variant>
      <vt:variant>
        <vt:i4>3276926</vt:i4>
      </vt:variant>
      <vt:variant>
        <vt:i4>33</vt:i4>
      </vt:variant>
      <vt:variant>
        <vt:i4>0</vt:i4>
      </vt:variant>
      <vt:variant>
        <vt:i4>5</vt:i4>
      </vt:variant>
      <vt:variant>
        <vt:lpwstr>https://eurocities.eu/</vt:lpwstr>
      </vt:variant>
      <vt:variant>
        <vt:lpwstr/>
      </vt:variant>
      <vt:variant>
        <vt:i4>3080235</vt:i4>
      </vt:variant>
      <vt:variant>
        <vt:i4>30</vt:i4>
      </vt:variant>
      <vt:variant>
        <vt:i4>0</vt:i4>
      </vt:variant>
      <vt:variant>
        <vt:i4>5</vt:i4>
      </vt:variant>
      <vt:variant>
        <vt:lpwstr>https://culturenext.eu/</vt:lpwstr>
      </vt:variant>
      <vt:variant>
        <vt:lpwstr/>
      </vt:variant>
      <vt:variant>
        <vt:i4>4718642</vt:i4>
      </vt:variant>
      <vt:variant>
        <vt:i4>27</vt:i4>
      </vt:variant>
      <vt:variant>
        <vt:i4>0</vt:i4>
      </vt:variant>
      <vt:variant>
        <vt:i4>5</vt:i4>
      </vt:variant>
      <vt:variant>
        <vt:lpwstr>https://ec.europa.eu/info/law/better-regulation/have-your-say/initiatives/13790-European-Capital-of-Culture-interim-evaluation-for-2024/public-consultation_en</vt:lpwstr>
      </vt:variant>
      <vt:variant>
        <vt:lpwstr/>
      </vt:variant>
      <vt:variant>
        <vt:i4>524308</vt:i4>
      </vt:variant>
      <vt:variant>
        <vt:i4>24</vt:i4>
      </vt:variant>
      <vt:variant>
        <vt:i4>0</vt:i4>
      </vt:variant>
      <vt:variant>
        <vt:i4>5</vt:i4>
      </vt:variant>
      <vt:variant>
        <vt:lpwstr>https://eur-lex.europa.eu/legal-content/EN/TXT/?uri=celex:52025DC0587</vt:lpwstr>
      </vt:variant>
      <vt:variant>
        <vt:lpwstr/>
      </vt:variant>
      <vt:variant>
        <vt:i4>3866635</vt:i4>
      </vt:variant>
      <vt:variant>
        <vt:i4>21</vt:i4>
      </vt:variant>
      <vt:variant>
        <vt:i4>0</vt:i4>
      </vt:variant>
      <vt:variant>
        <vt:i4>5</vt:i4>
      </vt:variant>
      <vt:variant>
        <vt:lpwstr>https://new-european-bauhaus.europa.eu/new-european-bauhaus-vision-implementation_en</vt:lpwstr>
      </vt:variant>
      <vt:variant>
        <vt:lpwstr/>
      </vt:variant>
      <vt:variant>
        <vt:i4>1179665</vt:i4>
      </vt:variant>
      <vt:variant>
        <vt:i4>15</vt:i4>
      </vt:variant>
      <vt:variant>
        <vt:i4>0</vt:i4>
      </vt:variant>
      <vt:variant>
        <vt:i4>5</vt:i4>
      </vt:variant>
      <vt:variant>
        <vt:lpwstr>https://eur-lex.europa.eu/legal-content/EN/TXT/PDF/?uri=COM:2025:785:FIN</vt:lpwstr>
      </vt:variant>
      <vt:variant>
        <vt:lpwstr/>
      </vt:variant>
      <vt:variant>
        <vt:i4>6029384</vt:i4>
      </vt:variant>
      <vt:variant>
        <vt:i4>12</vt:i4>
      </vt:variant>
      <vt:variant>
        <vt:i4>0</vt:i4>
      </vt:variant>
      <vt:variant>
        <vt:i4>5</vt:i4>
      </vt:variant>
      <vt:variant>
        <vt:lpwstr>http://data.europa.eu/eli/dec/2014/445(1)/oj</vt:lpwstr>
      </vt:variant>
      <vt:variant>
        <vt:lpwstr/>
      </vt:variant>
      <vt:variant>
        <vt:i4>7143544</vt:i4>
      </vt:variant>
      <vt:variant>
        <vt:i4>9</vt:i4>
      </vt:variant>
      <vt:variant>
        <vt:i4>0</vt:i4>
      </vt:variant>
      <vt:variant>
        <vt:i4>5</vt:i4>
      </vt:variant>
      <vt:variant>
        <vt:lpwstr>http://data.europa.eu/eli/dec/2006/1622/oj</vt:lpwstr>
      </vt:variant>
      <vt:variant>
        <vt:lpwstr/>
      </vt:variant>
      <vt:variant>
        <vt:i4>6815867</vt:i4>
      </vt:variant>
      <vt:variant>
        <vt:i4>3</vt:i4>
      </vt:variant>
      <vt:variant>
        <vt:i4>0</vt:i4>
      </vt:variant>
      <vt:variant>
        <vt:i4>5</vt:i4>
      </vt:variant>
      <vt:variant>
        <vt:lpwstr>http://data.europa.eu/eli/dec/1999/1419/oj</vt:lpwstr>
      </vt:variant>
      <vt:variant>
        <vt:lpwstr/>
      </vt:variant>
      <vt:variant>
        <vt:i4>1310732</vt:i4>
      </vt:variant>
      <vt:variant>
        <vt:i4>9</vt:i4>
      </vt:variant>
      <vt:variant>
        <vt:i4>0</vt:i4>
      </vt:variant>
      <vt:variant>
        <vt:i4>5</vt:i4>
      </vt:variant>
      <vt:variant>
        <vt:lpwstr>https://dictionary.cambridge.org/dictionary/english/prejudge</vt:lpwstr>
      </vt:variant>
      <vt:variant>
        <vt:lpwstr/>
      </vt:variant>
      <vt:variant>
        <vt:i4>3735563</vt:i4>
      </vt:variant>
      <vt:variant>
        <vt:i4>6</vt:i4>
      </vt:variant>
      <vt:variant>
        <vt:i4>0</vt:i4>
      </vt:variant>
      <vt:variant>
        <vt:i4>5</vt:i4>
      </vt:variant>
      <vt:variant>
        <vt:lpwstr>https://commission.europa.eu/priorities-2024-2029_en</vt:lpwstr>
      </vt:variant>
      <vt:variant>
        <vt:lpwstr/>
      </vt:variant>
      <vt:variant>
        <vt:i4>1507418</vt:i4>
      </vt:variant>
      <vt:variant>
        <vt:i4>3</vt:i4>
      </vt:variant>
      <vt:variant>
        <vt:i4>0</vt:i4>
      </vt:variant>
      <vt:variant>
        <vt:i4>5</vt:i4>
      </vt:variant>
      <vt:variant>
        <vt:lpwstr>https://www.consilium.europa.eu/media/4aldqfl2/2024_557_new-strategic-agenda.pdf</vt:lpwstr>
      </vt:variant>
      <vt:variant>
        <vt:lpwstr/>
      </vt:variant>
      <vt:variant>
        <vt:i4>4194394</vt:i4>
      </vt:variant>
      <vt:variant>
        <vt:i4>0</vt:i4>
      </vt:variant>
      <vt:variant>
        <vt:i4>0</vt:i4>
      </vt:variant>
      <vt:variant>
        <vt:i4>5</vt:i4>
      </vt:variant>
      <vt:variant>
        <vt:lpwstr>https://webgate.ec.europa.eu/fpfis/wikis/pages/viewpage.action?pageId=343284722&amp;spaceKey=dap&amp;title=Rules%2Bon%2Bciting%2BActs%2Bof%2Bthe%2BUnion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37</cp:revision>
  <dcterms:created xsi:type="dcterms:W3CDTF">2026-08-27T13:40:00Z</dcterms:created>
  <dcterms:modified xsi:type="dcterms:W3CDTF">2026-09-09T15:25:00Z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2026-06-01T12:52:48Z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3dbf2b59-9e19-4f71-9b8a-ff69d1dd6ac3</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0x0101001D0DCB9447BD744ABB7779D87DFF2D13</vt:lpwstr>
  </property>
  <property fmtid="{D5CDD505-2E9C-101B-9397-08002B2CF9AE}" pid="19" name="MediaServiceImageTags">
    <vt:lpwstr/>
  </property>
  <property fmtid="{D5CDD505-2E9C-101B-9397-08002B2CF9AE}" pid="20" name="DQCStatus">
    <vt:lpwstr>Green (DQC version 03)</vt:lpwstr>
  </property>
</Properties>
</file>