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Pagedecouverture"/>
        <w:rPr>
          <w:noProof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alt="B818B318-B051-45CB-B65E-55A54A295351" style="width:455.25pt;height:354.75pt">
            <v:imagedata r:id="rId10" o:title=""/>
          </v:shape>
        </w:pict>
      </w:r>
    </w:p>
    <w:p>
      <w:pPr>
        <w:rPr>
          <w:noProof/>
        </w:rPr>
        <w:sectPr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7" w:h="16839"/>
          <w:pgMar w:top="1134" w:right="1417" w:bottom="1134" w:left="1417" w:header="709" w:footer="709" w:gutter="0"/>
          <w:pgNumType w:start="0"/>
          <w:cols w:space="720"/>
          <w:docGrid w:linePitch="360"/>
        </w:sectPr>
      </w:pPr>
    </w:p>
    <w:p>
      <w:pPr>
        <w:pStyle w:val="Annexetitre"/>
        <w:rPr>
          <w:noProof/>
        </w:rPr>
      </w:pPr>
      <w:r>
        <w:rPr>
          <w:noProof/>
        </w:rPr>
        <w:lastRenderedPageBreak/>
        <w:t xml:space="preserve">ANEXĂ </w:t>
      </w:r>
    </w:p>
    <w:p>
      <w:pPr>
        <w:pStyle w:val="Annexetitreexpos"/>
        <w:rPr>
          <w:noProof/>
          <w:u w:val="none"/>
        </w:rPr>
      </w:pPr>
    </w:p>
    <w:p>
      <w:pPr>
        <w:pStyle w:val="Annexetitreexpos"/>
        <w:rPr>
          <w:noProof/>
          <w:u w:val="none"/>
        </w:rPr>
      </w:pPr>
      <w:r>
        <w:rPr>
          <w:noProof/>
          <w:u w:val="none"/>
        </w:rPr>
        <w:t>Ordine de abilitare pentru a nominaliza o „Capitală europeană a culturii”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6"/>
        <w:gridCol w:w="1397"/>
        <w:gridCol w:w="1417"/>
        <w:gridCol w:w="5779"/>
      </w:tblGrid>
      <w:tr>
        <w:tc>
          <w:tcPr>
            <w:tcW w:w="696" w:type="dxa"/>
            <w:vAlign w:val="center"/>
          </w:tcPr>
          <w:p>
            <w:pPr>
              <w:jc w:val="center"/>
              <w:rPr>
                <w:noProof/>
              </w:rPr>
            </w:pPr>
            <w:r>
              <w:rPr>
                <w:noProof/>
              </w:rPr>
              <w:t>2034</w:t>
            </w:r>
          </w:p>
        </w:tc>
        <w:tc>
          <w:tcPr>
            <w:tcW w:w="1397" w:type="dxa"/>
            <w:vAlign w:val="center"/>
          </w:tcPr>
          <w:p>
            <w:pPr>
              <w:jc w:val="left"/>
              <w:rPr>
                <w:noProof/>
              </w:rPr>
            </w:pPr>
            <w:r>
              <w:rPr>
                <w:noProof/>
              </w:rPr>
              <w:t>Croația</w:t>
            </w:r>
          </w:p>
        </w:tc>
        <w:tc>
          <w:tcPr>
            <w:tcW w:w="1417" w:type="dxa"/>
            <w:vAlign w:val="center"/>
          </w:tcPr>
          <w:p>
            <w:pPr>
              <w:jc w:val="left"/>
              <w:rPr>
                <w:noProof/>
              </w:rPr>
            </w:pPr>
            <w:r>
              <w:rPr>
                <w:noProof/>
              </w:rPr>
              <w:t>România</w:t>
            </w:r>
          </w:p>
        </w:tc>
        <w:tc>
          <w:tcPr>
            <w:tcW w:w="5779" w:type="dxa"/>
            <w:vAlign w:val="center"/>
          </w:tcPr>
          <w:p>
            <w:pPr>
              <w:jc w:val="left"/>
              <w:rPr>
                <w:noProof/>
              </w:rPr>
            </w:pPr>
          </w:p>
        </w:tc>
      </w:tr>
      <w:tr>
        <w:tc>
          <w:tcPr>
            <w:tcW w:w="696" w:type="dxa"/>
            <w:vAlign w:val="center"/>
          </w:tcPr>
          <w:p>
            <w:pPr>
              <w:jc w:val="center"/>
              <w:rPr>
                <w:noProof/>
              </w:rPr>
            </w:pPr>
            <w:r>
              <w:rPr>
                <w:noProof/>
              </w:rPr>
              <w:t>2035</w:t>
            </w:r>
          </w:p>
        </w:tc>
        <w:tc>
          <w:tcPr>
            <w:tcW w:w="1397" w:type="dxa"/>
            <w:vAlign w:val="center"/>
          </w:tcPr>
          <w:p>
            <w:pPr>
              <w:jc w:val="left"/>
              <w:rPr>
                <w:noProof/>
              </w:rPr>
            </w:pPr>
            <w:r>
              <w:rPr>
                <w:noProof/>
              </w:rPr>
              <w:t>Irlanda</w:t>
            </w:r>
          </w:p>
        </w:tc>
        <w:tc>
          <w:tcPr>
            <w:tcW w:w="1417" w:type="dxa"/>
            <w:vAlign w:val="center"/>
          </w:tcPr>
          <w:p>
            <w:pPr>
              <w:jc w:val="left"/>
              <w:rPr>
                <w:noProof/>
              </w:rPr>
            </w:pPr>
            <w:r>
              <w:rPr>
                <w:noProof/>
              </w:rPr>
              <w:t>Grecia</w:t>
            </w:r>
          </w:p>
        </w:tc>
        <w:tc>
          <w:tcPr>
            <w:tcW w:w="5779" w:type="dxa"/>
            <w:vAlign w:val="center"/>
          </w:tcPr>
          <w:p>
            <w:pPr>
              <w:jc w:val="left"/>
              <w:rPr>
                <w:noProof/>
              </w:rPr>
            </w:pPr>
          </w:p>
        </w:tc>
      </w:tr>
      <w:tr>
        <w:tc>
          <w:tcPr>
            <w:tcW w:w="696" w:type="dxa"/>
            <w:vAlign w:val="center"/>
          </w:tcPr>
          <w:p>
            <w:pPr>
              <w:jc w:val="center"/>
              <w:rPr>
                <w:noProof/>
              </w:rPr>
            </w:pPr>
            <w:r>
              <w:rPr>
                <w:noProof/>
              </w:rPr>
              <w:t>2036</w:t>
            </w:r>
          </w:p>
        </w:tc>
        <w:tc>
          <w:tcPr>
            <w:tcW w:w="1397" w:type="dxa"/>
            <w:vAlign w:val="center"/>
          </w:tcPr>
          <w:p>
            <w:pPr>
              <w:jc w:val="left"/>
              <w:rPr>
                <w:noProof/>
              </w:rPr>
            </w:pPr>
            <w:r>
              <w:rPr>
                <w:noProof/>
              </w:rPr>
              <w:t>Lituania</w:t>
            </w:r>
          </w:p>
        </w:tc>
        <w:tc>
          <w:tcPr>
            <w:tcW w:w="1417" w:type="dxa"/>
            <w:vAlign w:val="center"/>
          </w:tcPr>
          <w:p>
            <w:pPr>
              <w:jc w:val="left"/>
              <w:rPr>
                <w:noProof/>
              </w:rPr>
            </w:pPr>
            <w:r>
              <w:rPr>
                <w:noProof/>
              </w:rPr>
              <w:t>Austria</w:t>
            </w:r>
          </w:p>
        </w:tc>
        <w:tc>
          <w:tcPr>
            <w:tcW w:w="5779" w:type="dxa"/>
            <w:vAlign w:val="center"/>
          </w:tcPr>
          <w:p>
            <w:pPr>
              <w:rPr>
                <w:noProof/>
              </w:rPr>
            </w:pPr>
            <w:r>
              <w:rPr>
                <w:noProof/>
              </w:rPr>
              <w:t xml:space="preserve">Țară AELS/SEE, țară candidată ori potențial candidată sau țară terță asociată componentei „Europa creativă – Cultură” a programului AgoraEU sau programelor ulterioare de sprijinire a culturii ale Uniunii. </w:t>
            </w:r>
          </w:p>
        </w:tc>
      </w:tr>
      <w:tr>
        <w:tc>
          <w:tcPr>
            <w:tcW w:w="696" w:type="dxa"/>
            <w:vAlign w:val="center"/>
          </w:tcPr>
          <w:p>
            <w:pPr>
              <w:jc w:val="center"/>
              <w:rPr>
                <w:noProof/>
              </w:rPr>
            </w:pPr>
            <w:r>
              <w:rPr>
                <w:noProof/>
              </w:rPr>
              <w:t>2037</w:t>
            </w:r>
          </w:p>
        </w:tc>
        <w:tc>
          <w:tcPr>
            <w:tcW w:w="1397" w:type="dxa"/>
            <w:vAlign w:val="center"/>
          </w:tcPr>
          <w:p>
            <w:pPr>
              <w:jc w:val="left"/>
              <w:rPr>
                <w:noProof/>
              </w:rPr>
            </w:pPr>
            <w:r>
              <w:rPr>
                <w:noProof/>
              </w:rPr>
              <w:t>Ungaria</w:t>
            </w:r>
          </w:p>
        </w:tc>
        <w:tc>
          <w:tcPr>
            <w:tcW w:w="1417" w:type="dxa"/>
            <w:vAlign w:val="center"/>
          </w:tcPr>
          <w:p>
            <w:pPr>
              <w:jc w:val="left"/>
              <w:rPr>
                <w:noProof/>
              </w:rPr>
            </w:pPr>
            <w:r>
              <w:rPr>
                <w:noProof/>
              </w:rPr>
              <w:t>Luxemburg</w:t>
            </w:r>
          </w:p>
        </w:tc>
        <w:tc>
          <w:tcPr>
            <w:tcW w:w="5779" w:type="dxa"/>
            <w:vAlign w:val="center"/>
          </w:tcPr>
          <w:p>
            <w:pPr>
              <w:rPr>
                <w:noProof/>
              </w:rPr>
            </w:pPr>
          </w:p>
        </w:tc>
      </w:tr>
      <w:tr>
        <w:tc>
          <w:tcPr>
            <w:tcW w:w="696" w:type="dxa"/>
            <w:vAlign w:val="center"/>
          </w:tcPr>
          <w:p>
            <w:pPr>
              <w:jc w:val="center"/>
              <w:rPr>
                <w:noProof/>
              </w:rPr>
            </w:pPr>
            <w:r>
              <w:rPr>
                <w:noProof/>
              </w:rPr>
              <w:t>2038</w:t>
            </w:r>
          </w:p>
        </w:tc>
        <w:tc>
          <w:tcPr>
            <w:tcW w:w="1397" w:type="dxa"/>
            <w:vAlign w:val="center"/>
          </w:tcPr>
          <w:p>
            <w:pPr>
              <w:jc w:val="left"/>
              <w:rPr>
                <w:noProof/>
              </w:rPr>
            </w:pPr>
            <w:r>
              <w:rPr>
                <w:noProof/>
              </w:rPr>
              <w:t>Estonia</w:t>
            </w:r>
          </w:p>
        </w:tc>
        <w:tc>
          <w:tcPr>
            <w:tcW w:w="1417" w:type="dxa"/>
            <w:vAlign w:val="center"/>
          </w:tcPr>
          <w:p>
            <w:pPr>
              <w:jc w:val="left"/>
              <w:rPr>
                <w:noProof/>
              </w:rPr>
            </w:pPr>
            <w:r>
              <w:rPr>
                <w:noProof/>
              </w:rPr>
              <w:t>Germania</w:t>
            </w:r>
          </w:p>
        </w:tc>
        <w:tc>
          <w:tcPr>
            <w:tcW w:w="5779" w:type="dxa"/>
            <w:vAlign w:val="center"/>
          </w:tcPr>
          <w:p>
            <w:pPr>
              <w:rPr>
                <w:noProof/>
              </w:rPr>
            </w:pPr>
            <w:r>
              <w:rPr>
                <w:noProof/>
              </w:rPr>
              <w:t>Țară AELS/SEE, țară candidată ori potențial candidată sau țară terță asociată componentei „Europa creativă – Cultură” a programului AgoraEU sau programelor ulterioare de sprijinire a culturii ale Uniunii.</w:t>
            </w:r>
          </w:p>
        </w:tc>
      </w:tr>
      <w:tr>
        <w:tc>
          <w:tcPr>
            <w:tcW w:w="696" w:type="dxa"/>
            <w:vAlign w:val="center"/>
          </w:tcPr>
          <w:p>
            <w:pPr>
              <w:jc w:val="center"/>
              <w:rPr>
                <w:noProof/>
              </w:rPr>
            </w:pPr>
            <w:r>
              <w:rPr>
                <w:noProof/>
              </w:rPr>
              <w:t>2039</w:t>
            </w:r>
          </w:p>
        </w:tc>
        <w:tc>
          <w:tcPr>
            <w:tcW w:w="1397" w:type="dxa"/>
            <w:vAlign w:val="center"/>
          </w:tcPr>
          <w:p>
            <w:pPr>
              <w:jc w:val="left"/>
              <w:rPr>
                <w:noProof/>
              </w:rPr>
            </w:pPr>
            <w:r>
              <w:rPr>
                <w:noProof/>
              </w:rPr>
              <w:t>Letonia</w:t>
            </w:r>
          </w:p>
        </w:tc>
        <w:tc>
          <w:tcPr>
            <w:tcW w:w="1417" w:type="dxa"/>
            <w:vAlign w:val="center"/>
          </w:tcPr>
          <w:p>
            <w:pPr>
              <w:jc w:val="left"/>
              <w:rPr>
                <w:noProof/>
              </w:rPr>
            </w:pPr>
            <w:r>
              <w:rPr>
                <w:noProof/>
              </w:rPr>
              <w:t>Finlanda</w:t>
            </w:r>
          </w:p>
        </w:tc>
        <w:tc>
          <w:tcPr>
            <w:tcW w:w="5779" w:type="dxa"/>
            <w:vAlign w:val="center"/>
          </w:tcPr>
          <w:p>
            <w:pPr>
              <w:rPr>
                <w:noProof/>
              </w:rPr>
            </w:pPr>
          </w:p>
        </w:tc>
      </w:tr>
      <w:tr>
        <w:tc>
          <w:tcPr>
            <w:tcW w:w="696" w:type="dxa"/>
            <w:vAlign w:val="center"/>
          </w:tcPr>
          <w:p>
            <w:pPr>
              <w:jc w:val="center"/>
              <w:rPr>
                <w:noProof/>
              </w:rPr>
            </w:pPr>
            <w:r>
              <w:rPr>
                <w:noProof/>
              </w:rPr>
              <w:t>2040</w:t>
            </w:r>
          </w:p>
        </w:tc>
        <w:tc>
          <w:tcPr>
            <w:tcW w:w="1397" w:type="dxa"/>
            <w:vAlign w:val="center"/>
          </w:tcPr>
          <w:p>
            <w:pPr>
              <w:jc w:val="left"/>
              <w:rPr>
                <w:noProof/>
              </w:rPr>
            </w:pPr>
            <w:r>
              <w:rPr>
                <w:noProof/>
              </w:rPr>
              <w:t>Slovacia</w:t>
            </w:r>
          </w:p>
        </w:tc>
        <w:tc>
          <w:tcPr>
            <w:tcW w:w="1417" w:type="dxa"/>
            <w:vAlign w:val="center"/>
          </w:tcPr>
          <w:p>
            <w:pPr>
              <w:jc w:val="left"/>
              <w:rPr>
                <w:noProof/>
              </w:rPr>
            </w:pPr>
            <w:r>
              <w:rPr>
                <w:noProof/>
              </w:rPr>
              <w:t>Portugalia</w:t>
            </w:r>
          </w:p>
        </w:tc>
        <w:tc>
          <w:tcPr>
            <w:tcW w:w="5779" w:type="dxa"/>
            <w:vAlign w:val="center"/>
          </w:tcPr>
          <w:p>
            <w:pPr>
              <w:rPr>
                <w:noProof/>
              </w:rPr>
            </w:pPr>
          </w:p>
        </w:tc>
      </w:tr>
      <w:tr>
        <w:tc>
          <w:tcPr>
            <w:tcW w:w="696" w:type="dxa"/>
            <w:vAlign w:val="center"/>
          </w:tcPr>
          <w:p>
            <w:pPr>
              <w:jc w:val="center"/>
              <w:rPr>
                <w:noProof/>
              </w:rPr>
            </w:pPr>
            <w:r>
              <w:rPr>
                <w:noProof/>
              </w:rPr>
              <w:t>2041</w:t>
            </w:r>
          </w:p>
        </w:tc>
        <w:tc>
          <w:tcPr>
            <w:tcW w:w="1397" w:type="dxa"/>
            <w:vAlign w:val="center"/>
          </w:tcPr>
          <w:p>
            <w:pPr>
              <w:jc w:val="left"/>
              <w:rPr>
                <w:noProof/>
              </w:rPr>
            </w:pPr>
            <w:r>
              <w:rPr>
                <w:noProof/>
              </w:rPr>
              <w:t>Slovenia</w:t>
            </w:r>
          </w:p>
        </w:tc>
        <w:tc>
          <w:tcPr>
            <w:tcW w:w="1417" w:type="dxa"/>
            <w:vAlign w:val="center"/>
          </w:tcPr>
          <w:p>
            <w:pPr>
              <w:jc w:val="left"/>
              <w:rPr>
                <w:noProof/>
              </w:rPr>
            </w:pPr>
            <w:r>
              <w:rPr>
                <w:noProof/>
              </w:rPr>
              <w:t>Franța</w:t>
            </w:r>
          </w:p>
        </w:tc>
        <w:tc>
          <w:tcPr>
            <w:tcW w:w="5779" w:type="dxa"/>
            <w:vAlign w:val="center"/>
          </w:tcPr>
          <w:p>
            <w:pPr>
              <w:rPr>
                <w:noProof/>
              </w:rPr>
            </w:pPr>
            <w:r>
              <w:rPr>
                <w:noProof/>
              </w:rPr>
              <w:t>Țară AELS/SEE, țară candidată ori potențial candidată sau țară terță asociată componentei „Europa creativă – Cultură” a programului AgoraEU sau programelor ulterioare de sprijinire a culturii ale Uniunii.</w:t>
            </w:r>
          </w:p>
        </w:tc>
      </w:tr>
      <w:tr>
        <w:tc>
          <w:tcPr>
            <w:tcW w:w="696" w:type="dxa"/>
            <w:vAlign w:val="center"/>
          </w:tcPr>
          <w:p>
            <w:pPr>
              <w:jc w:val="center"/>
              <w:rPr>
                <w:noProof/>
              </w:rPr>
            </w:pPr>
            <w:r>
              <w:rPr>
                <w:noProof/>
              </w:rPr>
              <w:t>2042</w:t>
            </w:r>
          </w:p>
        </w:tc>
        <w:tc>
          <w:tcPr>
            <w:tcW w:w="1397" w:type="dxa"/>
            <w:vAlign w:val="center"/>
          </w:tcPr>
          <w:p>
            <w:pPr>
              <w:jc w:val="left"/>
              <w:rPr>
                <w:noProof/>
              </w:rPr>
            </w:pPr>
            <w:r>
              <w:rPr>
                <w:noProof/>
              </w:rPr>
              <w:t>Cehia</w:t>
            </w:r>
          </w:p>
        </w:tc>
        <w:tc>
          <w:tcPr>
            <w:tcW w:w="1417" w:type="dxa"/>
            <w:vAlign w:val="center"/>
          </w:tcPr>
          <w:p>
            <w:pPr>
              <w:jc w:val="left"/>
              <w:rPr>
                <w:noProof/>
              </w:rPr>
            </w:pPr>
            <w:r>
              <w:rPr>
                <w:noProof/>
              </w:rPr>
              <w:t>Suedia</w:t>
            </w:r>
          </w:p>
        </w:tc>
        <w:tc>
          <w:tcPr>
            <w:tcW w:w="5779" w:type="dxa"/>
            <w:vAlign w:val="center"/>
          </w:tcPr>
          <w:p>
            <w:pPr>
              <w:rPr>
                <w:noProof/>
              </w:rPr>
            </w:pPr>
          </w:p>
        </w:tc>
      </w:tr>
      <w:tr>
        <w:tc>
          <w:tcPr>
            <w:tcW w:w="696" w:type="dxa"/>
            <w:vAlign w:val="center"/>
          </w:tcPr>
          <w:p>
            <w:pPr>
              <w:jc w:val="center"/>
              <w:rPr>
                <w:noProof/>
              </w:rPr>
            </w:pPr>
            <w:r>
              <w:rPr>
                <w:noProof/>
              </w:rPr>
              <w:t>2043</w:t>
            </w:r>
          </w:p>
        </w:tc>
        <w:tc>
          <w:tcPr>
            <w:tcW w:w="1397" w:type="dxa"/>
            <w:vAlign w:val="center"/>
          </w:tcPr>
          <w:p>
            <w:pPr>
              <w:jc w:val="left"/>
              <w:rPr>
                <w:noProof/>
              </w:rPr>
            </w:pPr>
            <w:r>
              <w:rPr>
                <w:noProof/>
              </w:rPr>
              <w:t>Polonia</w:t>
            </w:r>
          </w:p>
        </w:tc>
        <w:tc>
          <w:tcPr>
            <w:tcW w:w="1417" w:type="dxa"/>
            <w:vAlign w:val="center"/>
          </w:tcPr>
          <w:p>
            <w:pPr>
              <w:jc w:val="left"/>
              <w:rPr>
                <w:noProof/>
              </w:rPr>
            </w:pPr>
            <w:r>
              <w:rPr>
                <w:noProof/>
              </w:rPr>
              <w:t>Danemarca</w:t>
            </w:r>
          </w:p>
        </w:tc>
        <w:tc>
          <w:tcPr>
            <w:tcW w:w="5779" w:type="dxa"/>
            <w:vAlign w:val="center"/>
          </w:tcPr>
          <w:p>
            <w:pPr>
              <w:rPr>
                <w:noProof/>
              </w:rPr>
            </w:pPr>
          </w:p>
        </w:tc>
      </w:tr>
      <w:tr>
        <w:tc>
          <w:tcPr>
            <w:tcW w:w="696" w:type="dxa"/>
            <w:vAlign w:val="center"/>
          </w:tcPr>
          <w:p>
            <w:pPr>
              <w:jc w:val="center"/>
              <w:rPr>
                <w:noProof/>
              </w:rPr>
            </w:pPr>
            <w:r>
              <w:rPr>
                <w:noProof/>
              </w:rPr>
              <w:t>2044</w:t>
            </w:r>
          </w:p>
        </w:tc>
        <w:tc>
          <w:tcPr>
            <w:tcW w:w="1397" w:type="dxa"/>
            <w:vAlign w:val="center"/>
          </w:tcPr>
          <w:p>
            <w:pPr>
              <w:jc w:val="left"/>
              <w:rPr>
                <w:noProof/>
              </w:rPr>
            </w:pPr>
            <w:r>
              <w:rPr>
                <w:noProof/>
              </w:rPr>
              <w:t>Cipru</w:t>
            </w:r>
          </w:p>
        </w:tc>
        <w:tc>
          <w:tcPr>
            <w:tcW w:w="1417" w:type="dxa"/>
            <w:vAlign w:val="center"/>
          </w:tcPr>
          <w:p>
            <w:pPr>
              <w:jc w:val="left"/>
              <w:rPr>
                <w:noProof/>
              </w:rPr>
            </w:pPr>
            <w:r>
              <w:rPr>
                <w:noProof/>
              </w:rPr>
              <w:t>Italia</w:t>
            </w:r>
          </w:p>
        </w:tc>
        <w:tc>
          <w:tcPr>
            <w:tcW w:w="5779" w:type="dxa"/>
            <w:vAlign w:val="center"/>
          </w:tcPr>
          <w:p>
            <w:pPr>
              <w:rPr>
                <w:noProof/>
              </w:rPr>
            </w:pPr>
            <w:r>
              <w:rPr>
                <w:noProof/>
              </w:rPr>
              <w:t>Țară AELS/SEE, țară candidată ori potențial candidată sau țară terță asociată componentei „Europa creativă – Cultură” a programului AgoraEU sau programelor ulterioare de sprijinire a culturii ale Uniunii.</w:t>
            </w:r>
          </w:p>
        </w:tc>
      </w:tr>
      <w:tr>
        <w:tc>
          <w:tcPr>
            <w:tcW w:w="696" w:type="dxa"/>
            <w:vAlign w:val="center"/>
          </w:tcPr>
          <w:p>
            <w:pPr>
              <w:jc w:val="center"/>
              <w:rPr>
                <w:noProof/>
              </w:rPr>
            </w:pPr>
            <w:r>
              <w:rPr>
                <w:noProof/>
              </w:rPr>
              <w:t>2045</w:t>
            </w:r>
          </w:p>
        </w:tc>
        <w:tc>
          <w:tcPr>
            <w:tcW w:w="1397" w:type="dxa"/>
            <w:vAlign w:val="center"/>
          </w:tcPr>
          <w:p>
            <w:pPr>
              <w:jc w:val="left"/>
              <w:rPr>
                <w:noProof/>
              </w:rPr>
            </w:pPr>
            <w:r>
              <w:rPr>
                <w:noProof/>
              </w:rPr>
              <w:t>Malta</w:t>
            </w:r>
          </w:p>
        </w:tc>
        <w:tc>
          <w:tcPr>
            <w:tcW w:w="1417" w:type="dxa"/>
            <w:vAlign w:val="center"/>
          </w:tcPr>
          <w:p>
            <w:pPr>
              <w:jc w:val="left"/>
              <w:rPr>
                <w:noProof/>
              </w:rPr>
            </w:pPr>
            <w:r>
              <w:rPr>
                <w:noProof/>
              </w:rPr>
              <w:t>Belgia</w:t>
            </w:r>
          </w:p>
        </w:tc>
        <w:tc>
          <w:tcPr>
            <w:tcW w:w="5779" w:type="dxa"/>
            <w:vAlign w:val="center"/>
          </w:tcPr>
          <w:p>
            <w:pPr>
              <w:rPr>
                <w:noProof/>
              </w:rPr>
            </w:pPr>
          </w:p>
        </w:tc>
      </w:tr>
      <w:tr>
        <w:tc>
          <w:tcPr>
            <w:tcW w:w="696" w:type="dxa"/>
            <w:vAlign w:val="center"/>
          </w:tcPr>
          <w:p>
            <w:pPr>
              <w:jc w:val="center"/>
              <w:rPr>
                <w:noProof/>
              </w:rPr>
            </w:pPr>
            <w:r>
              <w:rPr>
                <w:noProof/>
              </w:rPr>
              <w:t>2046</w:t>
            </w:r>
          </w:p>
        </w:tc>
        <w:tc>
          <w:tcPr>
            <w:tcW w:w="1397" w:type="dxa"/>
            <w:vAlign w:val="center"/>
          </w:tcPr>
          <w:p>
            <w:pPr>
              <w:jc w:val="left"/>
              <w:rPr>
                <w:noProof/>
              </w:rPr>
            </w:pPr>
            <w:r>
              <w:rPr>
                <w:noProof/>
              </w:rPr>
              <w:t>Bulgaria</w:t>
            </w:r>
          </w:p>
        </w:tc>
        <w:tc>
          <w:tcPr>
            <w:tcW w:w="1417" w:type="dxa"/>
            <w:vAlign w:val="center"/>
          </w:tcPr>
          <w:p>
            <w:pPr>
              <w:jc w:val="left"/>
              <w:rPr>
                <w:noProof/>
              </w:rPr>
            </w:pPr>
            <w:r>
              <w:rPr>
                <w:noProof/>
              </w:rPr>
              <w:t>Spania</w:t>
            </w:r>
          </w:p>
        </w:tc>
        <w:tc>
          <w:tcPr>
            <w:tcW w:w="5779" w:type="dxa"/>
            <w:vAlign w:val="center"/>
          </w:tcPr>
          <w:p>
            <w:pPr>
              <w:rPr>
                <w:noProof/>
              </w:rPr>
            </w:pPr>
          </w:p>
        </w:tc>
      </w:tr>
      <w:tr>
        <w:tc>
          <w:tcPr>
            <w:tcW w:w="696" w:type="dxa"/>
            <w:vAlign w:val="center"/>
          </w:tcPr>
          <w:p>
            <w:pPr>
              <w:jc w:val="center"/>
              <w:rPr>
                <w:noProof/>
              </w:rPr>
            </w:pPr>
            <w:r>
              <w:rPr>
                <w:noProof/>
              </w:rPr>
              <w:t>2047</w:t>
            </w:r>
          </w:p>
        </w:tc>
        <w:tc>
          <w:tcPr>
            <w:tcW w:w="1397" w:type="dxa"/>
            <w:vAlign w:val="center"/>
          </w:tcPr>
          <w:p>
            <w:pPr>
              <w:jc w:val="left"/>
              <w:rPr>
                <w:noProof/>
              </w:rPr>
            </w:pPr>
            <w:r>
              <w:rPr>
                <w:noProof/>
              </w:rPr>
              <w:t>Țările de Jos</w:t>
            </w:r>
          </w:p>
        </w:tc>
        <w:tc>
          <w:tcPr>
            <w:tcW w:w="1417" w:type="dxa"/>
            <w:vAlign w:val="center"/>
          </w:tcPr>
          <w:p>
            <w:pPr>
              <w:jc w:val="left"/>
              <w:rPr>
                <w:noProof/>
              </w:rPr>
            </w:pPr>
          </w:p>
        </w:tc>
        <w:tc>
          <w:tcPr>
            <w:tcW w:w="5779" w:type="dxa"/>
            <w:vAlign w:val="center"/>
          </w:tcPr>
          <w:p>
            <w:pPr>
              <w:rPr>
                <w:noProof/>
              </w:rPr>
            </w:pPr>
            <w:r>
              <w:rPr>
                <w:noProof/>
              </w:rPr>
              <w:t>Țară AELS/SEE, țară candidată ori potențial candidată sau țară terță asociată componentei „Europa creativă – Cultură” a programului AgoraEU sau programelor ulterioare de sprijinire a culturii ale Uniunii.</w:t>
            </w:r>
          </w:p>
        </w:tc>
      </w:tr>
    </w:tbl>
    <w:p>
      <w:pPr>
        <w:rPr>
          <w:noProof/>
        </w:rPr>
      </w:pPr>
    </w:p>
    <w:sectPr>
      <w:headerReference w:type="even" r:id="rId17"/>
      <w:footerReference w:type="even" r:id="rId18"/>
      <w:footerReference w:type="default" r:id="rId19"/>
      <w:headerReference w:type="first" r:id="rId20"/>
      <w:footerReference w:type="first" r:id="rId21"/>
      <w:pgSz w:w="11907" w:h="16839"/>
      <w:pgMar w:top="1134" w:right="1417" w:bottom="1134" w:left="1417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spacing w:before="0" w:after="0"/>
      </w:pPr>
      <w:r>
        <w:separator/>
      </w:r>
    </w:p>
  </w:endnote>
  <w:endnote w:type="continuationSeparator" w:id="0">
    <w:p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rPr>
        <w:rFonts w:ascii="Arial" w:hAnsi="Arial" w:cs="Arial"/>
        <w:b/>
        <w:sz w:val="48"/>
      </w:rPr>
    </w:pPr>
    <w:r>
      <w:rPr>
        <w:rFonts w:ascii="Arial" w:hAnsi="Arial" w:cs="Arial"/>
        <w:b/>
        <w:sz w:val="48"/>
      </w:rPr>
      <w:t>RO</w:t>
    </w:r>
    <w:r>
      <w:rPr>
        <w:rFonts w:ascii="Arial" w:hAnsi="Arial" w:cs="Arial"/>
        <w:b/>
        <w:sz w:val="48"/>
      </w:rPr>
      <w:tab/>
    </w:r>
    <w:r>
      <w:rPr>
        <w:rFonts w:ascii="Arial" w:hAnsi="Arial" w:cs="Arial"/>
        <w:b/>
        <w:sz w:val="48"/>
      </w:rPr>
      <w:tab/>
    </w:r>
    <w:r>
      <w:tab/>
    </w:r>
    <w:r>
      <w:rPr>
        <w:rFonts w:ascii="Arial" w:hAnsi="Arial" w:cs="Arial"/>
        <w:b/>
        <w:sz w:val="48"/>
      </w:rPr>
      <w:t>RO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rPr>
        <w:rFonts w:ascii="Arial" w:hAnsi="Arial" w:cs="Arial"/>
        <w:b/>
        <w:sz w:val="48"/>
      </w:rPr>
    </w:pPr>
    <w:r>
      <w:rPr>
        <w:rFonts w:ascii="Arial" w:hAnsi="Arial" w:cs="Arial"/>
        <w:b/>
        <w:sz w:val="48"/>
      </w:rPr>
      <w:t>RO</w:t>
    </w:r>
    <w:r>
      <w:rPr>
        <w:rFonts w:ascii="Arial" w:hAnsi="Arial" w:cs="Arial"/>
        <w:b/>
        <w:sz w:val="48"/>
      </w:rPr>
      <w:tab/>
    </w:r>
    <w:r>
      <w:rPr>
        <w:rFonts w:ascii="Arial" w:hAnsi="Arial" w:cs="Arial"/>
        <w:b/>
        <w:sz w:val="48"/>
      </w:rPr>
      <w:tab/>
    </w:r>
    <w:r>
      <w:tab/>
    </w:r>
    <w:r>
      <w:rPr>
        <w:rFonts w:ascii="Arial" w:hAnsi="Arial" w:cs="Arial"/>
        <w:b/>
        <w:sz w:val="48"/>
      </w:rPr>
      <w:t>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rPr>
        <w:rFonts w:ascii="Arial" w:hAnsi="Arial" w:cs="Arial"/>
        <w:b/>
        <w:sz w:val="48"/>
      </w:rPr>
    </w:pPr>
    <w:r>
      <w:rPr>
        <w:rFonts w:ascii="Arial" w:hAnsi="Arial" w:cs="Arial"/>
        <w:b/>
        <w:sz w:val="48"/>
      </w:rPr>
      <w:t>RO</w:t>
    </w:r>
    <w:r>
      <w:rPr>
        <w:rFonts w:ascii="Arial" w:hAnsi="Arial" w:cs="Arial"/>
        <w:b/>
        <w:sz w:val="48"/>
      </w:rP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0</w:t>
    </w:r>
    <w:r>
      <w:fldChar w:fldCharType="end"/>
    </w:r>
    <w:r>
      <w:tab/>
    </w:r>
    <w:r>
      <w:tab/>
    </w:r>
    <w:r>
      <w:rPr>
        <w:rFonts w:ascii="Arial" w:hAnsi="Arial" w:cs="Arial"/>
        <w:b/>
        <w:sz w:val="48"/>
      </w:rPr>
      <w:t>RO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pPr>
        <w:spacing w:before="0" w:after="0"/>
      </w:pPr>
      <w:r>
        <w:separator/>
      </w:r>
    </w:p>
  </w:footnote>
  <w:footnote w:type="continuationSeparator" w:id="0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1"/>
    <w:multiLevelType w:val="singleLevel"/>
    <w:tmpl w:val="CFEAC0C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FFFFFF82"/>
    <w:multiLevelType w:val="singleLevel"/>
    <w:tmpl w:val="A260B49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2" w15:restartNumberingAfterBreak="0">
    <w:nsid w:val="FFFFFF83"/>
    <w:multiLevelType w:val="singleLevel"/>
    <w:tmpl w:val="5F582A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3" w15:restartNumberingAfterBreak="0">
    <w:nsid w:val="FFFFFF89"/>
    <w:multiLevelType w:val="singleLevel"/>
    <w:tmpl w:val="BD7837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5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7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8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9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0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1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2" w15:restartNumberingAfterBreak="0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3" w15:restartNumberingAfterBreak="0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14" w15:restartNumberingAfterBreak="0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1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6" w15:restartNumberingAfterBreak="0">
    <w:nsid w:val="64A12FA4"/>
    <w:multiLevelType w:val="multilevel"/>
    <w:tmpl w:val="428ECF3E"/>
    <w:name w:val="Heading"/>
    <w:lvl w:ilvl="0">
      <w:start w:val="1"/>
      <w:numFmt w:val="decimal"/>
      <w:lvlRestart w:val="0"/>
      <w:pStyle w:val="Heading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Heading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Heading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18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15"/>
  </w:num>
  <w:num w:numId="6">
    <w:abstractNumId w:val="8"/>
  </w:num>
  <w:num w:numId="7">
    <w:abstractNumId w:val="17"/>
  </w:num>
  <w:num w:numId="8">
    <w:abstractNumId w:val="7"/>
  </w:num>
  <w:num w:numId="9">
    <w:abstractNumId w:val="9"/>
  </w:num>
  <w:num w:numId="10">
    <w:abstractNumId w:val="10"/>
  </w:num>
  <w:num w:numId="11">
    <w:abstractNumId w:val="5"/>
  </w:num>
  <w:num w:numId="12">
    <w:abstractNumId w:val="16"/>
  </w:num>
  <w:num w:numId="13">
    <w:abstractNumId w:val="4"/>
  </w:num>
  <w:num w:numId="14">
    <w:abstractNumId w:val="11"/>
  </w:num>
  <w:num w:numId="15">
    <w:abstractNumId w:val="13"/>
  </w:num>
  <w:num w:numId="16">
    <w:abstractNumId w:val="14"/>
  </w:num>
  <w:num w:numId="17">
    <w:abstractNumId w:val="6"/>
  </w:num>
  <w:num w:numId="18">
    <w:abstractNumId w:val="12"/>
  </w:num>
  <w:num w:numId="19">
    <w:abstractNumId w:val="18"/>
  </w:num>
  <w:num w:numId="20">
    <w:abstractNumId w:val="15"/>
  </w:num>
  <w:num w:numId="21">
    <w:abstractNumId w:val="8"/>
  </w:num>
  <w:num w:numId="22">
    <w:abstractNumId w:val="17"/>
  </w:num>
  <w:num w:numId="23">
    <w:abstractNumId w:val="7"/>
  </w:num>
  <w:num w:numId="24">
    <w:abstractNumId w:val="9"/>
  </w:num>
  <w:num w:numId="25">
    <w:abstractNumId w:val="10"/>
  </w:num>
  <w:num w:numId="26">
    <w:abstractNumId w:val="5"/>
  </w:num>
  <w:num w:numId="27">
    <w:abstractNumId w:val="16"/>
  </w:num>
  <w:num w:numId="28">
    <w:abstractNumId w:val="4"/>
  </w:num>
  <w:num w:numId="29">
    <w:abstractNumId w:val="11"/>
  </w:num>
  <w:num w:numId="30">
    <w:abstractNumId w:val="13"/>
  </w:num>
  <w:num w:numId="31">
    <w:abstractNumId w:val="14"/>
  </w:num>
  <w:num w:numId="32">
    <w:abstractNumId w:val="6"/>
  </w:num>
  <w:num w:numId="33">
    <w:abstractNumId w:val="12"/>
  </w:num>
  <w:num w:numId="34">
    <w:abstractNumId w:val="18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oNotDisplayPageBoundaries/>
  <w:hideSpellingErrors/>
  <w:hideGrammaticalErrors/>
  <w:attachedTemplate r:id="rId1"/>
  <w:revisionView w:markup="0"/>
  <w:defaultTabStop w:val="720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docVars>
    <w:docVar w:name="CR_RefLast" w:val="0"/>
    <w:docVar w:name="DQCDateTime" w:val="2026-09-09 17:25:38"/>
    <w:docVar w:name="DQCResult_Distribution" w:val="0;0"/>
    <w:docVar w:name="DQCResult_DocumentContent" w:val="0;0"/>
    <w:docVar w:name="DQCResult_DocumentSize" w:val="0;0"/>
    <w:docVar w:name="DQCResult_InvalidFootnotes" w:val="0;0"/>
    <w:docVar w:name="DQCResult_ModifiedMarkers" w:val="0;0"/>
    <w:docVar w:name="DQCResult_ModifiedNumbering" w:val="0;0"/>
    <w:docVar w:name="DQCResult_Objects" w:val="0;0"/>
    <w:docVar w:name="DQCResult_StructureCheck" w:val="0;0"/>
    <w:docVar w:name="DQCStatus" w:val="Green"/>
    <w:docVar w:name="DQCVersion" w:val="3"/>
    <w:docVar w:name="DQCWithWarnings" w:val="0"/>
    <w:docVar w:name="LW_ACCOMPAGNANT" w:val="la"/>
    <w:docVar w:name="LW_ACCOMPAGNANT.CP" w:val="la"/>
    <w:docVar w:name="LW_ANNEX_NBR_FIRST" w:val="1"/>
    <w:docVar w:name="LW_ANNEX_NBR_LAST" w:val="1"/>
    <w:docVar w:name="LW_ANNEX_UNIQUE" w:val="1"/>
    <w:docVar w:name="LW_CORRIGENDUM" w:val="&lt;UNUSED&gt;"/>
    <w:docVar w:name="LW_COVERPAGE_EXISTS" w:val="True"/>
    <w:docVar w:name="LW_COVERPAGE_GUID" w:val="B818B318-B051-45CB-B65E-55A54A295351"/>
    <w:docVar w:name="LW_COVERPAGE_TYPE" w:val="1"/>
    <w:docVar w:name="LW_CreatedUtc" w:val="2026-06-02T15:34:37.5954291Z"/>
    <w:docVar w:name="LW_CROSSREFERENCE" w:val="&lt;UNUSED&gt;"/>
    <w:docVar w:name="LW_DocType" w:val="ANNEX"/>
    <w:docVar w:name="LW_EMISSION" w:val="10.9.2026"/>
    <w:docVar w:name="LW_EMISSION_ISODATE" w:val="2026-09-10"/>
    <w:docVar w:name="LW_EMISSION_LOCATION" w:val="BRX"/>
    <w:docVar w:name="LW_EMISSION_PREFIX" w:val="Bruxelles, "/>
    <w:docVar w:name="LW_EMISSION_SUFFIX" w:val=" "/>
    <w:docVar w:name="LW_ID_DOCSTRUCTURE" w:val="COM/ANNEX"/>
    <w:docVar w:name="LW_ID_DOCTYPE" w:val="SG-017"/>
    <w:docVar w:name="LW_LANGUE" w:val="RO"/>
    <w:docVar w:name="LW_LEVEL_OF_SENSITIVITY" w:val="Standard treatment"/>
    <w:docVar w:name="LW_NOM.INST" w:val="COMISIA EUROPEAN\u258?"/>
    <w:docVar w:name="LW_NOM.INST_JOINTDOC" w:val="&lt;EMPTY&gt;"/>
    <w:docVar w:name="LW_OBJETACTEPRINCIPAL" w:val="de reînnoire a unei ac\u539?iuni a Uniunii în favoarea evenimentului \u8222?Capitalele europene ale culturii\u8221? pentru anii 2034-2047 \u537?i de abrogare a Deciziei nr. 445/2014/UE"/>
    <w:docVar w:name="LW_OBJETACTEPRINCIPAL.CP" w:val="de reînnoire a unei ac\u539?iuni a Uniunii în favoarea evenimentului \u8222?Capitalele europene ale culturii\u8221? pentru anii 2034-2047 \u537?i de abrogare a Deciziei nr. 445/2014/UE"/>
    <w:docVar w:name="LW_PART_NBR" w:val="1"/>
    <w:docVar w:name="LW_PART_NBR_TOTAL" w:val="1"/>
    <w:docVar w:name="LW_REF.INST.NEW" w:val="COM"/>
    <w:docVar w:name="LW_REF.INST.NEW_ADOPTED" w:val="final"/>
    <w:docVar w:name="LW_REF.INST.NEW_TEXT" w:val="(2026) 455"/>
    <w:docVar w:name="LW_REF.INTERNE" w:val="&lt;UNUSED&gt;"/>
    <w:docVar w:name="LW_SENSITIVITY" w:val="&lt;?xml version=&quot;1.0&quot; encoding=&quot;utf-8&quot;?&gt;_x000d__x000a_&lt;SensitivityLevel xmlns:xsd=&quot;http://www.w3.org/2001/XMLSchema&quot; xmlns:xsi=&quot;http://www.w3.org/2001/XMLSchema-instance&quot; id=&quot;standard&quot;&gt;_x000d__x000a_  &lt;nicename EN=&quot;Standard treatment&quot; FR=&quot;Traitement standard&quot; /&gt;_x000d__x000a_  &lt;documentProperty&gt;Standard treatment&lt;/documentProperty&gt;_x000d__x000a_  &lt;markingConfig isAvailable=&quot;false&quot; isMandatory=&quot;false&quot; sensitiveMarkingMandatory=&quot;false&quot; specialMarkingMandatory=&quot;true&quot; isOptionDisplayInHeaderAvailable=&quot;true&quot; sensitiveMarkingListSee=&quot;SensitiveMarkings&quot; specialMarkingListSee=&quot;SpecialMarkings&quot; sensitiveFootnoteTextSee=&quot;sensitiveFootnote&quot; specialFootnoteTextSee=&quot;specialFootnote&quot; /&gt;_x000d__x000a_  &lt;chosenMainMarking xsi:nil=&quot;true&quot; /&gt;_x000d__x000a_  &lt;dateMarking xsi:nil=&quot;true&quot; /&gt;_x000d__x000a_  &lt;releasableToConfig isAvailable=&quot;false&quot; institutionListSee=&quot;DefaultInstitutions&quot; /&gt;_x000d__x000a_  &lt;chosenReleasableTo xsi:nil=&quot;true&quot; /&gt;_x000d__x000a_  &lt;detached xsi:nil=&quot;true&quot; /&gt;_x000d__x000a_  &lt;declassify xsi:nil=&quot;true&quot; /&gt;_x000d__x000a_  &lt;headerTexts xsi:nil=&quot;true&quot; /&gt;_x000d__x000a_  &lt;footerTexts xsi:nil=&quot;true&quot; /&gt;_x000d__x000a_  &lt;isRestricted&gt;false&lt;/isRestricted&gt;_x000d__x000a_&lt;/SensitivityLevel&gt;"/>
    <w:docVar w:name="LW_SUPERTITRE" w:val="&lt;UNUSED&gt;"/>
    <w:docVar w:name="LW_TYPE.DOC" w:val="ANEX\u258?"/>
    <w:docVar w:name="LW_TYPE.DOC.CP" w:val="ANEX\u258?"/>
    <w:docVar w:name="LW_TYPEACTEPRINCIPAL" w:val="Propunerea de DECIZIE A PARLAMENTULUI EUROPEAN \u536?I A CONSILIULUI"/>
    <w:docVar w:name="LW_TYPEACTEPRINCIPAL.CP" w:val="Propunerea de DECIZIE A PARLAMENTULUI EUROPEAN \u536?I A CONSILIULUI"/>
    <w:docVar w:name="LwApiVersions" w:val="LW4CoDe 1.25.1.0; LW 9.2, Build 20260702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5:docId w15:val="{ECDACC9F-52B0-4F3A-8D9E-C3B0B4B46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before="120" w:after="120" w:line="240" w:lineRule="auto"/>
      <w:jc w:val="both"/>
    </w:pPr>
    <w:rPr>
      <w:rFonts w:ascii="Times New Roman" w:hAnsi="Times New Roman" w:cs="Times New Roman"/>
      <w:sz w:val="24"/>
      <w:lang w:val="ro-RO"/>
    </w:rPr>
  </w:style>
  <w:style w:type="paragraph" w:styleId="Heading1">
    <w:name w:val="heading 1"/>
    <w:basedOn w:val="Normal"/>
    <w:next w:val="Text1"/>
    <w:link w:val="Heading1Char"/>
    <w:uiPriority w:val="9"/>
    <w:qFormat/>
    <w:pPr>
      <w:keepNext/>
      <w:numPr>
        <w:numId w:val="27"/>
      </w:numPr>
      <w:spacing w:before="360"/>
      <w:outlineLvl w:val="0"/>
    </w:pPr>
    <w:rPr>
      <w:rFonts w:eastAsiaTheme="majorEastAsia"/>
      <w:b/>
      <w:bCs/>
      <w:smallCaps/>
      <w:szCs w:val="28"/>
    </w:rPr>
  </w:style>
  <w:style w:type="paragraph" w:styleId="Heading2">
    <w:name w:val="heading 2"/>
    <w:basedOn w:val="Normal"/>
    <w:next w:val="Text1"/>
    <w:link w:val="Heading2Char"/>
    <w:uiPriority w:val="9"/>
    <w:semiHidden/>
    <w:unhideWhenUsed/>
    <w:qFormat/>
    <w:pPr>
      <w:keepNext/>
      <w:numPr>
        <w:ilvl w:val="1"/>
        <w:numId w:val="27"/>
      </w:numPr>
      <w:outlineLvl w:val="1"/>
    </w:pPr>
    <w:rPr>
      <w:rFonts w:eastAsiaTheme="majorEastAsia"/>
      <w:b/>
      <w:bCs/>
      <w:szCs w:val="26"/>
    </w:rPr>
  </w:style>
  <w:style w:type="paragraph" w:styleId="Heading3">
    <w:name w:val="heading 3"/>
    <w:basedOn w:val="Normal"/>
    <w:next w:val="Text1"/>
    <w:link w:val="Heading3Char"/>
    <w:uiPriority w:val="9"/>
    <w:semiHidden/>
    <w:unhideWhenUsed/>
    <w:qFormat/>
    <w:pPr>
      <w:keepNext/>
      <w:numPr>
        <w:ilvl w:val="2"/>
        <w:numId w:val="27"/>
      </w:numPr>
      <w:outlineLvl w:val="2"/>
    </w:pPr>
    <w:rPr>
      <w:rFonts w:eastAsiaTheme="majorEastAsia"/>
      <w:bCs/>
      <w:i/>
    </w:rPr>
  </w:style>
  <w:style w:type="paragraph" w:styleId="Heading4">
    <w:name w:val="heading 4"/>
    <w:basedOn w:val="Normal"/>
    <w:next w:val="Text1"/>
    <w:link w:val="Heading4Char"/>
    <w:uiPriority w:val="9"/>
    <w:semiHidden/>
    <w:unhideWhenUsed/>
    <w:qFormat/>
    <w:pPr>
      <w:keepNext/>
      <w:numPr>
        <w:ilvl w:val="3"/>
        <w:numId w:val="27"/>
      </w:numPr>
      <w:outlineLvl w:val="3"/>
    </w:pPr>
    <w:rPr>
      <w:rFonts w:eastAsiaTheme="majorEastAsia"/>
      <w:bCs/>
      <w:iCs/>
    </w:rPr>
  </w:style>
  <w:style w:type="paragraph" w:styleId="Heading5">
    <w:name w:val="heading 5"/>
    <w:basedOn w:val="Normal"/>
    <w:next w:val="Text2"/>
    <w:link w:val="Heading5Char"/>
    <w:uiPriority w:val="9"/>
    <w:semiHidden/>
    <w:unhideWhenUsed/>
    <w:qFormat/>
    <w:pPr>
      <w:keepNext/>
      <w:numPr>
        <w:ilvl w:val="4"/>
        <w:numId w:val="27"/>
      </w:numPr>
      <w:outlineLvl w:val="4"/>
    </w:pPr>
    <w:rPr>
      <w:rFonts w:eastAsiaTheme="majorEastAsia"/>
    </w:rPr>
  </w:style>
  <w:style w:type="paragraph" w:styleId="Heading6">
    <w:name w:val="heading 6"/>
    <w:basedOn w:val="Normal"/>
    <w:next w:val="Text2"/>
    <w:link w:val="Heading6Char"/>
    <w:uiPriority w:val="9"/>
    <w:semiHidden/>
    <w:unhideWhenUsed/>
    <w:qFormat/>
    <w:pPr>
      <w:keepNext/>
      <w:numPr>
        <w:ilvl w:val="5"/>
        <w:numId w:val="27"/>
      </w:numPr>
      <w:outlineLvl w:val="5"/>
    </w:pPr>
    <w:rPr>
      <w:rFonts w:eastAsiaTheme="majorEastAsia"/>
      <w:iCs/>
    </w:rPr>
  </w:style>
  <w:style w:type="paragraph" w:styleId="Heading7">
    <w:name w:val="heading 7"/>
    <w:basedOn w:val="Normal"/>
    <w:next w:val="Text2"/>
    <w:link w:val="Heading7Char"/>
    <w:uiPriority w:val="9"/>
    <w:semiHidden/>
    <w:unhideWhenUsed/>
    <w:qFormat/>
    <w:pPr>
      <w:keepNext/>
      <w:numPr>
        <w:ilvl w:val="6"/>
        <w:numId w:val="27"/>
      </w:numPr>
      <w:outlineLvl w:val="6"/>
    </w:pPr>
    <w:rPr>
      <w:rFonts w:eastAsiaTheme="majorEastAsia"/>
      <w:i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pPr>
      <w:spacing w:before="120"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en-I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Bullet">
    <w:name w:val="List Bullet"/>
    <w:basedOn w:val="Normal"/>
    <w:uiPriority w:val="99"/>
    <w:semiHidden/>
    <w:unhideWhenUsed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4"/>
      </w:numPr>
      <w:contextualSpacing/>
    </w:pPr>
  </w:style>
  <w:style w:type="paragraph" w:styleId="Revision">
    <w:name w:val="Revision"/>
    <w:hidden/>
    <w:uiPriority w:val="99"/>
    <w:semiHidden/>
    <w:pPr>
      <w:spacing w:after="0" w:line="240" w:lineRule="auto"/>
    </w:pPr>
    <w:rPr>
      <w:rFonts w:ascii="Times New Roman" w:hAnsi="Times New Roman" w:cs="Times New Roman"/>
      <w:sz w:val="24"/>
    </w:r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hAnsi="Times New Roman" w:cs="Times New Roman"/>
      <w:sz w:val="24"/>
      <w:lang w:val="ro-RO"/>
    </w:r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hAnsi="Times New Roman" w:cs="Times New Roman"/>
      <w:sz w:val="24"/>
      <w:lang w:val="ro-RO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before="0" w:after="0"/>
      <w:ind w:left="720" w:hanging="72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rFonts w:ascii="Times New Roman" w:hAnsi="Times New Roman" w:cs="Times New Roman"/>
      <w:sz w:val="20"/>
      <w:szCs w:val="20"/>
      <w:shd w:val="clear" w:color="auto" w:fill="auto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Theme="majorEastAsia" w:hAnsi="Times New Roman" w:cs="Times New Roman"/>
      <w:b/>
      <w:bCs/>
      <w:smallCaps/>
      <w:sz w:val="24"/>
      <w:szCs w:val="28"/>
      <w:shd w:val="clear" w:color="auto" w:fill="auto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="Times New Roman" w:eastAsiaTheme="majorEastAsia" w:hAnsi="Times New Roman" w:cs="Times New Roman"/>
      <w:b/>
      <w:bCs/>
      <w:sz w:val="24"/>
      <w:szCs w:val="26"/>
      <w:shd w:val="clear" w:color="auto" w:fill="auto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="Times New Roman" w:eastAsiaTheme="majorEastAsia" w:hAnsi="Times New Roman" w:cs="Times New Roman"/>
      <w:bCs/>
      <w:i/>
      <w:sz w:val="24"/>
      <w:shd w:val="clear" w:color="auto" w:fill="auto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="Times New Roman" w:eastAsiaTheme="majorEastAsia" w:hAnsi="Times New Roman" w:cs="Times New Roman"/>
      <w:bCs/>
      <w:iCs/>
      <w:sz w:val="24"/>
      <w:shd w:val="clear" w:color="auto" w:fill="auto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="Times New Roman" w:eastAsiaTheme="majorEastAsia" w:hAnsi="Times New Roman" w:cs="Times New Roman"/>
      <w:sz w:val="24"/>
      <w:shd w:val="clear" w:color="auto" w:fill="auto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="Times New Roman" w:eastAsiaTheme="majorEastAsia" w:hAnsi="Times New Roman" w:cs="Times New Roman"/>
      <w:iCs/>
      <w:sz w:val="24"/>
      <w:shd w:val="clear" w:color="auto" w:fill="auto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="Times New Roman" w:eastAsiaTheme="majorEastAsia" w:hAnsi="Times New Roman" w:cs="Times New Roman"/>
      <w:iCs/>
      <w:sz w:val="24"/>
      <w:shd w:val="clear" w:color="auto" w:fill="auto"/>
      <w:lang w:val="en-GB"/>
    </w:rPr>
  </w:style>
  <w:style w:type="paragraph" w:styleId="TOCHeading">
    <w:name w:val="TOC Heading"/>
    <w:basedOn w:val="Normal"/>
    <w:next w:val="Normal"/>
    <w:uiPriority w:val="39"/>
    <w:semiHidden/>
    <w:unhideWhenUsed/>
    <w:qFormat/>
    <w:pPr>
      <w:spacing w:after="240"/>
      <w:jc w:val="center"/>
    </w:pPr>
    <w:rPr>
      <w:b/>
      <w:sz w:val="28"/>
    </w:rPr>
  </w:style>
  <w:style w:type="paragraph" w:styleId="TOC1">
    <w:name w:val="toc 1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2">
    <w:name w:val="toc 2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3">
    <w:name w:val="toc 3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4">
    <w:name w:val="toc 4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5">
    <w:name w:val="toc 5"/>
    <w:basedOn w:val="Normal"/>
    <w:next w:val="Normal"/>
    <w:uiPriority w:val="39"/>
    <w:semiHidden/>
    <w:unhideWhenUsed/>
    <w:pPr>
      <w:tabs>
        <w:tab w:val="right" w:leader="dot" w:pos="9071"/>
      </w:tabs>
      <w:spacing w:before="300"/>
      <w:jc w:val="left"/>
    </w:pPr>
  </w:style>
  <w:style w:type="paragraph" w:styleId="TOC6">
    <w:name w:val="toc 6"/>
    <w:basedOn w:val="Normal"/>
    <w:next w:val="Normal"/>
    <w:uiPriority w:val="39"/>
    <w:semiHidden/>
    <w:unhideWhenUsed/>
    <w:pPr>
      <w:tabs>
        <w:tab w:val="right" w:leader="dot" w:pos="9071"/>
      </w:tabs>
      <w:spacing w:before="240"/>
      <w:jc w:val="left"/>
    </w:pPr>
  </w:style>
  <w:style w:type="paragraph" w:styleId="TOC7">
    <w:name w:val="toc 7"/>
    <w:basedOn w:val="Normal"/>
    <w:next w:val="Normal"/>
    <w:uiPriority w:val="39"/>
    <w:semiHidden/>
    <w:unhideWhenUsed/>
    <w:pPr>
      <w:tabs>
        <w:tab w:val="right" w:leader="dot" w:pos="9071"/>
      </w:tabs>
      <w:spacing w:before="180"/>
      <w:jc w:val="left"/>
    </w:pPr>
  </w:style>
  <w:style w:type="paragraph" w:styleId="TOC8">
    <w:name w:val="toc 8"/>
    <w:basedOn w:val="Normal"/>
    <w:next w:val="Normal"/>
    <w:uiPriority w:val="39"/>
    <w:semiHidden/>
    <w:unhideWhenUsed/>
    <w:pPr>
      <w:tabs>
        <w:tab w:val="right" w:leader="dot" w:pos="9071"/>
      </w:tabs>
      <w:jc w:val="left"/>
    </w:pPr>
  </w:style>
  <w:style w:type="paragraph" w:styleId="TOC9">
    <w:name w:val="toc 9"/>
    <w:basedOn w:val="Normal"/>
    <w:next w:val="Normal"/>
    <w:uiPriority w:val="39"/>
    <w:semiHidden/>
    <w:unhideWhenUsed/>
    <w:pPr>
      <w:tabs>
        <w:tab w:val="right" w:leader="dot" w:pos="9071"/>
      </w:tabs>
      <w:ind w:left="1417" w:hanging="1417"/>
      <w:jc w:val="left"/>
    </w:pPr>
  </w:style>
  <w:style w:type="character" w:styleId="FootnoteReference">
    <w:name w:val="footnote reference"/>
    <w:basedOn w:val="DefaultParagraphFont"/>
    <w:uiPriority w:val="99"/>
    <w:semiHidden/>
    <w:unhideWhenUsed/>
    <w:rPr>
      <w:shd w:val="clear" w:color="auto" w:fill="auto"/>
      <w:vertAlign w:val="superscript"/>
    </w:rPr>
  </w:style>
  <w:style w:type="paragraph" w:customStyle="1" w:styleId="HeaderSensitivity">
    <w:name w:val="Header Sensitivity"/>
    <w:basedOn w:val="Normal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0"/>
      <w:ind w:left="113" w:right="113"/>
      <w:jc w:val="center"/>
    </w:pPr>
    <w:rPr>
      <w:b/>
      <w:sz w:val="32"/>
    </w:rPr>
  </w:style>
  <w:style w:type="paragraph" w:customStyle="1" w:styleId="HeaderSensitivityRight">
    <w:name w:val="Header Sensitivity Right"/>
    <w:basedOn w:val="Normal"/>
    <w:pPr>
      <w:spacing w:before="0"/>
      <w:jc w:val="right"/>
    </w:pPr>
    <w:rPr>
      <w:sz w:val="28"/>
    </w:rPr>
  </w:style>
  <w:style w:type="paragraph" w:customStyle="1" w:styleId="FooterSensitivity">
    <w:name w:val="Footer Sensitivity"/>
    <w:basedOn w:val="Normal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after="0"/>
      <w:ind w:left="113" w:right="113"/>
      <w:jc w:val="center"/>
    </w:pPr>
    <w:rPr>
      <w:b/>
      <w:sz w:val="32"/>
    </w:rPr>
  </w:style>
  <w:style w:type="paragraph" w:customStyle="1" w:styleId="Text1">
    <w:name w:val="Text 1"/>
    <w:basedOn w:val="Normal"/>
    <w:pPr>
      <w:ind w:left="850"/>
    </w:pPr>
  </w:style>
  <w:style w:type="paragraph" w:customStyle="1" w:styleId="Text2">
    <w:name w:val="Text 2"/>
    <w:basedOn w:val="Normal"/>
    <w:pPr>
      <w:ind w:left="1417"/>
    </w:pPr>
  </w:style>
  <w:style w:type="paragraph" w:customStyle="1" w:styleId="Text3">
    <w:name w:val="Text 3"/>
    <w:basedOn w:val="Normal"/>
    <w:pPr>
      <w:ind w:left="1984"/>
    </w:pPr>
  </w:style>
  <w:style w:type="paragraph" w:customStyle="1" w:styleId="Text4">
    <w:name w:val="Text 4"/>
    <w:basedOn w:val="Normal"/>
    <w:pPr>
      <w:ind w:left="2551"/>
    </w:pPr>
  </w:style>
  <w:style w:type="paragraph" w:customStyle="1" w:styleId="Text5">
    <w:name w:val="Text 5"/>
    <w:basedOn w:val="Normal"/>
    <w:pPr>
      <w:ind w:left="3118"/>
    </w:pPr>
  </w:style>
  <w:style w:type="paragraph" w:customStyle="1" w:styleId="Text6">
    <w:name w:val="Text 6"/>
    <w:basedOn w:val="Normal"/>
    <w:pPr>
      <w:ind w:left="3685"/>
    </w:pPr>
  </w:style>
  <w:style w:type="paragraph" w:customStyle="1" w:styleId="NormalCentered">
    <w:name w:val="Normal Centered"/>
    <w:basedOn w:val="Normal"/>
    <w:pPr>
      <w:jc w:val="center"/>
    </w:pPr>
  </w:style>
  <w:style w:type="paragraph" w:customStyle="1" w:styleId="NormalLeft">
    <w:name w:val="Normal Left"/>
    <w:basedOn w:val="Normal"/>
    <w:pPr>
      <w:jc w:val="left"/>
    </w:pPr>
  </w:style>
  <w:style w:type="paragraph" w:customStyle="1" w:styleId="NormalRight">
    <w:name w:val="Normal Right"/>
    <w:basedOn w:val="Normal"/>
    <w:pPr>
      <w:jc w:val="right"/>
    </w:pPr>
  </w:style>
  <w:style w:type="paragraph" w:customStyle="1" w:styleId="QuotedText">
    <w:name w:val="Quoted Text"/>
    <w:basedOn w:val="Normal"/>
    <w:pPr>
      <w:ind w:left="1417"/>
    </w:pPr>
  </w:style>
  <w:style w:type="paragraph" w:customStyle="1" w:styleId="Point0">
    <w:name w:val="Point 0"/>
    <w:basedOn w:val="Normal"/>
    <w:pPr>
      <w:ind w:left="850" w:hanging="850"/>
    </w:pPr>
  </w:style>
  <w:style w:type="paragraph" w:customStyle="1" w:styleId="Point1">
    <w:name w:val="Point 1"/>
    <w:basedOn w:val="Normal"/>
    <w:pPr>
      <w:ind w:left="1417" w:hanging="567"/>
    </w:pPr>
  </w:style>
  <w:style w:type="paragraph" w:customStyle="1" w:styleId="Point2">
    <w:name w:val="Point 2"/>
    <w:basedOn w:val="Normal"/>
    <w:pPr>
      <w:ind w:left="1984" w:hanging="567"/>
    </w:pPr>
  </w:style>
  <w:style w:type="paragraph" w:customStyle="1" w:styleId="Point3">
    <w:name w:val="Point 3"/>
    <w:basedOn w:val="Normal"/>
    <w:pPr>
      <w:ind w:left="2551" w:hanging="567"/>
    </w:pPr>
  </w:style>
  <w:style w:type="paragraph" w:customStyle="1" w:styleId="Point4">
    <w:name w:val="Point 4"/>
    <w:basedOn w:val="Normal"/>
    <w:pPr>
      <w:ind w:left="3118" w:hanging="567"/>
    </w:pPr>
  </w:style>
  <w:style w:type="paragraph" w:customStyle="1" w:styleId="Point5">
    <w:name w:val="Point 5"/>
    <w:basedOn w:val="Normal"/>
    <w:pPr>
      <w:ind w:left="3685" w:hanging="567"/>
    </w:pPr>
  </w:style>
  <w:style w:type="paragraph" w:customStyle="1" w:styleId="Tiret0">
    <w:name w:val="Tiret 0"/>
    <w:basedOn w:val="Point0"/>
    <w:pPr>
      <w:numPr>
        <w:numId w:val="20"/>
      </w:numPr>
    </w:pPr>
  </w:style>
  <w:style w:type="paragraph" w:customStyle="1" w:styleId="Tiret1">
    <w:name w:val="Tiret 1"/>
    <w:basedOn w:val="Point1"/>
    <w:pPr>
      <w:numPr>
        <w:numId w:val="21"/>
      </w:numPr>
    </w:pPr>
  </w:style>
  <w:style w:type="paragraph" w:customStyle="1" w:styleId="Tiret2">
    <w:name w:val="Tiret 2"/>
    <w:basedOn w:val="Point2"/>
    <w:pPr>
      <w:numPr>
        <w:numId w:val="22"/>
      </w:numPr>
    </w:pPr>
  </w:style>
  <w:style w:type="paragraph" w:customStyle="1" w:styleId="Tiret3">
    <w:name w:val="Tiret 3"/>
    <w:basedOn w:val="Point3"/>
    <w:pPr>
      <w:numPr>
        <w:numId w:val="23"/>
      </w:numPr>
    </w:pPr>
  </w:style>
  <w:style w:type="paragraph" w:customStyle="1" w:styleId="Tiret4">
    <w:name w:val="Tiret 4"/>
    <w:basedOn w:val="Point4"/>
    <w:pPr>
      <w:numPr>
        <w:numId w:val="24"/>
      </w:numPr>
    </w:pPr>
  </w:style>
  <w:style w:type="paragraph" w:customStyle="1" w:styleId="Tiret5">
    <w:name w:val="Tiret 5"/>
    <w:basedOn w:val="Point5"/>
    <w:pPr>
      <w:numPr>
        <w:numId w:val="25"/>
      </w:numPr>
    </w:pPr>
  </w:style>
  <w:style w:type="paragraph" w:customStyle="1" w:styleId="PointDouble0">
    <w:name w:val="PointDouble 0"/>
    <w:basedOn w:val="Normal"/>
    <w:pPr>
      <w:tabs>
        <w:tab w:val="left" w:pos="850"/>
      </w:tabs>
      <w:ind w:left="1417" w:hanging="1417"/>
    </w:pPr>
  </w:style>
  <w:style w:type="paragraph" w:customStyle="1" w:styleId="PointDouble1">
    <w:name w:val="PointDouble 1"/>
    <w:basedOn w:val="Normal"/>
    <w:pPr>
      <w:tabs>
        <w:tab w:val="left" w:pos="1417"/>
      </w:tabs>
      <w:ind w:left="1984" w:hanging="1134"/>
    </w:pPr>
  </w:style>
  <w:style w:type="paragraph" w:customStyle="1" w:styleId="PointDouble2">
    <w:name w:val="PointDouble 2"/>
    <w:basedOn w:val="Normal"/>
    <w:pPr>
      <w:tabs>
        <w:tab w:val="left" w:pos="1984"/>
      </w:tabs>
      <w:ind w:left="2551" w:hanging="1134"/>
    </w:pPr>
  </w:style>
  <w:style w:type="paragraph" w:customStyle="1" w:styleId="PointDouble3">
    <w:name w:val="PointDouble 3"/>
    <w:basedOn w:val="Normal"/>
    <w:pPr>
      <w:tabs>
        <w:tab w:val="left" w:pos="2551"/>
      </w:tabs>
      <w:ind w:left="3118" w:hanging="1134"/>
    </w:pPr>
  </w:style>
  <w:style w:type="paragraph" w:customStyle="1" w:styleId="PointDouble4">
    <w:name w:val="PointDouble 4"/>
    <w:basedOn w:val="Normal"/>
    <w:pPr>
      <w:tabs>
        <w:tab w:val="left" w:pos="3118"/>
      </w:tabs>
      <w:ind w:left="3685" w:hanging="1134"/>
    </w:pPr>
  </w:style>
  <w:style w:type="paragraph" w:customStyle="1" w:styleId="PointTriple0">
    <w:name w:val="PointTriple 0"/>
    <w:basedOn w:val="Normal"/>
    <w:pPr>
      <w:tabs>
        <w:tab w:val="left" w:pos="850"/>
        <w:tab w:val="left" w:pos="1417"/>
      </w:tabs>
      <w:ind w:left="1984" w:hanging="1984"/>
    </w:pPr>
  </w:style>
  <w:style w:type="paragraph" w:customStyle="1" w:styleId="PointTriple1">
    <w:name w:val="PointTriple 1"/>
    <w:basedOn w:val="Normal"/>
    <w:pPr>
      <w:tabs>
        <w:tab w:val="left" w:pos="1417"/>
        <w:tab w:val="left" w:pos="1984"/>
      </w:tabs>
      <w:ind w:left="2551" w:hanging="1701"/>
    </w:pPr>
  </w:style>
  <w:style w:type="paragraph" w:customStyle="1" w:styleId="PointTriple2">
    <w:name w:val="PointTriple 2"/>
    <w:basedOn w:val="Normal"/>
    <w:pPr>
      <w:tabs>
        <w:tab w:val="left" w:pos="1984"/>
        <w:tab w:val="left" w:pos="2551"/>
      </w:tabs>
      <w:ind w:left="3118" w:hanging="1701"/>
    </w:pPr>
  </w:style>
  <w:style w:type="paragraph" w:customStyle="1" w:styleId="PointTriple3">
    <w:name w:val="PointTriple 3"/>
    <w:basedOn w:val="Normal"/>
    <w:pPr>
      <w:tabs>
        <w:tab w:val="left" w:pos="2551"/>
        <w:tab w:val="left" w:pos="3118"/>
      </w:tabs>
      <w:ind w:left="3685" w:hanging="1701"/>
    </w:pPr>
  </w:style>
  <w:style w:type="paragraph" w:customStyle="1" w:styleId="PointTriple4">
    <w:name w:val="PointTriple 4"/>
    <w:basedOn w:val="Normal"/>
    <w:pPr>
      <w:tabs>
        <w:tab w:val="left" w:pos="3118"/>
        <w:tab w:val="left" w:pos="3685"/>
      </w:tabs>
      <w:ind w:left="4252" w:hanging="1701"/>
    </w:pPr>
  </w:style>
  <w:style w:type="paragraph" w:customStyle="1" w:styleId="NumPar1">
    <w:name w:val="NumPar 1"/>
    <w:basedOn w:val="Normal"/>
    <w:next w:val="Text1"/>
    <w:pPr>
      <w:numPr>
        <w:numId w:val="26"/>
      </w:numPr>
    </w:pPr>
  </w:style>
  <w:style w:type="paragraph" w:customStyle="1" w:styleId="NumPar2">
    <w:name w:val="NumPar 2"/>
    <w:basedOn w:val="Normal"/>
    <w:next w:val="Text1"/>
    <w:pPr>
      <w:numPr>
        <w:ilvl w:val="1"/>
        <w:numId w:val="26"/>
      </w:numPr>
    </w:pPr>
  </w:style>
  <w:style w:type="paragraph" w:customStyle="1" w:styleId="NumPar3">
    <w:name w:val="NumPar 3"/>
    <w:basedOn w:val="Normal"/>
    <w:next w:val="Text1"/>
    <w:pPr>
      <w:numPr>
        <w:ilvl w:val="2"/>
        <w:numId w:val="26"/>
      </w:numPr>
    </w:pPr>
  </w:style>
  <w:style w:type="paragraph" w:customStyle="1" w:styleId="NumPar4">
    <w:name w:val="NumPar 4"/>
    <w:basedOn w:val="Normal"/>
    <w:next w:val="Text1"/>
    <w:pPr>
      <w:numPr>
        <w:ilvl w:val="3"/>
        <w:numId w:val="26"/>
      </w:numPr>
    </w:pPr>
  </w:style>
  <w:style w:type="paragraph" w:customStyle="1" w:styleId="NumPar5">
    <w:name w:val="NumPar 5"/>
    <w:basedOn w:val="Normal"/>
    <w:next w:val="Text2"/>
    <w:pPr>
      <w:numPr>
        <w:ilvl w:val="4"/>
        <w:numId w:val="26"/>
      </w:numPr>
    </w:pPr>
  </w:style>
  <w:style w:type="paragraph" w:customStyle="1" w:styleId="NumPar6">
    <w:name w:val="NumPar 6"/>
    <w:basedOn w:val="Normal"/>
    <w:next w:val="Text2"/>
    <w:pPr>
      <w:numPr>
        <w:ilvl w:val="5"/>
        <w:numId w:val="26"/>
      </w:numPr>
    </w:pPr>
  </w:style>
  <w:style w:type="paragraph" w:customStyle="1" w:styleId="NumPar7">
    <w:name w:val="NumPar 7"/>
    <w:basedOn w:val="Normal"/>
    <w:next w:val="Text2"/>
    <w:pPr>
      <w:numPr>
        <w:ilvl w:val="6"/>
        <w:numId w:val="26"/>
      </w:numPr>
    </w:pPr>
  </w:style>
  <w:style w:type="paragraph" w:customStyle="1" w:styleId="ManualNumPar1">
    <w:name w:val="Manual NumPar 1"/>
    <w:basedOn w:val="Normal"/>
    <w:next w:val="Text1"/>
    <w:pPr>
      <w:ind w:left="850" w:hanging="850"/>
    </w:pPr>
  </w:style>
  <w:style w:type="paragraph" w:customStyle="1" w:styleId="ManualNumPar2">
    <w:name w:val="Manual NumPar 2"/>
    <w:basedOn w:val="Normal"/>
    <w:next w:val="Text1"/>
    <w:pPr>
      <w:ind w:left="850" w:hanging="850"/>
    </w:pPr>
  </w:style>
  <w:style w:type="paragraph" w:customStyle="1" w:styleId="ManualNumPar3">
    <w:name w:val="Manual NumPar 3"/>
    <w:basedOn w:val="Normal"/>
    <w:next w:val="Text1"/>
    <w:pPr>
      <w:ind w:left="850" w:hanging="850"/>
    </w:pPr>
  </w:style>
  <w:style w:type="paragraph" w:customStyle="1" w:styleId="ManualNumPar4">
    <w:name w:val="Manual NumPar 4"/>
    <w:basedOn w:val="Normal"/>
    <w:next w:val="Text1"/>
    <w:pPr>
      <w:ind w:left="850" w:hanging="850"/>
    </w:pPr>
  </w:style>
  <w:style w:type="paragraph" w:customStyle="1" w:styleId="ManualNumPar5">
    <w:name w:val="Manual NumPar 5"/>
    <w:basedOn w:val="Normal"/>
    <w:next w:val="Text2"/>
    <w:pPr>
      <w:ind w:left="1417" w:hanging="1417"/>
    </w:pPr>
  </w:style>
  <w:style w:type="paragraph" w:customStyle="1" w:styleId="ManualNumPar6">
    <w:name w:val="Manual NumPar 6"/>
    <w:basedOn w:val="Normal"/>
    <w:next w:val="Text2"/>
    <w:pPr>
      <w:ind w:left="1417" w:hanging="1417"/>
    </w:pPr>
  </w:style>
  <w:style w:type="paragraph" w:customStyle="1" w:styleId="ManualNumPar7">
    <w:name w:val="Manual NumPar 7"/>
    <w:basedOn w:val="Normal"/>
    <w:next w:val="Text2"/>
    <w:pPr>
      <w:ind w:left="1417" w:hanging="1417"/>
    </w:pPr>
  </w:style>
  <w:style w:type="paragraph" w:customStyle="1" w:styleId="QuotedNumPar">
    <w:name w:val="Quoted NumPar"/>
    <w:basedOn w:val="Normal"/>
    <w:pPr>
      <w:ind w:left="1417" w:hanging="567"/>
    </w:pPr>
  </w:style>
  <w:style w:type="paragraph" w:customStyle="1" w:styleId="ManualHeading1">
    <w:name w:val="Manual Heading 1"/>
    <w:basedOn w:val="Normal"/>
    <w:next w:val="Text1"/>
    <w:pPr>
      <w:keepNext/>
      <w:tabs>
        <w:tab w:val="left" w:pos="850"/>
      </w:tabs>
      <w:spacing w:before="360"/>
      <w:ind w:left="850" w:hanging="850"/>
      <w:outlineLvl w:val="0"/>
    </w:pPr>
    <w:rPr>
      <w:b/>
      <w:smallCaps/>
    </w:rPr>
  </w:style>
  <w:style w:type="paragraph" w:customStyle="1" w:styleId="ManualHeading2">
    <w:name w:val="Manual Heading 2"/>
    <w:basedOn w:val="Normal"/>
    <w:next w:val="Text1"/>
    <w:pPr>
      <w:keepNext/>
      <w:tabs>
        <w:tab w:val="left" w:pos="850"/>
      </w:tabs>
      <w:ind w:left="850" w:hanging="850"/>
      <w:outlineLvl w:val="1"/>
    </w:pPr>
    <w:rPr>
      <w:b/>
    </w:rPr>
  </w:style>
  <w:style w:type="paragraph" w:customStyle="1" w:styleId="ManualHeading3">
    <w:name w:val="Manual Heading 3"/>
    <w:basedOn w:val="Normal"/>
    <w:next w:val="Text1"/>
    <w:pPr>
      <w:keepNext/>
      <w:tabs>
        <w:tab w:val="left" w:pos="850"/>
      </w:tabs>
      <w:ind w:left="850" w:hanging="850"/>
      <w:outlineLvl w:val="2"/>
    </w:pPr>
    <w:rPr>
      <w:i/>
    </w:rPr>
  </w:style>
  <w:style w:type="paragraph" w:customStyle="1" w:styleId="ManualHeading4">
    <w:name w:val="Manual Heading 4"/>
    <w:basedOn w:val="Normal"/>
    <w:next w:val="Text1"/>
    <w:pPr>
      <w:keepNext/>
      <w:tabs>
        <w:tab w:val="left" w:pos="850"/>
      </w:tabs>
      <w:ind w:left="850" w:hanging="850"/>
      <w:outlineLvl w:val="3"/>
    </w:pPr>
  </w:style>
  <w:style w:type="paragraph" w:customStyle="1" w:styleId="ManualHeading5">
    <w:name w:val="Manual Heading 5"/>
    <w:basedOn w:val="Normal"/>
    <w:next w:val="Text2"/>
    <w:pPr>
      <w:keepNext/>
      <w:tabs>
        <w:tab w:val="left" w:pos="1417"/>
      </w:tabs>
      <w:ind w:left="1417" w:hanging="1417"/>
      <w:outlineLvl w:val="4"/>
    </w:pPr>
  </w:style>
  <w:style w:type="paragraph" w:customStyle="1" w:styleId="ManualHeading6">
    <w:name w:val="Manual Heading 6"/>
    <w:basedOn w:val="Normal"/>
    <w:next w:val="Text2"/>
    <w:pPr>
      <w:keepNext/>
      <w:tabs>
        <w:tab w:val="left" w:pos="1417"/>
      </w:tabs>
      <w:ind w:left="1417" w:hanging="1417"/>
      <w:outlineLvl w:val="5"/>
    </w:pPr>
  </w:style>
  <w:style w:type="paragraph" w:customStyle="1" w:styleId="ManualHeading7">
    <w:name w:val="Manual Heading 7"/>
    <w:basedOn w:val="Normal"/>
    <w:next w:val="Text2"/>
    <w:pPr>
      <w:keepNext/>
      <w:tabs>
        <w:tab w:val="left" w:pos="1417"/>
      </w:tabs>
      <w:ind w:left="1417" w:hanging="1417"/>
      <w:outlineLvl w:val="6"/>
    </w:pPr>
  </w:style>
  <w:style w:type="paragraph" w:customStyle="1" w:styleId="ChapterTitle">
    <w:name w:val="ChapterTitle"/>
    <w:basedOn w:val="Normal"/>
    <w:next w:val="Normal"/>
    <w:pPr>
      <w:keepNext/>
      <w:spacing w:after="360"/>
      <w:jc w:val="center"/>
    </w:pPr>
    <w:rPr>
      <w:b/>
      <w:sz w:val="32"/>
    </w:rPr>
  </w:style>
  <w:style w:type="paragraph" w:customStyle="1" w:styleId="PartTitle">
    <w:name w:val="PartTitle"/>
    <w:basedOn w:val="Normal"/>
    <w:next w:val="ChapterTitle"/>
    <w:pPr>
      <w:keepNext/>
      <w:pageBreakBefore/>
      <w:spacing w:after="360"/>
      <w:jc w:val="center"/>
    </w:pPr>
    <w:rPr>
      <w:b/>
      <w:sz w:val="36"/>
    </w:rPr>
  </w:style>
  <w:style w:type="paragraph" w:customStyle="1" w:styleId="SectionTitle">
    <w:name w:val="SectionTitle"/>
    <w:basedOn w:val="Normal"/>
    <w:next w:val="Heading1"/>
    <w:pPr>
      <w:keepNext/>
      <w:spacing w:after="360"/>
      <w:jc w:val="center"/>
    </w:pPr>
    <w:rPr>
      <w:b/>
      <w:smallCaps/>
      <w:sz w:val="28"/>
    </w:rPr>
  </w:style>
  <w:style w:type="paragraph" w:customStyle="1" w:styleId="TableTitle">
    <w:name w:val="Table Title"/>
    <w:basedOn w:val="Normal"/>
    <w:next w:val="Normal"/>
    <w:pPr>
      <w:jc w:val="center"/>
    </w:pPr>
    <w:rPr>
      <w:b/>
    </w:rPr>
  </w:style>
  <w:style w:type="character" w:customStyle="1" w:styleId="Marker">
    <w:name w:val="Marker"/>
    <w:basedOn w:val="DefaultParagraphFont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pPr>
      <w:numPr>
        <w:numId w:val="28"/>
      </w:numPr>
    </w:pPr>
  </w:style>
  <w:style w:type="paragraph" w:customStyle="1" w:styleId="Point1number">
    <w:name w:val="Point 1 (number)"/>
    <w:basedOn w:val="Normal"/>
    <w:pPr>
      <w:numPr>
        <w:ilvl w:val="2"/>
        <w:numId w:val="28"/>
      </w:numPr>
    </w:pPr>
  </w:style>
  <w:style w:type="paragraph" w:customStyle="1" w:styleId="Point2number">
    <w:name w:val="Point 2 (number)"/>
    <w:basedOn w:val="Normal"/>
    <w:pPr>
      <w:numPr>
        <w:ilvl w:val="4"/>
        <w:numId w:val="28"/>
      </w:numPr>
    </w:pPr>
  </w:style>
  <w:style w:type="paragraph" w:customStyle="1" w:styleId="Point3number">
    <w:name w:val="Point 3 (number)"/>
    <w:basedOn w:val="Normal"/>
    <w:pPr>
      <w:numPr>
        <w:ilvl w:val="6"/>
        <w:numId w:val="28"/>
      </w:numPr>
    </w:pPr>
  </w:style>
  <w:style w:type="paragraph" w:customStyle="1" w:styleId="Point0letter">
    <w:name w:val="Point 0 (letter)"/>
    <w:basedOn w:val="Normal"/>
    <w:pPr>
      <w:numPr>
        <w:ilvl w:val="1"/>
        <w:numId w:val="28"/>
      </w:numPr>
    </w:pPr>
  </w:style>
  <w:style w:type="paragraph" w:customStyle="1" w:styleId="Point1letter">
    <w:name w:val="Point 1 (letter)"/>
    <w:basedOn w:val="Normal"/>
    <w:pPr>
      <w:numPr>
        <w:ilvl w:val="3"/>
        <w:numId w:val="28"/>
      </w:numPr>
    </w:pPr>
  </w:style>
  <w:style w:type="paragraph" w:customStyle="1" w:styleId="Point2letter">
    <w:name w:val="Point 2 (letter)"/>
    <w:basedOn w:val="Normal"/>
    <w:pPr>
      <w:numPr>
        <w:ilvl w:val="5"/>
        <w:numId w:val="28"/>
      </w:numPr>
    </w:pPr>
  </w:style>
  <w:style w:type="paragraph" w:customStyle="1" w:styleId="Point3letter">
    <w:name w:val="Point 3 (letter)"/>
    <w:basedOn w:val="Normal"/>
    <w:pPr>
      <w:numPr>
        <w:ilvl w:val="7"/>
        <w:numId w:val="28"/>
      </w:numPr>
    </w:pPr>
  </w:style>
  <w:style w:type="paragraph" w:customStyle="1" w:styleId="Point4letter">
    <w:name w:val="Point 4 (letter)"/>
    <w:basedOn w:val="Normal"/>
    <w:pPr>
      <w:numPr>
        <w:ilvl w:val="8"/>
        <w:numId w:val="28"/>
      </w:numPr>
    </w:pPr>
  </w:style>
  <w:style w:type="paragraph" w:customStyle="1" w:styleId="Bullet0">
    <w:name w:val="Bullet 0"/>
    <w:basedOn w:val="Normal"/>
    <w:pPr>
      <w:numPr>
        <w:numId w:val="29"/>
      </w:numPr>
    </w:pPr>
  </w:style>
  <w:style w:type="paragraph" w:customStyle="1" w:styleId="Bullet1">
    <w:name w:val="Bullet 1"/>
    <w:basedOn w:val="Normal"/>
    <w:pPr>
      <w:numPr>
        <w:numId w:val="30"/>
      </w:numPr>
    </w:pPr>
  </w:style>
  <w:style w:type="paragraph" w:customStyle="1" w:styleId="Bullet2">
    <w:name w:val="Bullet 2"/>
    <w:basedOn w:val="Normal"/>
    <w:pPr>
      <w:numPr>
        <w:numId w:val="31"/>
      </w:numPr>
    </w:pPr>
  </w:style>
  <w:style w:type="paragraph" w:customStyle="1" w:styleId="Bullet3">
    <w:name w:val="Bullet 3"/>
    <w:basedOn w:val="Normal"/>
    <w:pPr>
      <w:numPr>
        <w:numId w:val="32"/>
      </w:numPr>
    </w:pPr>
  </w:style>
  <w:style w:type="paragraph" w:customStyle="1" w:styleId="Bullet4">
    <w:name w:val="Bullet 4"/>
    <w:basedOn w:val="Normal"/>
    <w:pPr>
      <w:numPr>
        <w:numId w:val="33"/>
      </w:numPr>
    </w:pPr>
  </w:style>
  <w:style w:type="paragraph" w:customStyle="1" w:styleId="Langue">
    <w:name w:val="Langue"/>
    <w:basedOn w:val="Normal"/>
    <w:next w:val="Rfrenceinterne"/>
    <w:pPr>
      <w:framePr w:wrap="around" w:vAnchor="page" w:hAnchor="text" w:xAlign="center" w:y="14741"/>
      <w:spacing w:before="0" w:after="600"/>
      <w:jc w:val="center"/>
    </w:pPr>
    <w:rPr>
      <w:b/>
      <w:caps/>
    </w:rPr>
  </w:style>
  <w:style w:type="paragraph" w:customStyle="1" w:styleId="Nomdelinstitution">
    <w:name w:val="Nom de l'institution"/>
    <w:basedOn w:val="Normal"/>
    <w:next w:val="Emission"/>
    <w:pPr>
      <w:spacing w:before="0" w:after="0"/>
      <w:jc w:val="left"/>
    </w:pPr>
    <w:rPr>
      <w:rFonts w:ascii="Arial" w:hAnsi="Arial" w:cs="Arial"/>
    </w:rPr>
  </w:style>
  <w:style w:type="paragraph" w:customStyle="1" w:styleId="Emission">
    <w:name w:val="Emission"/>
    <w:basedOn w:val="Normal"/>
    <w:next w:val="Rfrenceinstitutionnelle"/>
    <w:pPr>
      <w:spacing w:before="0" w:after="0"/>
      <w:ind w:left="5103"/>
      <w:jc w:val="left"/>
    </w:pPr>
  </w:style>
  <w:style w:type="paragraph" w:customStyle="1" w:styleId="Rfrenceinstitutionnelle">
    <w:name w:val="Référence institutionnelle"/>
    <w:basedOn w:val="Normal"/>
    <w:next w:val="Confidentialit"/>
    <w:pPr>
      <w:spacing w:before="0" w:after="240"/>
      <w:ind w:left="5103"/>
      <w:jc w:val="left"/>
    </w:pPr>
  </w:style>
  <w:style w:type="paragraph" w:customStyle="1" w:styleId="Pagedecouverture">
    <w:name w:val="Page de couverture"/>
    <w:basedOn w:val="Normal"/>
    <w:next w:val="Normal"/>
    <w:pPr>
      <w:spacing w:before="0" w:after="0"/>
    </w:pPr>
  </w:style>
  <w:style w:type="paragraph" w:customStyle="1" w:styleId="Declassification">
    <w:name w:val="Declassification"/>
    <w:basedOn w:val="Normal"/>
    <w:next w:val="Normal"/>
    <w:pPr>
      <w:spacing w:before="0" w:after="0"/>
    </w:pPr>
  </w:style>
  <w:style w:type="paragraph" w:customStyle="1" w:styleId="Disclaimer">
    <w:name w:val="Disclaimer"/>
    <w:basedOn w:val="Normal"/>
    <w:pPr>
      <w:framePr w:w="8220" w:wrap="notBeside" w:hAnchor="margin" w:xAlign="center" w:y="10401"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</w:pPr>
  </w:style>
  <w:style w:type="paragraph" w:customStyle="1" w:styleId="SecurityMarking">
    <w:name w:val="SecurityMarking"/>
    <w:basedOn w:val="Normal"/>
    <w:pPr>
      <w:spacing w:before="0" w:after="0" w:line="276" w:lineRule="auto"/>
      <w:ind w:left="5103"/>
      <w:jc w:val="left"/>
    </w:pPr>
    <w:rPr>
      <w:sz w:val="28"/>
    </w:rPr>
  </w:style>
  <w:style w:type="paragraph" w:customStyle="1" w:styleId="DateMarking">
    <w:name w:val="DateMarking"/>
    <w:basedOn w:val="Normal"/>
    <w:pPr>
      <w:spacing w:before="0" w:after="0" w:line="276" w:lineRule="auto"/>
      <w:ind w:left="5103"/>
      <w:jc w:val="left"/>
    </w:pPr>
    <w:rPr>
      <w:i/>
      <w:sz w:val="28"/>
    </w:rPr>
  </w:style>
  <w:style w:type="paragraph" w:customStyle="1" w:styleId="ReleasableTo">
    <w:name w:val="ReleasableTo"/>
    <w:basedOn w:val="Normal"/>
    <w:pPr>
      <w:spacing w:before="0" w:after="0" w:line="276" w:lineRule="auto"/>
      <w:ind w:left="5103"/>
      <w:jc w:val="left"/>
    </w:pPr>
    <w:rPr>
      <w:i/>
      <w:sz w:val="28"/>
    </w:rPr>
  </w:style>
  <w:style w:type="paragraph" w:customStyle="1" w:styleId="Annexetitreexpos">
    <w:name w:val="Annexe titre (exposé)"/>
    <w:basedOn w:val="Normal"/>
    <w:next w:val="Normal"/>
    <w:pPr>
      <w:jc w:val="center"/>
    </w:pPr>
    <w:rPr>
      <w:b/>
      <w:u w:val="single"/>
    </w:rPr>
  </w:style>
  <w:style w:type="paragraph" w:customStyle="1" w:styleId="Annexetitre">
    <w:name w:val="Annexe titre"/>
    <w:basedOn w:val="Normal"/>
    <w:next w:val="Normal"/>
    <w:pPr>
      <w:jc w:val="center"/>
    </w:pPr>
    <w:rPr>
      <w:b/>
      <w:u w:val="single"/>
    </w:rPr>
  </w:style>
  <w:style w:type="paragraph" w:customStyle="1" w:styleId="Annexetitrefichefinancire">
    <w:name w:val="Annexe titre (fiche financière)"/>
    <w:basedOn w:val="Normal"/>
    <w:next w:val="Normal"/>
    <w:pPr>
      <w:jc w:val="center"/>
    </w:pPr>
    <w:rPr>
      <w:b/>
      <w:u w:val="single"/>
    </w:rPr>
  </w:style>
  <w:style w:type="paragraph" w:customStyle="1" w:styleId="Applicationdirecte">
    <w:name w:val="Application directe"/>
    <w:basedOn w:val="Normal"/>
    <w:next w:val="Fait"/>
    <w:pPr>
      <w:spacing w:before="480"/>
    </w:pPr>
  </w:style>
  <w:style w:type="paragraph" w:customStyle="1" w:styleId="Avertissementtitre">
    <w:name w:val="Avertissement titre"/>
    <w:basedOn w:val="Normal"/>
    <w:next w:val="Normal"/>
    <w:pPr>
      <w:keepNext/>
      <w:spacing w:before="480"/>
    </w:pPr>
    <w:rPr>
      <w:u w:val="single"/>
    </w:rPr>
  </w:style>
  <w:style w:type="paragraph" w:customStyle="1" w:styleId="Confidence">
    <w:name w:val="Confidence"/>
    <w:basedOn w:val="Normal"/>
    <w:next w:val="Normal"/>
    <w:pPr>
      <w:spacing w:before="360"/>
      <w:jc w:val="center"/>
    </w:pPr>
  </w:style>
  <w:style w:type="paragraph" w:customStyle="1" w:styleId="Confidentialit">
    <w:name w:val="Confidentialité"/>
    <w:basedOn w:val="Normal"/>
    <w:next w:val="TypedudocumentPagedecouverture"/>
    <w:pPr>
      <w:spacing w:before="240" w:after="240"/>
      <w:ind w:left="5103"/>
      <w:jc w:val="left"/>
    </w:pPr>
    <w:rPr>
      <w:i/>
      <w:sz w:val="32"/>
    </w:rPr>
  </w:style>
  <w:style w:type="paragraph" w:customStyle="1" w:styleId="Considrant">
    <w:name w:val="Considérant"/>
    <w:basedOn w:val="Normal"/>
    <w:pPr>
      <w:numPr>
        <w:numId w:val="34"/>
      </w:numPr>
    </w:pPr>
  </w:style>
  <w:style w:type="paragraph" w:customStyle="1" w:styleId="Corrigendum">
    <w:name w:val="Corrigendum"/>
    <w:basedOn w:val="Normal"/>
    <w:next w:val="Normal"/>
    <w:pPr>
      <w:spacing w:before="0" w:after="240"/>
      <w:jc w:val="left"/>
    </w:pPr>
  </w:style>
  <w:style w:type="paragraph" w:customStyle="1" w:styleId="Datedadoption">
    <w:name w:val="Date d'adoption"/>
    <w:basedOn w:val="Normal"/>
    <w:next w:val="IntrtEEE"/>
    <w:pPr>
      <w:spacing w:before="360" w:after="0"/>
      <w:jc w:val="center"/>
    </w:pPr>
    <w:rPr>
      <w:b/>
    </w:rPr>
  </w:style>
  <w:style w:type="paragraph" w:customStyle="1" w:styleId="Exposdesmotifstitre">
    <w:name w:val="Exposé des motifs titre"/>
    <w:basedOn w:val="Normal"/>
    <w:next w:val="Normal"/>
    <w:pPr>
      <w:jc w:val="center"/>
    </w:pPr>
    <w:rPr>
      <w:b/>
      <w:u w:val="single"/>
    </w:rPr>
  </w:style>
  <w:style w:type="paragraph" w:customStyle="1" w:styleId="Fait">
    <w:name w:val="Fait à"/>
    <w:basedOn w:val="Normal"/>
    <w:next w:val="Institutionquisigne"/>
    <w:pPr>
      <w:keepNext/>
      <w:spacing w:after="0"/>
    </w:pPr>
  </w:style>
  <w:style w:type="paragraph" w:customStyle="1" w:styleId="Formuledadoption">
    <w:name w:val="Formule d'adoption"/>
    <w:basedOn w:val="Normal"/>
    <w:next w:val="Titrearticle"/>
    <w:pPr>
      <w:keepNext/>
    </w:pPr>
  </w:style>
  <w:style w:type="paragraph" w:customStyle="1" w:styleId="Institutionquiagit">
    <w:name w:val="Institution qui agit"/>
    <w:basedOn w:val="Normal"/>
    <w:next w:val="Normal"/>
    <w:pPr>
      <w:keepNext/>
      <w:spacing w:before="600"/>
    </w:pPr>
  </w:style>
  <w:style w:type="paragraph" w:customStyle="1" w:styleId="Institutionquisigne">
    <w:name w:val="Institution qui signe"/>
    <w:basedOn w:val="Normal"/>
    <w:next w:val="Personnequisigne"/>
    <w:pPr>
      <w:keepNext/>
      <w:tabs>
        <w:tab w:val="left" w:pos="4252"/>
      </w:tabs>
      <w:spacing w:before="720" w:after="0"/>
    </w:pPr>
    <w:rPr>
      <w:i/>
    </w:rPr>
  </w:style>
  <w:style w:type="paragraph" w:customStyle="1" w:styleId="ManualConsidrant">
    <w:name w:val="Manual Considérant"/>
    <w:basedOn w:val="Normal"/>
    <w:pPr>
      <w:ind w:left="709" w:hanging="709"/>
    </w:pPr>
  </w:style>
  <w:style w:type="paragraph" w:customStyle="1" w:styleId="Personnequisigne">
    <w:name w:val="Personne qui signe"/>
    <w:basedOn w:val="Normal"/>
    <w:next w:val="Institutionquisigne"/>
    <w:pPr>
      <w:tabs>
        <w:tab w:val="left" w:pos="4252"/>
      </w:tabs>
      <w:spacing w:before="0" w:after="0"/>
      <w:jc w:val="left"/>
    </w:pPr>
    <w:rPr>
      <w:i/>
    </w:rPr>
  </w:style>
  <w:style w:type="paragraph" w:customStyle="1" w:styleId="Rfrenceinterinstitutionnelle">
    <w:name w:val="Référence interinstitutionnelle"/>
    <w:basedOn w:val="Normal"/>
    <w:next w:val="Statut"/>
    <w:pPr>
      <w:spacing w:before="0" w:after="0"/>
      <w:ind w:left="5103"/>
      <w:jc w:val="left"/>
    </w:pPr>
  </w:style>
  <w:style w:type="paragraph" w:customStyle="1" w:styleId="Rfrenceinterne">
    <w:name w:val="Référence interne"/>
    <w:basedOn w:val="Normal"/>
    <w:next w:val="Rfrenceinterinstitutionnelle"/>
    <w:pPr>
      <w:spacing w:before="0" w:after="0"/>
      <w:ind w:left="5103"/>
      <w:jc w:val="left"/>
    </w:pPr>
  </w:style>
  <w:style w:type="paragraph" w:customStyle="1" w:styleId="Statut">
    <w:name w:val="Statut"/>
    <w:basedOn w:val="Normal"/>
    <w:next w:val="Typedudocument"/>
    <w:pPr>
      <w:spacing w:before="0" w:after="240"/>
      <w:jc w:val="center"/>
    </w:pPr>
  </w:style>
  <w:style w:type="paragraph" w:customStyle="1" w:styleId="Titrearticle">
    <w:name w:val="Titre article"/>
    <w:basedOn w:val="Normal"/>
    <w:next w:val="Normal"/>
    <w:pPr>
      <w:keepNext/>
      <w:spacing w:before="360"/>
      <w:jc w:val="center"/>
    </w:pPr>
    <w:rPr>
      <w:i/>
    </w:rPr>
  </w:style>
  <w:style w:type="paragraph" w:customStyle="1" w:styleId="Typedudocument">
    <w:name w:val="Type du document"/>
    <w:basedOn w:val="Normal"/>
    <w:next w:val="Accompagnant"/>
    <w:pPr>
      <w:spacing w:before="360" w:after="180"/>
      <w:jc w:val="center"/>
    </w:pPr>
    <w:rPr>
      <w:b/>
    </w:rPr>
  </w:style>
  <w:style w:type="character" w:customStyle="1" w:styleId="Added">
    <w:name w:val="Added"/>
    <w:basedOn w:val="DefaultParagraphFont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pPr>
      <w:keepLines/>
      <w:spacing w:line="360" w:lineRule="auto"/>
      <w:ind w:left="3402"/>
      <w:jc w:val="left"/>
    </w:pPr>
  </w:style>
  <w:style w:type="paragraph" w:customStyle="1" w:styleId="Objetexterne">
    <w:name w:val="Objet externe"/>
    <w:basedOn w:val="Normal"/>
    <w:next w:val="Normal"/>
    <w:rPr>
      <w:i/>
      <w:caps/>
    </w:rPr>
  </w:style>
  <w:style w:type="paragraph" w:customStyle="1" w:styleId="Supertitre">
    <w:name w:val="Supertitre"/>
    <w:basedOn w:val="Normal"/>
    <w:next w:val="Normal"/>
    <w:pPr>
      <w:spacing w:before="0" w:after="600"/>
      <w:jc w:val="center"/>
    </w:pPr>
    <w:rPr>
      <w:b/>
    </w:rPr>
  </w:style>
  <w:style w:type="paragraph" w:customStyle="1" w:styleId="Languesfaisantfoi">
    <w:name w:val="Langues faisant foi"/>
    <w:basedOn w:val="Normal"/>
    <w:next w:val="Normal"/>
    <w:pPr>
      <w:spacing w:before="360" w:after="240"/>
      <w:jc w:val="center"/>
    </w:pPr>
  </w:style>
  <w:style w:type="paragraph" w:customStyle="1" w:styleId="Rfrencecroise">
    <w:name w:val="Référence croisée"/>
    <w:basedOn w:val="Normal"/>
    <w:pPr>
      <w:spacing w:before="0" w:after="0"/>
      <w:jc w:val="center"/>
    </w:pPr>
  </w:style>
  <w:style w:type="paragraph" w:customStyle="1" w:styleId="Fichefinanciretitre">
    <w:name w:val="Fiche financière titre"/>
    <w:basedOn w:val="Normal"/>
    <w:next w:val="Normal"/>
    <w:pPr>
      <w:jc w:val="center"/>
    </w:pPr>
    <w:rPr>
      <w:b/>
      <w:u w:val="single"/>
    </w:rPr>
  </w:style>
  <w:style w:type="paragraph" w:customStyle="1" w:styleId="DatedadoptionPagedecouverture">
    <w:name w:val="Date d'adoption (Page de couverture)"/>
    <w:basedOn w:val="Datedadoption"/>
    <w:next w:val="IntrtEEEPagedecouverture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</w:style>
  <w:style w:type="paragraph" w:customStyle="1" w:styleId="StatutPagedecouverture">
    <w:name w:val="Statut (Page de couverture)"/>
    <w:basedOn w:val="Statut"/>
    <w:next w:val="TypedudocumentPagedecouverture"/>
  </w:style>
  <w:style w:type="paragraph" w:customStyle="1" w:styleId="TypedudocumentPagedecouverture">
    <w:name w:val="Type du document (Page de couverture)"/>
    <w:basedOn w:val="Typedudocument"/>
    <w:next w:val="AccompagnantPagedecouverture"/>
  </w:style>
  <w:style w:type="paragraph" w:customStyle="1" w:styleId="Volume">
    <w:name w:val="Volume"/>
    <w:basedOn w:val="Normal"/>
    <w:next w:val="Confidentialit"/>
    <w:pPr>
      <w:spacing w:before="0" w:after="240"/>
      <w:ind w:left="5103"/>
      <w:jc w:val="left"/>
    </w:pPr>
  </w:style>
  <w:style w:type="paragraph" w:customStyle="1" w:styleId="IntrtEEE">
    <w:name w:val="Intérêt EEE"/>
    <w:basedOn w:val="Languesfaisantfoi"/>
    <w:next w:val="Normal"/>
    <w:pPr>
      <w:spacing w:after="0"/>
    </w:pPr>
  </w:style>
  <w:style w:type="paragraph" w:customStyle="1" w:styleId="Accompagnant">
    <w:name w:val="Accompagnant"/>
    <w:basedOn w:val="Normal"/>
    <w:next w:val="Typeacteprincipal"/>
    <w:pPr>
      <w:spacing w:before="180" w:after="240"/>
      <w:jc w:val="center"/>
    </w:pPr>
    <w:rPr>
      <w:b/>
    </w:rPr>
  </w:style>
  <w:style w:type="paragraph" w:customStyle="1" w:styleId="Typeacteprincipal">
    <w:name w:val="Type acte principal"/>
    <w:basedOn w:val="Normal"/>
    <w:next w:val="Objetacteprincipal"/>
    <w:pPr>
      <w:spacing w:before="0" w:after="240"/>
      <w:jc w:val="center"/>
    </w:pPr>
    <w:rPr>
      <w:b/>
    </w:rPr>
  </w:style>
  <w:style w:type="paragraph" w:customStyle="1" w:styleId="Objetacteprincipal">
    <w:name w:val="Objet acte principal"/>
    <w:basedOn w:val="Normal"/>
    <w:next w:val="Titrearticle"/>
    <w:pPr>
      <w:spacing w:before="0" w:after="360"/>
      <w:jc w:val="center"/>
    </w:pPr>
    <w:rPr>
      <w:b/>
    </w:rPr>
  </w:style>
  <w:style w:type="paragraph" w:customStyle="1" w:styleId="IntrtEEEPagedecouverture">
    <w:name w:val="Intérêt EEE (Page de couverture)"/>
    <w:basedOn w:val="IntrtEEE"/>
    <w:next w:val="Normal"/>
  </w:style>
  <w:style w:type="paragraph" w:customStyle="1" w:styleId="AccompagnantPagedecouverture">
    <w:name w:val="Accompagnant (Page de couverture)"/>
    <w:basedOn w:val="Accompagnant"/>
    <w:next w:val="TypeacteprincipalPagedecouverture"/>
  </w:style>
  <w:style w:type="paragraph" w:customStyle="1" w:styleId="TypeacteprincipalPagedecouverture">
    <w:name w:val="Type acte principal (Page de couverture)"/>
    <w:basedOn w:val="Typeacteprincipal"/>
    <w:next w:val="ObjetacteprincipalPagedecouverture"/>
  </w:style>
  <w:style w:type="paragraph" w:customStyle="1" w:styleId="ObjetacteprincipalPagedecouverture">
    <w:name w:val="Objet acte principal (Page de couverture)"/>
    <w:basedOn w:val="Objetacteprincipal"/>
    <w:next w:val="Rfrencecroise"/>
  </w:style>
  <w:style w:type="paragraph" w:customStyle="1" w:styleId="LanguesfaisantfoiPagedecouverture">
    <w:name w:val="Langues faisant foi (Page de couverture)"/>
    <w:basedOn w:val="Normal"/>
    <w:next w:val="Rfrencecroise"/>
    <w:pPr>
      <w:spacing w:before="360" w:after="240"/>
      <w:jc w:val="center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35"/>
        <w:tab w:val="right" w:pos="9071"/>
      </w:tabs>
      <w:spacing w:before="0"/>
    </w:pPr>
  </w:style>
  <w:style w:type="paragraph" w:customStyle="1" w:styleId="HeaderLandscape">
    <w:name w:val="HeaderLandscape"/>
    <w:basedOn w:val="Normal"/>
    <w:pPr>
      <w:tabs>
        <w:tab w:val="center" w:pos="7285"/>
        <w:tab w:val="right" w:pos="14003"/>
      </w:tabs>
      <w:spacing w:before="0"/>
    </w:p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35"/>
        <w:tab w:val="right" w:pos="9071"/>
        <w:tab w:val="right" w:pos="9921"/>
      </w:tabs>
      <w:spacing w:before="360" w:after="0"/>
      <w:ind w:left="-850" w:right="-850"/>
      <w:jc w:val="left"/>
    </w:pPr>
  </w:style>
  <w:style w:type="paragraph" w:customStyle="1" w:styleId="FooterLandscape">
    <w:name w:val="FooterLandscape"/>
    <w:basedOn w:val="Normal"/>
    <w:pPr>
      <w:tabs>
        <w:tab w:val="center" w:pos="7285"/>
        <w:tab w:val="center" w:pos="10913"/>
        <w:tab w:val="right" w:pos="15137"/>
      </w:tabs>
      <w:spacing w:before="360" w:after="0"/>
      <w:ind w:left="-567" w:right="-567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footer" Target="footer4.xml"/><Relationship Id="rId3" Type="http://schemas.openxmlformats.org/officeDocument/2006/relationships/customXml" Target="../customXml/item3.xml"/><Relationship Id="rId21" Type="http://schemas.openxmlformats.org/officeDocument/2006/relationships/footer" Target="footer6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23" Type="http://schemas.openxmlformats.org/officeDocument/2006/relationships/theme" Target="theme/theme1.xml"/><Relationship Id="rId10" Type="http://schemas.openxmlformats.org/officeDocument/2006/relationships/image" Target="media/image1.emf"/><Relationship Id="rId19" Type="http://schemas.openxmlformats.org/officeDocument/2006/relationships/footer" Target="footer5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Relationship Id="rId22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ANNEX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BAD999D84E12C74482EA5120F5227F6F00217DECAAC21D6B43958DFE68658C192E" ma:contentTypeVersion="27" ma:contentTypeDescription="Create a new document in this library." ma:contentTypeScope="" ma:versionID="21d0a0e06688d09e97f4165f03ece64c">
  <xsd:schema xmlns:xsd="http://www.w3.org/2001/XMLSchema" xmlns:xs="http://www.w3.org/2001/XMLSchema" xmlns:p="http://schemas.microsoft.com/office/2006/metadata/properties" xmlns:ns2="http://schemas.microsoft.com/sharepoint/v3/fields" xmlns:ns3="144c03d0-0f03-451f-9d46-5279004462a4" xmlns:ns4="f7bb8512-91eb-4bfd-be42-d6f021407e9a" targetNamespace="http://schemas.microsoft.com/office/2006/metadata/properties" ma:root="true" ma:fieldsID="8f85106d4a88386bc052a7e1d0ca7ee0" ns2:_="" ns3:_="" ns4:_="">
    <xsd:import namespace="http://schemas.microsoft.com/sharepoint/v3/fields"/>
    <xsd:import namespace="144c03d0-0f03-451f-9d46-5279004462a4"/>
    <xsd:import namespace="f7bb8512-91eb-4bfd-be42-d6f021407e9a"/>
    <xsd:element name="properties">
      <xsd:complexType>
        <xsd:sequence>
          <xsd:element name="documentManagement">
            <xsd:complexType>
              <xsd:all>
                <xsd:element ref="ns3:EC_Collab_Reference" minOccurs="0"/>
                <xsd:element ref="ns2:_Status" minOccurs="0"/>
                <xsd:element ref="ns3:EC_Collab_DocumentLanguage"/>
                <xsd:element ref="ns3:SharedWithUsers" minOccurs="0"/>
                <xsd:element ref="ns3:SharedWithDetails" minOccurs="0"/>
                <xsd:element ref="ns3:EC_Collab_Status" minOccurs="0"/>
                <xsd:element ref="ns4:MediaServiceSearchProperties" minOccurs="0"/>
                <xsd:element ref="ns4:lcf76f155ced4ddcb4097134ff3c332f" minOccurs="0"/>
                <xsd:element ref="ns3:TaxCatchAll" minOccurs="0"/>
                <xsd:element ref="ns4:MediaServiceDateTaken" minOccurs="0"/>
                <xsd:element ref="ns4:MediaServiceOCR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3" nillable="true" ma:displayName="Status" ma:default="Not Started" ma:hidden="true" ma:internalName="_Status" ma:readOnly="false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4c03d0-0f03-451f-9d46-5279004462a4" elementFormDefault="qualified">
    <xsd:import namespace="http://schemas.microsoft.com/office/2006/documentManagement/types"/>
    <xsd:import namespace="http://schemas.microsoft.com/office/infopath/2007/PartnerControls"/>
    <xsd:element name="EC_Collab_Reference" ma:index="12" nillable="true" ma:displayName="Reference" ma:internalName="EC_Collab_Reference" ma:readOnly="false">
      <xsd:simpleType>
        <xsd:restriction base="dms:Text"/>
      </xsd:simpleType>
    </xsd:element>
    <xsd:element name="EC_Collab_DocumentLanguage" ma:index="14" ma:displayName="Language" ma:default="EN" ma:format="Dropdown" ma:internalName="EC_Collab_DocumentLanguage" ma:readOnly="false">
      <xsd:simpleType>
        <xsd:restriction base="dms:Choice">
          <xsd:enumeration value="BG"/>
          <xsd:enumeration value="ES"/>
          <xsd:enumeration value="CS"/>
          <xsd:enumeration value="DA"/>
          <xsd:enumeration value="DE"/>
          <xsd:enumeration value="ET"/>
          <xsd:enumeration value="EL"/>
          <xsd:enumeration value="EN"/>
          <xsd:enumeration value="FR"/>
          <xsd:enumeration value="GA"/>
          <xsd:enumeration value="IT"/>
          <xsd:enumeration value="LT"/>
          <xsd:enumeration value="LV"/>
          <xsd:enumeration value="HU"/>
          <xsd:enumeration value="MT"/>
          <xsd:enumeration value="NL"/>
          <xsd:enumeration value="PL"/>
          <xsd:enumeration value="PT"/>
          <xsd:enumeration value="RO"/>
          <xsd:enumeration value="SK"/>
          <xsd:enumeration value="SL"/>
          <xsd:enumeration value="FI"/>
          <xsd:enumeration value="SV"/>
          <xsd:enumeration value="HR"/>
          <xsd:enumeration value="MK"/>
          <xsd:enumeration value="TR"/>
          <xsd:enumeration value="EU"/>
          <xsd:enumeration value="CA"/>
          <xsd:enumeration value="GL"/>
          <xsd:enumeration value="AB"/>
          <xsd:enumeration value="AA"/>
          <xsd:enumeration value="AF"/>
          <xsd:enumeration value="AK"/>
          <xsd:enumeration value="SQ"/>
          <xsd:enumeration value="AM"/>
          <xsd:enumeration value="AR"/>
          <xsd:enumeration value="AN"/>
          <xsd:enumeration value="HY"/>
          <xsd:enumeration value="AS"/>
          <xsd:enumeration value="AV"/>
          <xsd:enumeration value="AE"/>
          <xsd:enumeration value="AY"/>
          <xsd:enumeration value="AZ"/>
          <xsd:enumeration value="BM"/>
          <xsd:enumeration value="BA"/>
          <xsd:enumeration value="BE"/>
          <xsd:enumeration value="BN"/>
          <xsd:enumeration value="BH"/>
          <xsd:enumeration value="BI"/>
          <xsd:enumeration value="NB"/>
          <xsd:enumeration value="BS"/>
          <xsd:enumeration value="BR"/>
          <xsd:enumeration value="MY"/>
          <xsd:enumeration value="KM"/>
          <xsd:enumeration value="CH"/>
          <xsd:enumeration value="CE"/>
          <xsd:enumeration value="NY"/>
          <xsd:enumeration value="ZH"/>
          <xsd:enumeration value="CU"/>
          <xsd:enumeration value="CV"/>
          <xsd:enumeration value="KW"/>
          <xsd:enumeration value="CO"/>
          <xsd:enumeration value="CR"/>
          <xsd:enumeration value="DV"/>
          <xsd:enumeration value="DZ"/>
          <xsd:enumeration value="EO"/>
          <xsd:enumeration value="EE"/>
          <xsd:enumeration value="FO"/>
          <xsd:enumeration value="FJ"/>
          <xsd:enumeration value="FF"/>
          <xsd:enumeration value="GD"/>
          <xsd:enumeration value="LG"/>
          <xsd:enumeration value="KA"/>
          <xsd:enumeration value="GN"/>
          <xsd:enumeration value="GU"/>
          <xsd:enumeration value="HT"/>
          <xsd:enumeration value="HA"/>
          <xsd:enumeration value="HE"/>
          <xsd:enumeration value="HZ"/>
          <xsd:enumeration value="HI"/>
          <xsd:enumeration value="HO"/>
          <xsd:enumeration value="IS"/>
          <xsd:enumeration value="IO"/>
          <xsd:enumeration value="IG"/>
          <xsd:enumeration value="ID"/>
          <xsd:enumeration value="IA"/>
          <xsd:enumeration value="IE"/>
          <xsd:enumeration value="IU"/>
          <xsd:enumeration value="IK"/>
          <xsd:enumeration value="JA"/>
          <xsd:enumeration value="JV"/>
          <xsd:enumeration value="KL"/>
          <xsd:enumeration value="KN"/>
          <xsd:enumeration value="KR"/>
          <xsd:enumeration value="KS"/>
          <xsd:enumeration value="KK"/>
          <xsd:enumeration value="KI"/>
          <xsd:enumeration value="RW"/>
          <xsd:enumeration value="KY"/>
          <xsd:enumeration value="KV"/>
          <xsd:enumeration value="KG"/>
          <xsd:enumeration value="KO"/>
          <xsd:enumeration value="KJ"/>
          <xsd:enumeration value="KU"/>
          <xsd:enumeration value="LO"/>
          <xsd:enumeration value="LA"/>
          <xsd:enumeration value="LI"/>
          <xsd:enumeration value="LN"/>
          <xsd:enumeration value="LU"/>
          <xsd:enumeration value="LB"/>
          <xsd:enumeration value="MG"/>
          <xsd:enumeration value="MS"/>
          <xsd:enumeration value="ML"/>
          <xsd:enumeration value="GV"/>
          <xsd:enumeration value="MI"/>
          <xsd:enumeration value="MR"/>
          <xsd:enumeration value="MH"/>
          <xsd:enumeration value="MN"/>
          <xsd:enumeration value="NA"/>
          <xsd:enumeration value="NV"/>
          <xsd:enumeration value="ND"/>
          <xsd:enumeration value="NR"/>
          <xsd:enumeration value="NG"/>
          <xsd:enumeration value="NE"/>
          <xsd:enumeration value="SE"/>
          <xsd:enumeration value="NO"/>
          <xsd:enumeration value="NN"/>
          <xsd:enumeration value="OC"/>
          <xsd:enumeration value="OJ"/>
          <xsd:enumeration value="OR"/>
          <xsd:enumeration value="OM"/>
          <xsd:enumeration value="OS"/>
          <xsd:enumeration value="PI"/>
          <xsd:enumeration value="PA"/>
          <xsd:enumeration value="FA"/>
          <xsd:enumeration value="PS"/>
          <xsd:enumeration value="QU"/>
          <xsd:enumeration value="RM"/>
          <xsd:enumeration value="RN"/>
          <xsd:enumeration value="RU"/>
          <xsd:enumeration value="SM"/>
          <xsd:enumeration value="SG"/>
          <xsd:enumeration value="SA"/>
          <xsd:enumeration value="SC"/>
          <xsd:enumeration value="SR"/>
          <xsd:enumeration value="SN"/>
          <xsd:enumeration value="II"/>
          <xsd:enumeration value="SD"/>
          <xsd:enumeration value="SI"/>
          <xsd:enumeration value="SO"/>
          <xsd:enumeration value="ST"/>
          <xsd:enumeration value="SU"/>
          <xsd:enumeration value="SW"/>
          <xsd:enumeration value="SS"/>
          <xsd:enumeration value="TL"/>
          <xsd:enumeration value="TY"/>
          <xsd:enumeration value="TG"/>
          <xsd:enumeration value="TA"/>
          <xsd:enumeration value="TT"/>
          <xsd:enumeration value="TE"/>
          <xsd:enumeration value="TH"/>
          <xsd:enumeration value="BO"/>
          <xsd:enumeration value="TI"/>
          <xsd:enumeration value="TO"/>
          <xsd:enumeration value="TS"/>
          <xsd:enumeration value="TN"/>
          <xsd:enumeration value="TK"/>
          <xsd:enumeration value="TW"/>
          <xsd:enumeration value="UG"/>
          <xsd:enumeration value="UK"/>
          <xsd:enumeration value="UR"/>
          <xsd:enumeration value="UZ"/>
          <xsd:enumeration value="VE"/>
          <xsd:enumeration value="VI"/>
          <xsd:enumeration value="VO"/>
          <xsd:enumeration value="WA"/>
          <xsd:enumeration value="CY"/>
          <xsd:enumeration value="FY"/>
          <xsd:enumeration value="WO"/>
          <xsd:enumeration value="XH"/>
          <xsd:enumeration value="YI"/>
          <xsd:enumeration value="YO"/>
          <xsd:enumeration value="ZA"/>
          <xsd:enumeration value="ZU"/>
        </xsd:restriction>
      </xsd:simpleType>
    </xsd:element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EC_Collab_Status" ma:index="17" nillable="true" ma:displayName="EC Status" ma:default="Not Started" ma:format="Dropdown" ma:internalName="EC_Collab_Status" ma:readOnly="false">
      <xsd:simpleType>
        <xsd:restriction base="dms:Choice">
          <xsd:enumeration value="Not Started"/>
          <xsd:enumeration value="Draft"/>
          <xsd:enumeration value="Reviewed"/>
          <xsd:enumeration value="Scheduled"/>
          <xsd:enumeration value="Published"/>
          <xsd:enumeration value="Final"/>
          <xsd:enumeration value="Expired"/>
        </xsd:restriction>
      </xsd:simpleType>
    </xsd:element>
    <xsd:element name="TaxCatchAll" ma:index="21" nillable="true" ma:displayName="Taxonomy Catch All Column" ma:hidden="true" ma:list="{51513471-611d-4aba-ae12-e8d0e877eea6}" ma:internalName="TaxCatchAll" ma:showField="CatchAllData" ma:web="144c03d0-0f03-451f-9d46-5279004462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bb8512-91eb-4bfd-be42-d6f021407e9a" elementFormDefault="qualified">
    <xsd:import namespace="http://schemas.microsoft.com/office/2006/documentManagement/types"/>
    <xsd:import namespace="http://schemas.microsoft.com/office/infopath/2007/PartnerControls"/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22b2fad6-9d2c-441c-a321-3f5f1e9bd9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9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7" ma:displayName="Title"/>
        <xsd:element ref="dc:subject" minOccurs="0" maxOccurs="1" ma:index="8" ma:displayName="Subject"/>
        <xsd:element ref="dc:description" minOccurs="0" maxOccurs="1" ma:index="11" ma:displayName="Comments"/>
        <xsd:element name="keywords" minOccurs="0" maxOccurs="1" type="xsd:string" ma:index="10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This value indicates the number of saves or revisions. The application is responsible for updating this value after each revision.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C_Collab_Reference xmlns="144c03d0-0f03-451f-9d46-5279004462a4" xsi:nil="true"/>
    <EC_Collab_Status xmlns="144c03d0-0f03-451f-9d46-5279004462a4">Not Started</EC_Collab_Status>
    <_Status xmlns="http://schemas.microsoft.com/sharepoint/v3/fields">Not Started</_Status>
    <EC_Collab_DocumentLanguage xmlns="144c03d0-0f03-451f-9d46-5279004462a4">EN</EC_Collab_DocumentLanguage>
    <lcf76f155ced4ddcb4097134ff3c332f xmlns="f7bb8512-91eb-4bfd-be42-d6f021407e9a">
      <Terms xmlns="http://schemas.microsoft.com/office/infopath/2007/PartnerControls"/>
    </lcf76f155ced4ddcb4097134ff3c332f>
    <TaxCatchAll xmlns="144c03d0-0f03-451f-9d46-5279004462a4" xsi:nil="true"/>
  </documentManagement>
</p:properties>
</file>

<file path=customXml/itemProps1.xml><?xml version="1.0" encoding="utf-8"?>
<ds:datastoreItem xmlns:ds="http://schemas.openxmlformats.org/officeDocument/2006/customXml" ds:itemID="{A03A429E-8451-4900-A4E4-167CF560A0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144c03d0-0f03-451f-9d46-5279004462a4"/>
    <ds:schemaRef ds:uri="f7bb8512-91eb-4bfd-be42-d6f021407e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8EAC885-EC16-49FB-9D77-3FE32BE3010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AB06863-8994-4DD5-BB08-A9216FBC7265}">
  <ds:schemaRefs>
    <ds:schemaRef ds:uri="http://schemas.microsoft.com/office/2006/metadata/properties"/>
    <ds:schemaRef ds:uri="http://schemas.microsoft.com/office/infopath/2007/PartnerControls"/>
    <ds:schemaRef ds:uri="144c03d0-0f03-451f-9d46-5279004462a4"/>
    <ds:schemaRef ds:uri="http://schemas.microsoft.com/sharepoint/v3/fields"/>
    <ds:schemaRef ds:uri="f7bb8512-91eb-4bfd-be42-d6f021407e9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ANNEX.dotm</Template>
  <TotalTime>8</TotalTime>
  <Pages>2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SVC-T1-CODE-PRD</cp:lastModifiedBy>
  <cp:revision>20</cp:revision>
  <dcterms:created xsi:type="dcterms:W3CDTF">2026-07-28T08:12:00Z</dcterms:created>
  <dcterms:modified xsi:type="dcterms:W3CDTF">2026-09-09T15:25:00Z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tegory">
    <vt:lpwstr>COM/ANNEX</vt:lpwstr>
  </property>
  <property fmtid="{D5CDD505-2E9C-101B-9397-08002B2CF9AE}" pid="3" name="Version">
    <vt:lpwstr>8.0.25.0</vt:lpwstr>
  </property>
  <property fmtid="{D5CDD505-2E9C-101B-9397-08002B2CF9AE}" pid="4" name="Last edited using">
    <vt:lpwstr>LW 9.2, Build 20250828</vt:lpwstr>
  </property>
  <property fmtid="{D5CDD505-2E9C-101B-9397-08002B2CF9AE}" pid="5" name="Created using">
    <vt:lpwstr>LW 9.2, Build 20250828</vt:lpwstr>
  </property>
  <property fmtid="{D5CDD505-2E9C-101B-9397-08002B2CF9AE}" pid="6" name="First annex">
    <vt:lpwstr>1</vt:lpwstr>
  </property>
  <property fmtid="{D5CDD505-2E9C-101B-9397-08002B2CF9AE}" pid="7" name="Last annex">
    <vt:lpwstr>1</vt:lpwstr>
  </property>
  <property fmtid="{D5CDD505-2E9C-101B-9397-08002B2CF9AE}" pid="8" name="Unique annex">
    <vt:lpwstr>1</vt:lpwstr>
  </property>
  <property fmtid="{D5CDD505-2E9C-101B-9397-08002B2CF9AE}" pid="9" name="Part">
    <vt:lpwstr>1</vt:lpwstr>
  </property>
  <property fmtid="{D5CDD505-2E9C-101B-9397-08002B2CF9AE}" pid="10" name="Total parts">
    <vt:lpwstr>1</vt:lpwstr>
  </property>
  <property fmtid="{D5CDD505-2E9C-101B-9397-08002B2CF9AE}" pid="11" name="Level of sensitivity">
    <vt:lpwstr>Standard treatment</vt:lpwstr>
  </property>
  <property fmtid="{D5CDD505-2E9C-101B-9397-08002B2CF9AE}" pid="12" name="LWTemplateID">
    <vt:lpwstr>SG-017</vt:lpwstr>
  </property>
  <property fmtid="{D5CDD505-2E9C-101B-9397-08002B2CF9AE}" pid="13" name="MSIP_Label_6bd9ddd1-4d20-43f6-abfa-fc3c07406f94_Enabled">
    <vt:lpwstr>true</vt:lpwstr>
  </property>
  <property fmtid="{D5CDD505-2E9C-101B-9397-08002B2CF9AE}" pid="14" name="MSIP_Label_6bd9ddd1-4d20-43f6-abfa-fc3c07406f94_SetDate">
    <vt:lpwstr>2026-06-02T15:37:55Z</vt:lpwstr>
  </property>
  <property fmtid="{D5CDD505-2E9C-101B-9397-08002B2CF9AE}" pid="15" name="MSIP_Label_6bd9ddd1-4d20-43f6-abfa-fc3c07406f94_Method">
    <vt:lpwstr>Standard</vt:lpwstr>
  </property>
  <property fmtid="{D5CDD505-2E9C-101B-9397-08002B2CF9AE}" pid="16" name="MSIP_Label_6bd9ddd1-4d20-43f6-abfa-fc3c07406f94_Name">
    <vt:lpwstr>Commission Use</vt:lpwstr>
  </property>
  <property fmtid="{D5CDD505-2E9C-101B-9397-08002B2CF9AE}" pid="17" name="MSIP_Label_6bd9ddd1-4d20-43f6-abfa-fc3c07406f94_SiteId">
    <vt:lpwstr>b24c8b06-522c-46fe-9080-70926f8dddb1</vt:lpwstr>
  </property>
  <property fmtid="{D5CDD505-2E9C-101B-9397-08002B2CF9AE}" pid="18" name="MSIP_Label_6bd9ddd1-4d20-43f6-abfa-fc3c07406f94_ActionId">
    <vt:lpwstr>ff95d6ba-c23c-42b2-b24d-d4020b79dd73</vt:lpwstr>
  </property>
  <property fmtid="{D5CDD505-2E9C-101B-9397-08002B2CF9AE}" pid="19" name="MSIP_Label_6bd9ddd1-4d20-43f6-abfa-fc3c07406f94_ContentBits">
    <vt:lpwstr>0</vt:lpwstr>
  </property>
  <property fmtid="{D5CDD505-2E9C-101B-9397-08002B2CF9AE}" pid="20" name="MSIP_Label_6bd9ddd1-4d20-43f6-abfa-fc3c07406f94_Tag">
    <vt:lpwstr>10, 3, 0, 1</vt:lpwstr>
  </property>
  <property fmtid="{D5CDD505-2E9C-101B-9397-08002B2CF9AE}" pid="21" name="ContentTypeId">
    <vt:lpwstr>0x010100BAD999D84E12C74482EA5120F5227F6F00217DECAAC21D6B43958DFE68658C192E</vt:lpwstr>
  </property>
  <property fmtid="{D5CDD505-2E9C-101B-9397-08002B2CF9AE}" pid="22" name="MediaServiceImageTags">
    <vt:lpwstr/>
  </property>
  <property fmtid="{D5CDD505-2E9C-101B-9397-08002B2CF9AE}" pid="23" name="DQCStatus">
    <vt:lpwstr>Green (DQC version 03)</vt:lpwstr>
  </property>
</Properties>
</file>