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452E6D52-2BF3-4A84-9FB5-6899F18130FA" style="width:455.25pt;height:342pt">
            <v:imagedata r:id="rId8" o:title=""/>
          </v:shape>
        </w:pict>
      </w:r>
    </w:p>
    <w:bookmarkEnd w:id="0"/>
    <w:p>
      <w:pPr>
        <w:rPr>
          <w:noProof/>
        </w:rPr>
        <w:sectPr>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pPr>
        <w:rPr>
          <w:b/>
          <w:bCs/>
          <w:noProof/>
        </w:rPr>
      </w:pPr>
      <w:r>
        <w:rPr>
          <w:b/>
          <w:bCs/>
          <w:noProof/>
        </w:rPr>
        <w:lastRenderedPageBreak/>
        <w:t>1. INTRODUCTION</w:t>
      </w:r>
    </w:p>
    <w:p>
      <w:pPr>
        <w:rPr>
          <w:noProof/>
          <w:highlight w:val="yellow"/>
        </w:rPr>
      </w:pPr>
    </w:p>
    <w:p>
      <w:pPr>
        <w:jc w:val="both"/>
        <w:rPr>
          <w:noProof/>
        </w:rPr>
      </w:pPr>
      <w:r>
        <w:rPr>
          <w:noProof/>
        </w:rPr>
        <w:t>Council Regulation (EC) No 116/2009 </w:t>
      </w:r>
      <w:r>
        <w:rPr>
          <w:rStyle w:val="FootnoteReference"/>
          <w:noProof/>
        </w:rPr>
        <w:footnoteReference w:id="1"/>
      </w:r>
      <w:r>
        <w:rPr>
          <w:noProof/>
        </w:rPr>
        <w:t xml:space="preserve"> on the export of cultural goods (the Regulation) makes the export of certain cultural goods outside the European Union’s customs territory dependent on the presentation of an export licence. It also ensures that exports of those goods undergo uniform controls at the EU’s external borders. Annex I of the Regulation defines the material scope of the Regulation by listing the categories of cultural goods to which it applies, as well as by setting age and/or value thresholds for most of the categories listed.</w:t>
      </w:r>
    </w:p>
    <w:p>
      <w:pPr>
        <w:jc w:val="both"/>
        <w:rPr>
          <w:noProof/>
        </w:rPr>
      </w:pPr>
    </w:p>
    <w:p>
      <w:pPr>
        <w:jc w:val="both"/>
        <w:rPr>
          <w:noProof/>
        </w:rPr>
      </w:pPr>
      <w:r>
        <w:rPr>
          <w:noProof/>
        </w:rPr>
        <w:t>The objective of the Regulation is to reconcile the fundamental principle of free movement of goods with the principle of protecting national treasures within the historical framework of the creation in 1993 of the Internal Market, which abolished all internal borders between Member States.</w:t>
      </w:r>
    </w:p>
    <w:p>
      <w:pPr>
        <w:jc w:val="both"/>
        <w:rPr>
          <w:noProof/>
        </w:rPr>
      </w:pPr>
    </w:p>
    <w:p>
      <w:pPr>
        <w:jc w:val="both"/>
        <w:rPr>
          <w:noProof/>
        </w:rPr>
      </w:pPr>
      <w:r>
        <w:rPr>
          <w:noProof/>
        </w:rPr>
        <w:t>To complement the framework set up by the Regulation, an implementing regulation </w:t>
      </w:r>
      <w:r>
        <w:rPr>
          <w:rStyle w:val="FootnoteReference"/>
          <w:noProof/>
        </w:rPr>
        <w:footnoteReference w:id="2"/>
      </w:r>
      <w:r>
        <w:rPr>
          <w:noProof/>
        </w:rPr>
        <w:t xml:space="preserve"> provides for three types of export licences (standard licence, specific open licence and general open licence) and sets out the rules for their application. In addition to EU legislation, certain Member States’ laws impose additional restrictions, such as a requirement to obtain a national licence – followed by an EU export licence – for the lawful movement of objects designated as ‘national treasures’ out of their national territory.</w:t>
      </w:r>
    </w:p>
    <w:p>
      <w:pPr>
        <w:jc w:val="both"/>
        <w:rPr>
          <w:noProof/>
        </w:rPr>
      </w:pPr>
    </w:p>
    <w:p>
      <w:pPr>
        <w:jc w:val="both"/>
        <w:rPr>
          <w:noProof/>
        </w:rPr>
      </w:pPr>
      <w:r>
        <w:rPr>
          <w:noProof/>
        </w:rPr>
        <w:t>In accordance with Article 10 of the Regulation, the Commission is required to periodically present a report on the implementation of the Regulation. The present report covers the period from 1 January 2021 to 31 December 2023. It draws on information provided by Member States in response to a questionnaire </w:t>
      </w:r>
      <w:r>
        <w:rPr>
          <w:rStyle w:val="FootnoteReference"/>
          <w:noProof/>
        </w:rPr>
        <w:footnoteReference w:id="3"/>
      </w:r>
      <w:r>
        <w:rPr>
          <w:noProof/>
        </w:rPr>
        <w:t xml:space="preserve"> covering all aspects of implementation of the export licencing system. It also draws on discussions at the Cultural Goods Committee and at the expert group of customs issues related to cultural goods (the Expert Group).</w:t>
      </w:r>
    </w:p>
    <w:p>
      <w:pPr>
        <w:jc w:val="both"/>
        <w:rPr>
          <w:noProof/>
        </w:rPr>
      </w:pPr>
    </w:p>
    <w:p>
      <w:pPr>
        <w:jc w:val="both"/>
        <w:rPr>
          <w:noProof/>
        </w:rPr>
      </w:pPr>
    </w:p>
    <w:p>
      <w:pPr>
        <w:jc w:val="both"/>
        <w:rPr>
          <w:b/>
          <w:bCs/>
          <w:noProof/>
        </w:rPr>
      </w:pPr>
      <w:r>
        <w:rPr>
          <w:b/>
          <w:bCs/>
          <w:noProof/>
        </w:rPr>
        <w:t>2. IMPLEMENTATION OF THE REGULATION</w:t>
      </w:r>
    </w:p>
    <w:p>
      <w:pPr>
        <w:jc w:val="both"/>
        <w:rPr>
          <w:b/>
          <w:bCs/>
          <w:noProof/>
        </w:rPr>
      </w:pPr>
    </w:p>
    <w:p>
      <w:pPr>
        <w:jc w:val="both"/>
        <w:rPr>
          <w:b/>
          <w:bCs/>
          <w:noProof/>
          <w:highlight w:val="yellow"/>
        </w:rPr>
      </w:pPr>
      <w:r>
        <w:rPr>
          <w:b/>
          <w:bCs/>
          <w:noProof/>
        </w:rPr>
        <w:t>2.1 Objective and performance</w:t>
      </w:r>
    </w:p>
    <w:p>
      <w:pPr>
        <w:jc w:val="both"/>
        <w:rPr>
          <w:noProof/>
        </w:rPr>
      </w:pPr>
    </w:p>
    <w:p>
      <w:pPr>
        <w:jc w:val="both"/>
        <w:rPr>
          <w:noProof/>
        </w:rPr>
      </w:pPr>
      <w:r>
        <w:rPr>
          <w:noProof/>
        </w:rPr>
        <w:t>All but one of the Member States </w:t>
      </w:r>
      <w:r>
        <w:rPr>
          <w:rStyle w:val="FootnoteReference"/>
          <w:noProof/>
        </w:rPr>
        <w:footnoteReference w:id="4"/>
      </w:r>
      <w:r>
        <w:rPr>
          <w:noProof/>
        </w:rPr>
        <w:t xml:space="preserve"> consider that the Regulation is performing well in achieving its objective.</w:t>
      </w:r>
    </w:p>
    <w:p>
      <w:pPr>
        <w:jc w:val="both"/>
        <w:rPr>
          <w:noProof/>
        </w:rPr>
      </w:pPr>
    </w:p>
    <w:p>
      <w:pPr>
        <w:jc w:val="both"/>
        <w:rPr>
          <w:noProof/>
        </w:rPr>
      </w:pPr>
      <w:r>
        <w:rPr>
          <w:noProof/>
        </w:rPr>
        <w:lastRenderedPageBreak/>
        <w:t>14 Member States consider that the Regulation is making a significant contribution to preventing illegal trade, because it creates awareness in heritage institutions, the legitimate art trade, collectors and even tourists of the importance of exercising due diligence before acquiring or putting on the market a cultural good.</w:t>
      </w:r>
    </w:p>
    <w:p>
      <w:pPr>
        <w:jc w:val="both"/>
        <w:rPr>
          <w:noProof/>
        </w:rPr>
      </w:pPr>
    </w:p>
    <w:p>
      <w:pPr>
        <w:jc w:val="both"/>
        <w:rPr>
          <w:noProof/>
        </w:rPr>
      </w:pPr>
      <w:r>
        <w:rPr>
          <w:noProof/>
        </w:rPr>
        <w:t>A few Member States nevertheless identified points where the Regulation’s performance could be improved:</w:t>
      </w:r>
    </w:p>
    <w:p>
      <w:pPr>
        <w:jc w:val="both"/>
        <w:rPr>
          <w:noProof/>
        </w:rPr>
      </w:pPr>
    </w:p>
    <w:p>
      <w:pPr>
        <w:ind w:left="720"/>
        <w:jc w:val="both"/>
        <w:rPr>
          <w:noProof/>
        </w:rPr>
      </w:pPr>
      <w:r>
        <w:rPr>
          <w:noProof/>
        </w:rPr>
        <w:t>(a) increased administrative cooperation </w:t>
      </w:r>
      <w:r>
        <w:rPr>
          <w:rStyle w:val="FootnoteReference"/>
          <w:noProof/>
        </w:rPr>
        <w:footnoteReference w:id="5"/>
      </w:r>
      <w:r>
        <w:rPr>
          <w:noProof/>
        </w:rPr>
        <w:t>, in particular for the purpose of handling cases where the cultural good for which a licence is requested originates in a different Member State;</w:t>
      </w:r>
    </w:p>
    <w:p>
      <w:pPr>
        <w:jc w:val="both"/>
        <w:rPr>
          <w:noProof/>
        </w:rPr>
      </w:pPr>
    </w:p>
    <w:p>
      <w:pPr>
        <w:ind w:left="720"/>
        <w:jc w:val="both"/>
        <w:rPr>
          <w:noProof/>
        </w:rPr>
      </w:pPr>
      <w:r>
        <w:rPr>
          <w:noProof/>
        </w:rPr>
        <w:t>(b) digitalisation of the export licence system </w:t>
      </w:r>
      <w:r>
        <w:rPr>
          <w:rStyle w:val="FootnoteReference"/>
          <w:noProof/>
        </w:rPr>
        <w:footnoteReference w:id="6"/>
      </w:r>
      <w:r>
        <w:rPr>
          <w:noProof/>
        </w:rPr>
        <w:t xml:space="preserve"> in order to provide the same level of protection for EU cultural goods as for goods of non-EU countries under Regulation (EU) 2019/880 </w:t>
      </w:r>
      <w:r>
        <w:rPr>
          <w:rStyle w:val="FootnoteReference"/>
          <w:noProof/>
        </w:rPr>
        <w:footnoteReference w:id="7"/>
      </w:r>
      <w:r>
        <w:rPr>
          <w:noProof/>
        </w:rPr>
        <w:t>;</w:t>
      </w:r>
    </w:p>
    <w:p>
      <w:pPr>
        <w:jc w:val="both"/>
        <w:rPr>
          <w:noProof/>
        </w:rPr>
      </w:pPr>
    </w:p>
    <w:p>
      <w:pPr>
        <w:ind w:left="720"/>
        <w:jc w:val="both"/>
        <w:rPr>
          <w:noProof/>
        </w:rPr>
      </w:pPr>
      <w:r>
        <w:rPr>
          <w:noProof/>
        </w:rPr>
        <w:t>(c) harmonisation of the various EU instruments for the protection of cultural heritage (e.g. the Import Regulation and its electronic system </w:t>
      </w:r>
      <w:r>
        <w:rPr>
          <w:rStyle w:val="FootnoteReference"/>
          <w:noProof/>
        </w:rPr>
        <w:footnoteReference w:id="8"/>
      </w:r>
      <w:r>
        <w:rPr>
          <w:noProof/>
        </w:rPr>
        <w:t>, and the Return Directive </w:t>
      </w:r>
      <w:r>
        <w:rPr>
          <w:rStyle w:val="FootnoteReference"/>
          <w:noProof/>
        </w:rPr>
        <w:footnoteReference w:id="9"/>
      </w:r>
      <w:r>
        <w:rPr>
          <w:noProof/>
        </w:rPr>
        <w:t>) as well as alignment with international conventions for the protection of cultural property </w:t>
      </w:r>
      <w:r>
        <w:rPr>
          <w:rStyle w:val="FootnoteReference"/>
          <w:noProof/>
        </w:rPr>
        <w:footnoteReference w:id="10"/>
      </w:r>
      <w:r>
        <w:rPr>
          <w:noProof/>
        </w:rPr>
        <w:t>;</w:t>
      </w:r>
    </w:p>
    <w:p>
      <w:pPr>
        <w:ind w:left="720"/>
        <w:jc w:val="both"/>
        <w:rPr>
          <w:noProof/>
        </w:rPr>
      </w:pPr>
    </w:p>
    <w:p>
      <w:pPr>
        <w:ind w:left="720"/>
        <w:jc w:val="both"/>
        <w:rPr>
          <w:noProof/>
        </w:rPr>
      </w:pPr>
      <w:r>
        <w:rPr>
          <w:noProof/>
        </w:rPr>
        <w:t>(d) greater use of modern electronic tools (e.g. image recognition technologies and better cooperation with art handlers for exports of cultural goods) </w:t>
      </w:r>
      <w:r>
        <w:rPr>
          <w:rStyle w:val="FootnoteReference"/>
          <w:noProof/>
        </w:rPr>
        <w:footnoteReference w:id="11"/>
      </w:r>
      <w:r>
        <w:rPr>
          <w:noProof/>
        </w:rPr>
        <w:t>.</w:t>
      </w:r>
    </w:p>
    <w:p>
      <w:pPr>
        <w:jc w:val="both"/>
        <w:rPr>
          <w:noProof/>
        </w:rPr>
      </w:pPr>
    </w:p>
    <w:p>
      <w:pPr>
        <w:jc w:val="both"/>
        <w:rPr>
          <w:noProof/>
        </w:rPr>
      </w:pPr>
    </w:p>
    <w:p>
      <w:pPr>
        <w:jc w:val="both"/>
        <w:rPr>
          <w:b/>
          <w:bCs/>
          <w:noProof/>
        </w:rPr>
      </w:pPr>
      <w:r>
        <w:rPr>
          <w:b/>
          <w:bCs/>
          <w:noProof/>
        </w:rPr>
        <w:t>2.2 Material scope of the Regulation</w:t>
      </w:r>
    </w:p>
    <w:p>
      <w:pPr>
        <w:jc w:val="both"/>
        <w:rPr>
          <w:noProof/>
        </w:rPr>
      </w:pPr>
    </w:p>
    <w:p>
      <w:pPr>
        <w:jc w:val="both"/>
        <w:rPr>
          <w:noProof/>
        </w:rPr>
      </w:pPr>
      <w:r>
        <w:rPr>
          <w:noProof/>
        </w:rPr>
        <w:lastRenderedPageBreak/>
        <w:t xml:space="preserve">The Regulation defines its material scope (i.e. the term ‘cultural goods’) by referring to 15 </w:t>
      </w:r>
      <w:r>
        <w:rPr>
          <w:b/>
          <w:bCs/>
          <w:noProof/>
        </w:rPr>
        <w:t xml:space="preserve">categories </w:t>
      </w:r>
      <w:r>
        <w:rPr>
          <w:noProof/>
        </w:rPr>
        <w:t>of goods listed in its Annex I. A large majority of Member States (21) consider those categories topical and representative. However, 6 Member States report that they occasionally face interpretation issues, and 4 Member States suggest updating the list in Annex I. More specifically, those 4 Member States recommend creating a separate category for liturgical icons in order to better protect this type of cultural goods </w:t>
      </w:r>
      <w:r>
        <w:rPr>
          <w:rStyle w:val="FootnoteReference"/>
          <w:noProof/>
        </w:rPr>
        <w:footnoteReference w:id="12"/>
      </w:r>
      <w:r>
        <w:rPr>
          <w:noProof/>
        </w:rPr>
        <w:t>.</w:t>
      </w:r>
    </w:p>
    <w:p>
      <w:pPr>
        <w:jc w:val="both"/>
        <w:rPr>
          <w:noProof/>
        </w:rPr>
      </w:pPr>
    </w:p>
    <w:p>
      <w:pPr>
        <w:jc w:val="both"/>
        <w:rPr>
          <w:noProof/>
        </w:rPr>
      </w:pPr>
      <w:r>
        <w:rPr>
          <w:noProof/>
        </w:rPr>
        <w:t xml:space="preserve">Regarding the set </w:t>
      </w:r>
      <w:r>
        <w:rPr>
          <w:b/>
          <w:bCs/>
          <w:noProof/>
        </w:rPr>
        <w:t>age thresholds</w:t>
      </w:r>
      <w:r>
        <w:rPr>
          <w:noProof/>
        </w:rPr>
        <w:t>, all but 2 of the Member States (25) consider the thresholds adequate. The other 2 Member States suggest lowering the current thresholds in order to capture more cultural goods by aligning EU-level protection with their own national-level protection. One of those 2 Member States focuses its recommendation on goods in categories 11 and 14 (printed maps to 100 years and means of transport to 50 years).</w:t>
      </w:r>
    </w:p>
    <w:p>
      <w:pPr>
        <w:jc w:val="both"/>
        <w:rPr>
          <w:noProof/>
        </w:rPr>
      </w:pPr>
    </w:p>
    <w:p>
      <w:pPr>
        <w:jc w:val="both"/>
        <w:rPr>
          <w:noProof/>
        </w:rPr>
      </w:pPr>
      <w:r>
        <w:rPr>
          <w:noProof/>
        </w:rPr>
        <w:t>Regarding the</w:t>
      </w:r>
      <w:r>
        <w:rPr>
          <w:b/>
          <w:bCs/>
          <w:noProof/>
        </w:rPr>
        <w:t xml:space="preserve"> value thresholds</w:t>
      </w:r>
      <w:r>
        <w:rPr>
          <w:noProof/>
        </w:rPr>
        <w:t>, almost half of the Member States (13) consider that the thresholds are no longer representative and need revision.</w:t>
      </w:r>
    </w:p>
    <w:p>
      <w:pPr>
        <w:jc w:val="both"/>
        <w:rPr>
          <w:noProof/>
        </w:rPr>
      </w:pPr>
    </w:p>
    <w:p>
      <w:pPr>
        <w:jc w:val="both"/>
        <w:rPr>
          <w:noProof/>
        </w:rPr>
      </w:pPr>
    </w:p>
    <w:p>
      <w:pPr>
        <w:rPr>
          <w:b/>
          <w:bCs/>
          <w:noProof/>
        </w:rPr>
      </w:pPr>
      <w:r>
        <w:rPr>
          <w:b/>
          <w:bCs/>
          <w:noProof/>
        </w:rPr>
        <w:t xml:space="preserve">2.3 Cultural goods valuation </w:t>
      </w:r>
    </w:p>
    <w:p>
      <w:pPr>
        <w:rPr>
          <w:b/>
          <w:bCs/>
          <w:noProof/>
        </w:rPr>
      </w:pPr>
    </w:p>
    <w:p>
      <w:pPr>
        <w:jc w:val="both"/>
        <w:rPr>
          <w:noProof/>
        </w:rPr>
      </w:pPr>
      <w:r>
        <w:rPr>
          <w:noProof/>
        </w:rPr>
        <w:t>Due to the nature of cultural goods and to the fact that, sometimes, certain items have never been the object of a transaction, just over half of the Member States (14) report that they face occasional difficulties in determining their exact (or even approximate) monetary value. Member States’ valuation methods differ significantly, so a large majority of Member States (21) suggest developing a common valuation method.</w:t>
      </w:r>
    </w:p>
    <w:p>
      <w:pPr>
        <w:rPr>
          <w:noProof/>
        </w:rPr>
      </w:pPr>
    </w:p>
    <w:p>
      <w:pPr>
        <w:jc w:val="both"/>
        <w:rPr>
          <w:b/>
          <w:bCs/>
          <w:noProof/>
        </w:rPr>
      </w:pPr>
      <w:r>
        <w:rPr>
          <w:b/>
          <w:bCs/>
          <w:noProof/>
        </w:rPr>
        <w:t>2.4 Export licences</w:t>
      </w:r>
    </w:p>
    <w:p>
      <w:pPr>
        <w:jc w:val="both"/>
        <w:rPr>
          <w:b/>
          <w:bCs/>
          <w:noProof/>
        </w:rPr>
      </w:pPr>
    </w:p>
    <w:p>
      <w:pPr>
        <w:jc w:val="both"/>
        <w:rPr>
          <w:b/>
          <w:bCs/>
          <w:noProof/>
        </w:rPr>
      </w:pPr>
      <w:r>
        <w:rPr>
          <w:noProof/>
        </w:rPr>
        <w:t>Export licences under this Regulation are issued by the competent authority of the last Member State in the territory of which the object was ‘definitively and lawfully located’. An export licence is granted on the basis of that Member State’s laws and regulations. Customs controls then ensure that cultural goods can only leave the EU’s customs territory if they are accompanied by a valid export licence.</w:t>
      </w:r>
    </w:p>
    <w:p>
      <w:pPr>
        <w:jc w:val="both"/>
        <w:rPr>
          <w:b/>
          <w:bCs/>
          <w:noProof/>
        </w:rPr>
      </w:pPr>
    </w:p>
    <w:p>
      <w:pPr>
        <w:jc w:val="both"/>
        <w:rPr>
          <w:i/>
          <w:iCs/>
          <w:noProof/>
          <w:u w:val="single"/>
        </w:rPr>
      </w:pPr>
      <w:r>
        <w:rPr>
          <w:i/>
          <w:iCs/>
          <w:noProof/>
          <w:u w:val="single"/>
        </w:rPr>
        <w:t xml:space="preserve">2.4.1 Standard export licences </w:t>
      </w:r>
    </w:p>
    <w:p>
      <w:pPr>
        <w:jc w:val="both"/>
        <w:rPr>
          <w:noProof/>
        </w:rPr>
      </w:pPr>
    </w:p>
    <w:p>
      <w:pPr>
        <w:jc w:val="both"/>
        <w:rPr>
          <w:noProof/>
        </w:rPr>
      </w:pPr>
      <w:r>
        <w:rPr>
          <w:noProof/>
        </w:rPr>
        <w:t>Standard licences are by default </w:t>
      </w:r>
      <w:r>
        <w:rPr>
          <w:rStyle w:val="FootnoteReference"/>
          <w:noProof/>
        </w:rPr>
        <w:footnoteReference w:id="13"/>
      </w:r>
      <w:r>
        <w:rPr>
          <w:noProof/>
        </w:rPr>
        <w:t xml:space="preserve"> to be used for each export subject to the Regulation. 35 114 standard licences were issued during the reporting period (for detailed figures, see Table 1 in the annex). The main categories for which licence applications were received during the reporting period are (in descending order):</w:t>
      </w:r>
    </w:p>
    <w:p>
      <w:pPr>
        <w:jc w:val="both"/>
        <w:rPr>
          <w:noProof/>
        </w:rPr>
      </w:pPr>
    </w:p>
    <w:p>
      <w:pPr>
        <w:pStyle w:val="ListParagraph"/>
        <w:numPr>
          <w:ilvl w:val="0"/>
          <w:numId w:val="10"/>
        </w:numPr>
        <w:jc w:val="both"/>
        <w:rPr>
          <w:noProof/>
        </w:rPr>
      </w:pPr>
      <w:r>
        <w:rPr>
          <w:noProof/>
        </w:rPr>
        <w:t>collections of historical, palaeontological, ethnographic or numismatic interest;</w:t>
      </w:r>
    </w:p>
    <w:p>
      <w:pPr>
        <w:pStyle w:val="ListParagraph"/>
        <w:numPr>
          <w:ilvl w:val="0"/>
          <w:numId w:val="10"/>
        </w:numPr>
        <w:jc w:val="both"/>
        <w:rPr>
          <w:noProof/>
        </w:rPr>
      </w:pPr>
      <w:r>
        <w:rPr>
          <w:noProof/>
        </w:rPr>
        <w:t>antiques;</w:t>
      </w:r>
    </w:p>
    <w:p>
      <w:pPr>
        <w:pStyle w:val="ListParagraph"/>
        <w:numPr>
          <w:ilvl w:val="0"/>
          <w:numId w:val="10"/>
        </w:numPr>
        <w:jc w:val="both"/>
        <w:rPr>
          <w:noProof/>
        </w:rPr>
      </w:pPr>
      <w:r>
        <w:rPr>
          <w:noProof/>
        </w:rPr>
        <w:t>archaeological objects;</w:t>
      </w:r>
    </w:p>
    <w:p>
      <w:pPr>
        <w:pStyle w:val="ListParagraph"/>
        <w:numPr>
          <w:ilvl w:val="0"/>
          <w:numId w:val="10"/>
        </w:numPr>
        <w:jc w:val="both"/>
        <w:rPr>
          <w:noProof/>
        </w:rPr>
      </w:pPr>
      <w:r>
        <w:rPr>
          <w:noProof/>
        </w:rPr>
        <w:t>original sculptures or statuary and copies;</w:t>
      </w:r>
    </w:p>
    <w:p>
      <w:pPr>
        <w:pStyle w:val="ListParagraph"/>
        <w:numPr>
          <w:ilvl w:val="0"/>
          <w:numId w:val="10"/>
        </w:numPr>
        <w:jc w:val="both"/>
        <w:rPr>
          <w:noProof/>
        </w:rPr>
      </w:pPr>
      <w:r>
        <w:rPr>
          <w:noProof/>
        </w:rPr>
        <w:lastRenderedPageBreak/>
        <w:t>incunabula and manuscripts.</w:t>
      </w:r>
    </w:p>
    <w:p>
      <w:pPr>
        <w:jc w:val="both"/>
        <w:rPr>
          <w:noProof/>
        </w:rPr>
      </w:pPr>
    </w:p>
    <w:p>
      <w:pPr>
        <w:jc w:val="both"/>
        <w:rPr>
          <w:i/>
          <w:iCs/>
          <w:noProof/>
          <w:u w:val="single"/>
        </w:rPr>
      </w:pPr>
      <w:r>
        <w:rPr>
          <w:i/>
          <w:iCs/>
          <w:noProof/>
          <w:u w:val="single"/>
        </w:rPr>
        <w:t>2.4.2 Specific open licences</w:t>
      </w:r>
    </w:p>
    <w:p>
      <w:pPr>
        <w:autoSpaceDE w:val="0"/>
        <w:autoSpaceDN w:val="0"/>
        <w:adjustRightInd w:val="0"/>
        <w:jc w:val="both"/>
        <w:rPr>
          <w:noProof/>
        </w:rPr>
      </w:pPr>
    </w:p>
    <w:p>
      <w:pPr>
        <w:autoSpaceDE w:val="0"/>
        <w:autoSpaceDN w:val="0"/>
        <w:adjustRightInd w:val="0"/>
        <w:spacing w:after="160"/>
        <w:jc w:val="both"/>
        <w:rPr>
          <w:noProof/>
        </w:rPr>
      </w:pPr>
      <w:r>
        <w:rPr>
          <w:noProof/>
        </w:rPr>
        <w:t>Specific open licences may be issued for a cultural good that is temporarily exported on a regular basis by a private person. 3 507 specific open licences were issued during the reporting period (for detailed figures, see Table 2 in the annex). These mostly related to antiques (category 15.b). 13 Member States reported that they do not issue this type of licence.</w:t>
      </w:r>
    </w:p>
    <w:p>
      <w:pPr>
        <w:autoSpaceDE w:val="0"/>
        <w:autoSpaceDN w:val="0"/>
        <w:adjustRightInd w:val="0"/>
        <w:spacing w:after="160"/>
        <w:jc w:val="both"/>
        <w:rPr>
          <w:noProof/>
        </w:rPr>
      </w:pPr>
      <w:r>
        <w:rPr>
          <w:noProof/>
        </w:rPr>
        <w:t>The majority of Member States issuing such a licence (12 out of 14) apply a validity period ranging from one to five years </w:t>
      </w:r>
      <w:r>
        <w:rPr>
          <w:rStyle w:val="FootnoteReference"/>
          <w:noProof/>
        </w:rPr>
        <w:footnoteReference w:id="14"/>
      </w:r>
      <w:r>
        <w:rPr>
          <w:noProof/>
        </w:rPr>
        <w:t>. The other two explained that the period granted depends on the duration of the exhibitions.</w:t>
      </w:r>
    </w:p>
    <w:p>
      <w:pPr>
        <w:autoSpaceDE w:val="0"/>
        <w:autoSpaceDN w:val="0"/>
        <w:adjustRightInd w:val="0"/>
        <w:spacing w:after="160"/>
        <w:jc w:val="both"/>
        <w:rPr>
          <w:i/>
          <w:iCs/>
          <w:noProof/>
          <w:u w:val="single"/>
        </w:rPr>
      </w:pPr>
      <w:r>
        <w:rPr>
          <w:i/>
          <w:iCs/>
          <w:noProof/>
          <w:u w:val="single"/>
        </w:rPr>
        <w:t>2.4.3 General open licences</w:t>
      </w:r>
    </w:p>
    <w:p>
      <w:pPr>
        <w:autoSpaceDE w:val="0"/>
        <w:autoSpaceDN w:val="0"/>
        <w:adjustRightInd w:val="0"/>
        <w:jc w:val="both"/>
        <w:rPr>
          <w:noProof/>
        </w:rPr>
      </w:pPr>
      <w:r>
        <w:rPr>
          <w:noProof/>
        </w:rPr>
        <w:t>General open licences allow the temporary export on a regular basis of cultural goods owned by museums and similar institutions. 1 207 general open licences were issued during the reporting period (for detailed figures, see Table 3 in the annex). The majority of the Member States (13) which issue such licences reported that they apply a validity period ranging from six months to five years </w:t>
      </w:r>
      <w:r>
        <w:rPr>
          <w:rStyle w:val="FootnoteReference"/>
          <w:noProof/>
        </w:rPr>
        <w:footnoteReference w:id="15"/>
      </w:r>
      <w:r>
        <w:rPr>
          <w:noProof/>
        </w:rPr>
        <w:t>.</w:t>
      </w:r>
    </w:p>
    <w:p>
      <w:pPr>
        <w:autoSpaceDE w:val="0"/>
        <w:autoSpaceDN w:val="0"/>
        <w:adjustRightInd w:val="0"/>
        <w:jc w:val="both"/>
        <w:rPr>
          <w:noProof/>
        </w:rPr>
      </w:pPr>
    </w:p>
    <w:p>
      <w:pPr>
        <w:jc w:val="both"/>
        <w:rPr>
          <w:i/>
          <w:iCs/>
          <w:noProof/>
          <w:u w:val="single"/>
        </w:rPr>
      </w:pPr>
      <w:r>
        <w:rPr>
          <w:i/>
          <w:iCs/>
          <w:noProof/>
          <w:u w:val="single"/>
        </w:rPr>
        <w:t>2.4.4 Export licences implementation issues</w:t>
      </w:r>
    </w:p>
    <w:p>
      <w:pPr>
        <w:jc w:val="both"/>
        <w:rPr>
          <w:noProof/>
        </w:rPr>
      </w:pPr>
    </w:p>
    <w:p>
      <w:pPr>
        <w:jc w:val="both"/>
        <w:rPr>
          <w:noProof/>
        </w:rPr>
      </w:pPr>
      <w:r>
        <w:rPr>
          <w:noProof/>
        </w:rPr>
        <w:t xml:space="preserve">The </w:t>
      </w:r>
      <w:r>
        <w:rPr>
          <w:b/>
          <w:bCs/>
          <w:noProof/>
        </w:rPr>
        <w:t>inclusion of photographs</w:t>
      </w:r>
      <w:r>
        <w:rPr>
          <w:noProof/>
        </w:rPr>
        <w:t xml:space="preserve"> in a licence application is important because it enables customs authorities to identify the object when checking the licence. All but 3 Member States systematically require photographs for definitive export licence applications.</w:t>
      </w:r>
    </w:p>
    <w:p>
      <w:pPr>
        <w:autoSpaceDE w:val="0"/>
        <w:autoSpaceDN w:val="0"/>
        <w:adjustRightInd w:val="0"/>
        <w:spacing w:after="160"/>
        <w:jc w:val="both"/>
        <w:rPr>
          <w:noProof/>
        </w:rPr>
      </w:pPr>
    </w:p>
    <w:p>
      <w:pPr>
        <w:jc w:val="both"/>
        <w:rPr>
          <w:noProof/>
        </w:rPr>
      </w:pPr>
      <w:r>
        <w:rPr>
          <w:b/>
          <w:bCs/>
          <w:noProof/>
        </w:rPr>
        <w:t xml:space="preserve">Exemption from the export licence requirement. </w:t>
      </w:r>
      <w:r>
        <w:rPr>
          <w:noProof/>
        </w:rPr>
        <w:t>This exemption is based on Article 2(2) of the Regulation. It allows Member States not to require an export licence for items of category 1, first and second indents (i.e. when such items are considered of limited archaeological or scientific interest) </w:t>
      </w:r>
      <w:r>
        <w:rPr>
          <w:rStyle w:val="FootnoteReference"/>
          <w:noProof/>
        </w:rPr>
        <w:footnoteReference w:id="16"/>
      </w:r>
      <w:r>
        <w:rPr>
          <w:noProof/>
        </w:rPr>
        <w:t>. Only two Member States used this exemption during the reporting period.</w:t>
      </w:r>
    </w:p>
    <w:p>
      <w:pPr>
        <w:pStyle w:val="Default"/>
        <w:jc w:val="both"/>
        <w:rPr>
          <w:noProof/>
          <w:color w:val="auto"/>
          <w:lang w:val="en-GB"/>
        </w:rPr>
      </w:pPr>
    </w:p>
    <w:p>
      <w:pPr>
        <w:jc w:val="both"/>
        <w:rPr>
          <w:noProof/>
        </w:rPr>
      </w:pPr>
      <w:r>
        <w:rPr>
          <w:b/>
          <w:bCs/>
          <w:noProof/>
        </w:rPr>
        <w:t>Reasons for rejecting a licence application.</w:t>
      </w:r>
      <w:r>
        <w:rPr>
          <w:noProof/>
        </w:rPr>
        <w:t xml:space="preserve"> 9 Member States rejected 505 applications for standard export licences during the reporting period. They did so for one of the following reasons: illicit origin of the object; existing national legislation protecting national treasures of artistic, historical or archaeological value; age and/or value thresholds not met; export licence to be issued by another Member State’s competent authority. 2 Member States refused the export of a cultural good to the Russian Federation due to EU trade sanctions </w:t>
      </w:r>
      <w:r>
        <w:rPr>
          <w:rStyle w:val="FootnoteReference"/>
          <w:noProof/>
        </w:rPr>
        <w:footnoteReference w:id="17"/>
      </w:r>
      <w:r>
        <w:rPr>
          <w:noProof/>
        </w:rPr>
        <w:t>.</w:t>
      </w:r>
    </w:p>
    <w:p>
      <w:pPr>
        <w:jc w:val="both"/>
        <w:rPr>
          <w:noProof/>
        </w:rPr>
      </w:pPr>
    </w:p>
    <w:p>
      <w:pPr>
        <w:jc w:val="both"/>
        <w:rPr>
          <w:noProof/>
        </w:rPr>
      </w:pPr>
      <w:r>
        <w:rPr>
          <w:b/>
          <w:bCs/>
          <w:noProof/>
        </w:rPr>
        <w:t xml:space="preserve">Revocation of licences. </w:t>
      </w:r>
      <w:r>
        <w:rPr>
          <w:noProof/>
        </w:rPr>
        <w:t>10 Member States have legislation providing for revocation of licences after they have been issued. However, only 1 Member State revoked licences (2 licences) during the reporting period.</w:t>
      </w:r>
    </w:p>
    <w:p>
      <w:pPr>
        <w:jc w:val="both"/>
        <w:rPr>
          <w:noProof/>
        </w:rPr>
      </w:pPr>
    </w:p>
    <w:p>
      <w:pPr>
        <w:jc w:val="both"/>
        <w:rPr>
          <w:b/>
          <w:bCs/>
          <w:noProof/>
        </w:rPr>
      </w:pPr>
      <w:r>
        <w:rPr>
          <w:b/>
          <w:bCs/>
          <w:noProof/>
        </w:rPr>
        <w:t>2.5 Electronic system – digitalisation</w:t>
      </w:r>
    </w:p>
    <w:p>
      <w:pPr>
        <w:jc w:val="both"/>
        <w:rPr>
          <w:noProof/>
        </w:rPr>
      </w:pPr>
    </w:p>
    <w:p>
      <w:pPr>
        <w:jc w:val="both"/>
        <w:rPr>
          <w:noProof/>
        </w:rPr>
      </w:pPr>
      <w:r>
        <w:rPr>
          <w:noProof/>
        </w:rPr>
        <w:t>A very large majority of Member States (25) support the effort to digitalise the export licences system by developing an EU centralised electronic system. Such a system should facilitate administrative cooperation between Member States’ authorities, better trace the provenance of cultural goods across the EU and improve the monitoring of export licences.</w:t>
      </w:r>
    </w:p>
    <w:p>
      <w:pPr>
        <w:jc w:val="both"/>
        <w:rPr>
          <w:noProof/>
        </w:rPr>
      </w:pPr>
    </w:p>
    <w:p>
      <w:pPr>
        <w:jc w:val="both"/>
        <w:rPr>
          <w:noProof/>
        </w:rPr>
      </w:pPr>
      <w:r>
        <w:rPr>
          <w:noProof/>
        </w:rPr>
        <w:t>At the time of drafting the present report, the Commission was in the process of adopting new implementing provisions for this purpose. According to these draft provisions, the Export of Cultural Goods (ECG) system is scheduled to become operational on 2 October 2031.</w:t>
      </w:r>
    </w:p>
    <w:p>
      <w:pPr>
        <w:jc w:val="both"/>
        <w:rPr>
          <w:noProof/>
        </w:rPr>
      </w:pPr>
    </w:p>
    <w:p>
      <w:pPr>
        <w:rPr>
          <w:b/>
          <w:bCs/>
          <w:noProof/>
        </w:rPr>
      </w:pPr>
    </w:p>
    <w:p>
      <w:pPr>
        <w:rPr>
          <w:b/>
          <w:bCs/>
          <w:noProof/>
        </w:rPr>
      </w:pPr>
      <w:r>
        <w:rPr>
          <w:b/>
          <w:bCs/>
          <w:noProof/>
        </w:rPr>
        <w:t>3. CONCLUSIONS AND OUTSTANDING ISSUES</w:t>
      </w:r>
    </w:p>
    <w:p>
      <w:pPr>
        <w:jc w:val="both"/>
        <w:rPr>
          <w:noProof/>
          <w:sz w:val="23"/>
          <w:szCs w:val="23"/>
        </w:rPr>
      </w:pPr>
    </w:p>
    <w:p>
      <w:pPr>
        <w:jc w:val="both"/>
        <w:rPr>
          <w:noProof/>
        </w:rPr>
      </w:pPr>
      <w:r>
        <w:rPr>
          <w:noProof/>
        </w:rPr>
        <w:t>As was the case in previous reports and based on feedback received from the Member States, the Regulation is considered (1) as performing well in terms of achieving its objectives and (2) to be an important instrument for combating illegal trade.</w:t>
      </w:r>
    </w:p>
    <w:p>
      <w:pPr>
        <w:jc w:val="both"/>
        <w:rPr>
          <w:noProof/>
        </w:rPr>
      </w:pPr>
    </w:p>
    <w:p>
      <w:pPr>
        <w:jc w:val="both"/>
        <w:rPr>
          <w:noProof/>
        </w:rPr>
      </w:pPr>
      <w:r>
        <w:rPr>
          <w:noProof/>
        </w:rPr>
        <w:t>The Commission will follow up the following recommended improvements that were identified by most of the Member States:</w:t>
      </w:r>
    </w:p>
    <w:p>
      <w:pPr>
        <w:jc w:val="both"/>
        <w:rPr>
          <w:noProof/>
        </w:rPr>
      </w:pPr>
    </w:p>
    <w:p>
      <w:pPr>
        <w:pStyle w:val="ListParagraph"/>
        <w:numPr>
          <w:ilvl w:val="0"/>
          <w:numId w:val="10"/>
        </w:numPr>
        <w:jc w:val="both"/>
        <w:rPr>
          <w:noProof/>
        </w:rPr>
      </w:pPr>
      <w:r>
        <w:rPr>
          <w:noProof/>
        </w:rPr>
        <w:t>regarding digitalisation: the Commission is in the process of preparing for the development of the ECG system, borrowing many features and functionalities from the Import of Cultural Goods system while also catering to the specific needs stemming from the Regulation;</w:t>
      </w:r>
    </w:p>
    <w:p>
      <w:pPr>
        <w:pStyle w:val="ListParagraph"/>
        <w:numPr>
          <w:ilvl w:val="0"/>
          <w:numId w:val="10"/>
        </w:numPr>
        <w:jc w:val="both"/>
        <w:rPr>
          <w:noProof/>
        </w:rPr>
      </w:pPr>
      <w:r>
        <w:rPr>
          <w:noProof/>
        </w:rPr>
        <w:t>regarding the suggested update of the material scope of the Regulation: the Commission will use an upcoming Expert Group meeting to reflect as a priority on the potential revision of the value thresholds</w:t>
      </w:r>
      <w:r>
        <w:rPr>
          <w:rStyle w:val="FootnoteReference"/>
          <w:noProof/>
        </w:rPr>
        <w:footnoteReference w:id="18"/>
      </w:r>
      <w:r>
        <w:rPr>
          <w:noProof/>
        </w:rPr>
        <w:t>;</w:t>
      </w:r>
    </w:p>
    <w:p>
      <w:pPr>
        <w:pStyle w:val="ListParagraph"/>
        <w:numPr>
          <w:ilvl w:val="0"/>
          <w:numId w:val="10"/>
        </w:numPr>
        <w:jc w:val="both"/>
        <w:rPr>
          <w:noProof/>
        </w:rPr>
      </w:pPr>
      <w:r>
        <w:rPr>
          <w:noProof/>
        </w:rPr>
        <w:t xml:space="preserve">regarding the possibility of designing a common valuation method: the Commission will invite the Member States to </w:t>
      </w:r>
      <w:bookmarkStart w:id="2" w:name="_Hlk233985361"/>
      <w:r>
        <w:rPr>
          <w:noProof/>
        </w:rPr>
        <w:t>contribute their thoughts and suggestions</w:t>
      </w:r>
      <w:bookmarkEnd w:id="2"/>
      <w:r>
        <w:rPr>
          <w:noProof/>
        </w:rPr>
        <w:t xml:space="preserve"> at an upcoming Expert Group meeting.</w:t>
      </w:r>
    </w:p>
    <w:p>
      <w:pPr>
        <w:jc w:val="both"/>
        <w:rPr>
          <w:noProof/>
          <w:sz w:val="23"/>
          <w:szCs w:val="23"/>
        </w:rPr>
      </w:pPr>
    </w:p>
    <w:p>
      <w:pPr>
        <w:jc w:val="both"/>
        <w:rPr>
          <w:noProof/>
          <w:sz w:val="23"/>
          <w:szCs w:val="23"/>
        </w:rPr>
      </w:pPr>
    </w:p>
    <w:p>
      <w:pPr>
        <w:rPr>
          <w:noProof/>
          <w:sz w:val="23"/>
          <w:szCs w:val="23"/>
        </w:rPr>
      </w:pPr>
      <w:r>
        <w:rPr>
          <w:noProof/>
          <w:sz w:val="23"/>
          <w:szCs w:val="23"/>
        </w:rPr>
        <w:br w:type="page"/>
      </w:r>
    </w:p>
    <w:p>
      <w:pPr>
        <w:rPr>
          <w:noProof/>
          <w:sz w:val="23"/>
          <w:szCs w:val="23"/>
        </w:rPr>
      </w:pPr>
    </w:p>
    <w:p>
      <w:pPr>
        <w:rPr>
          <w:noProof/>
          <w:sz w:val="23"/>
          <w:szCs w:val="23"/>
        </w:rPr>
      </w:pPr>
    </w:p>
    <w:p>
      <w:pPr>
        <w:rPr>
          <w:noProof/>
          <w:sz w:val="23"/>
          <w:szCs w:val="23"/>
        </w:rPr>
      </w:pPr>
    </w:p>
    <w:p>
      <w:pPr>
        <w:jc w:val="center"/>
        <w:rPr>
          <w:b/>
          <w:bCs/>
          <w:noProof/>
        </w:rPr>
      </w:pPr>
      <w:r>
        <w:rPr>
          <w:b/>
          <w:bCs/>
          <w:noProof/>
        </w:rPr>
        <w:t>4. ANNEX</w:t>
      </w:r>
    </w:p>
    <w:p>
      <w:pPr>
        <w:rPr>
          <w:noProof/>
        </w:rPr>
      </w:pPr>
    </w:p>
    <w:p>
      <w:pPr>
        <w:rPr>
          <w:noProof/>
        </w:rPr>
      </w:pPr>
      <w:r>
        <w:rPr>
          <w:noProof/>
        </w:rPr>
        <w:t>Table 1. Standard Licences issued by Member States</w:t>
      </w:r>
    </w:p>
    <w:p>
      <w:pPr>
        <w:rPr>
          <w:noProof/>
        </w:rPr>
      </w:pPr>
    </w:p>
    <w:tbl>
      <w:tblPr>
        <w:tblStyle w:val="TableGrid"/>
        <w:tblW w:w="0" w:type="auto"/>
        <w:tblLook w:val="04A0" w:firstRow="1" w:lastRow="0" w:firstColumn="1" w:lastColumn="0" w:noHBand="0" w:noVBand="1"/>
      </w:tblPr>
      <w:tblGrid>
        <w:gridCol w:w="1679"/>
        <w:gridCol w:w="1123"/>
        <w:gridCol w:w="1275"/>
        <w:gridCol w:w="1276"/>
        <w:gridCol w:w="1463"/>
        <w:gridCol w:w="2426"/>
      </w:tblGrid>
      <w:tr>
        <w:tc>
          <w:tcPr>
            <w:tcW w:w="1679" w:type="dxa"/>
            <w:vMerge w:val="restart"/>
            <w:shd w:val="clear" w:color="auto" w:fill="DBE5F1" w:themeFill="accent1" w:themeFillTint="33"/>
            <w:vAlign w:val="center"/>
          </w:tcPr>
          <w:p>
            <w:pPr>
              <w:jc w:val="center"/>
              <w:rPr>
                <w:b/>
                <w:bCs/>
                <w:noProof/>
              </w:rPr>
            </w:pPr>
            <w:r>
              <w:rPr>
                <w:b/>
                <w:bCs/>
                <w:noProof/>
              </w:rPr>
              <w:t>Member States</w:t>
            </w:r>
          </w:p>
        </w:tc>
        <w:tc>
          <w:tcPr>
            <w:tcW w:w="3674" w:type="dxa"/>
            <w:gridSpan w:val="3"/>
            <w:shd w:val="clear" w:color="auto" w:fill="DBE5F1" w:themeFill="accent1" w:themeFillTint="33"/>
            <w:vAlign w:val="center"/>
          </w:tcPr>
          <w:p>
            <w:pPr>
              <w:jc w:val="center"/>
              <w:rPr>
                <w:b/>
                <w:bCs/>
                <w:noProof/>
              </w:rPr>
            </w:pPr>
            <w:r>
              <w:rPr>
                <w:b/>
                <w:bCs/>
                <w:noProof/>
              </w:rPr>
              <w:t>Year</w:t>
            </w:r>
          </w:p>
        </w:tc>
        <w:tc>
          <w:tcPr>
            <w:tcW w:w="1463" w:type="dxa"/>
            <w:vMerge w:val="restart"/>
            <w:shd w:val="clear" w:color="auto" w:fill="DBE5F1" w:themeFill="accent1" w:themeFillTint="33"/>
            <w:vAlign w:val="center"/>
          </w:tcPr>
          <w:p>
            <w:pPr>
              <w:jc w:val="center"/>
              <w:rPr>
                <w:b/>
                <w:bCs/>
                <w:noProof/>
              </w:rPr>
            </w:pPr>
            <w:r>
              <w:rPr>
                <w:b/>
                <w:bCs/>
                <w:noProof/>
              </w:rPr>
              <w:t>2021-2023</w:t>
            </w:r>
          </w:p>
        </w:tc>
        <w:tc>
          <w:tcPr>
            <w:tcW w:w="2426" w:type="dxa"/>
            <w:vMerge w:val="restart"/>
            <w:shd w:val="clear" w:color="auto" w:fill="DBE5F1" w:themeFill="accent1" w:themeFillTint="33"/>
            <w:vAlign w:val="center"/>
          </w:tcPr>
          <w:p>
            <w:pPr>
              <w:jc w:val="center"/>
              <w:rPr>
                <w:b/>
                <w:bCs/>
                <w:noProof/>
              </w:rPr>
            </w:pPr>
            <w:r>
              <w:rPr>
                <w:b/>
                <w:bCs/>
                <w:noProof/>
              </w:rPr>
              <w:t>Share of total in %</w:t>
            </w:r>
          </w:p>
        </w:tc>
      </w:tr>
      <w:tr>
        <w:tc>
          <w:tcPr>
            <w:tcW w:w="1679" w:type="dxa"/>
            <w:vMerge/>
            <w:shd w:val="clear" w:color="auto" w:fill="DBE5F1" w:themeFill="accent1" w:themeFillTint="33"/>
          </w:tcPr>
          <w:p>
            <w:pPr>
              <w:rPr>
                <w:b/>
                <w:bCs/>
                <w:noProof/>
              </w:rPr>
            </w:pPr>
          </w:p>
        </w:tc>
        <w:tc>
          <w:tcPr>
            <w:tcW w:w="1123" w:type="dxa"/>
            <w:shd w:val="clear" w:color="auto" w:fill="DBE5F1" w:themeFill="accent1" w:themeFillTint="33"/>
          </w:tcPr>
          <w:p>
            <w:pPr>
              <w:jc w:val="center"/>
              <w:rPr>
                <w:b/>
                <w:bCs/>
                <w:noProof/>
              </w:rPr>
            </w:pPr>
            <w:r>
              <w:rPr>
                <w:b/>
                <w:bCs/>
                <w:noProof/>
              </w:rPr>
              <w:t>2021</w:t>
            </w:r>
          </w:p>
        </w:tc>
        <w:tc>
          <w:tcPr>
            <w:tcW w:w="1275" w:type="dxa"/>
            <w:shd w:val="clear" w:color="auto" w:fill="DBE5F1" w:themeFill="accent1" w:themeFillTint="33"/>
          </w:tcPr>
          <w:p>
            <w:pPr>
              <w:jc w:val="center"/>
              <w:rPr>
                <w:b/>
                <w:bCs/>
                <w:noProof/>
              </w:rPr>
            </w:pPr>
            <w:r>
              <w:rPr>
                <w:b/>
                <w:bCs/>
                <w:noProof/>
              </w:rPr>
              <w:t>2022</w:t>
            </w:r>
          </w:p>
        </w:tc>
        <w:tc>
          <w:tcPr>
            <w:tcW w:w="1276" w:type="dxa"/>
            <w:shd w:val="clear" w:color="auto" w:fill="DBE5F1" w:themeFill="accent1" w:themeFillTint="33"/>
          </w:tcPr>
          <w:p>
            <w:pPr>
              <w:jc w:val="center"/>
              <w:rPr>
                <w:b/>
                <w:bCs/>
                <w:noProof/>
              </w:rPr>
            </w:pPr>
            <w:r>
              <w:rPr>
                <w:b/>
                <w:bCs/>
                <w:noProof/>
              </w:rPr>
              <w:t>2023</w:t>
            </w:r>
          </w:p>
        </w:tc>
        <w:tc>
          <w:tcPr>
            <w:tcW w:w="1463" w:type="dxa"/>
            <w:vMerge/>
          </w:tcPr>
          <w:p>
            <w:pPr>
              <w:rPr>
                <w:noProof/>
              </w:rPr>
            </w:pPr>
          </w:p>
        </w:tc>
        <w:tc>
          <w:tcPr>
            <w:tcW w:w="2426" w:type="dxa"/>
            <w:vMerge/>
          </w:tcPr>
          <w:p>
            <w:pPr>
              <w:rPr>
                <w:noProof/>
              </w:rPr>
            </w:pPr>
          </w:p>
        </w:tc>
      </w:tr>
      <w:tr>
        <w:tc>
          <w:tcPr>
            <w:tcW w:w="1679" w:type="dxa"/>
            <w:shd w:val="clear" w:color="auto" w:fill="DBE5F1" w:themeFill="accent1" w:themeFillTint="33"/>
          </w:tcPr>
          <w:p>
            <w:pPr>
              <w:jc w:val="center"/>
              <w:rPr>
                <w:b/>
                <w:bCs/>
                <w:noProof/>
              </w:rPr>
            </w:pPr>
            <w:r>
              <w:rPr>
                <w:b/>
                <w:bCs/>
                <w:noProof/>
              </w:rPr>
              <w:t>BE</w:t>
            </w:r>
          </w:p>
        </w:tc>
        <w:tc>
          <w:tcPr>
            <w:tcW w:w="1123" w:type="dxa"/>
          </w:tcPr>
          <w:p>
            <w:pPr>
              <w:jc w:val="right"/>
              <w:rPr>
                <w:noProof/>
              </w:rPr>
            </w:pPr>
            <w:r>
              <w:rPr>
                <w:noProof/>
              </w:rPr>
              <w:t>432</w:t>
            </w:r>
          </w:p>
        </w:tc>
        <w:tc>
          <w:tcPr>
            <w:tcW w:w="1275" w:type="dxa"/>
          </w:tcPr>
          <w:p>
            <w:pPr>
              <w:jc w:val="right"/>
              <w:rPr>
                <w:noProof/>
              </w:rPr>
            </w:pPr>
            <w:r>
              <w:rPr>
                <w:noProof/>
              </w:rPr>
              <w:t>533</w:t>
            </w:r>
          </w:p>
        </w:tc>
        <w:tc>
          <w:tcPr>
            <w:tcW w:w="1276" w:type="dxa"/>
          </w:tcPr>
          <w:p>
            <w:pPr>
              <w:jc w:val="right"/>
              <w:rPr>
                <w:noProof/>
              </w:rPr>
            </w:pPr>
            <w:r>
              <w:rPr>
                <w:noProof/>
              </w:rPr>
              <w:t>599</w:t>
            </w:r>
          </w:p>
        </w:tc>
        <w:tc>
          <w:tcPr>
            <w:tcW w:w="1463" w:type="dxa"/>
          </w:tcPr>
          <w:p>
            <w:pPr>
              <w:jc w:val="right"/>
              <w:rPr>
                <w:noProof/>
              </w:rPr>
            </w:pPr>
            <w:r>
              <w:rPr>
                <w:noProof/>
              </w:rPr>
              <w:t>1,564</w:t>
            </w:r>
          </w:p>
        </w:tc>
        <w:tc>
          <w:tcPr>
            <w:tcW w:w="2426" w:type="dxa"/>
            <w:vAlign w:val="bottom"/>
          </w:tcPr>
          <w:p>
            <w:pPr>
              <w:jc w:val="right"/>
              <w:rPr>
                <w:noProof/>
              </w:rPr>
            </w:pPr>
            <w:r>
              <w:rPr>
                <w:noProof/>
              </w:rPr>
              <w:t>5.60%</w:t>
            </w:r>
          </w:p>
        </w:tc>
      </w:tr>
      <w:tr>
        <w:tc>
          <w:tcPr>
            <w:tcW w:w="1679" w:type="dxa"/>
            <w:shd w:val="clear" w:color="auto" w:fill="DBE5F1" w:themeFill="accent1" w:themeFillTint="33"/>
          </w:tcPr>
          <w:p>
            <w:pPr>
              <w:jc w:val="center"/>
              <w:rPr>
                <w:b/>
                <w:bCs/>
                <w:noProof/>
              </w:rPr>
            </w:pPr>
            <w:r>
              <w:rPr>
                <w:b/>
                <w:bCs/>
                <w:noProof/>
              </w:rPr>
              <w:t>BG</w:t>
            </w:r>
          </w:p>
        </w:tc>
        <w:tc>
          <w:tcPr>
            <w:tcW w:w="1123" w:type="dxa"/>
          </w:tcPr>
          <w:p>
            <w:pPr>
              <w:jc w:val="right"/>
              <w:rPr>
                <w:noProof/>
              </w:rPr>
            </w:pPr>
            <w:r>
              <w:rPr>
                <w:noProof/>
              </w:rPr>
              <w:t>0</w:t>
            </w:r>
          </w:p>
        </w:tc>
        <w:tc>
          <w:tcPr>
            <w:tcW w:w="1275" w:type="dxa"/>
          </w:tcPr>
          <w:p>
            <w:pPr>
              <w:jc w:val="right"/>
              <w:rPr>
                <w:noProof/>
              </w:rPr>
            </w:pPr>
            <w:r>
              <w:rPr>
                <w:noProof/>
              </w:rPr>
              <w:t>1</w:t>
            </w:r>
          </w:p>
        </w:tc>
        <w:tc>
          <w:tcPr>
            <w:tcW w:w="1276" w:type="dxa"/>
          </w:tcPr>
          <w:p>
            <w:pPr>
              <w:jc w:val="right"/>
              <w:rPr>
                <w:noProof/>
              </w:rPr>
            </w:pPr>
            <w:r>
              <w:rPr>
                <w:noProof/>
              </w:rPr>
              <w:t>1</w:t>
            </w:r>
          </w:p>
        </w:tc>
        <w:tc>
          <w:tcPr>
            <w:tcW w:w="1463" w:type="dxa"/>
          </w:tcPr>
          <w:p>
            <w:pPr>
              <w:jc w:val="right"/>
              <w:rPr>
                <w:noProof/>
              </w:rPr>
            </w:pPr>
            <w:r>
              <w:rPr>
                <w:noProof/>
              </w:rPr>
              <w:t>2</w:t>
            </w:r>
          </w:p>
        </w:tc>
        <w:tc>
          <w:tcPr>
            <w:tcW w:w="2426" w:type="dxa"/>
            <w:vAlign w:val="bottom"/>
          </w:tcPr>
          <w:p>
            <w:pPr>
              <w:jc w:val="right"/>
              <w:rPr>
                <w:noProof/>
              </w:rPr>
            </w:pPr>
            <w:r>
              <w:rPr>
                <w:noProof/>
              </w:rPr>
              <w:t>0.01%</w:t>
            </w:r>
          </w:p>
        </w:tc>
      </w:tr>
      <w:tr>
        <w:tc>
          <w:tcPr>
            <w:tcW w:w="1679" w:type="dxa"/>
            <w:shd w:val="clear" w:color="auto" w:fill="DBE5F1" w:themeFill="accent1" w:themeFillTint="33"/>
          </w:tcPr>
          <w:p>
            <w:pPr>
              <w:jc w:val="center"/>
              <w:rPr>
                <w:b/>
                <w:bCs/>
                <w:noProof/>
              </w:rPr>
            </w:pPr>
            <w:r>
              <w:rPr>
                <w:b/>
                <w:bCs/>
                <w:noProof/>
              </w:rPr>
              <w:t>CZ</w:t>
            </w:r>
          </w:p>
        </w:tc>
        <w:tc>
          <w:tcPr>
            <w:tcW w:w="1123" w:type="dxa"/>
          </w:tcPr>
          <w:p>
            <w:pPr>
              <w:jc w:val="right"/>
              <w:rPr>
                <w:noProof/>
              </w:rPr>
            </w:pPr>
            <w:r>
              <w:rPr>
                <w:noProof/>
              </w:rPr>
              <w:t>6</w:t>
            </w:r>
          </w:p>
        </w:tc>
        <w:tc>
          <w:tcPr>
            <w:tcW w:w="1275" w:type="dxa"/>
          </w:tcPr>
          <w:p>
            <w:pPr>
              <w:jc w:val="right"/>
              <w:rPr>
                <w:noProof/>
              </w:rPr>
            </w:pPr>
            <w:r>
              <w:rPr>
                <w:noProof/>
              </w:rPr>
              <w:t>12</w:t>
            </w:r>
          </w:p>
        </w:tc>
        <w:tc>
          <w:tcPr>
            <w:tcW w:w="1276" w:type="dxa"/>
          </w:tcPr>
          <w:p>
            <w:pPr>
              <w:jc w:val="right"/>
              <w:rPr>
                <w:noProof/>
              </w:rPr>
            </w:pPr>
            <w:r>
              <w:rPr>
                <w:noProof/>
              </w:rPr>
              <w:t>28</w:t>
            </w:r>
          </w:p>
        </w:tc>
        <w:tc>
          <w:tcPr>
            <w:tcW w:w="1463" w:type="dxa"/>
          </w:tcPr>
          <w:p>
            <w:pPr>
              <w:jc w:val="right"/>
              <w:rPr>
                <w:noProof/>
              </w:rPr>
            </w:pPr>
            <w:r>
              <w:rPr>
                <w:noProof/>
              </w:rPr>
              <w:t>46</w:t>
            </w:r>
          </w:p>
        </w:tc>
        <w:tc>
          <w:tcPr>
            <w:tcW w:w="2426" w:type="dxa"/>
            <w:vAlign w:val="bottom"/>
          </w:tcPr>
          <w:p>
            <w:pPr>
              <w:jc w:val="right"/>
              <w:rPr>
                <w:noProof/>
              </w:rPr>
            </w:pPr>
            <w:r>
              <w:rPr>
                <w:noProof/>
              </w:rPr>
              <w:t>0.13%</w:t>
            </w:r>
          </w:p>
        </w:tc>
      </w:tr>
      <w:tr>
        <w:tc>
          <w:tcPr>
            <w:tcW w:w="1679" w:type="dxa"/>
            <w:shd w:val="clear" w:color="auto" w:fill="DBE5F1" w:themeFill="accent1" w:themeFillTint="33"/>
          </w:tcPr>
          <w:p>
            <w:pPr>
              <w:jc w:val="center"/>
              <w:rPr>
                <w:b/>
                <w:bCs/>
                <w:noProof/>
              </w:rPr>
            </w:pPr>
            <w:r>
              <w:rPr>
                <w:b/>
                <w:bCs/>
                <w:noProof/>
              </w:rPr>
              <w:t>DK</w:t>
            </w:r>
          </w:p>
        </w:tc>
        <w:tc>
          <w:tcPr>
            <w:tcW w:w="1123" w:type="dxa"/>
          </w:tcPr>
          <w:p>
            <w:pPr>
              <w:jc w:val="right"/>
              <w:rPr>
                <w:noProof/>
              </w:rPr>
            </w:pPr>
            <w:r>
              <w:rPr>
                <w:noProof/>
              </w:rPr>
              <w:t>68</w:t>
            </w:r>
          </w:p>
        </w:tc>
        <w:tc>
          <w:tcPr>
            <w:tcW w:w="1275" w:type="dxa"/>
          </w:tcPr>
          <w:p>
            <w:pPr>
              <w:jc w:val="right"/>
              <w:rPr>
                <w:noProof/>
              </w:rPr>
            </w:pPr>
            <w:r>
              <w:rPr>
                <w:noProof/>
              </w:rPr>
              <w:t>48</w:t>
            </w:r>
          </w:p>
        </w:tc>
        <w:tc>
          <w:tcPr>
            <w:tcW w:w="1276" w:type="dxa"/>
          </w:tcPr>
          <w:p>
            <w:pPr>
              <w:jc w:val="right"/>
              <w:rPr>
                <w:noProof/>
              </w:rPr>
            </w:pPr>
            <w:r>
              <w:rPr>
                <w:noProof/>
              </w:rPr>
              <w:t>74</w:t>
            </w:r>
          </w:p>
        </w:tc>
        <w:tc>
          <w:tcPr>
            <w:tcW w:w="1463" w:type="dxa"/>
          </w:tcPr>
          <w:p>
            <w:pPr>
              <w:jc w:val="right"/>
              <w:rPr>
                <w:noProof/>
              </w:rPr>
            </w:pPr>
            <w:r>
              <w:rPr>
                <w:noProof/>
              </w:rPr>
              <w:t>190</w:t>
            </w:r>
          </w:p>
        </w:tc>
        <w:tc>
          <w:tcPr>
            <w:tcW w:w="2426" w:type="dxa"/>
            <w:vAlign w:val="bottom"/>
          </w:tcPr>
          <w:p>
            <w:pPr>
              <w:jc w:val="right"/>
              <w:rPr>
                <w:noProof/>
              </w:rPr>
            </w:pPr>
            <w:r>
              <w:rPr>
                <w:noProof/>
              </w:rPr>
              <w:t>0.53%</w:t>
            </w:r>
          </w:p>
        </w:tc>
      </w:tr>
      <w:tr>
        <w:tc>
          <w:tcPr>
            <w:tcW w:w="1679" w:type="dxa"/>
            <w:shd w:val="clear" w:color="auto" w:fill="DBE5F1" w:themeFill="accent1" w:themeFillTint="33"/>
          </w:tcPr>
          <w:p>
            <w:pPr>
              <w:jc w:val="center"/>
              <w:rPr>
                <w:b/>
                <w:bCs/>
                <w:noProof/>
              </w:rPr>
            </w:pPr>
            <w:r>
              <w:rPr>
                <w:b/>
                <w:bCs/>
                <w:noProof/>
              </w:rPr>
              <w:t>DE</w:t>
            </w:r>
          </w:p>
        </w:tc>
        <w:tc>
          <w:tcPr>
            <w:tcW w:w="1123" w:type="dxa"/>
          </w:tcPr>
          <w:p>
            <w:pPr>
              <w:jc w:val="right"/>
              <w:rPr>
                <w:noProof/>
              </w:rPr>
            </w:pPr>
            <w:r>
              <w:rPr>
                <w:noProof/>
              </w:rPr>
              <w:t>1,590</w:t>
            </w:r>
          </w:p>
        </w:tc>
        <w:tc>
          <w:tcPr>
            <w:tcW w:w="1275" w:type="dxa"/>
          </w:tcPr>
          <w:p>
            <w:pPr>
              <w:jc w:val="right"/>
              <w:rPr>
                <w:noProof/>
              </w:rPr>
            </w:pPr>
            <w:r>
              <w:rPr>
                <w:noProof/>
              </w:rPr>
              <w:t>1,343</w:t>
            </w:r>
          </w:p>
        </w:tc>
        <w:tc>
          <w:tcPr>
            <w:tcW w:w="1276" w:type="dxa"/>
          </w:tcPr>
          <w:p>
            <w:pPr>
              <w:jc w:val="right"/>
              <w:rPr>
                <w:noProof/>
              </w:rPr>
            </w:pPr>
            <w:r>
              <w:rPr>
                <w:noProof/>
              </w:rPr>
              <w:t>1,390</w:t>
            </w:r>
          </w:p>
        </w:tc>
        <w:tc>
          <w:tcPr>
            <w:tcW w:w="1463" w:type="dxa"/>
          </w:tcPr>
          <w:p>
            <w:pPr>
              <w:jc w:val="right"/>
              <w:rPr>
                <w:noProof/>
              </w:rPr>
            </w:pPr>
            <w:r>
              <w:rPr>
                <w:noProof/>
              </w:rPr>
              <w:t>4,323</w:t>
            </w:r>
          </w:p>
        </w:tc>
        <w:tc>
          <w:tcPr>
            <w:tcW w:w="2426" w:type="dxa"/>
            <w:vAlign w:val="bottom"/>
          </w:tcPr>
          <w:p>
            <w:pPr>
              <w:jc w:val="right"/>
              <w:rPr>
                <w:noProof/>
              </w:rPr>
            </w:pPr>
            <w:r>
              <w:rPr>
                <w:noProof/>
              </w:rPr>
              <w:t>12.15%</w:t>
            </w:r>
          </w:p>
        </w:tc>
      </w:tr>
      <w:tr>
        <w:tc>
          <w:tcPr>
            <w:tcW w:w="1679" w:type="dxa"/>
            <w:shd w:val="clear" w:color="auto" w:fill="DBE5F1" w:themeFill="accent1" w:themeFillTint="33"/>
          </w:tcPr>
          <w:p>
            <w:pPr>
              <w:jc w:val="center"/>
              <w:rPr>
                <w:b/>
                <w:bCs/>
                <w:noProof/>
              </w:rPr>
            </w:pPr>
            <w:r>
              <w:rPr>
                <w:b/>
                <w:bCs/>
                <w:noProof/>
              </w:rPr>
              <w:t>EE</w:t>
            </w:r>
          </w:p>
        </w:tc>
        <w:tc>
          <w:tcPr>
            <w:tcW w:w="1123" w:type="dxa"/>
          </w:tcPr>
          <w:p>
            <w:pPr>
              <w:jc w:val="right"/>
              <w:rPr>
                <w:noProof/>
              </w:rPr>
            </w:pPr>
            <w:r>
              <w:rPr>
                <w:noProof/>
              </w:rPr>
              <w:t>22</w:t>
            </w:r>
          </w:p>
        </w:tc>
        <w:tc>
          <w:tcPr>
            <w:tcW w:w="1275" w:type="dxa"/>
          </w:tcPr>
          <w:p>
            <w:pPr>
              <w:jc w:val="right"/>
              <w:rPr>
                <w:noProof/>
              </w:rPr>
            </w:pPr>
            <w:r>
              <w:rPr>
                <w:noProof/>
              </w:rPr>
              <w:t>14</w:t>
            </w:r>
          </w:p>
        </w:tc>
        <w:tc>
          <w:tcPr>
            <w:tcW w:w="1276" w:type="dxa"/>
          </w:tcPr>
          <w:p>
            <w:pPr>
              <w:jc w:val="right"/>
              <w:rPr>
                <w:noProof/>
              </w:rPr>
            </w:pPr>
            <w:r>
              <w:rPr>
                <w:noProof/>
              </w:rPr>
              <w:t>23</w:t>
            </w:r>
          </w:p>
        </w:tc>
        <w:tc>
          <w:tcPr>
            <w:tcW w:w="1463" w:type="dxa"/>
          </w:tcPr>
          <w:p>
            <w:pPr>
              <w:jc w:val="right"/>
              <w:rPr>
                <w:noProof/>
              </w:rPr>
            </w:pPr>
            <w:r>
              <w:rPr>
                <w:noProof/>
              </w:rPr>
              <w:t>59</w:t>
            </w:r>
          </w:p>
        </w:tc>
        <w:tc>
          <w:tcPr>
            <w:tcW w:w="2426" w:type="dxa"/>
            <w:vAlign w:val="bottom"/>
          </w:tcPr>
          <w:p>
            <w:pPr>
              <w:jc w:val="right"/>
              <w:rPr>
                <w:noProof/>
              </w:rPr>
            </w:pPr>
            <w:r>
              <w:rPr>
                <w:noProof/>
              </w:rPr>
              <w:t>0.17%</w:t>
            </w:r>
          </w:p>
        </w:tc>
      </w:tr>
      <w:tr>
        <w:tc>
          <w:tcPr>
            <w:tcW w:w="1679" w:type="dxa"/>
            <w:shd w:val="clear" w:color="auto" w:fill="DBE5F1" w:themeFill="accent1" w:themeFillTint="33"/>
          </w:tcPr>
          <w:p>
            <w:pPr>
              <w:jc w:val="center"/>
              <w:rPr>
                <w:b/>
                <w:bCs/>
                <w:noProof/>
              </w:rPr>
            </w:pPr>
            <w:r>
              <w:rPr>
                <w:b/>
                <w:bCs/>
                <w:noProof/>
              </w:rPr>
              <w:t>IE</w:t>
            </w:r>
          </w:p>
        </w:tc>
        <w:tc>
          <w:tcPr>
            <w:tcW w:w="1123" w:type="dxa"/>
          </w:tcPr>
          <w:p>
            <w:pPr>
              <w:jc w:val="right"/>
              <w:rPr>
                <w:noProof/>
              </w:rPr>
            </w:pPr>
            <w:r>
              <w:rPr>
                <w:noProof/>
              </w:rPr>
              <w:t>110</w:t>
            </w:r>
          </w:p>
        </w:tc>
        <w:tc>
          <w:tcPr>
            <w:tcW w:w="1275" w:type="dxa"/>
          </w:tcPr>
          <w:p>
            <w:pPr>
              <w:jc w:val="right"/>
              <w:rPr>
                <w:noProof/>
              </w:rPr>
            </w:pPr>
            <w:r>
              <w:rPr>
                <w:noProof/>
              </w:rPr>
              <w:t>69</w:t>
            </w:r>
          </w:p>
        </w:tc>
        <w:tc>
          <w:tcPr>
            <w:tcW w:w="1276" w:type="dxa"/>
          </w:tcPr>
          <w:p>
            <w:pPr>
              <w:jc w:val="right"/>
              <w:rPr>
                <w:noProof/>
              </w:rPr>
            </w:pPr>
            <w:r>
              <w:rPr>
                <w:noProof/>
              </w:rPr>
              <w:t>49</w:t>
            </w:r>
          </w:p>
        </w:tc>
        <w:tc>
          <w:tcPr>
            <w:tcW w:w="1463" w:type="dxa"/>
          </w:tcPr>
          <w:p>
            <w:pPr>
              <w:jc w:val="right"/>
              <w:rPr>
                <w:noProof/>
              </w:rPr>
            </w:pPr>
            <w:r>
              <w:rPr>
                <w:noProof/>
              </w:rPr>
              <w:t>228</w:t>
            </w:r>
          </w:p>
        </w:tc>
        <w:tc>
          <w:tcPr>
            <w:tcW w:w="2426" w:type="dxa"/>
            <w:vAlign w:val="bottom"/>
          </w:tcPr>
          <w:p>
            <w:pPr>
              <w:jc w:val="right"/>
              <w:rPr>
                <w:noProof/>
              </w:rPr>
            </w:pPr>
            <w:r>
              <w:rPr>
                <w:noProof/>
              </w:rPr>
              <w:t>0.64%</w:t>
            </w:r>
          </w:p>
        </w:tc>
      </w:tr>
      <w:tr>
        <w:tc>
          <w:tcPr>
            <w:tcW w:w="1679" w:type="dxa"/>
            <w:shd w:val="clear" w:color="auto" w:fill="DBE5F1" w:themeFill="accent1" w:themeFillTint="33"/>
          </w:tcPr>
          <w:p>
            <w:pPr>
              <w:jc w:val="center"/>
              <w:rPr>
                <w:b/>
                <w:bCs/>
                <w:noProof/>
              </w:rPr>
            </w:pPr>
            <w:r>
              <w:rPr>
                <w:b/>
                <w:bCs/>
                <w:noProof/>
              </w:rPr>
              <w:t>EL</w:t>
            </w:r>
          </w:p>
        </w:tc>
        <w:tc>
          <w:tcPr>
            <w:tcW w:w="1123" w:type="dxa"/>
          </w:tcPr>
          <w:p>
            <w:pPr>
              <w:jc w:val="right"/>
              <w:rPr>
                <w:noProof/>
              </w:rPr>
            </w:pPr>
            <w:r>
              <w:rPr>
                <w:noProof/>
              </w:rPr>
              <w:t>1</w:t>
            </w:r>
          </w:p>
        </w:tc>
        <w:tc>
          <w:tcPr>
            <w:tcW w:w="1275" w:type="dxa"/>
          </w:tcPr>
          <w:p>
            <w:pPr>
              <w:jc w:val="right"/>
              <w:rPr>
                <w:noProof/>
              </w:rPr>
            </w:pPr>
            <w:r>
              <w:rPr>
                <w:noProof/>
              </w:rPr>
              <w:t>1</w:t>
            </w:r>
          </w:p>
        </w:tc>
        <w:tc>
          <w:tcPr>
            <w:tcW w:w="1276" w:type="dxa"/>
          </w:tcPr>
          <w:p>
            <w:pPr>
              <w:jc w:val="right"/>
              <w:rPr>
                <w:noProof/>
              </w:rPr>
            </w:pPr>
            <w:r>
              <w:rPr>
                <w:noProof/>
              </w:rPr>
              <w:t>3</w:t>
            </w:r>
          </w:p>
        </w:tc>
        <w:tc>
          <w:tcPr>
            <w:tcW w:w="1463" w:type="dxa"/>
          </w:tcPr>
          <w:p>
            <w:pPr>
              <w:jc w:val="right"/>
              <w:rPr>
                <w:noProof/>
              </w:rPr>
            </w:pPr>
            <w:r>
              <w:rPr>
                <w:noProof/>
              </w:rPr>
              <w:t>5</w:t>
            </w:r>
          </w:p>
        </w:tc>
        <w:tc>
          <w:tcPr>
            <w:tcW w:w="2426" w:type="dxa"/>
            <w:vAlign w:val="bottom"/>
          </w:tcPr>
          <w:p>
            <w:pPr>
              <w:jc w:val="right"/>
              <w:rPr>
                <w:noProof/>
              </w:rPr>
            </w:pPr>
            <w:r>
              <w:rPr>
                <w:noProof/>
              </w:rPr>
              <w:t>0.01%</w:t>
            </w:r>
          </w:p>
        </w:tc>
      </w:tr>
      <w:tr>
        <w:tc>
          <w:tcPr>
            <w:tcW w:w="1679" w:type="dxa"/>
            <w:shd w:val="clear" w:color="auto" w:fill="DBE5F1" w:themeFill="accent1" w:themeFillTint="33"/>
          </w:tcPr>
          <w:p>
            <w:pPr>
              <w:jc w:val="center"/>
              <w:rPr>
                <w:b/>
                <w:bCs/>
                <w:noProof/>
              </w:rPr>
            </w:pPr>
            <w:r>
              <w:rPr>
                <w:b/>
                <w:bCs/>
                <w:noProof/>
              </w:rPr>
              <w:t>ES</w:t>
            </w:r>
          </w:p>
        </w:tc>
        <w:tc>
          <w:tcPr>
            <w:tcW w:w="1123" w:type="dxa"/>
          </w:tcPr>
          <w:p>
            <w:pPr>
              <w:jc w:val="right"/>
              <w:rPr>
                <w:noProof/>
              </w:rPr>
            </w:pPr>
            <w:r>
              <w:rPr>
                <w:noProof/>
              </w:rPr>
              <w:t>3,151</w:t>
            </w:r>
          </w:p>
        </w:tc>
        <w:tc>
          <w:tcPr>
            <w:tcW w:w="1275" w:type="dxa"/>
          </w:tcPr>
          <w:p>
            <w:pPr>
              <w:jc w:val="right"/>
              <w:rPr>
                <w:noProof/>
              </w:rPr>
            </w:pPr>
            <w:r>
              <w:rPr>
                <w:noProof/>
              </w:rPr>
              <w:t>3,445</w:t>
            </w:r>
          </w:p>
        </w:tc>
        <w:tc>
          <w:tcPr>
            <w:tcW w:w="1276" w:type="dxa"/>
          </w:tcPr>
          <w:p>
            <w:pPr>
              <w:jc w:val="right"/>
              <w:rPr>
                <w:noProof/>
              </w:rPr>
            </w:pPr>
            <w:r>
              <w:rPr>
                <w:noProof/>
              </w:rPr>
              <w:t>2,958</w:t>
            </w:r>
          </w:p>
        </w:tc>
        <w:tc>
          <w:tcPr>
            <w:tcW w:w="1463" w:type="dxa"/>
          </w:tcPr>
          <w:p>
            <w:pPr>
              <w:jc w:val="right"/>
              <w:rPr>
                <w:noProof/>
              </w:rPr>
            </w:pPr>
            <w:r>
              <w:rPr>
                <w:noProof/>
              </w:rPr>
              <w:t>9,554</w:t>
            </w:r>
          </w:p>
        </w:tc>
        <w:tc>
          <w:tcPr>
            <w:tcW w:w="2426" w:type="dxa"/>
            <w:vAlign w:val="bottom"/>
          </w:tcPr>
          <w:p>
            <w:pPr>
              <w:jc w:val="right"/>
              <w:rPr>
                <w:noProof/>
              </w:rPr>
            </w:pPr>
            <w:r>
              <w:rPr>
                <w:noProof/>
              </w:rPr>
              <w:t>26.85%</w:t>
            </w:r>
          </w:p>
        </w:tc>
      </w:tr>
      <w:tr>
        <w:tc>
          <w:tcPr>
            <w:tcW w:w="1679" w:type="dxa"/>
            <w:shd w:val="clear" w:color="auto" w:fill="DBE5F1" w:themeFill="accent1" w:themeFillTint="33"/>
          </w:tcPr>
          <w:p>
            <w:pPr>
              <w:jc w:val="center"/>
              <w:rPr>
                <w:b/>
                <w:bCs/>
                <w:noProof/>
              </w:rPr>
            </w:pPr>
            <w:r>
              <w:rPr>
                <w:b/>
                <w:bCs/>
                <w:noProof/>
              </w:rPr>
              <w:t>FR</w:t>
            </w:r>
          </w:p>
        </w:tc>
        <w:tc>
          <w:tcPr>
            <w:tcW w:w="1123" w:type="dxa"/>
          </w:tcPr>
          <w:p>
            <w:pPr>
              <w:jc w:val="right"/>
              <w:rPr>
                <w:noProof/>
              </w:rPr>
            </w:pPr>
            <w:r>
              <w:rPr>
                <w:noProof/>
              </w:rPr>
              <w:t>3,628</w:t>
            </w:r>
          </w:p>
        </w:tc>
        <w:tc>
          <w:tcPr>
            <w:tcW w:w="1275" w:type="dxa"/>
          </w:tcPr>
          <w:p>
            <w:pPr>
              <w:jc w:val="right"/>
              <w:rPr>
                <w:noProof/>
              </w:rPr>
            </w:pPr>
            <w:r>
              <w:rPr>
                <w:noProof/>
              </w:rPr>
              <w:t>4,142</w:t>
            </w:r>
          </w:p>
        </w:tc>
        <w:tc>
          <w:tcPr>
            <w:tcW w:w="1276" w:type="dxa"/>
          </w:tcPr>
          <w:p>
            <w:pPr>
              <w:jc w:val="right"/>
              <w:rPr>
                <w:noProof/>
              </w:rPr>
            </w:pPr>
            <w:r>
              <w:rPr>
                <w:noProof/>
              </w:rPr>
              <w:t>4,026</w:t>
            </w:r>
          </w:p>
        </w:tc>
        <w:tc>
          <w:tcPr>
            <w:tcW w:w="1463" w:type="dxa"/>
          </w:tcPr>
          <w:p>
            <w:pPr>
              <w:jc w:val="right"/>
              <w:rPr>
                <w:noProof/>
              </w:rPr>
            </w:pPr>
            <w:r>
              <w:rPr>
                <w:noProof/>
              </w:rPr>
              <w:t>11,796</w:t>
            </w:r>
          </w:p>
        </w:tc>
        <w:tc>
          <w:tcPr>
            <w:tcW w:w="2426" w:type="dxa"/>
            <w:vAlign w:val="bottom"/>
          </w:tcPr>
          <w:p>
            <w:pPr>
              <w:jc w:val="right"/>
              <w:rPr>
                <w:noProof/>
              </w:rPr>
            </w:pPr>
            <w:r>
              <w:rPr>
                <w:noProof/>
              </w:rPr>
              <w:t>33.15%</w:t>
            </w:r>
          </w:p>
        </w:tc>
      </w:tr>
      <w:tr>
        <w:tc>
          <w:tcPr>
            <w:tcW w:w="1679" w:type="dxa"/>
            <w:shd w:val="clear" w:color="auto" w:fill="DBE5F1" w:themeFill="accent1" w:themeFillTint="33"/>
          </w:tcPr>
          <w:p>
            <w:pPr>
              <w:jc w:val="center"/>
              <w:rPr>
                <w:b/>
                <w:bCs/>
                <w:noProof/>
              </w:rPr>
            </w:pPr>
            <w:r>
              <w:rPr>
                <w:b/>
                <w:bCs/>
                <w:noProof/>
              </w:rPr>
              <w:t>HR</w:t>
            </w:r>
          </w:p>
        </w:tc>
        <w:tc>
          <w:tcPr>
            <w:tcW w:w="1123" w:type="dxa"/>
          </w:tcPr>
          <w:p>
            <w:pPr>
              <w:jc w:val="right"/>
              <w:rPr>
                <w:noProof/>
              </w:rPr>
            </w:pPr>
            <w:r>
              <w:rPr>
                <w:noProof/>
              </w:rPr>
              <w:t>42</w:t>
            </w:r>
          </w:p>
        </w:tc>
        <w:tc>
          <w:tcPr>
            <w:tcW w:w="1275" w:type="dxa"/>
          </w:tcPr>
          <w:p>
            <w:pPr>
              <w:jc w:val="right"/>
              <w:rPr>
                <w:noProof/>
              </w:rPr>
            </w:pPr>
            <w:r>
              <w:rPr>
                <w:noProof/>
              </w:rPr>
              <w:t>36</w:t>
            </w:r>
          </w:p>
        </w:tc>
        <w:tc>
          <w:tcPr>
            <w:tcW w:w="1276" w:type="dxa"/>
          </w:tcPr>
          <w:p>
            <w:pPr>
              <w:jc w:val="right"/>
              <w:rPr>
                <w:noProof/>
              </w:rPr>
            </w:pPr>
            <w:r>
              <w:rPr>
                <w:noProof/>
              </w:rPr>
              <w:t>38</w:t>
            </w:r>
          </w:p>
        </w:tc>
        <w:tc>
          <w:tcPr>
            <w:tcW w:w="1463" w:type="dxa"/>
          </w:tcPr>
          <w:p>
            <w:pPr>
              <w:jc w:val="right"/>
              <w:rPr>
                <w:noProof/>
              </w:rPr>
            </w:pPr>
            <w:r>
              <w:rPr>
                <w:noProof/>
              </w:rPr>
              <w:t>116</w:t>
            </w:r>
          </w:p>
        </w:tc>
        <w:tc>
          <w:tcPr>
            <w:tcW w:w="2426" w:type="dxa"/>
            <w:vAlign w:val="bottom"/>
          </w:tcPr>
          <w:p>
            <w:pPr>
              <w:jc w:val="right"/>
              <w:rPr>
                <w:noProof/>
              </w:rPr>
            </w:pPr>
            <w:r>
              <w:rPr>
                <w:noProof/>
              </w:rPr>
              <w:t>0.33%</w:t>
            </w:r>
          </w:p>
        </w:tc>
      </w:tr>
      <w:tr>
        <w:tc>
          <w:tcPr>
            <w:tcW w:w="1679" w:type="dxa"/>
            <w:shd w:val="clear" w:color="auto" w:fill="DBE5F1" w:themeFill="accent1" w:themeFillTint="33"/>
          </w:tcPr>
          <w:p>
            <w:pPr>
              <w:jc w:val="center"/>
              <w:rPr>
                <w:b/>
                <w:bCs/>
                <w:noProof/>
              </w:rPr>
            </w:pPr>
            <w:r>
              <w:rPr>
                <w:b/>
                <w:bCs/>
                <w:noProof/>
              </w:rPr>
              <w:t>IT</w:t>
            </w:r>
          </w:p>
        </w:tc>
        <w:tc>
          <w:tcPr>
            <w:tcW w:w="1123" w:type="dxa"/>
          </w:tcPr>
          <w:p>
            <w:pPr>
              <w:jc w:val="right"/>
              <w:rPr>
                <w:noProof/>
              </w:rPr>
            </w:pPr>
            <w:r>
              <w:rPr>
                <w:noProof/>
              </w:rPr>
              <w:t>434</w:t>
            </w:r>
          </w:p>
        </w:tc>
        <w:tc>
          <w:tcPr>
            <w:tcW w:w="1275" w:type="dxa"/>
          </w:tcPr>
          <w:p>
            <w:pPr>
              <w:jc w:val="right"/>
              <w:rPr>
                <w:noProof/>
              </w:rPr>
            </w:pPr>
            <w:r>
              <w:rPr>
                <w:noProof/>
              </w:rPr>
              <w:t>551</w:t>
            </w:r>
          </w:p>
        </w:tc>
        <w:tc>
          <w:tcPr>
            <w:tcW w:w="1276" w:type="dxa"/>
          </w:tcPr>
          <w:p>
            <w:pPr>
              <w:jc w:val="right"/>
              <w:rPr>
                <w:noProof/>
              </w:rPr>
            </w:pPr>
            <w:r>
              <w:rPr>
                <w:noProof/>
              </w:rPr>
              <w:t>591</w:t>
            </w:r>
          </w:p>
        </w:tc>
        <w:tc>
          <w:tcPr>
            <w:tcW w:w="1463" w:type="dxa"/>
          </w:tcPr>
          <w:p>
            <w:pPr>
              <w:jc w:val="right"/>
              <w:rPr>
                <w:noProof/>
              </w:rPr>
            </w:pPr>
            <w:r>
              <w:rPr>
                <w:noProof/>
              </w:rPr>
              <w:t>1,576</w:t>
            </w:r>
          </w:p>
        </w:tc>
        <w:tc>
          <w:tcPr>
            <w:tcW w:w="2426" w:type="dxa"/>
            <w:vAlign w:val="bottom"/>
          </w:tcPr>
          <w:p>
            <w:pPr>
              <w:jc w:val="right"/>
              <w:rPr>
                <w:noProof/>
              </w:rPr>
            </w:pPr>
            <w:r>
              <w:rPr>
                <w:noProof/>
              </w:rPr>
              <w:t>4.43%</w:t>
            </w:r>
          </w:p>
        </w:tc>
      </w:tr>
      <w:tr>
        <w:tc>
          <w:tcPr>
            <w:tcW w:w="1679" w:type="dxa"/>
            <w:shd w:val="clear" w:color="auto" w:fill="DBE5F1" w:themeFill="accent1" w:themeFillTint="33"/>
          </w:tcPr>
          <w:p>
            <w:pPr>
              <w:jc w:val="center"/>
              <w:rPr>
                <w:b/>
                <w:bCs/>
                <w:noProof/>
              </w:rPr>
            </w:pPr>
            <w:r>
              <w:rPr>
                <w:b/>
                <w:bCs/>
                <w:noProof/>
              </w:rPr>
              <w:t>CY</w:t>
            </w:r>
          </w:p>
        </w:tc>
        <w:tc>
          <w:tcPr>
            <w:tcW w:w="1123" w:type="dxa"/>
          </w:tcPr>
          <w:p>
            <w:pPr>
              <w:jc w:val="right"/>
              <w:rPr>
                <w:noProof/>
              </w:rPr>
            </w:pPr>
            <w:r>
              <w:rPr>
                <w:noProof/>
              </w:rPr>
              <w:t>2</w:t>
            </w:r>
          </w:p>
        </w:tc>
        <w:tc>
          <w:tcPr>
            <w:tcW w:w="1275" w:type="dxa"/>
          </w:tcPr>
          <w:p>
            <w:pPr>
              <w:jc w:val="right"/>
              <w:rPr>
                <w:noProof/>
              </w:rPr>
            </w:pPr>
            <w:r>
              <w:rPr>
                <w:noProof/>
              </w:rPr>
              <w:t>5</w:t>
            </w:r>
          </w:p>
        </w:tc>
        <w:tc>
          <w:tcPr>
            <w:tcW w:w="1276" w:type="dxa"/>
          </w:tcPr>
          <w:p>
            <w:pPr>
              <w:jc w:val="right"/>
              <w:rPr>
                <w:noProof/>
              </w:rPr>
            </w:pPr>
            <w:r>
              <w:rPr>
                <w:noProof/>
              </w:rPr>
              <w:t>6</w:t>
            </w:r>
          </w:p>
        </w:tc>
        <w:tc>
          <w:tcPr>
            <w:tcW w:w="1463" w:type="dxa"/>
          </w:tcPr>
          <w:p>
            <w:pPr>
              <w:jc w:val="right"/>
              <w:rPr>
                <w:noProof/>
              </w:rPr>
            </w:pPr>
            <w:r>
              <w:rPr>
                <w:noProof/>
              </w:rPr>
              <w:t>13</w:t>
            </w:r>
          </w:p>
        </w:tc>
        <w:tc>
          <w:tcPr>
            <w:tcW w:w="2426" w:type="dxa"/>
            <w:vAlign w:val="bottom"/>
          </w:tcPr>
          <w:p>
            <w:pPr>
              <w:jc w:val="right"/>
              <w:rPr>
                <w:noProof/>
              </w:rPr>
            </w:pPr>
            <w:r>
              <w:rPr>
                <w:noProof/>
              </w:rPr>
              <w:t>0.04%</w:t>
            </w:r>
          </w:p>
        </w:tc>
      </w:tr>
      <w:tr>
        <w:tc>
          <w:tcPr>
            <w:tcW w:w="1679" w:type="dxa"/>
            <w:shd w:val="clear" w:color="auto" w:fill="DBE5F1" w:themeFill="accent1" w:themeFillTint="33"/>
          </w:tcPr>
          <w:p>
            <w:pPr>
              <w:jc w:val="center"/>
              <w:rPr>
                <w:b/>
                <w:bCs/>
                <w:noProof/>
              </w:rPr>
            </w:pPr>
            <w:r>
              <w:rPr>
                <w:b/>
                <w:bCs/>
                <w:noProof/>
              </w:rPr>
              <w:t>LV</w:t>
            </w:r>
          </w:p>
        </w:tc>
        <w:tc>
          <w:tcPr>
            <w:tcW w:w="1123" w:type="dxa"/>
          </w:tcPr>
          <w:p>
            <w:pPr>
              <w:jc w:val="right"/>
              <w:rPr>
                <w:noProof/>
              </w:rPr>
            </w:pPr>
            <w:r>
              <w:rPr>
                <w:noProof/>
              </w:rPr>
              <w:t>1</w:t>
            </w:r>
          </w:p>
        </w:tc>
        <w:tc>
          <w:tcPr>
            <w:tcW w:w="1275" w:type="dxa"/>
          </w:tcPr>
          <w:p>
            <w:pPr>
              <w:jc w:val="right"/>
              <w:rPr>
                <w:noProof/>
              </w:rPr>
            </w:pPr>
            <w:r>
              <w:rPr>
                <w:noProof/>
              </w:rPr>
              <w:t>1</w:t>
            </w:r>
          </w:p>
        </w:tc>
        <w:tc>
          <w:tcPr>
            <w:tcW w:w="1276" w:type="dxa"/>
          </w:tcPr>
          <w:p>
            <w:pPr>
              <w:jc w:val="right"/>
              <w:rPr>
                <w:noProof/>
              </w:rPr>
            </w:pPr>
            <w:r>
              <w:rPr>
                <w:noProof/>
              </w:rPr>
              <w:t>0</w:t>
            </w:r>
          </w:p>
        </w:tc>
        <w:tc>
          <w:tcPr>
            <w:tcW w:w="1463" w:type="dxa"/>
          </w:tcPr>
          <w:p>
            <w:pPr>
              <w:jc w:val="right"/>
              <w:rPr>
                <w:noProof/>
              </w:rPr>
            </w:pPr>
            <w:r>
              <w:rPr>
                <w:noProof/>
              </w:rPr>
              <w:t>2</w:t>
            </w:r>
          </w:p>
        </w:tc>
        <w:tc>
          <w:tcPr>
            <w:tcW w:w="2426" w:type="dxa"/>
            <w:vAlign w:val="bottom"/>
          </w:tcPr>
          <w:p>
            <w:pPr>
              <w:jc w:val="right"/>
              <w:rPr>
                <w:noProof/>
              </w:rPr>
            </w:pPr>
            <w:r>
              <w:rPr>
                <w:noProof/>
              </w:rPr>
              <w:t>0.01%</w:t>
            </w:r>
          </w:p>
        </w:tc>
      </w:tr>
      <w:tr>
        <w:tc>
          <w:tcPr>
            <w:tcW w:w="1679" w:type="dxa"/>
            <w:shd w:val="clear" w:color="auto" w:fill="DBE5F1" w:themeFill="accent1" w:themeFillTint="33"/>
          </w:tcPr>
          <w:p>
            <w:pPr>
              <w:jc w:val="center"/>
              <w:rPr>
                <w:b/>
                <w:bCs/>
                <w:noProof/>
              </w:rPr>
            </w:pPr>
            <w:r>
              <w:rPr>
                <w:b/>
                <w:bCs/>
                <w:noProof/>
              </w:rPr>
              <w:t>LT</w:t>
            </w:r>
          </w:p>
        </w:tc>
        <w:tc>
          <w:tcPr>
            <w:tcW w:w="1123" w:type="dxa"/>
          </w:tcPr>
          <w:p>
            <w:pPr>
              <w:jc w:val="right"/>
              <w:rPr>
                <w:noProof/>
              </w:rPr>
            </w:pPr>
            <w:r>
              <w:rPr>
                <w:noProof/>
              </w:rPr>
              <w:t>2</w:t>
            </w:r>
          </w:p>
        </w:tc>
        <w:tc>
          <w:tcPr>
            <w:tcW w:w="1275" w:type="dxa"/>
          </w:tcPr>
          <w:p>
            <w:pPr>
              <w:jc w:val="right"/>
              <w:rPr>
                <w:noProof/>
              </w:rPr>
            </w:pPr>
            <w:r>
              <w:rPr>
                <w:noProof/>
              </w:rPr>
              <w:t>3</w:t>
            </w:r>
          </w:p>
        </w:tc>
        <w:tc>
          <w:tcPr>
            <w:tcW w:w="1276" w:type="dxa"/>
          </w:tcPr>
          <w:p>
            <w:pPr>
              <w:jc w:val="right"/>
              <w:rPr>
                <w:noProof/>
              </w:rPr>
            </w:pPr>
            <w:r>
              <w:rPr>
                <w:noProof/>
              </w:rPr>
              <w:t>3</w:t>
            </w:r>
          </w:p>
        </w:tc>
        <w:tc>
          <w:tcPr>
            <w:tcW w:w="1463" w:type="dxa"/>
          </w:tcPr>
          <w:p>
            <w:pPr>
              <w:jc w:val="right"/>
              <w:rPr>
                <w:noProof/>
              </w:rPr>
            </w:pPr>
            <w:r>
              <w:rPr>
                <w:noProof/>
              </w:rPr>
              <w:t>8</w:t>
            </w:r>
          </w:p>
        </w:tc>
        <w:tc>
          <w:tcPr>
            <w:tcW w:w="2426" w:type="dxa"/>
            <w:vAlign w:val="bottom"/>
          </w:tcPr>
          <w:p>
            <w:pPr>
              <w:jc w:val="right"/>
              <w:rPr>
                <w:noProof/>
              </w:rPr>
            </w:pPr>
            <w:r>
              <w:rPr>
                <w:noProof/>
              </w:rPr>
              <w:t>0.13%</w:t>
            </w:r>
          </w:p>
        </w:tc>
      </w:tr>
      <w:tr>
        <w:tc>
          <w:tcPr>
            <w:tcW w:w="1679" w:type="dxa"/>
            <w:shd w:val="clear" w:color="auto" w:fill="DBE5F1" w:themeFill="accent1" w:themeFillTint="33"/>
          </w:tcPr>
          <w:p>
            <w:pPr>
              <w:jc w:val="center"/>
              <w:rPr>
                <w:b/>
                <w:bCs/>
                <w:noProof/>
              </w:rPr>
            </w:pPr>
            <w:r>
              <w:rPr>
                <w:b/>
                <w:bCs/>
                <w:noProof/>
              </w:rPr>
              <w:t>LU</w:t>
            </w:r>
          </w:p>
        </w:tc>
        <w:tc>
          <w:tcPr>
            <w:tcW w:w="1123" w:type="dxa"/>
          </w:tcPr>
          <w:p>
            <w:pPr>
              <w:jc w:val="right"/>
              <w:rPr>
                <w:noProof/>
              </w:rPr>
            </w:pPr>
            <w:r>
              <w:rPr>
                <w:noProof/>
              </w:rPr>
              <w:t>0</w:t>
            </w:r>
          </w:p>
        </w:tc>
        <w:tc>
          <w:tcPr>
            <w:tcW w:w="1275" w:type="dxa"/>
          </w:tcPr>
          <w:p>
            <w:pPr>
              <w:jc w:val="right"/>
              <w:rPr>
                <w:noProof/>
              </w:rPr>
            </w:pPr>
            <w:r>
              <w:rPr>
                <w:noProof/>
              </w:rPr>
              <w:t>8</w:t>
            </w:r>
          </w:p>
        </w:tc>
        <w:tc>
          <w:tcPr>
            <w:tcW w:w="1276" w:type="dxa"/>
          </w:tcPr>
          <w:p>
            <w:pPr>
              <w:jc w:val="right"/>
              <w:rPr>
                <w:noProof/>
              </w:rPr>
            </w:pPr>
            <w:r>
              <w:rPr>
                <w:noProof/>
              </w:rPr>
              <w:t>23</w:t>
            </w:r>
          </w:p>
        </w:tc>
        <w:tc>
          <w:tcPr>
            <w:tcW w:w="1463" w:type="dxa"/>
          </w:tcPr>
          <w:p>
            <w:pPr>
              <w:jc w:val="right"/>
              <w:rPr>
                <w:noProof/>
              </w:rPr>
            </w:pPr>
            <w:r>
              <w:rPr>
                <w:noProof/>
              </w:rPr>
              <w:t>31</w:t>
            </w:r>
          </w:p>
        </w:tc>
        <w:tc>
          <w:tcPr>
            <w:tcW w:w="2426" w:type="dxa"/>
            <w:vAlign w:val="bottom"/>
          </w:tcPr>
          <w:p>
            <w:pPr>
              <w:jc w:val="right"/>
              <w:rPr>
                <w:noProof/>
              </w:rPr>
            </w:pPr>
            <w:r>
              <w:rPr>
                <w:noProof/>
              </w:rPr>
              <w:t>0.09%</w:t>
            </w:r>
          </w:p>
        </w:tc>
      </w:tr>
      <w:tr>
        <w:tc>
          <w:tcPr>
            <w:tcW w:w="1679" w:type="dxa"/>
            <w:shd w:val="clear" w:color="auto" w:fill="DBE5F1" w:themeFill="accent1" w:themeFillTint="33"/>
          </w:tcPr>
          <w:p>
            <w:pPr>
              <w:jc w:val="center"/>
              <w:rPr>
                <w:b/>
                <w:bCs/>
                <w:noProof/>
              </w:rPr>
            </w:pPr>
            <w:r>
              <w:rPr>
                <w:b/>
                <w:bCs/>
                <w:noProof/>
              </w:rPr>
              <w:t>HU</w:t>
            </w:r>
          </w:p>
        </w:tc>
        <w:tc>
          <w:tcPr>
            <w:tcW w:w="1123" w:type="dxa"/>
          </w:tcPr>
          <w:p>
            <w:pPr>
              <w:jc w:val="right"/>
              <w:rPr>
                <w:noProof/>
              </w:rPr>
            </w:pPr>
            <w:r>
              <w:rPr>
                <w:noProof/>
              </w:rPr>
              <w:t>31</w:t>
            </w:r>
          </w:p>
        </w:tc>
        <w:tc>
          <w:tcPr>
            <w:tcW w:w="1275" w:type="dxa"/>
          </w:tcPr>
          <w:p>
            <w:pPr>
              <w:jc w:val="right"/>
              <w:rPr>
                <w:noProof/>
              </w:rPr>
            </w:pPr>
            <w:r>
              <w:rPr>
                <w:noProof/>
              </w:rPr>
              <w:t>17</w:t>
            </w:r>
          </w:p>
        </w:tc>
        <w:tc>
          <w:tcPr>
            <w:tcW w:w="1276" w:type="dxa"/>
          </w:tcPr>
          <w:p>
            <w:pPr>
              <w:jc w:val="right"/>
              <w:rPr>
                <w:noProof/>
              </w:rPr>
            </w:pPr>
            <w:r>
              <w:rPr>
                <w:noProof/>
              </w:rPr>
              <w:t>5</w:t>
            </w:r>
          </w:p>
        </w:tc>
        <w:tc>
          <w:tcPr>
            <w:tcW w:w="1463" w:type="dxa"/>
          </w:tcPr>
          <w:p>
            <w:pPr>
              <w:jc w:val="right"/>
              <w:rPr>
                <w:noProof/>
              </w:rPr>
            </w:pPr>
            <w:r>
              <w:rPr>
                <w:noProof/>
              </w:rPr>
              <w:t>53</w:t>
            </w:r>
          </w:p>
        </w:tc>
        <w:tc>
          <w:tcPr>
            <w:tcW w:w="2426" w:type="dxa"/>
            <w:vAlign w:val="bottom"/>
          </w:tcPr>
          <w:p>
            <w:pPr>
              <w:jc w:val="right"/>
              <w:rPr>
                <w:noProof/>
              </w:rPr>
            </w:pPr>
            <w:r>
              <w:rPr>
                <w:noProof/>
              </w:rPr>
              <w:t>0.15%</w:t>
            </w:r>
          </w:p>
        </w:tc>
      </w:tr>
      <w:tr>
        <w:tc>
          <w:tcPr>
            <w:tcW w:w="1679" w:type="dxa"/>
            <w:shd w:val="clear" w:color="auto" w:fill="DBE5F1" w:themeFill="accent1" w:themeFillTint="33"/>
          </w:tcPr>
          <w:p>
            <w:pPr>
              <w:jc w:val="center"/>
              <w:rPr>
                <w:b/>
                <w:bCs/>
                <w:noProof/>
              </w:rPr>
            </w:pPr>
            <w:r>
              <w:rPr>
                <w:b/>
                <w:bCs/>
                <w:noProof/>
              </w:rPr>
              <w:t>MT</w:t>
            </w:r>
          </w:p>
        </w:tc>
        <w:tc>
          <w:tcPr>
            <w:tcW w:w="1123" w:type="dxa"/>
          </w:tcPr>
          <w:p>
            <w:pPr>
              <w:jc w:val="right"/>
              <w:rPr>
                <w:noProof/>
              </w:rPr>
            </w:pPr>
            <w:r>
              <w:rPr>
                <w:noProof/>
              </w:rPr>
              <w:t>22</w:t>
            </w:r>
          </w:p>
        </w:tc>
        <w:tc>
          <w:tcPr>
            <w:tcW w:w="1275" w:type="dxa"/>
          </w:tcPr>
          <w:p>
            <w:pPr>
              <w:jc w:val="right"/>
              <w:rPr>
                <w:noProof/>
              </w:rPr>
            </w:pPr>
            <w:r>
              <w:rPr>
                <w:noProof/>
              </w:rPr>
              <w:t>25</w:t>
            </w:r>
          </w:p>
        </w:tc>
        <w:tc>
          <w:tcPr>
            <w:tcW w:w="1276" w:type="dxa"/>
          </w:tcPr>
          <w:p>
            <w:pPr>
              <w:jc w:val="right"/>
              <w:rPr>
                <w:noProof/>
              </w:rPr>
            </w:pPr>
            <w:r>
              <w:rPr>
                <w:noProof/>
              </w:rPr>
              <w:t>29</w:t>
            </w:r>
          </w:p>
        </w:tc>
        <w:tc>
          <w:tcPr>
            <w:tcW w:w="1463" w:type="dxa"/>
          </w:tcPr>
          <w:p>
            <w:pPr>
              <w:jc w:val="right"/>
              <w:rPr>
                <w:noProof/>
              </w:rPr>
            </w:pPr>
            <w:r>
              <w:rPr>
                <w:noProof/>
              </w:rPr>
              <w:t>76</w:t>
            </w:r>
          </w:p>
        </w:tc>
        <w:tc>
          <w:tcPr>
            <w:tcW w:w="2426" w:type="dxa"/>
            <w:vAlign w:val="bottom"/>
          </w:tcPr>
          <w:p>
            <w:pPr>
              <w:jc w:val="right"/>
              <w:rPr>
                <w:noProof/>
              </w:rPr>
            </w:pPr>
            <w:r>
              <w:rPr>
                <w:noProof/>
              </w:rPr>
              <w:t>0.21%</w:t>
            </w:r>
          </w:p>
        </w:tc>
      </w:tr>
      <w:tr>
        <w:tc>
          <w:tcPr>
            <w:tcW w:w="1679" w:type="dxa"/>
            <w:shd w:val="clear" w:color="auto" w:fill="DBE5F1" w:themeFill="accent1" w:themeFillTint="33"/>
          </w:tcPr>
          <w:p>
            <w:pPr>
              <w:jc w:val="center"/>
              <w:rPr>
                <w:b/>
                <w:bCs/>
                <w:noProof/>
              </w:rPr>
            </w:pPr>
            <w:r>
              <w:rPr>
                <w:b/>
                <w:bCs/>
                <w:noProof/>
              </w:rPr>
              <w:t>NL</w:t>
            </w:r>
          </w:p>
        </w:tc>
        <w:tc>
          <w:tcPr>
            <w:tcW w:w="1123" w:type="dxa"/>
          </w:tcPr>
          <w:p>
            <w:pPr>
              <w:jc w:val="right"/>
              <w:rPr>
                <w:noProof/>
              </w:rPr>
            </w:pPr>
            <w:r>
              <w:rPr>
                <w:noProof/>
              </w:rPr>
              <w:t>345</w:t>
            </w:r>
          </w:p>
        </w:tc>
        <w:tc>
          <w:tcPr>
            <w:tcW w:w="1275" w:type="dxa"/>
          </w:tcPr>
          <w:p>
            <w:pPr>
              <w:jc w:val="right"/>
              <w:rPr>
                <w:noProof/>
              </w:rPr>
            </w:pPr>
            <w:r>
              <w:rPr>
                <w:noProof/>
              </w:rPr>
              <w:t>361</w:t>
            </w:r>
          </w:p>
        </w:tc>
        <w:tc>
          <w:tcPr>
            <w:tcW w:w="1276" w:type="dxa"/>
          </w:tcPr>
          <w:p>
            <w:pPr>
              <w:jc w:val="right"/>
              <w:rPr>
                <w:noProof/>
              </w:rPr>
            </w:pPr>
            <w:r>
              <w:rPr>
                <w:noProof/>
              </w:rPr>
              <w:t>450</w:t>
            </w:r>
          </w:p>
        </w:tc>
        <w:tc>
          <w:tcPr>
            <w:tcW w:w="1463" w:type="dxa"/>
          </w:tcPr>
          <w:p>
            <w:pPr>
              <w:jc w:val="right"/>
              <w:rPr>
                <w:noProof/>
              </w:rPr>
            </w:pPr>
            <w:r>
              <w:rPr>
                <w:noProof/>
              </w:rPr>
              <w:t>1,156</w:t>
            </w:r>
          </w:p>
        </w:tc>
        <w:tc>
          <w:tcPr>
            <w:tcW w:w="2426" w:type="dxa"/>
            <w:vAlign w:val="bottom"/>
          </w:tcPr>
          <w:p>
            <w:pPr>
              <w:jc w:val="right"/>
              <w:rPr>
                <w:noProof/>
              </w:rPr>
            </w:pPr>
            <w:r>
              <w:rPr>
                <w:noProof/>
              </w:rPr>
              <w:t>3.25%</w:t>
            </w:r>
          </w:p>
        </w:tc>
      </w:tr>
      <w:tr>
        <w:tc>
          <w:tcPr>
            <w:tcW w:w="1679" w:type="dxa"/>
            <w:shd w:val="clear" w:color="auto" w:fill="DBE5F1" w:themeFill="accent1" w:themeFillTint="33"/>
          </w:tcPr>
          <w:p>
            <w:pPr>
              <w:jc w:val="center"/>
              <w:rPr>
                <w:b/>
                <w:bCs/>
                <w:noProof/>
              </w:rPr>
            </w:pPr>
            <w:r>
              <w:rPr>
                <w:b/>
                <w:bCs/>
                <w:noProof/>
              </w:rPr>
              <w:t>AT</w:t>
            </w:r>
          </w:p>
        </w:tc>
        <w:tc>
          <w:tcPr>
            <w:tcW w:w="1123" w:type="dxa"/>
          </w:tcPr>
          <w:p>
            <w:pPr>
              <w:jc w:val="right"/>
              <w:rPr>
                <w:noProof/>
              </w:rPr>
            </w:pPr>
            <w:r>
              <w:rPr>
                <w:noProof/>
              </w:rPr>
              <w:t>670</w:t>
            </w:r>
          </w:p>
        </w:tc>
        <w:tc>
          <w:tcPr>
            <w:tcW w:w="1275" w:type="dxa"/>
          </w:tcPr>
          <w:p>
            <w:pPr>
              <w:jc w:val="right"/>
              <w:rPr>
                <w:noProof/>
              </w:rPr>
            </w:pPr>
            <w:r>
              <w:rPr>
                <w:noProof/>
              </w:rPr>
              <w:t>697</w:t>
            </w:r>
          </w:p>
        </w:tc>
        <w:tc>
          <w:tcPr>
            <w:tcW w:w="1276" w:type="dxa"/>
          </w:tcPr>
          <w:p>
            <w:pPr>
              <w:jc w:val="right"/>
              <w:rPr>
                <w:noProof/>
              </w:rPr>
            </w:pPr>
            <w:r>
              <w:rPr>
                <w:noProof/>
              </w:rPr>
              <w:t>625</w:t>
            </w:r>
          </w:p>
        </w:tc>
        <w:tc>
          <w:tcPr>
            <w:tcW w:w="1463" w:type="dxa"/>
          </w:tcPr>
          <w:p>
            <w:pPr>
              <w:jc w:val="right"/>
              <w:rPr>
                <w:noProof/>
              </w:rPr>
            </w:pPr>
            <w:r>
              <w:rPr>
                <w:noProof/>
              </w:rPr>
              <w:t>1,992</w:t>
            </w:r>
          </w:p>
        </w:tc>
        <w:tc>
          <w:tcPr>
            <w:tcW w:w="2426" w:type="dxa"/>
            <w:vAlign w:val="bottom"/>
          </w:tcPr>
          <w:p>
            <w:pPr>
              <w:jc w:val="right"/>
              <w:rPr>
                <w:noProof/>
              </w:rPr>
            </w:pPr>
            <w:r>
              <w:rPr>
                <w:noProof/>
              </w:rPr>
              <w:t>5.67%</w:t>
            </w:r>
          </w:p>
        </w:tc>
      </w:tr>
      <w:tr>
        <w:tc>
          <w:tcPr>
            <w:tcW w:w="1679" w:type="dxa"/>
            <w:shd w:val="clear" w:color="auto" w:fill="DBE5F1" w:themeFill="accent1" w:themeFillTint="33"/>
          </w:tcPr>
          <w:p>
            <w:pPr>
              <w:jc w:val="center"/>
              <w:rPr>
                <w:b/>
                <w:bCs/>
                <w:noProof/>
              </w:rPr>
            </w:pPr>
            <w:r>
              <w:rPr>
                <w:b/>
                <w:bCs/>
                <w:noProof/>
              </w:rPr>
              <w:t>PL</w:t>
            </w:r>
          </w:p>
        </w:tc>
        <w:tc>
          <w:tcPr>
            <w:tcW w:w="1123" w:type="dxa"/>
          </w:tcPr>
          <w:p>
            <w:pPr>
              <w:jc w:val="right"/>
              <w:rPr>
                <w:noProof/>
              </w:rPr>
            </w:pPr>
            <w:r>
              <w:rPr>
                <w:noProof/>
              </w:rPr>
              <w:t>16</w:t>
            </w:r>
          </w:p>
        </w:tc>
        <w:tc>
          <w:tcPr>
            <w:tcW w:w="1275" w:type="dxa"/>
          </w:tcPr>
          <w:p>
            <w:pPr>
              <w:jc w:val="right"/>
              <w:rPr>
                <w:noProof/>
              </w:rPr>
            </w:pPr>
            <w:r>
              <w:rPr>
                <w:noProof/>
              </w:rPr>
              <w:t>16</w:t>
            </w:r>
          </w:p>
        </w:tc>
        <w:tc>
          <w:tcPr>
            <w:tcW w:w="1276" w:type="dxa"/>
          </w:tcPr>
          <w:p>
            <w:pPr>
              <w:jc w:val="right"/>
              <w:rPr>
                <w:noProof/>
              </w:rPr>
            </w:pPr>
            <w:r>
              <w:rPr>
                <w:noProof/>
              </w:rPr>
              <w:t>15</w:t>
            </w:r>
          </w:p>
        </w:tc>
        <w:tc>
          <w:tcPr>
            <w:tcW w:w="1463" w:type="dxa"/>
          </w:tcPr>
          <w:p>
            <w:pPr>
              <w:jc w:val="right"/>
              <w:rPr>
                <w:noProof/>
              </w:rPr>
            </w:pPr>
            <w:r>
              <w:rPr>
                <w:noProof/>
              </w:rPr>
              <w:t>47</w:t>
            </w:r>
          </w:p>
        </w:tc>
        <w:tc>
          <w:tcPr>
            <w:tcW w:w="2426" w:type="dxa"/>
            <w:vAlign w:val="bottom"/>
          </w:tcPr>
          <w:p>
            <w:pPr>
              <w:jc w:val="right"/>
              <w:rPr>
                <w:noProof/>
              </w:rPr>
            </w:pPr>
            <w:r>
              <w:rPr>
                <w:noProof/>
              </w:rPr>
              <w:t>0.13%</w:t>
            </w:r>
          </w:p>
        </w:tc>
      </w:tr>
      <w:tr>
        <w:tc>
          <w:tcPr>
            <w:tcW w:w="1679" w:type="dxa"/>
            <w:shd w:val="clear" w:color="auto" w:fill="DBE5F1" w:themeFill="accent1" w:themeFillTint="33"/>
          </w:tcPr>
          <w:p>
            <w:pPr>
              <w:jc w:val="center"/>
              <w:rPr>
                <w:b/>
                <w:bCs/>
                <w:noProof/>
              </w:rPr>
            </w:pPr>
            <w:r>
              <w:rPr>
                <w:b/>
                <w:bCs/>
                <w:noProof/>
              </w:rPr>
              <w:t>PT</w:t>
            </w:r>
          </w:p>
        </w:tc>
        <w:tc>
          <w:tcPr>
            <w:tcW w:w="1123" w:type="dxa"/>
          </w:tcPr>
          <w:p>
            <w:pPr>
              <w:jc w:val="right"/>
              <w:rPr>
                <w:noProof/>
              </w:rPr>
            </w:pPr>
            <w:r>
              <w:rPr>
                <w:noProof/>
              </w:rPr>
              <w:t>573</w:t>
            </w:r>
          </w:p>
        </w:tc>
        <w:tc>
          <w:tcPr>
            <w:tcW w:w="1275" w:type="dxa"/>
          </w:tcPr>
          <w:p>
            <w:pPr>
              <w:jc w:val="right"/>
              <w:rPr>
                <w:noProof/>
              </w:rPr>
            </w:pPr>
            <w:r>
              <w:rPr>
                <w:noProof/>
              </w:rPr>
              <w:t>728</w:t>
            </w:r>
          </w:p>
        </w:tc>
        <w:tc>
          <w:tcPr>
            <w:tcW w:w="1276" w:type="dxa"/>
          </w:tcPr>
          <w:p>
            <w:pPr>
              <w:jc w:val="right"/>
              <w:rPr>
                <w:noProof/>
              </w:rPr>
            </w:pPr>
            <w:r>
              <w:rPr>
                <w:noProof/>
              </w:rPr>
              <w:t>559</w:t>
            </w:r>
          </w:p>
        </w:tc>
        <w:tc>
          <w:tcPr>
            <w:tcW w:w="1463" w:type="dxa"/>
          </w:tcPr>
          <w:p>
            <w:pPr>
              <w:jc w:val="right"/>
              <w:rPr>
                <w:noProof/>
              </w:rPr>
            </w:pPr>
            <w:r>
              <w:rPr>
                <w:noProof/>
              </w:rPr>
              <w:t>1,860</w:t>
            </w:r>
          </w:p>
        </w:tc>
        <w:tc>
          <w:tcPr>
            <w:tcW w:w="2426" w:type="dxa"/>
            <w:vAlign w:val="bottom"/>
          </w:tcPr>
          <w:p>
            <w:pPr>
              <w:jc w:val="right"/>
              <w:rPr>
                <w:noProof/>
              </w:rPr>
            </w:pPr>
            <w:r>
              <w:rPr>
                <w:noProof/>
              </w:rPr>
              <w:t>5.23%</w:t>
            </w:r>
          </w:p>
        </w:tc>
      </w:tr>
      <w:tr>
        <w:tc>
          <w:tcPr>
            <w:tcW w:w="1679" w:type="dxa"/>
            <w:shd w:val="clear" w:color="auto" w:fill="DBE5F1" w:themeFill="accent1" w:themeFillTint="33"/>
          </w:tcPr>
          <w:p>
            <w:pPr>
              <w:jc w:val="center"/>
              <w:rPr>
                <w:b/>
                <w:bCs/>
                <w:noProof/>
              </w:rPr>
            </w:pPr>
            <w:r>
              <w:rPr>
                <w:b/>
                <w:bCs/>
                <w:noProof/>
              </w:rPr>
              <w:t>RO</w:t>
            </w:r>
          </w:p>
        </w:tc>
        <w:tc>
          <w:tcPr>
            <w:tcW w:w="1123" w:type="dxa"/>
          </w:tcPr>
          <w:p>
            <w:pPr>
              <w:jc w:val="right"/>
              <w:rPr>
                <w:noProof/>
              </w:rPr>
            </w:pPr>
            <w:r>
              <w:rPr>
                <w:noProof/>
              </w:rPr>
              <w:t>1</w:t>
            </w:r>
          </w:p>
        </w:tc>
        <w:tc>
          <w:tcPr>
            <w:tcW w:w="1275" w:type="dxa"/>
          </w:tcPr>
          <w:p>
            <w:pPr>
              <w:jc w:val="right"/>
              <w:rPr>
                <w:noProof/>
              </w:rPr>
            </w:pPr>
            <w:r>
              <w:rPr>
                <w:noProof/>
              </w:rPr>
              <w:t>0</w:t>
            </w:r>
          </w:p>
        </w:tc>
        <w:tc>
          <w:tcPr>
            <w:tcW w:w="1276" w:type="dxa"/>
          </w:tcPr>
          <w:p>
            <w:pPr>
              <w:jc w:val="right"/>
              <w:rPr>
                <w:noProof/>
              </w:rPr>
            </w:pPr>
            <w:r>
              <w:rPr>
                <w:noProof/>
              </w:rPr>
              <w:t>1</w:t>
            </w:r>
          </w:p>
        </w:tc>
        <w:tc>
          <w:tcPr>
            <w:tcW w:w="1463" w:type="dxa"/>
          </w:tcPr>
          <w:p>
            <w:pPr>
              <w:jc w:val="right"/>
              <w:rPr>
                <w:noProof/>
              </w:rPr>
            </w:pPr>
            <w:r>
              <w:rPr>
                <w:noProof/>
              </w:rPr>
              <w:t>2</w:t>
            </w:r>
          </w:p>
        </w:tc>
        <w:tc>
          <w:tcPr>
            <w:tcW w:w="2426" w:type="dxa"/>
            <w:vAlign w:val="bottom"/>
          </w:tcPr>
          <w:p>
            <w:pPr>
              <w:jc w:val="right"/>
              <w:rPr>
                <w:noProof/>
              </w:rPr>
            </w:pPr>
            <w:r>
              <w:rPr>
                <w:noProof/>
              </w:rPr>
              <w:t>0.01%</w:t>
            </w:r>
          </w:p>
        </w:tc>
      </w:tr>
      <w:tr>
        <w:tc>
          <w:tcPr>
            <w:tcW w:w="1679" w:type="dxa"/>
            <w:shd w:val="clear" w:color="auto" w:fill="DBE5F1" w:themeFill="accent1" w:themeFillTint="33"/>
          </w:tcPr>
          <w:p>
            <w:pPr>
              <w:jc w:val="center"/>
              <w:rPr>
                <w:b/>
                <w:bCs/>
                <w:noProof/>
              </w:rPr>
            </w:pPr>
            <w:r>
              <w:rPr>
                <w:b/>
                <w:bCs/>
                <w:noProof/>
              </w:rPr>
              <w:t>SI</w:t>
            </w:r>
          </w:p>
        </w:tc>
        <w:tc>
          <w:tcPr>
            <w:tcW w:w="1123" w:type="dxa"/>
          </w:tcPr>
          <w:p>
            <w:pPr>
              <w:jc w:val="right"/>
              <w:rPr>
                <w:noProof/>
              </w:rPr>
            </w:pPr>
            <w:r>
              <w:rPr>
                <w:noProof/>
              </w:rPr>
              <w:t>4</w:t>
            </w:r>
          </w:p>
        </w:tc>
        <w:tc>
          <w:tcPr>
            <w:tcW w:w="1275" w:type="dxa"/>
          </w:tcPr>
          <w:p>
            <w:pPr>
              <w:jc w:val="right"/>
              <w:rPr>
                <w:noProof/>
              </w:rPr>
            </w:pPr>
            <w:r>
              <w:rPr>
                <w:noProof/>
              </w:rPr>
              <w:t>1</w:t>
            </w:r>
          </w:p>
        </w:tc>
        <w:tc>
          <w:tcPr>
            <w:tcW w:w="1276" w:type="dxa"/>
          </w:tcPr>
          <w:p>
            <w:pPr>
              <w:jc w:val="right"/>
              <w:rPr>
                <w:noProof/>
              </w:rPr>
            </w:pPr>
            <w:r>
              <w:rPr>
                <w:noProof/>
              </w:rPr>
              <w:t>10</w:t>
            </w:r>
          </w:p>
        </w:tc>
        <w:tc>
          <w:tcPr>
            <w:tcW w:w="1463" w:type="dxa"/>
          </w:tcPr>
          <w:p>
            <w:pPr>
              <w:jc w:val="right"/>
              <w:rPr>
                <w:noProof/>
              </w:rPr>
            </w:pPr>
            <w:r>
              <w:rPr>
                <w:noProof/>
              </w:rPr>
              <w:t>15</w:t>
            </w:r>
          </w:p>
        </w:tc>
        <w:tc>
          <w:tcPr>
            <w:tcW w:w="2426" w:type="dxa"/>
            <w:vAlign w:val="bottom"/>
          </w:tcPr>
          <w:p>
            <w:pPr>
              <w:jc w:val="right"/>
              <w:rPr>
                <w:noProof/>
              </w:rPr>
            </w:pPr>
            <w:r>
              <w:rPr>
                <w:noProof/>
              </w:rPr>
              <w:t>0.04%</w:t>
            </w:r>
          </w:p>
        </w:tc>
      </w:tr>
      <w:tr>
        <w:tc>
          <w:tcPr>
            <w:tcW w:w="1679" w:type="dxa"/>
            <w:shd w:val="clear" w:color="auto" w:fill="DBE5F1" w:themeFill="accent1" w:themeFillTint="33"/>
          </w:tcPr>
          <w:p>
            <w:pPr>
              <w:jc w:val="center"/>
              <w:rPr>
                <w:b/>
                <w:bCs/>
                <w:noProof/>
              </w:rPr>
            </w:pPr>
            <w:r>
              <w:rPr>
                <w:b/>
                <w:bCs/>
                <w:noProof/>
              </w:rPr>
              <w:t>SK</w:t>
            </w:r>
          </w:p>
        </w:tc>
        <w:tc>
          <w:tcPr>
            <w:tcW w:w="1123" w:type="dxa"/>
          </w:tcPr>
          <w:p>
            <w:pPr>
              <w:jc w:val="right"/>
              <w:rPr>
                <w:noProof/>
              </w:rPr>
            </w:pPr>
            <w:r>
              <w:rPr>
                <w:noProof/>
              </w:rPr>
              <w:t>3</w:t>
            </w:r>
          </w:p>
        </w:tc>
        <w:tc>
          <w:tcPr>
            <w:tcW w:w="1275" w:type="dxa"/>
          </w:tcPr>
          <w:p>
            <w:pPr>
              <w:jc w:val="right"/>
              <w:rPr>
                <w:noProof/>
              </w:rPr>
            </w:pPr>
            <w:r>
              <w:rPr>
                <w:noProof/>
              </w:rPr>
              <w:t>6</w:t>
            </w:r>
          </w:p>
        </w:tc>
        <w:tc>
          <w:tcPr>
            <w:tcW w:w="1276" w:type="dxa"/>
          </w:tcPr>
          <w:p>
            <w:pPr>
              <w:jc w:val="right"/>
              <w:rPr>
                <w:noProof/>
              </w:rPr>
            </w:pPr>
            <w:r>
              <w:rPr>
                <w:noProof/>
              </w:rPr>
              <w:t>2</w:t>
            </w:r>
          </w:p>
        </w:tc>
        <w:tc>
          <w:tcPr>
            <w:tcW w:w="1463" w:type="dxa"/>
          </w:tcPr>
          <w:p>
            <w:pPr>
              <w:jc w:val="right"/>
              <w:rPr>
                <w:noProof/>
              </w:rPr>
            </w:pPr>
            <w:r>
              <w:rPr>
                <w:noProof/>
              </w:rPr>
              <w:t>11</w:t>
            </w:r>
          </w:p>
        </w:tc>
        <w:tc>
          <w:tcPr>
            <w:tcW w:w="2426" w:type="dxa"/>
            <w:vAlign w:val="bottom"/>
          </w:tcPr>
          <w:p>
            <w:pPr>
              <w:jc w:val="right"/>
              <w:rPr>
                <w:noProof/>
              </w:rPr>
            </w:pPr>
            <w:r>
              <w:rPr>
                <w:noProof/>
              </w:rPr>
              <w:t>0.03%</w:t>
            </w:r>
          </w:p>
        </w:tc>
      </w:tr>
      <w:tr>
        <w:tc>
          <w:tcPr>
            <w:tcW w:w="1679" w:type="dxa"/>
            <w:shd w:val="clear" w:color="auto" w:fill="DBE5F1" w:themeFill="accent1" w:themeFillTint="33"/>
          </w:tcPr>
          <w:p>
            <w:pPr>
              <w:jc w:val="center"/>
              <w:rPr>
                <w:b/>
                <w:bCs/>
                <w:noProof/>
              </w:rPr>
            </w:pPr>
            <w:r>
              <w:rPr>
                <w:b/>
                <w:bCs/>
                <w:noProof/>
              </w:rPr>
              <w:t>FI</w:t>
            </w:r>
          </w:p>
        </w:tc>
        <w:tc>
          <w:tcPr>
            <w:tcW w:w="1123" w:type="dxa"/>
          </w:tcPr>
          <w:p>
            <w:pPr>
              <w:jc w:val="right"/>
              <w:rPr>
                <w:noProof/>
              </w:rPr>
            </w:pPr>
            <w:r>
              <w:rPr>
                <w:noProof/>
              </w:rPr>
              <w:t>1</w:t>
            </w:r>
          </w:p>
        </w:tc>
        <w:tc>
          <w:tcPr>
            <w:tcW w:w="1275" w:type="dxa"/>
          </w:tcPr>
          <w:p>
            <w:pPr>
              <w:jc w:val="right"/>
              <w:rPr>
                <w:noProof/>
              </w:rPr>
            </w:pPr>
            <w:r>
              <w:rPr>
                <w:noProof/>
              </w:rPr>
              <w:t>0</w:t>
            </w:r>
          </w:p>
        </w:tc>
        <w:tc>
          <w:tcPr>
            <w:tcW w:w="1276" w:type="dxa"/>
          </w:tcPr>
          <w:p>
            <w:pPr>
              <w:jc w:val="right"/>
              <w:rPr>
                <w:noProof/>
              </w:rPr>
            </w:pPr>
            <w:r>
              <w:rPr>
                <w:noProof/>
              </w:rPr>
              <w:t>1</w:t>
            </w:r>
          </w:p>
        </w:tc>
        <w:tc>
          <w:tcPr>
            <w:tcW w:w="1463" w:type="dxa"/>
          </w:tcPr>
          <w:p>
            <w:pPr>
              <w:jc w:val="right"/>
              <w:rPr>
                <w:noProof/>
              </w:rPr>
            </w:pPr>
            <w:r>
              <w:rPr>
                <w:noProof/>
              </w:rPr>
              <w:t>2</w:t>
            </w:r>
          </w:p>
        </w:tc>
        <w:tc>
          <w:tcPr>
            <w:tcW w:w="2426" w:type="dxa"/>
            <w:vAlign w:val="bottom"/>
          </w:tcPr>
          <w:p>
            <w:pPr>
              <w:jc w:val="right"/>
              <w:rPr>
                <w:noProof/>
              </w:rPr>
            </w:pPr>
            <w:r>
              <w:rPr>
                <w:noProof/>
              </w:rPr>
              <w:t>0.01%</w:t>
            </w:r>
          </w:p>
        </w:tc>
      </w:tr>
      <w:tr>
        <w:tc>
          <w:tcPr>
            <w:tcW w:w="1679" w:type="dxa"/>
            <w:shd w:val="clear" w:color="auto" w:fill="DBE5F1" w:themeFill="accent1" w:themeFillTint="33"/>
          </w:tcPr>
          <w:p>
            <w:pPr>
              <w:jc w:val="center"/>
              <w:rPr>
                <w:b/>
                <w:bCs/>
                <w:noProof/>
              </w:rPr>
            </w:pPr>
            <w:r>
              <w:rPr>
                <w:b/>
                <w:bCs/>
                <w:noProof/>
              </w:rPr>
              <w:t>SE</w:t>
            </w:r>
          </w:p>
        </w:tc>
        <w:tc>
          <w:tcPr>
            <w:tcW w:w="1123" w:type="dxa"/>
          </w:tcPr>
          <w:p>
            <w:pPr>
              <w:jc w:val="right"/>
              <w:rPr>
                <w:noProof/>
              </w:rPr>
            </w:pPr>
            <w:r>
              <w:rPr>
                <w:noProof/>
              </w:rPr>
              <w:t>131</w:t>
            </w:r>
          </w:p>
        </w:tc>
        <w:tc>
          <w:tcPr>
            <w:tcW w:w="1275" w:type="dxa"/>
          </w:tcPr>
          <w:p>
            <w:pPr>
              <w:jc w:val="right"/>
              <w:rPr>
                <w:noProof/>
              </w:rPr>
            </w:pPr>
            <w:r>
              <w:rPr>
                <w:noProof/>
              </w:rPr>
              <w:t>121</w:t>
            </w:r>
          </w:p>
        </w:tc>
        <w:tc>
          <w:tcPr>
            <w:tcW w:w="1276" w:type="dxa"/>
          </w:tcPr>
          <w:p>
            <w:pPr>
              <w:jc w:val="right"/>
              <w:rPr>
                <w:noProof/>
              </w:rPr>
            </w:pPr>
            <w:r>
              <w:rPr>
                <w:noProof/>
              </w:rPr>
              <w:t>135</w:t>
            </w:r>
          </w:p>
        </w:tc>
        <w:tc>
          <w:tcPr>
            <w:tcW w:w="1463" w:type="dxa"/>
          </w:tcPr>
          <w:p>
            <w:pPr>
              <w:jc w:val="right"/>
              <w:rPr>
                <w:noProof/>
              </w:rPr>
            </w:pPr>
            <w:r>
              <w:rPr>
                <w:noProof/>
              </w:rPr>
              <w:t>387</w:t>
            </w:r>
          </w:p>
        </w:tc>
        <w:tc>
          <w:tcPr>
            <w:tcW w:w="2426" w:type="dxa"/>
            <w:vAlign w:val="bottom"/>
          </w:tcPr>
          <w:p>
            <w:pPr>
              <w:jc w:val="right"/>
              <w:rPr>
                <w:noProof/>
              </w:rPr>
            </w:pPr>
            <w:r>
              <w:rPr>
                <w:noProof/>
              </w:rPr>
              <w:t>1.09%</w:t>
            </w:r>
          </w:p>
        </w:tc>
      </w:tr>
      <w:tr>
        <w:tc>
          <w:tcPr>
            <w:tcW w:w="1679" w:type="dxa"/>
            <w:shd w:val="clear" w:color="auto" w:fill="DBE5F1" w:themeFill="accent1" w:themeFillTint="33"/>
          </w:tcPr>
          <w:p>
            <w:pPr>
              <w:jc w:val="center"/>
              <w:rPr>
                <w:b/>
                <w:bCs/>
                <w:noProof/>
              </w:rPr>
            </w:pPr>
            <w:r>
              <w:rPr>
                <w:b/>
                <w:bCs/>
                <w:noProof/>
              </w:rPr>
              <w:t>Total</w:t>
            </w:r>
          </w:p>
        </w:tc>
        <w:tc>
          <w:tcPr>
            <w:tcW w:w="1123" w:type="dxa"/>
          </w:tcPr>
          <w:p>
            <w:pPr>
              <w:jc w:val="right"/>
              <w:rPr>
                <w:noProof/>
              </w:rPr>
            </w:pPr>
            <w:r>
              <w:rPr>
                <w:noProof/>
              </w:rPr>
              <w:t>11,286</w:t>
            </w:r>
          </w:p>
        </w:tc>
        <w:tc>
          <w:tcPr>
            <w:tcW w:w="1275" w:type="dxa"/>
          </w:tcPr>
          <w:p>
            <w:pPr>
              <w:jc w:val="right"/>
              <w:rPr>
                <w:noProof/>
              </w:rPr>
            </w:pPr>
            <w:r>
              <w:rPr>
                <w:noProof/>
              </w:rPr>
              <w:t>12,184</w:t>
            </w:r>
          </w:p>
        </w:tc>
        <w:tc>
          <w:tcPr>
            <w:tcW w:w="1276" w:type="dxa"/>
          </w:tcPr>
          <w:p>
            <w:pPr>
              <w:jc w:val="right"/>
              <w:rPr>
                <w:noProof/>
              </w:rPr>
            </w:pPr>
            <w:r>
              <w:rPr>
                <w:noProof/>
              </w:rPr>
              <w:t>11,644</w:t>
            </w:r>
          </w:p>
        </w:tc>
        <w:tc>
          <w:tcPr>
            <w:tcW w:w="1463" w:type="dxa"/>
          </w:tcPr>
          <w:p>
            <w:pPr>
              <w:jc w:val="right"/>
              <w:rPr>
                <w:noProof/>
              </w:rPr>
            </w:pPr>
            <w:r>
              <w:rPr>
                <w:noProof/>
              </w:rPr>
              <w:t>35,114</w:t>
            </w:r>
          </w:p>
        </w:tc>
        <w:tc>
          <w:tcPr>
            <w:tcW w:w="2426" w:type="dxa"/>
            <w:vAlign w:val="bottom"/>
          </w:tcPr>
          <w:p>
            <w:pPr>
              <w:jc w:val="right"/>
              <w:rPr>
                <w:noProof/>
              </w:rPr>
            </w:pPr>
            <w:r>
              <w:rPr>
                <w:noProof/>
              </w:rPr>
              <w:t>100.00%</w:t>
            </w:r>
          </w:p>
        </w:tc>
      </w:tr>
    </w:tbl>
    <w:p>
      <w:pPr>
        <w:rPr>
          <w:noProof/>
        </w:rPr>
      </w:pPr>
    </w:p>
    <w:p>
      <w:pPr>
        <w:rPr>
          <w:noProof/>
        </w:rPr>
      </w:pPr>
      <w:r>
        <w:rPr>
          <w:noProof/>
          <w:sz w:val="22"/>
          <w:szCs w:val="22"/>
        </w:rPr>
        <w:br w:type="page"/>
      </w:r>
      <w:r>
        <w:rPr>
          <w:noProof/>
        </w:rPr>
        <w:lastRenderedPageBreak/>
        <w:t>Table 2. Specific Open Licences in circulation</w:t>
      </w:r>
    </w:p>
    <w:p>
      <w:pPr>
        <w:rPr>
          <w:noProof/>
        </w:rPr>
      </w:pPr>
    </w:p>
    <w:tbl>
      <w:tblPr>
        <w:tblStyle w:val="TableGrid"/>
        <w:tblW w:w="0" w:type="auto"/>
        <w:tblLook w:val="04A0" w:firstRow="1" w:lastRow="0" w:firstColumn="1" w:lastColumn="0" w:noHBand="0" w:noVBand="1"/>
      </w:tblPr>
      <w:tblGrid>
        <w:gridCol w:w="1679"/>
        <w:gridCol w:w="1123"/>
        <w:gridCol w:w="1275"/>
        <w:gridCol w:w="1276"/>
        <w:gridCol w:w="1463"/>
        <w:gridCol w:w="2426"/>
      </w:tblGrid>
      <w:tr>
        <w:tc>
          <w:tcPr>
            <w:tcW w:w="1679" w:type="dxa"/>
            <w:vMerge w:val="restart"/>
            <w:shd w:val="clear" w:color="auto" w:fill="DBE5F1" w:themeFill="accent1" w:themeFillTint="33"/>
            <w:vAlign w:val="center"/>
          </w:tcPr>
          <w:p>
            <w:pPr>
              <w:jc w:val="center"/>
              <w:rPr>
                <w:b/>
                <w:bCs/>
                <w:noProof/>
              </w:rPr>
            </w:pPr>
            <w:r>
              <w:rPr>
                <w:b/>
                <w:bCs/>
                <w:noProof/>
              </w:rPr>
              <w:t>Member States</w:t>
            </w:r>
          </w:p>
        </w:tc>
        <w:tc>
          <w:tcPr>
            <w:tcW w:w="3674" w:type="dxa"/>
            <w:gridSpan w:val="3"/>
            <w:shd w:val="clear" w:color="auto" w:fill="DBE5F1" w:themeFill="accent1" w:themeFillTint="33"/>
            <w:vAlign w:val="center"/>
          </w:tcPr>
          <w:p>
            <w:pPr>
              <w:jc w:val="center"/>
              <w:rPr>
                <w:b/>
                <w:bCs/>
                <w:noProof/>
              </w:rPr>
            </w:pPr>
            <w:r>
              <w:rPr>
                <w:b/>
                <w:bCs/>
                <w:noProof/>
              </w:rPr>
              <w:t>Year</w:t>
            </w:r>
          </w:p>
        </w:tc>
        <w:tc>
          <w:tcPr>
            <w:tcW w:w="1463" w:type="dxa"/>
            <w:vMerge w:val="restart"/>
            <w:shd w:val="clear" w:color="auto" w:fill="DBE5F1" w:themeFill="accent1" w:themeFillTint="33"/>
            <w:vAlign w:val="center"/>
          </w:tcPr>
          <w:p>
            <w:pPr>
              <w:jc w:val="center"/>
              <w:rPr>
                <w:b/>
                <w:bCs/>
                <w:noProof/>
              </w:rPr>
            </w:pPr>
            <w:r>
              <w:rPr>
                <w:b/>
                <w:bCs/>
                <w:noProof/>
              </w:rPr>
              <w:t>2021-2023</w:t>
            </w:r>
          </w:p>
        </w:tc>
        <w:tc>
          <w:tcPr>
            <w:tcW w:w="2426" w:type="dxa"/>
            <w:vMerge w:val="restart"/>
            <w:shd w:val="clear" w:color="auto" w:fill="DBE5F1" w:themeFill="accent1" w:themeFillTint="33"/>
            <w:vAlign w:val="center"/>
          </w:tcPr>
          <w:p>
            <w:pPr>
              <w:jc w:val="center"/>
              <w:rPr>
                <w:b/>
                <w:bCs/>
                <w:noProof/>
              </w:rPr>
            </w:pPr>
            <w:r>
              <w:rPr>
                <w:b/>
                <w:bCs/>
                <w:noProof/>
              </w:rPr>
              <w:t>Share of total in %</w:t>
            </w:r>
          </w:p>
        </w:tc>
      </w:tr>
      <w:tr>
        <w:tc>
          <w:tcPr>
            <w:tcW w:w="1679" w:type="dxa"/>
            <w:vMerge/>
            <w:shd w:val="clear" w:color="auto" w:fill="DBE5F1" w:themeFill="accent1" w:themeFillTint="33"/>
          </w:tcPr>
          <w:p>
            <w:pPr>
              <w:rPr>
                <w:b/>
                <w:bCs/>
                <w:noProof/>
              </w:rPr>
            </w:pPr>
          </w:p>
        </w:tc>
        <w:tc>
          <w:tcPr>
            <w:tcW w:w="1123" w:type="dxa"/>
            <w:shd w:val="clear" w:color="auto" w:fill="DBE5F1" w:themeFill="accent1" w:themeFillTint="33"/>
          </w:tcPr>
          <w:p>
            <w:pPr>
              <w:jc w:val="center"/>
              <w:rPr>
                <w:b/>
                <w:bCs/>
                <w:noProof/>
              </w:rPr>
            </w:pPr>
            <w:r>
              <w:rPr>
                <w:b/>
                <w:bCs/>
                <w:noProof/>
              </w:rPr>
              <w:t>2021</w:t>
            </w:r>
          </w:p>
        </w:tc>
        <w:tc>
          <w:tcPr>
            <w:tcW w:w="1275" w:type="dxa"/>
            <w:shd w:val="clear" w:color="auto" w:fill="DBE5F1" w:themeFill="accent1" w:themeFillTint="33"/>
          </w:tcPr>
          <w:p>
            <w:pPr>
              <w:jc w:val="center"/>
              <w:rPr>
                <w:b/>
                <w:bCs/>
                <w:noProof/>
              </w:rPr>
            </w:pPr>
            <w:r>
              <w:rPr>
                <w:b/>
                <w:bCs/>
                <w:noProof/>
              </w:rPr>
              <w:t>2022</w:t>
            </w:r>
          </w:p>
        </w:tc>
        <w:tc>
          <w:tcPr>
            <w:tcW w:w="1276" w:type="dxa"/>
            <w:shd w:val="clear" w:color="auto" w:fill="DBE5F1" w:themeFill="accent1" w:themeFillTint="33"/>
          </w:tcPr>
          <w:p>
            <w:pPr>
              <w:jc w:val="center"/>
              <w:rPr>
                <w:b/>
                <w:bCs/>
                <w:noProof/>
              </w:rPr>
            </w:pPr>
            <w:r>
              <w:rPr>
                <w:b/>
                <w:bCs/>
                <w:noProof/>
              </w:rPr>
              <w:t>2023</w:t>
            </w:r>
          </w:p>
        </w:tc>
        <w:tc>
          <w:tcPr>
            <w:tcW w:w="1463" w:type="dxa"/>
            <w:vMerge/>
          </w:tcPr>
          <w:p>
            <w:pPr>
              <w:rPr>
                <w:noProof/>
              </w:rPr>
            </w:pPr>
          </w:p>
        </w:tc>
        <w:tc>
          <w:tcPr>
            <w:tcW w:w="2426" w:type="dxa"/>
            <w:vMerge/>
          </w:tcPr>
          <w:p>
            <w:pPr>
              <w:rPr>
                <w:noProof/>
              </w:rPr>
            </w:pPr>
          </w:p>
        </w:tc>
      </w:tr>
      <w:tr>
        <w:tc>
          <w:tcPr>
            <w:tcW w:w="1679" w:type="dxa"/>
            <w:shd w:val="clear" w:color="auto" w:fill="DBE5F1" w:themeFill="accent1" w:themeFillTint="33"/>
          </w:tcPr>
          <w:p>
            <w:pPr>
              <w:jc w:val="center"/>
              <w:rPr>
                <w:b/>
                <w:bCs/>
                <w:noProof/>
              </w:rPr>
            </w:pPr>
            <w:r>
              <w:rPr>
                <w:b/>
                <w:bCs/>
                <w:noProof/>
              </w:rPr>
              <w:t>BE</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vAlign w:val="bottom"/>
          </w:tcPr>
          <w:p>
            <w:pPr>
              <w:jc w:val="right"/>
              <w:rPr>
                <w:noProof/>
              </w:rPr>
            </w:pPr>
            <w:r>
              <w:rPr>
                <w:noProof/>
              </w:rPr>
              <w:t>0</w:t>
            </w:r>
          </w:p>
        </w:tc>
        <w:tc>
          <w:tcPr>
            <w:tcW w:w="2426" w:type="dxa"/>
            <w:vAlign w:val="bottom"/>
          </w:tcPr>
          <w:p>
            <w:pPr>
              <w:jc w:val="right"/>
              <w:rPr>
                <w:noProof/>
              </w:rPr>
            </w:pPr>
            <w:r>
              <w:rPr>
                <w:noProof/>
              </w:rPr>
              <w:t>0.00%</w:t>
            </w:r>
          </w:p>
        </w:tc>
      </w:tr>
      <w:tr>
        <w:tc>
          <w:tcPr>
            <w:tcW w:w="1679" w:type="dxa"/>
            <w:shd w:val="clear" w:color="auto" w:fill="DBE5F1" w:themeFill="accent1" w:themeFillTint="33"/>
          </w:tcPr>
          <w:p>
            <w:pPr>
              <w:jc w:val="center"/>
              <w:rPr>
                <w:b/>
                <w:bCs/>
                <w:noProof/>
              </w:rPr>
            </w:pPr>
            <w:r>
              <w:rPr>
                <w:b/>
                <w:bCs/>
                <w:noProof/>
              </w:rPr>
              <w:t>BG</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vAlign w:val="bottom"/>
          </w:tcPr>
          <w:p>
            <w:pPr>
              <w:jc w:val="right"/>
              <w:rPr>
                <w:noProof/>
              </w:rPr>
            </w:pPr>
            <w:r>
              <w:rPr>
                <w:noProof/>
              </w:rPr>
              <w:t>0</w:t>
            </w:r>
          </w:p>
        </w:tc>
        <w:tc>
          <w:tcPr>
            <w:tcW w:w="2426" w:type="dxa"/>
            <w:vAlign w:val="bottom"/>
          </w:tcPr>
          <w:p>
            <w:pPr>
              <w:jc w:val="right"/>
              <w:rPr>
                <w:noProof/>
              </w:rPr>
            </w:pPr>
            <w:r>
              <w:rPr>
                <w:noProof/>
              </w:rPr>
              <w:t>0.00%</w:t>
            </w:r>
          </w:p>
        </w:tc>
      </w:tr>
      <w:tr>
        <w:tc>
          <w:tcPr>
            <w:tcW w:w="1679" w:type="dxa"/>
            <w:shd w:val="clear" w:color="auto" w:fill="DBE5F1" w:themeFill="accent1" w:themeFillTint="33"/>
          </w:tcPr>
          <w:p>
            <w:pPr>
              <w:jc w:val="center"/>
              <w:rPr>
                <w:b/>
                <w:bCs/>
                <w:noProof/>
              </w:rPr>
            </w:pPr>
            <w:r>
              <w:rPr>
                <w:b/>
                <w:bCs/>
                <w:noProof/>
              </w:rPr>
              <w:t>CZ</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vAlign w:val="bottom"/>
          </w:tcPr>
          <w:p>
            <w:pPr>
              <w:jc w:val="right"/>
              <w:rPr>
                <w:noProof/>
              </w:rPr>
            </w:pPr>
            <w:r>
              <w:rPr>
                <w:noProof/>
              </w:rPr>
              <w:t>0</w:t>
            </w:r>
          </w:p>
        </w:tc>
        <w:tc>
          <w:tcPr>
            <w:tcW w:w="2426" w:type="dxa"/>
            <w:vAlign w:val="bottom"/>
          </w:tcPr>
          <w:p>
            <w:pPr>
              <w:jc w:val="right"/>
              <w:rPr>
                <w:noProof/>
              </w:rPr>
            </w:pPr>
            <w:r>
              <w:rPr>
                <w:noProof/>
              </w:rPr>
              <w:t>0.00%</w:t>
            </w:r>
          </w:p>
        </w:tc>
      </w:tr>
      <w:tr>
        <w:tc>
          <w:tcPr>
            <w:tcW w:w="1679" w:type="dxa"/>
            <w:shd w:val="clear" w:color="auto" w:fill="DBE5F1" w:themeFill="accent1" w:themeFillTint="33"/>
          </w:tcPr>
          <w:p>
            <w:pPr>
              <w:jc w:val="center"/>
              <w:rPr>
                <w:b/>
                <w:bCs/>
                <w:noProof/>
              </w:rPr>
            </w:pPr>
            <w:r>
              <w:rPr>
                <w:b/>
                <w:bCs/>
                <w:noProof/>
              </w:rPr>
              <w:t>DK</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vAlign w:val="bottom"/>
          </w:tcPr>
          <w:p>
            <w:pPr>
              <w:jc w:val="right"/>
              <w:rPr>
                <w:noProof/>
              </w:rPr>
            </w:pPr>
            <w:r>
              <w:rPr>
                <w:noProof/>
              </w:rPr>
              <w:t>0</w:t>
            </w:r>
          </w:p>
        </w:tc>
        <w:tc>
          <w:tcPr>
            <w:tcW w:w="2426" w:type="dxa"/>
            <w:vAlign w:val="bottom"/>
          </w:tcPr>
          <w:p>
            <w:pPr>
              <w:jc w:val="right"/>
              <w:rPr>
                <w:noProof/>
              </w:rPr>
            </w:pPr>
            <w:r>
              <w:rPr>
                <w:noProof/>
              </w:rPr>
              <w:t>0.00%</w:t>
            </w:r>
          </w:p>
        </w:tc>
      </w:tr>
      <w:tr>
        <w:tc>
          <w:tcPr>
            <w:tcW w:w="1679" w:type="dxa"/>
            <w:shd w:val="clear" w:color="auto" w:fill="DBE5F1" w:themeFill="accent1" w:themeFillTint="33"/>
          </w:tcPr>
          <w:p>
            <w:pPr>
              <w:jc w:val="center"/>
              <w:rPr>
                <w:b/>
                <w:bCs/>
                <w:noProof/>
              </w:rPr>
            </w:pPr>
            <w:r>
              <w:rPr>
                <w:b/>
                <w:bCs/>
                <w:noProof/>
              </w:rPr>
              <w:t>DE</w:t>
            </w:r>
          </w:p>
        </w:tc>
        <w:tc>
          <w:tcPr>
            <w:tcW w:w="1123" w:type="dxa"/>
          </w:tcPr>
          <w:p>
            <w:pPr>
              <w:jc w:val="right"/>
              <w:rPr>
                <w:noProof/>
              </w:rPr>
            </w:pPr>
            <w:r>
              <w:rPr>
                <w:noProof/>
              </w:rPr>
              <w:t>619</w:t>
            </w:r>
          </w:p>
        </w:tc>
        <w:tc>
          <w:tcPr>
            <w:tcW w:w="1275" w:type="dxa"/>
          </w:tcPr>
          <w:p>
            <w:pPr>
              <w:jc w:val="right"/>
              <w:rPr>
                <w:noProof/>
              </w:rPr>
            </w:pPr>
            <w:r>
              <w:rPr>
                <w:noProof/>
              </w:rPr>
              <w:t>797</w:t>
            </w:r>
          </w:p>
        </w:tc>
        <w:tc>
          <w:tcPr>
            <w:tcW w:w="1276" w:type="dxa"/>
          </w:tcPr>
          <w:p>
            <w:pPr>
              <w:jc w:val="right"/>
              <w:rPr>
                <w:noProof/>
              </w:rPr>
            </w:pPr>
            <w:r>
              <w:rPr>
                <w:noProof/>
              </w:rPr>
              <w:t>882</w:t>
            </w:r>
          </w:p>
        </w:tc>
        <w:tc>
          <w:tcPr>
            <w:tcW w:w="1463" w:type="dxa"/>
            <w:vAlign w:val="bottom"/>
          </w:tcPr>
          <w:p>
            <w:pPr>
              <w:jc w:val="right"/>
              <w:rPr>
                <w:noProof/>
              </w:rPr>
            </w:pPr>
            <w:r>
              <w:rPr>
                <w:noProof/>
              </w:rPr>
              <w:t>2298</w:t>
            </w:r>
          </w:p>
        </w:tc>
        <w:tc>
          <w:tcPr>
            <w:tcW w:w="2426" w:type="dxa"/>
            <w:vAlign w:val="bottom"/>
          </w:tcPr>
          <w:p>
            <w:pPr>
              <w:jc w:val="right"/>
              <w:rPr>
                <w:noProof/>
              </w:rPr>
            </w:pPr>
            <w:r>
              <w:rPr>
                <w:noProof/>
              </w:rPr>
              <w:t>65.53%</w:t>
            </w:r>
          </w:p>
        </w:tc>
      </w:tr>
      <w:tr>
        <w:tc>
          <w:tcPr>
            <w:tcW w:w="1679" w:type="dxa"/>
            <w:shd w:val="clear" w:color="auto" w:fill="DBE5F1" w:themeFill="accent1" w:themeFillTint="33"/>
          </w:tcPr>
          <w:p>
            <w:pPr>
              <w:jc w:val="center"/>
              <w:rPr>
                <w:b/>
                <w:bCs/>
                <w:noProof/>
              </w:rPr>
            </w:pPr>
            <w:r>
              <w:rPr>
                <w:b/>
                <w:bCs/>
                <w:noProof/>
              </w:rPr>
              <w:t>EE</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vAlign w:val="bottom"/>
          </w:tcPr>
          <w:p>
            <w:pPr>
              <w:jc w:val="right"/>
              <w:rPr>
                <w:noProof/>
              </w:rPr>
            </w:pPr>
            <w:r>
              <w:rPr>
                <w:noProof/>
              </w:rPr>
              <w:t>0</w:t>
            </w:r>
          </w:p>
        </w:tc>
        <w:tc>
          <w:tcPr>
            <w:tcW w:w="2426" w:type="dxa"/>
            <w:vAlign w:val="bottom"/>
          </w:tcPr>
          <w:p>
            <w:pPr>
              <w:jc w:val="right"/>
              <w:rPr>
                <w:noProof/>
              </w:rPr>
            </w:pPr>
            <w:r>
              <w:rPr>
                <w:noProof/>
              </w:rPr>
              <w:t>0.00%</w:t>
            </w:r>
          </w:p>
        </w:tc>
      </w:tr>
      <w:tr>
        <w:tc>
          <w:tcPr>
            <w:tcW w:w="1679" w:type="dxa"/>
            <w:shd w:val="clear" w:color="auto" w:fill="DBE5F1" w:themeFill="accent1" w:themeFillTint="33"/>
          </w:tcPr>
          <w:p>
            <w:pPr>
              <w:jc w:val="center"/>
              <w:rPr>
                <w:b/>
                <w:bCs/>
                <w:noProof/>
              </w:rPr>
            </w:pPr>
            <w:r>
              <w:rPr>
                <w:b/>
                <w:bCs/>
                <w:noProof/>
              </w:rPr>
              <w:t>IE</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w:t>
            </w:r>
          </w:p>
        </w:tc>
      </w:tr>
      <w:tr>
        <w:tc>
          <w:tcPr>
            <w:tcW w:w="1679" w:type="dxa"/>
            <w:shd w:val="clear" w:color="auto" w:fill="DBE5F1" w:themeFill="accent1" w:themeFillTint="33"/>
          </w:tcPr>
          <w:p>
            <w:pPr>
              <w:jc w:val="center"/>
              <w:rPr>
                <w:b/>
                <w:bCs/>
                <w:noProof/>
              </w:rPr>
            </w:pPr>
            <w:r>
              <w:rPr>
                <w:b/>
                <w:bCs/>
                <w:noProof/>
              </w:rPr>
              <w:t>EL</w:t>
            </w:r>
          </w:p>
        </w:tc>
        <w:tc>
          <w:tcPr>
            <w:tcW w:w="1123" w:type="dxa"/>
          </w:tcPr>
          <w:p>
            <w:pPr>
              <w:jc w:val="right"/>
              <w:rPr>
                <w:noProof/>
              </w:rPr>
            </w:pPr>
            <w:r>
              <w:rPr>
                <w:noProof/>
              </w:rPr>
              <w:t>1</w:t>
            </w:r>
          </w:p>
        </w:tc>
        <w:tc>
          <w:tcPr>
            <w:tcW w:w="1275" w:type="dxa"/>
          </w:tcPr>
          <w:p>
            <w:pPr>
              <w:jc w:val="right"/>
              <w:rPr>
                <w:noProof/>
              </w:rPr>
            </w:pPr>
            <w:r>
              <w:rPr>
                <w:noProof/>
              </w:rPr>
              <w:t>2</w:t>
            </w:r>
          </w:p>
        </w:tc>
        <w:tc>
          <w:tcPr>
            <w:tcW w:w="1276" w:type="dxa"/>
          </w:tcPr>
          <w:p>
            <w:pPr>
              <w:jc w:val="right"/>
              <w:rPr>
                <w:noProof/>
              </w:rPr>
            </w:pPr>
            <w:r>
              <w:rPr>
                <w:noProof/>
              </w:rPr>
              <w:t>4</w:t>
            </w:r>
          </w:p>
        </w:tc>
        <w:tc>
          <w:tcPr>
            <w:tcW w:w="1463" w:type="dxa"/>
          </w:tcPr>
          <w:p>
            <w:pPr>
              <w:jc w:val="right"/>
              <w:rPr>
                <w:noProof/>
              </w:rPr>
            </w:pPr>
            <w:r>
              <w:rPr>
                <w:noProof/>
              </w:rPr>
              <w:t>7</w:t>
            </w:r>
          </w:p>
        </w:tc>
        <w:tc>
          <w:tcPr>
            <w:tcW w:w="2426" w:type="dxa"/>
            <w:vAlign w:val="bottom"/>
          </w:tcPr>
          <w:p>
            <w:pPr>
              <w:jc w:val="right"/>
              <w:rPr>
                <w:noProof/>
              </w:rPr>
            </w:pPr>
            <w:r>
              <w:rPr>
                <w:noProof/>
              </w:rPr>
              <w:t>0.20%</w:t>
            </w:r>
          </w:p>
        </w:tc>
      </w:tr>
      <w:tr>
        <w:tc>
          <w:tcPr>
            <w:tcW w:w="1679" w:type="dxa"/>
            <w:shd w:val="clear" w:color="auto" w:fill="DBE5F1" w:themeFill="accent1" w:themeFillTint="33"/>
          </w:tcPr>
          <w:p>
            <w:pPr>
              <w:jc w:val="center"/>
              <w:rPr>
                <w:b/>
                <w:bCs/>
                <w:noProof/>
              </w:rPr>
            </w:pPr>
            <w:r>
              <w:rPr>
                <w:b/>
                <w:bCs/>
                <w:noProof/>
              </w:rPr>
              <w:t>ES</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w:t>
            </w:r>
          </w:p>
        </w:tc>
      </w:tr>
      <w:tr>
        <w:tc>
          <w:tcPr>
            <w:tcW w:w="1679" w:type="dxa"/>
            <w:shd w:val="clear" w:color="auto" w:fill="DBE5F1" w:themeFill="accent1" w:themeFillTint="33"/>
          </w:tcPr>
          <w:p>
            <w:pPr>
              <w:jc w:val="center"/>
              <w:rPr>
                <w:b/>
                <w:bCs/>
                <w:noProof/>
              </w:rPr>
            </w:pPr>
            <w:r>
              <w:rPr>
                <w:b/>
                <w:bCs/>
                <w:noProof/>
              </w:rPr>
              <w:t>FR</w:t>
            </w:r>
          </w:p>
        </w:tc>
        <w:tc>
          <w:tcPr>
            <w:tcW w:w="1123" w:type="dxa"/>
          </w:tcPr>
          <w:p>
            <w:pPr>
              <w:jc w:val="right"/>
              <w:rPr>
                <w:noProof/>
              </w:rPr>
            </w:pPr>
            <w:r>
              <w:rPr>
                <w:noProof/>
              </w:rPr>
              <w:t>0</w:t>
            </w:r>
          </w:p>
        </w:tc>
        <w:tc>
          <w:tcPr>
            <w:tcW w:w="1275" w:type="dxa"/>
          </w:tcPr>
          <w:p>
            <w:pPr>
              <w:jc w:val="right"/>
              <w:rPr>
                <w:noProof/>
              </w:rPr>
            </w:pPr>
            <w:r>
              <w:rPr>
                <w:noProof/>
              </w:rPr>
              <w:t>1</w:t>
            </w:r>
          </w:p>
        </w:tc>
        <w:tc>
          <w:tcPr>
            <w:tcW w:w="1276" w:type="dxa"/>
          </w:tcPr>
          <w:p>
            <w:pPr>
              <w:jc w:val="right"/>
              <w:rPr>
                <w:noProof/>
              </w:rPr>
            </w:pPr>
            <w:r>
              <w:rPr>
                <w:noProof/>
              </w:rPr>
              <w:t>1</w:t>
            </w:r>
          </w:p>
        </w:tc>
        <w:tc>
          <w:tcPr>
            <w:tcW w:w="1463" w:type="dxa"/>
          </w:tcPr>
          <w:p>
            <w:pPr>
              <w:jc w:val="right"/>
              <w:rPr>
                <w:noProof/>
              </w:rPr>
            </w:pPr>
            <w:r>
              <w:rPr>
                <w:noProof/>
              </w:rPr>
              <w:t>2</w:t>
            </w:r>
          </w:p>
        </w:tc>
        <w:tc>
          <w:tcPr>
            <w:tcW w:w="2426" w:type="dxa"/>
            <w:vAlign w:val="bottom"/>
          </w:tcPr>
          <w:p>
            <w:pPr>
              <w:jc w:val="right"/>
              <w:rPr>
                <w:noProof/>
              </w:rPr>
            </w:pPr>
            <w:r>
              <w:rPr>
                <w:noProof/>
              </w:rPr>
              <w:t>0.06%</w:t>
            </w:r>
          </w:p>
        </w:tc>
      </w:tr>
      <w:tr>
        <w:tc>
          <w:tcPr>
            <w:tcW w:w="1679" w:type="dxa"/>
            <w:shd w:val="clear" w:color="auto" w:fill="DBE5F1" w:themeFill="accent1" w:themeFillTint="33"/>
          </w:tcPr>
          <w:p>
            <w:pPr>
              <w:jc w:val="center"/>
              <w:rPr>
                <w:b/>
                <w:bCs/>
                <w:noProof/>
              </w:rPr>
            </w:pPr>
            <w:r>
              <w:rPr>
                <w:b/>
                <w:bCs/>
                <w:noProof/>
              </w:rPr>
              <w:t>HR</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w:t>
            </w:r>
          </w:p>
        </w:tc>
      </w:tr>
      <w:tr>
        <w:tc>
          <w:tcPr>
            <w:tcW w:w="1679" w:type="dxa"/>
            <w:shd w:val="clear" w:color="auto" w:fill="DBE5F1" w:themeFill="accent1" w:themeFillTint="33"/>
          </w:tcPr>
          <w:p>
            <w:pPr>
              <w:jc w:val="center"/>
              <w:rPr>
                <w:b/>
                <w:bCs/>
                <w:noProof/>
              </w:rPr>
            </w:pPr>
            <w:r>
              <w:rPr>
                <w:b/>
                <w:bCs/>
                <w:noProof/>
              </w:rPr>
              <w:t>IT</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w:t>
            </w:r>
          </w:p>
        </w:tc>
      </w:tr>
      <w:tr>
        <w:tc>
          <w:tcPr>
            <w:tcW w:w="1679" w:type="dxa"/>
            <w:shd w:val="clear" w:color="auto" w:fill="DBE5F1" w:themeFill="accent1" w:themeFillTint="33"/>
          </w:tcPr>
          <w:p>
            <w:pPr>
              <w:jc w:val="center"/>
              <w:rPr>
                <w:b/>
                <w:bCs/>
                <w:noProof/>
              </w:rPr>
            </w:pPr>
            <w:r>
              <w:rPr>
                <w:b/>
                <w:bCs/>
                <w:noProof/>
              </w:rPr>
              <w:t>CY</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w:t>
            </w:r>
          </w:p>
        </w:tc>
      </w:tr>
      <w:tr>
        <w:tc>
          <w:tcPr>
            <w:tcW w:w="1679" w:type="dxa"/>
            <w:shd w:val="clear" w:color="auto" w:fill="DBE5F1" w:themeFill="accent1" w:themeFillTint="33"/>
          </w:tcPr>
          <w:p>
            <w:pPr>
              <w:jc w:val="center"/>
              <w:rPr>
                <w:b/>
                <w:bCs/>
                <w:noProof/>
              </w:rPr>
            </w:pPr>
            <w:r>
              <w:rPr>
                <w:b/>
                <w:bCs/>
                <w:noProof/>
              </w:rPr>
              <w:t>LV</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w:t>
            </w:r>
          </w:p>
        </w:tc>
      </w:tr>
      <w:tr>
        <w:tc>
          <w:tcPr>
            <w:tcW w:w="1679" w:type="dxa"/>
            <w:shd w:val="clear" w:color="auto" w:fill="DBE5F1" w:themeFill="accent1" w:themeFillTint="33"/>
          </w:tcPr>
          <w:p>
            <w:pPr>
              <w:jc w:val="center"/>
              <w:rPr>
                <w:b/>
                <w:bCs/>
                <w:noProof/>
              </w:rPr>
            </w:pPr>
            <w:r>
              <w:rPr>
                <w:b/>
                <w:bCs/>
                <w:noProof/>
              </w:rPr>
              <w:t>LT</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w:t>
            </w:r>
          </w:p>
        </w:tc>
      </w:tr>
      <w:tr>
        <w:tc>
          <w:tcPr>
            <w:tcW w:w="1679" w:type="dxa"/>
            <w:shd w:val="clear" w:color="auto" w:fill="DBE5F1" w:themeFill="accent1" w:themeFillTint="33"/>
          </w:tcPr>
          <w:p>
            <w:pPr>
              <w:jc w:val="center"/>
              <w:rPr>
                <w:b/>
                <w:bCs/>
                <w:noProof/>
              </w:rPr>
            </w:pPr>
            <w:r>
              <w:rPr>
                <w:b/>
                <w:bCs/>
                <w:noProof/>
              </w:rPr>
              <w:t>LU</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w:t>
            </w:r>
          </w:p>
        </w:tc>
      </w:tr>
      <w:tr>
        <w:tc>
          <w:tcPr>
            <w:tcW w:w="1679" w:type="dxa"/>
            <w:shd w:val="clear" w:color="auto" w:fill="DBE5F1" w:themeFill="accent1" w:themeFillTint="33"/>
          </w:tcPr>
          <w:p>
            <w:pPr>
              <w:jc w:val="center"/>
              <w:rPr>
                <w:b/>
                <w:bCs/>
                <w:noProof/>
              </w:rPr>
            </w:pPr>
            <w:r>
              <w:rPr>
                <w:b/>
                <w:bCs/>
                <w:noProof/>
              </w:rPr>
              <w:t>HU</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w:t>
            </w:r>
          </w:p>
        </w:tc>
      </w:tr>
      <w:tr>
        <w:tc>
          <w:tcPr>
            <w:tcW w:w="1679" w:type="dxa"/>
            <w:shd w:val="clear" w:color="auto" w:fill="DBE5F1" w:themeFill="accent1" w:themeFillTint="33"/>
          </w:tcPr>
          <w:p>
            <w:pPr>
              <w:jc w:val="center"/>
              <w:rPr>
                <w:b/>
                <w:bCs/>
                <w:noProof/>
              </w:rPr>
            </w:pPr>
            <w:r>
              <w:rPr>
                <w:b/>
                <w:bCs/>
                <w:noProof/>
              </w:rPr>
              <w:t>MT</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w:t>
            </w:r>
          </w:p>
        </w:tc>
      </w:tr>
      <w:tr>
        <w:tc>
          <w:tcPr>
            <w:tcW w:w="1679" w:type="dxa"/>
            <w:shd w:val="clear" w:color="auto" w:fill="DBE5F1" w:themeFill="accent1" w:themeFillTint="33"/>
          </w:tcPr>
          <w:p>
            <w:pPr>
              <w:jc w:val="center"/>
              <w:rPr>
                <w:b/>
                <w:bCs/>
                <w:noProof/>
              </w:rPr>
            </w:pPr>
            <w:r>
              <w:rPr>
                <w:b/>
                <w:bCs/>
                <w:noProof/>
              </w:rPr>
              <w:t>NL</w:t>
            </w:r>
          </w:p>
        </w:tc>
        <w:tc>
          <w:tcPr>
            <w:tcW w:w="1123" w:type="dxa"/>
          </w:tcPr>
          <w:p>
            <w:pPr>
              <w:jc w:val="right"/>
              <w:rPr>
                <w:noProof/>
              </w:rPr>
            </w:pPr>
            <w:r>
              <w:rPr>
                <w:noProof/>
              </w:rPr>
              <w:t>324</w:t>
            </w:r>
          </w:p>
        </w:tc>
        <w:tc>
          <w:tcPr>
            <w:tcW w:w="1275" w:type="dxa"/>
          </w:tcPr>
          <w:p>
            <w:pPr>
              <w:jc w:val="right"/>
              <w:rPr>
                <w:noProof/>
              </w:rPr>
            </w:pPr>
            <w:r>
              <w:rPr>
                <w:noProof/>
              </w:rPr>
              <w:t>348</w:t>
            </w:r>
          </w:p>
        </w:tc>
        <w:tc>
          <w:tcPr>
            <w:tcW w:w="1276" w:type="dxa"/>
          </w:tcPr>
          <w:p>
            <w:pPr>
              <w:jc w:val="right"/>
              <w:rPr>
                <w:noProof/>
              </w:rPr>
            </w:pPr>
            <w:r>
              <w:rPr>
                <w:noProof/>
              </w:rPr>
              <w:t>461</w:t>
            </w:r>
          </w:p>
        </w:tc>
        <w:tc>
          <w:tcPr>
            <w:tcW w:w="1463" w:type="dxa"/>
          </w:tcPr>
          <w:p>
            <w:pPr>
              <w:jc w:val="right"/>
              <w:rPr>
                <w:noProof/>
              </w:rPr>
            </w:pPr>
            <w:r>
              <w:rPr>
                <w:noProof/>
              </w:rPr>
              <w:t>1133</w:t>
            </w:r>
          </w:p>
        </w:tc>
        <w:tc>
          <w:tcPr>
            <w:tcW w:w="2426" w:type="dxa"/>
            <w:vAlign w:val="bottom"/>
          </w:tcPr>
          <w:p>
            <w:pPr>
              <w:jc w:val="right"/>
              <w:rPr>
                <w:noProof/>
              </w:rPr>
            </w:pPr>
            <w:r>
              <w:rPr>
                <w:noProof/>
              </w:rPr>
              <w:t>32.31%</w:t>
            </w:r>
          </w:p>
        </w:tc>
      </w:tr>
      <w:tr>
        <w:tc>
          <w:tcPr>
            <w:tcW w:w="1679" w:type="dxa"/>
            <w:shd w:val="clear" w:color="auto" w:fill="DBE5F1" w:themeFill="accent1" w:themeFillTint="33"/>
          </w:tcPr>
          <w:p>
            <w:pPr>
              <w:jc w:val="center"/>
              <w:rPr>
                <w:b/>
                <w:bCs/>
                <w:noProof/>
              </w:rPr>
            </w:pPr>
            <w:r>
              <w:rPr>
                <w:b/>
                <w:bCs/>
                <w:noProof/>
              </w:rPr>
              <w:t>AT</w:t>
            </w:r>
          </w:p>
        </w:tc>
        <w:tc>
          <w:tcPr>
            <w:tcW w:w="1123" w:type="dxa"/>
          </w:tcPr>
          <w:p>
            <w:pPr>
              <w:jc w:val="right"/>
              <w:rPr>
                <w:noProof/>
              </w:rPr>
            </w:pPr>
            <w:r>
              <w:rPr>
                <w:noProof/>
              </w:rPr>
              <w:t>15</w:t>
            </w:r>
          </w:p>
        </w:tc>
        <w:tc>
          <w:tcPr>
            <w:tcW w:w="1275" w:type="dxa"/>
          </w:tcPr>
          <w:p>
            <w:pPr>
              <w:jc w:val="right"/>
              <w:rPr>
                <w:noProof/>
              </w:rPr>
            </w:pPr>
            <w:r>
              <w:rPr>
                <w:noProof/>
              </w:rPr>
              <w:t>17</w:t>
            </w:r>
          </w:p>
        </w:tc>
        <w:tc>
          <w:tcPr>
            <w:tcW w:w="1276" w:type="dxa"/>
          </w:tcPr>
          <w:p>
            <w:pPr>
              <w:jc w:val="right"/>
              <w:rPr>
                <w:noProof/>
              </w:rPr>
            </w:pPr>
            <w:r>
              <w:rPr>
                <w:noProof/>
              </w:rPr>
              <w:t>25</w:t>
            </w:r>
          </w:p>
        </w:tc>
        <w:tc>
          <w:tcPr>
            <w:tcW w:w="1463" w:type="dxa"/>
          </w:tcPr>
          <w:p>
            <w:pPr>
              <w:jc w:val="right"/>
              <w:rPr>
                <w:noProof/>
              </w:rPr>
            </w:pPr>
            <w:r>
              <w:rPr>
                <w:noProof/>
              </w:rPr>
              <w:t>57</w:t>
            </w:r>
          </w:p>
        </w:tc>
        <w:tc>
          <w:tcPr>
            <w:tcW w:w="2426" w:type="dxa"/>
            <w:vAlign w:val="bottom"/>
          </w:tcPr>
          <w:p>
            <w:pPr>
              <w:jc w:val="right"/>
              <w:rPr>
                <w:noProof/>
              </w:rPr>
            </w:pPr>
            <w:r>
              <w:rPr>
                <w:noProof/>
              </w:rPr>
              <w:t>1.63%</w:t>
            </w:r>
          </w:p>
        </w:tc>
      </w:tr>
      <w:tr>
        <w:tc>
          <w:tcPr>
            <w:tcW w:w="1679" w:type="dxa"/>
            <w:shd w:val="clear" w:color="auto" w:fill="DBE5F1" w:themeFill="accent1" w:themeFillTint="33"/>
          </w:tcPr>
          <w:p>
            <w:pPr>
              <w:jc w:val="center"/>
              <w:rPr>
                <w:b/>
                <w:bCs/>
                <w:noProof/>
              </w:rPr>
            </w:pPr>
            <w:r>
              <w:rPr>
                <w:b/>
                <w:bCs/>
                <w:noProof/>
              </w:rPr>
              <w:t>PL</w:t>
            </w:r>
          </w:p>
        </w:tc>
        <w:tc>
          <w:tcPr>
            <w:tcW w:w="1123" w:type="dxa"/>
          </w:tcPr>
          <w:p>
            <w:pPr>
              <w:jc w:val="right"/>
              <w:rPr>
                <w:noProof/>
              </w:rPr>
            </w:pPr>
            <w:r>
              <w:rPr>
                <w:noProof/>
              </w:rPr>
              <w:t>0</w:t>
            </w:r>
          </w:p>
        </w:tc>
        <w:tc>
          <w:tcPr>
            <w:tcW w:w="1275" w:type="dxa"/>
          </w:tcPr>
          <w:p>
            <w:pPr>
              <w:jc w:val="right"/>
              <w:rPr>
                <w:noProof/>
              </w:rPr>
            </w:pPr>
            <w:r>
              <w:rPr>
                <w:noProof/>
              </w:rPr>
              <w:t>8</w:t>
            </w:r>
          </w:p>
        </w:tc>
        <w:tc>
          <w:tcPr>
            <w:tcW w:w="1276" w:type="dxa"/>
          </w:tcPr>
          <w:p>
            <w:pPr>
              <w:jc w:val="right"/>
              <w:rPr>
                <w:noProof/>
              </w:rPr>
            </w:pPr>
            <w:r>
              <w:rPr>
                <w:noProof/>
              </w:rPr>
              <w:t>2</w:t>
            </w:r>
          </w:p>
        </w:tc>
        <w:tc>
          <w:tcPr>
            <w:tcW w:w="1463" w:type="dxa"/>
          </w:tcPr>
          <w:p>
            <w:pPr>
              <w:jc w:val="right"/>
              <w:rPr>
                <w:noProof/>
              </w:rPr>
            </w:pPr>
            <w:r>
              <w:rPr>
                <w:noProof/>
              </w:rPr>
              <w:t>10</w:t>
            </w:r>
          </w:p>
        </w:tc>
        <w:tc>
          <w:tcPr>
            <w:tcW w:w="2426" w:type="dxa"/>
            <w:vAlign w:val="bottom"/>
          </w:tcPr>
          <w:p>
            <w:pPr>
              <w:jc w:val="right"/>
              <w:rPr>
                <w:noProof/>
              </w:rPr>
            </w:pPr>
            <w:r>
              <w:rPr>
                <w:noProof/>
              </w:rPr>
              <w:t>0.29%</w:t>
            </w:r>
          </w:p>
        </w:tc>
      </w:tr>
      <w:tr>
        <w:tc>
          <w:tcPr>
            <w:tcW w:w="1679" w:type="dxa"/>
            <w:shd w:val="clear" w:color="auto" w:fill="DBE5F1" w:themeFill="accent1" w:themeFillTint="33"/>
          </w:tcPr>
          <w:p>
            <w:pPr>
              <w:jc w:val="center"/>
              <w:rPr>
                <w:b/>
                <w:bCs/>
                <w:noProof/>
              </w:rPr>
            </w:pPr>
            <w:r>
              <w:rPr>
                <w:b/>
                <w:bCs/>
                <w:noProof/>
              </w:rPr>
              <w:t>PT</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w:t>
            </w:r>
          </w:p>
        </w:tc>
      </w:tr>
      <w:tr>
        <w:tc>
          <w:tcPr>
            <w:tcW w:w="1679" w:type="dxa"/>
            <w:shd w:val="clear" w:color="auto" w:fill="DBE5F1" w:themeFill="accent1" w:themeFillTint="33"/>
          </w:tcPr>
          <w:p>
            <w:pPr>
              <w:jc w:val="center"/>
              <w:rPr>
                <w:b/>
                <w:bCs/>
                <w:noProof/>
              </w:rPr>
            </w:pPr>
            <w:r>
              <w:rPr>
                <w:b/>
                <w:bCs/>
                <w:noProof/>
              </w:rPr>
              <w:t>RO</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w:t>
            </w:r>
          </w:p>
        </w:tc>
      </w:tr>
      <w:tr>
        <w:tc>
          <w:tcPr>
            <w:tcW w:w="1679" w:type="dxa"/>
            <w:shd w:val="clear" w:color="auto" w:fill="DBE5F1" w:themeFill="accent1" w:themeFillTint="33"/>
          </w:tcPr>
          <w:p>
            <w:pPr>
              <w:jc w:val="center"/>
              <w:rPr>
                <w:b/>
                <w:bCs/>
                <w:noProof/>
              </w:rPr>
            </w:pPr>
            <w:r>
              <w:rPr>
                <w:b/>
                <w:bCs/>
                <w:noProof/>
              </w:rPr>
              <w:t>SI</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w:t>
            </w:r>
          </w:p>
        </w:tc>
      </w:tr>
      <w:tr>
        <w:tc>
          <w:tcPr>
            <w:tcW w:w="1679" w:type="dxa"/>
            <w:shd w:val="clear" w:color="auto" w:fill="DBE5F1" w:themeFill="accent1" w:themeFillTint="33"/>
          </w:tcPr>
          <w:p>
            <w:pPr>
              <w:jc w:val="center"/>
              <w:rPr>
                <w:b/>
                <w:bCs/>
                <w:noProof/>
              </w:rPr>
            </w:pPr>
            <w:r>
              <w:rPr>
                <w:b/>
                <w:bCs/>
                <w:noProof/>
              </w:rPr>
              <w:t>SK</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w:t>
            </w:r>
          </w:p>
        </w:tc>
      </w:tr>
      <w:tr>
        <w:tc>
          <w:tcPr>
            <w:tcW w:w="1679" w:type="dxa"/>
            <w:shd w:val="clear" w:color="auto" w:fill="DBE5F1" w:themeFill="accent1" w:themeFillTint="33"/>
          </w:tcPr>
          <w:p>
            <w:pPr>
              <w:jc w:val="center"/>
              <w:rPr>
                <w:b/>
                <w:bCs/>
                <w:noProof/>
              </w:rPr>
            </w:pPr>
            <w:r>
              <w:rPr>
                <w:b/>
                <w:bCs/>
                <w:noProof/>
              </w:rPr>
              <w:t>FI</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w:t>
            </w:r>
          </w:p>
        </w:tc>
      </w:tr>
      <w:tr>
        <w:tc>
          <w:tcPr>
            <w:tcW w:w="1679" w:type="dxa"/>
            <w:shd w:val="clear" w:color="auto" w:fill="DBE5F1" w:themeFill="accent1" w:themeFillTint="33"/>
          </w:tcPr>
          <w:p>
            <w:pPr>
              <w:jc w:val="center"/>
              <w:rPr>
                <w:b/>
                <w:bCs/>
                <w:noProof/>
              </w:rPr>
            </w:pPr>
            <w:r>
              <w:rPr>
                <w:b/>
                <w:bCs/>
                <w:noProof/>
              </w:rPr>
              <w:t>SE</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w:t>
            </w:r>
          </w:p>
        </w:tc>
      </w:tr>
      <w:tr>
        <w:tc>
          <w:tcPr>
            <w:tcW w:w="1679" w:type="dxa"/>
            <w:shd w:val="clear" w:color="auto" w:fill="DBE5F1" w:themeFill="accent1" w:themeFillTint="33"/>
          </w:tcPr>
          <w:p>
            <w:pPr>
              <w:jc w:val="center"/>
              <w:rPr>
                <w:b/>
                <w:bCs/>
                <w:noProof/>
              </w:rPr>
            </w:pPr>
            <w:r>
              <w:rPr>
                <w:b/>
                <w:bCs/>
                <w:noProof/>
              </w:rPr>
              <w:t>Total</w:t>
            </w:r>
          </w:p>
        </w:tc>
        <w:tc>
          <w:tcPr>
            <w:tcW w:w="1123" w:type="dxa"/>
          </w:tcPr>
          <w:p>
            <w:pPr>
              <w:jc w:val="right"/>
              <w:rPr>
                <w:noProof/>
              </w:rPr>
            </w:pPr>
            <w:r>
              <w:rPr>
                <w:noProof/>
              </w:rPr>
              <w:t>959</w:t>
            </w:r>
          </w:p>
        </w:tc>
        <w:tc>
          <w:tcPr>
            <w:tcW w:w="1275" w:type="dxa"/>
          </w:tcPr>
          <w:p>
            <w:pPr>
              <w:jc w:val="right"/>
              <w:rPr>
                <w:noProof/>
              </w:rPr>
            </w:pPr>
            <w:r>
              <w:rPr>
                <w:noProof/>
              </w:rPr>
              <w:t>1173</w:t>
            </w:r>
          </w:p>
        </w:tc>
        <w:tc>
          <w:tcPr>
            <w:tcW w:w="1276" w:type="dxa"/>
          </w:tcPr>
          <w:p>
            <w:pPr>
              <w:jc w:val="right"/>
              <w:rPr>
                <w:noProof/>
              </w:rPr>
            </w:pPr>
            <w:r>
              <w:rPr>
                <w:noProof/>
              </w:rPr>
              <w:t>1375</w:t>
            </w:r>
          </w:p>
        </w:tc>
        <w:tc>
          <w:tcPr>
            <w:tcW w:w="1463" w:type="dxa"/>
          </w:tcPr>
          <w:p>
            <w:pPr>
              <w:jc w:val="right"/>
              <w:rPr>
                <w:noProof/>
              </w:rPr>
            </w:pPr>
            <w:r>
              <w:rPr>
                <w:noProof/>
              </w:rPr>
              <w:t>3507</w:t>
            </w:r>
          </w:p>
        </w:tc>
        <w:tc>
          <w:tcPr>
            <w:tcW w:w="2426" w:type="dxa"/>
            <w:vAlign w:val="bottom"/>
          </w:tcPr>
          <w:p>
            <w:pPr>
              <w:jc w:val="right"/>
              <w:rPr>
                <w:noProof/>
              </w:rPr>
            </w:pPr>
            <w:r>
              <w:rPr>
                <w:noProof/>
              </w:rPr>
              <w:t>100%</w:t>
            </w:r>
          </w:p>
        </w:tc>
      </w:tr>
    </w:tbl>
    <w:p>
      <w:pPr>
        <w:rPr>
          <w:noProof/>
        </w:rPr>
      </w:pPr>
      <w:r>
        <w:rPr>
          <w:noProof/>
        </w:rPr>
        <w:br w:type="page"/>
      </w:r>
    </w:p>
    <w:p>
      <w:pPr>
        <w:rPr>
          <w:noProof/>
        </w:rPr>
      </w:pPr>
      <w:r>
        <w:rPr>
          <w:noProof/>
        </w:rPr>
        <w:lastRenderedPageBreak/>
        <w:t>Table 3. General Open Licences in circulation</w:t>
      </w:r>
    </w:p>
    <w:p>
      <w:pPr>
        <w:rPr>
          <w:noProof/>
        </w:rPr>
      </w:pPr>
    </w:p>
    <w:tbl>
      <w:tblPr>
        <w:tblStyle w:val="TableGrid"/>
        <w:tblW w:w="0" w:type="auto"/>
        <w:tblLook w:val="04A0" w:firstRow="1" w:lastRow="0" w:firstColumn="1" w:lastColumn="0" w:noHBand="0" w:noVBand="1"/>
      </w:tblPr>
      <w:tblGrid>
        <w:gridCol w:w="1679"/>
        <w:gridCol w:w="1123"/>
        <w:gridCol w:w="1275"/>
        <w:gridCol w:w="1276"/>
        <w:gridCol w:w="1463"/>
        <w:gridCol w:w="2426"/>
      </w:tblGrid>
      <w:tr>
        <w:tc>
          <w:tcPr>
            <w:tcW w:w="1679" w:type="dxa"/>
            <w:vMerge w:val="restart"/>
            <w:shd w:val="clear" w:color="auto" w:fill="DBE5F1" w:themeFill="accent1" w:themeFillTint="33"/>
            <w:vAlign w:val="center"/>
          </w:tcPr>
          <w:p>
            <w:pPr>
              <w:jc w:val="center"/>
              <w:rPr>
                <w:b/>
                <w:bCs/>
                <w:noProof/>
              </w:rPr>
            </w:pPr>
            <w:r>
              <w:rPr>
                <w:b/>
                <w:bCs/>
                <w:noProof/>
              </w:rPr>
              <w:t>Member States</w:t>
            </w:r>
          </w:p>
        </w:tc>
        <w:tc>
          <w:tcPr>
            <w:tcW w:w="3674" w:type="dxa"/>
            <w:gridSpan w:val="3"/>
            <w:shd w:val="clear" w:color="auto" w:fill="DBE5F1" w:themeFill="accent1" w:themeFillTint="33"/>
            <w:vAlign w:val="center"/>
          </w:tcPr>
          <w:p>
            <w:pPr>
              <w:jc w:val="center"/>
              <w:rPr>
                <w:b/>
                <w:bCs/>
                <w:noProof/>
              </w:rPr>
            </w:pPr>
            <w:r>
              <w:rPr>
                <w:b/>
                <w:bCs/>
                <w:noProof/>
              </w:rPr>
              <w:t>Year</w:t>
            </w:r>
          </w:p>
        </w:tc>
        <w:tc>
          <w:tcPr>
            <w:tcW w:w="1463" w:type="dxa"/>
            <w:vMerge w:val="restart"/>
            <w:shd w:val="clear" w:color="auto" w:fill="DBE5F1" w:themeFill="accent1" w:themeFillTint="33"/>
            <w:vAlign w:val="center"/>
          </w:tcPr>
          <w:p>
            <w:pPr>
              <w:jc w:val="center"/>
              <w:rPr>
                <w:b/>
                <w:bCs/>
                <w:noProof/>
              </w:rPr>
            </w:pPr>
            <w:r>
              <w:rPr>
                <w:b/>
                <w:bCs/>
                <w:noProof/>
              </w:rPr>
              <w:t>2021-2023</w:t>
            </w:r>
          </w:p>
        </w:tc>
        <w:tc>
          <w:tcPr>
            <w:tcW w:w="2426" w:type="dxa"/>
            <w:vMerge w:val="restart"/>
            <w:shd w:val="clear" w:color="auto" w:fill="DBE5F1" w:themeFill="accent1" w:themeFillTint="33"/>
            <w:vAlign w:val="center"/>
          </w:tcPr>
          <w:p>
            <w:pPr>
              <w:jc w:val="center"/>
              <w:rPr>
                <w:b/>
                <w:bCs/>
                <w:noProof/>
              </w:rPr>
            </w:pPr>
            <w:r>
              <w:rPr>
                <w:b/>
                <w:bCs/>
                <w:noProof/>
              </w:rPr>
              <w:t>Share of total in %</w:t>
            </w:r>
          </w:p>
        </w:tc>
      </w:tr>
      <w:tr>
        <w:tc>
          <w:tcPr>
            <w:tcW w:w="1679" w:type="dxa"/>
            <w:vMerge/>
            <w:shd w:val="clear" w:color="auto" w:fill="DBE5F1" w:themeFill="accent1" w:themeFillTint="33"/>
          </w:tcPr>
          <w:p>
            <w:pPr>
              <w:rPr>
                <w:b/>
                <w:bCs/>
                <w:noProof/>
              </w:rPr>
            </w:pPr>
          </w:p>
        </w:tc>
        <w:tc>
          <w:tcPr>
            <w:tcW w:w="1123" w:type="dxa"/>
            <w:shd w:val="clear" w:color="auto" w:fill="DBE5F1" w:themeFill="accent1" w:themeFillTint="33"/>
          </w:tcPr>
          <w:p>
            <w:pPr>
              <w:jc w:val="center"/>
              <w:rPr>
                <w:b/>
                <w:bCs/>
                <w:noProof/>
              </w:rPr>
            </w:pPr>
            <w:r>
              <w:rPr>
                <w:b/>
                <w:bCs/>
                <w:noProof/>
              </w:rPr>
              <w:t>2021</w:t>
            </w:r>
          </w:p>
        </w:tc>
        <w:tc>
          <w:tcPr>
            <w:tcW w:w="1275" w:type="dxa"/>
            <w:shd w:val="clear" w:color="auto" w:fill="DBE5F1" w:themeFill="accent1" w:themeFillTint="33"/>
          </w:tcPr>
          <w:p>
            <w:pPr>
              <w:jc w:val="center"/>
              <w:rPr>
                <w:b/>
                <w:bCs/>
                <w:noProof/>
              </w:rPr>
            </w:pPr>
            <w:r>
              <w:rPr>
                <w:b/>
                <w:bCs/>
                <w:noProof/>
              </w:rPr>
              <w:t>2022</w:t>
            </w:r>
          </w:p>
        </w:tc>
        <w:tc>
          <w:tcPr>
            <w:tcW w:w="1276" w:type="dxa"/>
            <w:shd w:val="clear" w:color="auto" w:fill="DBE5F1" w:themeFill="accent1" w:themeFillTint="33"/>
          </w:tcPr>
          <w:p>
            <w:pPr>
              <w:jc w:val="center"/>
              <w:rPr>
                <w:b/>
                <w:bCs/>
                <w:noProof/>
              </w:rPr>
            </w:pPr>
            <w:r>
              <w:rPr>
                <w:b/>
                <w:bCs/>
                <w:noProof/>
              </w:rPr>
              <w:t>2023</w:t>
            </w:r>
          </w:p>
        </w:tc>
        <w:tc>
          <w:tcPr>
            <w:tcW w:w="1463" w:type="dxa"/>
            <w:vMerge/>
          </w:tcPr>
          <w:p>
            <w:pPr>
              <w:rPr>
                <w:noProof/>
              </w:rPr>
            </w:pPr>
          </w:p>
        </w:tc>
        <w:tc>
          <w:tcPr>
            <w:tcW w:w="2426" w:type="dxa"/>
            <w:vMerge/>
          </w:tcPr>
          <w:p>
            <w:pPr>
              <w:rPr>
                <w:noProof/>
              </w:rPr>
            </w:pPr>
          </w:p>
        </w:tc>
      </w:tr>
      <w:tr>
        <w:tc>
          <w:tcPr>
            <w:tcW w:w="1679" w:type="dxa"/>
            <w:shd w:val="clear" w:color="auto" w:fill="DBE5F1" w:themeFill="accent1" w:themeFillTint="33"/>
          </w:tcPr>
          <w:p>
            <w:pPr>
              <w:jc w:val="center"/>
              <w:rPr>
                <w:b/>
                <w:bCs/>
                <w:noProof/>
              </w:rPr>
            </w:pPr>
            <w:r>
              <w:rPr>
                <w:b/>
                <w:bCs/>
                <w:noProof/>
              </w:rPr>
              <w:t>BE</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w:t>
            </w:r>
          </w:p>
        </w:tc>
      </w:tr>
      <w:tr>
        <w:tc>
          <w:tcPr>
            <w:tcW w:w="1679" w:type="dxa"/>
            <w:shd w:val="clear" w:color="auto" w:fill="DBE5F1" w:themeFill="accent1" w:themeFillTint="33"/>
          </w:tcPr>
          <w:p>
            <w:pPr>
              <w:jc w:val="center"/>
              <w:rPr>
                <w:b/>
                <w:bCs/>
                <w:noProof/>
              </w:rPr>
            </w:pPr>
            <w:r>
              <w:rPr>
                <w:b/>
                <w:bCs/>
                <w:noProof/>
              </w:rPr>
              <w:t>BG</w:t>
            </w:r>
          </w:p>
        </w:tc>
        <w:tc>
          <w:tcPr>
            <w:tcW w:w="1123" w:type="dxa"/>
          </w:tcPr>
          <w:p>
            <w:pPr>
              <w:jc w:val="right"/>
              <w:rPr>
                <w:noProof/>
              </w:rPr>
            </w:pPr>
            <w:r>
              <w:rPr>
                <w:noProof/>
              </w:rPr>
              <w:t>0</w:t>
            </w:r>
          </w:p>
        </w:tc>
        <w:tc>
          <w:tcPr>
            <w:tcW w:w="1275" w:type="dxa"/>
          </w:tcPr>
          <w:p>
            <w:pPr>
              <w:jc w:val="right"/>
              <w:rPr>
                <w:noProof/>
              </w:rPr>
            </w:pPr>
            <w:r>
              <w:rPr>
                <w:noProof/>
              </w:rPr>
              <w:t>1</w:t>
            </w:r>
          </w:p>
        </w:tc>
        <w:tc>
          <w:tcPr>
            <w:tcW w:w="1276" w:type="dxa"/>
          </w:tcPr>
          <w:p>
            <w:pPr>
              <w:jc w:val="right"/>
              <w:rPr>
                <w:noProof/>
              </w:rPr>
            </w:pPr>
            <w:r>
              <w:rPr>
                <w:noProof/>
              </w:rPr>
              <w:t>5</w:t>
            </w:r>
          </w:p>
        </w:tc>
        <w:tc>
          <w:tcPr>
            <w:tcW w:w="1463" w:type="dxa"/>
          </w:tcPr>
          <w:p>
            <w:pPr>
              <w:jc w:val="right"/>
              <w:rPr>
                <w:noProof/>
              </w:rPr>
            </w:pPr>
            <w:r>
              <w:rPr>
                <w:noProof/>
              </w:rPr>
              <w:t>6</w:t>
            </w:r>
          </w:p>
        </w:tc>
        <w:tc>
          <w:tcPr>
            <w:tcW w:w="2426" w:type="dxa"/>
            <w:vAlign w:val="bottom"/>
          </w:tcPr>
          <w:p>
            <w:pPr>
              <w:jc w:val="right"/>
              <w:rPr>
                <w:noProof/>
              </w:rPr>
            </w:pPr>
            <w:r>
              <w:rPr>
                <w:noProof/>
              </w:rPr>
              <w:t>0.50%</w:t>
            </w:r>
          </w:p>
        </w:tc>
      </w:tr>
      <w:tr>
        <w:tc>
          <w:tcPr>
            <w:tcW w:w="1679" w:type="dxa"/>
            <w:shd w:val="clear" w:color="auto" w:fill="DBE5F1" w:themeFill="accent1" w:themeFillTint="33"/>
          </w:tcPr>
          <w:p>
            <w:pPr>
              <w:jc w:val="center"/>
              <w:rPr>
                <w:b/>
                <w:bCs/>
                <w:noProof/>
              </w:rPr>
            </w:pPr>
            <w:r>
              <w:rPr>
                <w:b/>
                <w:bCs/>
                <w:noProof/>
              </w:rPr>
              <w:t>CZ</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w:t>
            </w:r>
          </w:p>
        </w:tc>
      </w:tr>
      <w:tr>
        <w:tc>
          <w:tcPr>
            <w:tcW w:w="1679" w:type="dxa"/>
            <w:shd w:val="clear" w:color="auto" w:fill="DBE5F1" w:themeFill="accent1" w:themeFillTint="33"/>
          </w:tcPr>
          <w:p>
            <w:pPr>
              <w:jc w:val="center"/>
              <w:rPr>
                <w:b/>
                <w:bCs/>
                <w:noProof/>
              </w:rPr>
            </w:pPr>
            <w:r>
              <w:rPr>
                <w:b/>
                <w:bCs/>
                <w:noProof/>
              </w:rPr>
              <w:t>DK</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w:t>
            </w:r>
          </w:p>
        </w:tc>
      </w:tr>
      <w:tr>
        <w:tc>
          <w:tcPr>
            <w:tcW w:w="1679" w:type="dxa"/>
            <w:shd w:val="clear" w:color="auto" w:fill="DBE5F1" w:themeFill="accent1" w:themeFillTint="33"/>
          </w:tcPr>
          <w:p>
            <w:pPr>
              <w:jc w:val="center"/>
              <w:rPr>
                <w:b/>
                <w:bCs/>
                <w:noProof/>
              </w:rPr>
            </w:pPr>
            <w:r>
              <w:rPr>
                <w:b/>
                <w:bCs/>
                <w:noProof/>
              </w:rPr>
              <w:t>DE</w:t>
            </w:r>
          </w:p>
        </w:tc>
        <w:tc>
          <w:tcPr>
            <w:tcW w:w="1123" w:type="dxa"/>
          </w:tcPr>
          <w:p>
            <w:pPr>
              <w:jc w:val="right"/>
              <w:rPr>
                <w:noProof/>
              </w:rPr>
            </w:pPr>
            <w:r>
              <w:rPr>
                <w:noProof/>
              </w:rPr>
              <w:t>199</w:t>
            </w:r>
          </w:p>
        </w:tc>
        <w:tc>
          <w:tcPr>
            <w:tcW w:w="1275" w:type="dxa"/>
          </w:tcPr>
          <w:p>
            <w:pPr>
              <w:jc w:val="right"/>
              <w:rPr>
                <w:noProof/>
              </w:rPr>
            </w:pPr>
            <w:r>
              <w:rPr>
                <w:noProof/>
              </w:rPr>
              <w:t>189</w:t>
            </w:r>
          </w:p>
        </w:tc>
        <w:tc>
          <w:tcPr>
            <w:tcW w:w="1276" w:type="dxa"/>
          </w:tcPr>
          <w:p>
            <w:pPr>
              <w:jc w:val="right"/>
              <w:rPr>
                <w:noProof/>
              </w:rPr>
            </w:pPr>
            <w:r>
              <w:rPr>
                <w:noProof/>
              </w:rPr>
              <w:t>176</w:t>
            </w:r>
          </w:p>
        </w:tc>
        <w:tc>
          <w:tcPr>
            <w:tcW w:w="1463" w:type="dxa"/>
          </w:tcPr>
          <w:p>
            <w:pPr>
              <w:jc w:val="right"/>
              <w:rPr>
                <w:noProof/>
              </w:rPr>
            </w:pPr>
            <w:r>
              <w:rPr>
                <w:noProof/>
              </w:rPr>
              <w:t>564</w:t>
            </w:r>
          </w:p>
        </w:tc>
        <w:tc>
          <w:tcPr>
            <w:tcW w:w="2426" w:type="dxa"/>
            <w:vAlign w:val="bottom"/>
          </w:tcPr>
          <w:p>
            <w:pPr>
              <w:jc w:val="right"/>
              <w:rPr>
                <w:noProof/>
              </w:rPr>
            </w:pPr>
            <w:r>
              <w:rPr>
                <w:noProof/>
              </w:rPr>
              <w:t>46.73%</w:t>
            </w:r>
          </w:p>
        </w:tc>
      </w:tr>
      <w:tr>
        <w:tc>
          <w:tcPr>
            <w:tcW w:w="1679" w:type="dxa"/>
            <w:shd w:val="clear" w:color="auto" w:fill="DBE5F1" w:themeFill="accent1" w:themeFillTint="33"/>
          </w:tcPr>
          <w:p>
            <w:pPr>
              <w:jc w:val="center"/>
              <w:rPr>
                <w:b/>
                <w:bCs/>
                <w:noProof/>
              </w:rPr>
            </w:pPr>
            <w:r>
              <w:rPr>
                <w:b/>
                <w:bCs/>
                <w:noProof/>
              </w:rPr>
              <w:t>EE</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w:t>
            </w:r>
          </w:p>
        </w:tc>
      </w:tr>
      <w:tr>
        <w:tc>
          <w:tcPr>
            <w:tcW w:w="1679" w:type="dxa"/>
            <w:shd w:val="clear" w:color="auto" w:fill="DBE5F1" w:themeFill="accent1" w:themeFillTint="33"/>
          </w:tcPr>
          <w:p>
            <w:pPr>
              <w:jc w:val="center"/>
              <w:rPr>
                <w:b/>
                <w:bCs/>
                <w:noProof/>
              </w:rPr>
            </w:pPr>
            <w:r>
              <w:rPr>
                <w:b/>
                <w:bCs/>
                <w:noProof/>
              </w:rPr>
              <w:t>IE</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w:t>
            </w:r>
          </w:p>
        </w:tc>
      </w:tr>
      <w:tr>
        <w:tc>
          <w:tcPr>
            <w:tcW w:w="1679" w:type="dxa"/>
            <w:shd w:val="clear" w:color="auto" w:fill="DBE5F1" w:themeFill="accent1" w:themeFillTint="33"/>
          </w:tcPr>
          <w:p>
            <w:pPr>
              <w:jc w:val="center"/>
              <w:rPr>
                <w:b/>
                <w:bCs/>
                <w:noProof/>
              </w:rPr>
            </w:pPr>
            <w:r>
              <w:rPr>
                <w:b/>
                <w:bCs/>
                <w:noProof/>
              </w:rPr>
              <w:t>EL</w:t>
            </w:r>
          </w:p>
        </w:tc>
        <w:tc>
          <w:tcPr>
            <w:tcW w:w="1123" w:type="dxa"/>
          </w:tcPr>
          <w:p>
            <w:pPr>
              <w:jc w:val="right"/>
              <w:rPr>
                <w:noProof/>
              </w:rPr>
            </w:pPr>
            <w:r>
              <w:rPr>
                <w:noProof/>
              </w:rPr>
              <w:t>1</w:t>
            </w:r>
          </w:p>
        </w:tc>
        <w:tc>
          <w:tcPr>
            <w:tcW w:w="1275" w:type="dxa"/>
          </w:tcPr>
          <w:p>
            <w:pPr>
              <w:jc w:val="right"/>
              <w:rPr>
                <w:noProof/>
              </w:rPr>
            </w:pPr>
            <w:r>
              <w:rPr>
                <w:noProof/>
              </w:rPr>
              <w:t>2</w:t>
            </w:r>
          </w:p>
        </w:tc>
        <w:tc>
          <w:tcPr>
            <w:tcW w:w="1276" w:type="dxa"/>
          </w:tcPr>
          <w:p>
            <w:pPr>
              <w:jc w:val="right"/>
              <w:rPr>
                <w:noProof/>
              </w:rPr>
            </w:pPr>
            <w:r>
              <w:rPr>
                <w:noProof/>
              </w:rPr>
              <w:t>5</w:t>
            </w:r>
          </w:p>
        </w:tc>
        <w:tc>
          <w:tcPr>
            <w:tcW w:w="1463" w:type="dxa"/>
          </w:tcPr>
          <w:p>
            <w:pPr>
              <w:jc w:val="right"/>
              <w:rPr>
                <w:noProof/>
              </w:rPr>
            </w:pPr>
            <w:r>
              <w:rPr>
                <w:noProof/>
              </w:rPr>
              <w:t>8</w:t>
            </w:r>
          </w:p>
        </w:tc>
        <w:tc>
          <w:tcPr>
            <w:tcW w:w="2426" w:type="dxa"/>
            <w:vAlign w:val="bottom"/>
          </w:tcPr>
          <w:p>
            <w:pPr>
              <w:jc w:val="right"/>
              <w:rPr>
                <w:noProof/>
              </w:rPr>
            </w:pPr>
            <w:r>
              <w:rPr>
                <w:noProof/>
              </w:rPr>
              <w:t>0.66%</w:t>
            </w:r>
          </w:p>
        </w:tc>
      </w:tr>
      <w:tr>
        <w:tc>
          <w:tcPr>
            <w:tcW w:w="1679" w:type="dxa"/>
            <w:shd w:val="clear" w:color="auto" w:fill="DBE5F1" w:themeFill="accent1" w:themeFillTint="33"/>
          </w:tcPr>
          <w:p>
            <w:pPr>
              <w:jc w:val="center"/>
              <w:rPr>
                <w:b/>
                <w:bCs/>
                <w:noProof/>
              </w:rPr>
            </w:pPr>
            <w:r>
              <w:rPr>
                <w:b/>
                <w:bCs/>
                <w:noProof/>
              </w:rPr>
              <w:t>ES</w:t>
            </w:r>
          </w:p>
        </w:tc>
        <w:tc>
          <w:tcPr>
            <w:tcW w:w="1123" w:type="dxa"/>
          </w:tcPr>
          <w:p>
            <w:pPr>
              <w:jc w:val="right"/>
              <w:rPr>
                <w:noProof/>
              </w:rPr>
            </w:pPr>
            <w:r>
              <w:rPr>
                <w:noProof/>
              </w:rPr>
              <w:t>149</w:t>
            </w:r>
          </w:p>
        </w:tc>
        <w:tc>
          <w:tcPr>
            <w:tcW w:w="1275" w:type="dxa"/>
          </w:tcPr>
          <w:p>
            <w:pPr>
              <w:jc w:val="right"/>
              <w:rPr>
                <w:noProof/>
              </w:rPr>
            </w:pPr>
            <w:r>
              <w:rPr>
                <w:noProof/>
              </w:rPr>
              <w:t>187</w:t>
            </w:r>
          </w:p>
        </w:tc>
        <w:tc>
          <w:tcPr>
            <w:tcW w:w="1276" w:type="dxa"/>
          </w:tcPr>
          <w:p>
            <w:pPr>
              <w:jc w:val="right"/>
              <w:rPr>
                <w:noProof/>
              </w:rPr>
            </w:pPr>
            <w:r>
              <w:rPr>
                <w:noProof/>
              </w:rPr>
              <w:t>170</w:t>
            </w:r>
          </w:p>
        </w:tc>
        <w:tc>
          <w:tcPr>
            <w:tcW w:w="1463" w:type="dxa"/>
          </w:tcPr>
          <w:p>
            <w:pPr>
              <w:jc w:val="right"/>
              <w:rPr>
                <w:noProof/>
              </w:rPr>
            </w:pPr>
            <w:r>
              <w:rPr>
                <w:noProof/>
              </w:rPr>
              <w:t>506</w:t>
            </w:r>
          </w:p>
        </w:tc>
        <w:tc>
          <w:tcPr>
            <w:tcW w:w="2426" w:type="dxa"/>
            <w:vAlign w:val="bottom"/>
          </w:tcPr>
          <w:p>
            <w:pPr>
              <w:jc w:val="right"/>
              <w:rPr>
                <w:noProof/>
              </w:rPr>
            </w:pPr>
            <w:r>
              <w:rPr>
                <w:noProof/>
              </w:rPr>
              <w:t>41.92%</w:t>
            </w:r>
          </w:p>
        </w:tc>
      </w:tr>
      <w:tr>
        <w:tc>
          <w:tcPr>
            <w:tcW w:w="1679" w:type="dxa"/>
            <w:shd w:val="clear" w:color="auto" w:fill="DBE5F1" w:themeFill="accent1" w:themeFillTint="33"/>
          </w:tcPr>
          <w:p>
            <w:pPr>
              <w:jc w:val="center"/>
              <w:rPr>
                <w:b/>
                <w:bCs/>
                <w:noProof/>
              </w:rPr>
            </w:pPr>
            <w:r>
              <w:rPr>
                <w:b/>
                <w:bCs/>
                <w:noProof/>
              </w:rPr>
              <w:t>FR</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w:t>
            </w:r>
          </w:p>
        </w:tc>
      </w:tr>
      <w:tr>
        <w:tc>
          <w:tcPr>
            <w:tcW w:w="1679" w:type="dxa"/>
            <w:shd w:val="clear" w:color="auto" w:fill="DBE5F1" w:themeFill="accent1" w:themeFillTint="33"/>
          </w:tcPr>
          <w:p>
            <w:pPr>
              <w:jc w:val="center"/>
              <w:rPr>
                <w:b/>
                <w:bCs/>
                <w:noProof/>
              </w:rPr>
            </w:pPr>
            <w:r>
              <w:rPr>
                <w:b/>
                <w:bCs/>
                <w:noProof/>
              </w:rPr>
              <w:t>HR</w:t>
            </w:r>
          </w:p>
        </w:tc>
        <w:tc>
          <w:tcPr>
            <w:tcW w:w="1123" w:type="dxa"/>
          </w:tcPr>
          <w:p>
            <w:pPr>
              <w:jc w:val="right"/>
              <w:rPr>
                <w:noProof/>
              </w:rPr>
            </w:pPr>
            <w:r>
              <w:rPr>
                <w:noProof/>
              </w:rPr>
              <w:t>1</w:t>
            </w:r>
          </w:p>
        </w:tc>
        <w:tc>
          <w:tcPr>
            <w:tcW w:w="1275" w:type="dxa"/>
          </w:tcPr>
          <w:p>
            <w:pPr>
              <w:jc w:val="right"/>
              <w:rPr>
                <w:noProof/>
              </w:rPr>
            </w:pPr>
            <w:r>
              <w:rPr>
                <w:noProof/>
              </w:rPr>
              <w:t>2</w:t>
            </w:r>
          </w:p>
        </w:tc>
        <w:tc>
          <w:tcPr>
            <w:tcW w:w="1276" w:type="dxa"/>
          </w:tcPr>
          <w:p>
            <w:pPr>
              <w:jc w:val="right"/>
              <w:rPr>
                <w:noProof/>
              </w:rPr>
            </w:pPr>
            <w:r>
              <w:rPr>
                <w:noProof/>
              </w:rPr>
              <w:t>0</w:t>
            </w:r>
          </w:p>
        </w:tc>
        <w:tc>
          <w:tcPr>
            <w:tcW w:w="1463" w:type="dxa"/>
          </w:tcPr>
          <w:p>
            <w:pPr>
              <w:jc w:val="right"/>
              <w:rPr>
                <w:noProof/>
              </w:rPr>
            </w:pPr>
            <w:r>
              <w:rPr>
                <w:noProof/>
              </w:rPr>
              <w:t>3</w:t>
            </w:r>
          </w:p>
        </w:tc>
        <w:tc>
          <w:tcPr>
            <w:tcW w:w="2426" w:type="dxa"/>
            <w:vAlign w:val="bottom"/>
          </w:tcPr>
          <w:p>
            <w:pPr>
              <w:jc w:val="right"/>
              <w:rPr>
                <w:noProof/>
              </w:rPr>
            </w:pPr>
            <w:r>
              <w:rPr>
                <w:noProof/>
              </w:rPr>
              <w:t>0.25%</w:t>
            </w:r>
          </w:p>
        </w:tc>
      </w:tr>
      <w:tr>
        <w:tc>
          <w:tcPr>
            <w:tcW w:w="1679" w:type="dxa"/>
            <w:shd w:val="clear" w:color="auto" w:fill="DBE5F1" w:themeFill="accent1" w:themeFillTint="33"/>
          </w:tcPr>
          <w:p>
            <w:pPr>
              <w:jc w:val="center"/>
              <w:rPr>
                <w:b/>
                <w:bCs/>
                <w:noProof/>
              </w:rPr>
            </w:pPr>
            <w:r>
              <w:rPr>
                <w:b/>
                <w:bCs/>
                <w:noProof/>
              </w:rPr>
              <w:t>IT</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w:t>
            </w:r>
          </w:p>
        </w:tc>
      </w:tr>
      <w:tr>
        <w:tc>
          <w:tcPr>
            <w:tcW w:w="1679" w:type="dxa"/>
            <w:shd w:val="clear" w:color="auto" w:fill="DBE5F1" w:themeFill="accent1" w:themeFillTint="33"/>
          </w:tcPr>
          <w:p>
            <w:pPr>
              <w:jc w:val="center"/>
              <w:rPr>
                <w:b/>
                <w:bCs/>
                <w:noProof/>
              </w:rPr>
            </w:pPr>
            <w:r>
              <w:rPr>
                <w:b/>
                <w:bCs/>
                <w:noProof/>
              </w:rPr>
              <w:t>CY</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w:t>
            </w:r>
          </w:p>
        </w:tc>
      </w:tr>
      <w:tr>
        <w:tc>
          <w:tcPr>
            <w:tcW w:w="1679" w:type="dxa"/>
            <w:shd w:val="clear" w:color="auto" w:fill="DBE5F1" w:themeFill="accent1" w:themeFillTint="33"/>
          </w:tcPr>
          <w:p>
            <w:pPr>
              <w:jc w:val="center"/>
              <w:rPr>
                <w:b/>
                <w:bCs/>
                <w:noProof/>
              </w:rPr>
            </w:pPr>
            <w:r>
              <w:rPr>
                <w:b/>
                <w:bCs/>
                <w:noProof/>
              </w:rPr>
              <w:t>LV</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w:t>
            </w:r>
          </w:p>
        </w:tc>
      </w:tr>
      <w:tr>
        <w:tc>
          <w:tcPr>
            <w:tcW w:w="1679" w:type="dxa"/>
            <w:shd w:val="clear" w:color="auto" w:fill="DBE5F1" w:themeFill="accent1" w:themeFillTint="33"/>
          </w:tcPr>
          <w:p>
            <w:pPr>
              <w:jc w:val="center"/>
              <w:rPr>
                <w:b/>
                <w:bCs/>
                <w:noProof/>
              </w:rPr>
            </w:pPr>
            <w:r>
              <w:rPr>
                <w:b/>
                <w:bCs/>
                <w:noProof/>
              </w:rPr>
              <w:t>LT</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w:t>
            </w:r>
          </w:p>
        </w:tc>
      </w:tr>
      <w:tr>
        <w:tc>
          <w:tcPr>
            <w:tcW w:w="1679" w:type="dxa"/>
            <w:shd w:val="clear" w:color="auto" w:fill="DBE5F1" w:themeFill="accent1" w:themeFillTint="33"/>
          </w:tcPr>
          <w:p>
            <w:pPr>
              <w:jc w:val="center"/>
              <w:rPr>
                <w:b/>
                <w:bCs/>
                <w:noProof/>
              </w:rPr>
            </w:pPr>
            <w:r>
              <w:rPr>
                <w:b/>
                <w:bCs/>
                <w:noProof/>
              </w:rPr>
              <w:t>LU</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w:t>
            </w:r>
          </w:p>
        </w:tc>
      </w:tr>
      <w:tr>
        <w:tc>
          <w:tcPr>
            <w:tcW w:w="1679" w:type="dxa"/>
            <w:shd w:val="clear" w:color="auto" w:fill="DBE5F1" w:themeFill="accent1" w:themeFillTint="33"/>
          </w:tcPr>
          <w:p>
            <w:pPr>
              <w:jc w:val="center"/>
              <w:rPr>
                <w:b/>
                <w:bCs/>
                <w:noProof/>
              </w:rPr>
            </w:pPr>
            <w:r>
              <w:rPr>
                <w:b/>
                <w:bCs/>
                <w:noProof/>
              </w:rPr>
              <w:t>HU</w:t>
            </w:r>
          </w:p>
        </w:tc>
        <w:tc>
          <w:tcPr>
            <w:tcW w:w="1123" w:type="dxa"/>
          </w:tcPr>
          <w:p>
            <w:pPr>
              <w:jc w:val="right"/>
              <w:rPr>
                <w:noProof/>
              </w:rPr>
            </w:pPr>
            <w:r>
              <w:rPr>
                <w:noProof/>
              </w:rPr>
              <w:t>0</w:t>
            </w:r>
          </w:p>
        </w:tc>
        <w:tc>
          <w:tcPr>
            <w:tcW w:w="1275" w:type="dxa"/>
          </w:tcPr>
          <w:p>
            <w:pPr>
              <w:jc w:val="right"/>
              <w:rPr>
                <w:noProof/>
              </w:rPr>
            </w:pPr>
            <w:r>
              <w:rPr>
                <w:noProof/>
              </w:rPr>
              <w:t>4</w:t>
            </w:r>
          </w:p>
        </w:tc>
        <w:tc>
          <w:tcPr>
            <w:tcW w:w="1276" w:type="dxa"/>
          </w:tcPr>
          <w:p>
            <w:pPr>
              <w:jc w:val="right"/>
              <w:rPr>
                <w:noProof/>
              </w:rPr>
            </w:pPr>
            <w:r>
              <w:rPr>
                <w:noProof/>
              </w:rPr>
              <w:t>9</w:t>
            </w:r>
          </w:p>
        </w:tc>
        <w:tc>
          <w:tcPr>
            <w:tcW w:w="1463" w:type="dxa"/>
          </w:tcPr>
          <w:p>
            <w:pPr>
              <w:jc w:val="right"/>
              <w:rPr>
                <w:noProof/>
              </w:rPr>
            </w:pPr>
            <w:r>
              <w:rPr>
                <w:noProof/>
              </w:rPr>
              <w:t>13</w:t>
            </w:r>
          </w:p>
        </w:tc>
        <w:tc>
          <w:tcPr>
            <w:tcW w:w="2426" w:type="dxa"/>
            <w:vAlign w:val="bottom"/>
          </w:tcPr>
          <w:p>
            <w:pPr>
              <w:jc w:val="right"/>
              <w:rPr>
                <w:noProof/>
              </w:rPr>
            </w:pPr>
            <w:r>
              <w:rPr>
                <w:noProof/>
              </w:rPr>
              <w:t>1.08%</w:t>
            </w:r>
          </w:p>
        </w:tc>
      </w:tr>
      <w:tr>
        <w:tc>
          <w:tcPr>
            <w:tcW w:w="1679" w:type="dxa"/>
            <w:shd w:val="clear" w:color="auto" w:fill="DBE5F1" w:themeFill="accent1" w:themeFillTint="33"/>
          </w:tcPr>
          <w:p>
            <w:pPr>
              <w:jc w:val="center"/>
              <w:rPr>
                <w:b/>
                <w:bCs/>
                <w:noProof/>
              </w:rPr>
            </w:pPr>
            <w:r>
              <w:rPr>
                <w:b/>
                <w:bCs/>
                <w:noProof/>
              </w:rPr>
              <w:t>MT</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w:t>
            </w:r>
          </w:p>
        </w:tc>
      </w:tr>
      <w:tr>
        <w:tc>
          <w:tcPr>
            <w:tcW w:w="1679" w:type="dxa"/>
            <w:shd w:val="clear" w:color="auto" w:fill="DBE5F1" w:themeFill="accent1" w:themeFillTint="33"/>
          </w:tcPr>
          <w:p>
            <w:pPr>
              <w:jc w:val="center"/>
              <w:rPr>
                <w:b/>
                <w:bCs/>
                <w:noProof/>
              </w:rPr>
            </w:pPr>
            <w:r>
              <w:rPr>
                <w:b/>
                <w:bCs/>
                <w:noProof/>
              </w:rPr>
              <w:t>NL</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w:t>
            </w:r>
          </w:p>
        </w:tc>
      </w:tr>
      <w:tr>
        <w:tc>
          <w:tcPr>
            <w:tcW w:w="1679" w:type="dxa"/>
            <w:shd w:val="clear" w:color="auto" w:fill="DBE5F1" w:themeFill="accent1" w:themeFillTint="33"/>
          </w:tcPr>
          <w:p>
            <w:pPr>
              <w:jc w:val="center"/>
              <w:rPr>
                <w:b/>
                <w:bCs/>
                <w:noProof/>
              </w:rPr>
            </w:pPr>
            <w:r>
              <w:rPr>
                <w:b/>
                <w:bCs/>
                <w:noProof/>
              </w:rPr>
              <w:t>AT</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w:t>
            </w:r>
          </w:p>
        </w:tc>
      </w:tr>
      <w:tr>
        <w:tc>
          <w:tcPr>
            <w:tcW w:w="1679" w:type="dxa"/>
            <w:shd w:val="clear" w:color="auto" w:fill="DBE5F1" w:themeFill="accent1" w:themeFillTint="33"/>
          </w:tcPr>
          <w:p>
            <w:pPr>
              <w:jc w:val="center"/>
              <w:rPr>
                <w:b/>
                <w:bCs/>
                <w:noProof/>
              </w:rPr>
            </w:pPr>
            <w:r>
              <w:rPr>
                <w:b/>
                <w:bCs/>
                <w:noProof/>
              </w:rPr>
              <w:t>PL</w:t>
            </w:r>
          </w:p>
        </w:tc>
        <w:tc>
          <w:tcPr>
            <w:tcW w:w="1123" w:type="dxa"/>
          </w:tcPr>
          <w:p>
            <w:pPr>
              <w:jc w:val="right"/>
              <w:rPr>
                <w:noProof/>
              </w:rPr>
            </w:pPr>
            <w:r>
              <w:rPr>
                <w:noProof/>
              </w:rPr>
              <w:t>6</w:t>
            </w:r>
          </w:p>
        </w:tc>
        <w:tc>
          <w:tcPr>
            <w:tcW w:w="1275" w:type="dxa"/>
          </w:tcPr>
          <w:p>
            <w:pPr>
              <w:jc w:val="right"/>
              <w:rPr>
                <w:noProof/>
              </w:rPr>
            </w:pPr>
            <w:r>
              <w:rPr>
                <w:noProof/>
              </w:rPr>
              <w:t>3</w:t>
            </w:r>
          </w:p>
        </w:tc>
        <w:tc>
          <w:tcPr>
            <w:tcW w:w="1276" w:type="dxa"/>
          </w:tcPr>
          <w:p>
            <w:pPr>
              <w:jc w:val="right"/>
              <w:rPr>
                <w:noProof/>
              </w:rPr>
            </w:pPr>
            <w:r>
              <w:rPr>
                <w:noProof/>
              </w:rPr>
              <w:t>4</w:t>
            </w:r>
          </w:p>
        </w:tc>
        <w:tc>
          <w:tcPr>
            <w:tcW w:w="1463" w:type="dxa"/>
          </w:tcPr>
          <w:p>
            <w:pPr>
              <w:jc w:val="right"/>
              <w:rPr>
                <w:noProof/>
              </w:rPr>
            </w:pPr>
            <w:r>
              <w:rPr>
                <w:noProof/>
              </w:rPr>
              <w:t>13</w:t>
            </w:r>
          </w:p>
        </w:tc>
        <w:tc>
          <w:tcPr>
            <w:tcW w:w="2426" w:type="dxa"/>
            <w:vAlign w:val="bottom"/>
          </w:tcPr>
          <w:p>
            <w:pPr>
              <w:jc w:val="right"/>
              <w:rPr>
                <w:noProof/>
              </w:rPr>
            </w:pPr>
            <w:r>
              <w:rPr>
                <w:noProof/>
              </w:rPr>
              <w:t>1.08%</w:t>
            </w:r>
          </w:p>
        </w:tc>
      </w:tr>
      <w:tr>
        <w:tc>
          <w:tcPr>
            <w:tcW w:w="1679" w:type="dxa"/>
            <w:shd w:val="clear" w:color="auto" w:fill="DBE5F1" w:themeFill="accent1" w:themeFillTint="33"/>
          </w:tcPr>
          <w:p>
            <w:pPr>
              <w:jc w:val="center"/>
              <w:rPr>
                <w:b/>
                <w:bCs/>
                <w:noProof/>
              </w:rPr>
            </w:pPr>
            <w:r>
              <w:rPr>
                <w:b/>
                <w:bCs/>
                <w:noProof/>
              </w:rPr>
              <w:t>PT</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w:t>
            </w:r>
          </w:p>
        </w:tc>
      </w:tr>
      <w:tr>
        <w:tc>
          <w:tcPr>
            <w:tcW w:w="1679" w:type="dxa"/>
            <w:shd w:val="clear" w:color="auto" w:fill="DBE5F1" w:themeFill="accent1" w:themeFillTint="33"/>
          </w:tcPr>
          <w:p>
            <w:pPr>
              <w:jc w:val="center"/>
              <w:rPr>
                <w:b/>
                <w:bCs/>
                <w:noProof/>
              </w:rPr>
            </w:pPr>
            <w:r>
              <w:rPr>
                <w:b/>
                <w:bCs/>
                <w:noProof/>
              </w:rPr>
              <w:t>RO</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w:t>
            </w:r>
          </w:p>
        </w:tc>
      </w:tr>
      <w:tr>
        <w:tc>
          <w:tcPr>
            <w:tcW w:w="1679" w:type="dxa"/>
            <w:shd w:val="clear" w:color="auto" w:fill="DBE5F1" w:themeFill="accent1" w:themeFillTint="33"/>
          </w:tcPr>
          <w:p>
            <w:pPr>
              <w:jc w:val="center"/>
              <w:rPr>
                <w:b/>
                <w:bCs/>
                <w:noProof/>
              </w:rPr>
            </w:pPr>
            <w:r>
              <w:rPr>
                <w:b/>
                <w:bCs/>
                <w:noProof/>
              </w:rPr>
              <w:t>SI</w:t>
            </w:r>
          </w:p>
        </w:tc>
        <w:tc>
          <w:tcPr>
            <w:tcW w:w="1123" w:type="dxa"/>
          </w:tcPr>
          <w:p>
            <w:pPr>
              <w:jc w:val="right"/>
              <w:rPr>
                <w:noProof/>
              </w:rPr>
            </w:pPr>
            <w:r>
              <w:rPr>
                <w:noProof/>
              </w:rPr>
              <w:t>16</w:t>
            </w:r>
          </w:p>
        </w:tc>
        <w:tc>
          <w:tcPr>
            <w:tcW w:w="1275" w:type="dxa"/>
          </w:tcPr>
          <w:p>
            <w:pPr>
              <w:jc w:val="right"/>
              <w:rPr>
                <w:noProof/>
              </w:rPr>
            </w:pPr>
            <w:r>
              <w:rPr>
                <w:noProof/>
              </w:rPr>
              <w:t>22</w:t>
            </w:r>
          </w:p>
        </w:tc>
        <w:tc>
          <w:tcPr>
            <w:tcW w:w="1276" w:type="dxa"/>
          </w:tcPr>
          <w:p>
            <w:pPr>
              <w:jc w:val="right"/>
              <w:rPr>
                <w:noProof/>
              </w:rPr>
            </w:pPr>
            <w:r>
              <w:rPr>
                <w:noProof/>
              </w:rPr>
              <w:t>31</w:t>
            </w:r>
          </w:p>
        </w:tc>
        <w:tc>
          <w:tcPr>
            <w:tcW w:w="1463" w:type="dxa"/>
          </w:tcPr>
          <w:p>
            <w:pPr>
              <w:jc w:val="right"/>
              <w:rPr>
                <w:noProof/>
              </w:rPr>
            </w:pPr>
            <w:r>
              <w:rPr>
                <w:noProof/>
              </w:rPr>
              <w:t>69</w:t>
            </w:r>
          </w:p>
        </w:tc>
        <w:tc>
          <w:tcPr>
            <w:tcW w:w="2426" w:type="dxa"/>
            <w:vAlign w:val="bottom"/>
          </w:tcPr>
          <w:p>
            <w:pPr>
              <w:jc w:val="right"/>
              <w:rPr>
                <w:noProof/>
              </w:rPr>
            </w:pPr>
            <w:r>
              <w:rPr>
                <w:noProof/>
              </w:rPr>
              <w:t>5.72%</w:t>
            </w:r>
          </w:p>
        </w:tc>
      </w:tr>
      <w:tr>
        <w:tc>
          <w:tcPr>
            <w:tcW w:w="1679" w:type="dxa"/>
            <w:shd w:val="clear" w:color="auto" w:fill="DBE5F1" w:themeFill="accent1" w:themeFillTint="33"/>
          </w:tcPr>
          <w:p>
            <w:pPr>
              <w:jc w:val="center"/>
              <w:rPr>
                <w:b/>
                <w:bCs/>
                <w:noProof/>
              </w:rPr>
            </w:pPr>
            <w:r>
              <w:rPr>
                <w:b/>
                <w:bCs/>
                <w:noProof/>
              </w:rPr>
              <w:t>SK</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w:t>
            </w:r>
          </w:p>
        </w:tc>
      </w:tr>
      <w:tr>
        <w:tc>
          <w:tcPr>
            <w:tcW w:w="1679" w:type="dxa"/>
            <w:shd w:val="clear" w:color="auto" w:fill="DBE5F1" w:themeFill="accent1" w:themeFillTint="33"/>
          </w:tcPr>
          <w:p>
            <w:pPr>
              <w:jc w:val="center"/>
              <w:rPr>
                <w:b/>
                <w:bCs/>
                <w:noProof/>
              </w:rPr>
            </w:pPr>
            <w:r>
              <w:rPr>
                <w:b/>
                <w:bCs/>
                <w:noProof/>
              </w:rPr>
              <w:t>FI</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w:t>
            </w:r>
          </w:p>
        </w:tc>
      </w:tr>
      <w:tr>
        <w:tc>
          <w:tcPr>
            <w:tcW w:w="1679" w:type="dxa"/>
            <w:shd w:val="clear" w:color="auto" w:fill="DBE5F1" w:themeFill="accent1" w:themeFillTint="33"/>
          </w:tcPr>
          <w:p>
            <w:pPr>
              <w:jc w:val="center"/>
              <w:rPr>
                <w:b/>
                <w:bCs/>
                <w:noProof/>
              </w:rPr>
            </w:pPr>
            <w:r>
              <w:rPr>
                <w:b/>
                <w:bCs/>
                <w:noProof/>
              </w:rPr>
              <w:t>SE</w:t>
            </w:r>
          </w:p>
        </w:tc>
        <w:tc>
          <w:tcPr>
            <w:tcW w:w="1123" w:type="dxa"/>
          </w:tcPr>
          <w:p>
            <w:pPr>
              <w:jc w:val="right"/>
              <w:rPr>
                <w:noProof/>
              </w:rPr>
            </w:pPr>
            <w:r>
              <w:rPr>
                <w:noProof/>
              </w:rPr>
              <w:t>9</w:t>
            </w:r>
          </w:p>
        </w:tc>
        <w:tc>
          <w:tcPr>
            <w:tcW w:w="1275" w:type="dxa"/>
          </w:tcPr>
          <w:p>
            <w:pPr>
              <w:jc w:val="right"/>
              <w:rPr>
                <w:noProof/>
              </w:rPr>
            </w:pPr>
            <w:r>
              <w:rPr>
                <w:noProof/>
              </w:rPr>
              <w:t>9</w:t>
            </w:r>
          </w:p>
        </w:tc>
        <w:tc>
          <w:tcPr>
            <w:tcW w:w="1276" w:type="dxa"/>
          </w:tcPr>
          <w:p>
            <w:pPr>
              <w:jc w:val="right"/>
              <w:rPr>
                <w:noProof/>
              </w:rPr>
            </w:pPr>
            <w:r>
              <w:rPr>
                <w:noProof/>
              </w:rPr>
              <w:t>7</w:t>
            </w:r>
          </w:p>
        </w:tc>
        <w:tc>
          <w:tcPr>
            <w:tcW w:w="1463" w:type="dxa"/>
          </w:tcPr>
          <w:p>
            <w:pPr>
              <w:jc w:val="right"/>
              <w:rPr>
                <w:noProof/>
              </w:rPr>
            </w:pPr>
            <w:r>
              <w:rPr>
                <w:noProof/>
              </w:rPr>
              <w:t>25</w:t>
            </w:r>
          </w:p>
        </w:tc>
        <w:tc>
          <w:tcPr>
            <w:tcW w:w="2426" w:type="dxa"/>
            <w:vAlign w:val="bottom"/>
          </w:tcPr>
          <w:p>
            <w:pPr>
              <w:jc w:val="right"/>
              <w:rPr>
                <w:noProof/>
              </w:rPr>
            </w:pPr>
            <w:r>
              <w:rPr>
                <w:noProof/>
              </w:rPr>
              <w:t>2.07%</w:t>
            </w:r>
          </w:p>
        </w:tc>
      </w:tr>
      <w:tr>
        <w:tc>
          <w:tcPr>
            <w:tcW w:w="1679" w:type="dxa"/>
            <w:shd w:val="clear" w:color="auto" w:fill="DBE5F1" w:themeFill="accent1" w:themeFillTint="33"/>
          </w:tcPr>
          <w:p>
            <w:pPr>
              <w:jc w:val="center"/>
              <w:rPr>
                <w:b/>
                <w:bCs/>
                <w:noProof/>
              </w:rPr>
            </w:pPr>
            <w:r>
              <w:rPr>
                <w:b/>
                <w:bCs/>
                <w:noProof/>
              </w:rPr>
              <w:t>Total</w:t>
            </w:r>
          </w:p>
        </w:tc>
        <w:tc>
          <w:tcPr>
            <w:tcW w:w="1123" w:type="dxa"/>
          </w:tcPr>
          <w:p>
            <w:pPr>
              <w:jc w:val="right"/>
              <w:rPr>
                <w:noProof/>
              </w:rPr>
            </w:pPr>
            <w:r>
              <w:rPr>
                <w:noProof/>
              </w:rPr>
              <w:t>381</w:t>
            </w:r>
          </w:p>
        </w:tc>
        <w:tc>
          <w:tcPr>
            <w:tcW w:w="1275" w:type="dxa"/>
          </w:tcPr>
          <w:p>
            <w:pPr>
              <w:jc w:val="right"/>
              <w:rPr>
                <w:noProof/>
              </w:rPr>
            </w:pPr>
            <w:r>
              <w:rPr>
                <w:noProof/>
              </w:rPr>
              <w:t>419</w:t>
            </w:r>
          </w:p>
        </w:tc>
        <w:tc>
          <w:tcPr>
            <w:tcW w:w="1276" w:type="dxa"/>
          </w:tcPr>
          <w:p>
            <w:pPr>
              <w:jc w:val="right"/>
              <w:rPr>
                <w:noProof/>
              </w:rPr>
            </w:pPr>
            <w:r>
              <w:rPr>
                <w:noProof/>
              </w:rPr>
              <w:t>407</w:t>
            </w:r>
          </w:p>
        </w:tc>
        <w:tc>
          <w:tcPr>
            <w:tcW w:w="1463" w:type="dxa"/>
          </w:tcPr>
          <w:p>
            <w:pPr>
              <w:jc w:val="right"/>
              <w:rPr>
                <w:noProof/>
              </w:rPr>
            </w:pPr>
            <w:r>
              <w:rPr>
                <w:noProof/>
              </w:rPr>
              <w:t>1207</w:t>
            </w:r>
          </w:p>
        </w:tc>
        <w:tc>
          <w:tcPr>
            <w:tcW w:w="2426" w:type="dxa"/>
            <w:vAlign w:val="bottom"/>
          </w:tcPr>
          <w:p>
            <w:pPr>
              <w:jc w:val="right"/>
              <w:rPr>
                <w:noProof/>
              </w:rPr>
            </w:pPr>
            <w:r>
              <w:rPr>
                <w:noProof/>
              </w:rPr>
              <w:t>100.00%</w:t>
            </w:r>
          </w:p>
        </w:tc>
      </w:tr>
    </w:tbl>
    <w:p>
      <w:pPr>
        <w:rPr>
          <w:bCs/>
          <w:noProof/>
        </w:rPr>
      </w:pPr>
      <w:r>
        <w:rPr>
          <w:bCs/>
          <w:noProof/>
        </w:rPr>
        <w:br w:type="page"/>
      </w:r>
    </w:p>
    <w:p>
      <w:pPr>
        <w:rPr>
          <w:noProof/>
        </w:rPr>
      </w:pPr>
      <w:r>
        <w:rPr>
          <w:noProof/>
        </w:rPr>
        <w:lastRenderedPageBreak/>
        <w:t>Table 4. Applications for Standard Licences rejected</w:t>
      </w:r>
    </w:p>
    <w:p>
      <w:pPr>
        <w:rPr>
          <w:noProof/>
          <w:sz w:val="22"/>
          <w:szCs w:val="22"/>
        </w:rPr>
      </w:pPr>
    </w:p>
    <w:tbl>
      <w:tblPr>
        <w:tblStyle w:val="TableGrid"/>
        <w:tblW w:w="0" w:type="auto"/>
        <w:tblLook w:val="04A0" w:firstRow="1" w:lastRow="0" w:firstColumn="1" w:lastColumn="0" w:noHBand="0" w:noVBand="1"/>
      </w:tblPr>
      <w:tblGrid>
        <w:gridCol w:w="1679"/>
        <w:gridCol w:w="1123"/>
        <w:gridCol w:w="1275"/>
        <w:gridCol w:w="1276"/>
        <w:gridCol w:w="1463"/>
        <w:gridCol w:w="2426"/>
      </w:tblGrid>
      <w:tr>
        <w:tc>
          <w:tcPr>
            <w:tcW w:w="1679" w:type="dxa"/>
            <w:vMerge w:val="restart"/>
            <w:shd w:val="clear" w:color="auto" w:fill="DBE5F1" w:themeFill="accent1" w:themeFillTint="33"/>
            <w:vAlign w:val="center"/>
          </w:tcPr>
          <w:p>
            <w:pPr>
              <w:jc w:val="center"/>
              <w:rPr>
                <w:b/>
                <w:bCs/>
                <w:noProof/>
              </w:rPr>
            </w:pPr>
            <w:r>
              <w:rPr>
                <w:b/>
                <w:bCs/>
                <w:noProof/>
              </w:rPr>
              <w:t>Member States</w:t>
            </w:r>
          </w:p>
        </w:tc>
        <w:tc>
          <w:tcPr>
            <w:tcW w:w="3674" w:type="dxa"/>
            <w:gridSpan w:val="3"/>
            <w:shd w:val="clear" w:color="auto" w:fill="DBE5F1" w:themeFill="accent1" w:themeFillTint="33"/>
            <w:vAlign w:val="center"/>
          </w:tcPr>
          <w:p>
            <w:pPr>
              <w:jc w:val="center"/>
              <w:rPr>
                <w:b/>
                <w:bCs/>
                <w:noProof/>
              </w:rPr>
            </w:pPr>
            <w:r>
              <w:rPr>
                <w:b/>
                <w:bCs/>
                <w:noProof/>
              </w:rPr>
              <w:t>Year</w:t>
            </w:r>
          </w:p>
        </w:tc>
        <w:tc>
          <w:tcPr>
            <w:tcW w:w="1463" w:type="dxa"/>
            <w:vMerge w:val="restart"/>
            <w:shd w:val="clear" w:color="auto" w:fill="DBE5F1" w:themeFill="accent1" w:themeFillTint="33"/>
            <w:vAlign w:val="center"/>
          </w:tcPr>
          <w:p>
            <w:pPr>
              <w:jc w:val="center"/>
              <w:rPr>
                <w:b/>
                <w:bCs/>
                <w:noProof/>
              </w:rPr>
            </w:pPr>
            <w:r>
              <w:rPr>
                <w:b/>
                <w:bCs/>
                <w:noProof/>
              </w:rPr>
              <w:t>2021-2023</w:t>
            </w:r>
          </w:p>
        </w:tc>
        <w:tc>
          <w:tcPr>
            <w:tcW w:w="2426" w:type="dxa"/>
            <w:vMerge w:val="restart"/>
            <w:shd w:val="clear" w:color="auto" w:fill="DBE5F1" w:themeFill="accent1" w:themeFillTint="33"/>
            <w:vAlign w:val="center"/>
          </w:tcPr>
          <w:p>
            <w:pPr>
              <w:jc w:val="center"/>
              <w:rPr>
                <w:b/>
                <w:bCs/>
                <w:noProof/>
              </w:rPr>
            </w:pPr>
            <w:r>
              <w:rPr>
                <w:b/>
                <w:bCs/>
                <w:noProof/>
              </w:rPr>
              <w:t>Share of total in %</w:t>
            </w:r>
          </w:p>
        </w:tc>
      </w:tr>
      <w:tr>
        <w:tc>
          <w:tcPr>
            <w:tcW w:w="1679" w:type="dxa"/>
            <w:vMerge/>
            <w:shd w:val="clear" w:color="auto" w:fill="DBE5F1" w:themeFill="accent1" w:themeFillTint="33"/>
          </w:tcPr>
          <w:p>
            <w:pPr>
              <w:rPr>
                <w:b/>
                <w:bCs/>
                <w:noProof/>
              </w:rPr>
            </w:pPr>
          </w:p>
        </w:tc>
        <w:tc>
          <w:tcPr>
            <w:tcW w:w="1123" w:type="dxa"/>
            <w:shd w:val="clear" w:color="auto" w:fill="DBE5F1" w:themeFill="accent1" w:themeFillTint="33"/>
          </w:tcPr>
          <w:p>
            <w:pPr>
              <w:jc w:val="center"/>
              <w:rPr>
                <w:b/>
                <w:bCs/>
                <w:noProof/>
              </w:rPr>
            </w:pPr>
            <w:r>
              <w:rPr>
                <w:b/>
                <w:bCs/>
                <w:noProof/>
              </w:rPr>
              <w:t>2021</w:t>
            </w:r>
          </w:p>
        </w:tc>
        <w:tc>
          <w:tcPr>
            <w:tcW w:w="1275" w:type="dxa"/>
            <w:shd w:val="clear" w:color="auto" w:fill="DBE5F1" w:themeFill="accent1" w:themeFillTint="33"/>
          </w:tcPr>
          <w:p>
            <w:pPr>
              <w:jc w:val="center"/>
              <w:rPr>
                <w:b/>
                <w:bCs/>
                <w:noProof/>
              </w:rPr>
            </w:pPr>
            <w:r>
              <w:rPr>
                <w:b/>
                <w:bCs/>
                <w:noProof/>
              </w:rPr>
              <w:t>2022</w:t>
            </w:r>
          </w:p>
        </w:tc>
        <w:tc>
          <w:tcPr>
            <w:tcW w:w="1276" w:type="dxa"/>
            <w:shd w:val="clear" w:color="auto" w:fill="DBE5F1" w:themeFill="accent1" w:themeFillTint="33"/>
          </w:tcPr>
          <w:p>
            <w:pPr>
              <w:jc w:val="center"/>
              <w:rPr>
                <w:b/>
                <w:bCs/>
                <w:noProof/>
              </w:rPr>
            </w:pPr>
            <w:r>
              <w:rPr>
                <w:b/>
                <w:bCs/>
                <w:noProof/>
              </w:rPr>
              <w:t>2023</w:t>
            </w:r>
          </w:p>
        </w:tc>
        <w:tc>
          <w:tcPr>
            <w:tcW w:w="1463" w:type="dxa"/>
            <w:vMerge/>
          </w:tcPr>
          <w:p>
            <w:pPr>
              <w:rPr>
                <w:noProof/>
              </w:rPr>
            </w:pPr>
          </w:p>
        </w:tc>
        <w:tc>
          <w:tcPr>
            <w:tcW w:w="2426" w:type="dxa"/>
            <w:vMerge/>
          </w:tcPr>
          <w:p>
            <w:pPr>
              <w:rPr>
                <w:noProof/>
              </w:rPr>
            </w:pPr>
          </w:p>
        </w:tc>
      </w:tr>
      <w:tr>
        <w:tc>
          <w:tcPr>
            <w:tcW w:w="1679" w:type="dxa"/>
            <w:shd w:val="clear" w:color="auto" w:fill="DBE5F1" w:themeFill="accent1" w:themeFillTint="33"/>
          </w:tcPr>
          <w:p>
            <w:pPr>
              <w:jc w:val="center"/>
              <w:rPr>
                <w:b/>
                <w:bCs/>
                <w:noProof/>
              </w:rPr>
            </w:pPr>
            <w:r>
              <w:rPr>
                <w:b/>
                <w:bCs/>
                <w:noProof/>
              </w:rPr>
              <w:t>BE</w:t>
            </w:r>
          </w:p>
        </w:tc>
        <w:tc>
          <w:tcPr>
            <w:tcW w:w="1123" w:type="dxa"/>
          </w:tcPr>
          <w:p>
            <w:pPr>
              <w:jc w:val="right"/>
              <w:rPr>
                <w:noProof/>
              </w:rPr>
            </w:pPr>
            <w:r>
              <w:rPr>
                <w:noProof/>
              </w:rPr>
              <w:t>1</w:t>
            </w:r>
          </w:p>
        </w:tc>
        <w:tc>
          <w:tcPr>
            <w:tcW w:w="1275" w:type="dxa"/>
          </w:tcPr>
          <w:p>
            <w:pPr>
              <w:jc w:val="right"/>
              <w:rPr>
                <w:noProof/>
              </w:rPr>
            </w:pPr>
            <w:r>
              <w:rPr>
                <w:noProof/>
              </w:rPr>
              <w:t>2</w:t>
            </w:r>
          </w:p>
        </w:tc>
        <w:tc>
          <w:tcPr>
            <w:tcW w:w="1276" w:type="dxa"/>
          </w:tcPr>
          <w:p>
            <w:pPr>
              <w:jc w:val="right"/>
              <w:rPr>
                <w:noProof/>
              </w:rPr>
            </w:pPr>
            <w:r>
              <w:rPr>
                <w:noProof/>
              </w:rPr>
              <w:t>2</w:t>
            </w:r>
          </w:p>
        </w:tc>
        <w:tc>
          <w:tcPr>
            <w:tcW w:w="1463" w:type="dxa"/>
          </w:tcPr>
          <w:p>
            <w:pPr>
              <w:jc w:val="right"/>
              <w:rPr>
                <w:noProof/>
              </w:rPr>
            </w:pPr>
            <w:r>
              <w:rPr>
                <w:noProof/>
              </w:rPr>
              <w:t>5</w:t>
            </w:r>
          </w:p>
        </w:tc>
        <w:tc>
          <w:tcPr>
            <w:tcW w:w="2426" w:type="dxa"/>
            <w:vAlign w:val="bottom"/>
          </w:tcPr>
          <w:p>
            <w:pPr>
              <w:jc w:val="right"/>
              <w:rPr>
                <w:noProof/>
              </w:rPr>
            </w:pPr>
            <w:r>
              <w:rPr>
                <w:noProof/>
              </w:rPr>
              <w:t>0.99%</w:t>
            </w:r>
          </w:p>
        </w:tc>
      </w:tr>
      <w:tr>
        <w:tc>
          <w:tcPr>
            <w:tcW w:w="1679" w:type="dxa"/>
            <w:shd w:val="clear" w:color="auto" w:fill="DBE5F1" w:themeFill="accent1" w:themeFillTint="33"/>
          </w:tcPr>
          <w:p>
            <w:pPr>
              <w:jc w:val="center"/>
              <w:rPr>
                <w:b/>
                <w:bCs/>
                <w:noProof/>
              </w:rPr>
            </w:pPr>
            <w:r>
              <w:rPr>
                <w:b/>
                <w:bCs/>
                <w:noProof/>
              </w:rPr>
              <w:t>BG</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w:t>
            </w:r>
          </w:p>
        </w:tc>
      </w:tr>
      <w:tr>
        <w:tc>
          <w:tcPr>
            <w:tcW w:w="1679" w:type="dxa"/>
            <w:shd w:val="clear" w:color="auto" w:fill="DBE5F1" w:themeFill="accent1" w:themeFillTint="33"/>
          </w:tcPr>
          <w:p>
            <w:pPr>
              <w:jc w:val="center"/>
              <w:rPr>
                <w:b/>
                <w:bCs/>
                <w:noProof/>
              </w:rPr>
            </w:pPr>
            <w:r>
              <w:rPr>
                <w:b/>
                <w:bCs/>
                <w:noProof/>
              </w:rPr>
              <w:t>CZ</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w:t>
            </w:r>
          </w:p>
        </w:tc>
      </w:tr>
      <w:tr>
        <w:tc>
          <w:tcPr>
            <w:tcW w:w="1679" w:type="dxa"/>
            <w:shd w:val="clear" w:color="auto" w:fill="DBE5F1" w:themeFill="accent1" w:themeFillTint="33"/>
          </w:tcPr>
          <w:p>
            <w:pPr>
              <w:jc w:val="center"/>
              <w:rPr>
                <w:b/>
                <w:bCs/>
                <w:noProof/>
              </w:rPr>
            </w:pPr>
            <w:r>
              <w:rPr>
                <w:b/>
                <w:bCs/>
                <w:noProof/>
              </w:rPr>
              <w:t>DK</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w:t>
            </w:r>
          </w:p>
        </w:tc>
      </w:tr>
      <w:tr>
        <w:tc>
          <w:tcPr>
            <w:tcW w:w="1679" w:type="dxa"/>
            <w:shd w:val="clear" w:color="auto" w:fill="DBE5F1" w:themeFill="accent1" w:themeFillTint="33"/>
          </w:tcPr>
          <w:p>
            <w:pPr>
              <w:jc w:val="center"/>
              <w:rPr>
                <w:b/>
                <w:bCs/>
                <w:noProof/>
              </w:rPr>
            </w:pPr>
            <w:r>
              <w:rPr>
                <w:b/>
                <w:bCs/>
                <w:noProof/>
              </w:rPr>
              <w:t>DE</w:t>
            </w:r>
          </w:p>
        </w:tc>
        <w:tc>
          <w:tcPr>
            <w:tcW w:w="1123" w:type="dxa"/>
          </w:tcPr>
          <w:p>
            <w:pPr>
              <w:jc w:val="right"/>
              <w:rPr>
                <w:noProof/>
              </w:rPr>
            </w:pPr>
            <w:r>
              <w:rPr>
                <w:noProof/>
              </w:rPr>
              <w:t>3</w:t>
            </w:r>
          </w:p>
        </w:tc>
        <w:tc>
          <w:tcPr>
            <w:tcW w:w="1275" w:type="dxa"/>
          </w:tcPr>
          <w:p>
            <w:pPr>
              <w:jc w:val="right"/>
              <w:rPr>
                <w:noProof/>
              </w:rPr>
            </w:pPr>
            <w:r>
              <w:rPr>
                <w:noProof/>
              </w:rPr>
              <w:t>1</w:t>
            </w:r>
          </w:p>
        </w:tc>
        <w:tc>
          <w:tcPr>
            <w:tcW w:w="1276" w:type="dxa"/>
          </w:tcPr>
          <w:p>
            <w:pPr>
              <w:jc w:val="right"/>
              <w:rPr>
                <w:noProof/>
              </w:rPr>
            </w:pPr>
            <w:r>
              <w:rPr>
                <w:noProof/>
              </w:rPr>
              <w:t>1</w:t>
            </w:r>
          </w:p>
        </w:tc>
        <w:tc>
          <w:tcPr>
            <w:tcW w:w="1463" w:type="dxa"/>
          </w:tcPr>
          <w:p>
            <w:pPr>
              <w:jc w:val="right"/>
              <w:rPr>
                <w:noProof/>
              </w:rPr>
            </w:pPr>
            <w:r>
              <w:rPr>
                <w:noProof/>
              </w:rPr>
              <w:t>5</w:t>
            </w:r>
          </w:p>
        </w:tc>
        <w:tc>
          <w:tcPr>
            <w:tcW w:w="2426" w:type="dxa"/>
            <w:vAlign w:val="bottom"/>
          </w:tcPr>
          <w:p>
            <w:pPr>
              <w:jc w:val="right"/>
              <w:rPr>
                <w:noProof/>
              </w:rPr>
            </w:pPr>
            <w:r>
              <w:rPr>
                <w:noProof/>
              </w:rPr>
              <w:t>0.99%</w:t>
            </w:r>
          </w:p>
        </w:tc>
      </w:tr>
      <w:tr>
        <w:tc>
          <w:tcPr>
            <w:tcW w:w="1679" w:type="dxa"/>
            <w:shd w:val="clear" w:color="auto" w:fill="DBE5F1" w:themeFill="accent1" w:themeFillTint="33"/>
          </w:tcPr>
          <w:p>
            <w:pPr>
              <w:jc w:val="center"/>
              <w:rPr>
                <w:b/>
                <w:bCs/>
                <w:noProof/>
              </w:rPr>
            </w:pPr>
            <w:r>
              <w:rPr>
                <w:b/>
                <w:bCs/>
                <w:noProof/>
              </w:rPr>
              <w:t>EE</w:t>
            </w:r>
          </w:p>
        </w:tc>
        <w:tc>
          <w:tcPr>
            <w:tcW w:w="1123" w:type="dxa"/>
          </w:tcPr>
          <w:p>
            <w:pPr>
              <w:jc w:val="right"/>
              <w:rPr>
                <w:noProof/>
              </w:rPr>
            </w:pPr>
            <w:r>
              <w:rPr>
                <w:noProof/>
              </w:rPr>
              <w:t>0</w:t>
            </w:r>
          </w:p>
        </w:tc>
        <w:tc>
          <w:tcPr>
            <w:tcW w:w="1275" w:type="dxa"/>
          </w:tcPr>
          <w:p>
            <w:pPr>
              <w:jc w:val="right"/>
              <w:rPr>
                <w:noProof/>
              </w:rPr>
            </w:pPr>
            <w:r>
              <w:rPr>
                <w:noProof/>
              </w:rPr>
              <w:t>1</w:t>
            </w:r>
          </w:p>
        </w:tc>
        <w:tc>
          <w:tcPr>
            <w:tcW w:w="1276" w:type="dxa"/>
          </w:tcPr>
          <w:p>
            <w:pPr>
              <w:jc w:val="right"/>
              <w:rPr>
                <w:noProof/>
              </w:rPr>
            </w:pPr>
            <w:r>
              <w:rPr>
                <w:noProof/>
              </w:rPr>
              <w:t>1</w:t>
            </w:r>
          </w:p>
        </w:tc>
        <w:tc>
          <w:tcPr>
            <w:tcW w:w="1463" w:type="dxa"/>
          </w:tcPr>
          <w:p>
            <w:pPr>
              <w:jc w:val="right"/>
              <w:rPr>
                <w:noProof/>
              </w:rPr>
            </w:pPr>
            <w:r>
              <w:rPr>
                <w:noProof/>
              </w:rPr>
              <w:t>2</w:t>
            </w:r>
          </w:p>
        </w:tc>
        <w:tc>
          <w:tcPr>
            <w:tcW w:w="2426" w:type="dxa"/>
            <w:vAlign w:val="bottom"/>
          </w:tcPr>
          <w:p>
            <w:pPr>
              <w:jc w:val="right"/>
              <w:rPr>
                <w:noProof/>
              </w:rPr>
            </w:pPr>
            <w:r>
              <w:rPr>
                <w:noProof/>
              </w:rPr>
              <w:t>0.40%</w:t>
            </w:r>
          </w:p>
        </w:tc>
      </w:tr>
      <w:tr>
        <w:tc>
          <w:tcPr>
            <w:tcW w:w="1679" w:type="dxa"/>
            <w:shd w:val="clear" w:color="auto" w:fill="DBE5F1" w:themeFill="accent1" w:themeFillTint="33"/>
          </w:tcPr>
          <w:p>
            <w:pPr>
              <w:jc w:val="center"/>
              <w:rPr>
                <w:b/>
                <w:bCs/>
                <w:noProof/>
              </w:rPr>
            </w:pPr>
            <w:r>
              <w:rPr>
                <w:b/>
                <w:bCs/>
                <w:noProof/>
              </w:rPr>
              <w:t>IE</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w:t>
            </w:r>
          </w:p>
        </w:tc>
      </w:tr>
      <w:tr>
        <w:tc>
          <w:tcPr>
            <w:tcW w:w="1679" w:type="dxa"/>
            <w:shd w:val="clear" w:color="auto" w:fill="DBE5F1" w:themeFill="accent1" w:themeFillTint="33"/>
          </w:tcPr>
          <w:p>
            <w:pPr>
              <w:jc w:val="center"/>
              <w:rPr>
                <w:b/>
                <w:bCs/>
                <w:noProof/>
              </w:rPr>
            </w:pPr>
            <w:r>
              <w:rPr>
                <w:b/>
                <w:bCs/>
                <w:noProof/>
              </w:rPr>
              <w:t>EL</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w:t>
            </w:r>
          </w:p>
        </w:tc>
      </w:tr>
      <w:tr>
        <w:tc>
          <w:tcPr>
            <w:tcW w:w="1679" w:type="dxa"/>
            <w:shd w:val="clear" w:color="auto" w:fill="DBE5F1" w:themeFill="accent1" w:themeFillTint="33"/>
          </w:tcPr>
          <w:p>
            <w:pPr>
              <w:jc w:val="center"/>
              <w:rPr>
                <w:b/>
                <w:bCs/>
                <w:noProof/>
              </w:rPr>
            </w:pPr>
            <w:r>
              <w:rPr>
                <w:b/>
                <w:bCs/>
                <w:noProof/>
              </w:rPr>
              <w:t>ES</w:t>
            </w:r>
          </w:p>
        </w:tc>
        <w:tc>
          <w:tcPr>
            <w:tcW w:w="1123" w:type="dxa"/>
          </w:tcPr>
          <w:p>
            <w:pPr>
              <w:jc w:val="right"/>
              <w:rPr>
                <w:noProof/>
              </w:rPr>
            </w:pPr>
            <w:r>
              <w:rPr>
                <w:noProof/>
              </w:rPr>
              <w:t>136</w:t>
            </w:r>
          </w:p>
        </w:tc>
        <w:tc>
          <w:tcPr>
            <w:tcW w:w="1275" w:type="dxa"/>
          </w:tcPr>
          <w:p>
            <w:pPr>
              <w:jc w:val="right"/>
              <w:rPr>
                <w:noProof/>
              </w:rPr>
            </w:pPr>
            <w:r>
              <w:rPr>
                <w:noProof/>
              </w:rPr>
              <w:t>170</w:t>
            </w:r>
          </w:p>
        </w:tc>
        <w:tc>
          <w:tcPr>
            <w:tcW w:w="1276" w:type="dxa"/>
          </w:tcPr>
          <w:p>
            <w:pPr>
              <w:jc w:val="right"/>
              <w:rPr>
                <w:noProof/>
              </w:rPr>
            </w:pPr>
            <w:r>
              <w:rPr>
                <w:noProof/>
              </w:rPr>
              <w:t>171</w:t>
            </w:r>
          </w:p>
        </w:tc>
        <w:tc>
          <w:tcPr>
            <w:tcW w:w="1463" w:type="dxa"/>
          </w:tcPr>
          <w:p>
            <w:pPr>
              <w:jc w:val="right"/>
              <w:rPr>
                <w:noProof/>
              </w:rPr>
            </w:pPr>
            <w:r>
              <w:rPr>
                <w:noProof/>
              </w:rPr>
              <w:t>477</w:t>
            </w:r>
          </w:p>
        </w:tc>
        <w:tc>
          <w:tcPr>
            <w:tcW w:w="2426" w:type="dxa"/>
            <w:vAlign w:val="bottom"/>
          </w:tcPr>
          <w:p>
            <w:pPr>
              <w:jc w:val="right"/>
              <w:rPr>
                <w:noProof/>
              </w:rPr>
            </w:pPr>
            <w:r>
              <w:rPr>
                <w:noProof/>
              </w:rPr>
              <w:t>94.46%</w:t>
            </w:r>
          </w:p>
        </w:tc>
      </w:tr>
      <w:tr>
        <w:tc>
          <w:tcPr>
            <w:tcW w:w="1679" w:type="dxa"/>
            <w:shd w:val="clear" w:color="auto" w:fill="DBE5F1" w:themeFill="accent1" w:themeFillTint="33"/>
          </w:tcPr>
          <w:p>
            <w:pPr>
              <w:jc w:val="center"/>
              <w:rPr>
                <w:b/>
                <w:bCs/>
                <w:noProof/>
              </w:rPr>
            </w:pPr>
            <w:r>
              <w:rPr>
                <w:b/>
                <w:bCs/>
                <w:noProof/>
              </w:rPr>
              <w:t>FR</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w:t>
            </w:r>
          </w:p>
        </w:tc>
      </w:tr>
      <w:tr>
        <w:tc>
          <w:tcPr>
            <w:tcW w:w="1679" w:type="dxa"/>
            <w:shd w:val="clear" w:color="auto" w:fill="DBE5F1" w:themeFill="accent1" w:themeFillTint="33"/>
          </w:tcPr>
          <w:p>
            <w:pPr>
              <w:jc w:val="center"/>
              <w:rPr>
                <w:b/>
                <w:bCs/>
                <w:noProof/>
              </w:rPr>
            </w:pPr>
            <w:r>
              <w:rPr>
                <w:b/>
                <w:bCs/>
                <w:noProof/>
              </w:rPr>
              <w:t>HR</w:t>
            </w:r>
          </w:p>
        </w:tc>
        <w:tc>
          <w:tcPr>
            <w:tcW w:w="1123" w:type="dxa"/>
          </w:tcPr>
          <w:p>
            <w:pPr>
              <w:jc w:val="right"/>
              <w:rPr>
                <w:noProof/>
              </w:rPr>
            </w:pPr>
            <w:r>
              <w:rPr>
                <w:noProof/>
              </w:rPr>
              <w:t>1</w:t>
            </w:r>
          </w:p>
        </w:tc>
        <w:tc>
          <w:tcPr>
            <w:tcW w:w="1275" w:type="dxa"/>
          </w:tcPr>
          <w:p>
            <w:pPr>
              <w:jc w:val="right"/>
              <w:rPr>
                <w:noProof/>
              </w:rPr>
            </w:pPr>
            <w:r>
              <w:rPr>
                <w:noProof/>
              </w:rPr>
              <w:t>1</w:t>
            </w:r>
          </w:p>
        </w:tc>
        <w:tc>
          <w:tcPr>
            <w:tcW w:w="1276" w:type="dxa"/>
          </w:tcPr>
          <w:p>
            <w:pPr>
              <w:jc w:val="right"/>
              <w:rPr>
                <w:noProof/>
              </w:rPr>
            </w:pPr>
            <w:r>
              <w:rPr>
                <w:noProof/>
              </w:rPr>
              <w:t>2</w:t>
            </w:r>
          </w:p>
        </w:tc>
        <w:tc>
          <w:tcPr>
            <w:tcW w:w="1463" w:type="dxa"/>
          </w:tcPr>
          <w:p>
            <w:pPr>
              <w:jc w:val="right"/>
              <w:rPr>
                <w:noProof/>
              </w:rPr>
            </w:pPr>
            <w:r>
              <w:rPr>
                <w:noProof/>
              </w:rPr>
              <w:t>4</w:t>
            </w:r>
          </w:p>
        </w:tc>
        <w:tc>
          <w:tcPr>
            <w:tcW w:w="2426" w:type="dxa"/>
            <w:vAlign w:val="bottom"/>
          </w:tcPr>
          <w:p>
            <w:pPr>
              <w:jc w:val="right"/>
              <w:rPr>
                <w:noProof/>
              </w:rPr>
            </w:pPr>
            <w:r>
              <w:rPr>
                <w:noProof/>
              </w:rPr>
              <w:t>0.79%</w:t>
            </w:r>
          </w:p>
        </w:tc>
      </w:tr>
      <w:tr>
        <w:tc>
          <w:tcPr>
            <w:tcW w:w="1679" w:type="dxa"/>
            <w:shd w:val="clear" w:color="auto" w:fill="DBE5F1" w:themeFill="accent1" w:themeFillTint="33"/>
          </w:tcPr>
          <w:p>
            <w:pPr>
              <w:jc w:val="center"/>
              <w:rPr>
                <w:b/>
                <w:bCs/>
                <w:noProof/>
              </w:rPr>
            </w:pPr>
            <w:r>
              <w:rPr>
                <w:b/>
                <w:bCs/>
                <w:noProof/>
              </w:rPr>
              <w:t>IT</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w:t>
            </w:r>
          </w:p>
        </w:tc>
      </w:tr>
      <w:tr>
        <w:tc>
          <w:tcPr>
            <w:tcW w:w="1679" w:type="dxa"/>
            <w:shd w:val="clear" w:color="auto" w:fill="DBE5F1" w:themeFill="accent1" w:themeFillTint="33"/>
          </w:tcPr>
          <w:p>
            <w:pPr>
              <w:jc w:val="center"/>
              <w:rPr>
                <w:b/>
                <w:bCs/>
                <w:noProof/>
              </w:rPr>
            </w:pPr>
            <w:r>
              <w:rPr>
                <w:b/>
                <w:bCs/>
                <w:noProof/>
              </w:rPr>
              <w:t>CY</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w:t>
            </w:r>
          </w:p>
        </w:tc>
      </w:tr>
      <w:tr>
        <w:tc>
          <w:tcPr>
            <w:tcW w:w="1679" w:type="dxa"/>
            <w:shd w:val="clear" w:color="auto" w:fill="DBE5F1" w:themeFill="accent1" w:themeFillTint="33"/>
          </w:tcPr>
          <w:p>
            <w:pPr>
              <w:jc w:val="center"/>
              <w:rPr>
                <w:b/>
                <w:bCs/>
                <w:noProof/>
              </w:rPr>
            </w:pPr>
            <w:r>
              <w:rPr>
                <w:b/>
                <w:bCs/>
                <w:noProof/>
              </w:rPr>
              <w:t>LV</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w:t>
            </w:r>
          </w:p>
        </w:tc>
      </w:tr>
      <w:tr>
        <w:tc>
          <w:tcPr>
            <w:tcW w:w="1679" w:type="dxa"/>
            <w:shd w:val="clear" w:color="auto" w:fill="DBE5F1" w:themeFill="accent1" w:themeFillTint="33"/>
          </w:tcPr>
          <w:p>
            <w:pPr>
              <w:jc w:val="center"/>
              <w:rPr>
                <w:b/>
                <w:bCs/>
                <w:noProof/>
              </w:rPr>
            </w:pPr>
            <w:r>
              <w:rPr>
                <w:b/>
                <w:bCs/>
                <w:noProof/>
              </w:rPr>
              <w:t>LT</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w:t>
            </w:r>
          </w:p>
        </w:tc>
      </w:tr>
      <w:tr>
        <w:tc>
          <w:tcPr>
            <w:tcW w:w="1679" w:type="dxa"/>
            <w:shd w:val="clear" w:color="auto" w:fill="DBE5F1" w:themeFill="accent1" w:themeFillTint="33"/>
          </w:tcPr>
          <w:p>
            <w:pPr>
              <w:jc w:val="center"/>
              <w:rPr>
                <w:b/>
                <w:bCs/>
                <w:noProof/>
              </w:rPr>
            </w:pPr>
            <w:r>
              <w:rPr>
                <w:b/>
                <w:bCs/>
                <w:noProof/>
              </w:rPr>
              <w:t>LU</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w:t>
            </w:r>
          </w:p>
        </w:tc>
      </w:tr>
      <w:tr>
        <w:tc>
          <w:tcPr>
            <w:tcW w:w="1679" w:type="dxa"/>
            <w:shd w:val="clear" w:color="auto" w:fill="DBE5F1" w:themeFill="accent1" w:themeFillTint="33"/>
          </w:tcPr>
          <w:p>
            <w:pPr>
              <w:jc w:val="center"/>
              <w:rPr>
                <w:b/>
                <w:bCs/>
                <w:noProof/>
              </w:rPr>
            </w:pPr>
            <w:r>
              <w:rPr>
                <w:b/>
                <w:bCs/>
                <w:noProof/>
              </w:rPr>
              <w:t>HU</w:t>
            </w:r>
          </w:p>
        </w:tc>
        <w:tc>
          <w:tcPr>
            <w:tcW w:w="1123" w:type="dxa"/>
          </w:tcPr>
          <w:p>
            <w:pPr>
              <w:jc w:val="right"/>
              <w:rPr>
                <w:noProof/>
              </w:rPr>
            </w:pPr>
            <w:r>
              <w:rPr>
                <w:noProof/>
              </w:rPr>
              <w:t>0</w:t>
            </w:r>
          </w:p>
        </w:tc>
        <w:tc>
          <w:tcPr>
            <w:tcW w:w="1275" w:type="dxa"/>
          </w:tcPr>
          <w:p>
            <w:pPr>
              <w:jc w:val="right"/>
              <w:rPr>
                <w:noProof/>
              </w:rPr>
            </w:pPr>
            <w:r>
              <w:rPr>
                <w:noProof/>
              </w:rPr>
              <w:t>4</w:t>
            </w:r>
          </w:p>
        </w:tc>
        <w:tc>
          <w:tcPr>
            <w:tcW w:w="1276" w:type="dxa"/>
          </w:tcPr>
          <w:p>
            <w:pPr>
              <w:jc w:val="right"/>
              <w:rPr>
                <w:noProof/>
              </w:rPr>
            </w:pPr>
            <w:r>
              <w:rPr>
                <w:noProof/>
              </w:rPr>
              <w:t>1</w:t>
            </w:r>
          </w:p>
        </w:tc>
        <w:tc>
          <w:tcPr>
            <w:tcW w:w="1463" w:type="dxa"/>
          </w:tcPr>
          <w:p>
            <w:pPr>
              <w:jc w:val="right"/>
              <w:rPr>
                <w:noProof/>
              </w:rPr>
            </w:pPr>
            <w:r>
              <w:rPr>
                <w:noProof/>
              </w:rPr>
              <w:t>5</w:t>
            </w:r>
          </w:p>
        </w:tc>
        <w:tc>
          <w:tcPr>
            <w:tcW w:w="2426" w:type="dxa"/>
            <w:vAlign w:val="bottom"/>
          </w:tcPr>
          <w:p>
            <w:pPr>
              <w:jc w:val="right"/>
              <w:rPr>
                <w:noProof/>
              </w:rPr>
            </w:pPr>
            <w:r>
              <w:rPr>
                <w:noProof/>
              </w:rPr>
              <w:t>0.99%</w:t>
            </w:r>
          </w:p>
        </w:tc>
      </w:tr>
      <w:tr>
        <w:tc>
          <w:tcPr>
            <w:tcW w:w="1679" w:type="dxa"/>
            <w:shd w:val="clear" w:color="auto" w:fill="DBE5F1" w:themeFill="accent1" w:themeFillTint="33"/>
          </w:tcPr>
          <w:p>
            <w:pPr>
              <w:jc w:val="center"/>
              <w:rPr>
                <w:b/>
                <w:bCs/>
                <w:noProof/>
              </w:rPr>
            </w:pPr>
            <w:r>
              <w:rPr>
                <w:b/>
                <w:bCs/>
                <w:noProof/>
              </w:rPr>
              <w:t>MT</w:t>
            </w:r>
          </w:p>
        </w:tc>
        <w:tc>
          <w:tcPr>
            <w:tcW w:w="1123" w:type="dxa"/>
          </w:tcPr>
          <w:p>
            <w:pPr>
              <w:jc w:val="right"/>
              <w:rPr>
                <w:noProof/>
              </w:rPr>
            </w:pPr>
            <w:r>
              <w:rPr>
                <w:noProof/>
              </w:rPr>
              <w:t>1</w:t>
            </w:r>
          </w:p>
        </w:tc>
        <w:tc>
          <w:tcPr>
            <w:tcW w:w="1275" w:type="dxa"/>
          </w:tcPr>
          <w:p>
            <w:pPr>
              <w:jc w:val="right"/>
              <w:rPr>
                <w:noProof/>
              </w:rPr>
            </w:pPr>
            <w:r>
              <w:rPr>
                <w:noProof/>
              </w:rPr>
              <w:t>2</w:t>
            </w:r>
          </w:p>
        </w:tc>
        <w:tc>
          <w:tcPr>
            <w:tcW w:w="1276" w:type="dxa"/>
          </w:tcPr>
          <w:p>
            <w:pPr>
              <w:jc w:val="right"/>
              <w:rPr>
                <w:noProof/>
              </w:rPr>
            </w:pPr>
            <w:r>
              <w:rPr>
                <w:noProof/>
              </w:rPr>
              <w:t>1</w:t>
            </w:r>
          </w:p>
        </w:tc>
        <w:tc>
          <w:tcPr>
            <w:tcW w:w="1463" w:type="dxa"/>
          </w:tcPr>
          <w:p>
            <w:pPr>
              <w:jc w:val="right"/>
              <w:rPr>
                <w:noProof/>
              </w:rPr>
            </w:pPr>
            <w:r>
              <w:rPr>
                <w:noProof/>
              </w:rPr>
              <w:t>4</w:t>
            </w:r>
          </w:p>
        </w:tc>
        <w:tc>
          <w:tcPr>
            <w:tcW w:w="2426" w:type="dxa"/>
            <w:vAlign w:val="bottom"/>
          </w:tcPr>
          <w:p>
            <w:pPr>
              <w:jc w:val="right"/>
              <w:rPr>
                <w:noProof/>
              </w:rPr>
            </w:pPr>
            <w:r>
              <w:rPr>
                <w:noProof/>
              </w:rPr>
              <w:t>0.79%</w:t>
            </w:r>
          </w:p>
        </w:tc>
      </w:tr>
      <w:tr>
        <w:tc>
          <w:tcPr>
            <w:tcW w:w="1679" w:type="dxa"/>
            <w:shd w:val="clear" w:color="auto" w:fill="DBE5F1" w:themeFill="accent1" w:themeFillTint="33"/>
          </w:tcPr>
          <w:p>
            <w:pPr>
              <w:jc w:val="center"/>
              <w:rPr>
                <w:b/>
                <w:bCs/>
                <w:noProof/>
              </w:rPr>
            </w:pPr>
            <w:r>
              <w:rPr>
                <w:b/>
                <w:bCs/>
                <w:noProof/>
              </w:rPr>
              <w:t>NL</w:t>
            </w:r>
          </w:p>
        </w:tc>
        <w:tc>
          <w:tcPr>
            <w:tcW w:w="1123" w:type="dxa"/>
          </w:tcPr>
          <w:p>
            <w:pPr>
              <w:jc w:val="right"/>
              <w:rPr>
                <w:noProof/>
              </w:rPr>
            </w:pPr>
            <w:r>
              <w:rPr>
                <w:noProof/>
              </w:rPr>
              <w:t>1</w:t>
            </w:r>
          </w:p>
        </w:tc>
        <w:tc>
          <w:tcPr>
            <w:tcW w:w="1275" w:type="dxa"/>
          </w:tcPr>
          <w:p>
            <w:pPr>
              <w:jc w:val="right"/>
              <w:rPr>
                <w:noProof/>
              </w:rPr>
            </w:pPr>
            <w:r>
              <w:rPr>
                <w:noProof/>
              </w:rPr>
              <w:t>0</w:t>
            </w:r>
          </w:p>
        </w:tc>
        <w:tc>
          <w:tcPr>
            <w:tcW w:w="1276" w:type="dxa"/>
          </w:tcPr>
          <w:p>
            <w:pPr>
              <w:jc w:val="right"/>
              <w:rPr>
                <w:noProof/>
              </w:rPr>
            </w:pPr>
            <w:r>
              <w:rPr>
                <w:noProof/>
              </w:rPr>
              <w:t>1</w:t>
            </w:r>
          </w:p>
        </w:tc>
        <w:tc>
          <w:tcPr>
            <w:tcW w:w="1463" w:type="dxa"/>
          </w:tcPr>
          <w:p>
            <w:pPr>
              <w:jc w:val="right"/>
              <w:rPr>
                <w:noProof/>
              </w:rPr>
            </w:pPr>
            <w:r>
              <w:rPr>
                <w:noProof/>
              </w:rPr>
              <w:t>2</w:t>
            </w:r>
          </w:p>
        </w:tc>
        <w:tc>
          <w:tcPr>
            <w:tcW w:w="2426" w:type="dxa"/>
            <w:vAlign w:val="bottom"/>
          </w:tcPr>
          <w:p>
            <w:pPr>
              <w:jc w:val="right"/>
              <w:rPr>
                <w:noProof/>
              </w:rPr>
            </w:pPr>
            <w:r>
              <w:rPr>
                <w:noProof/>
              </w:rPr>
              <w:t>0.40%</w:t>
            </w:r>
          </w:p>
        </w:tc>
      </w:tr>
      <w:tr>
        <w:tc>
          <w:tcPr>
            <w:tcW w:w="1679" w:type="dxa"/>
            <w:shd w:val="clear" w:color="auto" w:fill="DBE5F1" w:themeFill="accent1" w:themeFillTint="33"/>
          </w:tcPr>
          <w:p>
            <w:pPr>
              <w:jc w:val="center"/>
              <w:rPr>
                <w:b/>
                <w:bCs/>
                <w:noProof/>
              </w:rPr>
            </w:pPr>
            <w:r>
              <w:rPr>
                <w:b/>
                <w:bCs/>
                <w:noProof/>
              </w:rPr>
              <w:t>AT</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w:t>
            </w:r>
          </w:p>
        </w:tc>
      </w:tr>
      <w:tr>
        <w:tc>
          <w:tcPr>
            <w:tcW w:w="1679" w:type="dxa"/>
            <w:shd w:val="clear" w:color="auto" w:fill="DBE5F1" w:themeFill="accent1" w:themeFillTint="33"/>
          </w:tcPr>
          <w:p>
            <w:pPr>
              <w:jc w:val="center"/>
              <w:rPr>
                <w:b/>
                <w:bCs/>
                <w:noProof/>
              </w:rPr>
            </w:pPr>
            <w:r>
              <w:rPr>
                <w:b/>
                <w:bCs/>
                <w:noProof/>
              </w:rPr>
              <w:t>PL</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w:t>
            </w:r>
          </w:p>
        </w:tc>
      </w:tr>
      <w:tr>
        <w:tc>
          <w:tcPr>
            <w:tcW w:w="1679" w:type="dxa"/>
            <w:shd w:val="clear" w:color="auto" w:fill="DBE5F1" w:themeFill="accent1" w:themeFillTint="33"/>
          </w:tcPr>
          <w:p>
            <w:pPr>
              <w:jc w:val="center"/>
              <w:rPr>
                <w:b/>
                <w:bCs/>
                <w:noProof/>
              </w:rPr>
            </w:pPr>
            <w:r>
              <w:rPr>
                <w:b/>
                <w:bCs/>
                <w:noProof/>
              </w:rPr>
              <w:t>PT</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w:t>
            </w:r>
          </w:p>
        </w:tc>
      </w:tr>
      <w:tr>
        <w:tc>
          <w:tcPr>
            <w:tcW w:w="1679" w:type="dxa"/>
            <w:shd w:val="clear" w:color="auto" w:fill="DBE5F1" w:themeFill="accent1" w:themeFillTint="33"/>
          </w:tcPr>
          <w:p>
            <w:pPr>
              <w:jc w:val="center"/>
              <w:rPr>
                <w:b/>
                <w:bCs/>
                <w:noProof/>
              </w:rPr>
            </w:pPr>
            <w:r>
              <w:rPr>
                <w:b/>
                <w:bCs/>
                <w:noProof/>
              </w:rPr>
              <w:t>RO</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w:t>
            </w:r>
          </w:p>
        </w:tc>
      </w:tr>
      <w:tr>
        <w:tc>
          <w:tcPr>
            <w:tcW w:w="1679" w:type="dxa"/>
            <w:shd w:val="clear" w:color="auto" w:fill="DBE5F1" w:themeFill="accent1" w:themeFillTint="33"/>
          </w:tcPr>
          <w:p>
            <w:pPr>
              <w:jc w:val="center"/>
              <w:rPr>
                <w:b/>
                <w:bCs/>
                <w:noProof/>
              </w:rPr>
            </w:pPr>
            <w:r>
              <w:rPr>
                <w:b/>
                <w:bCs/>
                <w:noProof/>
              </w:rPr>
              <w:t>SI</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w:t>
            </w:r>
          </w:p>
        </w:tc>
      </w:tr>
      <w:tr>
        <w:tc>
          <w:tcPr>
            <w:tcW w:w="1679" w:type="dxa"/>
            <w:shd w:val="clear" w:color="auto" w:fill="DBE5F1" w:themeFill="accent1" w:themeFillTint="33"/>
          </w:tcPr>
          <w:p>
            <w:pPr>
              <w:jc w:val="center"/>
              <w:rPr>
                <w:b/>
                <w:bCs/>
                <w:noProof/>
              </w:rPr>
            </w:pPr>
            <w:r>
              <w:rPr>
                <w:b/>
                <w:bCs/>
                <w:noProof/>
              </w:rPr>
              <w:t>SK</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w:t>
            </w:r>
          </w:p>
        </w:tc>
      </w:tr>
      <w:tr>
        <w:tc>
          <w:tcPr>
            <w:tcW w:w="1679" w:type="dxa"/>
            <w:shd w:val="clear" w:color="auto" w:fill="DBE5F1" w:themeFill="accent1" w:themeFillTint="33"/>
          </w:tcPr>
          <w:p>
            <w:pPr>
              <w:jc w:val="center"/>
              <w:rPr>
                <w:b/>
                <w:bCs/>
                <w:noProof/>
              </w:rPr>
            </w:pPr>
            <w:r>
              <w:rPr>
                <w:b/>
                <w:bCs/>
                <w:noProof/>
              </w:rPr>
              <w:t>FI</w:t>
            </w:r>
          </w:p>
        </w:tc>
        <w:tc>
          <w:tcPr>
            <w:tcW w:w="1123" w:type="dxa"/>
          </w:tcPr>
          <w:p>
            <w:pPr>
              <w:jc w:val="right"/>
              <w:rPr>
                <w:noProof/>
              </w:rPr>
            </w:pPr>
            <w:r>
              <w:rPr>
                <w:noProof/>
              </w:rPr>
              <w:t>0</w:t>
            </w:r>
          </w:p>
        </w:tc>
        <w:tc>
          <w:tcPr>
            <w:tcW w:w="1275" w:type="dxa"/>
          </w:tcPr>
          <w:p>
            <w:pPr>
              <w:jc w:val="right"/>
              <w:rPr>
                <w:noProof/>
              </w:rPr>
            </w:pPr>
            <w:r>
              <w:rPr>
                <w:noProof/>
              </w:rPr>
              <w:t>1</w:t>
            </w:r>
          </w:p>
        </w:tc>
        <w:tc>
          <w:tcPr>
            <w:tcW w:w="1276" w:type="dxa"/>
          </w:tcPr>
          <w:p>
            <w:pPr>
              <w:jc w:val="right"/>
              <w:rPr>
                <w:noProof/>
              </w:rPr>
            </w:pPr>
            <w:r>
              <w:rPr>
                <w:noProof/>
              </w:rPr>
              <w:t>0</w:t>
            </w:r>
          </w:p>
        </w:tc>
        <w:tc>
          <w:tcPr>
            <w:tcW w:w="1463" w:type="dxa"/>
          </w:tcPr>
          <w:p>
            <w:pPr>
              <w:jc w:val="right"/>
              <w:rPr>
                <w:noProof/>
              </w:rPr>
            </w:pPr>
            <w:r>
              <w:rPr>
                <w:noProof/>
              </w:rPr>
              <w:t>1</w:t>
            </w:r>
          </w:p>
        </w:tc>
        <w:tc>
          <w:tcPr>
            <w:tcW w:w="2426" w:type="dxa"/>
            <w:vAlign w:val="bottom"/>
          </w:tcPr>
          <w:p>
            <w:pPr>
              <w:jc w:val="right"/>
              <w:rPr>
                <w:noProof/>
              </w:rPr>
            </w:pPr>
            <w:r>
              <w:rPr>
                <w:noProof/>
              </w:rPr>
              <w:t>0.20%</w:t>
            </w:r>
          </w:p>
        </w:tc>
      </w:tr>
      <w:tr>
        <w:tc>
          <w:tcPr>
            <w:tcW w:w="1679" w:type="dxa"/>
            <w:shd w:val="clear" w:color="auto" w:fill="DBE5F1" w:themeFill="accent1" w:themeFillTint="33"/>
          </w:tcPr>
          <w:p>
            <w:pPr>
              <w:jc w:val="center"/>
              <w:rPr>
                <w:b/>
                <w:bCs/>
                <w:noProof/>
              </w:rPr>
            </w:pPr>
            <w:r>
              <w:rPr>
                <w:b/>
                <w:bCs/>
                <w:noProof/>
              </w:rPr>
              <w:t>SE</w:t>
            </w:r>
          </w:p>
        </w:tc>
        <w:tc>
          <w:tcPr>
            <w:tcW w:w="1123" w:type="dxa"/>
          </w:tcPr>
          <w:p>
            <w:pPr>
              <w:jc w:val="right"/>
              <w:rPr>
                <w:noProof/>
              </w:rPr>
            </w:pPr>
            <w:r>
              <w:rPr>
                <w:noProof/>
              </w:rPr>
              <w:t>0</w:t>
            </w:r>
          </w:p>
        </w:tc>
        <w:tc>
          <w:tcPr>
            <w:tcW w:w="1275" w:type="dxa"/>
          </w:tcPr>
          <w:p>
            <w:pPr>
              <w:jc w:val="right"/>
              <w:rPr>
                <w:noProof/>
              </w:rPr>
            </w:pPr>
            <w:r>
              <w:rPr>
                <w:noProof/>
              </w:rPr>
              <w:t>0</w:t>
            </w:r>
          </w:p>
        </w:tc>
        <w:tc>
          <w:tcPr>
            <w:tcW w:w="1276" w:type="dxa"/>
          </w:tcPr>
          <w:p>
            <w:pPr>
              <w:jc w:val="right"/>
              <w:rPr>
                <w:noProof/>
              </w:rPr>
            </w:pPr>
            <w:r>
              <w:rPr>
                <w:noProof/>
              </w:rPr>
              <w:t>0</w:t>
            </w:r>
          </w:p>
        </w:tc>
        <w:tc>
          <w:tcPr>
            <w:tcW w:w="1463" w:type="dxa"/>
          </w:tcPr>
          <w:p>
            <w:pPr>
              <w:jc w:val="right"/>
              <w:rPr>
                <w:noProof/>
              </w:rPr>
            </w:pPr>
            <w:r>
              <w:rPr>
                <w:noProof/>
              </w:rPr>
              <w:t>0</w:t>
            </w:r>
          </w:p>
        </w:tc>
        <w:tc>
          <w:tcPr>
            <w:tcW w:w="2426" w:type="dxa"/>
            <w:vAlign w:val="bottom"/>
          </w:tcPr>
          <w:p>
            <w:pPr>
              <w:jc w:val="right"/>
              <w:rPr>
                <w:noProof/>
              </w:rPr>
            </w:pPr>
            <w:r>
              <w:rPr>
                <w:noProof/>
              </w:rPr>
              <w:t>0.00%</w:t>
            </w:r>
          </w:p>
        </w:tc>
      </w:tr>
      <w:tr>
        <w:tc>
          <w:tcPr>
            <w:tcW w:w="1679" w:type="dxa"/>
            <w:shd w:val="clear" w:color="auto" w:fill="DBE5F1" w:themeFill="accent1" w:themeFillTint="33"/>
          </w:tcPr>
          <w:p>
            <w:pPr>
              <w:jc w:val="center"/>
              <w:rPr>
                <w:b/>
                <w:bCs/>
                <w:noProof/>
              </w:rPr>
            </w:pPr>
            <w:r>
              <w:rPr>
                <w:b/>
                <w:bCs/>
                <w:noProof/>
              </w:rPr>
              <w:t>Total</w:t>
            </w:r>
          </w:p>
        </w:tc>
        <w:tc>
          <w:tcPr>
            <w:tcW w:w="1123" w:type="dxa"/>
          </w:tcPr>
          <w:p>
            <w:pPr>
              <w:jc w:val="right"/>
              <w:rPr>
                <w:noProof/>
              </w:rPr>
            </w:pPr>
            <w:r>
              <w:rPr>
                <w:noProof/>
              </w:rPr>
              <w:t>143</w:t>
            </w:r>
          </w:p>
        </w:tc>
        <w:tc>
          <w:tcPr>
            <w:tcW w:w="1275" w:type="dxa"/>
          </w:tcPr>
          <w:p>
            <w:pPr>
              <w:jc w:val="right"/>
              <w:rPr>
                <w:noProof/>
              </w:rPr>
            </w:pPr>
            <w:r>
              <w:rPr>
                <w:noProof/>
              </w:rPr>
              <w:t>182</w:t>
            </w:r>
          </w:p>
        </w:tc>
        <w:tc>
          <w:tcPr>
            <w:tcW w:w="1276" w:type="dxa"/>
          </w:tcPr>
          <w:p>
            <w:pPr>
              <w:jc w:val="right"/>
              <w:rPr>
                <w:noProof/>
              </w:rPr>
            </w:pPr>
            <w:r>
              <w:rPr>
                <w:noProof/>
              </w:rPr>
              <w:t>180</w:t>
            </w:r>
          </w:p>
        </w:tc>
        <w:tc>
          <w:tcPr>
            <w:tcW w:w="1463" w:type="dxa"/>
          </w:tcPr>
          <w:p>
            <w:pPr>
              <w:jc w:val="right"/>
              <w:rPr>
                <w:noProof/>
              </w:rPr>
            </w:pPr>
            <w:r>
              <w:rPr>
                <w:noProof/>
              </w:rPr>
              <w:t>505</w:t>
            </w:r>
          </w:p>
        </w:tc>
        <w:tc>
          <w:tcPr>
            <w:tcW w:w="2426" w:type="dxa"/>
            <w:vAlign w:val="bottom"/>
          </w:tcPr>
          <w:p>
            <w:pPr>
              <w:jc w:val="right"/>
              <w:rPr>
                <w:noProof/>
              </w:rPr>
            </w:pPr>
            <w:r>
              <w:rPr>
                <w:noProof/>
              </w:rPr>
              <w:t>100.00%</w:t>
            </w:r>
          </w:p>
        </w:tc>
      </w:tr>
    </w:tbl>
    <w:p>
      <w:pPr>
        <w:rPr>
          <w:noProof/>
        </w:rPr>
      </w:pPr>
    </w:p>
    <w:p>
      <w:pPr>
        <w:rPr>
          <w:noProof/>
        </w:rPr>
      </w:pPr>
      <w:r>
        <w:rPr>
          <w:noProof/>
        </w:rPr>
        <w:br w:type="page"/>
      </w:r>
    </w:p>
    <w:p>
      <w:pPr>
        <w:rPr>
          <w:noProof/>
        </w:rPr>
      </w:pPr>
    </w:p>
    <w:p>
      <w:pPr>
        <w:rPr>
          <w:noProof/>
        </w:rPr>
      </w:pPr>
      <w:r>
        <w:rPr>
          <w:noProof/>
        </w:rPr>
        <w:t>Table 5. Infringement/non-compliance cases</w:t>
      </w:r>
    </w:p>
    <w:p>
      <w:pPr>
        <w:rPr>
          <w:noProof/>
        </w:rPr>
      </w:pPr>
    </w:p>
    <w:tbl>
      <w:tblPr>
        <w:tblStyle w:val="TableGrid"/>
        <w:tblW w:w="0" w:type="auto"/>
        <w:tblLook w:val="04A0" w:firstRow="1" w:lastRow="0" w:firstColumn="1" w:lastColumn="0" w:noHBand="0" w:noVBand="1"/>
      </w:tblPr>
      <w:tblGrid>
        <w:gridCol w:w="2660"/>
        <w:gridCol w:w="6379"/>
      </w:tblGrid>
      <w:tr>
        <w:tc>
          <w:tcPr>
            <w:tcW w:w="2660" w:type="dxa"/>
            <w:shd w:val="clear" w:color="auto" w:fill="DBE5F1" w:themeFill="accent1" w:themeFillTint="33"/>
          </w:tcPr>
          <w:p>
            <w:pPr>
              <w:jc w:val="center"/>
              <w:rPr>
                <w:b/>
                <w:bCs/>
                <w:noProof/>
              </w:rPr>
            </w:pPr>
            <w:r>
              <w:rPr>
                <w:b/>
                <w:bCs/>
                <w:noProof/>
              </w:rPr>
              <w:t>Year</w:t>
            </w:r>
          </w:p>
        </w:tc>
        <w:tc>
          <w:tcPr>
            <w:tcW w:w="6379" w:type="dxa"/>
            <w:shd w:val="clear" w:color="auto" w:fill="DBE5F1" w:themeFill="accent1" w:themeFillTint="33"/>
          </w:tcPr>
          <w:p>
            <w:pPr>
              <w:jc w:val="center"/>
              <w:rPr>
                <w:b/>
                <w:bCs/>
                <w:noProof/>
              </w:rPr>
            </w:pPr>
            <w:r>
              <w:rPr>
                <w:b/>
                <w:bCs/>
                <w:noProof/>
              </w:rPr>
              <w:t>Total infringement cases</w:t>
            </w:r>
          </w:p>
        </w:tc>
      </w:tr>
      <w:tr>
        <w:tc>
          <w:tcPr>
            <w:tcW w:w="2660" w:type="dxa"/>
          </w:tcPr>
          <w:p>
            <w:pPr>
              <w:rPr>
                <w:noProof/>
              </w:rPr>
            </w:pPr>
            <w:r>
              <w:rPr>
                <w:noProof/>
              </w:rPr>
              <w:t>2021</w:t>
            </w:r>
          </w:p>
        </w:tc>
        <w:tc>
          <w:tcPr>
            <w:tcW w:w="6379" w:type="dxa"/>
          </w:tcPr>
          <w:p>
            <w:pPr>
              <w:rPr>
                <w:noProof/>
              </w:rPr>
            </w:pPr>
            <w:r>
              <w:rPr>
                <w:noProof/>
              </w:rPr>
              <w:t>67</w:t>
            </w:r>
          </w:p>
        </w:tc>
      </w:tr>
      <w:tr>
        <w:tc>
          <w:tcPr>
            <w:tcW w:w="2660" w:type="dxa"/>
          </w:tcPr>
          <w:p>
            <w:pPr>
              <w:rPr>
                <w:noProof/>
              </w:rPr>
            </w:pPr>
            <w:r>
              <w:rPr>
                <w:noProof/>
              </w:rPr>
              <w:t>2022</w:t>
            </w:r>
          </w:p>
        </w:tc>
        <w:tc>
          <w:tcPr>
            <w:tcW w:w="6379" w:type="dxa"/>
          </w:tcPr>
          <w:p>
            <w:pPr>
              <w:rPr>
                <w:noProof/>
              </w:rPr>
            </w:pPr>
            <w:r>
              <w:rPr>
                <w:noProof/>
              </w:rPr>
              <w:t>96</w:t>
            </w:r>
          </w:p>
        </w:tc>
      </w:tr>
      <w:tr>
        <w:tc>
          <w:tcPr>
            <w:tcW w:w="2660" w:type="dxa"/>
          </w:tcPr>
          <w:p>
            <w:pPr>
              <w:rPr>
                <w:noProof/>
              </w:rPr>
            </w:pPr>
            <w:r>
              <w:rPr>
                <w:noProof/>
              </w:rPr>
              <w:t>2023</w:t>
            </w:r>
          </w:p>
        </w:tc>
        <w:tc>
          <w:tcPr>
            <w:tcW w:w="6379" w:type="dxa"/>
          </w:tcPr>
          <w:p>
            <w:pPr>
              <w:rPr>
                <w:noProof/>
              </w:rPr>
            </w:pPr>
            <w:r>
              <w:rPr>
                <w:noProof/>
              </w:rPr>
              <w:t>58</w:t>
            </w:r>
          </w:p>
        </w:tc>
      </w:tr>
      <w:tr>
        <w:tc>
          <w:tcPr>
            <w:tcW w:w="2660" w:type="dxa"/>
            <w:shd w:val="clear" w:color="auto" w:fill="DBE5F1" w:themeFill="accent1" w:themeFillTint="33"/>
          </w:tcPr>
          <w:p>
            <w:pPr>
              <w:rPr>
                <w:b/>
                <w:bCs/>
                <w:noProof/>
              </w:rPr>
            </w:pPr>
            <w:r>
              <w:rPr>
                <w:b/>
                <w:bCs/>
                <w:noProof/>
              </w:rPr>
              <w:t>Total</w:t>
            </w:r>
          </w:p>
        </w:tc>
        <w:tc>
          <w:tcPr>
            <w:tcW w:w="6379" w:type="dxa"/>
            <w:shd w:val="clear" w:color="auto" w:fill="DBE5F1" w:themeFill="accent1" w:themeFillTint="33"/>
          </w:tcPr>
          <w:p>
            <w:pPr>
              <w:rPr>
                <w:noProof/>
              </w:rPr>
            </w:pPr>
            <w:r>
              <w:rPr>
                <w:noProof/>
              </w:rPr>
              <w:t>221</w:t>
            </w:r>
          </w:p>
        </w:tc>
      </w:tr>
    </w:tbl>
    <w:p>
      <w:pPr>
        <w:rPr>
          <w:noProof/>
        </w:rPr>
      </w:pPr>
    </w:p>
    <w:sectPr>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altName w:val="Calibri"/>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4842220"/>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 w:id="1">
    <w:p>
      <w:pPr>
        <w:pStyle w:val="FootnoteText"/>
        <w:jc w:val="both"/>
      </w:pPr>
      <w:r>
        <w:rPr>
          <w:rStyle w:val="FootnoteReference"/>
        </w:rPr>
        <w:footnoteRef/>
      </w:r>
      <w:r>
        <w:t> Council Regulation (EC) No 116/2009 of 18 December 2008 on the export of cultural goods (OJ L 39, 10.2.2009, p. 1, ELI: </w:t>
      </w:r>
      <w:hyperlink r:id="rId1" w:history="1">
        <w:r>
          <w:rPr>
            <w:rStyle w:val="Hyperlink"/>
          </w:rPr>
          <w:t>http://data.europa.eu/eli/reg/2009/116/oj</w:t>
        </w:r>
      </w:hyperlink>
      <w:r>
        <w:t>).</w:t>
      </w:r>
    </w:p>
  </w:footnote>
  <w:footnote w:id="2">
    <w:p>
      <w:pPr>
        <w:pStyle w:val="FootnoteText"/>
        <w:jc w:val="both"/>
      </w:pPr>
      <w:r>
        <w:rPr>
          <w:rStyle w:val="FootnoteReference"/>
        </w:rPr>
        <w:footnoteRef/>
      </w:r>
      <w:r>
        <w:t> Commission Implementing Regulation (EU) No 1081/2012 of 9 November 2012 for the purposes of Council Regulation (EC) No 116/2009 on the export of cultural goods (OJ L 324, 22.11.2012, p. 1, ELI: </w:t>
      </w:r>
      <w:hyperlink r:id="rId2" w:history="1">
        <w:r>
          <w:rPr>
            <w:rStyle w:val="Hyperlink"/>
          </w:rPr>
          <w:t>http://data.europa.eu/eli/reg_impl/2012/1081/oj</w:t>
        </w:r>
      </w:hyperlink>
      <w:r>
        <w:t xml:space="preserve">). Latest consolidated text available here: </w:t>
      </w:r>
      <w:hyperlink r:id="rId3" w:history="1">
        <w:r>
          <w:rPr>
            <w:rStyle w:val="Hyperlink"/>
          </w:rPr>
          <w:t>https://eur-lex.europa.eu/legal-content/EN/TXT/?uri=CELEX%3A02012R1081-20121212</w:t>
        </w:r>
      </w:hyperlink>
      <w:r>
        <w:t>.</w:t>
      </w:r>
    </w:p>
  </w:footnote>
  <w:footnote w:id="3">
    <w:p>
      <w:pPr>
        <w:pStyle w:val="FootnoteText"/>
        <w:jc w:val="both"/>
      </w:pPr>
      <w:r>
        <w:rPr>
          <w:rStyle w:val="FootnoteReference"/>
        </w:rPr>
        <w:footnoteRef/>
      </w:r>
      <w:r>
        <w:t> Survey of the Member States in the form of a questionnaire, conducted between 15 July 2024 and 1 October 2024.</w:t>
      </w:r>
    </w:p>
  </w:footnote>
  <w:footnote w:id="4">
    <w:p>
      <w:pPr>
        <w:pStyle w:val="FootnoteText"/>
        <w:jc w:val="both"/>
      </w:pPr>
      <w:r>
        <w:rPr>
          <w:rStyle w:val="FootnoteReference"/>
        </w:rPr>
        <w:footnoteRef/>
      </w:r>
      <w:r>
        <w:t> The only Member State that considers that the Regulation was not performing sufficiently well based its opinion on the fact that its own national legislation is stricter. However,</w:t>
      </w:r>
      <w:bookmarkStart w:id="1" w:name="_Hlk232071044"/>
      <w:r>
        <w:t xml:space="preserve"> there are no barriers to free movement of goods between the EU’s Member States</w:t>
      </w:r>
      <w:bookmarkEnd w:id="1"/>
      <w:r>
        <w:t>, so even the strictest national provisions cannot prevent the illegal transfer of a protected cultural good from one Member State’s national territory to that of another different Member State – where it is not protected by the first Member State’s national provisions – and from there to a non-EU country.</w:t>
      </w:r>
    </w:p>
  </w:footnote>
  <w:footnote w:id="5">
    <w:p>
      <w:pPr>
        <w:pStyle w:val="FootnoteText"/>
      </w:pPr>
      <w:r>
        <w:rPr>
          <w:rStyle w:val="FootnoteReference"/>
        </w:rPr>
        <w:footnoteRef/>
      </w:r>
      <w:r>
        <w:t> Two Member States suggested this improvement.</w:t>
      </w:r>
    </w:p>
  </w:footnote>
  <w:footnote w:id="6">
    <w:p>
      <w:pPr>
        <w:pStyle w:val="FootnoteText"/>
        <w:jc w:val="both"/>
      </w:pPr>
      <w:r>
        <w:rPr>
          <w:rStyle w:val="FootnoteReference"/>
        </w:rPr>
        <w:footnoteRef/>
      </w:r>
      <w:r>
        <w:t> Two Member States reiterated this request, which was already present in the previous implementation report from the Commission to the European Parliament, the Council and the European Economic and Social Committee on the implementation of Council Regulation (EC) No 116/2009 of 18 December 2008 on the export of cultural goods 1 January 2018 to 31 December 2020, COM (2022) 424, p. 6.</w:t>
      </w:r>
    </w:p>
  </w:footnote>
  <w:footnote w:id="7">
    <w:p>
      <w:pPr>
        <w:pStyle w:val="FootnoteText"/>
        <w:jc w:val="both"/>
        <w:rPr>
          <w:lang w:val="en-IE"/>
        </w:rPr>
      </w:pPr>
      <w:r>
        <w:rPr>
          <w:rStyle w:val="FootnoteReference"/>
        </w:rPr>
        <w:footnoteRef/>
      </w:r>
      <w:r>
        <w:t> Regulation (EU) 2019/880 of the European Parliament and of the Council of 17 April 2019 on the introduction and the import of cultural goods (OJ L 151 of 7.6.2019, p. 1, ELI: </w:t>
      </w:r>
      <w:hyperlink r:id="rId4" w:tooltip="Gives access to this document through its ELI URI." w:history="1">
        <w:r>
          <w:rPr>
            <w:rStyle w:val="Hyperlink"/>
          </w:rPr>
          <w:t>http://data.europa.eu/eli/reg/2019/880/oj</w:t>
        </w:r>
      </w:hyperlink>
      <w:r>
        <w:t>).</w:t>
      </w:r>
    </w:p>
  </w:footnote>
  <w:footnote w:id="8">
    <w:p>
      <w:pPr>
        <w:pStyle w:val="FootnoteText"/>
        <w:jc w:val="both"/>
      </w:pPr>
      <w:r>
        <w:rPr>
          <w:rStyle w:val="FootnoteReference"/>
        </w:rPr>
        <w:footnoteRef/>
      </w:r>
      <w:r>
        <w:t> The Import Regulation cannot be merged with the Export Regulations because their scopes, procedures and certification differ. However, the corresponding electronic systems for their implementation will be very similar in terms of user interface and system functionalities.</w:t>
      </w:r>
    </w:p>
  </w:footnote>
  <w:footnote w:id="9">
    <w:p>
      <w:pPr>
        <w:pStyle w:val="FootnoteText"/>
        <w:jc w:val="both"/>
        <w:rPr>
          <w:lang w:val="en-IE"/>
        </w:rPr>
      </w:pPr>
      <w:r>
        <w:rPr>
          <w:rStyle w:val="FootnoteReference"/>
        </w:rPr>
        <w:footnoteRef/>
      </w:r>
      <w:r>
        <w:t> Directive 2014/60/EU of the European Parliament and of the Council of 15 May 2014 on the return of cultural objects unlawfully removed from the territory of a Member State and amending Regulation (EU) No 1024/2012 (Recast) (OJ L 159 of 28.5.2014, p. 1, ELI: </w:t>
      </w:r>
      <w:hyperlink r:id="rId5" w:tooltip="Gives access to this document through its ELI URI." w:history="1">
        <w:r>
          <w:rPr>
            <w:rStyle w:val="Hyperlink"/>
          </w:rPr>
          <w:t>http://data.europa.eu/eli/dir/2014/60/oj</w:t>
        </w:r>
      </w:hyperlink>
      <w:r>
        <w:t>). Following its recast in 2014, the scope of the Return Directive now differs from the scope of the Regulation, precluding the full alignment of the instruments. The Return Directive applies to cultural objects as defined in Article 2(1): ‘an object which is classified or defined by a Member State, before or after its unlawful removal from the territory of that Member State, as being among the ‘national treasures possessing artistic, historic or archaeological value’ under national legislation or administrative procedures within the meaning of Article 36 TFEU’. By contrast, cultural goods are the items listed in Annex I to Regulation (EC) No 116/2009.</w:t>
      </w:r>
    </w:p>
  </w:footnote>
  <w:footnote w:id="10">
    <w:p>
      <w:pPr>
        <w:pStyle w:val="FootnoteText"/>
        <w:jc w:val="both"/>
      </w:pPr>
      <w:r>
        <w:rPr>
          <w:rStyle w:val="FootnoteReference"/>
        </w:rPr>
        <w:footnoteRef/>
      </w:r>
      <w:r>
        <w:t>  One Member State suggested this harmonisation. However, the EU cannot accede to the 1970 UNESCO (United Nations Educational, Scientific and Cultural Organisation) Convention on the Means of Prohibiting and Preventing the Illegal Import, Export and Transfer of Ownership of Cultural Property because only individual countries can accede.</w:t>
      </w:r>
    </w:p>
  </w:footnote>
  <w:footnote w:id="11">
    <w:p>
      <w:pPr>
        <w:pStyle w:val="FootnoteText"/>
        <w:jc w:val="both"/>
      </w:pPr>
      <w:r>
        <w:rPr>
          <w:rStyle w:val="FootnoteReference"/>
        </w:rPr>
        <w:footnoteRef/>
      </w:r>
      <w:r>
        <w:t> Four Member States suggested such improvements while also highlighting that more resources should be made available for additional tools and cooperation to be effective (particularly in terms of officers with expertise in cultural property).</w:t>
      </w:r>
    </w:p>
  </w:footnote>
  <w:footnote w:id="12">
    <w:p>
      <w:pPr>
        <w:pStyle w:val="FootnoteText"/>
        <w:jc w:val="both"/>
      </w:pPr>
      <w:r>
        <w:rPr>
          <w:rStyle w:val="FootnoteReference"/>
        </w:rPr>
        <w:footnoteRef/>
      </w:r>
      <w:r>
        <w:t> Icons are currently classified in the paintings category. The very high value threshold of that category (above EUR 150 000) leaves most icons outside the scope of the Regulation.</w:t>
      </w:r>
    </w:p>
  </w:footnote>
  <w:footnote w:id="13">
    <w:p>
      <w:pPr>
        <w:pStyle w:val="FootnoteText"/>
        <w:jc w:val="both"/>
      </w:pPr>
      <w:r>
        <w:rPr>
          <w:rStyle w:val="FootnoteReference"/>
        </w:rPr>
        <w:footnoteRef/>
      </w:r>
      <w:r>
        <w:t> Article 2 of the Implementing Regulation states that ‘each individual Member State concerned may decide whether or not it wishes to issue any specific or general open licences which may be used instead’ of a standard licence.</w:t>
      </w:r>
    </w:p>
  </w:footnote>
  <w:footnote w:id="14">
    <w:p>
      <w:pPr>
        <w:pStyle w:val="FootnoteText"/>
      </w:pPr>
      <w:r>
        <w:rPr>
          <w:rStyle w:val="FootnoteReference"/>
        </w:rPr>
        <w:footnoteRef/>
      </w:r>
      <w:r>
        <w:t> Five years is the maximum period set by the Implementing Regulation (Article 10(3)).</w:t>
      </w:r>
    </w:p>
  </w:footnote>
  <w:footnote w:id="15">
    <w:p>
      <w:pPr>
        <w:pStyle w:val="FootnoteText"/>
      </w:pPr>
      <w:r>
        <w:rPr>
          <w:rStyle w:val="FootnoteReference"/>
        </w:rPr>
        <w:footnoteRef/>
      </w:r>
      <w:r>
        <w:t> Five years is the maximum period set by the Implementing Regulation (Article 13(3)).</w:t>
      </w:r>
    </w:p>
  </w:footnote>
  <w:footnote w:id="16">
    <w:p>
      <w:pPr>
        <w:pStyle w:val="FootnoteText"/>
        <w:jc w:val="both"/>
      </w:pPr>
      <w:r>
        <w:rPr>
          <w:rStyle w:val="FootnoteReference"/>
        </w:rPr>
        <w:footnoteRef/>
      </w:r>
      <w:r>
        <w:t> This exemption mostly concerns ancient objects that are produced in large quantities and are quasi-identical (e.g. coins) or are objects that are not direct products of excavations.</w:t>
      </w:r>
    </w:p>
  </w:footnote>
  <w:footnote w:id="17">
    <w:p>
      <w:pPr>
        <w:pStyle w:val="FootnoteText"/>
        <w:jc w:val="both"/>
        <w:rPr>
          <w:lang w:val="en-IE"/>
        </w:rPr>
      </w:pPr>
      <w:r>
        <w:rPr>
          <w:rStyle w:val="FootnoteReference"/>
        </w:rPr>
        <w:footnoteRef/>
      </w:r>
      <w:r>
        <w:t xml:space="preserve"> Council </w:t>
      </w:r>
      <w:r>
        <w:rPr>
          <w:lang w:val="en-IE"/>
        </w:rPr>
        <w:t>Regulation (EU) No 833/2014 of 31 July 2014 concerning restrictive measures in view of Russia’s actions destabilising the situation in Ukraine (OJ L 229, 31.7.2014, p.</w:t>
      </w:r>
      <w:r>
        <w:t> 1</w:t>
      </w:r>
      <w:r>
        <w:rPr>
          <w:lang w:val="en-IE"/>
        </w:rPr>
        <w:t xml:space="preserve">, </w:t>
      </w:r>
      <w:r>
        <w:t>ELI: </w:t>
      </w:r>
      <w:hyperlink r:id="rId6" w:tooltip="Gives access to this document through its ELI URI." w:history="1">
        <w:r>
          <w:rPr>
            <w:rStyle w:val="Hyperlink"/>
          </w:rPr>
          <w:t>http://data.europa.eu/eli/reg/2014/833/oj</w:t>
        </w:r>
      </w:hyperlink>
      <w:r>
        <w:rPr>
          <w:lang w:val="en-IE"/>
        </w:rPr>
        <w:t>).</w:t>
      </w:r>
    </w:p>
  </w:footnote>
  <w:footnote w:id="18">
    <w:p>
      <w:pPr>
        <w:pStyle w:val="FootnoteText"/>
        <w:jc w:val="both"/>
        <w:rPr>
          <w:lang w:val="en-IE"/>
        </w:rPr>
      </w:pPr>
      <w:r>
        <w:rPr>
          <w:rStyle w:val="FootnoteReference"/>
        </w:rPr>
        <w:footnoteRef/>
      </w:r>
      <w:r>
        <w:t> A reflection on the potential update of the categories of goods as well as of the age threshold (supported by only a few Member States) might take place during an Expert Group meeting at a later stage.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F50BA5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2323037"/>
    <w:multiLevelType w:val="hybridMultilevel"/>
    <w:tmpl w:val="B7AEFDD6"/>
    <w:lvl w:ilvl="0" w:tplc="1B48F07A">
      <w:start w:val="1"/>
      <w:numFmt w:val="bullet"/>
      <w:lvlText w:val="-"/>
      <w:lvlJc w:val="left"/>
      <w:pPr>
        <w:ind w:left="1440" w:hanging="360"/>
      </w:pPr>
      <w:rPr>
        <w:rFonts w:ascii="Aptos" w:hAnsi="Apto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 w15:restartNumberingAfterBreak="0">
    <w:nsid w:val="364F3835"/>
    <w:multiLevelType w:val="hybridMultilevel"/>
    <w:tmpl w:val="15E8C568"/>
    <w:lvl w:ilvl="0" w:tplc="C5387912">
      <w:start w:val="1"/>
      <w:numFmt w:val="decimal"/>
      <w:lvlText w:val="(%1)"/>
      <w:lvlJc w:val="left"/>
      <w:pPr>
        <w:ind w:left="720" w:hanging="360"/>
      </w:pPr>
      <w:rPr>
        <w:rFonts w:ascii="Times New Roman" w:eastAsia="Times New Roman" w:hAnsi="Times New Roman" w:cs="Times New Roman"/>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38206227"/>
    <w:multiLevelType w:val="hybridMultilevel"/>
    <w:tmpl w:val="DE201984"/>
    <w:lvl w:ilvl="0" w:tplc="7DB4C72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8DA052B"/>
    <w:multiLevelType w:val="hybridMultilevel"/>
    <w:tmpl w:val="5080D3F6"/>
    <w:lvl w:ilvl="0" w:tplc="981AC2CA">
      <w:numFmt w:val="bullet"/>
      <w:lvlText w:val="-"/>
      <w:lvlJc w:val="left"/>
      <w:pPr>
        <w:ind w:left="1440" w:hanging="360"/>
      </w:pPr>
      <w:rPr>
        <w:rFonts w:ascii="Times New Roman" w:eastAsia="Times New Roman" w:hAnsi="Times New Roman" w:cs="Times New Roman"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5" w15:restartNumberingAfterBreak="0">
    <w:nsid w:val="4B6B0D4D"/>
    <w:multiLevelType w:val="hybridMultilevel"/>
    <w:tmpl w:val="E458B5AA"/>
    <w:lvl w:ilvl="0" w:tplc="C61E0542">
      <w:start w:val="1"/>
      <w:numFmt w:val="bullet"/>
      <w:lvlText w:val=""/>
      <w:lvlJc w:val="left"/>
      <w:pPr>
        <w:ind w:left="1858" w:hanging="360"/>
      </w:pPr>
      <w:rPr>
        <w:rFonts w:ascii="Symbol" w:hAnsi="Symbol" w:hint="default"/>
      </w:rPr>
    </w:lvl>
    <w:lvl w:ilvl="1" w:tplc="04090003" w:tentative="1">
      <w:start w:val="1"/>
      <w:numFmt w:val="bullet"/>
      <w:lvlText w:val="o"/>
      <w:lvlJc w:val="left"/>
      <w:pPr>
        <w:ind w:left="2578" w:hanging="360"/>
      </w:pPr>
      <w:rPr>
        <w:rFonts w:ascii="Courier New" w:hAnsi="Courier New" w:cs="Courier New" w:hint="default"/>
      </w:rPr>
    </w:lvl>
    <w:lvl w:ilvl="2" w:tplc="04090005" w:tentative="1">
      <w:start w:val="1"/>
      <w:numFmt w:val="bullet"/>
      <w:lvlText w:val=""/>
      <w:lvlJc w:val="left"/>
      <w:pPr>
        <w:ind w:left="3298" w:hanging="360"/>
      </w:pPr>
      <w:rPr>
        <w:rFonts w:ascii="Wingdings" w:hAnsi="Wingdings" w:hint="default"/>
      </w:rPr>
    </w:lvl>
    <w:lvl w:ilvl="3" w:tplc="04090001" w:tentative="1">
      <w:start w:val="1"/>
      <w:numFmt w:val="bullet"/>
      <w:lvlText w:val=""/>
      <w:lvlJc w:val="left"/>
      <w:pPr>
        <w:ind w:left="4018" w:hanging="360"/>
      </w:pPr>
      <w:rPr>
        <w:rFonts w:ascii="Symbol" w:hAnsi="Symbol" w:hint="default"/>
      </w:rPr>
    </w:lvl>
    <w:lvl w:ilvl="4" w:tplc="04090003" w:tentative="1">
      <w:start w:val="1"/>
      <w:numFmt w:val="bullet"/>
      <w:lvlText w:val="o"/>
      <w:lvlJc w:val="left"/>
      <w:pPr>
        <w:ind w:left="4738" w:hanging="360"/>
      </w:pPr>
      <w:rPr>
        <w:rFonts w:ascii="Courier New" w:hAnsi="Courier New" w:cs="Courier New" w:hint="default"/>
      </w:rPr>
    </w:lvl>
    <w:lvl w:ilvl="5" w:tplc="04090005" w:tentative="1">
      <w:start w:val="1"/>
      <w:numFmt w:val="bullet"/>
      <w:lvlText w:val=""/>
      <w:lvlJc w:val="left"/>
      <w:pPr>
        <w:ind w:left="5458" w:hanging="360"/>
      </w:pPr>
      <w:rPr>
        <w:rFonts w:ascii="Wingdings" w:hAnsi="Wingdings" w:hint="default"/>
      </w:rPr>
    </w:lvl>
    <w:lvl w:ilvl="6" w:tplc="04090001" w:tentative="1">
      <w:start w:val="1"/>
      <w:numFmt w:val="bullet"/>
      <w:lvlText w:val=""/>
      <w:lvlJc w:val="left"/>
      <w:pPr>
        <w:ind w:left="6178" w:hanging="360"/>
      </w:pPr>
      <w:rPr>
        <w:rFonts w:ascii="Symbol" w:hAnsi="Symbol" w:hint="default"/>
      </w:rPr>
    </w:lvl>
    <w:lvl w:ilvl="7" w:tplc="04090003" w:tentative="1">
      <w:start w:val="1"/>
      <w:numFmt w:val="bullet"/>
      <w:lvlText w:val="o"/>
      <w:lvlJc w:val="left"/>
      <w:pPr>
        <w:ind w:left="6898" w:hanging="360"/>
      </w:pPr>
      <w:rPr>
        <w:rFonts w:ascii="Courier New" w:hAnsi="Courier New" w:cs="Courier New" w:hint="default"/>
      </w:rPr>
    </w:lvl>
    <w:lvl w:ilvl="8" w:tplc="04090005" w:tentative="1">
      <w:start w:val="1"/>
      <w:numFmt w:val="bullet"/>
      <w:lvlText w:val=""/>
      <w:lvlJc w:val="left"/>
      <w:pPr>
        <w:ind w:left="7618" w:hanging="360"/>
      </w:pPr>
      <w:rPr>
        <w:rFonts w:ascii="Wingdings" w:hAnsi="Wingdings" w:hint="default"/>
      </w:rPr>
    </w:lvl>
  </w:abstractNum>
  <w:abstractNum w:abstractNumId="6" w15:restartNumberingAfterBreak="0">
    <w:nsid w:val="597A5C3C"/>
    <w:multiLevelType w:val="hybridMultilevel"/>
    <w:tmpl w:val="35B836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9E44B64"/>
    <w:multiLevelType w:val="hybridMultilevel"/>
    <w:tmpl w:val="0E8A2B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B786232"/>
    <w:multiLevelType w:val="multilevel"/>
    <w:tmpl w:val="F15AD2D2"/>
    <w:lvl w:ilvl="0">
      <w:start w:val="1"/>
      <w:numFmt w:val="decimal"/>
      <w:pStyle w:val="Heading1"/>
      <w:lvlText w:val="%1."/>
      <w:lvlJc w:val="left"/>
      <w:pPr>
        <w:ind w:left="360" w:hanging="360"/>
      </w:pPr>
    </w:lvl>
    <w:lvl w:ilvl="1">
      <w:start w:val="8"/>
      <w:numFmt w:val="decimal"/>
      <w:isLgl/>
      <w:lvlText w:val="%1.%2"/>
      <w:lvlJc w:val="left"/>
      <w:pPr>
        <w:ind w:left="390" w:hanging="39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num w:numId="1">
    <w:abstractNumId w:val="6"/>
  </w:num>
  <w:num w:numId="2">
    <w:abstractNumId w:val="0"/>
  </w:num>
  <w:num w:numId="3">
    <w:abstractNumId w:val="5"/>
  </w:num>
  <w:num w:numId="4">
    <w:abstractNumId w:val="2"/>
  </w:num>
  <w:num w:numId="5">
    <w:abstractNumId w:val="8"/>
  </w:num>
  <w:num w:numId="6">
    <w:abstractNumId w:val="8"/>
    <w:lvlOverride w:ilvl="0">
      <w:startOverride w:val="3"/>
    </w:lvlOverride>
    <w:lvlOverride w:ilvl="1">
      <w:startOverride w:val="9"/>
    </w:lvlOverride>
  </w:num>
  <w:num w:numId="7">
    <w:abstractNumId w:val="4"/>
  </w:num>
  <w:num w:numId="8">
    <w:abstractNumId w:val="7"/>
  </w:num>
  <w:num w:numId="9">
    <w:abstractNumId w:val="3"/>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hyphenationZone w:val="425"/>
  <w:characterSpacingControl w:val="doNotCompress"/>
  <w:hdrShapeDefaults>
    <o:shapedefaults v:ext="edit" spidmax="1310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DocStatus" w:val="Green"/>
    <w:docVar w:name="LW_CORRIGENDUM" w:val="&lt;UNUSED&gt;"/>
    <w:docVar w:name="LW_COVERPAGE_EXISTS" w:val="True"/>
    <w:docVar w:name="LW_COVERPAGE_GUID" w:val="452E6D52-2BF3-4A84-9FB5-6899F18130FA"/>
    <w:docVar w:name="LW_COVERPAGE_TYPE" w:val="1"/>
    <w:docVar w:name="LW_CROSSREFERENCE" w:val="&lt;UNUSED&gt;"/>
    <w:docVar w:name="LW_DocType" w:val="NORMAL"/>
    <w:docVar w:name="LW_EMISSION" w:val="8.9.2026"/>
    <w:docVar w:name="LW_EMISSION_ISODATE" w:val="2026-09-08"/>
    <w:docVar w:name="LW_EMISSION_LOCATION" w:val="BRX"/>
    <w:docVar w:name="LW_EMISSION_PREFIX" w:val="Brussels, "/>
    <w:docVar w:name="LW_EMISSION_SUFFIX" w:val=" "/>
    <w:docVar w:name="LW_ID_DOCTYPE_NONLW" w:val="CP-007"/>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6) 45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on the implementation of Council Regulation (EC) No 116/2009 of 18 December 2008 on the export of cultural goods&lt;/FMT&gt;_x000d__x000d__x000d__x000d__x000b__x000d__x000d__x000d__x000d__x000b_&lt;FMT:Bold&gt;1 January 2021 to 31 December 2023&lt;/FMT&gt;_x000d__x000d__x000d__x000d__x000d__x000d__x000d__x000b_"/>
    <w:docVar w:name="LW_TYPE.DOC.CP" w:val="REPORT FROM THE COMMISSION TO THE EUROPEAN PARLIAMENT, THE COUNCIL AND THE EUROPEAN ECONOMIC AND SOCIAL COMMITTEE"/>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1073"/>
    <o:shapelayout v:ext="edit">
      <o:idmap v:ext="edit" data="1"/>
    </o:shapelayout>
  </w:shapeDefaults>
  <w:decimalSymbol w:val=","/>
  <w:listSeparator w:val=";"/>
  <w15:chartTrackingRefBased/>
  <w15:docId w15:val="{A5D330EE-5A29-44C1-888F-7B9071406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qFormat/>
    <w:pPr>
      <w:keepNext/>
      <w:keepLines/>
      <w:numPr>
        <w:numId w:val="5"/>
      </w:numPr>
      <w:spacing w:before="240" w:after="120"/>
      <w:ind w:left="357" w:hanging="357"/>
      <w:outlineLvl w:val="0"/>
    </w:pPr>
    <w:rPr>
      <w:rFonts w:eastAsiaTheme="majorEastAsia" w:cstheme="majorBidi"/>
      <w:smallCaps/>
      <w:sz w:val="28"/>
      <w:szCs w:val="32"/>
    </w:rPr>
  </w:style>
  <w:style w:type="paragraph" w:styleId="Heading2">
    <w:name w:val="heading 2"/>
    <w:basedOn w:val="Normal"/>
    <w:next w:val="Normal"/>
    <w:link w:val="Heading2Char"/>
    <w:unhideWhenUsed/>
    <w:qFormat/>
    <w:pPr>
      <w:keepNext/>
      <w:keepLines/>
      <w:spacing w:before="120" w:after="160"/>
      <w:outlineLvl w:val="1"/>
    </w:pPr>
    <w:rPr>
      <w:rFonts w:eastAsiaTheme="majorEastAsia" w:cstheme="majorBidi"/>
      <w:i/>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rPr>
      <w:sz w:val="20"/>
      <w:szCs w:val="20"/>
    </w:rPr>
  </w:style>
  <w:style w:type="character" w:customStyle="1" w:styleId="FootnoteTextChar">
    <w:name w:val="Footnote Text Char"/>
    <w:basedOn w:val="DefaultParagraphFont"/>
    <w:link w:val="FootnoteText"/>
  </w:style>
  <w:style w:type="character" w:styleId="FootnoteReference">
    <w:name w:val="footnote reference"/>
    <w:rPr>
      <w:vertAlign w:val="superscript"/>
    </w:rPr>
  </w:style>
  <w:style w:type="paragraph" w:styleId="ListParagraph">
    <w:name w:val="List Paragraph"/>
    <w:basedOn w:val="Normal"/>
    <w:uiPriority w:val="34"/>
    <w:qFormat/>
    <w:pPr>
      <w:ind w:left="720"/>
      <w:contextualSpacing/>
    </w:pPr>
  </w:style>
  <w:style w:type="paragraph" w:customStyle="1" w:styleId="Default">
    <w:name w:val="Default"/>
    <w:pPr>
      <w:autoSpaceDE w:val="0"/>
      <w:autoSpaceDN w:val="0"/>
      <w:adjustRightInd w:val="0"/>
    </w:pPr>
    <w:rPr>
      <w:color w:val="000000"/>
      <w:sz w:val="24"/>
      <w:szCs w:val="24"/>
      <w:lang w:val="en-US"/>
    </w:rPr>
  </w:style>
  <w:style w:type="paragraph" w:styleId="Header">
    <w:name w:val="header"/>
    <w:basedOn w:val="Normal"/>
    <w:link w:val="HeaderChar"/>
    <w:unhideWhenUsed/>
    <w:pPr>
      <w:tabs>
        <w:tab w:val="center" w:pos="4680"/>
        <w:tab w:val="right" w:pos="9360"/>
      </w:tabs>
    </w:pPr>
  </w:style>
  <w:style w:type="character" w:customStyle="1" w:styleId="HeaderChar">
    <w:name w:val="Header Char"/>
    <w:basedOn w:val="DefaultParagraphFont"/>
    <w:link w:val="Header"/>
    <w:rPr>
      <w:sz w:val="24"/>
      <w:szCs w:val="24"/>
    </w:rPr>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rPr>
      <w:sz w:val="24"/>
      <w:szCs w:val="24"/>
    </w:rPr>
  </w:style>
  <w:style w:type="paragraph" w:styleId="BalloonText">
    <w:name w:val="Balloon Text"/>
    <w:basedOn w:val="Normal"/>
    <w:link w:val="BalloonTextChar"/>
    <w:semiHidden/>
    <w:unhideWhenUsed/>
    <w:rPr>
      <w:rFonts w:ascii="Segoe UI" w:hAnsi="Segoe UI" w:cs="Segoe UI"/>
      <w:sz w:val="18"/>
      <w:szCs w:val="18"/>
    </w:rPr>
  </w:style>
  <w:style w:type="character" w:customStyle="1" w:styleId="BalloonTextChar">
    <w:name w:val="Balloon Text Char"/>
    <w:basedOn w:val="DefaultParagraphFont"/>
    <w:link w:val="BalloonText"/>
    <w:semiHidden/>
    <w:rPr>
      <w:rFonts w:ascii="Segoe UI" w:hAnsi="Segoe UI" w:cs="Segoe UI"/>
      <w:sz w:val="18"/>
      <w:szCs w:val="18"/>
    </w:rPr>
  </w:style>
  <w:style w:type="paragraph" w:styleId="ListBullet">
    <w:name w:val="List Bullet"/>
    <w:basedOn w:val="Normal"/>
    <w:semiHidden/>
    <w:unhideWhenUsed/>
    <w:pPr>
      <w:numPr>
        <w:numId w:val="2"/>
      </w:numPr>
      <w:contextualSpacing/>
    </w:pPr>
  </w:style>
  <w:style w:type="character" w:styleId="Hyperlink">
    <w:name w:val="Hyperlink"/>
    <w:basedOn w:val="DefaultParagraphFont"/>
    <w:uiPriority w:val="99"/>
    <w:unhideWhenUsed/>
    <w:rPr>
      <w:color w:val="0000FF" w:themeColor="hyperlink"/>
      <w:u w:val="single"/>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jc w:val="both"/>
    </w:pPr>
    <w:rPr>
      <w:rFonts w:eastAsiaTheme="minorHAnsi"/>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pPr>
  </w:style>
  <w:style w:type="character" w:customStyle="1" w:styleId="FooterCoverPageChar">
    <w:name w:val="Footer Cover Page Char"/>
    <w:basedOn w:val="DefaultParagraphFont"/>
    <w:link w:val="FooterCoverPage"/>
    <w:rPr>
      <w:sz w:val="24"/>
      <w:szCs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ind w:left="113" w:right="113"/>
      <w:jc w:val="center"/>
    </w:pPr>
    <w:rPr>
      <w:b/>
      <w:sz w:val="32"/>
    </w:rPr>
  </w:style>
  <w:style w:type="character" w:customStyle="1" w:styleId="FooterSensitivityChar">
    <w:name w:val="Footer Sensitivity Char"/>
    <w:basedOn w:val="DefaultParagraphFont"/>
    <w:link w:val="FooterSensitivity"/>
    <w:rPr>
      <w:b/>
      <w:sz w:val="32"/>
      <w:szCs w:val="24"/>
    </w:rPr>
  </w:style>
  <w:style w:type="paragraph" w:customStyle="1" w:styleId="HeaderCoverPage">
    <w:name w:val="Header Cover Page"/>
    <w:basedOn w:val="Normal"/>
    <w:link w:val="HeaderCoverPageChar"/>
    <w:pPr>
      <w:tabs>
        <w:tab w:val="center" w:pos="4535"/>
        <w:tab w:val="right" w:pos="9071"/>
      </w:tabs>
      <w:spacing w:after="120"/>
      <w:jc w:val="both"/>
    </w:pPr>
  </w:style>
  <w:style w:type="character" w:customStyle="1" w:styleId="HeaderCoverPageChar">
    <w:name w:val="Header Cover Page Char"/>
    <w:basedOn w:val="DefaultParagraphFont"/>
    <w:link w:val="HeaderCoverPage"/>
    <w:rPr>
      <w:sz w:val="24"/>
      <w:szCs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Pr>
      <w:b/>
      <w:sz w:val="32"/>
      <w:szCs w:val="24"/>
    </w:rPr>
  </w:style>
  <w:style w:type="paragraph" w:customStyle="1" w:styleId="HeaderSensitivityRight">
    <w:name w:val="Header Sensitivity Right"/>
    <w:basedOn w:val="Normal"/>
    <w:link w:val="HeaderSensitivityRightChar"/>
    <w:pPr>
      <w:spacing w:after="120"/>
      <w:jc w:val="right"/>
    </w:pPr>
    <w:rPr>
      <w:sz w:val="28"/>
    </w:rPr>
  </w:style>
  <w:style w:type="character" w:customStyle="1" w:styleId="HeaderSensitivityRightChar">
    <w:name w:val="Header Sensitivity Right Char"/>
    <w:basedOn w:val="DefaultParagraphFont"/>
    <w:link w:val="HeaderSensitivityRight"/>
    <w:rPr>
      <w:sz w:val="28"/>
      <w:szCs w:val="24"/>
    </w:rPr>
  </w:style>
  <w:style w:type="character" w:customStyle="1" w:styleId="Heading1Char">
    <w:name w:val="Heading 1 Char"/>
    <w:basedOn w:val="DefaultParagraphFont"/>
    <w:link w:val="Heading1"/>
    <w:rPr>
      <w:rFonts w:eastAsiaTheme="majorEastAsia" w:cstheme="majorBidi"/>
      <w:smallCaps/>
      <w:sz w:val="28"/>
      <w:szCs w:val="32"/>
    </w:rPr>
  </w:style>
  <w:style w:type="character" w:customStyle="1" w:styleId="Heading2Char">
    <w:name w:val="Heading 2 Char"/>
    <w:basedOn w:val="DefaultParagraphFont"/>
    <w:link w:val="Heading2"/>
    <w:rPr>
      <w:rFonts w:eastAsiaTheme="majorEastAsia" w:cstheme="majorBidi"/>
      <w:i/>
      <w:sz w:val="26"/>
      <w:szCs w:val="2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pPr>
      <w:numPr>
        <w:numId w:val="0"/>
      </w:numPr>
      <w:spacing w:after="0" w:line="259" w:lineRule="auto"/>
      <w:outlineLvl w:val="9"/>
    </w:pPr>
    <w:rPr>
      <w:rFonts w:asciiTheme="majorHAnsi" w:hAnsiTheme="majorHAnsi"/>
      <w:smallCaps w:val="0"/>
      <w:color w:val="365F91" w:themeColor="accent1" w:themeShade="BF"/>
      <w:sz w:val="32"/>
      <w:lang w:val="en-US" w:eastAsia="en-US"/>
    </w:rPr>
  </w:style>
  <w:style w:type="paragraph" w:styleId="TOC1">
    <w:name w:val="toc 1"/>
    <w:basedOn w:val="Normal"/>
    <w:next w:val="Normal"/>
    <w:autoRedefine/>
    <w:uiPriority w:val="39"/>
    <w:unhideWhenUsed/>
    <w:pPr>
      <w:spacing w:after="100"/>
    </w:pPr>
  </w:style>
  <w:style w:type="paragraph" w:styleId="TOC2">
    <w:name w:val="toc 2"/>
    <w:basedOn w:val="Normal"/>
    <w:next w:val="Normal"/>
    <w:autoRedefine/>
    <w:uiPriority w:val="39"/>
    <w:unhideWhenUsed/>
    <w:pPr>
      <w:spacing w:after="100"/>
      <w:ind w:left="240"/>
    </w:pPr>
  </w:style>
  <w:style w:type="character" w:styleId="CommentReference">
    <w:name w:val="annotation reference"/>
    <w:basedOn w:val="DefaultParagraphFont"/>
    <w:semiHidden/>
    <w:unhideWhenUsed/>
    <w:rPr>
      <w:sz w:val="16"/>
      <w:szCs w:val="16"/>
    </w:rPr>
  </w:style>
  <w:style w:type="paragraph" w:styleId="CommentText">
    <w:name w:val="annotation text"/>
    <w:basedOn w:val="Normal"/>
    <w:link w:val="CommentTextChar"/>
    <w:uiPriority w:val="99"/>
    <w:unhideWhenUsed/>
    <w:qFormat/>
    <w:rPr>
      <w:sz w:val="20"/>
      <w:szCs w:val="20"/>
    </w:rPr>
  </w:style>
  <w:style w:type="character" w:customStyle="1" w:styleId="CommentTextChar">
    <w:name w:val="Comment Text Char"/>
    <w:basedOn w:val="DefaultParagraphFont"/>
    <w:link w:val="CommentText"/>
    <w:uiPriority w:val="99"/>
    <w:qFormat/>
  </w:style>
  <w:style w:type="paragraph" w:styleId="CommentSubject">
    <w:name w:val="annotation subject"/>
    <w:basedOn w:val="CommentText"/>
    <w:next w:val="CommentText"/>
    <w:link w:val="CommentSubjectChar"/>
    <w:semiHidden/>
    <w:unhideWhenUsed/>
    <w:rPr>
      <w:b/>
      <w:bCs/>
    </w:rPr>
  </w:style>
  <w:style w:type="character" w:customStyle="1" w:styleId="CommentSubjectChar">
    <w:name w:val="Comment Subject Char"/>
    <w:basedOn w:val="CommentTextChar"/>
    <w:link w:val="CommentSubject"/>
    <w:semiHidden/>
    <w:rPr>
      <w:b/>
      <w:bCs/>
    </w:rPr>
  </w:style>
  <w:style w:type="paragraph" w:styleId="Revision">
    <w:name w:val="Revision"/>
    <w:hidden/>
    <w:uiPriority w:val="99"/>
    <w:semiHidden/>
    <w:rPr>
      <w:sz w:val="24"/>
      <w:szCs w:val="24"/>
    </w:rPr>
  </w:style>
  <w:style w:type="paragraph" w:customStyle="1" w:styleId="Languesfaisantfoi">
    <w:name w:val="Langues faisant foi"/>
    <w:basedOn w:val="Normal"/>
    <w:next w:val="Normal"/>
    <w:pPr>
      <w:spacing w:before="360" w:after="240"/>
      <w:jc w:val="center"/>
    </w:pPr>
    <w:rPr>
      <w:rFonts w:eastAsiaTheme="minorHAnsi"/>
      <w:szCs w:val="22"/>
      <w:lang w:eastAsia="en-US"/>
    </w:rPr>
  </w:style>
  <w:style w:type="paragraph" w:customStyle="1" w:styleId="LanguesfaisantfoiPagedecouverture">
    <w:name w:val="Langues faisant foi (Page de couverture)"/>
    <w:basedOn w:val="Normal"/>
    <w:next w:val="Normal"/>
    <w:pPr>
      <w:spacing w:before="360" w:after="240"/>
      <w:jc w:val="center"/>
    </w:pPr>
    <w:rPr>
      <w:rFonts w:eastAsiaTheme="minorHAnsi"/>
      <w:szCs w:val="22"/>
      <w:lang w:eastAsia="en-US"/>
    </w:rPr>
  </w:style>
  <w:style w:type="paragraph" w:customStyle="1" w:styleId="IntrtEEE">
    <w:name w:val="Intérêt EEE"/>
    <w:basedOn w:val="Languesfaisantfoi"/>
    <w:next w:val="Normal"/>
    <w:pPr>
      <w:spacing w:after="0"/>
    </w:pPr>
  </w:style>
  <w:style w:type="paragraph" w:customStyle="1" w:styleId="IntrtEEEPagedecouverture">
    <w:name w:val="Intérêt EEE (Page de couverture)"/>
    <w:basedOn w:val="IntrtEEE"/>
    <w:next w:val="Normal"/>
  </w:style>
  <w:style w:type="character" w:styleId="UnresolvedMention">
    <w:name w:val="Unresolved Mention"/>
    <w:basedOn w:val="DefaultParagraphFont"/>
    <w:uiPriority w:val="99"/>
    <w:semiHidden/>
    <w:unhideWhenUsed/>
    <w:rPr>
      <w:color w:val="605E5C"/>
      <w:shd w:val="clear" w:color="auto" w:fill="E1DFDD"/>
    </w:rPr>
  </w:style>
  <w:style w:type="character" w:styleId="FollowedHyperlink">
    <w:name w:val="FollowedHyperlink"/>
    <w:basedOn w:val="DefaultParagraphFont"/>
    <w:semiHidden/>
    <w:unhideWhenUsed/>
    <w:rPr>
      <w:color w:val="800080" w:themeColor="followedHyperlink"/>
      <w:u w:val="single"/>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Theme="minorHAnsi"/>
      <w:szCs w:val="22"/>
      <w:lang w:eastAsia="en-US"/>
    </w:rPr>
  </w:style>
  <w:style w:type="paragraph" w:customStyle="1" w:styleId="SecurityMarking">
    <w:name w:val="SecurityMarking"/>
    <w:basedOn w:val="Normal"/>
    <w:pPr>
      <w:spacing w:line="276" w:lineRule="auto"/>
      <w:ind w:left="5103"/>
    </w:pPr>
    <w:rPr>
      <w:rFonts w:eastAsiaTheme="minorHAnsi"/>
      <w:sz w:val="28"/>
      <w:szCs w:val="22"/>
      <w:lang w:eastAsia="en-US"/>
    </w:rPr>
  </w:style>
  <w:style w:type="paragraph" w:customStyle="1" w:styleId="DateMarking">
    <w:name w:val="DateMarking"/>
    <w:basedOn w:val="Normal"/>
    <w:pPr>
      <w:spacing w:line="276" w:lineRule="auto"/>
      <w:ind w:left="5103"/>
    </w:pPr>
    <w:rPr>
      <w:rFonts w:eastAsiaTheme="minorHAnsi"/>
      <w:i/>
      <w:sz w:val="28"/>
      <w:szCs w:val="22"/>
      <w:lang w:eastAsia="en-US"/>
    </w:rPr>
  </w:style>
  <w:style w:type="paragraph" w:customStyle="1" w:styleId="ReleasableTo">
    <w:name w:val="ReleasableTo"/>
    <w:basedOn w:val="Normal"/>
    <w:pPr>
      <w:spacing w:line="276" w:lineRule="auto"/>
      <w:ind w:left="5103"/>
    </w:pPr>
    <w:rPr>
      <w:rFonts w:eastAsiaTheme="minorHAnsi"/>
      <w:i/>
      <w:sz w:val="28"/>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561602">
      <w:bodyDiv w:val="1"/>
      <w:marLeft w:val="0"/>
      <w:marRight w:val="0"/>
      <w:marTop w:val="0"/>
      <w:marBottom w:val="0"/>
      <w:divBdr>
        <w:top w:val="none" w:sz="0" w:space="0" w:color="auto"/>
        <w:left w:val="none" w:sz="0" w:space="0" w:color="auto"/>
        <w:bottom w:val="none" w:sz="0" w:space="0" w:color="auto"/>
        <w:right w:val="none" w:sz="0" w:space="0" w:color="auto"/>
      </w:divBdr>
    </w:div>
    <w:div w:id="1571650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EN/TXT/?uri=CELEX%3A02012R1081-20121212" TargetMode="External"/><Relationship Id="rId2" Type="http://schemas.openxmlformats.org/officeDocument/2006/relationships/hyperlink" Target="http://data.europa.eu/eli/reg_impl/2012/1081/oj" TargetMode="External"/><Relationship Id="rId1" Type="http://schemas.openxmlformats.org/officeDocument/2006/relationships/hyperlink" Target="http://data.europa.eu/eli/reg/2009/116/oj" TargetMode="External"/><Relationship Id="rId6" Type="http://schemas.openxmlformats.org/officeDocument/2006/relationships/hyperlink" Target="http://data.europa.eu/eli/reg/2014/833/oj" TargetMode="External"/><Relationship Id="rId5" Type="http://schemas.openxmlformats.org/officeDocument/2006/relationships/hyperlink" Target="http://data.europa.eu/eli/dir/2014/60/oj" TargetMode="External"/><Relationship Id="rId4" Type="http://schemas.openxmlformats.org/officeDocument/2006/relationships/hyperlink" Target="http://data.europa.eu/eli/reg/2019/88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56D258-ACEC-47EF-B449-37348105E8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TotalTime>
  <Pages>1</Pages>
  <Words>1949</Words>
  <Characters>11114</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8</cp:revision>
  <dcterms:created xsi:type="dcterms:W3CDTF">2026-06-30T07:13:00Z</dcterms:created>
  <dcterms:modified xsi:type="dcterms:W3CDTF">2026-09-08T08:50:00Z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2026-06-12T14:29:32Z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855be37e-c5bb-4004-9a82-5acf3bfa4f36</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Last edited using">
    <vt:lpwstr>LW 9.2, Build 20250828</vt:lpwstr>
  </property>
  <property fmtid="{D5CDD505-2E9C-101B-9397-08002B2CF9AE}" pid="12" name="DocStatus">
    <vt:lpwstr>Green</vt:lpwstr>
  </property>
</Properties>
</file>