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4EA217-54BF-460F-AA0E-31342D3D88D4" style="width:455.25pt;height:327.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rPr>
          <w:b/>
          <w:bCs/>
          <w:noProof/>
        </w:rPr>
      </w:pPr>
      <w:r>
        <w:rPr>
          <w:b/>
          <w:noProof/>
        </w:rPr>
        <w:lastRenderedPageBreak/>
        <w:t>1. INTRODUCTION</w:t>
      </w:r>
    </w:p>
    <w:p>
      <w:pPr>
        <w:rPr>
          <w:noProof/>
          <w:highlight w:val="yellow"/>
        </w:rPr>
      </w:pPr>
    </w:p>
    <w:p>
      <w:pPr>
        <w:jc w:val="both"/>
        <w:rPr>
          <w:noProof/>
        </w:rPr>
      </w:pPr>
      <w:r>
        <w:rPr>
          <w:noProof/>
        </w:rPr>
        <w:t>Le règlement (CE) nº 116/2009 du Conseil</w:t>
      </w:r>
      <w:r>
        <w:rPr>
          <w:rStyle w:val="FootnoteReference"/>
          <w:noProof/>
        </w:rPr>
        <w:footnoteReference w:id="1"/>
      </w:r>
      <w:r>
        <w:rPr>
          <w:noProof/>
        </w:rPr>
        <w:t xml:space="preserve"> concernant l’exportation de biens culturels (ci-après le «règlement») subordonne l’exportation de certains biens culturels en dehors du territoire douanier de l’Union européenne à la présentation d’une autorisation d’exportation. Il garantit en outre que les exportations de ces biens sont soumises à des contrôles uniformes aux frontières extérieures de l’UE. L’annexe I du règlement définit le champ d’application matériel du règlement en énumérant les catégories de biens culturels auxquelles celui-ci s’applique, ainsi qu’en fixant des seuils d’ancienneté et/ou de valeur pour la majorité des catégories citées.</w:t>
      </w:r>
    </w:p>
    <w:p>
      <w:pPr>
        <w:jc w:val="both"/>
        <w:rPr>
          <w:noProof/>
        </w:rPr>
      </w:pPr>
    </w:p>
    <w:p>
      <w:pPr>
        <w:jc w:val="both"/>
        <w:rPr>
          <w:noProof/>
        </w:rPr>
      </w:pPr>
      <w:r>
        <w:rPr>
          <w:noProof/>
        </w:rPr>
        <w:t>L’objectif du règlement est de réconcilier le principe fondamental de la libre circulation des biens et le principe de la protection des trésors nationaux dans le contexte historique de la création en 1993 du marché intérieur qui a aboli l’ensemble des frontières intérieures entre les États membres.</w:t>
      </w:r>
    </w:p>
    <w:p>
      <w:pPr>
        <w:jc w:val="both"/>
        <w:rPr>
          <w:noProof/>
        </w:rPr>
      </w:pPr>
    </w:p>
    <w:p>
      <w:pPr>
        <w:jc w:val="both"/>
        <w:rPr>
          <w:noProof/>
        </w:rPr>
      </w:pPr>
      <w:r>
        <w:rPr>
          <w:noProof/>
        </w:rPr>
        <w:t>Pour compléter le cadre établi dans ce règlement, un règlement d’exécution</w:t>
      </w:r>
      <w:r>
        <w:rPr>
          <w:rStyle w:val="FootnoteReference"/>
          <w:noProof/>
        </w:rPr>
        <w:footnoteReference w:id="2"/>
      </w:r>
      <w:r>
        <w:rPr>
          <w:noProof/>
        </w:rPr>
        <w:t xml:space="preserve"> prévoit trois types d’autorisations d’exportation (l’autorisation normale, l’autorisation ouverte spécifique et l’autorisation ouverte générale) et en définit les dispositions d’application. En plus de la législation de l’Union, celle de certains États membres impose des restrictions supplémentaires concernant la circulation d’objets qualifiés de trésors nationaux en dehors du territoire national, comme une obligation d’obtenir une autorisation nationale ainsi qu’une autorisation d’exportation européenne.</w:t>
      </w:r>
    </w:p>
    <w:p>
      <w:pPr>
        <w:jc w:val="both"/>
        <w:rPr>
          <w:noProof/>
        </w:rPr>
      </w:pPr>
    </w:p>
    <w:p>
      <w:pPr>
        <w:jc w:val="both"/>
        <w:rPr>
          <w:noProof/>
        </w:rPr>
      </w:pPr>
      <w:r>
        <w:rPr>
          <w:noProof/>
        </w:rPr>
        <w:t>Conformément à l’article 10 du règlement, la Commission est tenue de présenter périodiquement un rapport concernant l’application du règlement. Le présent rapport couvre la période allant du 1</w:t>
      </w:r>
      <w:r>
        <w:rPr>
          <w:noProof/>
          <w:vertAlign w:val="superscript"/>
        </w:rPr>
        <w:t>er</w:t>
      </w:r>
      <w:r>
        <w:rPr>
          <w:noProof/>
        </w:rPr>
        <w:t> janvier 2021 au 31 décembre 2023. Il se fonde sur les informations fournies par les États membres en réponse à un questionnaire</w:t>
      </w:r>
      <w:r>
        <w:rPr>
          <w:rStyle w:val="FootnoteReference"/>
          <w:noProof/>
        </w:rPr>
        <w:footnoteReference w:id="3"/>
      </w:r>
      <w:r>
        <w:rPr>
          <w:noProof/>
        </w:rPr>
        <w:t xml:space="preserve"> portant sur l’ensemble des aspects de l’application du système d’autorisation d’exportation. Il s’appuie également sur les discussions menées au sein du comité des biens culturels et du groupe d’experts sur les questions douanières liées aux biens culturels (ci-après le «groupe d’experts»).</w:t>
      </w:r>
    </w:p>
    <w:p>
      <w:pPr>
        <w:jc w:val="both"/>
        <w:rPr>
          <w:noProof/>
        </w:rPr>
      </w:pPr>
    </w:p>
    <w:p>
      <w:pPr>
        <w:jc w:val="both"/>
        <w:rPr>
          <w:noProof/>
        </w:rPr>
      </w:pPr>
    </w:p>
    <w:p>
      <w:pPr>
        <w:jc w:val="both"/>
        <w:rPr>
          <w:b/>
          <w:bCs/>
          <w:noProof/>
        </w:rPr>
      </w:pPr>
      <w:r>
        <w:rPr>
          <w:b/>
          <w:noProof/>
        </w:rPr>
        <w:t>2. MISE EN ŒUVRE DU RÈGLEMENT</w:t>
      </w:r>
    </w:p>
    <w:p>
      <w:pPr>
        <w:jc w:val="both"/>
        <w:rPr>
          <w:b/>
          <w:bCs/>
          <w:noProof/>
        </w:rPr>
      </w:pPr>
    </w:p>
    <w:p>
      <w:pPr>
        <w:jc w:val="both"/>
        <w:rPr>
          <w:b/>
          <w:bCs/>
          <w:noProof/>
          <w:highlight w:val="yellow"/>
        </w:rPr>
      </w:pPr>
      <w:r>
        <w:rPr>
          <w:b/>
          <w:noProof/>
        </w:rPr>
        <w:t>2.1 Objectif et résultats</w:t>
      </w:r>
    </w:p>
    <w:p>
      <w:pPr>
        <w:jc w:val="both"/>
        <w:rPr>
          <w:noProof/>
        </w:rPr>
      </w:pPr>
    </w:p>
    <w:p>
      <w:pPr>
        <w:jc w:val="both"/>
        <w:rPr>
          <w:noProof/>
        </w:rPr>
      </w:pPr>
      <w:r>
        <w:rPr>
          <w:noProof/>
        </w:rPr>
        <w:t>Tous les États membres, sauf un</w:t>
      </w:r>
      <w:r>
        <w:rPr>
          <w:rStyle w:val="FootnoteReference"/>
          <w:noProof/>
        </w:rPr>
        <w:footnoteReference w:id="4"/>
      </w:r>
      <w:r>
        <w:rPr>
          <w:noProof/>
        </w:rPr>
        <w:t>, estiment que le règlement obtient de bons résultats en ce qui concerne la réalisation de son objectif.</w:t>
      </w:r>
    </w:p>
    <w:p>
      <w:pPr>
        <w:jc w:val="both"/>
        <w:rPr>
          <w:noProof/>
        </w:rPr>
      </w:pPr>
    </w:p>
    <w:p>
      <w:pPr>
        <w:jc w:val="both"/>
        <w:rPr>
          <w:noProof/>
        </w:rPr>
      </w:pPr>
      <w:r>
        <w:rPr>
          <w:noProof/>
        </w:rPr>
        <w:t>Quatorze États membres estiment que le règlement contribue notablement à prévenir le commerce illicite, car il sensibilise les institutions de gestion du patrimoine, les acteurs du commerce légitime de l’art, les collectionneurs et même les touristes à l’importance de faire preuve de la diligence nécessaire avant d’acquérir ou de mettre sur le marché un bien culturel.</w:t>
      </w:r>
    </w:p>
    <w:p>
      <w:pPr>
        <w:jc w:val="both"/>
        <w:rPr>
          <w:noProof/>
        </w:rPr>
      </w:pPr>
    </w:p>
    <w:p>
      <w:pPr>
        <w:jc w:val="both"/>
        <w:rPr>
          <w:noProof/>
        </w:rPr>
      </w:pPr>
      <w:r>
        <w:rPr>
          <w:noProof/>
        </w:rPr>
        <w:t>Quelques États membres ont néanmoins relevé certains points sur lesquels les résultats du règlement pourraient être améliorés:</w:t>
      </w:r>
    </w:p>
    <w:p>
      <w:pPr>
        <w:jc w:val="both"/>
        <w:rPr>
          <w:noProof/>
        </w:rPr>
      </w:pPr>
    </w:p>
    <w:p>
      <w:pPr>
        <w:ind w:left="720"/>
        <w:jc w:val="both"/>
        <w:rPr>
          <w:noProof/>
        </w:rPr>
      </w:pPr>
      <w:r>
        <w:rPr>
          <w:noProof/>
        </w:rPr>
        <w:t>a) le renforcement de la coopération administrative</w:t>
      </w:r>
      <w:r>
        <w:rPr>
          <w:rStyle w:val="FootnoteReference"/>
          <w:noProof/>
        </w:rPr>
        <w:footnoteReference w:id="5"/>
      </w:r>
      <w:r>
        <w:rPr>
          <w:noProof/>
        </w:rPr>
        <w:t>, notamment pour le traitement des cas où le bien culturel visé par une demande d’autorisation provient d’un autre État membre;</w:t>
      </w:r>
    </w:p>
    <w:p>
      <w:pPr>
        <w:jc w:val="both"/>
        <w:rPr>
          <w:noProof/>
        </w:rPr>
      </w:pPr>
    </w:p>
    <w:p>
      <w:pPr>
        <w:ind w:left="720"/>
        <w:jc w:val="both"/>
        <w:rPr>
          <w:noProof/>
        </w:rPr>
      </w:pPr>
      <w:r>
        <w:rPr>
          <w:noProof/>
        </w:rPr>
        <w:t>b) la numérisation du système d’autorisation d’exportation</w:t>
      </w:r>
      <w:r>
        <w:rPr>
          <w:rStyle w:val="FootnoteReference"/>
          <w:noProof/>
        </w:rPr>
        <w:footnoteReference w:id="6"/>
      </w:r>
      <w:r>
        <w:rPr>
          <w:noProof/>
        </w:rPr>
        <w:t xml:space="preserve"> afin de fournir le même niveau de protection aux biens culturels de l’UE qu’aux biens de pays tiers dans le cadre du règlement (UE) 2019/880</w:t>
      </w:r>
      <w:r>
        <w:rPr>
          <w:rStyle w:val="FootnoteReference"/>
          <w:noProof/>
        </w:rPr>
        <w:footnoteReference w:id="7"/>
      </w:r>
      <w:r>
        <w:rPr>
          <w:noProof/>
        </w:rPr>
        <w:t>;</w:t>
      </w:r>
    </w:p>
    <w:p>
      <w:pPr>
        <w:jc w:val="both"/>
        <w:rPr>
          <w:noProof/>
        </w:rPr>
      </w:pPr>
    </w:p>
    <w:p>
      <w:pPr>
        <w:ind w:left="720"/>
        <w:jc w:val="both"/>
        <w:rPr>
          <w:noProof/>
        </w:rPr>
      </w:pPr>
      <w:r>
        <w:rPr>
          <w:noProof/>
        </w:rPr>
        <w:t>c) l’harmonisation des différents instruments de l’UE dédiés à la protection du patrimoine culturel (par ex. le règlement sur les importations et son système électronique</w:t>
      </w:r>
      <w:r>
        <w:rPr>
          <w:rStyle w:val="FootnoteReference"/>
          <w:noProof/>
        </w:rPr>
        <w:footnoteReference w:id="8"/>
      </w:r>
      <w:r>
        <w:rPr>
          <w:noProof/>
        </w:rPr>
        <w:t xml:space="preserve"> ainsi que la directive relative à la restitution</w:t>
      </w:r>
      <w:r>
        <w:rPr>
          <w:rStyle w:val="FootnoteReference"/>
          <w:noProof/>
        </w:rPr>
        <w:footnoteReference w:id="9"/>
      </w:r>
      <w:r>
        <w:rPr>
          <w:noProof/>
        </w:rPr>
        <w:t>) et l’alignement sur les conventions internationales pour la protection des biens culturels</w:t>
      </w:r>
      <w:r>
        <w:rPr>
          <w:rStyle w:val="FootnoteReference"/>
          <w:noProof/>
        </w:rPr>
        <w:footnoteReference w:id="10"/>
      </w:r>
      <w:r>
        <w:rPr>
          <w:noProof/>
        </w:rPr>
        <w:t>;</w:t>
      </w:r>
    </w:p>
    <w:p>
      <w:pPr>
        <w:ind w:left="720"/>
        <w:jc w:val="both"/>
        <w:rPr>
          <w:noProof/>
        </w:rPr>
      </w:pPr>
    </w:p>
    <w:p>
      <w:pPr>
        <w:ind w:left="720"/>
        <w:jc w:val="both"/>
        <w:rPr>
          <w:noProof/>
        </w:rPr>
      </w:pPr>
      <w:r>
        <w:rPr>
          <w:noProof/>
        </w:rPr>
        <w:t>d) une utilisation accrue des outils électroniques modernes (par ex. les technologies de reconnaissance d’images et le renforcement de la coopération avec les gestionnaires d’œuvres d’art pour l’exportation de biens culturels)</w:t>
      </w:r>
      <w:r>
        <w:rPr>
          <w:rStyle w:val="FootnoteReference"/>
          <w:noProof/>
        </w:rPr>
        <w:footnoteReference w:id="11"/>
      </w:r>
      <w:r>
        <w:rPr>
          <w:noProof/>
        </w:rPr>
        <w:t>.</w:t>
      </w:r>
    </w:p>
    <w:p>
      <w:pPr>
        <w:jc w:val="both"/>
        <w:rPr>
          <w:noProof/>
        </w:rPr>
      </w:pPr>
    </w:p>
    <w:p>
      <w:pPr>
        <w:jc w:val="both"/>
        <w:rPr>
          <w:noProof/>
        </w:rPr>
      </w:pPr>
    </w:p>
    <w:p>
      <w:pPr>
        <w:jc w:val="both"/>
        <w:rPr>
          <w:b/>
          <w:bCs/>
          <w:noProof/>
        </w:rPr>
      </w:pPr>
      <w:r>
        <w:rPr>
          <w:b/>
          <w:noProof/>
        </w:rPr>
        <w:t>2.2 Champ d’application matériel du règlement</w:t>
      </w:r>
    </w:p>
    <w:p>
      <w:pPr>
        <w:jc w:val="both"/>
        <w:rPr>
          <w:noProof/>
        </w:rPr>
      </w:pPr>
    </w:p>
    <w:p>
      <w:pPr>
        <w:jc w:val="both"/>
        <w:rPr>
          <w:noProof/>
        </w:rPr>
      </w:pPr>
      <w:r>
        <w:rPr>
          <w:noProof/>
        </w:rPr>
        <w:t>Le champ d’application matériel du règlement (c’est-à-dire le terme «biens culturels») est défini par une référence à 15 </w:t>
      </w:r>
      <w:r>
        <w:rPr>
          <w:b/>
          <w:noProof/>
        </w:rPr>
        <w:t>catégories</w:t>
      </w:r>
      <w:r>
        <w:rPr>
          <w:noProof/>
        </w:rPr>
        <w:t xml:space="preserve"> de biens énumérées dans son annexe I. Une grande majorité d’États membres (21) estiment que ces catégories sont toujours d’actualité et représentatives. Toutefois, six États membres indiquent qu’ils sont parfois confrontés à des problèmes d’interprétation, et quatre États membres recommandent une mise à jour de la liste figurant à l’annexe I. Plus précisément, ces quatre États membres recommandent la création d’une catégorie distincte pour les icônes liturgiques afin de mieux protéger ce type de biens culturels</w:t>
      </w:r>
      <w:r>
        <w:rPr>
          <w:rStyle w:val="FootnoteReference"/>
          <w:noProof/>
        </w:rPr>
        <w:footnoteReference w:id="12"/>
      </w:r>
      <w:r>
        <w:rPr>
          <w:noProof/>
        </w:rPr>
        <w:t>.</w:t>
      </w:r>
    </w:p>
    <w:p>
      <w:pPr>
        <w:jc w:val="both"/>
        <w:rPr>
          <w:noProof/>
        </w:rPr>
      </w:pPr>
    </w:p>
    <w:p>
      <w:pPr>
        <w:jc w:val="both"/>
        <w:rPr>
          <w:noProof/>
        </w:rPr>
      </w:pPr>
      <w:r>
        <w:rPr>
          <w:noProof/>
        </w:rPr>
        <w:t xml:space="preserve">En ce qui concerne les </w:t>
      </w:r>
      <w:r>
        <w:rPr>
          <w:b/>
          <w:noProof/>
        </w:rPr>
        <w:t>seuils d’ancienneté</w:t>
      </w:r>
      <w:r>
        <w:rPr>
          <w:noProof/>
        </w:rPr>
        <w:t xml:space="preserve"> fixés, tous les États membres (25), sauf deux, considèrent que les seuils sont adéquats. Les deux autres États membres proposent d’abaisser les seuils actuels afin de couvrir davantage de biens culturels en alignant le niveau de protection de l’UE sur leur propre niveau de protection nationale. L’un de ces deux États membres concentre sa recommandation sur les biens appartenant aux catégories 11 et 14 (les cartes géographiques imprimées, avec un seuil abaissé à 100 ans, et les moyens de transport, avec un seuil abaissé à 50 ans).</w:t>
      </w:r>
    </w:p>
    <w:p>
      <w:pPr>
        <w:jc w:val="both"/>
        <w:rPr>
          <w:noProof/>
        </w:rPr>
      </w:pPr>
    </w:p>
    <w:p>
      <w:pPr>
        <w:jc w:val="both"/>
        <w:rPr>
          <w:noProof/>
        </w:rPr>
      </w:pPr>
      <w:r>
        <w:rPr>
          <w:noProof/>
        </w:rPr>
        <w:t xml:space="preserve">En ce qui concerne les </w:t>
      </w:r>
      <w:r>
        <w:rPr>
          <w:b/>
          <w:noProof/>
        </w:rPr>
        <w:t>seuils de valeur</w:t>
      </w:r>
      <w:r>
        <w:rPr>
          <w:noProof/>
        </w:rPr>
        <w:t>, près de la moitié des États membres (13) estiment que ces seuils ne sont plus représentatifs et doivent être révisés.</w:t>
      </w:r>
    </w:p>
    <w:p>
      <w:pPr>
        <w:jc w:val="both"/>
        <w:rPr>
          <w:noProof/>
        </w:rPr>
      </w:pPr>
    </w:p>
    <w:p>
      <w:pPr>
        <w:jc w:val="both"/>
        <w:rPr>
          <w:noProof/>
        </w:rPr>
      </w:pPr>
    </w:p>
    <w:p>
      <w:pPr>
        <w:rPr>
          <w:b/>
          <w:bCs/>
          <w:noProof/>
        </w:rPr>
      </w:pPr>
      <w:r>
        <w:rPr>
          <w:b/>
          <w:noProof/>
        </w:rPr>
        <w:t xml:space="preserve">2.3 Détermination de la valeur des biens culturels </w:t>
      </w:r>
    </w:p>
    <w:p>
      <w:pPr>
        <w:rPr>
          <w:b/>
          <w:bCs/>
          <w:noProof/>
        </w:rPr>
      </w:pPr>
    </w:p>
    <w:p>
      <w:pPr>
        <w:jc w:val="both"/>
        <w:rPr>
          <w:noProof/>
        </w:rPr>
      </w:pPr>
      <w:r>
        <w:rPr>
          <w:noProof/>
        </w:rPr>
        <w:t>En raison de la nature des biens culturels et du fait que, parfois, certains biens n’ont jamais fait l’objet d’une transaction, un peu plus de la moitié des États membres (14) déclare rencontrer ponctuellement des difficultés pour déterminer la valeur monétaire exacte (ou même approximative) de ces biens. Les méthodes d’évaluation varient considérablement d’un État membre à l’autre, de sorte qu’une grande majorité d’États membres (21) recommandent la mise au point d’une méthode d’évaluation commune.</w:t>
      </w:r>
    </w:p>
    <w:p>
      <w:pPr>
        <w:rPr>
          <w:noProof/>
        </w:rPr>
      </w:pPr>
    </w:p>
    <w:p>
      <w:pPr>
        <w:jc w:val="both"/>
        <w:rPr>
          <w:b/>
          <w:bCs/>
          <w:noProof/>
        </w:rPr>
      </w:pPr>
      <w:r>
        <w:rPr>
          <w:b/>
          <w:noProof/>
        </w:rPr>
        <w:t>2.4 Autorisations d’exportation</w:t>
      </w:r>
    </w:p>
    <w:p>
      <w:pPr>
        <w:jc w:val="both"/>
        <w:rPr>
          <w:b/>
          <w:bCs/>
          <w:noProof/>
        </w:rPr>
      </w:pPr>
    </w:p>
    <w:p>
      <w:pPr>
        <w:jc w:val="both"/>
        <w:rPr>
          <w:b/>
          <w:bCs/>
          <w:noProof/>
        </w:rPr>
      </w:pPr>
      <w:r>
        <w:rPr>
          <w:noProof/>
        </w:rPr>
        <w:t>Les autorisations d’exportation visées par le règlement sont délivrées par l’autorité compétente du dernier État membre sur le territoire duquel l’objet «se trouvait, légalement et à titre définitif». L’autorisation d’exportation est accordée sur la base des dispositions législatives et réglementaires de cet État membre. Les contrôles douaniers veillent ensuite à ce que les biens culturels ne puissent quitter le territoire douanier de l’Union européenne que s’ils sont accompagnés d’une autorisation d’exportation valable.</w:t>
      </w:r>
    </w:p>
    <w:p>
      <w:pPr>
        <w:jc w:val="both"/>
        <w:rPr>
          <w:b/>
          <w:bCs/>
          <w:noProof/>
        </w:rPr>
      </w:pPr>
    </w:p>
    <w:p>
      <w:pPr>
        <w:jc w:val="both"/>
        <w:rPr>
          <w:i/>
          <w:iCs/>
          <w:noProof/>
          <w:u w:val="single"/>
        </w:rPr>
      </w:pPr>
      <w:r>
        <w:rPr>
          <w:i/>
          <w:noProof/>
          <w:u w:val="single"/>
        </w:rPr>
        <w:t xml:space="preserve">2.4.1 Autorisations normales d’exportation </w:t>
      </w:r>
    </w:p>
    <w:p>
      <w:pPr>
        <w:jc w:val="both"/>
        <w:rPr>
          <w:noProof/>
        </w:rPr>
      </w:pPr>
    </w:p>
    <w:p>
      <w:pPr>
        <w:jc w:val="both"/>
        <w:rPr>
          <w:noProof/>
        </w:rPr>
      </w:pPr>
      <w:r>
        <w:rPr>
          <w:noProof/>
        </w:rPr>
        <w:t>Les autorisations normales doivent être utilisées par défaut</w:t>
      </w:r>
      <w:r>
        <w:rPr>
          <w:rStyle w:val="FootnoteReference"/>
          <w:noProof/>
        </w:rPr>
        <w:footnoteReference w:id="13"/>
      </w:r>
      <w:r>
        <w:rPr>
          <w:noProof/>
        </w:rPr>
        <w:t xml:space="preserve"> pour chaque exportation soumise au règlement. Durant la période couverte par le présent rapport, 35 114 autorisations normales ont été délivrées (pour les chiffres détaillés, voir le tableau 1 fourni en annexe). Les principales catégories pour lesquelles des demandes d’autorisation ont été reçues au cours de la période considérée étaient les suivantes (par ordre décroissant):</w:t>
      </w:r>
    </w:p>
    <w:p>
      <w:pPr>
        <w:jc w:val="both"/>
        <w:rPr>
          <w:noProof/>
        </w:rPr>
      </w:pPr>
    </w:p>
    <w:p>
      <w:pPr>
        <w:pStyle w:val="ListParagraph"/>
        <w:numPr>
          <w:ilvl w:val="0"/>
          <w:numId w:val="10"/>
        </w:numPr>
        <w:jc w:val="both"/>
        <w:rPr>
          <w:noProof/>
        </w:rPr>
      </w:pPr>
      <w:r>
        <w:rPr>
          <w:noProof/>
        </w:rPr>
        <w:t>collections, présentant un intérêt historique, paléontologique, ethnographique ou numismatique;</w:t>
      </w:r>
    </w:p>
    <w:p>
      <w:pPr>
        <w:pStyle w:val="ListParagraph"/>
        <w:numPr>
          <w:ilvl w:val="0"/>
          <w:numId w:val="10"/>
        </w:numPr>
        <w:jc w:val="both"/>
        <w:rPr>
          <w:noProof/>
        </w:rPr>
      </w:pPr>
      <w:r>
        <w:rPr>
          <w:noProof/>
        </w:rPr>
        <w:t>antiquités;</w:t>
      </w:r>
    </w:p>
    <w:p>
      <w:pPr>
        <w:pStyle w:val="ListParagraph"/>
        <w:numPr>
          <w:ilvl w:val="0"/>
          <w:numId w:val="10"/>
        </w:numPr>
        <w:jc w:val="both"/>
        <w:rPr>
          <w:noProof/>
        </w:rPr>
      </w:pPr>
      <w:r>
        <w:rPr>
          <w:noProof/>
        </w:rPr>
        <w:t>objets archéologiques;</w:t>
      </w:r>
    </w:p>
    <w:p>
      <w:pPr>
        <w:pStyle w:val="ListParagraph"/>
        <w:numPr>
          <w:ilvl w:val="0"/>
          <w:numId w:val="10"/>
        </w:numPr>
        <w:jc w:val="both"/>
        <w:rPr>
          <w:noProof/>
        </w:rPr>
      </w:pPr>
      <w:r>
        <w:rPr>
          <w:noProof/>
        </w:rPr>
        <w:t>productions originales de l’art statuaire ou de la sculpture et copies;</w:t>
      </w:r>
    </w:p>
    <w:p>
      <w:pPr>
        <w:pStyle w:val="ListParagraph"/>
        <w:numPr>
          <w:ilvl w:val="0"/>
          <w:numId w:val="10"/>
        </w:numPr>
        <w:jc w:val="both"/>
        <w:rPr>
          <w:noProof/>
        </w:rPr>
      </w:pPr>
      <w:r>
        <w:rPr>
          <w:noProof/>
        </w:rPr>
        <w:t>incunables et manuscrits.</w:t>
      </w:r>
    </w:p>
    <w:p>
      <w:pPr>
        <w:jc w:val="both"/>
        <w:rPr>
          <w:noProof/>
        </w:rPr>
      </w:pPr>
    </w:p>
    <w:p>
      <w:pPr>
        <w:jc w:val="both"/>
        <w:rPr>
          <w:i/>
          <w:iCs/>
          <w:noProof/>
          <w:u w:val="single"/>
        </w:rPr>
      </w:pPr>
      <w:r>
        <w:rPr>
          <w:i/>
          <w:noProof/>
          <w:u w:val="single"/>
        </w:rPr>
        <w:t>2.4.2 Autorisations ouvertes spécifiques</w:t>
      </w:r>
    </w:p>
    <w:p>
      <w:pPr>
        <w:autoSpaceDE w:val="0"/>
        <w:autoSpaceDN w:val="0"/>
        <w:adjustRightInd w:val="0"/>
        <w:jc w:val="both"/>
        <w:rPr>
          <w:noProof/>
        </w:rPr>
      </w:pPr>
    </w:p>
    <w:p>
      <w:pPr>
        <w:autoSpaceDE w:val="0"/>
        <w:autoSpaceDN w:val="0"/>
        <w:adjustRightInd w:val="0"/>
        <w:spacing w:after="160"/>
        <w:jc w:val="both"/>
        <w:rPr>
          <w:noProof/>
        </w:rPr>
      </w:pPr>
      <w:r>
        <w:rPr>
          <w:noProof/>
        </w:rPr>
        <w:t>Les autorisations ouvertes spécifiques peuvent être délivrées pour un bien culturel exporté temporairement, de façon régulière, par un particulier. Durant la période couverte par le présent rapport, 3 507 autorisations ouvertes spécifiques ont été délivrées (pour les chiffres détaillés, voir le tableau 2 fourni en annexe). Ces autorisations concernaient principalement des antiquités [catégorie 15 b)]. Treize États membres ont indiqué qu’ils ne délivraient pas ce type d’autorisation.</w:t>
      </w:r>
    </w:p>
    <w:p>
      <w:pPr>
        <w:autoSpaceDE w:val="0"/>
        <w:autoSpaceDN w:val="0"/>
        <w:adjustRightInd w:val="0"/>
        <w:spacing w:after="160"/>
        <w:jc w:val="both"/>
        <w:rPr>
          <w:noProof/>
        </w:rPr>
      </w:pPr>
      <w:r>
        <w:rPr>
          <w:noProof/>
        </w:rPr>
        <w:t>La majorité des États membres qui délivrent ces autorisations (12 sur 14) définissent une durée de validité allant d’un à cinq ans</w:t>
      </w:r>
      <w:r>
        <w:rPr>
          <w:rStyle w:val="FootnoteReference"/>
          <w:noProof/>
        </w:rPr>
        <w:footnoteReference w:id="14"/>
      </w:r>
      <w:r>
        <w:rPr>
          <w:noProof/>
        </w:rPr>
        <w:t>. Les deux autres ont expliqué que le délai accordé dépend de la durée des expositions.</w:t>
      </w:r>
    </w:p>
    <w:p>
      <w:pPr>
        <w:autoSpaceDE w:val="0"/>
        <w:autoSpaceDN w:val="0"/>
        <w:adjustRightInd w:val="0"/>
        <w:spacing w:after="160"/>
        <w:jc w:val="both"/>
        <w:rPr>
          <w:i/>
          <w:iCs/>
          <w:noProof/>
          <w:u w:val="single"/>
        </w:rPr>
      </w:pPr>
      <w:r>
        <w:rPr>
          <w:i/>
          <w:noProof/>
          <w:u w:val="single"/>
        </w:rPr>
        <w:t>2.4.3 Autorisations ouvertes générales</w:t>
      </w:r>
    </w:p>
    <w:p>
      <w:pPr>
        <w:autoSpaceDE w:val="0"/>
        <w:autoSpaceDN w:val="0"/>
        <w:adjustRightInd w:val="0"/>
        <w:jc w:val="both"/>
        <w:rPr>
          <w:noProof/>
        </w:rPr>
      </w:pPr>
      <w:r>
        <w:rPr>
          <w:noProof/>
        </w:rPr>
        <w:t>Les autorisations ouvertes générales permettent l’exportation temporaire, de façon régulière, de biens culturels appartenant à des musées ou à des institutions similaires. Durant la période couverte par le présent rapport, 1 207 autorisations ouvertes générales ont été délivrées (pour les chiffres détaillés, voir le tableau 3 fourni en annexe). La majorité des États membres (13) qui délivrent de telles autorisations ont indiqué appliquer une durée de validité allant de six mois à cinq ans</w:t>
      </w:r>
      <w:r>
        <w:rPr>
          <w:rStyle w:val="FootnoteReference"/>
          <w:noProof/>
        </w:rPr>
        <w:footnoteReference w:id="15"/>
      </w:r>
      <w:r>
        <w:rPr>
          <w:noProof/>
        </w:rPr>
        <w:t>.</w:t>
      </w:r>
    </w:p>
    <w:p>
      <w:pPr>
        <w:autoSpaceDE w:val="0"/>
        <w:autoSpaceDN w:val="0"/>
        <w:adjustRightInd w:val="0"/>
        <w:jc w:val="both"/>
        <w:rPr>
          <w:noProof/>
        </w:rPr>
      </w:pPr>
    </w:p>
    <w:p>
      <w:pPr>
        <w:jc w:val="both"/>
        <w:rPr>
          <w:i/>
          <w:iCs/>
          <w:noProof/>
          <w:u w:val="single"/>
        </w:rPr>
      </w:pPr>
      <w:r>
        <w:rPr>
          <w:i/>
          <w:noProof/>
          <w:u w:val="single"/>
        </w:rPr>
        <w:t>2.4.4 Problèmes concernant la mise en œuvre des autorisations d’exportation</w:t>
      </w:r>
    </w:p>
    <w:p>
      <w:pPr>
        <w:jc w:val="both"/>
        <w:rPr>
          <w:noProof/>
        </w:rPr>
      </w:pPr>
    </w:p>
    <w:p>
      <w:pPr>
        <w:jc w:val="both"/>
        <w:rPr>
          <w:noProof/>
        </w:rPr>
      </w:pPr>
      <w:r>
        <w:rPr>
          <w:noProof/>
        </w:rPr>
        <w:t>L’</w:t>
      </w:r>
      <w:r>
        <w:rPr>
          <w:b/>
          <w:noProof/>
        </w:rPr>
        <w:t>inclusion de photographies</w:t>
      </w:r>
      <w:r>
        <w:rPr>
          <w:noProof/>
        </w:rPr>
        <w:t xml:space="preserve"> dans une demande d’autorisation est importante car elle permet aux autorités douanières d’identifier l’objet lors du contrôle de l’autorisation. Tous les États membres sauf trois exigent systématiquement des photographies pour les demandes définitives d’autorisation d’exportation.</w:t>
      </w:r>
    </w:p>
    <w:p>
      <w:pPr>
        <w:autoSpaceDE w:val="0"/>
        <w:autoSpaceDN w:val="0"/>
        <w:adjustRightInd w:val="0"/>
        <w:spacing w:after="160"/>
        <w:jc w:val="both"/>
        <w:rPr>
          <w:noProof/>
        </w:rPr>
      </w:pPr>
    </w:p>
    <w:p>
      <w:pPr>
        <w:jc w:val="both"/>
        <w:rPr>
          <w:noProof/>
        </w:rPr>
      </w:pPr>
      <w:r>
        <w:rPr>
          <w:b/>
          <w:noProof/>
        </w:rPr>
        <w:t xml:space="preserve">Exemption de l’obligation en matière d’autorisation d’exportation </w:t>
      </w:r>
      <w:r>
        <w:rPr>
          <w:noProof/>
        </w:rPr>
        <w:t>Cette exemption est fondée sur l’article 2, paragraphe 2, du règlement. Elle autorise les États membres à ne pas exiger d’autorisation d’exportation pour les objets visés aux premier et deuxième tirets de la catégorie 1 (c’est-à-dire lorsqu’ils offrent un intérêt archéologique ou scientifique limité)</w:t>
      </w:r>
      <w:r>
        <w:rPr>
          <w:rStyle w:val="FootnoteReference"/>
          <w:noProof/>
        </w:rPr>
        <w:footnoteReference w:id="16"/>
      </w:r>
      <w:r>
        <w:rPr>
          <w:noProof/>
        </w:rPr>
        <w:t>. Seuls deux États membres ont fait usage de cette exemption au cours de la période couverte par le présent rapport.</w:t>
      </w:r>
    </w:p>
    <w:p>
      <w:pPr>
        <w:pStyle w:val="Default"/>
        <w:jc w:val="both"/>
        <w:rPr>
          <w:noProof/>
          <w:color w:val="auto"/>
        </w:rPr>
      </w:pPr>
    </w:p>
    <w:p>
      <w:pPr>
        <w:jc w:val="both"/>
        <w:rPr>
          <w:noProof/>
        </w:rPr>
      </w:pPr>
      <w:r>
        <w:rPr>
          <w:b/>
          <w:noProof/>
        </w:rPr>
        <w:t>Motifs de rejet d’une demande d’autorisation</w:t>
      </w:r>
      <w:r>
        <w:rPr>
          <w:noProof/>
        </w:rPr>
        <w:t xml:space="preserve"> Neuf États membres ont rejeté 505 demandes d’autorisation normale d’exportation au cours de la période considérée. Ils l’ont fait pour l’une des raisons suivantes: l’objet avait une origine illicite; la législation nationale existante protégeait les trésors nationaux ayant une valeur artistique, historique ou archéologique; les seuils d’ancienneté et/ou de valeur n’étaient pas atteints; l’autorisation d’exportation devait être délivrée par l’autorité compétente d’un autre État membre. Deux États membres ont refusé l’exportation d’un bien culturel vers la Fédération de Russie en raison des sanctions commerciales adoptées par l’UE</w:t>
      </w:r>
      <w:r>
        <w:rPr>
          <w:rStyle w:val="FootnoteReference"/>
          <w:noProof/>
        </w:rPr>
        <w:footnoteReference w:id="17"/>
      </w:r>
      <w:r>
        <w:rPr>
          <w:noProof/>
        </w:rPr>
        <w:t>.</w:t>
      </w:r>
    </w:p>
    <w:p>
      <w:pPr>
        <w:jc w:val="both"/>
        <w:rPr>
          <w:noProof/>
        </w:rPr>
      </w:pPr>
    </w:p>
    <w:p>
      <w:pPr>
        <w:jc w:val="both"/>
        <w:rPr>
          <w:noProof/>
        </w:rPr>
      </w:pPr>
      <w:r>
        <w:rPr>
          <w:b/>
          <w:noProof/>
        </w:rPr>
        <w:t xml:space="preserve">Révocation d’autorisations </w:t>
      </w:r>
      <w:r>
        <w:rPr>
          <w:noProof/>
        </w:rPr>
        <w:t>Dix États membres disposent d’une législation prévoyant la révocation d’autorisations après leur délivrance. Toutefois, seul un État membre a révoqué des autorisations (deux) au cours de la période considérée.</w:t>
      </w:r>
    </w:p>
    <w:p>
      <w:pPr>
        <w:jc w:val="both"/>
        <w:rPr>
          <w:noProof/>
        </w:rPr>
      </w:pPr>
    </w:p>
    <w:p>
      <w:pPr>
        <w:jc w:val="both"/>
        <w:rPr>
          <w:b/>
          <w:bCs/>
          <w:noProof/>
        </w:rPr>
      </w:pPr>
      <w:r>
        <w:rPr>
          <w:b/>
          <w:noProof/>
        </w:rPr>
        <w:t>2.5 Système électronique – numérisation</w:t>
      </w:r>
    </w:p>
    <w:p>
      <w:pPr>
        <w:jc w:val="both"/>
        <w:rPr>
          <w:noProof/>
        </w:rPr>
      </w:pPr>
    </w:p>
    <w:p>
      <w:pPr>
        <w:jc w:val="both"/>
        <w:rPr>
          <w:noProof/>
        </w:rPr>
      </w:pPr>
      <w:r>
        <w:rPr>
          <w:noProof/>
        </w:rPr>
        <w:t>Une très grande majorité d’États membres (25) soutiennent les efforts visant à numériser le système d’autorisation d’exportation en développant un système électronique centralisé au niveau de l’UE. Un tel système devrait faciliter la coopération administrative entre les autorités des États membres, permettre de mieux retracer la provenance des biens culturels dans l’ensemble de l’Union et améliorer le suivi des autorisations d’exportation.</w:t>
      </w:r>
    </w:p>
    <w:p>
      <w:pPr>
        <w:jc w:val="both"/>
        <w:rPr>
          <w:noProof/>
        </w:rPr>
      </w:pPr>
    </w:p>
    <w:p>
      <w:pPr>
        <w:jc w:val="both"/>
        <w:rPr>
          <w:noProof/>
        </w:rPr>
      </w:pPr>
      <w:r>
        <w:rPr>
          <w:noProof/>
        </w:rPr>
        <w:t>Au moment de la rédaction du présent rapport, la Commission était en train d’adopter de nouvelles dispositions d’exécution à cette fin. D’après ce projet de dispositions, le système d’exportation de biens culturels devrait être mis en service le 2 octobre 2031.</w:t>
      </w:r>
    </w:p>
    <w:p>
      <w:pPr>
        <w:jc w:val="both"/>
        <w:rPr>
          <w:noProof/>
        </w:rPr>
      </w:pPr>
    </w:p>
    <w:p>
      <w:pPr>
        <w:rPr>
          <w:b/>
          <w:bCs/>
          <w:noProof/>
        </w:rPr>
      </w:pPr>
    </w:p>
    <w:p>
      <w:pPr>
        <w:rPr>
          <w:b/>
          <w:bCs/>
          <w:noProof/>
        </w:rPr>
      </w:pPr>
      <w:r>
        <w:rPr>
          <w:b/>
          <w:noProof/>
        </w:rPr>
        <w:t>3. CONCLUSIONS ET QUESTIONS EN SUSPENS</w:t>
      </w:r>
    </w:p>
    <w:p>
      <w:pPr>
        <w:jc w:val="both"/>
        <w:rPr>
          <w:noProof/>
          <w:sz w:val="23"/>
          <w:szCs w:val="23"/>
        </w:rPr>
      </w:pPr>
    </w:p>
    <w:p>
      <w:pPr>
        <w:jc w:val="both"/>
        <w:rPr>
          <w:noProof/>
        </w:rPr>
      </w:pPr>
      <w:r>
        <w:rPr>
          <w:noProof/>
        </w:rPr>
        <w:t>Comme cela était le cas dans les rapports précédents et d’après les retours d’information transmis par les États membres, il est considéré que le règlement 1) produit de bons résultats en ce qui concerne la réalisation de ses objectifs et que 2) il est un instrument important dans le cadre de la lutte contre le commerce illicite.</w:t>
      </w:r>
    </w:p>
    <w:p>
      <w:pPr>
        <w:jc w:val="both"/>
        <w:rPr>
          <w:noProof/>
        </w:rPr>
      </w:pPr>
    </w:p>
    <w:p>
      <w:pPr>
        <w:jc w:val="both"/>
        <w:rPr>
          <w:noProof/>
        </w:rPr>
      </w:pPr>
      <w:r>
        <w:rPr>
          <w:noProof/>
        </w:rPr>
        <w:t>La Commission assurera le suivi des améliorations recommandées ci-après, mises en avant par la plupart des États membres:</w:t>
      </w:r>
    </w:p>
    <w:p>
      <w:pPr>
        <w:jc w:val="both"/>
        <w:rPr>
          <w:noProof/>
        </w:rPr>
      </w:pPr>
    </w:p>
    <w:p>
      <w:pPr>
        <w:pStyle w:val="ListParagraph"/>
        <w:numPr>
          <w:ilvl w:val="0"/>
          <w:numId w:val="10"/>
        </w:numPr>
        <w:jc w:val="both"/>
        <w:rPr>
          <w:noProof/>
        </w:rPr>
      </w:pPr>
      <w:r>
        <w:rPr>
          <w:noProof/>
        </w:rPr>
        <w:t>en ce qui concerne la numérisation: la Commission prépare actuellement la mise au point du système d’exportation de biens culturels, empruntant pour cela de nombreuses caractéristiques et fonctionnalités du système d’importation de biens culturels tout en répondant aux besoins spécifiques découlant du règlement;</w:t>
      </w:r>
    </w:p>
    <w:p>
      <w:pPr>
        <w:pStyle w:val="ListParagraph"/>
        <w:numPr>
          <w:ilvl w:val="0"/>
          <w:numId w:val="10"/>
        </w:numPr>
        <w:jc w:val="both"/>
        <w:rPr>
          <w:noProof/>
        </w:rPr>
      </w:pPr>
      <w:r>
        <w:rPr>
          <w:noProof/>
        </w:rPr>
        <w:t>en ce qui concerne la mise à jour proposée du champ d’application matériel du règlement: la Commission profitera d’une prochaine réunion du groupe d’experts pour proposer une réflexion prioritaire sur l’éventuelle révision des seuils de valeur</w:t>
      </w:r>
      <w:r>
        <w:rPr>
          <w:rStyle w:val="FootnoteReference"/>
          <w:noProof/>
        </w:rPr>
        <w:footnoteReference w:id="18"/>
      </w:r>
      <w:r>
        <w:rPr>
          <w:noProof/>
        </w:rPr>
        <w:t>;</w:t>
      </w:r>
    </w:p>
    <w:p>
      <w:pPr>
        <w:pStyle w:val="ListParagraph"/>
        <w:numPr>
          <w:ilvl w:val="0"/>
          <w:numId w:val="10"/>
        </w:numPr>
        <w:jc w:val="both"/>
        <w:rPr>
          <w:noProof/>
        </w:rPr>
      </w:pPr>
      <w:r>
        <w:rPr>
          <w:noProof/>
        </w:rPr>
        <w:t xml:space="preserve">en ce qui concerne la possibilité d’élaborer une méthode d’évaluation commune: la Commission invitera les États membres à </w:t>
      </w:r>
      <w:bookmarkStart w:id="2" w:name="_Hlk233985361"/>
      <w:r>
        <w:rPr>
          <w:noProof/>
        </w:rPr>
        <w:t>faire part de leurs réflexions et suggestions</w:t>
      </w:r>
      <w:bookmarkEnd w:id="2"/>
      <w:r>
        <w:rPr>
          <w:noProof/>
        </w:rPr>
        <w:t xml:space="preserve"> lors d’une prochaine réunion du groupe d’experts.</w:t>
      </w:r>
    </w:p>
    <w:p>
      <w:pPr>
        <w:jc w:val="both"/>
        <w:rPr>
          <w:noProof/>
          <w:sz w:val="23"/>
          <w:szCs w:val="23"/>
        </w:rPr>
      </w:pPr>
    </w:p>
    <w:p>
      <w:pPr>
        <w:jc w:val="both"/>
        <w:rPr>
          <w:noProof/>
          <w:sz w:val="23"/>
          <w:szCs w:val="23"/>
        </w:rPr>
      </w:pPr>
    </w:p>
    <w:p>
      <w:pPr>
        <w:rPr>
          <w:noProof/>
          <w:sz w:val="23"/>
          <w:szCs w:val="23"/>
        </w:rPr>
      </w:pPr>
      <w:r>
        <w:rPr>
          <w:noProof/>
        </w:rPr>
        <w:br w:type="page"/>
      </w:r>
    </w:p>
    <w:p>
      <w:pPr>
        <w:rPr>
          <w:noProof/>
          <w:sz w:val="23"/>
          <w:szCs w:val="23"/>
        </w:rPr>
      </w:pPr>
    </w:p>
    <w:p>
      <w:pPr>
        <w:rPr>
          <w:noProof/>
          <w:sz w:val="23"/>
          <w:szCs w:val="23"/>
        </w:rPr>
      </w:pPr>
    </w:p>
    <w:p>
      <w:pPr>
        <w:rPr>
          <w:noProof/>
          <w:sz w:val="23"/>
          <w:szCs w:val="23"/>
        </w:rPr>
      </w:pPr>
    </w:p>
    <w:p>
      <w:pPr>
        <w:jc w:val="center"/>
        <w:rPr>
          <w:b/>
          <w:bCs/>
          <w:noProof/>
        </w:rPr>
      </w:pPr>
      <w:r>
        <w:rPr>
          <w:b/>
          <w:noProof/>
        </w:rPr>
        <w:t>4. ANNEXE</w:t>
      </w:r>
    </w:p>
    <w:p>
      <w:pPr>
        <w:rPr>
          <w:noProof/>
        </w:rPr>
      </w:pPr>
    </w:p>
    <w:p>
      <w:pPr>
        <w:rPr>
          <w:noProof/>
        </w:rPr>
      </w:pPr>
      <w:r>
        <w:rPr>
          <w:noProof/>
        </w:rPr>
        <w:t>Tableau 1. Autorisations normales délivrées par les États membres</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noProof/>
              </w:rPr>
              <w:t>États membres</w:t>
            </w:r>
          </w:p>
        </w:tc>
        <w:tc>
          <w:tcPr>
            <w:tcW w:w="3674" w:type="dxa"/>
            <w:gridSpan w:val="3"/>
            <w:shd w:val="clear" w:color="auto" w:fill="DBE5F1" w:themeFill="accent1" w:themeFillTint="33"/>
            <w:vAlign w:val="center"/>
          </w:tcPr>
          <w:p>
            <w:pPr>
              <w:jc w:val="center"/>
              <w:rPr>
                <w:b/>
                <w:bCs/>
                <w:noProof/>
              </w:rPr>
            </w:pPr>
            <w:r>
              <w:rPr>
                <w:b/>
                <w:noProof/>
              </w:rPr>
              <w:t>Année</w:t>
            </w:r>
          </w:p>
        </w:tc>
        <w:tc>
          <w:tcPr>
            <w:tcW w:w="1463" w:type="dxa"/>
            <w:vMerge w:val="restart"/>
            <w:shd w:val="clear" w:color="auto" w:fill="DBE5F1" w:themeFill="accent1" w:themeFillTint="33"/>
            <w:vAlign w:val="center"/>
          </w:tcPr>
          <w:p>
            <w:pPr>
              <w:jc w:val="center"/>
              <w:rPr>
                <w:b/>
                <w:bCs/>
                <w:noProof/>
              </w:rPr>
            </w:pPr>
            <w:r>
              <w:rPr>
                <w:b/>
                <w:noProof/>
              </w:rPr>
              <w:t>2021-2023</w:t>
            </w:r>
          </w:p>
        </w:tc>
        <w:tc>
          <w:tcPr>
            <w:tcW w:w="2426" w:type="dxa"/>
            <w:vMerge w:val="restart"/>
            <w:shd w:val="clear" w:color="auto" w:fill="DBE5F1" w:themeFill="accent1" w:themeFillTint="33"/>
            <w:vAlign w:val="center"/>
          </w:tcPr>
          <w:p>
            <w:pPr>
              <w:jc w:val="center"/>
              <w:rPr>
                <w:b/>
                <w:bCs/>
                <w:noProof/>
              </w:rPr>
            </w:pPr>
            <w:r>
              <w:rPr>
                <w:b/>
                <w:noProof/>
              </w:rPr>
              <w:t>Part du total en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noProof/>
              </w:rPr>
              <w:t>2021</w:t>
            </w:r>
          </w:p>
        </w:tc>
        <w:tc>
          <w:tcPr>
            <w:tcW w:w="1275" w:type="dxa"/>
            <w:shd w:val="clear" w:color="auto" w:fill="DBE5F1" w:themeFill="accent1" w:themeFillTint="33"/>
          </w:tcPr>
          <w:p>
            <w:pPr>
              <w:jc w:val="center"/>
              <w:rPr>
                <w:b/>
                <w:bCs/>
                <w:noProof/>
              </w:rPr>
            </w:pPr>
            <w:r>
              <w:rPr>
                <w:b/>
                <w:noProof/>
              </w:rPr>
              <w:t>2022</w:t>
            </w:r>
          </w:p>
        </w:tc>
        <w:tc>
          <w:tcPr>
            <w:tcW w:w="1276" w:type="dxa"/>
            <w:shd w:val="clear" w:color="auto" w:fill="DBE5F1" w:themeFill="accent1" w:themeFillTint="33"/>
          </w:tcPr>
          <w:p>
            <w:pPr>
              <w:jc w:val="center"/>
              <w:rPr>
                <w:b/>
                <w:bCs/>
                <w:noProof/>
              </w:rPr>
            </w:pPr>
            <w:r>
              <w:rPr>
                <w:b/>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noProof/>
              </w:rPr>
              <w:t>BE</w:t>
            </w:r>
          </w:p>
        </w:tc>
        <w:tc>
          <w:tcPr>
            <w:tcW w:w="1123" w:type="dxa"/>
          </w:tcPr>
          <w:p>
            <w:pPr>
              <w:jc w:val="right"/>
              <w:rPr>
                <w:noProof/>
              </w:rPr>
            </w:pPr>
            <w:r>
              <w:rPr>
                <w:noProof/>
              </w:rPr>
              <w:t>432</w:t>
            </w:r>
          </w:p>
        </w:tc>
        <w:tc>
          <w:tcPr>
            <w:tcW w:w="1275" w:type="dxa"/>
          </w:tcPr>
          <w:p>
            <w:pPr>
              <w:jc w:val="right"/>
              <w:rPr>
                <w:noProof/>
              </w:rPr>
            </w:pPr>
            <w:r>
              <w:rPr>
                <w:noProof/>
              </w:rPr>
              <w:t>533</w:t>
            </w:r>
          </w:p>
        </w:tc>
        <w:tc>
          <w:tcPr>
            <w:tcW w:w="1276" w:type="dxa"/>
          </w:tcPr>
          <w:p>
            <w:pPr>
              <w:jc w:val="right"/>
              <w:rPr>
                <w:noProof/>
              </w:rPr>
            </w:pPr>
            <w:r>
              <w:rPr>
                <w:noProof/>
              </w:rPr>
              <w:t>599</w:t>
            </w:r>
          </w:p>
        </w:tc>
        <w:tc>
          <w:tcPr>
            <w:tcW w:w="1463" w:type="dxa"/>
          </w:tcPr>
          <w:p>
            <w:pPr>
              <w:jc w:val="right"/>
              <w:rPr>
                <w:noProof/>
              </w:rPr>
            </w:pPr>
            <w:r>
              <w:rPr>
                <w:noProof/>
              </w:rPr>
              <w:t>1 564</w:t>
            </w:r>
          </w:p>
        </w:tc>
        <w:tc>
          <w:tcPr>
            <w:tcW w:w="2426" w:type="dxa"/>
            <w:vAlign w:val="bottom"/>
          </w:tcPr>
          <w:p>
            <w:pPr>
              <w:jc w:val="right"/>
              <w:rPr>
                <w:noProof/>
              </w:rPr>
            </w:pPr>
            <w:r>
              <w:rPr>
                <w:noProof/>
              </w:rPr>
              <w:t>5,60 %</w:t>
            </w:r>
          </w:p>
        </w:tc>
      </w:tr>
      <w:tr>
        <w:tc>
          <w:tcPr>
            <w:tcW w:w="1679" w:type="dxa"/>
            <w:shd w:val="clear" w:color="auto" w:fill="DBE5F1" w:themeFill="accent1" w:themeFillTint="33"/>
          </w:tcPr>
          <w:p>
            <w:pPr>
              <w:jc w:val="center"/>
              <w:rPr>
                <w:b/>
                <w:bCs/>
                <w:noProof/>
              </w:rPr>
            </w:pPr>
            <w:r>
              <w:rPr>
                <w:b/>
                <w:noProof/>
              </w:rPr>
              <w:t>BG</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CZ</w:t>
            </w:r>
          </w:p>
        </w:tc>
        <w:tc>
          <w:tcPr>
            <w:tcW w:w="1123" w:type="dxa"/>
          </w:tcPr>
          <w:p>
            <w:pPr>
              <w:jc w:val="right"/>
              <w:rPr>
                <w:noProof/>
              </w:rPr>
            </w:pPr>
            <w:r>
              <w:rPr>
                <w:noProof/>
              </w:rPr>
              <w:t>6</w:t>
            </w:r>
          </w:p>
        </w:tc>
        <w:tc>
          <w:tcPr>
            <w:tcW w:w="1275" w:type="dxa"/>
          </w:tcPr>
          <w:p>
            <w:pPr>
              <w:jc w:val="right"/>
              <w:rPr>
                <w:noProof/>
              </w:rPr>
            </w:pPr>
            <w:r>
              <w:rPr>
                <w:noProof/>
              </w:rPr>
              <w:t>12</w:t>
            </w:r>
          </w:p>
        </w:tc>
        <w:tc>
          <w:tcPr>
            <w:tcW w:w="1276" w:type="dxa"/>
          </w:tcPr>
          <w:p>
            <w:pPr>
              <w:jc w:val="right"/>
              <w:rPr>
                <w:noProof/>
              </w:rPr>
            </w:pPr>
            <w:r>
              <w:rPr>
                <w:noProof/>
              </w:rPr>
              <w:t>28</w:t>
            </w:r>
          </w:p>
        </w:tc>
        <w:tc>
          <w:tcPr>
            <w:tcW w:w="1463" w:type="dxa"/>
          </w:tcPr>
          <w:p>
            <w:pPr>
              <w:jc w:val="right"/>
              <w:rPr>
                <w:noProof/>
              </w:rPr>
            </w:pPr>
            <w:r>
              <w:rPr>
                <w:noProof/>
              </w:rPr>
              <w:t>46</w:t>
            </w:r>
          </w:p>
        </w:tc>
        <w:tc>
          <w:tcPr>
            <w:tcW w:w="2426" w:type="dxa"/>
            <w:vAlign w:val="bottom"/>
          </w:tcPr>
          <w:p>
            <w:pPr>
              <w:jc w:val="right"/>
              <w:rPr>
                <w:noProof/>
              </w:rPr>
            </w:pPr>
            <w:r>
              <w:rPr>
                <w:noProof/>
              </w:rPr>
              <w:t>0,13 %</w:t>
            </w:r>
          </w:p>
        </w:tc>
      </w:tr>
      <w:tr>
        <w:tc>
          <w:tcPr>
            <w:tcW w:w="1679" w:type="dxa"/>
            <w:shd w:val="clear" w:color="auto" w:fill="DBE5F1" w:themeFill="accent1" w:themeFillTint="33"/>
          </w:tcPr>
          <w:p>
            <w:pPr>
              <w:jc w:val="center"/>
              <w:rPr>
                <w:b/>
                <w:bCs/>
                <w:noProof/>
              </w:rPr>
            </w:pPr>
            <w:r>
              <w:rPr>
                <w:b/>
                <w:noProof/>
              </w:rPr>
              <w:t>DK</w:t>
            </w:r>
          </w:p>
        </w:tc>
        <w:tc>
          <w:tcPr>
            <w:tcW w:w="1123" w:type="dxa"/>
          </w:tcPr>
          <w:p>
            <w:pPr>
              <w:jc w:val="right"/>
              <w:rPr>
                <w:noProof/>
              </w:rPr>
            </w:pPr>
            <w:r>
              <w:rPr>
                <w:noProof/>
              </w:rPr>
              <w:t>68</w:t>
            </w:r>
          </w:p>
        </w:tc>
        <w:tc>
          <w:tcPr>
            <w:tcW w:w="1275" w:type="dxa"/>
          </w:tcPr>
          <w:p>
            <w:pPr>
              <w:jc w:val="right"/>
              <w:rPr>
                <w:noProof/>
              </w:rPr>
            </w:pPr>
            <w:r>
              <w:rPr>
                <w:noProof/>
              </w:rPr>
              <w:t>48</w:t>
            </w:r>
          </w:p>
        </w:tc>
        <w:tc>
          <w:tcPr>
            <w:tcW w:w="1276" w:type="dxa"/>
          </w:tcPr>
          <w:p>
            <w:pPr>
              <w:jc w:val="right"/>
              <w:rPr>
                <w:noProof/>
              </w:rPr>
            </w:pPr>
            <w:r>
              <w:rPr>
                <w:noProof/>
              </w:rPr>
              <w:t>74</w:t>
            </w:r>
          </w:p>
        </w:tc>
        <w:tc>
          <w:tcPr>
            <w:tcW w:w="1463" w:type="dxa"/>
          </w:tcPr>
          <w:p>
            <w:pPr>
              <w:jc w:val="right"/>
              <w:rPr>
                <w:noProof/>
              </w:rPr>
            </w:pPr>
            <w:r>
              <w:rPr>
                <w:noProof/>
              </w:rPr>
              <w:t>190</w:t>
            </w:r>
          </w:p>
        </w:tc>
        <w:tc>
          <w:tcPr>
            <w:tcW w:w="2426" w:type="dxa"/>
            <w:vAlign w:val="bottom"/>
          </w:tcPr>
          <w:p>
            <w:pPr>
              <w:jc w:val="right"/>
              <w:rPr>
                <w:noProof/>
              </w:rPr>
            </w:pPr>
            <w:r>
              <w:rPr>
                <w:noProof/>
              </w:rPr>
              <w:t>0,53 %</w:t>
            </w:r>
          </w:p>
        </w:tc>
      </w:tr>
      <w:tr>
        <w:tc>
          <w:tcPr>
            <w:tcW w:w="1679" w:type="dxa"/>
            <w:shd w:val="clear" w:color="auto" w:fill="DBE5F1" w:themeFill="accent1" w:themeFillTint="33"/>
          </w:tcPr>
          <w:p>
            <w:pPr>
              <w:jc w:val="center"/>
              <w:rPr>
                <w:b/>
                <w:bCs/>
                <w:noProof/>
              </w:rPr>
            </w:pPr>
            <w:r>
              <w:rPr>
                <w:b/>
                <w:noProof/>
              </w:rPr>
              <w:t>DE</w:t>
            </w:r>
          </w:p>
        </w:tc>
        <w:tc>
          <w:tcPr>
            <w:tcW w:w="1123" w:type="dxa"/>
          </w:tcPr>
          <w:p>
            <w:pPr>
              <w:jc w:val="right"/>
              <w:rPr>
                <w:noProof/>
              </w:rPr>
            </w:pPr>
            <w:r>
              <w:rPr>
                <w:noProof/>
              </w:rPr>
              <w:t>1 590</w:t>
            </w:r>
          </w:p>
        </w:tc>
        <w:tc>
          <w:tcPr>
            <w:tcW w:w="1275" w:type="dxa"/>
          </w:tcPr>
          <w:p>
            <w:pPr>
              <w:jc w:val="right"/>
              <w:rPr>
                <w:noProof/>
              </w:rPr>
            </w:pPr>
            <w:r>
              <w:rPr>
                <w:noProof/>
              </w:rPr>
              <w:t>1 343</w:t>
            </w:r>
          </w:p>
        </w:tc>
        <w:tc>
          <w:tcPr>
            <w:tcW w:w="1276" w:type="dxa"/>
          </w:tcPr>
          <w:p>
            <w:pPr>
              <w:jc w:val="right"/>
              <w:rPr>
                <w:noProof/>
              </w:rPr>
            </w:pPr>
            <w:r>
              <w:rPr>
                <w:noProof/>
              </w:rPr>
              <w:t>1 390</w:t>
            </w:r>
          </w:p>
        </w:tc>
        <w:tc>
          <w:tcPr>
            <w:tcW w:w="1463" w:type="dxa"/>
          </w:tcPr>
          <w:p>
            <w:pPr>
              <w:jc w:val="right"/>
              <w:rPr>
                <w:noProof/>
              </w:rPr>
            </w:pPr>
            <w:r>
              <w:rPr>
                <w:noProof/>
              </w:rPr>
              <w:t>4 323</w:t>
            </w:r>
          </w:p>
        </w:tc>
        <w:tc>
          <w:tcPr>
            <w:tcW w:w="2426" w:type="dxa"/>
            <w:vAlign w:val="bottom"/>
          </w:tcPr>
          <w:p>
            <w:pPr>
              <w:jc w:val="right"/>
              <w:rPr>
                <w:noProof/>
              </w:rPr>
            </w:pPr>
            <w:r>
              <w:rPr>
                <w:noProof/>
              </w:rPr>
              <w:t>12,15 %</w:t>
            </w:r>
          </w:p>
        </w:tc>
      </w:tr>
      <w:tr>
        <w:tc>
          <w:tcPr>
            <w:tcW w:w="1679" w:type="dxa"/>
            <w:shd w:val="clear" w:color="auto" w:fill="DBE5F1" w:themeFill="accent1" w:themeFillTint="33"/>
          </w:tcPr>
          <w:p>
            <w:pPr>
              <w:jc w:val="center"/>
              <w:rPr>
                <w:b/>
                <w:bCs/>
                <w:noProof/>
              </w:rPr>
            </w:pPr>
            <w:r>
              <w:rPr>
                <w:b/>
                <w:noProof/>
              </w:rPr>
              <w:t>EE</w:t>
            </w:r>
          </w:p>
        </w:tc>
        <w:tc>
          <w:tcPr>
            <w:tcW w:w="1123" w:type="dxa"/>
          </w:tcPr>
          <w:p>
            <w:pPr>
              <w:jc w:val="right"/>
              <w:rPr>
                <w:noProof/>
              </w:rPr>
            </w:pPr>
            <w:r>
              <w:rPr>
                <w:noProof/>
              </w:rPr>
              <w:t>22</w:t>
            </w:r>
          </w:p>
        </w:tc>
        <w:tc>
          <w:tcPr>
            <w:tcW w:w="1275" w:type="dxa"/>
          </w:tcPr>
          <w:p>
            <w:pPr>
              <w:jc w:val="right"/>
              <w:rPr>
                <w:noProof/>
              </w:rPr>
            </w:pPr>
            <w:r>
              <w:rPr>
                <w:noProof/>
              </w:rPr>
              <w:t>14</w:t>
            </w:r>
          </w:p>
        </w:tc>
        <w:tc>
          <w:tcPr>
            <w:tcW w:w="1276" w:type="dxa"/>
          </w:tcPr>
          <w:p>
            <w:pPr>
              <w:jc w:val="right"/>
              <w:rPr>
                <w:noProof/>
              </w:rPr>
            </w:pPr>
            <w:r>
              <w:rPr>
                <w:noProof/>
              </w:rPr>
              <w:t>23</w:t>
            </w:r>
          </w:p>
        </w:tc>
        <w:tc>
          <w:tcPr>
            <w:tcW w:w="1463" w:type="dxa"/>
          </w:tcPr>
          <w:p>
            <w:pPr>
              <w:jc w:val="right"/>
              <w:rPr>
                <w:noProof/>
              </w:rPr>
            </w:pPr>
            <w:r>
              <w:rPr>
                <w:noProof/>
              </w:rPr>
              <w:t>59</w:t>
            </w:r>
          </w:p>
        </w:tc>
        <w:tc>
          <w:tcPr>
            <w:tcW w:w="2426" w:type="dxa"/>
            <w:vAlign w:val="bottom"/>
          </w:tcPr>
          <w:p>
            <w:pPr>
              <w:jc w:val="right"/>
              <w:rPr>
                <w:noProof/>
              </w:rPr>
            </w:pPr>
            <w:r>
              <w:rPr>
                <w:noProof/>
              </w:rPr>
              <w:t>0,17 %</w:t>
            </w:r>
          </w:p>
        </w:tc>
      </w:tr>
      <w:tr>
        <w:tc>
          <w:tcPr>
            <w:tcW w:w="1679" w:type="dxa"/>
            <w:shd w:val="clear" w:color="auto" w:fill="DBE5F1" w:themeFill="accent1" w:themeFillTint="33"/>
          </w:tcPr>
          <w:p>
            <w:pPr>
              <w:jc w:val="center"/>
              <w:rPr>
                <w:b/>
                <w:bCs/>
                <w:noProof/>
              </w:rPr>
            </w:pPr>
            <w:r>
              <w:rPr>
                <w:b/>
                <w:noProof/>
              </w:rPr>
              <w:t>IE</w:t>
            </w:r>
          </w:p>
        </w:tc>
        <w:tc>
          <w:tcPr>
            <w:tcW w:w="1123" w:type="dxa"/>
          </w:tcPr>
          <w:p>
            <w:pPr>
              <w:jc w:val="right"/>
              <w:rPr>
                <w:noProof/>
              </w:rPr>
            </w:pPr>
            <w:r>
              <w:rPr>
                <w:noProof/>
              </w:rPr>
              <w:t>110</w:t>
            </w:r>
          </w:p>
        </w:tc>
        <w:tc>
          <w:tcPr>
            <w:tcW w:w="1275" w:type="dxa"/>
          </w:tcPr>
          <w:p>
            <w:pPr>
              <w:jc w:val="right"/>
              <w:rPr>
                <w:noProof/>
              </w:rPr>
            </w:pPr>
            <w:r>
              <w:rPr>
                <w:noProof/>
              </w:rPr>
              <w:t>69</w:t>
            </w:r>
          </w:p>
        </w:tc>
        <w:tc>
          <w:tcPr>
            <w:tcW w:w="1276" w:type="dxa"/>
          </w:tcPr>
          <w:p>
            <w:pPr>
              <w:jc w:val="right"/>
              <w:rPr>
                <w:noProof/>
              </w:rPr>
            </w:pPr>
            <w:r>
              <w:rPr>
                <w:noProof/>
              </w:rPr>
              <w:t>49</w:t>
            </w:r>
          </w:p>
        </w:tc>
        <w:tc>
          <w:tcPr>
            <w:tcW w:w="1463" w:type="dxa"/>
          </w:tcPr>
          <w:p>
            <w:pPr>
              <w:jc w:val="right"/>
              <w:rPr>
                <w:noProof/>
              </w:rPr>
            </w:pPr>
            <w:r>
              <w:rPr>
                <w:noProof/>
              </w:rPr>
              <w:t>228</w:t>
            </w:r>
          </w:p>
        </w:tc>
        <w:tc>
          <w:tcPr>
            <w:tcW w:w="2426" w:type="dxa"/>
            <w:vAlign w:val="bottom"/>
          </w:tcPr>
          <w:p>
            <w:pPr>
              <w:jc w:val="right"/>
              <w:rPr>
                <w:noProof/>
              </w:rPr>
            </w:pPr>
            <w:r>
              <w:rPr>
                <w:noProof/>
              </w:rPr>
              <w:t>0,64 %</w:t>
            </w:r>
          </w:p>
        </w:tc>
      </w:tr>
      <w:tr>
        <w:tc>
          <w:tcPr>
            <w:tcW w:w="1679" w:type="dxa"/>
            <w:shd w:val="clear" w:color="auto" w:fill="DBE5F1" w:themeFill="accent1" w:themeFillTint="33"/>
          </w:tcPr>
          <w:p>
            <w:pPr>
              <w:jc w:val="center"/>
              <w:rPr>
                <w:b/>
                <w:bCs/>
                <w:noProof/>
              </w:rPr>
            </w:pPr>
            <w:r>
              <w:rPr>
                <w:b/>
                <w:noProof/>
              </w:rPr>
              <w:t>EL</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3</w:t>
            </w:r>
          </w:p>
        </w:tc>
        <w:tc>
          <w:tcPr>
            <w:tcW w:w="1463" w:type="dxa"/>
          </w:tcPr>
          <w:p>
            <w:pPr>
              <w:jc w:val="right"/>
              <w:rPr>
                <w:noProof/>
              </w:rPr>
            </w:pPr>
            <w:r>
              <w:rPr>
                <w:noProof/>
              </w:rPr>
              <w:t>5</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ES</w:t>
            </w:r>
          </w:p>
        </w:tc>
        <w:tc>
          <w:tcPr>
            <w:tcW w:w="1123" w:type="dxa"/>
          </w:tcPr>
          <w:p>
            <w:pPr>
              <w:jc w:val="right"/>
              <w:rPr>
                <w:noProof/>
              </w:rPr>
            </w:pPr>
            <w:r>
              <w:rPr>
                <w:noProof/>
              </w:rPr>
              <w:t>3 151</w:t>
            </w:r>
          </w:p>
        </w:tc>
        <w:tc>
          <w:tcPr>
            <w:tcW w:w="1275" w:type="dxa"/>
          </w:tcPr>
          <w:p>
            <w:pPr>
              <w:jc w:val="right"/>
              <w:rPr>
                <w:noProof/>
              </w:rPr>
            </w:pPr>
            <w:r>
              <w:rPr>
                <w:noProof/>
              </w:rPr>
              <w:t>3 445</w:t>
            </w:r>
          </w:p>
        </w:tc>
        <w:tc>
          <w:tcPr>
            <w:tcW w:w="1276" w:type="dxa"/>
          </w:tcPr>
          <w:p>
            <w:pPr>
              <w:jc w:val="right"/>
              <w:rPr>
                <w:noProof/>
              </w:rPr>
            </w:pPr>
            <w:r>
              <w:rPr>
                <w:noProof/>
              </w:rPr>
              <w:t>2 958</w:t>
            </w:r>
          </w:p>
        </w:tc>
        <w:tc>
          <w:tcPr>
            <w:tcW w:w="1463" w:type="dxa"/>
          </w:tcPr>
          <w:p>
            <w:pPr>
              <w:jc w:val="right"/>
              <w:rPr>
                <w:noProof/>
              </w:rPr>
            </w:pPr>
            <w:r>
              <w:rPr>
                <w:noProof/>
              </w:rPr>
              <w:t>9 554</w:t>
            </w:r>
          </w:p>
        </w:tc>
        <w:tc>
          <w:tcPr>
            <w:tcW w:w="2426" w:type="dxa"/>
            <w:vAlign w:val="bottom"/>
          </w:tcPr>
          <w:p>
            <w:pPr>
              <w:jc w:val="right"/>
              <w:rPr>
                <w:noProof/>
              </w:rPr>
            </w:pPr>
            <w:r>
              <w:rPr>
                <w:noProof/>
              </w:rPr>
              <w:t>26,85 %</w:t>
            </w:r>
          </w:p>
        </w:tc>
      </w:tr>
      <w:tr>
        <w:tc>
          <w:tcPr>
            <w:tcW w:w="1679" w:type="dxa"/>
            <w:shd w:val="clear" w:color="auto" w:fill="DBE5F1" w:themeFill="accent1" w:themeFillTint="33"/>
          </w:tcPr>
          <w:p>
            <w:pPr>
              <w:jc w:val="center"/>
              <w:rPr>
                <w:b/>
                <w:bCs/>
                <w:noProof/>
              </w:rPr>
            </w:pPr>
            <w:r>
              <w:rPr>
                <w:b/>
                <w:noProof/>
              </w:rPr>
              <w:t>FR</w:t>
            </w:r>
          </w:p>
        </w:tc>
        <w:tc>
          <w:tcPr>
            <w:tcW w:w="1123" w:type="dxa"/>
          </w:tcPr>
          <w:p>
            <w:pPr>
              <w:jc w:val="right"/>
              <w:rPr>
                <w:noProof/>
              </w:rPr>
            </w:pPr>
            <w:r>
              <w:rPr>
                <w:noProof/>
              </w:rPr>
              <w:t>3 628</w:t>
            </w:r>
          </w:p>
        </w:tc>
        <w:tc>
          <w:tcPr>
            <w:tcW w:w="1275" w:type="dxa"/>
          </w:tcPr>
          <w:p>
            <w:pPr>
              <w:jc w:val="right"/>
              <w:rPr>
                <w:noProof/>
              </w:rPr>
            </w:pPr>
            <w:r>
              <w:rPr>
                <w:noProof/>
              </w:rPr>
              <w:t>4 142</w:t>
            </w:r>
          </w:p>
        </w:tc>
        <w:tc>
          <w:tcPr>
            <w:tcW w:w="1276" w:type="dxa"/>
          </w:tcPr>
          <w:p>
            <w:pPr>
              <w:jc w:val="right"/>
              <w:rPr>
                <w:noProof/>
              </w:rPr>
            </w:pPr>
            <w:r>
              <w:rPr>
                <w:noProof/>
              </w:rPr>
              <w:t>4 026</w:t>
            </w:r>
          </w:p>
        </w:tc>
        <w:tc>
          <w:tcPr>
            <w:tcW w:w="1463" w:type="dxa"/>
          </w:tcPr>
          <w:p>
            <w:pPr>
              <w:jc w:val="right"/>
              <w:rPr>
                <w:noProof/>
              </w:rPr>
            </w:pPr>
            <w:r>
              <w:rPr>
                <w:noProof/>
              </w:rPr>
              <w:t>11 796</w:t>
            </w:r>
          </w:p>
        </w:tc>
        <w:tc>
          <w:tcPr>
            <w:tcW w:w="2426" w:type="dxa"/>
            <w:vAlign w:val="bottom"/>
          </w:tcPr>
          <w:p>
            <w:pPr>
              <w:jc w:val="right"/>
              <w:rPr>
                <w:noProof/>
              </w:rPr>
            </w:pPr>
            <w:r>
              <w:rPr>
                <w:noProof/>
              </w:rPr>
              <w:t>33,15 %</w:t>
            </w:r>
          </w:p>
        </w:tc>
      </w:tr>
      <w:tr>
        <w:tc>
          <w:tcPr>
            <w:tcW w:w="1679" w:type="dxa"/>
            <w:shd w:val="clear" w:color="auto" w:fill="DBE5F1" w:themeFill="accent1" w:themeFillTint="33"/>
          </w:tcPr>
          <w:p>
            <w:pPr>
              <w:jc w:val="center"/>
              <w:rPr>
                <w:b/>
                <w:bCs/>
                <w:noProof/>
              </w:rPr>
            </w:pPr>
            <w:r>
              <w:rPr>
                <w:b/>
                <w:noProof/>
              </w:rPr>
              <w:t>HR</w:t>
            </w:r>
          </w:p>
        </w:tc>
        <w:tc>
          <w:tcPr>
            <w:tcW w:w="1123" w:type="dxa"/>
          </w:tcPr>
          <w:p>
            <w:pPr>
              <w:jc w:val="right"/>
              <w:rPr>
                <w:noProof/>
              </w:rPr>
            </w:pPr>
            <w:r>
              <w:rPr>
                <w:noProof/>
              </w:rPr>
              <w:t>42</w:t>
            </w:r>
          </w:p>
        </w:tc>
        <w:tc>
          <w:tcPr>
            <w:tcW w:w="1275" w:type="dxa"/>
          </w:tcPr>
          <w:p>
            <w:pPr>
              <w:jc w:val="right"/>
              <w:rPr>
                <w:noProof/>
              </w:rPr>
            </w:pPr>
            <w:r>
              <w:rPr>
                <w:noProof/>
              </w:rPr>
              <w:t>36</w:t>
            </w:r>
          </w:p>
        </w:tc>
        <w:tc>
          <w:tcPr>
            <w:tcW w:w="1276" w:type="dxa"/>
          </w:tcPr>
          <w:p>
            <w:pPr>
              <w:jc w:val="right"/>
              <w:rPr>
                <w:noProof/>
              </w:rPr>
            </w:pPr>
            <w:r>
              <w:rPr>
                <w:noProof/>
              </w:rPr>
              <w:t>38</w:t>
            </w:r>
          </w:p>
        </w:tc>
        <w:tc>
          <w:tcPr>
            <w:tcW w:w="1463" w:type="dxa"/>
          </w:tcPr>
          <w:p>
            <w:pPr>
              <w:jc w:val="right"/>
              <w:rPr>
                <w:noProof/>
              </w:rPr>
            </w:pPr>
            <w:r>
              <w:rPr>
                <w:noProof/>
              </w:rPr>
              <w:t>116</w:t>
            </w:r>
          </w:p>
        </w:tc>
        <w:tc>
          <w:tcPr>
            <w:tcW w:w="2426" w:type="dxa"/>
            <w:vAlign w:val="bottom"/>
          </w:tcPr>
          <w:p>
            <w:pPr>
              <w:jc w:val="right"/>
              <w:rPr>
                <w:noProof/>
              </w:rPr>
            </w:pPr>
            <w:r>
              <w:rPr>
                <w:noProof/>
              </w:rPr>
              <w:t>0,33 %</w:t>
            </w:r>
          </w:p>
        </w:tc>
      </w:tr>
      <w:tr>
        <w:tc>
          <w:tcPr>
            <w:tcW w:w="1679" w:type="dxa"/>
            <w:shd w:val="clear" w:color="auto" w:fill="DBE5F1" w:themeFill="accent1" w:themeFillTint="33"/>
          </w:tcPr>
          <w:p>
            <w:pPr>
              <w:jc w:val="center"/>
              <w:rPr>
                <w:b/>
                <w:bCs/>
                <w:noProof/>
              </w:rPr>
            </w:pPr>
            <w:r>
              <w:rPr>
                <w:b/>
                <w:noProof/>
              </w:rPr>
              <w:t>IT</w:t>
            </w:r>
          </w:p>
        </w:tc>
        <w:tc>
          <w:tcPr>
            <w:tcW w:w="1123" w:type="dxa"/>
          </w:tcPr>
          <w:p>
            <w:pPr>
              <w:jc w:val="right"/>
              <w:rPr>
                <w:noProof/>
              </w:rPr>
            </w:pPr>
            <w:r>
              <w:rPr>
                <w:noProof/>
              </w:rPr>
              <w:t>434</w:t>
            </w:r>
          </w:p>
        </w:tc>
        <w:tc>
          <w:tcPr>
            <w:tcW w:w="1275" w:type="dxa"/>
          </w:tcPr>
          <w:p>
            <w:pPr>
              <w:jc w:val="right"/>
              <w:rPr>
                <w:noProof/>
              </w:rPr>
            </w:pPr>
            <w:r>
              <w:rPr>
                <w:noProof/>
              </w:rPr>
              <w:t>551</w:t>
            </w:r>
          </w:p>
        </w:tc>
        <w:tc>
          <w:tcPr>
            <w:tcW w:w="1276" w:type="dxa"/>
          </w:tcPr>
          <w:p>
            <w:pPr>
              <w:jc w:val="right"/>
              <w:rPr>
                <w:noProof/>
              </w:rPr>
            </w:pPr>
            <w:r>
              <w:rPr>
                <w:noProof/>
              </w:rPr>
              <w:t>591</w:t>
            </w:r>
          </w:p>
        </w:tc>
        <w:tc>
          <w:tcPr>
            <w:tcW w:w="1463" w:type="dxa"/>
          </w:tcPr>
          <w:p>
            <w:pPr>
              <w:jc w:val="right"/>
              <w:rPr>
                <w:noProof/>
              </w:rPr>
            </w:pPr>
            <w:r>
              <w:rPr>
                <w:noProof/>
              </w:rPr>
              <w:t>1 576</w:t>
            </w:r>
          </w:p>
        </w:tc>
        <w:tc>
          <w:tcPr>
            <w:tcW w:w="2426" w:type="dxa"/>
            <w:vAlign w:val="bottom"/>
          </w:tcPr>
          <w:p>
            <w:pPr>
              <w:jc w:val="right"/>
              <w:rPr>
                <w:noProof/>
              </w:rPr>
            </w:pPr>
            <w:r>
              <w:rPr>
                <w:noProof/>
              </w:rPr>
              <w:t>4,43 %</w:t>
            </w:r>
          </w:p>
        </w:tc>
      </w:tr>
      <w:tr>
        <w:tc>
          <w:tcPr>
            <w:tcW w:w="1679" w:type="dxa"/>
            <w:shd w:val="clear" w:color="auto" w:fill="DBE5F1" w:themeFill="accent1" w:themeFillTint="33"/>
          </w:tcPr>
          <w:p>
            <w:pPr>
              <w:jc w:val="center"/>
              <w:rPr>
                <w:b/>
                <w:bCs/>
                <w:noProof/>
              </w:rPr>
            </w:pPr>
            <w:r>
              <w:rPr>
                <w:b/>
                <w:noProof/>
              </w:rPr>
              <w:t>CY</w:t>
            </w:r>
          </w:p>
        </w:tc>
        <w:tc>
          <w:tcPr>
            <w:tcW w:w="1123" w:type="dxa"/>
          </w:tcPr>
          <w:p>
            <w:pPr>
              <w:jc w:val="right"/>
              <w:rPr>
                <w:noProof/>
              </w:rPr>
            </w:pPr>
            <w:r>
              <w:rPr>
                <w:noProof/>
              </w:rPr>
              <w:t>2</w:t>
            </w:r>
          </w:p>
        </w:tc>
        <w:tc>
          <w:tcPr>
            <w:tcW w:w="1275" w:type="dxa"/>
          </w:tcPr>
          <w:p>
            <w:pPr>
              <w:jc w:val="right"/>
              <w:rPr>
                <w:noProof/>
              </w:rPr>
            </w:pPr>
            <w:r>
              <w:rPr>
                <w:noProof/>
              </w:rPr>
              <w:t>5</w:t>
            </w:r>
          </w:p>
        </w:tc>
        <w:tc>
          <w:tcPr>
            <w:tcW w:w="1276" w:type="dxa"/>
          </w:tcPr>
          <w:p>
            <w:pPr>
              <w:jc w:val="right"/>
              <w:rPr>
                <w:noProof/>
              </w:rPr>
            </w:pPr>
            <w:r>
              <w:rPr>
                <w:noProof/>
              </w:rPr>
              <w:t>6</w:t>
            </w:r>
          </w:p>
        </w:tc>
        <w:tc>
          <w:tcPr>
            <w:tcW w:w="1463" w:type="dxa"/>
          </w:tcPr>
          <w:p>
            <w:pPr>
              <w:jc w:val="right"/>
              <w:rPr>
                <w:noProof/>
              </w:rPr>
            </w:pPr>
            <w:r>
              <w:rPr>
                <w:noProof/>
              </w:rPr>
              <w:t>13</w:t>
            </w:r>
          </w:p>
        </w:tc>
        <w:tc>
          <w:tcPr>
            <w:tcW w:w="2426" w:type="dxa"/>
            <w:vAlign w:val="bottom"/>
          </w:tcPr>
          <w:p>
            <w:pPr>
              <w:jc w:val="right"/>
              <w:rPr>
                <w:noProof/>
              </w:rPr>
            </w:pPr>
            <w:r>
              <w:rPr>
                <w:noProof/>
              </w:rPr>
              <w:t>0,04 %</w:t>
            </w:r>
          </w:p>
        </w:tc>
      </w:tr>
      <w:tr>
        <w:tc>
          <w:tcPr>
            <w:tcW w:w="1679" w:type="dxa"/>
            <w:shd w:val="clear" w:color="auto" w:fill="DBE5F1" w:themeFill="accent1" w:themeFillTint="33"/>
          </w:tcPr>
          <w:p>
            <w:pPr>
              <w:jc w:val="center"/>
              <w:rPr>
                <w:b/>
                <w:bCs/>
                <w:noProof/>
              </w:rPr>
            </w:pPr>
            <w:r>
              <w:rPr>
                <w:b/>
                <w:noProof/>
              </w:rPr>
              <w:t>LV</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0</w:t>
            </w:r>
          </w:p>
        </w:tc>
        <w:tc>
          <w:tcPr>
            <w:tcW w:w="1463" w:type="dxa"/>
          </w:tcPr>
          <w:p>
            <w:pPr>
              <w:jc w:val="right"/>
              <w:rPr>
                <w:noProof/>
              </w:rPr>
            </w:pPr>
            <w:r>
              <w:rPr>
                <w:noProof/>
              </w:rPr>
              <w:t>2</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LT</w:t>
            </w:r>
          </w:p>
        </w:tc>
        <w:tc>
          <w:tcPr>
            <w:tcW w:w="1123" w:type="dxa"/>
          </w:tcPr>
          <w:p>
            <w:pPr>
              <w:jc w:val="right"/>
              <w:rPr>
                <w:noProof/>
              </w:rPr>
            </w:pPr>
            <w:r>
              <w:rPr>
                <w:noProof/>
              </w:rPr>
              <w:t>2</w:t>
            </w:r>
          </w:p>
        </w:tc>
        <w:tc>
          <w:tcPr>
            <w:tcW w:w="1275" w:type="dxa"/>
          </w:tcPr>
          <w:p>
            <w:pPr>
              <w:jc w:val="right"/>
              <w:rPr>
                <w:noProof/>
              </w:rPr>
            </w:pPr>
            <w:r>
              <w:rPr>
                <w:noProof/>
              </w:rPr>
              <w:t>3</w:t>
            </w:r>
          </w:p>
        </w:tc>
        <w:tc>
          <w:tcPr>
            <w:tcW w:w="1276" w:type="dxa"/>
          </w:tcPr>
          <w:p>
            <w:pPr>
              <w:jc w:val="right"/>
              <w:rPr>
                <w:noProof/>
              </w:rPr>
            </w:pPr>
            <w:r>
              <w:rPr>
                <w:noProof/>
              </w:rPr>
              <w:t>3</w:t>
            </w:r>
          </w:p>
        </w:tc>
        <w:tc>
          <w:tcPr>
            <w:tcW w:w="1463" w:type="dxa"/>
          </w:tcPr>
          <w:p>
            <w:pPr>
              <w:jc w:val="right"/>
              <w:rPr>
                <w:noProof/>
              </w:rPr>
            </w:pPr>
            <w:r>
              <w:rPr>
                <w:noProof/>
              </w:rPr>
              <w:t>8</w:t>
            </w:r>
          </w:p>
        </w:tc>
        <w:tc>
          <w:tcPr>
            <w:tcW w:w="2426" w:type="dxa"/>
            <w:vAlign w:val="bottom"/>
          </w:tcPr>
          <w:p>
            <w:pPr>
              <w:jc w:val="right"/>
              <w:rPr>
                <w:noProof/>
              </w:rPr>
            </w:pPr>
            <w:r>
              <w:rPr>
                <w:noProof/>
              </w:rPr>
              <w:t>0,13 %</w:t>
            </w:r>
          </w:p>
        </w:tc>
      </w:tr>
      <w:tr>
        <w:tc>
          <w:tcPr>
            <w:tcW w:w="1679" w:type="dxa"/>
            <w:shd w:val="clear" w:color="auto" w:fill="DBE5F1" w:themeFill="accent1" w:themeFillTint="33"/>
          </w:tcPr>
          <w:p>
            <w:pPr>
              <w:jc w:val="center"/>
              <w:rPr>
                <w:b/>
                <w:bCs/>
                <w:noProof/>
              </w:rPr>
            </w:pPr>
            <w:r>
              <w:rPr>
                <w:b/>
                <w:noProof/>
              </w:rPr>
              <w:t>LU</w:t>
            </w:r>
          </w:p>
        </w:tc>
        <w:tc>
          <w:tcPr>
            <w:tcW w:w="1123" w:type="dxa"/>
          </w:tcPr>
          <w:p>
            <w:pPr>
              <w:jc w:val="right"/>
              <w:rPr>
                <w:noProof/>
              </w:rPr>
            </w:pPr>
            <w:r>
              <w:rPr>
                <w:noProof/>
              </w:rPr>
              <w:t>0</w:t>
            </w:r>
          </w:p>
        </w:tc>
        <w:tc>
          <w:tcPr>
            <w:tcW w:w="1275" w:type="dxa"/>
          </w:tcPr>
          <w:p>
            <w:pPr>
              <w:jc w:val="right"/>
              <w:rPr>
                <w:noProof/>
              </w:rPr>
            </w:pPr>
            <w:r>
              <w:rPr>
                <w:noProof/>
              </w:rPr>
              <w:t>8</w:t>
            </w:r>
          </w:p>
        </w:tc>
        <w:tc>
          <w:tcPr>
            <w:tcW w:w="1276" w:type="dxa"/>
          </w:tcPr>
          <w:p>
            <w:pPr>
              <w:jc w:val="right"/>
              <w:rPr>
                <w:noProof/>
              </w:rPr>
            </w:pPr>
            <w:r>
              <w:rPr>
                <w:noProof/>
              </w:rPr>
              <w:t>23</w:t>
            </w:r>
          </w:p>
        </w:tc>
        <w:tc>
          <w:tcPr>
            <w:tcW w:w="1463" w:type="dxa"/>
          </w:tcPr>
          <w:p>
            <w:pPr>
              <w:jc w:val="right"/>
              <w:rPr>
                <w:noProof/>
              </w:rPr>
            </w:pPr>
            <w:r>
              <w:rPr>
                <w:noProof/>
              </w:rPr>
              <w:t>31</w:t>
            </w:r>
          </w:p>
        </w:tc>
        <w:tc>
          <w:tcPr>
            <w:tcW w:w="2426" w:type="dxa"/>
            <w:vAlign w:val="bottom"/>
          </w:tcPr>
          <w:p>
            <w:pPr>
              <w:jc w:val="right"/>
              <w:rPr>
                <w:noProof/>
              </w:rPr>
            </w:pPr>
            <w:r>
              <w:rPr>
                <w:noProof/>
              </w:rPr>
              <w:t>0,09 %</w:t>
            </w:r>
          </w:p>
        </w:tc>
      </w:tr>
      <w:tr>
        <w:tc>
          <w:tcPr>
            <w:tcW w:w="1679" w:type="dxa"/>
            <w:shd w:val="clear" w:color="auto" w:fill="DBE5F1" w:themeFill="accent1" w:themeFillTint="33"/>
          </w:tcPr>
          <w:p>
            <w:pPr>
              <w:jc w:val="center"/>
              <w:rPr>
                <w:b/>
                <w:bCs/>
                <w:noProof/>
              </w:rPr>
            </w:pPr>
            <w:r>
              <w:rPr>
                <w:b/>
                <w:noProof/>
              </w:rPr>
              <w:t>HU</w:t>
            </w:r>
          </w:p>
        </w:tc>
        <w:tc>
          <w:tcPr>
            <w:tcW w:w="1123" w:type="dxa"/>
          </w:tcPr>
          <w:p>
            <w:pPr>
              <w:jc w:val="right"/>
              <w:rPr>
                <w:noProof/>
              </w:rPr>
            </w:pPr>
            <w:r>
              <w:rPr>
                <w:noProof/>
              </w:rPr>
              <w:t>31</w:t>
            </w:r>
          </w:p>
        </w:tc>
        <w:tc>
          <w:tcPr>
            <w:tcW w:w="1275" w:type="dxa"/>
          </w:tcPr>
          <w:p>
            <w:pPr>
              <w:jc w:val="right"/>
              <w:rPr>
                <w:noProof/>
              </w:rPr>
            </w:pPr>
            <w:r>
              <w:rPr>
                <w:noProof/>
              </w:rPr>
              <w:t>17</w:t>
            </w:r>
          </w:p>
        </w:tc>
        <w:tc>
          <w:tcPr>
            <w:tcW w:w="1276" w:type="dxa"/>
          </w:tcPr>
          <w:p>
            <w:pPr>
              <w:jc w:val="right"/>
              <w:rPr>
                <w:noProof/>
              </w:rPr>
            </w:pPr>
            <w:r>
              <w:rPr>
                <w:noProof/>
              </w:rPr>
              <w:t>5</w:t>
            </w:r>
          </w:p>
        </w:tc>
        <w:tc>
          <w:tcPr>
            <w:tcW w:w="1463" w:type="dxa"/>
          </w:tcPr>
          <w:p>
            <w:pPr>
              <w:jc w:val="right"/>
              <w:rPr>
                <w:noProof/>
              </w:rPr>
            </w:pPr>
            <w:r>
              <w:rPr>
                <w:noProof/>
              </w:rPr>
              <w:t>53</w:t>
            </w:r>
          </w:p>
        </w:tc>
        <w:tc>
          <w:tcPr>
            <w:tcW w:w="2426" w:type="dxa"/>
            <w:vAlign w:val="bottom"/>
          </w:tcPr>
          <w:p>
            <w:pPr>
              <w:jc w:val="right"/>
              <w:rPr>
                <w:noProof/>
              </w:rPr>
            </w:pPr>
            <w:r>
              <w:rPr>
                <w:noProof/>
              </w:rPr>
              <w:t>0,15 %</w:t>
            </w:r>
          </w:p>
        </w:tc>
      </w:tr>
      <w:tr>
        <w:tc>
          <w:tcPr>
            <w:tcW w:w="1679" w:type="dxa"/>
            <w:shd w:val="clear" w:color="auto" w:fill="DBE5F1" w:themeFill="accent1" w:themeFillTint="33"/>
          </w:tcPr>
          <w:p>
            <w:pPr>
              <w:jc w:val="center"/>
              <w:rPr>
                <w:b/>
                <w:bCs/>
                <w:noProof/>
              </w:rPr>
            </w:pPr>
            <w:r>
              <w:rPr>
                <w:b/>
                <w:noProof/>
              </w:rPr>
              <w:t>MT</w:t>
            </w:r>
          </w:p>
        </w:tc>
        <w:tc>
          <w:tcPr>
            <w:tcW w:w="1123" w:type="dxa"/>
          </w:tcPr>
          <w:p>
            <w:pPr>
              <w:jc w:val="right"/>
              <w:rPr>
                <w:noProof/>
              </w:rPr>
            </w:pPr>
            <w:r>
              <w:rPr>
                <w:noProof/>
              </w:rPr>
              <w:t>22</w:t>
            </w:r>
          </w:p>
        </w:tc>
        <w:tc>
          <w:tcPr>
            <w:tcW w:w="1275" w:type="dxa"/>
          </w:tcPr>
          <w:p>
            <w:pPr>
              <w:jc w:val="right"/>
              <w:rPr>
                <w:noProof/>
              </w:rPr>
            </w:pPr>
            <w:r>
              <w:rPr>
                <w:noProof/>
              </w:rPr>
              <w:t>25</w:t>
            </w:r>
          </w:p>
        </w:tc>
        <w:tc>
          <w:tcPr>
            <w:tcW w:w="1276" w:type="dxa"/>
          </w:tcPr>
          <w:p>
            <w:pPr>
              <w:jc w:val="right"/>
              <w:rPr>
                <w:noProof/>
              </w:rPr>
            </w:pPr>
            <w:r>
              <w:rPr>
                <w:noProof/>
              </w:rPr>
              <w:t>29</w:t>
            </w:r>
          </w:p>
        </w:tc>
        <w:tc>
          <w:tcPr>
            <w:tcW w:w="1463" w:type="dxa"/>
          </w:tcPr>
          <w:p>
            <w:pPr>
              <w:jc w:val="right"/>
              <w:rPr>
                <w:noProof/>
              </w:rPr>
            </w:pPr>
            <w:r>
              <w:rPr>
                <w:noProof/>
              </w:rPr>
              <w:t>76</w:t>
            </w:r>
          </w:p>
        </w:tc>
        <w:tc>
          <w:tcPr>
            <w:tcW w:w="2426" w:type="dxa"/>
            <w:vAlign w:val="bottom"/>
          </w:tcPr>
          <w:p>
            <w:pPr>
              <w:jc w:val="right"/>
              <w:rPr>
                <w:noProof/>
              </w:rPr>
            </w:pPr>
            <w:r>
              <w:rPr>
                <w:noProof/>
              </w:rPr>
              <w:t>0,21 %</w:t>
            </w:r>
          </w:p>
        </w:tc>
      </w:tr>
      <w:tr>
        <w:tc>
          <w:tcPr>
            <w:tcW w:w="1679" w:type="dxa"/>
            <w:shd w:val="clear" w:color="auto" w:fill="DBE5F1" w:themeFill="accent1" w:themeFillTint="33"/>
          </w:tcPr>
          <w:p>
            <w:pPr>
              <w:jc w:val="center"/>
              <w:rPr>
                <w:b/>
                <w:bCs/>
                <w:noProof/>
              </w:rPr>
            </w:pPr>
            <w:r>
              <w:rPr>
                <w:b/>
                <w:noProof/>
              </w:rPr>
              <w:t>NL</w:t>
            </w:r>
          </w:p>
        </w:tc>
        <w:tc>
          <w:tcPr>
            <w:tcW w:w="1123" w:type="dxa"/>
          </w:tcPr>
          <w:p>
            <w:pPr>
              <w:jc w:val="right"/>
              <w:rPr>
                <w:noProof/>
              </w:rPr>
            </w:pPr>
            <w:r>
              <w:rPr>
                <w:noProof/>
              </w:rPr>
              <w:t>345</w:t>
            </w:r>
          </w:p>
        </w:tc>
        <w:tc>
          <w:tcPr>
            <w:tcW w:w="1275" w:type="dxa"/>
          </w:tcPr>
          <w:p>
            <w:pPr>
              <w:jc w:val="right"/>
              <w:rPr>
                <w:noProof/>
              </w:rPr>
            </w:pPr>
            <w:r>
              <w:rPr>
                <w:noProof/>
              </w:rPr>
              <w:t>361</w:t>
            </w:r>
          </w:p>
        </w:tc>
        <w:tc>
          <w:tcPr>
            <w:tcW w:w="1276" w:type="dxa"/>
          </w:tcPr>
          <w:p>
            <w:pPr>
              <w:jc w:val="right"/>
              <w:rPr>
                <w:noProof/>
              </w:rPr>
            </w:pPr>
            <w:r>
              <w:rPr>
                <w:noProof/>
              </w:rPr>
              <w:t>450</w:t>
            </w:r>
          </w:p>
        </w:tc>
        <w:tc>
          <w:tcPr>
            <w:tcW w:w="1463" w:type="dxa"/>
          </w:tcPr>
          <w:p>
            <w:pPr>
              <w:jc w:val="right"/>
              <w:rPr>
                <w:noProof/>
              </w:rPr>
            </w:pPr>
            <w:r>
              <w:rPr>
                <w:noProof/>
              </w:rPr>
              <w:t>1 156</w:t>
            </w:r>
          </w:p>
        </w:tc>
        <w:tc>
          <w:tcPr>
            <w:tcW w:w="2426" w:type="dxa"/>
            <w:vAlign w:val="bottom"/>
          </w:tcPr>
          <w:p>
            <w:pPr>
              <w:jc w:val="right"/>
              <w:rPr>
                <w:noProof/>
              </w:rPr>
            </w:pPr>
            <w:r>
              <w:rPr>
                <w:noProof/>
              </w:rPr>
              <w:t>3,25 %</w:t>
            </w:r>
          </w:p>
        </w:tc>
      </w:tr>
      <w:tr>
        <w:tc>
          <w:tcPr>
            <w:tcW w:w="1679" w:type="dxa"/>
            <w:shd w:val="clear" w:color="auto" w:fill="DBE5F1" w:themeFill="accent1" w:themeFillTint="33"/>
          </w:tcPr>
          <w:p>
            <w:pPr>
              <w:jc w:val="center"/>
              <w:rPr>
                <w:b/>
                <w:bCs/>
                <w:noProof/>
              </w:rPr>
            </w:pPr>
            <w:r>
              <w:rPr>
                <w:b/>
                <w:noProof/>
              </w:rPr>
              <w:t>AT</w:t>
            </w:r>
          </w:p>
        </w:tc>
        <w:tc>
          <w:tcPr>
            <w:tcW w:w="1123" w:type="dxa"/>
          </w:tcPr>
          <w:p>
            <w:pPr>
              <w:jc w:val="right"/>
              <w:rPr>
                <w:noProof/>
              </w:rPr>
            </w:pPr>
            <w:r>
              <w:rPr>
                <w:noProof/>
              </w:rPr>
              <w:t>670</w:t>
            </w:r>
          </w:p>
        </w:tc>
        <w:tc>
          <w:tcPr>
            <w:tcW w:w="1275" w:type="dxa"/>
          </w:tcPr>
          <w:p>
            <w:pPr>
              <w:jc w:val="right"/>
              <w:rPr>
                <w:noProof/>
              </w:rPr>
            </w:pPr>
            <w:r>
              <w:rPr>
                <w:noProof/>
              </w:rPr>
              <w:t>697</w:t>
            </w:r>
          </w:p>
        </w:tc>
        <w:tc>
          <w:tcPr>
            <w:tcW w:w="1276" w:type="dxa"/>
          </w:tcPr>
          <w:p>
            <w:pPr>
              <w:jc w:val="right"/>
              <w:rPr>
                <w:noProof/>
              </w:rPr>
            </w:pPr>
            <w:r>
              <w:rPr>
                <w:noProof/>
              </w:rPr>
              <w:t>625</w:t>
            </w:r>
          </w:p>
        </w:tc>
        <w:tc>
          <w:tcPr>
            <w:tcW w:w="1463" w:type="dxa"/>
          </w:tcPr>
          <w:p>
            <w:pPr>
              <w:jc w:val="right"/>
              <w:rPr>
                <w:noProof/>
              </w:rPr>
            </w:pPr>
            <w:r>
              <w:rPr>
                <w:noProof/>
              </w:rPr>
              <w:t>1 992</w:t>
            </w:r>
          </w:p>
        </w:tc>
        <w:tc>
          <w:tcPr>
            <w:tcW w:w="2426" w:type="dxa"/>
            <w:vAlign w:val="bottom"/>
          </w:tcPr>
          <w:p>
            <w:pPr>
              <w:jc w:val="right"/>
              <w:rPr>
                <w:noProof/>
              </w:rPr>
            </w:pPr>
            <w:r>
              <w:rPr>
                <w:noProof/>
              </w:rPr>
              <w:t>5,67 %</w:t>
            </w:r>
          </w:p>
        </w:tc>
      </w:tr>
      <w:tr>
        <w:tc>
          <w:tcPr>
            <w:tcW w:w="1679" w:type="dxa"/>
            <w:shd w:val="clear" w:color="auto" w:fill="DBE5F1" w:themeFill="accent1" w:themeFillTint="33"/>
          </w:tcPr>
          <w:p>
            <w:pPr>
              <w:jc w:val="center"/>
              <w:rPr>
                <w:b/>
                <w:bCs/>
                <w:noProof/>
              </w:rPr>
            </w:pPr>
            <w:r>
              <w:rPr>
                <w:b/>
                <w:noProof/>
              </w:rPr>
              <w:t>PL</w:t>
            </w:r>
          </w:p>
        </w:tc>
        <w:tc>
          <w:tcPr>
            <w:tcW w:w="1123" w:type="dxa"/>
          </w:tcPr>
          <w:p>
            <w:pPr>
              <w:jc w:val="right"/>
              <w:rPr>
                <w:noProof/>
              </w:rPr>
            </w:pPr>
            <w:r>
              <w:rPr>
                <w:noProof/>
              </w:rPr>
              <w:t>16</w:t>
            </w:r>
          </w:p>
        </w:tc>
        <w:tc>
          <w:tcPr>
            <w:tcW w:w="1275" w:type="dxa"/>
          </w:tcPr>
          <w:p>
            <w:pPr>
              <w:jc w:val="right"/>
              <w:rPr>
                <w:noProof/>
              </w:rPr>
            </w:pPr>
            <w:r>
              <w:rPr>
                <w:noProof/>
              </w:rPr>
              <w:t>16</w:t>
            </w:r>
          </w:p>
        </w:tc>
        <w:tc>
          <w:tcPr>
            <w:tcW w:w="1276" w:type="dxa"/>
          </w:tcPr>
          <w:p>
            <w:pPr>
              <w:jc w:val="right"/>
              <w:rPr>
                <w:noProof/>
              </w:rPr>
            </w:pPr>
            <w:r>
              <w:rPr>
                <w:noProof/>
              </w:rPr>
              <w:t>15</w:t>
            </w:r>
          </w:p>
        </w:tc>
        <w:tc>
          <w:tcPr>
            <w:tcW w:w="1463" w:type="dxa"/>
          </w:tcPr>
          <w:p>
            <w:pPr>
              <w:jc w:val="right"/>
              <w:rPr>
                <w:noProof/>
              </w:rPr>
            </w:pPr>
            <w:r>
              <w:rPr>
                <w:noProof/>
              </w:rPr>
              <w:t>47</w:t>
            </w:r>
          </w:p>
        </w:tc>
        <w:tc>
          <w:tcPr>
            <w:tcW w:w="2426" w:type="dxa"/>
            <w:vAlign w:val="bottom"/>
          </w:tcPr>
          <w:p>
            <w:pPr>
              <w:jc w:val="right"/>
              <w:rPr>
                <w:noProof/>
              </w:rPr>
            </w:pPr>
            <w:r>
              <w:rPr>
                <w:noProof/>
              </w:rPr>
              <w:t>0,13 %</w:t>
            </w:r>
          </w:p>
        </w:tc>
      </w:tr>
      <w:tr>
        <w:tc>
          <w:tcPr>
            <w:tcW w:w="1679" w:type="dxa"/>
            <w:shd w:val="clear" w:color="auto" w:fill="DBE5F1" w:themeFill="accent1" w:themeFillTint="33"/>
          </w:tcPr>
          <w:p>
            <w:pPr>
              <w:jc w:val="center"/>
              <w:rPr>
                <w:b/>
                <w:bCs/>
                <w:noProof/>
              </w:rPr>
            </w:pPr>
            <w:r>
              <w:rPr>
                <w:b/>
                <w:noProof/>
              </w:rPr>
              <w:t>PT</w:t>
            </w:r>
          </w:p>
        </w:tc>
        <w:tc>
          <w:tcPr>
            <w:tcW w:w="1123" w:type="dxa"/>
          </w:tcPr>
          <w:p>
            <w:pPr>
              <w:jc w:val="right"/>
              <w:rPr>
                <w:noProof/>
              </w:rPr>
            </w:pPr>
            <w:r>
              <w:rPr>
                <w:noProof/>
              </w:rPr>
              <w:t>573</w:t>
            </w:r>
          </w:p>
        </w:tc>
        <w:tc>
          <w:tcPr>
            <w:tcW w:w="1275" w:type="dxa"/>
          </w:tcPr>
          <w:p>
            <w:pPr>
              <w:jc w:val="right"/>
              <w:rPr>
                <w:noProof/>
              </w:rPr>
            </w:pPr>
            <w:r>
              <w:rPr>
                <w:noProof/>
              </w:rPr>
              <w:t>728</w:t>
            </w:r>
          </w:p>
        </w:tc>
        <w:tc>
          <w:tcPr>
            <w:tcW w:w="1276" w:type="dxa"/>
          </w:tcPr>
          <w:p>
            <w:pPr>
              <w:jc w:val="right"/>
              <w:rPr>
                <w:noProof/>
              </w:rPr>
            </w:pPr>
            <w:r>
              <w:rPr>
                <w:noProof/>
              </w:rPr>
              <w:t>559</w:t>
            </w:r>
          </w:p>
        </w:tc>
        <w:tc>
          <w:tcPr>
            <w:tcW w:w="1463" w:type="dxa"/>
          </w:tcPr>
          <w:p>
            <w:pPr>
              <w:jc w:val="right"/>
              <w:rPr>
                <w:noProof/>
              </w:rPr>
            </w:pPr>
            <w:r>
              <w:rPr>
                <w:noProof/>
              </w:rPr>
              <w:t>1 860</w:t>
            </w:r>
          </w:p>
        </w:tc>
        <w:tc>
          <w:tcPr>
            <w:tcW w:w="2426" w:type="dxa"/>
            <w:vAlign w:val="bottom"/>
          </w:tcPr>
          <w:p>
            <w:pPr>
              <w:jc w:val="right"/>
              <w:rPr>
                <w:noProof/>
              </w:rPr>
            </w:pPr>
            <w:r>
              <w:rPr>
                <w:noProof/>
              </w:rPr>
              <w:t>5,23 %</w:t>
            </w:r>
          </w:p>
        </w:tc>
      </w:tr>
      <w:tr>
        <w:tc>
          <w:tcPr>
            <w:tcW w:w="1679" w:type="dxa"/>
            <w:shd w:val="clear" w:color="auto" w:fill="DBE5F1" w:themeFill="accent1" w:themeFillTint="33"/>
          </w:tcPr>
          <w:p>
            <w:pPr>
              <w:jc w:val="center"/>
              <w:rPr>
                <w:b/>
                <w:bCs/>
                <w:noProof/>
              </w:rPr>
            </w:pPr>
            <w:r>
              <w:rPr>
                <w:b/>
                <w:noProof/>
              </w:rPr>
              <w:t>RO</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SI</w:t>
            </w:r>
          </w:p>
        </w:tc>
        <w:tc>
          <w:tcPr>
            <w:tcW w:w="1123" w:type="dxa"/>
          </w:tcPr>
          <w:p>
            <w:pPr>
              <w:jc w:val="right"/>
              <w:rPr>
                <w:noProof/>
              </w:rPr>
            </w:pPr>
            <w:r>
              <w:rPr>
                <w:noProof/>
              </w:rPr>
              <w:t>4</w:t>
            </w:r>
          </w:p>
        </w:tc>
        <w:tc>
          <w:tcPr>
            <w:tcW w:w="1275" w:type="dxa"/>
          </w:tcPr>
          <w:p>
            <w:pPr>
              <w:jc w:val="right"/>
              <w:rPr>
                <w:noProof/>
              </w:rPr>
            </w:pPr>
            <w:r>
              <w:rPr>
                <w:noProof/>
              </w:rPr>
              <w:t>1</w:t>
            </w:r>
          </w:p>
        </w:tc>
        <w:tc>
          <w:tcPr>
            <w:tcW w:w="1276" w:type="dxa"/>
          </w:tcPr>
          <w:p>
            <w:pPr>
              <w:jc w:val="right"/>
              <w:rPr>
                <w:noProof/>
              </w:rPr>
            </w:pPr>
            <w:r>
              <w:rPr>
                <w:noProof/>
              </w:rPr>
              <w:t>10</w:t>
            </w:r>
          </w:p>
        </w:tc>
        <w:tc>
          <w:tcPr>
            <w:tcW w:w="1463" w:type="dxa"/>
          </w:tcPr>
          <w:p>
            <w:pPr>
              <w:jc w:val="right"/>
              <w:rPr>
                <w:noProof/>
              </w:rPr>
            </w:pPr>
            <w:r>
              <w:rPr>
                <w:noProof/>
              </w:rPr>
              <w:t>15</w:t>
            </w:r>
          </w:p>
        </w:tc>
        <w:tc>
          <w:tcPr>
            <w:tcW w:w="2426" w:type="dxa"/>
            <w:vAlign w:val="bottom"/>
          </w:tcPr>
          <w:p>
            <w:pPr>
              <w:jc w:val="right"/>
              <w:rPr>
                <w:noProof/>
              </w:rPr>
            </w:pPr>
            <w:r>
              <w:rPr>
                <w:noProof/>
              </w:rPr>
              <w:t>0,04 %</w:t>
            </w:r>
          </w:p>
        </w:tc>
      </w:tr>
      <w:tr>
        <w:tc>
          <w:tcPr>
            <w:tcW w:w="1679" w:type="dxa"/>
            <w:shd w:val="clear" w:color="auto" w:fill="DBE5F1" w:themeFill="accent1" w:themeFillTint="33"/>
          </w:tcPr>
          <w:p>
            <w:pPr>
              <w:jc w:val="center"/>
              <w:rPr>
                <w:b/>
                <w:bCs/>
                <w:noProof/>
              </w:rPr>
            </w:pPr>
            <w:r>
              <w:rPr>
                <w:b/>
                <w:noProof/>
              </w:rPr>
              <w:t>SK</w:t>
            </w:r>
          </w:p>
        </w:tc>
        <w:tc>
          <w:tcPr>
            <w:tcW w:w="1123" w:type="dxa"/>
          </w:tcPr>
          <w:p>
            <w:pPr>
              <w:jc w:val="right"/>
              <w:rPr>
                <w:noProof/>
              </w:rPr>
            </w:pPr>
            <w:r>
              <w:rPr>
                <w:noProof/>
              </w:rPr>
              <w:t>3</w:t>
            </w:r>
          </w:p>
        </w:tc>
        <w:tc>
          <w:tcPr>
            <w:tcW w:w="1275" w:type="dxa"/>
          </w:tcPr>
          <w:p>
            <w:pPr>
              <w:jc w:val="right"/>
              <w:rPr>
                <w:noProof/>
              </w:rPr>
            </w:pPr>
            <w:r>
              <w:rPr>
                <w:noProof/>
              </w:rPr>
              <w:t>6</w:t>
            </w:r>
          </w:p>
        </w:tc>
        <w:tc>
          <w:tcPr>
            <w:tcW w:w="1276" w:type="dxa"/>
          </w:tcPr>
          <w:p>
            <w:pPr>
              <w:jc w:val="right"/>
              <w:rPr>
                <w:noProof/>
              </w:rPr>
            </w:pPr>
            <w:r>
              <w:rPr>
                <w:noProof/>
              </w:rPr>
              <w:t>2</w:t>
            </w:r>
          </w:p>
        </w:tc>
        <w:tc>
          <w:tcPr>
            <w:tcW w:w="1463" w:type="dxa"/>
          </w:tcPr>
          <w:p>
            <w:pPr>
              <w:jc w:val="right"/>
              <w:rPr>
                <w:noProof/>
              </w:rPr>
            </w:pPr>
            <w:r>
              <w:rPr>
                <w:noProof/>
              </w:rPr>
              <w:t>11</w:t>
            </w:r>
          </w:p>
        </w:tc>
        <w:tc>
          <w:tcPr>
            <w:tcW w:w="2426" w:type="dxa"/>
            <w:vAlign w:val="bottom"/>
          </w:tcPr>
          <w:p>
            <w:pPr>
              <w:jc w:val="right"/>
              <w:rPr>
                <w:noProof/>
              </w:rPr>
            </w:pPr>
            <w:r>
              <w:rPr>
                <w:noProof/>
              </w:rPr>
              <w:t>0,03 %</w:t>
            </w:r>
          </w:p>
        </w:tc>
      </w:tr>
      <w:tr>
        <w:tc>
          <w:tcPr>
            <w:tcW w:w="1679" w:type="dxa"/>
            <w:shd w:val="clear" w:color="auto" w:fill="DBE5F1" w:themeFill="accent1" w:themeFillTint="33"/>
          </w:tcPr>
          <w:p>
            <w:pPr>
              <w:jc w:val="center"/>
              <w:rPr>
                <w:b/>
                <w:bCs/>
                <w:noProof/>
              </w:rPr>
            </w:pPr>
            <w:r>
              <w:rPr>
                <w:b/>
                <w:noProof/>
              </w:rPr>
              <w:t>FI</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SE</w:t>
            </w:r>
          </w:p>
        </w:tc>
        <w:tc>
          <w:tcPr>
            <w:tcW w:w="1123" w:type="dxa"/>
          </w:tcPr>
          <w:p>
            <w:pPr>
              <w:jc w:val="right"/>
              <w:rPr>
                <w:noProof/>
              </w:rPr>
            </w:pPr>
            <w:r>
              <w:rPr>
                <w:noProof/>
              </w:rPr>
              <w:t>131</w:t>
            </w:r>
          </w:p>
        </w:tc>
        <w:tc>
          <w:tcPr>
            <w:tcW w:w="1275" w:type="dxa"/>
          </w:tcPr>
          <w:p>
            <w:pPr>
              <w:jc w:val="right"/>
              <w:rPr>
                <w:noProof/>
              </w:rPr>
            </w:pPr>
            <w:r>
              <w:rPr>
                <w:noProof/>
              </w:rPr>
              <w:t>121</w:t>
            </w:r>
          </w:p>
        </w:tc>
        <w:tc>
          <w:tcPr>
            <w:tcW w:w="1276" w:type="dxa"/>
          </w:tcPr>
          <w:p>
            <w:pPr>
              <w:jc w:val="right"/>
              <w:rPr>
                <w:noProof/>
              </w:rPr>
            </w:pPr>
            <w:r>
              <w:rPr>
                <w:noProof/>
              </w:rPr>
              <w:t>135</w:t>
            </w:r>
          </w:p>
        </w:tc>
        <w:tc>
          <w:tcPr>
            <w:tcW w:w="1463" w:type="dxa"/>
          </w:tcPr>
          <w:p>
            <w:pPr>
              <w:jc w:val="right"/>
              <w:rPr>
                <w:noProof/>
              </w:rPr>
            </w:pPr>
            <w:r>
              <w:rPr>
                <w:noProof/>
              </w:rPr>
              <w:t>387</w:t>
            </w:r>
          </w:p>
        </w:tc>
        <w:tc>
          <w:tcPr>
            <w:tcW w:w="2426" w:type="dxa"/>
            <w:vAlign w:val="bottom"/>
          </w:tcPr>
          <w:p>
            <w:pPr>
              <w:jc w:val="right"/>
              <w:rPr>
                <w:noProof/>
              </w:rPr>
            </w:pPr>
            <w:r>
              <w:rPr>
                <w:noProof/>
              </w:rPr>
              <w:t>1,09 %</w:t>
            </w:r>
          </w:p>
        </w:tc>
      </w:tr>
      <w:tr>
        <w:tc>
          <w:tcPr>
            <w:tcW w:w="1679" w:type="dxa"/>
            <w:shd w:val="clear" w:color="auto" w:fill="DBE5F1" w:themeFill="accent1" w:themeFillTint="33"/>
          </w:tcPr>
          <w:p>
            <w:pPr>
              <w:jc w:val="center"/>
              <w:rPr>
                <w:b/>
                <w:bCs/>
                <w:noProof/>
              </w:rPr>
            </w:pPr>
            <w:r>
              <w:rPr>
                <w:b/>
                <w:noProof/>
              </w:rPr>
              <w:t>Total</w:t>
            </w:r>
          </w:p>
        </w:tc>
        <w:tc>
          <w:tcPr>
            <w:tcW w:w="1123" w:type="dxa"/>
          </w:tcPr>
          <w:p>
            <w:pPr>
              <w:jc w:val="right"/>
              <w:rPr>
                <w:noProof/>
              </w:rPr>
            </w:pPr>
            <w:r>
              <w:rPr>
                <w:noProof/>
              </w:rPr>
              <w:t>11 286</w:t>
            </w:r>
          </w:p>
        </w:tc>
        <w:tc>
          <w:tcPr>
            <w:tcW w:w="1275" w:type="dxa"/>
          </w:tcPr>
          <w:p>
            <w:pPr>
              <w:jc w:val="right"/>
              <w:rPr>
                <w:noProof/>
              </w:rPr>
            </w:pPr>
            <w:r>
              <w:rPr>
                <w:noProof/>
              </w:rPr>
              <w:t>12 184</w:t>
            </w:r>
          </w:p>
        </w:tc>
        <w:tc>
          <w:tcPr>
            <w:tcW w:w="1276" w:type="dxa"/>
          </w:tcPr>
          <w:p>
            <w:pPr>
              <w:jc w:val="right"/>
              <w:rPr>
                <w:noProof/>
              </w:rPr>
            </w:pPr>
            <w:r>
              <w:rPr>
                <w:noProof/>
              </w:rPr>
              <w:t>11 644</w:t>
            </w:r>
          </w:p>
        </w:tc>
        <w:tc>
          <w:tcPr>
            <w:tcW w:w="1463" w:type="dxa"/>
          </w:tcPr>
          <w:p>
            <w:pPr>
              <w:jc w:val="right"/>
              <w:rPr>
                <w:noProof/>
              </w:rPr>
            </w:pPr>
            <w:r>
              <w:rPr>
                <w:noProof/>
              </w:rPr>
              <w:t>35 114</w:t>
            </w:r>
          </w:p>
        </w:tc>
        <w:tc>
          <w:tcPr>
            <w:tcW w:w="2426" w:type="dxa"/>
            <w:vAlign w:val="bottom"/>
          </w:tcPr>
          <w:p>
            <w:pPr>
              <w:jc w:val="right"/>
              <w:rPr>
                <w:noProof/>
              </w:rPr>
            </w:pPr>
            <w:r>
              <w:rPr>
                <w:noProof/>
              </w:rPr>
              <w:t>100,00 %</w:t>
            </w:r>
          </w:p>
        </w:tc>
      </w:tr>
    </w:tbl>
    <w:p>
      <w:pPr>
        <w:rPr>
          <w:noProof/>
        </w:rPr>
      </w:pPr>
    </w:p>
    <w:p>
      <w:pPr>
        <w:rPr>
          <w:noProof/>
        </w:rPr>
      </w:pPr>
      <w:r>
        <w:rPr>
          <w:noProof/>
        </w:rPr>
        <w:br w:type="page"/>
        <w:t>Tableau 2. Autorisations ouvertes spécifiques en circulation</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noProof/>
              </w:rPr>
              <w:t>États membres</w:t>
            </w:r>
          </w:p>
        </w:tc>
        <w:tc>
          <w:tcPr>
            <w:tcW w:w="3674" w:type="dxa"/>
            <w:gridSpan w:val="3"/>
            <w:shd w:val="clear" w:color="auto" w:fill="DBE5F1" w:themeFill="accent1" w:themeFillTint="33"/>
            <w:vAlign w:val="center"/>
          </w:tcPr>
          <w:p>
            <w:pPr>
              <w:jc w:val="center"/>
              <w:rPr>
                <w:b/>
                <w:bCs/>
                <w:noProof/>
              </w:rPr>
            </w:pPr>
            <w:r>
              <w:rPr>
                <w:b/>
                <w:noProof/>
              </w:rPr>
              <w:t>Année</w:t>
            </w:r>
          </w:p>
        </w:tc>
        <w:tc>
          <w:tcPr>
            <w:tcW w:w="1463" w:type="dxa"/>
            <w:vMerge w:val="restart"/>
            <w:shd w:val="clear" w:color="auto" w:fill="DBE5F1" w:themeFill="accent1" w:themeFillTint="33"/>
            <w:vAlign w:val="center"/>
          </w:tcPr>
          <w:p>
            <w:pPr>
              <w:jc w:val="center"/>
              <w:rPr>
                <w:b/>
                <w:bCs/>
                <w:noProof/>
              </w:rPr>
            </w:pPr>
            <w:r>
              <w:rPr>
                <w:b/>
                <w:noProof/>
              </w:rPr>
              <w:t>2021-2023</w:t>
            </w:r>
          </w:p>
        </w:tc>
        <w:tc>
          <w:tcPr>
            <w:tcW w:w="2426" w:type="dxa"/>
            <w:vMerge w:val="restart"/>
            <w:shd w:val="clear" w:color="auto" w:fill="DBE5F1" w:themeFill="accent1" w:themeFillTint="33"/>
            <w:vAlign w:val="center"/>
          </w:tcPr>
          <w:p>
            <w:pPr>
              <w:jc w:val="center"/>
              <w:rPr>
                <w:b/>
                <w:bCs/>
                <w:noProof/>
              </w:rPr>
            </w:pPr>
            <w:r>
              <w:rPr>
                <w:b/>
                <w:noProof/>
              </w:rPr>
              <w:t>Part du total en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noProof/>
              </w:rPr>
              <w:t>2021</w:t>
            </w:r>
          </w:p>
        </w:tc>
        <w:tc>
          <w:tcPr>
            <w:tcW w:w="1275" w:type="dxa"/>
            <w:shd w:val="clear" w:color="auto" w:fill="DBE5F1" w:themeFill="accent1" w:themeFillTint="33"/>
          </w:tcPr>
          <w:p>
            <w:pPr>
              <w:jc w:val="center"/>
              <w:rPr>
                <w:b/>
                <w:bCs/>
                <w:noProof/>
              </w:rPr>
            </w:pPr>
            <w:r>
              <w:rPr>
                <w:b/>
                <w:noProof/>
              </w:rPr>
              <w:t>2022</w:t>
            </w:r>
          </w:p>
        </w:tc>
        <w:tc>
          <w:tcPr>
            <w:tcW w:w="1276" w:type="dxa"/>
            <w:shd w:val="clear" w:color="auto" w:fill="DBE5F1" w:themeFill="accent1" w:themeFillTint="33"/>
          </w:tcPr>
          <w:p>
            <w:pPr>
              <w:jc w:val="center"/>
              <w:rPr>
                <w:b/>
                <w:bCs/>
                <w:noProof/>
              </w:rPr>
            </w:pPr>
            <w:r>
              <w:rPr>
                <w:b/>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noProof/>
              </w:rPr>
              <w:t>BE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BG</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DE</w:t>
            </w:r>
          </w:p>
        </w:tc>
        <w:tc>
          <w:tcPr>
            <w:tcW w:w="1123" w:type="dxa"/>
          </w:tcPr>
          <w:p>
            <w:pPr>
              <w:jc w:val="right"/>
              <w:rPr>
                <w:noProof/>
              </w:rPr>
            </w:pPr>
            <w:r>
              <w:rPr>
                <w:noProof/>
              </w:rPr>
              <w:t>619</w:t>
            </w:r>
          </w:p>
        </w:tc>
        <w:tc>
          <w:tcPr>
            <w:tcW w:w="1275" w:type="dxa"/>
          </w:tcPr>
          <w:p>
            <w:pPr>
              <w:jc w:val="right"/>
              <w:rPr>
                <w:noProof/>
              </w:rPr>
            </w:pPr>
            <w:r>
              <w:rPr>
                <w:noProof/>
              </w:rPr>
              <w:t>797</w:t>
            </w:r>
          </w:p>
        </w:tc>
        <w:tc>
          <w:tcPr>
            <w:tcW w:w="1276" w:type="dxa"/>
          </w:tcPr>
          <w:p>
            <w:pPr>
              <w:jc w:val="right"/>
              <w:rPr>
                <w:noProof/>
              </w:rPr>
            </w:pPr>
            <w:r>
              <w:rPr>
                <w:noProof/>
              </w:rPr>
              <w:t>882</w:t>
            </w:r>
          </w:p>
        </w:tc>
        <w:tc>
          <w:tcPr>
            <w:tcW w:w="1463" w:type="dxa"/>
            <w:vAlign w:val="bottom"/>
          </w:tcPr>
          <w:p>
            <w:pPr>
              <w:jc w:val="right"/>
              <w:rPr>
                <w:noProof/>
              </w:rPr>
            </w:pPr>
            <w:r>
              <w:rPr>
                <w:noProof/>
              </w:rPr>
              <w:t>2 298</w:t>
            </w:r>
          </w:p>
        </w:tc>
        <w:tc>
          <w:tcPr>
            <w:tcW w:w="2426" w:type="dxa"/>
            <w:vAlign w:val="bottom"/>
          </w:tcPr>
          <w:p>
            <w:pPr>
              <w:jc w:val="right"/>
              <w:rPr>
                <w:noProof/>
              </w:rPr>
            </w:pPr>
            <w:r>
              <w:rPr>
                <w:noProof/>
              </w:rPr>
              <w:t>65,53 %</w:t>
            </w:r>
          </w:p>
        </w:tc>
      </w:tr>
      <w:tr>
        <w:tc>
          <w:tcPr>
            <w:tcW w:w="1679" w:type="dxa"/>
            <w:shd w:val="clear" w:color="auto" w:fill="DBE5F1" w:themeFill="accent1" w:themeFillTint="33"/>
          </w:tcPr>
          <w:p>
            <w:pPr>
              <w:jc w:val="center"/>
              <w:rPr>
                <w:b/>
                <w:bCs/>
                <w:noProof/>
              </w:rPr>
            </w:pPr>
            <w:r>
              <w:rPr>
                <w:b/>
                <w:noProof/>
              </w:rPr>
              <w:t>EE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EL</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4</w:t>
            </w:r>
          </w:p>
        </w:tc>
        <w:tc>
          <w:tcPr>
            <w:tcW w:w="1463" w:type="dxa"/>
          </w:tcPr>
          <w:p>
            <w:pPr>
              <w:jc w:val="right"/>
              <w:rPr>
                <w:noProof/>
              </w:rPr>
            </w:pPr>
            <w:r>
              <w:rPr>
                <w:noProof/>
              </w:rPr>
              <w:t>7</w:t>
            </w:r>
          </w:p>
        </w:tc>
        <w:tc>
          <w:tcPr>
            <w:tcW w:w="2426" w:type="dxa"/>
            <w:vAlign w:val="bottom"/>
          </w:tcPr>
          <w:p>
            <w:pPr>
              <w:jc w:val="right"/>
              <w:rPr>
                <w:noProof/>
              </w:rPr>
            </w:pPr>
            <w:r>
              <w:rPr>
                <w:noProof/>
              </w:rPr>
              <w:t>0,20 %</w:t>
            </w:r>
          </w:p>
        </w:tc>
      </w:tr>
      <w:tr>
        <w:tc>
          <w:tcPr>
            <w:tcW w:w="1679" w:type="dxa"/>
            <w:shd w:val="clear" w:color="auto" w:fill="DBE5F1" w:themeFill="accent1" w:themeFillTint="33"/>
          </w:tcPr>
          <w:p>
            <w:pPr>
              <w:jc w:val="center"/>
              <w:rPr>
                <w:b/>
                <w:bCs/>
                <w:noProof/>
              </w:rPr>
            </w:pPr>
            <w:r>
              <w:rPr>
                <w:b/>
                <w:noProof/>
              </w:rPr>
              <w:t>ES</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FR</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0,06 %</w:t>
            </w:r>
          </w:p>
        </w:tc>
      </w:tr>
      <w:tr>
        <w:tc>
          <w:tcPr>
            <w:tcW w:w="1679" w:type="dxa"/>
            <w:shd w:val="clear" w:color="auto" w:fill="DBE5F1" w:themeFill="accent1" w:themeFillTint="33"/>
          </w:tcPr>
          <w:p>
            <w:pPr>
              <w:jc w:val="center"/>
              <w:rPr>
                <w:b/>
                <w:bCs/>
                <w:noProof/>
              </w:rPr>
            </w:pPr>
            <w:r>
              <w:rPr>
                <w:b/>
                <w:noProof/>
              </w:rPr>
              <w:t>HR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MT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NL</w:t>
            </w:r>
          </w:p>
        </w:tc>
        <w:tc>
          <w:tcPr>
            <w:tcW w:w="1123" w:type="dxa"/>
          </w:tcPr>
          <w:p>
            <w:pPr>
              <w:jc w:val="right"/>
              <w:rPr>
                <w:noProof/>
              </w:rPr>
            </w:pPr>
            <w:r>
              <w:rPr>
                <w:noProof/>
              </w:rPr>
              <w:t>324</w:t>
            </w:r>
          </w:p>
        </w:tc>
        <w:tc>
          <w:tcPr>
            <w:tcW w:w="1275" w:type="dxa"/>
          </w:tcPr>
          <w:p>
            <w:pPr>
              <w:jc w:val="right"/>
              <w:rPr>
                <w:noProof/>
              </w:rPr>
            </w:pPr>
            <w:r>
              <w:rPr>
                <w:noProof/>
              </w:rPr>
              <w:t>348</w:t>
            </w:r>
          </w:p>
        </w:tc>
        <w:tc>
          <w:tcPr>
            <w:tcW w:w="1276" w:type="dxa"/>
          </w:tcPr>
          <w:p>
            <w:pPr>
              <w:jc w:val="right"/>
              <w:rPr>
                <w:noProof/>
              </w:rPr>
            </w:pPr>
            <w:r>
              <w:rPr>
                <w:noProof/>
              </w:rPr>
              <w:t>461</w:t>
            </w:r>
          </w:p>
        </w:tc>
        <w:tc>
          <w:tcPr>
            <w:tcW w:w="1463" w:type="dxa"/>
          </w:tcPr>
          <w:p>
            <w:pPr>
              <w:jc w:val="right"/>
              <w:rPr>
                <w:noProof/>
              </w:rPr>
            </w:pPr>
            <w:r>
              <w:rPr>
                <w:noProof/>
              </w:rPr>
              <w:t>1 133</w:t>
            </w:r>
          </w:p>
        </w:tc>
        <w:tc>
          <w:tcPr>
            <w:tcW w:w="2426" w:type="dxa"/>
            <w:vAlign w:val="bottom"/>
          </w:tcPr>
          <w:p>
            <w:pPr>
              <w:jc w:val="right"/>
              <w:rPr>
                <w:noProof/>
              </w:rPr>
            </w:pPr>
            <w:r>
              <w:rPr>
                <w:noProof/>
              </w:rPr>
              <w:t>32,31 %</w:t>
            </w:r>
          </w:p>
        </w:tc>
      </w:tr>
      <w:tr>
        <w:tc>
          <w:tcPr>
            <w:tcW w:w="1679" w:type="dxa"/>
            <w:shd w:val="clear" w:color="auto" w:fill="DBE5F1" w:themeFill="accent1" w:themeFillTint="33"/>
          </w:tcPr>
          <w:p>
            <w:pPr>
              <w:jc w:val="center"/>
              <w:rPr>
                <w:b/>
                <w:bCs/>
                <w:noProof/>
              </w:rPr>
            </w:pPr>
            <w:r>
              <w:rPr>
                <w:b/>
                <w:noProof/>
              </w:rPr>
              <w:t>AT</w:t>
            </w:r>
          </w:p>
        </w:tc>
        <w:tc>
          <w:tcPr>
            <w:tcW w:w="1123" w:type="dxa"/>
          </w:tcPr>
          <w:p>
            <w:pPr>
              <w:jc w:val="right"/>
              <w:rPr>
                <w:noProof/>
              </w:rPr>
            </w:pPr>
            <w:r>
              <w:rPr>
                <w:noProof/>
              </w:rPr>
              <w:t>15</w:t>
            </w:r>
          </w:p>
        </w:tc>
        <w:tc>
          <w:tcPr>
            <w:tcW w:w="1275" w:type="dxa"/>
          </w:tcPr>
          <w:p>
            <w:pPr>
              <w:jc w:val="right"/>
              <w:rPr>
                <w:noProof/>
              </w:rPr>
            </w:pPr>
            <w:r>
              <w:rPr>
                <w:noProof/>
              </w:rPr>
              <w:t>17</w:t>
            </w:r>
          </w:p>
        </w:tc>
        <w:tc>
          <w:tcPr>
            <w:tcW w:w="1276" w:type="dxa"/>
          </w:tcPr>
          <w:p>
            <w:pPr>
              <w:jc w:val="right"/>
              <w:rPr>
                <w:noProof/>
              </w:rPr>
            </w:pPr>
            <w:r>
              <w:rPr>
                <w:noProof/>
              </w:rPr>
              <w:t>25</w:t>
            </w:r>
          </w:p>
        </w:tc>
        <w:tc>
          <w:tcPr>
            <w:tcW w:w="1463" w:type="dxa"/>
          </w:tcPr>
          <w:p>
            <w:pPr>
              <w:jc w:val="right"/>
              <w:rPr>
                <w:noProof/>
              </w:rPr>
            </w:pPr>
            <w:r>
              <w:rPr>
                <w:noProof/>
              </w:rPr>
              <w:t>57</w:t>
            </w:r>
          </w:p>
        </w:tc>
        <w:tc>
          <w:tcPr>
            <w:tcW w:w="2426" w:type="dxa"/>
            <w:vAlign w:val="bottom"/>
          </w:tcPr>
          <w:p>
            <w:pPr>
              <w:jc w:val="right"/>
              <w:rPr>
                <w:noProof/>
              </w:rPr>
            </w:pPr>
            <w:r>
              <w:rPr>
                <w:noProof/>
              </w:rPr>
              <w:t>1,63 %</w:t>
            </w:r>
          </w:p>
        </w:tc>
      </w:tr>
      <w:tr>
        <w:tc>
          <w:tcPr>
            <w:tcW w:w="1679" w:type="dxa"/>
            <w:shd w:val="clear" w:color="auto" w:fill="DBE5F1" w:themeFill="accent1" w:themeFillTint="33"/>
          </w:tcPr>
          <w:p>
            <w:pPr>
              <w:jc w:val="center"/>
              <w:rPr>
                <w:b/>
                <w:bCs/>
                <w:noProof/>
              </w:rPr>
            </w:pPr>
            <w:r>
              <w:rPr>
                <w:b/>
                <w:noProof/>
              </w:rPr>
              <w:t>PL</w:t>
            </w:r>
          </w:p>
        </w:tc>
        <w:tc>
          <w:tcPr>
            <w:tcW w:w="1123" w:type="dxa"/>
          </w:tcPr>
          <w:p>
            <w:pPr>
              <w:jc w:val="right"/>
              <w:rPr>
                <w:noProof/>
              </w:rPr>
            </w:pPr>
            <w:r>
              <w:rPr>
                <w:noProof/>
              </w:rPr>
              <w:t>0</w:t>
            </w:r>
          </w:p>
        </w:tc>
        <w:tc>
          <w:tcPr>
            <w:tcW w:w="1275" w:type="dxa"/>
          </w:tcPr>
          <w:p>
            <w:pPr>
              <w:jc w:val="right"/>
              <w:rPr>
                <w:noProof/>
              </w:rPr>
            </w:pPr>
            <w:r>
              <w:rPr>
                <w:noProof/>
              </w:rPr>
              <w:t>8</w:t>
            </w:r>
          </w:p>
        </w:tc>
        <w:tc>
          <w:tcPr>
            <w:tcW w:w="1276" w:type="dxa"/>
          </w:tcPr>
          <w:p>
            <w:pPr>
              <w:jc w:val="right"/>
              <w:rPr>
                <w:noProof/>
              </w:rPr>
            </w:pPr>
            <w:r>
              <w:rPr>
                <w:noProof/>
              </w:rPr>
              <w:t>2</w:t>
            </w:r>
          </w:p>
        </w:tc>
        <w:tc>
          <w:tcPr>
            <w:tcW w:w="1463" w:type="dxa"/>
          </w:tcPr>
          <w:p>
            <w:pPr>
              <w:jc w:val="right"/>
              <w:rPr>
                <w:noProof/>
              </w:rPr>
            </w:pPr>
            <w:r>
              <w:rPr>
                <w:noProof/>
              </w:rPr>
              <w:t>10</w:t>
            </w:r>
          </w:p>
        </w:tc>
        <w:tc>
          <w:tcPr>
            <w:tcW w:w="2426" w:type="dxa"/>
            <w:vAlign w:val="bottom"/>
          </w:tcPr>
          <w:p>
            <w:pPr>
              <w:jc w:val="right"/>
              <w:rPr>
                <w:noProof/>
              </w:rPr>
            </w:pPr>
            <w:r>
              <w:rPr>
                <w:noProof/>
              </w:rPr>
              <w:t>0,29 %</w:t>
            </w:r>
          </w:p>
        </w:tc>
      </w:tr>
      <w:tr>
        <w:tc>
          <w:tcPr>
            <w:tcW w:w="1679" w:type="dxa"/>
            <w:shd w:val="clear" w:color="auto" w:fill="DBE5F1" w:themeFill="accent1" w:themeFillTint="33"/>
          </w:tcPr>
          <w:p>
            <w:pPr>
              <w:jc w:val="center"/>
              <w:rPr>
                <w:b/>
                <w:bCs/>
                <w:noProof/>
              </w:rPr>
            </w:pPr>
            <w:r>
              <w:rPr>
                <w:b/>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FI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Total</w:t>
            </w:r>
          </w:p>
        </w:tc>
        <w:tc>
          <w:tcPr>
            <w:tcW w:w="1123" w:type="dxa"/>
          </w:tcPr>
          <w:p>
            <w:pPr>
              <w:jc w:val="right"/>
              <w:rPr>
                <w:noProof/>
              </w:rPr>
            </w:pPr>
            <w:r>
              <w:rPr>
                <w:noProof/>
              </w:rPr>
              <w:t>959</w:t>
            </w:r>
          </w:p>
        </w:tc>
        <w:tc>
          <w:tcPr>
            <w:tcW w:w="1275" w:type="dxa"/>
          </w:tcPr>
          <w:p>
            <w:pPr>
              <w:jc w:val="right"/>
              <w:rPr>
                <w:noProof/>
              </w:rPr>
            </w:pPr>
            <w:r>
              <w:rPr>
                <w:noProof/>
              </w:rPr>
              <w:t>1 173</w:t>
            </w:r>
          </w:p>
        </w:tc>
        <w:tc>
          <w:tcPr>
            <w:tcW w:w="1276" w:type="dxa"/>
          </w:tcPr>
          <w:p>
            <w:pPr>
              <w:jc w:val="right"/>
              <w:rPr>
                <w:noProof/>
              </w:rPr>
            </w:pPr>
            <w:r>
              <w:rPr>
                <w:noProof/>
              </w:rPr>
              <w:t>1 375</w:t>
            </w:r>
          </w:p>
        </w:tc>
        <w:tc>
          <w:tcPr>
            <w:tcW w:w="1463" w:type="dxa"/>
          </w:tcPr>
          <w:p>
            <w:pPr>
              <w:jc w:val="right"/>
              <w:rPr>
                <w:noProof/>
              </w:rPr>
            </w:pPr>
            <w:r>
              <w:rPr>
                <w:noProof/>
              </w:rPr>
              <w:t>3 507</w:t>
            </w:r>
          </w:p>
        </w:tc>
        <w:tc>
          <w:tcPr>
            <w:tcW w:w="2426" w:type="dxa"/>
            <w:vAlign w:val="bottom"/>
          </w:tcPr>
          <w:p>
            <w:pPr>
              <w:jc w:val="right"/>
              <w:rPr>
                <w:noProof/>
              </w:rPr>
            </w:pPr>
            <w:r>
              <w:rPr>
                <w:noProof/>
              </w:rPr>
              <w:t>100 %</w:t>
            </w:r>
          </w:p>
        </w:tc>
      </w:tr>
    </w:tbl>
    <w:p>
      <w:pPr>
        <w:rPr>
          <w:noProof/>
        </w:rPr>
      </w:pPr>
      <w:r>
        <w:rPr>
          <w:noProof/>
        </w:rPr>
        <w:br w:type="page"/>
      </w:r>
    </w:p>
    <w:p>
      <w:pPr>
        <w:rPr>
          <w:noProof/>
        </w:rPr>
      </w:pPr>
      <w:r>
        <w:rPr>
          <w:noProof/>
        </w:rPr>
        <w:t>Tableau 3. Autorisations ouvertes générales en circulation</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noProof/>
              </w:rPr>
              <w:t>États membres</w:t>
            </w:r>
          </w:p>
        </w:tc>
        <w:tc>
          <w:tcPr>
            <w:tcW w:w="3674" w:type="dxa"/>
            <w:gridSpan w:val="3"/>
            <w:shd w:val="clear" w:color="auto" w:fill="DBE5F1" w:themeFill="accent1" w:themeFillTint="33"/>
            <w:vAlign w:val="center"/>
          </w:tcPr>
          <w:p>
            <w:pPr>
              <w:jc w:val="center"/>
              <w:rPr>
                <w:b/>
                <w:bCs/>
                <w:noProof/>
              </w:rPr>
            </w:pPr>
            <w:r>
              <w:rPr>
                <w:b/>
                <w:noProof/>
              </w:rPr>
              <w:t>Année</w:t>
            </w:r>
          </w:p>
        </w:tc>
        <w:tc>
          <w:tcPr>
            <w:tcW w:w="1463" w:type="dxa"/>
            <w:vMerge w:val="restart"/>
            <w:shd w:val="clear" w:color="auto" w:fill="DBE5F1" w:themeFill="accent1" w:themeFillTint="33"/>
            <w:vAlign w:val="center"/>
          </w:tcPr>
          <w:p>
            <w:pPr>
              <w:jc w:val="center"/>
              <w:rPr>
                <w:b/>
                <w:bCs/>
                <w:noProof/>
              </w:rPr>
            </w:pPr>
            <w:r>
              <w:rPr>
                <w:b/>
                <w:noProof/>
              </w:rPr>
              <w:t>2021-2023</w:t>
            </w:r>
          </w:p>
        </w:tc>
        <w:tc>
          <w:tcPr>
            <w:tcW w:w="2426" w:type="dxa"/>
            <w:vMerge w:val="restart"/>
            <w:shd w:val="clear" w:color="auto" w:fill="DBE5F1" w:themeFill="accent1" w:themeFillTint="33"/>
            <w:vAlign w:val="center"/>
          </w:tcPr>
          <w:p>
            <w:pPr>
              <w:jc w:val="center"/>
              <w:rPr>
                <w:b/>
                <w:bCs/>
                <w:noProof/>
              </w:rPr>
            </w:pPr>
            <w:r>
              <w:rPr>
                <w:b/>
                <w:noProof/>
              </w:rPr>
              <w:t>Part du total en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noProof/>
              </w:rPr>
              <w:t>2021</w:t>
            </w:r>
          </w:p>
        </w:tc>
        <w:tc>
          <w:tcPr>
            <w:tcW w:w="1275" w:type="dxa"/>
            <w:shd w:val="clear" w:color="auto" w:fill="DBE5F1" w:themeFill="accent1" w:themeFillTint="33"/>
          </w:tcPr>
          <w:p>
            <w:pPr>
              <w:jc w:val="center"/>
              <w:rPr>
                <w:b/>
                <w:bCs/>
                <w:noProof/>
              </w:rPr>
            </w:pPr>
            <w:r>
              <w:rPr>
                <w:b/>
                <w:noProof/>
              </w:rPr>
              <w:t>2022</w:t>
            </w:r>
          </w:p>
        </w:tc>
        <w:tc>
          <w:tcPr>
            <w:tcW w:w="1276" w:type="dxa"/>
            <w:shd w:val="clear" w:color="auto" w:fill="DBE5F1" w:themeFill="accent1" w:themeFillTint="33"/>
          </w:tcPr>
          <w:p>
            <w:pPr>
              <w:jc w:val="center"/>
              <w:rPr>
                <w:b/>
                <w:bCs/>
                <w:noProof/>
              </w:rPr>
            </w:pPr>
            <w:r>
              <w:rPr>
                <w:b/>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noProof/>
              </w:rPr>
              <w:t>BE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BG</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5</w:t>
            </w:r>
          </w:p>
        </w:tc>
        <w:tc>
          <w:tcPr>
            <w:tcW w:w="1463" w:type="dxa"/>
          </w:tcPr>
          <w:p>
            <w:pPr>
              <w:jc w:val="right"/>
              <w:rPr>
                <w:noProof/>
              </w:rPr>
            </w:pPr>
            <w:r>
              <w:rPr>
                <w:noProof/>
              </w:rPr>
              <w:t>6</w:t>
            </w:r>
          </w:p>
        </w:tc>
        <w:tc>
          <w:tcPr>
            <w:tcW w:w="2426" w:type="dxa"/>
            <w:vAlign w:val="bottom"/>
          </w:tcPr>
          <w:p>
            <w:pPr>
              <w:jc w:val="right"/>
              <w:rPr>
                <w:noProof/>
              </w:rPr>
            </w:pPr>
            <w:r>
              <w:rPr>
                <w:noProof/>
              </w:rPr>
              <w:t>0,50 %</w:t>
            </w:r>
          </w:p>
        </w:tc>
      </w:tr>
      <w:tr>
        <w:tc>
          <w:tcPr>
            <w:tcW w:w="1679" w:type="dxa"/>
            <w:shd w:val="clear" w:color="auto" w:fill="DBE5F1" w:themeFill="accent1" w:themeFillTint="33"/>
          </w:tcPr>
          <w:p>
            <w:pPr>
              <w:jc w:val="center"/>
              <w:rPr>
                <w:b/>
                <w:bCs/>
                <w:noProof/>
              </w:rPr>
            </w:pPr>
            <w:r>
              <w:rPr>
                <w:b/>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DE</w:t>
            </w:r>
          </w:p>
        </w:tc>
        <w:tc>
          <w:tcPr>
            <w:tcW w:w="1123" w:type="dxa"/>
          </w:tcPr>
          <w:p>
            <w:pPr>
              <w:jc w:val="right"/>
              <w:rPr>
                <w:noProof/>
              </w:rPr>
            </w:pPr>
            <w:r>
              <w:rPr>
                <w:noProof/>
              </w:rPr>
              <w:t>199</w:t>
            </w:r>
          </w:p>
        </w:tc>
        <w:tc>
          <w:tcPr>
            <w:tcW w:w="1275" w:type="dxa"/>
          </w:tcPr>
          <w:p>
            <w:pPr>
              <w:jc w:val="right"/>
              <w:rPr>
                <w:noProof/>
              </w:rPr>
            </w:pPr>
            <w:r>
              <w:rPr>
                <w:noProof/>
              </w:rPr>
              <w:t>189</w:t>
            </w:r>
          </w:p>
        </w:tc>
        <w:tc>
          <w:tcPr>
            <w:tcW w:w="1276" w:type="dxa"/>
          </w:tcPr>
          <w:p>
            <w:pPr>
              <w:jc w:val="right"/>
              <w:rPr>
                <w:noProof/>
              </w:rPr>
            </w:pPr>
            <w:r>
              <w:rPr>
                <w:noProof/>
              </w:rPr>
              <w:t>176</w:t>
            </w:r>
          </w:p>
        </w:tc>
        <w:tc>
          <w:tcPr>
            <w:tcW w:w="1463" w:type="dxa"/>
          </w:tcPr>
          <w:p>
            <w:pPr>
              <w:jc w:val="right"/>
              <w:rPr>
                <w:noProof/>
              </w:rPr>
            </w:pPr>
            <w:r>
              <w:rPr>
                <w:noProof/>
              </w:rPr>
              <w:t>564</w:t>
            </w:r>
          </w:p>
        </w:tc>
        <w:tc>
          <w:tcPr>
            <w:tcW w:w="2426" w:type="dxa"/>
            <w:vAlign w:val="bottom"/>
          </w:tcPr>
          <w:p>
            <w:pPr>
              <w:jc w:val="right"/>
              <w:rPr>
                <w:noProof/>
              </w:rPr>
            </w:pPr>
            <w:r>
              <w:rPr>
                <w:noProof/>
              </w:rPr>
              <w:t>46,73 %</w:t>
            </w:r>
          </w:p>
        </w:tc>
      </w:tr>
      <w:tr>
        <w:tc>
          <w:tcPr>
            <w:tcW w:w="1679" w:type="dxa"/>
            <w:shd w:val="clear" w:color="auto" w:fill="DBE5F1" w:themeFill="accent1" w:themeFillTint="33"/>
          </w:tcPr>
          <w:p>
            <w:pPr>
              <w:jc w:val="center"/>
              <w:rPr>
                <w:b/>
                <w:bCs/>
                <w:noProof/>
              </w:rPr>
            </w:pPr>
            <w:r>
              <w:rPr>
                <w:b/>
                <w:noProof/>
              </w:rPr>
              <w:t>EE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EL</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5</w:t>
            </w:r>
          </w:p>
        </w:tc>
        <w:tc>
          <w:tcPr>
            <w:tcW w:w="1463" w:type="dxa"/>
          </w:tcPr>
          <w:p>
            <w:pPr>
              <w:jc w:val="right"/>
              <w:rPr>
                <w:noProof/>
              </w:rPr>
            </w:pPr>
            <w:r>
              <w:rPr>
                <w:noProof/>
              </w:rPr>
              <w:t>8</w:t>
            </w:r>
          </w:p>
        </w:tc>
        <w:tc>
          <w:tcPr>
            <w:tcW w:w="2426" w:type="dxa"/>
            <w:vAlign w:val="bottom"/>
          </w:tcPr>
          <w:p>
            <w:pPr>
              <w:jc w:val="right"/>
              <w:rPr>
                <w:noProof/>
              </w:rPr>
            </w:pPr>
            <w:r>
              <w:rPr>
                <w:noProof/>
              </w:rPr>
              <w:t>0,66 %</w:t>
            </w:r>
          </w:p>
        </w:tc>
      </w:tr>
      <w:tr>
        <w:tc>
          <w:tcPr>
            <w:tcW w:w="1679" w:type="dxa"/>
            <w:shd w:val="clear" w:color="auto" w:fill="DBE5F1" w:themeFill="accent1" w:themeFillTint="33"/>
          </w:tcPr>
          <w:p>
            <w:pPr>
              <w:jc w:val="center"/>
              <w:rPr>
                <w:b/>
                <w:bCs/>
                <w:noProof/>
              </w:rPr>
            </w:pPr>
            <w:r>
              <w:rPr>
                <w:b/>
                <w:noProof/>
              </w:rPr>
              <w:t>ES</w:t>
            </w:r>
          </w:p>
        </w:tc>
        <w:tc>
          <w:tcPr>
            <w:tcW w:w="1123" w:type="dxa"/>
          </w:tcPr>
          <w:p>
            <w:pPr>
              <w:jc w:val="right"/>
              <w:rPr>
                <w:noProof/>
              </w:rPr>
            </w:pPr>
            <w:r>
              <w:rPr>
                <w:noProof/>
              </w:rPr>
              <w:t>149</w:t>
            </w:r>
          </w:p>
        </w:tc>
        <w:tc>
          <w:tcPr>
            <w:tcW w:w="1275" w:type="dxa"/>
          </w:tcPr>
          <w:p>
            <w:pPr>
              <w:jc w:val="right"/>
              <w:rPr>
                <w:noProof/>
              </w:rPr>
            </w:pPr>
            <w:r>
              <w:rPr>
                <w:noProof/>
              </w:rPr>
              <w:t>187</w:t>
            </w:r>
          </w:p>
        </w:tc>
        <w:tc>
          <w:tcPr>
            <w:tcW w:w="1276" w:type="dxa"/>
          </w:tcPr>
          <w:p>
            <w:pPr>
              <w:jc w:val="right"/>
              <w:rPr>
                <w:noProof/>
              </w:rPr>
            </w:pPr>
            <w:r>
              <w:rPr>
                <w:noProof/>
              </w:rPr>
              <w:t>170</w:t>
            </w:r>
          </w:p>
        </w:tc>
        <w:tc>
          <w:tcPr>
            <w:tcW w:w="1463" w:type="dxa"/>
          </w:tcPr>
          <w:p>
            <w:pPr>
              <w:jc w:val="right"/>
              <w:rPr>
                <w:noProof/>
              </w:rPr>
            </w:pPr>
            <w:r>
              <w:rPr>
                <w:noProof/>
              </w:rPr>
              <w:t>506</w:t>
            </w:r>
          </w:p>
        </w:tc>
        <w:tc>
          <w:tcPr>
            <w:tcW w:w="2426" w:type="dxa"/>
            <w:vAlign w:val="bottom"/>
          </w:tcPr>
          <w:p>
            <w:pPr>
              <w:jc w:val="right"/>
              <w:rPr>
                <w:noProof/>
              </w:rPr>
            </w:pPr>
            <w:r>
              <w:rPr>
                <w:noProof/>
              </w:rPr>
              <w:t>41,92 %</w:t>
            </w:r>
          </w:p>
        </w:tc>
      </w:tr>
      <w:tr>
        <w:tc>
          <w:tcPr>
            <w:tcW w:w="1679" w:type="dxa"/>
            <w:shd w:val="clear" w:color="auto" w:fill="DBE5F1" w:themeFill="accent1" w:themeFillTint="33"/>
          </w:tcPr>
          <w:p>
            <w:pPr>
              <w:jc w:val="center"/>
              <w:rPr>
                <w:b/>
                <w:bCs/>
                <w:noProof/>
              </w:rPr>
            </w:pPr>
            <w:r>
              <w:rPr>
                <w:b/>
                <w:noProof/>
              </w:rPr>
              <w:t>FR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HR</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0</w:t>
            </w:r>
          </w:p>
        </w:tc>
        <w:tc>
          <w:tcPr>
            <w:tcW w:w="1463" w:type="dxa"/>
          </w:tcPr>
          <w:p>
            <w:pPr>
              <w:jc w:val="right"/>
              <w:rPr>
                <w:noProof/>
              </w:rPr>
            </w:pPr>
            <w:r>
              <w:rPr>
                <w:noProof/>
              </w:rPr>
              <w:t>3</w:t>
            </w:r>
          </w:p>
        </w:tc>
        <w:tc>
          <w:tcPr>
            <w:tcW w:w="2426" w:type="dxa"/>
            <w:vAlign w:val="bottom"/>
          </w:tcPr>
          <w:p>
            <w:pPr>
              <w:jc w:val="right"/>
              <w:rPr>
                <w:noProof/>
              </w:rPr>
            </w:pPr>
            <w:r>
              <w:rPr>
                <w:noProof/>
              </w:rPr>
              <w:t>0,25 %</w:t>
            </w:r>
          </w:p>
        </w:tc>
      </w:tr>
      <w:tr>
        <w:tc>
          <w:tcPr>
            <w:tcW w:w="1679" w:type="dxa"/>
            <w:shd w:val="clear" w:color="auto" w:fill="DBE5F1" w:themeFill="accent1" w:themeFillTint="33"/>
          </w:tcPr>
          <w:p>
            <w:pPr>
              <w:jc w:val="center"/>
              <w:rPr>
                <w:b/>
                <w:bCs/>
                <w:noProof/>
              </w:rPr>
            </w:pPr>
            <w:r>
              <w:rPr>
                <w:b/>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HU</w:t>
            </w:r>
          </w:p>
        </w:tc>
        <w:tc>
          <w:tcPr>
            <w:tcW w:w="1123" w:type="dxa"/>
          </w:tcPr>
          <w:p>
            <w:pPr>
              <w:jc w:val="right"/>
              <w:rPr>
                <w:noProof/>
              </w:rPr>
            </w:pPr>
            <w:r>
              <w:rPr>
                <w:noProof/>
              </w:rPr>
              <w:t>0</w:t>
            </w:r>
          </w:p>
        </w:tc>
        <w:tc>
          <w:tcPr>
            <w:tcW w:w="1275" w:type="dxa"/>
          </w:tcPr>
          <w:p>
            <w:pPr>
              <w:jc w:val="right"/>
              <w:rPr>
                <w:noProof/>
              </w:rPr>
            </w:pPr>
            <w:r>
              <w:rPr>
                <w:noProof/>
              </w:rPr>
              <w:t>4</w:t>
            </w:r>
          </w:p>
        </w:tc>
        <w:tc>
          <w:tcPr>
            <w:tcW w:w="1276" w:type="dxa"/>
          </w:tcPr>
          <w:p>
            <w:pPr>
              <w:jc w:val="right"/>
              <w:rPr>
                <w:noProof/>
              </w:rPr>
            </w:pPr>
            <w:r>
              <w:rPr>
                <w:noProof/>
              </w:rPr>
              <w:t>9</w:t>
            </w:r>
          </w:p>
        </w:tc>
        <w:tc>
          <w:tcPr>
            <w:tcW w:w="1463" w:type="dxa"/>
          </w:tcPr>
          <w:p>
            <w:pPr>
              <w:jc w:val="right"/>
              <w:rPr>
                <w:noProof/>
              </w:rPr>
            </w:pPr>
            <w:r>
              <w:rPr>
                <w:noProof/>
              </w:rPr>
              <w:t>13</w:t>
            </w:r>
          </w:p>
        </w:tc>
        <w:tc>
          <w:tcPr>
            <w:tcW w:w="2426" w:type="dxa"/>
            <w:vAlign w:val="bottom"/>
          </w:tcPr>
          <w:p>
            <w:pPr>
              <w:jc w:val="right"/>
              <w:rPr>
                <w:noProof/>
              </w:rPr>
            </w:pPr>
            <w:r>
              <w:rPr>
                <w:noProof/>
              </w:rPr>
              <w:t>1,08 %</w:t>
            </w:r>
          </w:p>
        </w:tc>
      </w:tr>
      <w:tr>
        <w:tc>
          <w:tcPr>
            <w:tcW w:w="1679" w:type="dxa"/>
            <w:shd w:val="clear" w:color="auto" w:fill="DBE5F1" w:themeFill="accent1" w:themeFillTint="33"/>
          </w:tcPr>
          <w:p>
            <w:pPr>
              <w:jc w:val="center"/>
              <w:rPr>
                <w:b/>
                <w:bCs/>
                <w:noProof/>
              </w:rPr>
            </w:pPr>
            <w:r>
              <w:rPr>
                <w:b/>
                <w:noProof/>
              </w:rPr>
              <w:t>MT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NL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AT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PL</w:t>
            </w:r>
          </w:p>
        </w:tc>
        <w:tc>
          <w:tcPr>
            <w:tcW w:w="1123" w:type="dxa"/>
          </w:tcPr>
          <w:p>
            <w:pPr>
              <w:jc w:val="right"/>
              <w:rPr>
                <w:noProof/>
              </w:rPr>
            </w:pPr>
            <w:r>
              <w:rPr>
                <w:noProof/>
              </w:rPr>
              <w:t>6</w:t>
            </w:r>
          </w:p>
        </w:tc>
        <w:tc>
          <w:tcPr>
            <w:tcW w:w="1275" w:type="dxa"/>
          </w:tcPr>
          <w:p>
            <w:pPr>
              <w:jc w:val="right"/>
              <w:rPr>
                <w:noProof/>
              </w:rPr>
            </w:pPr>
            <w:r>
              <w:rPr>
                <w:noProof/>
              </w:rPr>
              <w:t>3</w:t>
            </w:r>
          </w:p>
        </w:tc>
        <w:tc>
          <w:tcPr>
            <w:tcW w:w="1276" w:type="dxa"/>
          </w:tcPr>
          <w:p>
            <w:pPr>
              <w:jc w:val="right"/>
              <w:rPr>
                <w:noProof/>
              </w:rPr>
            </w:pPr>
            <w:r>
              <w:rPr>
                <w:noProof/>
              </w:rPr>
              <w:t>4</w:t>
            </w:r>
          </w:p>
        </w:tc>
        <w:tc>
          <w:tcPr>
            <w:tcW w:w="1463" w:type="dxa"/>
          </w:tcPr>
          <w:p>
            <w:pPr>
              <w:jc w:val="right"/>
              <w:rPr>
                <w:noProof/>
              </w:rPr>
            </w:pPr>
            <w:r>
              <w:rPr>
                <w:noProof/>
              </w:rPr>
              <w:t>13</w:t>
            </w:r>
          </w:p>
        </w:tc>
        <w:tc>
          <w:tcPr>
            <w:tcW w:w="2426" w:type="dxa"/>
            <w:vAlign w:val="bottom"/>
          </w:tcPr>
          <w:p>
            <w:pPr>
              <w:jc w:val="right"/>
              <w:rPr>
                <w:noProof/>
              </w:rPr>
            </w:pPr>
            <w:r>
              <w:rPr>
                <w:noProof/>
              </w:rPr>
              <w:t>1,08 %</w:t>
            </w:r>
          </w:p>
        </w:tc>
      </w:tr>
      <w:tr>
        <w:tc>
          <w:tcPr>
            <w:tcW w:w="1679" w:type="dxa"/>
            <w:shd w:val="clear" w:color="auto" w:fill="DBE5F1" w:themeFill="accent1" w:themeFillTint="33"/>
          </w:tcPr>
          <w:p>
            <w:pPr>
              <w:jc w:val="center"/>
              <w:rPr>
                <w:b/>
                <w:bCs/>
                <w:noProof/>
              </w:rPr>
            </w:pPr>
            <w:r>
              <w:rPr>
                <w:b/>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SI</w:t>
            </w:r>
          </w:p>
        </w:tc>
        <w:tc>
          <w:tcPr>
            <w:tcW w:w="1123" w:type="dxa"/>
          </w:tcPr>
          <w:p>
            <w:pPr>
              <w:jc w:val="right"/>
              <w:rPr>
                <w:noProof/>
              </w:rPr>
            </w:pPr>
            <w:r>
              <w:rPr>
                <w:noProof/>
              </w:rPr>
              <w:t>16</w:t>
            </w:r>
          </w:p>
        </w:tc>
        <w:tc>
          <w:tcPr>
            <w:tcW w:w="1275" w:type="dxa"/>
          </w:tcPr>
          <w:p>
            <w:pPr>
              <w:jc w:val="right"/>
              <w:rPr>
                <w:noProof/>
              </w:rPr>
            </w:pPr>
            <w:r>
              <w:rPr>
                <w:noProof/>
              </w:rPr>
              <w:t>22</w:t>
            </w:r>
          </w:p>
        </w:tc>
        <w:tc>
          <w:tcPr>
            <w:tcW w:w="1276" w:type="dxa"/>
          </w:tcPr>
          <w:p>
            <w:pPr>
              <w:jc w:val="right"/>
              <w:rPr>
                <w:noProof/>
              </w:rPr>
            </w:pPr>
            <w:r>
              <w:rPr>
                <w:noProof/>
              </w:rPr>
              <w:t>31</w:t>
            </w:r>
          </w:p>
        </w:tc>
        <w:tc>
          <w:tcPr>
            <w:tcW w:w="1463" w:type="dxa"/>
          </w:tcPr>
          <w:p>
            <w:pPr>
              <w:jc w:val="right"/>
              <w:rPr>
                <w:noProof/>
              </w:rPr>
            </w:pPr>
            <w:r>
              <w:rPr>
                <w:noProof/>
              </w:rPr>
              <w:t>69</w:t>
            </w:r>
          </w:p>
        </w:tc>
        <w:tc>
          <w:tcPr>
            <w:tcW w:w="2426" w:type="dxa"/>
            <w:vAlign w:val="bottom"/>
          </w:tcPr>
          <w:p>
            <w:pPr>
              <w:jc w:val="right"/>
              <w:rPr>
                <w:noProof/>
              </w:rPr>
            </w:pPr>
            <w:r>
              <w:rPr>
                <w:noProof/>
              </w:rPr>
              <w:t>5,72 %</w:t>
            </w:r>
          </w:p>
        </w:tc>
      </w:tr>
      <w:tr>
        <w:tc>
          <w:tcPr>
            <w:tcW w:w="1679" w:type="dxa"/>
            <w:shd w:val="clear" w:color="auto" w:fill="DBE5F1" w:themeFill="accent1" w:themeFillTint="33"/>
          </w:tcPr>
          <w:p>
            <w:pPr>
              <w:jc w:val="center"/>
              <w:rPr>
                <w:b/>
                <w:bCs/>
                <w:noProof/>
              </w:rPr>
            </w:pPr>
            <w:r>
              <w:rPr>
                <w:b/>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FI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SE</w:t>
            </w:r>
          </w:p>
        </w:tc>
        <w:tc>
          <w:tcPr>
            <w:tcW w:w="1123" w:type="dxa"/>
          </w:tcPr>
          <w:p>
            <w:pPr>
              <w:jc w:val="right"/>
              <w:rPr>
                <w:noProof/>
              </w:rPr>
            </w:pPr>
            <w:r>
              <w:rPr>
                <w:noProof/>
              </w:rPr>
              <w:t>9</w:t>
            </w:r>
          </w:p>
        </w:tc>
        <w:tc>
          <w:tcPr>
            <w:tcW w:w="1275" w:type="dxa"/>
          </w:tcPr>
          <w:p>
            <w:pPr>
              <w:jc w:val="right"/>
              <w:rPr>
                <w:noProof/>
              </w:rPr>
            </w:pPr>
            <w:r>
              <w:rPr>
                <w:noProof/>
              </w:rPr>
              <w:t>9</w:t>
            </w:r>
          </w:p>
        </w:tc>
        <w:tc>
          <w:tcPr>
            <w:tcW w:w="1276" w:type="dxa"/>
          </w:tcPr>
          <w:p>
            <w:pPr>
              <w:jc w:val="right"/>
              <w:rPr>
                <w:noProof/>
              </w:rPr>
            </w:pPr>
            <w:r>
              <w:rPr>
                <w:noProof/>
              </w:rPr>
              <w:t>7</w:t>
            </w:r>
          </w:p>
        </w:tc>
        <w:tc>
          <w:tcPr>
            <w:tcW w:w="1463" w:type="dxa"/>
          </w:tcPr>
          <w:p>
            <w:pPr>
              <w:jc w:val="right"/>
              <w:rPr>
                <w:noProof/>
              </w:rPr>
            </w:pPr>
            <w:r>
              <w:rPr>
                <w:noProof/>
              </w:rPr>
              <w:t>25</w:t>
            </w:r>
          </w:p>
        </w:tc>
        <w:tc>
          <w:tcPr>
            <w:tcW w:w="2426" w:type="dxa"/>
            <w:vAlign w:val="bottom"/>
          </w:tcPr>
          <w:p>
            <w:pPr>
              <w:jc w:val="right"/>
              <w:rPr>
                <w:noProof/>
              </w:rPr>
            </w:pPr>
            <w:r>
              <w:rPr>
                <w:noProof/>
              </w:rPr>
              <w:t>2,07 %</w:t>
            </w:r>
          </w:p>
        </w:tc>
      </w:tr>
      <w:tr>
        <w:tc>
          <w:tcPr>
            <w:tcW w:w="1679" w:type="dxa"/>
            <w:shd w:val="clear" w:color="auto" w:fill="DBE5F1" w:themeFill="accent1" w:themeFillTint="33"/>
          </w:tcPr>
          <w:p>
            <w:pPr>
              <w:jc w:val="center"/>
              <w:rPr>
                <w:b/>
                <w:bCs/>
                <w:noProof/>
              </w:rPr>
            </w:pPr>
            <w:r>
              <w:rPr>
                <w:b/>
                <w:noProof/>
              </w:rPr>
              <w:t>Total</w:t>
            </w:r>
          </w:p>
        </w:tc>
        <w:tc>
          <w:tcPr>
            <w:tcW w:w="1123" w:type="dxa"/>
          </w:tcPr>
          <w:p>
            <w:pPr>
              <w:jc w:val="right"/>
              <w:rPr>
                <w:noProof/>
              </w:rPr>
            </w:pPr>
            <w:r>
              <w:rPr>
                <w:noProof/>
              </w:rPr>
              <w:t>381</w:t>
            </w:r>
          </w:p>
        </w:tc>
        <w:tc>
          <w:tcPr>
            <w:tcW w:w="1275" w:type="dxa"/>
          </w:tcPr>
          <w:p>
            <w:pPr>
              <w:jc w:val="right"/>
              <w:rPr>
                <w:noProof/>
              </w:rPr>
            </w:pPr>
            <w:r>
              <w:rPr>
                <w:noProof/>
              </w:rPr>
              <w:t>419</w:t>
            </w:r>
          </w:p>
        </w:tc>
        <w:tc>
          <w:tcPr>
            <w:tcW w:w="1276" w:type="dxa"/>
          </w:tcPr>
          <w:p>
            <w:pPr>
              <w:jc w:val="right"/>
              <w:rPr>
                <w:noProof/>
              </w:rPr>
            </w:pPr>
            <w:r>
              <w:rPr>
                <w:noProof/>
              </w:rPr>
              <w:t>407</w:t>
            </w:r>
          </w:p>
        </w:tc>
        <w:tc>
          <w:tcPr>
            <w:tcW w:w="1463" w:type="dxa"/>
          </w:tcPr>
          <w:p>
            <w:pPr>
              <w:jc w:val="right"/>
              <w:rPr>
                <w:noProof/>
              </w:rPr>
            </w:pPr>
            <w:r>
              <w:rPr>
                <w:noProof/>
              </w:rPr>
              <w:t>1 207</w:t>
            </w:r>
          </w:p>
        </w:tc>
        <w:tc>
          <w:tcPr>
            <w:tcW w:w="2426" w:type="dxa"/>
            <w:vAlign w:val="bottom"/>
          </w:tcPr>
          <w:p>
            <w:pPr>
              <w:jc w:val="right"/>
              <w:rPr>
                <w:noProof/>
              </w:rPr>
            </w:pPr>
            <w:r>
              <w:rPr>
                <w:noProof/>
              </w:rPr>
              <w:t>100,00 %</w:t>
            </w:r>
          </w:p>
        </w:tc>
      </w:tr>
    </w:tbl>
    <w:p>
      <w:pPr>
        <w:rPr>
          <w:bCs/>
          <w:noProof/>
        </w:rPr>
      </w:pPr>
      <w:r>
        <w:rPr>
          <w:noProof/>
        </w:rPr>
        <w:br w:type="page"/>
      </w:r>
    </w:p>
    <w:p>
      <w:pPr>
        <w:rPr>
          <w:noProof/>
        </w:rPr>
      </w:pPr>
      <w:r>
        <w:rPr>
          <w:noProof/>
        </w:rPr>
        <w:t>Tableau 4. Demandes d’autorisations normales rejetées</w:t>
      </w:r>
    </w:p>
    <w:p>
      <w:pPr>
        <w:rPr>
          <w:noProof/>
          <w:sz w:val="22"/>
          <w:szCs w:val="22"/>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noProof/>
              </w:rPr>
              <w:t>États membres</w:t>
            </w:r>
          </w:p>
        </w:tc>
        <w:tc>
          <w:tcPr>
            <w:tcW w:w="3674" w:type="dxa"/>
            <w:gridSpan w:val="3"/>
            <w:shd w:val="clear" w:color="auto" w:fill="DBE5F1" w:themeFill="accent1" w:themeFillTint="33"/>
            <w:vAlign w:val="center"/>
          </w:tcPr>
          <w:p>
            <w:pPr>
              <w:jc w:val="center"/>
              <w:rPr>
                <w:b/>
                <w:bCs/>
                <w:noProof/>
              </w:rPr>
            </w:pPr>
            <w:r>
              <w:rPr>
                <w:b/>
                <w:noProof/>
              </w:rPr>
              <w:t>Année</w:t>
            </w:r>
          </w:p>
        </w:tc>
        <w:tc>
          <w:tcPr>
            <w:tcW w:w="1463" w:type="dxa"/>
            <w:vMerge w:val="restart"/>
            <w:shd w:val="clear" w:color="auto" w:fill="DBE5F1" w:themeFill="accent1" w:themeFillTint="33"/>
            <w:vAlign w:val="center"/>
          </w:tcPr>
          <w:p>
            <w:pPr>
              <w:jc w:val="center"/>
              <w:rPr>
                <w:b/>
                <w:bCs/>
                <w:noProof/>
              </w:rPr>
            </w:pPr>
            <w:r>
              <w:rPr>
                <w:b/>
                <w:noProof/>
              </w:rPr>
              <w:t>2021-2023</w:t>
            </w:r>
          </w:p>
        </w:tc>
        <w:tc>
          <w:tcPr>
            <w:tcW w:w="2426" w:type="dxa"/>
            <w:vMerge w:val="restart"/>
            <w:shd w:val="clear" w:color="auto" w:fill="DBE5F1" w:themeFill="accent1" w:themeFillTint="33"/>
            <w:vAlign w:val="center"/>
          </w:tcPr>
          <w:p>
            <w:pPr>
              <w:jc w:val="center"/>
              <w:rPr>
                <w:b/>
                <w:bCs/>
                <w:noProof/>
              </w:rPr>
            </w:pPr>
            <w:r>
              <w:rPr>
                <w:b/>
                <w:noProof/>
              </w:rPr>
              <w:t>Part du total en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noProof/>
              </w:rPr>
              <w:t>2021</w:t>
            </w:r>
          </w:p>
        </w:tc>
        <w:tc>
          <w:tcPr>
            <w:tcW w:w="1275" w:type="dxa"/>
            <w:shd w:val="clear" w:color="auto" w:fill="DBE5F1" w:themeFill="accent1" w:themeFillTint="33"/>
          </w:tcPr>
          <w:p>
            <w:pPr>
              <w:jc w:val="center"/>
              <w:rPr>
                <w:b/>
                <w:bCs/>
                <w:noProof/>
              </w:rPr>
            </w:pPr>
            <w:r>
              <w:rPr>
                <w:b/>
                <w:noProof/>
              </w:rPr>
              <w:t>2022</w:t>
            </w:r>
          </w:p>
        </w:tc>
        <w:tc>
          <w:tcPr>
            <w:tcW w:w="1276" w:type="dxa"/>
            <w:shd w:val="clear" w:color="auto" w:fill="DBE5F1" w:themeFill="accent1" w:themeFillTint="33"/>
          </w:tcPr>
          <w:p>
            <w:pPr>
              <w:jc w:val="center"/>
              <w:rPr>
                <w:b/>
                <w:bCs/>
                <w:noProof/>
              </w:rPr>
            </w:pPr>
            <w:r>
              <w:rPr>
                <w:b/>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noProof/>
              </w:rPr>
              <w:t>BE</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2</w:t>
            </w:r>
          </w:p>
        </w:tc>
        <w:tc>
          <w:tcPr>
            <w:tcW w:w="1463" w:type="dxa"/>
          </w:tcPr>
          <w:p>
            <w:pPr>
              <w:jc w:val="right"/>
              <w:rPr>
                <w:noProof/>
              </w:rPr>
            </w:pPr>
            <w:r>
              <w:rPr>
                <w:noProof/>
              </w:rPr>
              <w:t>5</w:t>
            </w:r>
          </w:p>
        </w:tc>
        <w:tc>
          <w:tcPr>
            <w:tcW w:w="2426" w:type="dxa"/>
            <w:vAlign w:val="bottom"/>
          </w:tcPr>
          <w:p>
            <w:pPr>
              <w:jc w:val="right"/>
              <w:rPr>
                <w:noProof/>
              </w:rPr>
            </w:pPr>
            <w:r>
              <w:rPr>
                <w:noProof/>
              </w:rPr>
              <w:t>0,99 %</w:t>
            </w:r>
          </w:p>
        </w:tc>
      </w:tr>
      <w:tr>
        <w:tc>
          <w:tcPr>
            <w:tcW w:w="1679" w:type="dxa"/>
            <w:shd w:val="clear" w:color="auto" w:fill="DBE5F1" w:themeFill="accent1" w:themeFillTint="33"/>
          </w:tcPr>
          <w:p>
            <w:pPr>
              <w:jc w:val="center"/>
              <w:rPr>
                <w:b/>
                <w:bCs/>
                <w:noProof/>
              </w:rPr>
            </w:pPr>
            <w:r>
              <w:rPr>
                <w:b/>
                <w:noProof/>
              </w:rPr>
              <w:t>BG</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DE</w:t>
            </w:r>
          </w:p>
        </w:tc>
        <w:tc>
          <w:tcPr>
            <w:tcW w:w="1123" w:type="dxa"/>
          </w:tcPr>
          <w:p>
            <w:pPr>
              <w:jc w:val="right"/>
              <w:rPr>
                <w:noProof/>
              </w:rPr>
            </w:pPr>
            <w:r>
              <w:rPr>
                <w:noProof/>
              </w:rPr>
              <w:t>3</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5</w:t>
            </w:r>
          </w:p>
        </w:tc>
        <w:tc>
          <w:tcPr>
            <w:tcW w:w="2426" w:type="dxa"/>
            <w:vAlign w:val="bottom"/>
          </w:tcPr>
          <w:p>
            <w:pPr>
              <w:jc w:val="right"/>
              <w:rPr>
                <w:noProof/>
              </w:rPr>
            </w:pPr>
            <w:r>
              <w:rPr>
                <w:noProof/>
              </w:rPr>
              <w:t>0,99 %</w:t>
            </w:r>
          </w:p>
        </w:tc>
      </w:tr>
      <w:tr>
        <w:tc>
          <w:tcPr>
            <w:tcW w:w="1679" w:type="dxa"/>
            <w:shd w:val="clear" w:color="auto" w:fill="DBE5F1" w:themeFill="accent1" w:themeFillTint="33"/>
          </w:tcPr>
          <w:p>
            <w:pPr>
              <w:jc w:val="center"/>
              <w:rPr>
                <w:b/>
                <w:bCs/>
                <w:noProof/>
              </w:rPr>
            </w:pPr>
            <w:r>
              <w:rPr>
                <w:b/>
                <w:noProof/>
              </w:rPr>
              <w:t>EE</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0,40 %</w:t>
            </w:r>
          </w:p>
        </w:tc>
      </w:tr>
      <w:tr>
        <w:tc>
          <w:tcPr>
            <w:tcW w:w="1679" w:type="dxa"/>
            <w:shd w:val="clear" w:color="auto" w:fill="DBE5F1" w:themeFill="accent1" w:themeFillTint="33"/>
          </w:tcPr>
          <w:p>
            <w:pPr>
              <w:jc w:val="center"/>
              <w:rPr>
                <w:b/>
                <w:bCs/>
                <w:noProof/>
              </w:rPr>
            </w:pPr>
            <w:r>
              <w:rPr>
                <w:b/>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EL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ES</w:t>
            </w:r>
          </w:p>
        </w:tc>
        <w:tc>
          <w:tcPr>
            <w:tcW w:w="1123" w:type="dxa"/>
          </w:tcPr>
          <w:p>
            <w:pPr>
              <w:jc w:val="right"/>
              <w:rPr>
                <w:noProof/>
              </w:rPr>
            </w:pPr>
            <w:r>
              <w:rPr>
                <w:noProof/>
              </w:rPr>
              <w:t>136</w:t>
            </w:r>
          </w:p>
        </w:tc>
        <w:tc>
          <w:tcPr>
            <w:tcW w:w="1275" w:type="dxa"/>
          </w:tcPr>
          <w:p>
            <w:pPr>
              <w:jc w:val="right"/>
              <w:rPr>
                <w:noProof/>
              </w:rPr>
            </w:pPr>
            <w:r>
              <w:rPr>
                <w:noProof/>
              </w:rPr>
              <w:t>170</w:t>
            </w:r>
          </w:p>
        </w:tc>
        <w:tc>
          <w:tcPr>
            <w:tcW w:w="1276" w:type="dxa"/>
          </w:tcPr>
          <w:p>
            <w:pPr>
              <w:jc w:val="right"/>
              <w:rPr>
                <w:noProof/>
              </w:rPr>
            </w:pPr>
            <w:r>
              <w:rPr>
                <w:noProof/>
              </w:rPr>
              <w:t>171</w:t>
            </w:r>
          </w:p>
        </w:tc>
        <w:tc>
          <w:tcPr>
            <w:tcW w:w="1463" w:type="dxa"/>
          </w:tcPr>
          <w:p>
            <w:pPr>
              <w:jc w:val="right"/>
              <w:rPr>
                <w:noProof/>
              </w:rPr>
            </w:pPr>
            <w:r>
              <w:rPr>
                <w:noProof/>
              </w:rPr>
              <w:t>477</w:t>
            </w:r>
          </w:p>
        </w:tc>
        <w:tc>
          <w:tcPr>
            <w:tcW w:w="2426" w:type="dxa"/>
            <w:vAlign w:val="bottom"/>
          </w:tcPr>
          <w:p>
            <w:pPr>
              <w:jc w:val="right"/>
              <w:rPr>
                <w:noProof/>
              </w:rPr>
            </w:pPr>
            <w:r>
              <w:rPr>
                <w:noProof/>
              </w:rPr>
              <w:t>94,46 %</w:t>
            </w:r>
          </w:p>
        </w:tc>
      </w:tr>
      <w:tr>
        <w:tc>
          <w:tcPr>
            <w:tcW w:w="1679" w:type="dxa"/>
            <w:shd w:val="clear" w:color="auto" w:fill="DBE5F1" w:themeFill="accent1" w:themeFillTint="33"/>
          </w:tcPr>
          <w:p>
            <w:pPr>
              <w:jc w:val="center"/>
              <w:rPr>
                <w:b/>
                <w:bCs/>
                <w:noProof/>
              </w:rPr>
            </w:pPr>
            <w:r>
              <w:rPr>
                <w:b/>
                <w:noProof/>
              </w:rPr>
              <w:t>FR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HR</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2</w:t>
            </w:r>
          </w:p>
        </w:tc>
        <w:tc>
          <w:tcPr>
            <w:tcW w:w="1463" w:type="dxa"/>
          </w:tcPr>
          <w:p>
            <w:pPr>
              <w:jc w:val="right"/>
              <w:rPr>
                <w:noProof/>
              </w:rPr>
            </w:pPr>
            <w:r>
              <w:rPr>
                <w:noProof/>
              </w:rPr>
              <w:t>4</w:t>
            </w:r>
          </w:p>
        </w:tc>
        <w:tc>
          <w:tcPr>
            <w:tcW w:w="2426" w:type="dxa"/>
            <w:vAlign w:val="bottom"/>
          </w:tcPr>
          <w:p>
            <w:pPr>
              <w:jc w:val="right"/>
              <w:rPr>
                <w:noProof/>
              </w:rPr>
            </w:pPr>
            <w:r>
              <w:rPr>
                <w:noProof/>
              </w:rPr>
              <w:t>0,79 %</w:t>
            </w:r>
          </w:p>
        </w:tc>
      </w:tr>
      <w:tr>
        <w:tc>
          <w:tcPr>
            <w:tcW w:w="1679" w:type="dxa"/>
            <w:shd w:val="clear" w:color="auto" w:fill="DBE5F1" w:themeFill="accent1" w:themeFillTint="33"/>
          </w:tcPr>
          <w:p>
            <w:pPr>
              <w:jc w:val="center"/>
              <w:rPr>
                <w:b/>
                <w:bCs/>
                <w:noProof/>
              </w:rPr>
            </w:pPr>
            <w:r>
              <w:rPr>
                <w:b/>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HU</w:t>
            </w:r>
          </w:p>
        </w:tc>
        <w:tc>
          <w:tcPr>
            <w:tcW w:w="1123" w:type="dxa"/>
          </w:tcPr>
          <w:p>
            <w:pPr>
              <w:jc w:val="right"/>
              <w:rPr>
                <w:noProof/>
              </w:rPr>
            </w:pPr>
            <w:r>
              <w:rPr>
                <w:noProof/>
              </w:rPr>
              <w:t>0</w:t>
            </w:r>
          </w:p>
        </w:tc>
        <w:tc>
          <w:tcPr>
            <w:tcW w:w="1275" w:type="dxa"/>
          </w:tcPr>
          <w:p>
            <w:pPr>
              <w:jc w:val="right"/>
              <w:rPr>
                <w:noProof/>
              </w:rPr>
            </w:pPr>
            <w:r>
              <w:rPr>
                <w:noProof/>
              </w:rPr>
              <w:t>4</w:t>
            </w:r>
          </w:p>
        </w:tc>
        <w:tc>
          <w:tcPr>
            <w:tcW w:w="1276" w:type="dxa"/>
          </w:tcPr>
          <w:p>
            <w:pPr>
              <w:jc w:val="right"/>
              <w:rPr>
                <w:noProof/>
              </w:rPr>
            </w:pPr>
            <w:r>
              <w:rPr>
                <w:noProof/>
              </w:rPr>
              <w:t>1</w:t>
            </w:r>
          </w:p>
        </w:tc>
        <w:tc>
          <w:tcPr>
            <w:tcW w:w="1463" w:type="dxa"/>
          </w:tcPr>
          <w:p>
            <w:pPr>
              <w:jc w:val="right"/>
              <w:rPr>
                <w:noProof/>
              </w:rPr>
            </w:pPr>
            <w:r>
              <w:rPr>
                <w:noProof/>
              </w:rPr>
              <w:t>5</w:t>
            </w:r>
          </w:p>
        </w:tc>
        <w:tc>
          <w:tcPr>
            <w:tcW w:w="2426" w:type="dxa"/>
            <w:vAlign w:val="bottom"/>
          </w:tcPr>
          <w:p>
            <w:pPr>
              <w:jc w:val="right"/>
              <w:rPr>
                <w:noProof/>
              </w:rPr>
            </w:pPr>
            <w:r>
              <w:rPr>
                <w:noProof/>
              </w:rPr>
              <w:t>0,99 %</w:t>
            </w:r>
          </w:p>
        </w:tc>
      </w:tr>
      <w:tr>
        <w:tc>
          <w:tcPr>
            <w:tcW w:w="1679" w:type="dxa"/>
            <w:shd w:val="clear" w:color="auto" w:fill="DBE5F1" w:themeFill="accent1" w:themeFillTint="33"/>
          </w:tcPr>
          <w:p>
            <w:pPr>
              <w:jc w:val="center"/>
              <w:rPr>
                <w:b/>
                <w:bCs/>
                <w:noProof/>
              </w:rPr>
            </w:pPr>
            <w:r>
              <w:rPr>
                <w:b/>
                <w:noProof/>
              </w:rPr>
              <w:t>MT</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1</w:t>
            </w:r>
          </w:p>
        </w:tc>
        <w:tc>
          <w:tcPr>
            <w:tcW w:w="1463" w:type="dxa"/>
          </w:tcPr>
          <w:p>
            <w:pPr>
              <w:jc w:val="right"/>
              <w:rPr>
                <w:noProof/>
              </w:rPr>
            </w:pPr>
            <w:r>
              <w:rPr>
                <w:noProof/>
              </w:rPr>
              <w:t>4</w:t>
            </w:r>
          </w:p>
        </w:tc>
        <w:tc>
          <w:tcPr>
            <w:tcW w:w="2426" w:type="dxa"/>
            <w:vAlign w:val="bottom"/>
          </w:tcPr>
          <w:p>
            <w:pPr>
              <w:jc w:val="right"/>
              <w:rPr>
                <w:noProof/>
              </w:rPr>
            </w:pPr>
            <w:r>
              <w:rPr>
                <w:noProof/>
              </w:rPr>
              <w:t>0,79 %</w:t>
            </w:r>
          </w:p>
        </w:tc>
      </w:tr>
      <w:tr>
        <w:tc>
          <w:tcPr>
            <w:tcW w:w="1679" w:type="dxa"/>
            <w:shd w:val="clear" w:color="auto" w:fill="DBE5F1" w:themeFill="accent1" w:themeFillTint="33"/>
          </w:tcPr>
          <w:p>
            <w:pPr>
              <w:jc w:val="center"/>
              <w:rPr>
                <w:b/>
                <w:bCs/>
                <w:noProof/>
              </w:rPr>
            </w:pPr>
            <w:r>
              <w:rPr>
                <w:b/>
                <w:noProof/>
              </w:rPr>
              <w:t>NL</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0,40 %</w:t>
            </w:r>
          </w:p>
        </w:tc>
      </w:tr>
      <w:tr>
        <w:tc>
          <w:tcPr>
            <w:tcW w:w="1679" w:type="dxa"/>
            <w:shd w:val="clear" w:color="auto" w:fill="DBE5F1" w:themeFill="accent1" w:themeFillTint="33"/>
          </w:tcPr>
          <w:p>
            <w:pPr>
              <w:jc w:val="center"/>
              <w:rPr>
                <w:b/>
                <w:bCs/>
                <w:noProof/>
              </w:rPr>
            </w:pPr>
            <w:r>
              <w:rPr>
                <w:b/>
                <w:noProof/>
              </w:rPr>
              <w:t>AT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PL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FI</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0</w:t>
            </w:r>
          </w:p>
        </w:tc>
        <w:tc>
          <w:tcPr>
            <w:tcW w:w="1463" w:type="dxa"/>
          </w:tcPr>
          <w:p>
            <w:pPr>
              <w:jc w:val="right"/>
              <w:rPr>
                <w:noProof/>
              </w:rPr>
            </w:pPr>
            <w:r>
              <w:rPr>
                <w:noProof/>
              </w:rPr>
              <w:t>1</w:t>
            </w:r>
          </w:p>
        </w:tc>
        <w:tc>
          <w:tcPr>
            <w:tcW w:w="2426" w:type="dxa"/>
            <w:vAlign w:val="bottom"/>
          </w:tcPr>
          <w:p>
            <w:pPr>
              <w:jc w:val="right"/>
              <w:rPr>
                <w:noProof/>
              </w:rPr>
            </w:pPr>
            <w:r>
              <w:rPr>
                <w:noProof/>
              </w:rPr>
              <w:t>0,20 %</w:t>
            </w:r>
          </w:p>
        </w:tc>
      </w:tr>
      <w:tr>
        <w:tc>
          <w:tcPr>
            <w:tcW w:w="1679" w:type="dxa"/>
            <w:shd w:val="clear" w:color="auto" w:fill="DBE5F1" w:themeFill="accent1" w:themeFillTint="33"/>
          </w:tcPr>
          <w:p>
            <w:pPr>
              <w:jc w:val="center"/>
              <w:rPr>
                <w:b/>
                <w:bCs/>
                <w:noProof/>
              </w:rPr>
            </w:pPr>
            <w:r>
              <w:rPr>
                <w:b/>
                <w:noProof/>
              </w:rPr>
              <w:t>SE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Total</w:t>
            </w:r>
          </w:p>
        </w:tc>
        <w:tc>
          <w:tcPr>
            <w:tcW w:w="1123" w:type="dxa"/>
          </w:tcPr>
          <w:p>
            <w:pPr>
              <w:jc w:val="right"/>
              <w:rPr>
                <w:noProof/>
              </w:rPr>
            </w:pPr>
            <w:r>
              <w:rPr>
                <w:noProof/>
              </w:rPr>
              <w:t>143</w:t>
            </w:r>
          </w:p>
        </w:tc>
        <w:tc>
          <w:tcPr>
            <w:tcW w:w="1275" w:type="dxa"/>
          </w:tcPr>
          <w:p>
            <w:pPr>
              <w:jc w:val="right"/>
              <w:rPr>
                <w:noProof/>
              </w:rPr>
            </w:pPr>
            <w:r>
              <w:rPr>
                <w:noProof/>
              </w:rPr>
              <w:t>182</w:t>
            </w:r>
          </w:p>
        </w:tc>
        <w:tc>
          <w:tcPr>
            <w:tcW w:w="1276" w:type="dxa"/>
          </w:tcPr>
          <w:p>
            <w:pPr>
              <w:jc w:val="right"/>
              <w:rPr>
                <w:noProof/>
              </w:rPr>
            </w:pPr>
            <w:r>
              <w:rPr>
                <w:noProof/>
              </w:rPr>
              <w:t>180</w:t>
            </w:r>
          </w:p>
        </w:tc>
        <w:tc>
          <w:tcPr>
            <w:tcW w:w="1463" w:type="dxa"/>
          </w:tcPr>
          <w:p>
            <w:pPr>
              <w:jc w:val="right"/>
              <w:rPr>
                <w:noProof/>
              </w:rPr>
            </w:pPr>
            <w:r>
              <w:rPr>
                <w:noProof/>
              </w:rPr>
              <w:t>505</w:t>
            </w:r>
          </w:p>
        </w:tc>
        <w:tc>
          <w:tcPr>
            <w:tcW w:w="2426" w:type="dxa"/>
            <w:vAlign w:val="bottom"/>
          </w:tcPr>
          <w:p>
            <w:pPr>
              <w:jc w:val="right"/>
              <w:rPr>
                <w:noProof/>
              </w:rPr>
            </w:pPr>
            <w:r>
              <w:rPr>
                <w:noProof/>
              </w:rPr>
              <w:t>100,00 %</w:t>
            </w:r>
          </w:p>
        </w:tc>
      </w:tr>
    </w:tbl>
    <w:p>
      <w:pPr>
        <w:rPr>
          <w:noProof/>
        </w:rPr>
      </w:pPr>
    </w:p>
    <w:p>
      <w:pPr>
        <w:rPr>
          <w:noProof/>
        </w:rPr>
      </w:pPr>
      <w:r>
        <w:rPr>
          <w:noProof/>
        </w:rPr>
        <w:br w:type="page"/>
      </w:r>
    </w:p>
    <w:p>
      <w:pPr>
        <w:rPr>
          <w:noProof/>
        </w:rPr>
      </w:pPr>
    </w:p>
    <w:p>
      <w:pPr>
        <w:rPr>
          <w:noProof/>
        </w:rPr>
      </w:pPr>
      <w:r>
        <w:rPr>
          <w:noProof/>
        </w:rPr>
        <w:t>Tableau 5. Cas de violation/non-conformité</w:t>
      </w:r>
    </w:p>
    <w:p>
      <w:pPr>
        <w:rPr>
          <w:noProof/>
        </w:rPr>
      </w:pPr>
    </w:p>
    <w:tbl>
      <w:tblPr>
        <w:tblStyle w:val="TableGrid"/>
        <w:tblW w:w="0" w:type="auto"/>
        <w:tblLook w:val="04A0" w:firstRow="1" w:lastRow="0" w:firstColumn="1" w:lastColumn="0" w:noHBand="0" w:noVBand="1"/>
      </w:tblPr>
      <w:tblGrid>
        <w:gridCol w:w="2660"/>
        <w:gridCol w:w="6379"/>
      </w:tblGrid>
      <w:tr>
        <w:tc>
          <w:tcPr>
            <w:tcW w:w="2660" w:type="dxa"/>
            <w:shd w:val="clear" w:color="auto" w:fill="DBE5F1" w:themeFill="accent1" w:themeFillTint="33"/>
          </w:tcPr>
          <w:p>
            <w:pPr>
              <w:jc w:val="center"/>
              <w:rPr>
                <w:b/>
                <w:bCs/>
                <w:noProof/>
              </w:rPr>
            </w:pPr>
            <w:r>
              <w:rPr>
                <w:b/>
                <w:noProof/>
              </w:rPr>
              <w:t>Année</w:t>
            </w:r>
          </w:p>
        </w:tc>
        <w:tc>
          <w:tcPr>
            <w:tcW w:w="6379" w:type="dxa"/>
            <w:shd w:val="clear" w:color="auto" w:fill="DBE5F1" w:themeFill="accent1" w:themeFillTint="33"/>
          </w:tcPr>
          <w:p>
            <w:pPr>
              <w:jc w:val="center"/>
              <w:rPr>
                <w:b/>
                <w:bCs/>
                <w:noProof/>
              </w:rPr>
            </w:pPr>
            <w:r>
              <w:rPr>
                <w:b/>
                <w:noProof/>
              </w:rPr>
              <w:t>Nombre total de cas de violation</w:t>
            </w:r>
          </w:p>
        </w:tc>
      </w:tr>
      <w:tr>
        <w:tc>
          <w:tcPr>
            <w:tcW w:w="2660" w:type="dxa"/>
          </w:tcPr>
          <w:p>
            <w:pPr>
              <w:rPr>
                <w:noProof/>
              </w:rPr>
            </w:pPr>
            <w:r>
              <w:rPr>
                <w:noProof/>
              </w:rPr>
              <w:t>2021</w:t>
            </w:r>
          </w:p>
        </w:tc>
        <w:tc>
          <w:tcPr>
            <w:tcW w:w="6379" w:type="dxa"/>
          </w:tcPr>
          <w:p>
            <w:pPr>
              <w:rPr>
                <w:noProof/>
              </w:rPr>
            </w:pPr>
            <w:r>
              <w:rPr>
                <w:noProof/>
              </w:rPr>
              <w:t>67</w:t>
            </w:r>
          </w:p>
        </w:tc>
      </w:tr>
      <w:tr>
        <w:tc>
          <w:tcPr>
            <w:tcW w:w="2660" w:type="dxa"/>
          </w:tcPr>
          <w:p>
            <w:pPr>
              <w:rPr>
                <w:noProof/>
              </w:rPr>
            </w:pPr>
            <w:r>
              <w:rPr>
                <w:noProof/>
              </w:rPr>
              <w:t>2022</w:t>
            </w:r>
          </w:p>
        </w:tc>
        <w:tc>
          <w:tcPr>
            <w:tcW w:w="6379" w:type="dxa"/>
          </w:tcPr>
          <w:p>
            <w:pPr>
              <w:rPr>
                <w:noProof/>
              </w:rPr>
            </w:pPr>
            <w:r>
              <w:rPr>
                <w:noProof/>
              </w:rPr>
              <w:t>96</w:t>
            </w:r>
          </w:p>
        </w:tc>
      </w:tr>
      <w:tr>
        <w:tc>
          <w:tcPr>
            <w:tcW w:w="2660" w:type="dxa"/>
          </w:tcPr>
          <w:p>
            <w:pPr>
              <w:rPr>
                <w:noProof/>
              </w:rPr>
            </w:pPr>
            <w:r>
              <w:rPr>
                <w:noProof/>
              </w:rPr>
              <w:t>2023</w:t>
            </w:r>
          </w:p>
        </w:tc>
        <w:tc>
          <w:tcPr>
            <w:tcW w:w="6379" w:type="dxa"/>
          </w:tcPr>
          <w:p>
            <w:pPr>
              <w:rPr>
                <w:noProof/>
              </w:rPr>
            </w:pPr>
            <w:r>
              <w:rPr>
                <w:noProof/>
              </w:rPr>
              <w:t>58</w:t>
            </w:r>
          </w:p>
        </w:tc>
      </w:tr>
      <w:tr>
        <w:tc>
          <w:tcPr>
            <w:tcW w:w="2660" w:type="dxa"/>
            <w:shd w:val="clear" w:color="auto" w:fill="DBE5F1" w:themeFill="accent1" w:themeFillTint="33"/>
          </w:tcPr>
          <w:p>
            <w:pPr>
              <w:rPr>
                <w:b/>
                <w:bCs/>
                <w:noProof/>
              </w:rPr>
            </w:pPr>
            <w:r>
              <w:rPr>
                <w:b/>
                <w:noProof/>
              </w:rPr>
              <w:t>Total</w:t>
            </w:r>
          </w:p>
        </w:tc>
        <w:tc>
          <w:tcPr>
            <w:tcW w:w="6379" w:type="dxa"/>
            <w:shd w:val="clear" w:color="auto" w:fill="DBE5F1" w:themeFill="accent1" w:themeFillTint="33"/>
          </w:tcPr>
          <w:p>
            <w:pPr>
              <w:rPr>
                <w:noProof/>
              </w:rPr>
            </w:pPr>
            <w:r>
              <w:rPr>
                <w:noProof/>
              </w:rPr>
              <w:t>221</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84222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3</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jc w:val="both"/>
      </w:pPr>
      <w:r>
        <w:rPr>
          <w:rStyle w:val="FootnoteReference"/>
        </w:rPr>
        <w:footnoteRef/>
      </w:r>
      <w:r>
        <w:t xml:space="preserve"> Règlement (CE) nº 116/2009 du Conseil du 18 décembre 2008 concernant l’exportation de biens culturels (JO L 39 du 10.2.2009, p. 1, ELI: </w:t>
      </w:r>
      <w:hyperlink r:id="rId1" w:history="1">
        <w:r>
          <w:rPr>
            <w:rStyle w:val="Hyperlink"/>
          </w:rPr>
          <w:t>http://data.europa.eu/eli/reg/2009/116/oj</w:t>
        </w:r>
      </w:hyperlink>
      <w:r>
        <w:t>).</w:t>
      </w:r>
    </w:p>
  </w:footnote>
  <w:footnote w:id="2">
    <w:p>
      <w:pPr>
        <w:pStyle w:val="FootnoteText"/>
        <w:jc w:val="both"/>
      </w:pPr>
      <w:r>
        <w:rPr>
          <w:rStyle w:val="FootnoteReference"/>
        </w:rPr>
        <w:footnoteRef/>
      </w:r>
      <w:r>
        <w:t xml:space="preserve"> Règlement d’exécution (UE) nº 1081/2012 de la Commission du 9 novembre 2012 portant dispositions d’application du règlement (CE) nº 116/2009 du Conseil concernant l’exportation de biens culturels (JO L 324 du 22.11.2012, p. 1, ELI: </w:t>
      </w:r>
      <w:hyperlink r:id="rId2" w:history="1">
        <w:r>
          <w:rPr>
            <w:rStyle w:val="Hyperlink"/>
          </w:rPr>
          <w:t>http://data.europa.eu/eli/reg_impl/2012/1081/oj</w:t>
        </w:r>
      </w:hyperlink>
      <w:r>
        <w:t xml:space="preserve">). Dernier texte consolidé disponible à l’adresse suivante: </w:t>
      </w:r>
      <w:hyperlink r:id="rId3" w:history="1">
        <w:r>
          <w:rPr>
            <w:rStyle w:val="Hyperlink"/>
          </w:rPr>
          <w:t>https://eur-lex.europa.eu/legal-content/FR/TXT/?uri=CELEX%3A02012R1081-20121212</w:t>
        </w:r>
      </w:hyperlink>
      <w:r>
        <w:t>.</w:t>
      </w:r>
    </w:p>
  </w:footnote>
  <w:footnote w:id="3">
    <w:p>
      <w:pPr>
        <w:pStyle w:val="FootnoteText"/>
        <w:jc w:val="both"/>
      </w:pPr>
      <w:r>
        <w:rPr>
          <w:rStyle w:val="FootnoteReference"/>
        </w:rPr>
        <w:footnoteRef/>
      </w:r>
      <w:r>
        <w:t xml:space="preserve"> Enquête menée auprès des États membres sous la forme d’un questionnaire, diffusé entre le 15 juillet 2024 et le 1</w:t>
      </w:r>
      <w:r>
        <w:rPr>
          <w:vertAlign w:val="superscript"/>
        </w:rPr>
        <w:t>er</w:t>
      </w:r>
      <w:r>
        <w:t> octobre 2024.</w:t>
      </w:r>
    </w:p>
  </w:footnote>
  <w:footnote w:id="4">
    <w:p>
      <w:pPr>
        <w:pStyle w:val="FootnoteText"/>
        <w:jc w:val="both"/>
      </w:pPr>
      <w:r>
        <w:rPr>
          <w:rStyle w:val="FootnoteReference"/>
        </w:rPr>
        <w:footnoteRef/>
      </w:r>
      <w:r>
        <w:t xml:space="preserve"> Le seul État membre insatisfait des résultats du règlement fondait son avis sur le fait que sa propre législation nationale est plus stricte. Toutefois, </w:t>
      </w:r>
      <w:bookmarkStart w:id="1" w:name="_Hlk232071044"/>
      <w:r>
        <w:t>il n’existe pas d’obstacles à la libre circulation des biens entre les États membres de l’UE</w:t>
      </w:r>
      <w:bookmarkEnd w:id="1"/>
      <w:r>
        <w:t>, de sorte que même les dispositions nationales les plus strictes ne peuvent empêcher le transfert illicite d’un bien culturel protégé du territoire national d’un État membre vers celui d’un autre État membre (où ce bien n’est pas protégé par les dispositions nationales du premier État membre), puis vers un pays tiers.</w:t>
      </w:r>
    </w:p>
  </w:footnote>
  <w:footnote w:id="5">
    <w:p>
      <w:pPr>
        <w:pStyle w:val="FootnoteText"/>
      </w:pPr>
      <w:r>
        <w:rPr>
          <w:rStyle w:val="FootnoteReference"/>
        </w:rPr>
        <w:footnoteRef/>
      </w:r>
      <w:r>
        <w:t xml:space="preserve"> Deux États membres ont recommandé cette amélioration.</w:t>
      </w:r>
    </w:p>
  </w:footnote>
  <w:footnote w:id="6">
    <w:p>
      <w:pPr>
        <w:pStyle w:val="FootnoteText"/>
        <w:jc w:val="both"/>
      </w:pPr>
      <w:r>
        <w:rPr>
          <w:rStyle w:val="FootnoteReference"/>
        </w:rPr>
        <w:footnoteRef/>
      </w:r>
      <w:r>
        <w:t xml:space="preserve"> Deux États membres ont réitéré cette demande, déjà mentionnée dans le précédent rapport sur la mise en œuvre, à savoir le rapport de la Commission au Parlement européen, au Conseil et au Comité économique et social européen sur la mise en œuvre du règlement (CE) nº 116/2009 du Conseil du 18 décembre 2008 concernant l’exportation de biens culturels, qui couvrait la période du 1</w:t>
      </w:r>
      <w:r>
        <w:rPr>
          <w:vertAlign w:val="superscript"/>
        </w:rPr>
        <w:t>er</w:t>
      </w:r>
      <w:r>
        <w:t> janvier 2018 au 31 décembre 2020 [COM(2022) 424, p. 6].</w:t>
      </w:r>
    </w:p>
  </w:footnote>
  <w:footnote w:id="7">
    <w:p>
      <w:pPr>
        <w:pStyle w:val="FootnoteText"/>
        <w:jc w:val="both"/>
      </w:pPr>
      <w:r>
        <w:rPr>
          <w:rStyle w:val="FootnoteReference"/>
        </w:rPr>
        <w:footnoteRef/>
      </w:r>
      <w:r>
        <w:t xml:space="preserve"> Règlement (UE) 2019/880 du Parlement européen et du Conseil du 17 avril 2019 concernant l’introduction et l’importation de biens culturels (JO L 151 du 7.6.2019, p. 1, ELI: </w:t>
      </w:r>
      <w:hyperlink r:id="rId4" w:tooltip="Donne accès à ce document par son identifiant URI ELI." w:history="1">
        <w:r>
          <w:rPr>
            <w:rStyle w:val="Hyperlink"/>
          </w:rPr>
          <w:t>http://data.europa.eu/eli/reg/2019/880/oj</w:t>
        </w:r>
      </w:hyperlink>
      <w:r>
        <w:t>).</w:t>
      </w:r>
    </w:p>
  </w:footnote>
  <w:footnote w:id="8">
    <w:p>
      <w:pPr>
        <w:pStyle w:val="FootnoteText"/>
        <w:jc w:val="both"/>
      </w:pPr>
      <w:r>
        <w:rPr>
          <w:rStyle w:val="FootnoteReference"/>
        </w:rPr>
        <w:footnoteRef/>
      </w:r>
      <w:r>
        <w:t xml:space="preserve"> Le règlement sur les importations ne peut pas être fusionné avec les règlements sur les exportations car leurs champs d’application, leurs procédures et leur certification diffèrent. Toutefois, les systèmes électroniques prévus pour leur mise en œuvre seront très similaires en ce qui concerne l’interface utilisateur et les fonctionnalités du système.</w:t>
      </w:r>
    </w:p>
  </w:footnote>
  <w:footnote w:id="9">
    <w:p>
      <w:pPr>
        <w:pStyle w:val="FootnoteText"/>
        <w:jc w:val="both"/>
      </w:pPr>
      <w:r>
        <w:rPr>
          <w:rStyle w:val="FootnoteReference"/>
        </w:rPr>
        <w:footnoteRef/>
      </w:r>
      <w:r>
        <w:t xml:space="preserve"> Directive 2014/60/UE du Parlement européen et du Conseil du 15 mai 2014 relative à la restitution de biens culturels ayant quitté illicitement le territoire d’un État membre et modifiant le règlement (UE) nº 1024/2012 (refonte) (JO L 159 du 28.5.2014, p. 1, ELI: </w:t>
      </w:r>
      <w:hyperlink r:id="rId5" w:tooltip="Donne accès à ce document par son identifiant URI ELI." w:history="1">
        <w:r>
          <w:rPr>
            <w:rStyle w:val="Hyperlink"/>
          </w:rPr>
          <w:t>http://data.europa.eu/eli/dir/2014/60/oj</w:t>
        </w:r>
      </w:hyperlink>
      <w:r>
        <w:t>). Depuis sa refonte en 2014, le champ d’application de la directive relative à la restitution diffère de celui du règlement, ce qui empêche l’alignement complet des instruments. La directive relative à la restitution s’applique aux biens culturels tels qu’ils sont définis à l’article 2, point 1): «un bien classé ou défini par un État membre, avant ou après avoir quitté illicitement le territoire de cet État membre, comme faisant partie des “trésors nationaux ayant une valeur artistique, historique ou archéologique” conformément à la législation ou aux procédures administratives nationales au sens de l’article 36 du traité sur le fonctionnement de l’Union européenne». En revanche, les biens culturels visés par le règlement sont les biens énumérés à l’annexe I du règlement (CE) nº 116/2009.</w:t>
      </w:r>
    </w:p>
  </w:footnote>
  <w:footnote w:id="10">
    <w:p>
      <w:pPr>
        <w:pStyle w:val="FootnoteText"/>
        <w:jc w:val="both"/>
      </w:pPr>
      <w:r>
        <w:rPr>
          <w:rStyle w:val="FootnoteReference"/>
        </w:rPr>
        <w:footnoteRef/>
      </w:r>
      <w:r>
        <w:t xml:space="preserve"> Un État membre a recommandé cette harmonisation. Toutefois, l’UE ne peut adhérer à la convention de l’Organisation des Nations unies pour l’éducation, la science et la culture (UNESCO) de 1970 concernant les mesures à prendre pour interdire et empêcher l’importation, l’exportation et le transfert de propriété illicites des biens culturels, car seuls les pays peuvent y adhérer à titre individuel.</w:t>
      </w:r>
    </w:p>
  </w:footnote>
  <w:footnote w:id="11">
    <w:p>
      <w:pPr>
        <w:pStyle w:val="FootnoteText"/>
        <w:jc w:val="both"/>
      </w:pPr>
      <w:r>
        <w:rPr>
          <w:rStyle w:val="FootnoteReference"/>
        </w:rPr>
        <w:footnoteRef/>
      </w:r>
      <w:r>
        <w:t xml:space="preserve"> Quatre États membres ont recommandé de telles améliorations, tout en soulignant que davantage de ressources devraient être mises à disposition pour garantir l’efficacité de ces outils et de cette coopération supplémentaires (notamment en ce qui concerne les fonctionnaires spécialisés dans les biens culturels).</w:t>
      </w:r>
    </w:p>
  </w:footnote>
  <w:footnote w:id="12">
    <w:p>
      <w:pPr>
        <w:pStyle w:val="FootnoteText"/>
        <w:jc w:val="both"/>
      </w:pPr>
      <w:r>
        <w:rPr>
          <w:rStyle w:val="FootnoteReference"/>
        </w:rPr>
        <w:footnoteRef/>
      </w:r>
      <w:r>
        <w:t xml:space="preserve"> Les icônes sont actuellement classées dans la catégorie des peintures. Le seuil de valeur très élevé de cette catégorie (supérieur à 150 000 EUR) exclut la plupart des icônes du champ d’application du règlement.</w:t>
      </w:r>
    </w:p>
  </w:footnote>
  <w:footnote w:id="13">
    <w:p>
      <w:pPr>
        <w:pStyle w:val="FootnoteText"/>
        <w:jc w:val="both"/>
      </w:pPr>
      <w:r>
        <w:rPr>
          <w:rStyle w:val="FootnoteReference"/>
        </w:rPr>
        <w:footnoteRef/>
      </w:r>
      <w:r>
        <w:t xml:space="preserve"> L’article 2 du règlement d’exécution précise que «chaque État membre décide s’il délivre ou non des autorisations ouvertes spécifiques ou générales, celles-ci pouvant être utilisées à [la] place» d’une autorisation normale.</w:t>
      </w:r>
    </w:p>
  </w:footnote>
  <w:footnote w:id="14">
    <w:p>
      <w:pPr>
        <w:pStyle w:val="FootnoteText"/>
      </w:pPr>
      <w:r>
        <w:rPr>
          <w:rStyle w:val="FootnoteReference"/>
        </w:rPr>
        <w:footnoteRef/>
      </w:r>
      <w:r>
        <w:t xml:space="preserve"> La période maximale définie par le règlement d’exécution est de cinq ans (article 10, paragraphe 3).</w:t>
      </w:r>
    </w:p>
  </w:footnote>
  <w:footnote w:id="15">
    <w:p>
      <w:pPr>
        <w:pStyle w:val="FootnoteText"/>
      </w:pPr>
      <w:r>
        <w:rPr>
          <w:rStyle w:val="FootnoteReference"/>
        </w:rPr>
        <w:footnoteRef/>
      </w:r>
      <w:r>
        <w:t xml:space="preserve"> La période maximale définie par le règlement d’exécution est de cinq ans (article 13, paragraphe 3).</w:t>
      </w:r>
    </w:p>
  </w:footnote>
  <w:footnote w:id="16">
    <w:p>
      <w:pPr>
        <w:pStyle w:val="FootnoteText"/>
        <w:jc w:val="both"/>
      </w:pPr>
      <w:r>
        <w:rPr>
          <w:rStyle w:val="FootnoteReference"/>
        </w:rPr>
        <w:footnoteRef/>
      </w:r>
      <w:r>
        <w:t xml:space="preserve"> Cette exemption concerne principalement les objets anciens qui ont été produits en grandes quantités et qui sont quasi identiques (par ex. les pièces de monnaie) ou qui ne sont pas directement issus de fouilles.</w:t>
      </w:r>
    </w:p>
  </w:footnote>
  <w:footnote w:id="17">
    <w:p>
      <w:pPr>
        <w:pStyle w:val="FootnoteText"/>
        <w:jc w:val="both"/>
      </w:pPr>
      <w:r>
        <w:rPr>
          <w:rStyle w:val="FootnoteReference"/>
        </w:rPr>
        <w:footnoteRef/>
      </w:r>
      <w:r>
        <w:t xml:space="preserve"> Règlement (UE) nº 833/2014 du Conseil du 31 juillet 2014 concernant des mesures restrictives eu égard aux actions de la Russie déstabilisant la situation en Ukraine (JO L 229 du 31.7.2014, p. 1, ELI: </w:t>
      </w:r>
      <w:hyperlink r:id="rId6" w:tooltip="Donne accès à ce document par son identifiant URI ELI." w:history="1">
        <w:r>
          <w:rPr>
            <w:rStyle w:val="Hyperlink"/>
          </w:rPr>
          <w:t>http://data.europa.eu/eli/reg/2014/833/oj</w:t>
        </w:r>
      </w:hyperlink>
      <w:r>
        <w:t>).</w:t>
      </w:r>
    </w:p>
  </w:footnote>
  <w:footnote w:id="18">
    <w:p>
      <w:pPr>
        <w:pStyle w:val="FootnoteText"/>
        <w:jc w:val="both"/>
      </w:pPr>
      <w:r>
        <w:rPr>
          <w:rStyle w:val="FootnoteReference"/>
        </w:rPr>
        <w:footnoteRef/>
      </w:r>
      <w:r>
        <w:t xml:space="preserve"> Une réflexion sur l’éventuelle mise à jour des catégories de biens ainsi que du seuil d’ancienneté (recommandée par quelques États membres seulement) pourrait avoir lieu lors d’une réunion ultérieure du groupe d’experts.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F50BA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323037"/>
    <w:multiLevelType w:val="hybridMultilevel"/>
    <w:tmpl w:val="B7AEFDD6"/>
    <w:lvl w:ilvl="0" w:tplc="1B48F07A">
      <w:start w:val="1"/>
      <w:numFmt w:val="bullet"/>
      <w:lvlText w:val="-"/>
      <w:lvlJc w:val="left"/>
      <w:pPr>
        <w:ind w:left="1440" w:hanging="360"/>
      </w:pPr>
      <w:rPr>
        <w:rFonts w:ascii="Aptos" w:hAnsi="Apto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364F3835"/>
    <w:multiLevelType w:val="hybridMultilevel"/>
    <w:tmpl w:val="15E8C568"/>
    <w:lvl w:ilvl="0" w:tplc="C5387912">
      <w:start w:val="1"/>
      <w:numFmt w:val="decimal"/>
      <w:lvlText w:val="(%1)"/>
      <w:lvlJc w:val="left"/>
      <w:pPr>
        <w:ind w:left="720" w:hanging="360"/>
      </w:pPr>
      <w:rPr>
        <w:rFonts w:ascii="Times New Roman" w:eastAsia="Times New Roman"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8206227"/>
    <w:multiLevelType w:val="hybridMultilevel"/>
    <w:tmpl w:val="DE201984"/>
    <w:lvl w:ilvl="0" w:tplc="7DB4C7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DA052B"/>
    <w:multiLevelType w:val="hybridMultilevel"/>
    <w:tmpl w:val="5080D3F6"/>
    <w:lvl w:ilvl="0" w:tplc="981AC2CA">
      <w:numFmt w:val="bullet"/>
      <w:lvlText w:val="-"/>
      <w:lvlJc w:val="left"/>
      <w:pPr>
        <w:ind w:left="1440" w:hanging="360"/>
      </w:pPr>
      <w:rPr>
        <w:rFonts w:ascii="Times New Roman" w:eastAsia="Times New Roman"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4B6B0D4D"/>
    <w:multiLevelType w:val="hybridMultilevel"/>
    <w:tmpl w:val="E458B5AA"/>
    <w:lvl w:ilvl="0" w:tplc="C61E0542">
      <w:start w:val="1"/>
      <w:numFmt w:val="bullet"/>
      <w:lvlText w:val=""/>
      <w:lvlJc w:val="left"/>
      <w:pPr>
        <w:ind w:left="1858" w:hanging="360"/>
      </w:pPr>
      <w:rPr>
        <w:rFonts w:ascii="Symbol" w:hAnsi="Symbol"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6" w15:restartNumberingAfterBreak="0">
    <w:nsid w:val="597A5C3C"/>
    <w:multiLevelType w:val="hybridMultilevel"/>
    <w:tmpl w:val="35B83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44B64"/>
    <w:multiLevelType w:val="hybridMultilevel"/>
    <w:tmpl w:val="0E8A2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786232"/>
    <w:multiLevelType w:val="multilevel"/>
    <w:tmpl w:val="F15AD2D2"/>
    <w:lvl w:ilvl="0">
      <w:start w:val="1"/>
      <w:numFmt w:val="decimal"/>
      <w:pStyle w:val="Heading1"/>
      <w:lvlText w:val="%1."/>
      <w:lvlJc w:val="left"/>
      <w:pPr>
        <w:ind w:left="360" w:hanging="360"/>
      </w:pPr>
    </w:lvl>
    <w:lvl w:ilvl="1">
      <w:start w:val="8"/>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6"/>
  </w:num>
  <w:num w:numId="2">
    <w:abstractNumId w:val="0"/>
  </w:num>
  <w:num w:numId="3">
    <w:abstractNumId w:val="5"/>
  </w:num>
  <w:num w:numId="4">
    <w:abstractNumId w:val="2"/>
  </w:num>
  <w:num w:numId="5">
    <w:abstractNumId w:val="8"/>
  </w:num>
  <w:num w:numId="6">
    <w:abstractNumId w:val="8"/>
    <w:lvlOverride w:ilvl="0">
      <w:startOverride w:val="3"/>
    </w:lvlOverride>
    <w:lvlOverride w:ilvl="1">
      <w:startOverride w:val="9"/>
    </w:lvlOverride>
  </w:num>
  <w:num w:numId="7">
    <w:abstractNumId w:val="4"/>
  </w:num>
  <w:num w:numId="8">
    <w:abstractNumId w:val="7"/>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E14EA217-54BF-460F-AA0E-31342D3D88D4"/>
    <w:docVar w:name="LW_COVERPAGE_TYPE" w:val="1"/>
    <w:docVar w:name="LW_CROSSREFERENCE" w:val="&lt;UNUSED&gt;"/>
    <w:docVar w:name="LW_DocType" w:val="NORMAL"/>
    <w:docVar w:name="LW_EMISSION" w:val="8.9.2026"/>
    <w:docVar w:name="LW_EMISSION_ISODATE" w:val="2026-09-08"/>
    <w:docVar w:name="LW_EMISSION_LOCATION" w:val="BRX"/>
    <w:docVar w:name="LW_EMISSION_PREFIX" w:val="Bruxelles, le "/>
    <w:docVar w:name="LW_EMISSION_SUFFIX" w:val=" "/>
    <w:docVar w:name="LW_ID_DOCTYPE_NONLW" w:val="CP-007"/>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a mise en \u339?uvre du règlement (CE) nº 116/2009 du Conseil du 18 décembre 2008 concernant l'exportation de biens culturels&lt;/FMT&gt;_x000b__x000b_&lt;FMT:Bold&gt;1&lt;/FMT&gt;&lt;FMT:Bold,Superscript&gt;er&lt;/FMT&gt;&lt;FMT:Bold&gt; janvier 2021 \u8211? 31 décembre 2023&lt;/FMT&gt;"/>
    <w:docVar w:name="LW_TYPE.DOC.CP" w:val="RAPPORT DE LA COMMISSION AU PARLEMENT EUROPÉEN, AU CONSEIL ET AU COMITÉ ÉCONOMIQUE ET SOCIAL EUROPÉE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A5D330EE-5A29-44C1-888F-7B907140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numPr>
        <w:numId w:val="5"/>
      </w:numPr>
      <w:spacing w:before="240" w:after="120"/>
      <w:ind w:left="357" w:hanging="357"/>
      <w:outlineLvl w:val="0"/>
    </w:pPr>
    <w:rPr>
      <w:rFonts w:eastAsiaTheme="majorEastAsia" w:cstheme="majorBidi"/>
      <w:smallCaps/>
      <w:sz w:val="28"/>
      <w:szCs w:val="32"/>
    </w:rPr>
  </w:style>
  <w:style w:type="paragraph" w:styleId="Heading2">
    <w:name w:val="heading 2"/>
    <w:basedOn w:val="Normal"/>
    <w:next w:val="Normal"/>
    <w:link w:val="Heading2Char"/>
    <w:unhideWhenUsed/>
    <w:qFormat/>
    <w:pPr>
      <w:keepNext/>
      <w:keepLines/>
      <w:spacing w:before="120" w:after="160"/>
      <w:outlineLvl w:val="1"/>
    </w:pPr>
    <w:rPr>
      <w:rFonts w:eastAsiaTheme="majorEastAsia" w:cstheme="majorBidi"/>
      <w: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styleId="ListBullet">
    <w:name w:val="List Bullet"/>
    <w:basedOn w:val="Normal"/>
    <w:semiHidden/>
    <w:unhideWhenUsed/>
    <w:pPr>
      <w:numPr>
        <w:numId w:val="2"/>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character" w:customStyle="1" w:styleId="Heading1Char">
    <w:name w:val="Heading 1 Char"/>
    <w:basedOn w:val="DefaultParagraphFont"/>
    <w:link w:val="Heading1"/>
    <w:rPr>
      <w:rFonts w:eastAsiaTheme="majorEastAsia" w:cstheme="majorBidi"/>
      <w:smallCaps/>
      <w:sz w:val="28"/>
      <w:szCs w:val="32"/>
    </w:rPr>
  </w:style>
  <w:style w:type="character" w:customStyle="1" w:styleId="Heading2Char">
    <w:name w:val="Heading 2 Char"/>
    <w:basedOn w:val="DefaultParagraphFont"/>
    <w:link w:val="Heading2"/>
    <w:rPr>
      <w:rFonts w:eastAsiaTheme="majorEastAsia" w:cstheme="majorBidi"/>
      <w:i/>
      <w:sz w:val="26"/>
      <w:szCs w:val="2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numPr>
        <w:numId w:val="0"/>
      </w:numPr>
      <w:spacing w:after="0" w:line="259" w:lineRule="auto"/>
      <w:outlineLvl w:val="9"/>
    </w:pPr>
    <w:rPr>
      <w:rFonts w:asciiTheme="majorHAnsi" w:hAnsiTheme="majorHAnsi"/>
      <w:smallCaps w:val="0"/>
      <w:color w:val="365F91" w:themeColor="accent1" w:themeShade="BF"/>
      <w:sz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paragraph" w:styleId="Revision">
    <w:name w:val="Revision"/>
    <w:hidden/>
    <w:uiPriority w:val="99"/>
    <w:semiHidden/>
    <w:rPr>
      <w:sz w:val="24"/>
      <w:szCs w:val="24"/>
    </w:rPr>
  </w:style>
  <w:style w:type="paragraph" w:customStyle="1" w:styleId="Languesfaisantfoi">
    <w:name w:val="Langues faisant foi"/>
    <w:basedOn w:val="Normal"/>
    <w:next w:val="Normal"/>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pPr>
      <w:spacing w:before="360" w:after="240"/>
      <w:jc w:val="center"/>
    </w:pPr>
    <w:rPr>
      <w:rFonts w:eastAsiaTheme="minorHAnsi"/>
      <w:szCs w:val="22"/>
      <w:lang w:eastAsia="en-US"/>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semiHidden/>
    <w:unhideWhenUsed/>
    <w:rPr>
      <w:color w:val="800080"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pPr>
      <w:spacing w:line="276" w:lineRule="auto"/>
      <w:ind w:left="5103"/>
    </w:pPr>
    <w:rPr>
      <w:rFonts w:eastAsiaTheme="minorHAnsi"/>
      <w:sz w:val="28"/>
      <w:szCs w:val="22"/>
      <w:lang w:eastAsia="en-US"/>
    </w:rPr>
  </w:style>
  <w:style w:type="paragraph" w:customStyle="1" w:styleId="DateMarking">
    <w:name w:val="DateMarking"/>
    <w:basedOn w:val="Normal"/>
    <w:pPr>
      <w:spacing w:line="276" w:lineRule="auto"/>
      <w:ind w:left="5103"/>
    </w:pPr>
    <w:rPr>
      <w:rFonts w:eastAsiaTheme="minorHAnsi"/>
      <w:i/>
      <w:sz w:val="28"/>
      <w:szCs w:val="22"/>
      <w:lang w:eastAsia="en-US"/>
    </w:rPr>
  </w:style>
  <w:style w:type="paragraph" w:customStyle="1" w:styleId="ReleasableTo">
    <w:name w:val="ReleasableTo"/>
    <w:basedOn w:val="Normal"/>
    <w:pPr>
      <w:spacing w:line="276" w:lineRule="auto"/>
      <w:ind w:left="5103"/>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1602">
      <w:bodyDiv w:val="1"/>
      <w:marLeft w:val="0"/>
      <w:marRight w:val="0"/>
      <w:marTop w:val="0"/>
      <w:marBottom w:val="0"/>
      <w:divBdr>
        <w:top w:val="none" w:sz="0" w:space="0" w:color="auto"/>
        <w:left w:val="none" w:sz="0" w:space="0" w:color="auto"/>
        <w:bottom w:val="none" w:sz="0" w:space="0" w:color="auto"/>
        <w:right w:val="none" w:sz="0" w:space="0" w:color="auto"/>
      </w:divBdr>
    </w:div>
    <w:div w:id="157165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uri=CELEX%3A02012R1081-20121212" TargetMode="External"/><Relationship Id="rId2" Type="http://schemas.openxmlformats.org/officeDocument/2006/relationships/hyperlink" Target="http://data.europa.eu/eli/reg_impl/2012/1081/oj" TargetMode="External"/><Relationship Id="rId1" Type="http://schemas.openxmlformats.org/officeDocument/2006/relationships/hyperlink" Target="http://data.europa.eu/eli/reg/2009/116/oj)." TargetMode="External"/><Relationship Id="rId6" Type="http://schemas.openxmlformats.org/officeDocument/2006/relationships/hyperlink" Target="http://data.europa.eu/eli/reg/2014/833/oj" TargetMode="External"/><Relationship Id="rId5" Type="http://schemas.openxmlformats.org/officeDocument/2006/relationships/hyperlink" Target="http://data.europa.eu/eli/dir/2014/60/oj" TargetMode="External"/><Relationship Id="rId4" Type="http://schemas.openxmlformats.org/officeDocument/2006/relationships/hyperlink" Target="http://data.europa.eu/eli/reg/2019/88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6D258-ACEC-47EF-B449-37348105E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2280</Words>
  <Characters>12999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2026-06-30T07:13:00Z</dcterms:created>
  <dcterms:modified xsi:type="dcterms:W3CDTF">2026-09-08T08:49:00Z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2026-06-12T14:29:32Z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855be37e-c5bb-4004-9a82-5acf3bfa4f36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ies>
</file>