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69A1FE-7457-4A93-96C1-BC7F18E91824" style="width:455.25pt;height:38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rPr>
          <w:b/>
          <w:bCs/>
          <w:noProof/>
        </w:rPr>
      </w:pPr>
      <w:r>
        <w:rPr>
          <w:b/>
          <w:noProof/>
        </w:rPr>
        <w:lastRenderedPageBreak/>
        <w:t>1. INTRODUCERE</w:t>
      </w:r>
    </w:p>
    <w:p>
      <w:pPr>
        <w:rPr>
          <w:noProof/>
          <w:highlight w:val="yellow"/>
        </w:rPr>
      </w:pPr>
    </w:p>
    <w:p>
      <w:pPr>
        <w:jc w:val="both"/>
        <w:rPr>
          <w:noProof/>
        </w:rPr>
      </w:pPr>
      <w:r>
        <w:rPr>
          <w:noProof/>
        </w:rPr>
        <w:t>Regulamentul (CE) nr. 116/2009</w:t>
      </w:r>
      <w:r>
        <w:rPr>
          <w:rStyle w:val="FootnoteReference"/>
          <w:noProof/>
        </w:rPr>
        <w:footnoteReference w:id="1"/>
      </w:r>
      <w:r>
        <w:rPr>
          <w:noProof/>
        </w:rPr>
        <w:t xml:space="preserve"> al Consiliului privind exportul bunurilor culturale („regulamentul”) condiționează exportul anumitor bunuri culturale în afara teritoriului vamal al Uniunii Europene de prezentarea unei licențe de export. De asemenea, regulamentul garantează că exporturile acestor bunuri sunt supuse unor controale uniforme la frontierele externe ale UE. Anexa I din regulament definește domeniul de aplicare material al regulamentului prin enumerarea categoriilor de bunuri culturale cărora li se aplică, precum și prin stabilirea de praguri de vechime și/sau de valoare pentru majoritatea categoriilor enumerate.</w:t>
      </w:r>
    </w:p>
    <w:p>
      <w:pPr>
        <w:jc w:val="both"/>
        <w:rPr>
          <w:noProof/>
        </w:rPr>
      </w:pPr>
    </w:p>
    <w:p>
      <w:pPr>
        <w:jc w:val="both"/>
        <w:rPr>
          <w:noProof/>
        </w:rPr>
      </w:pPr>
      <w:r>
        <w:rPr>
          <w:noProof/>
        </w:rPr>
        <w:t>Obiectivul regulamentului este de a reconcilia principiul fundamental al liberei circulații a mărfurilor cu cel al protecției bunurilor de patrimoniu național în cadrul istoric al creării, în 1993, a pieței interne, care a eliminat toate frontierele interne dintre statele membre.</w:t>
      </w:r>
    </w:p>
    <w:p>
      <w:pPr>
        <w:jc w:val="both"/>
        <w:rPr>
          <w:noProof/>
        </w:rPr>
      </w:pPr>
    </w:p>
    <w:p>
      <w:pPr>
        <w:jc w:val="both"/>
        <w:rPr>
          <w:noProof/>
        </w:rPr>
      </w:pPr>
      <w:r>
        <w:rPr>
          <w:noProof/>
        </w:rPr>
        <w:t>Pentru a completa cadrul stabilit de regulament, un regulament de punere în aplicare</w:t>
      </w:r>
      <w:r>
        <w:rPr>
          <w:rStyle w:val="FootnoteReference"/>
          <w:noProof/>
        </w:rPr>
        <w:footnoteReference w:id="2"/>
      </w:r>
      <w:r>
        <w:rPr>
          <w:noProof/>
        </w:rPr>
        <w:t xml:space="preserve"> prevede trei tipuri de licențe de export (licență normală, licență deschisă specifică și licență deschisă generală) și stabilește normele de aplicare ale acestora. Pe lângă legislația UE, legile anumitor state membre impun restricții suplimentare, cum ar fi cerința de a obține o licență națională – urmată de o licență de export a UE – pentru circulația legală a obiectelor desemnate drept „bunuri de patrimoniu național” în afara teritoriului lor național.</w:t>
      </w:r>
    </w:p>
    <w:p>
      <w:pPr>
        <w:jc w:val="both"/>
        <w:rPr>
          <w:noProof/>
        </w:rPr>
      </w:pPr>
    </w:p>
    <w:p>
      <w:pPr>
        <w:jc w:val="both"/>
        <w:rPr>
          <w:noProof/>
        </w:rPr>
      </w:pPr>
      <w:r>
        <w:rPr>
          <w:noProof/>
        </w:rPr>
        <w:t>În conformitate cu articolul 10 din regulament, Comisia trebuie să prezinte periodic un raport privind punerea în aplicare a regulamentului. Prezentul raport se referă la perioada cuprinsă între 1 ianuarie 2021 și 31 decembrie 2023. Acesta se bazează pe informațiile furnizate de statele membre ca răspuns la un chestionar</w:t>
      </w:r>
      <w:r>
        <w:rPr>
          <w:rStyle w:val="FootnoteReference"/>
          <w:noProof/>
        </w:rPr>
        <w:footnoteReference w:id="3"/>
      </w:r>
      <w:r>
        <w:rPr>
          <w:noProof/>
        </w:rPr>
        <w:t xml:space="preserve"> care acoperă toate aspectele legate de punerea în aplicare a sistemului de acordare a licențelor de export. Totodată, acesta se bazează pe discuțiile din cadrul Comitetului pentru bunuri culturale și al Grupului de experți pe probleme vamale legate de bunurile culturale („grupul de experți”).</w:t>
      </w:r>
    </w:p>
    <w:p>
      <w:pPr>
        <w:jc w:val="both"/>
        <w:rPr>
          <w:noProof/>
        </w:rPr>
      </w:pPr>
    </w:p>
    <w:p>
      <w:pPr>
        <w:jc w:val="both"/>
        <w:rPr>
          <w:noProof/>
        </w:rPr>
      </w:pPr>
    </w:p>
    <w:p>
      <w:pPr>
        <w:jc w:val="both"/>
        <w:rPr>
          <w:b/>
          <w:bCs/>
          <w:noProof/>
        </w:rPr>
      </w:pPr>
      <w:r>
        <w:rPr>
          <w:b/>
          <w:noProof/>
        </w:rPr>
        <w:t>2. PUNEREA ÎN APLICARE A REGULAMENTULUI</w:t>
      </w:r>
    </w:p>
    <w:p>
      <w:pPr>
        <w:jc w:val="both"/>
        <w:rPr>
          <w:b/>
          <w:bCs/>
          <w:noProof/>
        </w:rPr>
      </w:pPr>
    </w:p>
    <w:p>
      <w:pPr>
        <w:jc w:val="both"/>
        <w:rPr>
          <w:b/>
          <w:bCs/>
          <w:noProof/>
          <w:highlight w:val="yellow"/>
        </w:rPr>
      </w:pPr>
      <w:r>
        <w:rPr>
          <w:b/>
          <w:noProof/>
        </w:rPr>
        <w:t>2.1 Obiectiv și funcționare</w:t>
      </w:r>
    </w:p>
    <w:p>
      <w:pPr>
        <w:jc w:val="both"/>
        <w:rPr>
          <w:noProof/>
        </w:rPr>
      </w:pPr>
    </w:p>
    <w:p>
      <w:pPr>
        <w:jc w:val="both"/>
        <w:rPr>
          <w:noProof/>
        </w:rPr>
      </w:pPr>
      <w:r>
        <w:rPr>
          <w:noProof/>
        </w:rPr>
        <w:t>Toate statele membre, cu excepția unuia</w:t>
      </w:r>
      <w:r>
        <w:rPr>
          <w:rStyle w:val="FootnoteReference"/>
          <w:noProof/>
        </w:rPr>
        <w:footnoteReference w:id="4"/>
      </w:r>
      <w:r>
        <w:rPr>
          <w:noProof/>
        </w:rPr>
        <w:t>, consideră că regulamentul are rezultate bune în ceea ce privește atingerea obiectivului său.</w:t>
      </w:r>
    </w:p>
    <w:p>
      <w:pPr>
        <w:jc w:val="both"/>
        <w:rPr>
          <w:noProof/>
        </w:rPr>
      </w:pPr>
    </w:p>
    <w:p>
      <w:pPr>
        <w:jc w:val="both"/>
        <w:rPr>
          <w:noProof/>
        </w:rPr>
      </w:pPr>
      <w:r>
        <w:rPr>
          <w:noProof/>
        </w:rPr>
        <w:lastRenderedPageBreak/>
        <w:t>14 state membre consideră că regulamentul aduce o contribuție semnificativă la prevenirea comerțului ilegal, deoarece sensibilizează instituțiile de patrimoniu, sectorul comerțului legitim cu obiecte de artă, colecționarii și chiar turiștii cu privire la importanța exercitării diligenței necesare înainte de achiziționarea sau introducerea pe piață a unui bun cultural.</w:t>
      </w:r>
    </w:p>
    <w:p>
      <w:pPr>
        <w:jc w:val="both"/>
        <w:rPr>
          <w:noProof/>
        </w:rPr>
      </w:pPr>
    </w:p>
    <w:p>
      <w:pPr>
        <w:jc w:val="both"/>
        <w:rPr>
          <w:noProof/>
        </w:rPr>
      </w:pPr>
      <w:r>
        <w:rPr>
          <w:noProof/>
        </w:rPr>
        <w:t>Cu toate acestea, câteva state membre au identificat puncte în care funcționarea regulamentului ar putea fi îmbunătățită:</w:t>
      </w:r>
    </w:p>
    <w:p>
      <w:pPr>
        <w:jc w:val="both"/>
        <w:rPr>
          <w:noProof/>
        </w:rPr>
      </w:pPr>
    </w:p>
    <w:p>
      <w:pPr>
        <w:ind w:left="720"/>
        <w:jc w:val="both"/>
        <w:rPr>
          <w:noProof/>
        </w:rPr>
      </w:pPr>
      <w:r>
        <w:rPr>
          <w:noProof/>
        </w:rPr>
        <w:t>(a) o cooperare administrativă sporită</w:t>
      </w:r>
      <w:r>
        <w:rPr>
          <w:rStyle w:val="FootnoteReference"/>
          <w:noProof/>
        </w:rPr>
        <w:footnoteReference w:id="5"/>
      </w:r>
      <w:r>
        <w:rPr>
          <w:noProof/>
        </w:rPr>
        <w:t>, în special în scopul gestionării cazurilor în care bunul cultural pentru care se solicită o licență provine dintr-un alt stat membru;</w:t>
      </w:r>
    </w:p>
    <w:p>
      <w:pPr>
        <w:jc w:val="both"/>
        <w:rPr>
          <w:noProof/>
        </w:rPr>
      </w:pPr>
    </w:p>
    <w:p>
      <w:pPr>
        <w:ind w:left="720"/>
        <w:jc w:val="both"/>
        <w:rPr>
          <w:noProof/>
        </w:rPr>
      </w:pPr>
      <w:r>
        <w:rPr>
          <w:noProof/>
        </w:rPr>
        <w:t>(b) digitalizarea sistemului de licențe de export</w:t>
      </w:r>
      <w:r>
        <w:rPr>
          <w:rStyle w:val="FootnoteReference"/>
          <w:noProof/>
        </w:rPr>
        <w:footnoteReference w:id="6"/>
      </w:r>
      <w:r>
        <w:rPr>
          <w:noProof/>
        </w:rPr>
        <w:t xml:space="preserve"> pentru a oferi același nivel de protecție pentru bunurile culturale din UE ca pentru bunurile din țări din afara UE în temeiul Regulamentului (UE) 2019/880</w:t>
      </w:r>
      <w:r>
        <w:rPr>
          <w:rStyle w:val="FootnoteReference"/>
          <w:noProof/>
        </w:rPr>
        <w:footnoteReference w:id="7"/>
      </w:r>
      <w:r>
        <w:rPr>
          <w:noProof/>
        </w:rPr>
        <w:t>;</w:t>
      </w:r>
    </w:p>
    <w:p>
      <w:pPr>
        <w:jc w:val="both"/>
        <w:rPr>
          <w:noProof/>
        </w:rPr>
      </w:pPr>
    </w:p>
    <w:p>
      <w:pPr>
        <w:ind w:left="720"/>
        <w:jc w:val="both"/>
        <w:rPr>
          <w:noProof/>
        </w:rPr>
      </w:pPr>
      <w:r>
        <w:rPr>
          <w:noProof/>
        </w:rPr>
        <w:t>(c) armonizarea diferitelor instrumente ale UE pentru protecția patrimoniului cultural (de exemplu, Regulamentul privind importul și sistemul său electronic</w:t>
      </w:r>
      <w:r>
        <w:rPr>
          <w:rStyle w:val="FootnoteReference"/>
          <w:noProof/>
        </w:rPr>
        <w:footnoteReference w:id="8"/>
      </w:r>
      <w:r>
        <w:rPr>
          <w:noProof/>
        </w:rPr>
        <w:t xml:space="preserve"> și Directiva privind restituirea</w:t>
      </w:r>
      <w:r>
        <w:rPr>
          <w:rStyle w:val="FootnoteReference"/>
          <w:noProof/>
        </w:rPr>
        <w:footnoteReference w:id="9"/>
      </w:r>
      <w:r>
        <w:rPr>
          <w:noProof/>
        </w:rPr>
        <w:t>), precum și alinierea la convențiile internaționale pentru protecția proprietății culturale</w:t>
      </w:r>
      <w:r>
        <w:rPr>
          <w:rStyle w:val="FootnoteReference"/>
          <w:noProof/>
        </w:rPr>
        <w:footnoteReference w:id="10"/>
      </w:r>
      <w:r>
        <w:rPr>
          <w:noProof/>
        </w:rPr>
        <w:t>;</w:t>
      </w:r>
    </w:p>
    <w:p>
      <w:pPr>
        <w:ind w:left="720"/>
        <w:jc w:val="both"/>
        <w:rPr>
          <w:noProof/>
        </w:rPr>
      </w:pPr>
    </w:p>
    <w:p>
      <w:pPr>
        <w:ind w:left="720"/>
        <w:jc w:val="both"/>
        <w:rPr>
          <w:noProof/>
        </w:rPr>
      </w:pPr>
      <w:r>
        <w:rPr>
          <w:noProof/>
        </w:rPr>
        <w:t>(d) utilizarea pe scară mai largă a instrumentelor electronice moderne (de exemplu, tehnologii de recunoaștere a imaginilor și o mai bună cooperare cu entitățile care manipulează opere de artă pentru exportul bunurilor culturale)</w:t>
      </w:r>
      <w:r>
        <w:rPr>
          <w:rStyle w:val="FootnoteReference"/>
          <w:noProof/>
        </w:rPr>
        <w:footnoteReference w:id="11"/>
      </w:r>
      <w:r>
        <w:rPr>
          <w:noProof/>
        </w:rPr>
        <w:t>.</w:t>
      </w:r>
    </w:p>
    <w:p>
      <w:pPr>
        <w:jc w:val="both"/>
        <w:rPr>
          <w:noProof/>
        </w:rPr>
      </w:pPr>
    </w:p>
    <w:p>
      <w:pPr>
        <w:jc w:val="both"/>
        <w:rPr>
          <w:noProof/>
        </w:rPr>
      </w:pPr>
    </w:p>
    <w:p>
      <w:pPr>
        <w:jc w:val="both"/>
        <w:rPr>
          <w:b/>
          <w:bCs/>
          <w:noProof/>
        </w:rPr>
      </w:pPr>
      <w:r>
        <w:rPr>
          <w:b/>
          <w:noProof/>
        </w:rPr>
        <w:lastRenderedPageBreak/>
        <w:t>2.2 Domeniul de aplicare material al regulamentului</w:t>
      </w:r>
    </w:p>
    <w:p>
      <w:pPr>
        <w:jc w:val="both"/>
        <w:rPr>
          <w:noProof/>
        </w:rPr>
      </w:pPr>
    </w:p>
    <w:p>
      <w:pPr>
        <w:jc w:val="both"/>
        <w:rPr>
          <w:noProof/>
        </w:rPr>
      </w:pPr>
      <w:r>
        <w:rPr>
          <w:noProof/>
        </w:rPr>
        <w:t xml:space="preserve">Regulamentul definește domeniul său de aplicare material (și anume termenul de „bunuri culturale”) făcând referire la 15 </w:t>
      </w:r>
      <w:r>
        <w:rPr>
          <w:b/>
          <w:noProof/>
        </w:rPr>
        <w:t xml:space="preserve">categorii </w:t>
      </w:r>
      <w:r>
        <w:rPr>
          <w:noProof/>
        </w:rPr>
        <w:t>de bunuri enumerate în anexa I. Marea majoritate a statelor membre (21) consideră aceste categorii ca fiind actuale și reprezentative. Cu toate acestea, 6 state membre raportează că se confruntă ocazional cu probleme de interpretare, iar 4 state membre sugerează actualizarea listei din anexa I. Mai precis, cele 4 state membre recomandă crearea unei categorii separate pentru icoane liturgice pentru a proteja mai bine acest tip de bunuri culturale</w:t>
      </w:r>
      <w:r>
        <w:rPr>
          <w:rStyle w:val="FootnoteReference"/>
          <w:noProof/>
        </w:rPr>
        <w:footnoteReference w:id="12"/>
      </w:r>
      <w:r>
        <w:rPr>
          <w:noProof/>
        </w:rPr>
        <w:t>.</w:t>
      </w:r>
    </w:p>
    <w:p>
      <w:pPr>
        <w:jc w:val="both"/>
        <w:rPr>
          <w:noProof/>
        </w:rPr>
      </w:pPr>
    </w:p>
    <w:p>
      <w:pPr>
        <w:jc w:val="both"/>
        <w:rPr>
          <w:noProof/>
        </w:rPr>
      </w:pPr>
      <w:r>
        <w:rPr>
          <w:noProof/>
        </w:rPr>
        <w:t xml:space="preserve">În ceea ce privește </w:t>
      </w:r>
      <w:r>
        <w:rPr>
          <w:b/>
          <w:noProof/>
        </w:rPr>
        <w:t xml:space="preserve">pragurile de vechime </w:t>
      </w:r>
      <w:r>
        <w:rPr>
          <w:noProof/>
        </w:rPr>
        <w:t>stabilite, toate statele membre, cu excepția a 2 dintre ele (25), consideră că pragurile sunt adecvate. Celelalte 2 state membre sugerează reducerea pragurilor actuale pentru a include mai multe bunuri culturale, prin alinierea protecției la nivelul UE la propriul nivel național de protecție. Unul dintre aceste 2 state membre își concentrează recomandarea asupra bunurilor din categoriile 11 și 14 (pentru hărți tipărite la 100 de ani, iar pentru mijloace de transport la 50 de ani).</w:t>
      </w:r>
    </w:p>
    <w:p>
      <w:pPr>
        <w:jc w:val="both"/>
        <w:rPr>
          <w:noProof/>
        </w:rPr>
      </w:pPr>
    </w:p>
    <w:p>
      <w:pPr>
        <w:jc w:val="both"/>
        <w:rPr>
          <w:noProof/>
        </w:rPr>
      </w:pPr>
      <w:r>
        <w:rPr>
          <w:noProof/>
        </w:rPr>
        <w:t xml:space="preserve">În ceea ce privește </w:t>
      </w:r>
      <w:r>
        <w:rPr>
          <w:b/>
          <w:noProof/>
        </w:rPr>
        <w:t>pragurile de valoare</w:t>
      </w:r>
      <w:r>
        <w:rPr>
          <w:noProof/>
        </w:rPr>
        <w:t>, aproape jumătate dintre statele membre (13) consideră că pragurile nu mai sunt reprezentative și necesită revizuire.</w:t>
      </w:r>
    </w:p>
    <w:p>
      <w:pPr>
        <w:jc w:val="both"/>
        <w:rPr>
          <w:noProof/>
        </w:rPr>
      </w:pPr>
    </w:p>
    <w:p>
      <w:pPr>
        <w:jc w:val="both"/>
        <w:rPr>
          <w:noProof/>
        </w:rPr>
      </w:pPr>
    </w:p>
    <w:p>
      <w:pPr>
        <w:rPr>
          <w:b/>
          <w:bCs/>
          <w:noProof/>
        </w:rPr>
      </w:pPr>
      <w:r>
        <w:rPr>
          <w:b/>
          <w:noProof/>
        </w:rPr>
        <w:t xml:space="preserve">2.3 Evaluarea bunurilor culturale </w:t>
      </w:r>
    </w:p>
    <w:p>
      <w:pPr>
        <w:rPr>
          <w:b/>
          <w:bCs/>
          <w:noProof/>
        </w:rPr>
      </w:pPr>
    </w:p>
    <w:p>
      <w:pPr>
        <w:jc w:val="both"/>
        <w:rPr>
          <w:noProof/>
        </w:rPr>
      </w:pPr>
      <w:r>
        <w:rPr>
          <w:noProof/>
        </w:rPr>
        <w:t>Din cauza naturii bunurilor culturale și a faptului că, uneori, anumite bunuri nu au făcut niciodată obiectul unei tranzacții, puțin peste jumătate dintre statele membre (14) raportează că se confruntă cu dificultăți ocazionale în stabilirea valorii lor monetare exacte (sau chiar aproximative). Metodele de evaluare ale statelor membre diferă în mod semnificativ, astfel încât marea majoritate a statelor membre (21) sugerează elaborarea unei metode comune de evaluare.</w:t>
      </w:r>
    </w:p>
    <w:p>
      <w:pPr>
        <w:rPr>
          <w:noProof/>
        </w:rPr>
      </w:pPr>
    </w:p>
    <w:p>
      <w:pPr>
        <w:jc w:val="both"/>
        <w:rPr>
          <w:b/>
          <w:bCs/>
          <w:noProof/>
        </w:rPr>
      </w:pPr>
      <w:r>
        <w:rPr>
          <w:b/>
          <w:noProof/>
        </w:rPr>
        <w:t>2.4 Licențe de export</w:t>
      </w:r>
    </w:p>
    <w:p>
      <w:pPr>
        <w:jc w:val="both"/>
        <w:rPr>
          <w:b/>
          <w:bCs/>
          <w:noProof/>
        </w:rPr>
      </w:pPr>
    </w:p>
    <w:p>
      <w:pPr>
        <w:jc w:val="both"/>
        <w:rPr>
          <w:b/>
          <w:bCs/>
          <w:noProof/>
        </w:rPr>
      </w:pPr>
      <w:r>
        <w:rPr>
          <w:noProof/>
        </w:rPr>
        <w:t>Licențele de export sunt eliberate de autoritatea competentă a ultimului stat membru pe teritoriul căruia obiectul cultural „se afla în mod legal și definitiv”. O licență de export se acordă pe baza actelor cu putere de lege și a normelor administrative ale statului membru respectiv. Controalele vamale asigură apoi faptul că bunurile culturale pot părăsi teritoriul vamal al UE numai dacă sunt însoțite de o licență de export valabilă.</w:t>
      </w:r>
    </w:p>
    <w:p>
      <w:pPr>
        <w:jc w:val="both"/>
        <w:rPr>
          <w:b/>
          <w:bCs/>
          <w:noProof/>
        </w:rPr>
      </w:pPr>
    </w:p>
    <w:p>
      <w:pPr>
        <w:jc w:val="both"/>
        <w:rPr>
          <w:i/>
          <w:iCs/>
          <w:noProof/>
          <w:u w:val="single"/>
        </w:rPr>
      </w:pPr>
      <w:r>
        <w:rPr>
          <w:i/>
          <w:noProof/>
          <w:u w:val="single"/>
        </w:rPr>
        <w:t xml:space="preserve">2.4.1 Licențe normale de export </w:t>
      </w:r>
    </w:p>
    <w:p>
      <w:pPr>
        <w:jc w:val="both"/>
        <w:rPr>
          <w:noProof/>
        </w:rPr>
      </w:pPr>
    </w:p>
    <w:p>
      <w:pPr>
        <w:jc w:val="both"/>
        <w:rPr>
          <w:noProof/>
        </w:rPr>
      </w:pPr>
      <w:r>
        <w:rPr>
          <w:noProof/>
        </w:rPr>
        <w:t>Licențele normale se utilizează implicit</w:t>
      </w:r>
      <w:r>
        <w:rPr>
          <w:rStyle w:val="FootnoteReference"/>
          <w:noProof/>
        </w:rPr>
        <w:footnoteReference w:id="13"/>
      </w:r>
      <w:r>
        <w:rPr>
          <w:noProof/>
        </w:rPr>
        <w:t xml:space="preserve"> pentru fiecare export care face obiectul regulamentului. În perioada de raportare au fost eliberate 35 114 licențe normale (pentru cifre detaliate, a se vedea tabelul 1 din anexă). Principalele categorii pentru care s-au primit cereri de licență în perioada de raportare sunt (în ordine descrescătoare):</w:t>
      </w:r>
    </w:p>
    <w:p>
      <w:pPr>
        <w:jc w:val="both"/>
        <w:rPr>
          <w:noProof/>
        </w:rPr>
      </w:pPr>
    </w:p>
    <w:p>
      <w:pPr>
        <w:pStyle w:val="ListParagraph"/>
        <w:numPr>
          <w:ilvl w:val="0"/>
          <w:numId w:val="10"/>
        </w:numPr>
        <w:jc w:val="both"/>
        <w:rPr>
          <w:noProof/>
        </w:rPr>
      </w:pPr>
      <w:r>
        <w:rPr>
          <w:noProof/>
        </w:rPr>
        <w:t>colecții de interes istoric, paleontologic, etnografic sau numismatic</w:t>
      </w:r>
    </w:p>
    <w:p>
      <w:pPr>
        <w:pStyle w:val="ListParagraph"/>
        <w:numPr>
          <w:ilvl w:val="0"/>
          <w:numId w:val="10"/>
        </w:numPr>
        <w:jc w:val="both"/>
        <w:rPr>
          <w:noProof/>
        </w:rPr>
      </w:pPr>
      <w:r>
        <w:rPr>
          <w:noProof/>
        </w:rPr>
        <w:lastRenderedPageBreak/>
        <w:t>antichități;</w:t>
      </w:r>
    </w:p>
    <w:p>
      <w:pPr>
        <w:pStyle w:val="ListParagraph"/>
        <w:numPr>
          <w:ilvl w:val="0"/>
          <w:numId w:val="10"/>
        </w:numPr>
        <w:jc w:val="both"/>
        <w:rPr>
          <w:noProof/>
        </w:rPr>
      </w:pPr>
      <w:r>
        <w:rPr>
          <w:noProof/>
        </w:rPr>
        <w:t>obiecte arheologice;</w:t>
      </w:r>
    </w:p>
    <w:p>
      <w:pPr>
        <w:pStyle w:val="ListParagraph"/>
        <w:numPr>
          <w:ilvl w:val="0"/>
          <w:numId w:val="10"/>
        </w:numPr>
        <w:jc w:val="both"/>
        <w:rPr>
          <w:noProof/>
        </w:rPr>
      </w:pPr>
      <w:r>
        <w:rPr>
          <w:noProof/>
        </w:rPr>
        <w:t>producții originale de artă statuară sau de sculptură și copii;</w:t>
      </w:r>
    </w:p>
    <w:p>
      <w:pPr>
        <w:pStyle w:val="ListParagraph"/>
        <w:numPr>
          <w:ilvl w:val="0"/>
          <w:numId w:val="10"/>
        </w:numPr>
        <w:jc w:val="both"/>
        <w:rPr>
          <w:noProof/>
        </w:rPr>
      </w:pPr>
      <w:r>
        <w:rPr>
          <w:noProof/>
        </w:rPr>
        <w:t>incunabule și manuscrise.</w:t>
      </w:r>
    </w:p>
    <w:p>
      <w:pPr>
        <w:jc w:val="both"/>
        <w:rPr>
          <w:noProof/>
        </w:rPr>
      </w:pPr>
    </w:p>
    <w:p>
      <w:pPr>
        <w:jc w:val="both"/>
        <w:rPr>
          <w:i/>
          <w:iCs/>
          <w:noProof/>
          <w:u w:val="single"/>
        </w:rPr>
      </w:pPr>
      <w:r>
        <w:rPr>
          <w:i/>
          <w:noProof/>
          <w:u w:val="single"/>
        </w:rPr>
        <w:t>2.4.2 Licențe deschise specifice</w:t>
      </w:r>
    </w:p>
    <w:p>
      <w:pPr>
        <w:autoSpaceDE w:val="0"/>
        <w:autoSpaceDN w:val="0"/>
        <w:adjustRightInd w:val="0"/>
        <w:jc w:val="both"/>
        <w:rPr>
          <w:noProof/>
        </w:rPr>
      </w:pPr>
    </w:p>
    <w:p>
      <w:pPr>
        <w:autoSpaceDE w:val="0"/>
        <w:autoSpaceDN w:val="0"/>
        <w:adjustRightInd w:val="0"/>
        <w:spacing w:after="160"/>
        <w:jc w:val="both"/>
        <w:rPr>
          <w:noProof/>
        </w:rPr>
      </w:pPr>
      <w:r>
        <w:rPr>
          <w:noProof/>
        </w:rPr>
        <w:t>Se pot elibera licențe deschise specifice pentru un bun cultural care este exportat temporar în mod regulat de către o persoană privată. În cursul perioadei de raportare au fost emise 3 507 licențe deschise specifice (pentru cifre detaliate, a se vedea tabelul 2 din anexă). Acestea se refereau în principal la antichități (categoria 15.b). 13 state membre au raportat că nu eliberează acest tip de licență.</w:t>
      </w:r>
    </w:p>
    <w:p>
      <w:pPr>
        <w:autoSpaceDE w:val="0"/>
        <w:autoSpaceDN w:val="0"/>
        <w:adjustRightInd w:val="0"/>
        <w:spacing w:after="160"/>
        <w:jc w:val="both"/>
        <w:rPr>
          <w:noProof/>
        </w:rPr>
      </w:pPr>
      <w:r>
        <w:rPr>
          <w:noProof/>
        </w:rPr>
        <w:t>Majoritatea statelor membre care eliberează o astfel de licență (12 din 14) aplică o perioadă de valabilitate cuprinsă între unu și cinci ani</w:t>
      </w:r>
      <w:r>
        <w:rPr>
          <w:rStyle w:val="FootnoteReference"/>
          <w:noProof/>
        </w:rPr>
        <w:footnoteReference w:id="14"/>
      </w:r>
      <w:r>
        <w:rPr>
          <w:noProof/>
        </w:rPr>
        <w:t>. Celelalte două au explicat că termenul acordat depinde de durata expozițiilor.</w:t>
      </w:r>
    </w:p>
    <w:p>
      <w:pPr>
        <w:autoSpaceDE w:val="0"/>
        <w:autoSpaceDN w:val="0"/>
        <w:adjustRightInd w:val="0"/>
        <w:spacing w:after="160"/>
        <w:jc w:val="both"/>
        <w:rPr>
          <w:i/>
          <w:iCs/>
          <w:noProof/>
          <w:u w:val="single"/>
        </w:rPr>
      </w:pPr>
      <w:r>
        <w:rPr>
          <w:i/>
          <w:noProof/>
          <w:u w:val="single"/>
        </w:rPr>
        <w:t>2.4.3 Licențe deschise generale</w:t>
      </w:r>
    </w:p>
    <w:p>
      <w:pPr>
        <w:autoSpaceDE w:val="0"/>
        <w:autoSpaceDN w:val="0"/>
        <w:adjustRightInd w:val="0"/>
        <w:jc w:val="both"/>
        <w:rPr>
          <w:noProof/>
        </w:rPr>
      </w:pPr>
      <w:r>
        <w:rPr>
          <w:noProof/>
        </w:rPr>
        <w:t>Licențele deschise generale permit exportul temporar și periodic al bunurilor culturale deținute de muzee și instituții similare. În perioada de raportare au fost emise 1 207 licențe deschise generale (pentru cifre detaliate, a se vedea tabelul 3 din anexă). Majoritatea statelor membre (13) care eliberează astfel de licențe au raportat că aplică o perioadă de valabilitate cuprinsă între șase luni și cinci ani</w:t>
      </w:r>
      <w:r>
        <w:rPr>
          <w:rStyle w:val="FootnoteReference"/>
          <w:noProof/>
        </w:rPr>
        <w:footnoteReference w:id="15"/>
      </w:r>
      <w:r>
        <w:rPr>
          <w:noProof/>
        </w:rPr>
        <w:t>.</w:t>
      </w:r>
    </w:p>
    <w:p>
      <w:pPr>
        <w:autoSpaceDE w:val="0"/>
        <w:autoSpaceDN w:val="0"/>
        <w:adjustRightInd w:val="0"/>
        <w:jc w:val="both"/>
        <w:rPr>
          <w:noProof/>
        </w:rPr>
      </w:pPr>
    </w:p>
    <w:p>
      <w:pPr>
        <w:jc w:val="both"/>
        <w:rPr>
          <w:i/>
          <w:iCs/>
          <w:noProof/>
          <w:u w:val="single"/>
        </w:rPr>
      </w:pPr>
      <w:r>
        <w:rPr>
          <w:i/>
          <w:noProof/>
          <w:u w:val="single"/>
        </w:rPr>
        <w:t>2.4.4 Probleme legate de punerea în aplicare a licențelor de export</w:t>
      </w:r>
    </w:p>
    <w:p>
      <w:pPr>
        <w:jc w:val="both"/>
        <w:rPr>
          <w:noProof/>
        </w:rPr>
      </w:pPr>
    </w:p>
    <w:p>
      <w:pPr>
        <w:jc w:val="both"/>
        <w:rPr>
          <w:noProof/>
        </w:rPr>
      </w:pPr>
      <w:r>
        <w:rPr>
          <w:b/>
          <w:noProof/>
        </w:rPr>
        <w:t xml:space="preserve">Includerea fotografiilor </w:t>
      </w:r>
      <w:r>
        <w:rPr>
          <w:noProof/>
        </w:rPr>
        <w:t>într-o cerere de licență este importantă, deoarece permite autorităților vamale să identifice obiectul atunci când verifică licența. Toate statele membre, cu excepția a 3 dintre ele, solicită în mod sistematic fotografii pentru cererile de licențe de export definitive.</w:t>
      </w:r>
    </w:p>
    <w:p>
      <w:pPr>
        <w:autoSpaceDE w:val="0"/>
        <w:autoSpaceDN w:val="0"/>
        <w:adjustRightInd w:val="0"/>
        <w:spacing w:after="160"/>
        <w:jc w:val="both"/>
        <w:rPr>
          <w:noProof/>
        </w:rPr>
      </w:pPr>
    </w:p>
    <w:p>
      <w:pPr>
        <w:jc w:val="both"/>
        <w:rPr>
          <w:noProof/>
        </w:rPr>
      </w:pPr>
      <w:r>
        <w:rPr>
          <w:b/>
          <w:noProof/>
        </w:rPr>
        <w:t xml:space="preserve">Scutirea de la cerința privind licența de export. </w:t>
      </w:r>
      <w:r>
        <w:rPr>
          <w:noProof/>
        </w:rPr>
        <w:t>Această scutire se bazează pe articolul 2 alineatul (2) litera (a) din regulament. Aceasta permite statelor membre să nu solicite o licență de export pentru bunurile din categoria 1, prima și a doua liniuță (și anume atunci când astfel de bunuri sunt considerate de interes arheologic sau științific limitat)</w:t>
      </w:r>
      <w:r>
        <w:rPr>
          <w:rStyle w:val="FootnoteReference"/>
          <w:noProof/>
        </w:rPr>
        <w:footnoteReference w:id="16"/>
      </w:r>
      <w:r>
        <w:rPr>
          <w:noProof/>
        </w:rPr>
        <w:t>. Numai două state membre au utilizat această scutire în cursul perioadei de raportare.</w:t>
      </w:r>
    </w:p>
    <w:p>
      <w:pPr>
        <w:pStyle w:val="Default"/>
        <w:jc w:val="both"/>
        <w:rPr>
          <w:noProof/>
          <w:color w:val="auto"/>
          <w:lang w:val="fr-FR"/>
        </w:rPr>
      </w:pPr>
    </w:p>
    <w:p>
      <w:pPr>
        <w:jc w:val="both"/>
        <w:rPr>
          <w:noProof/>
        </w:rPr>
      </w:pPr>
      <w:r>
        <w:rPr>
          <w:b/>
          <w:noProof/>
        </w:rPr>
        <w:t>Motive pentru respingerea unei cereri de licență.</w:t>
      </w:r>
      <w:r>
        <w:rPr>
          <w:noProof/>
        </w:rPr>
        <w:t xml:space="preserve"> 9 state membre au respins 505 cereri de licențe normale de export în cursul perioadei de raportare. Au făcut acest lucru din unul dintre următoarele motive: originea ilicită a obiectului; legislația națională existentă care protejează bunurile de patrimoniu național cu valoare artistică, istorică sau arheologică; pragurile de vechime și/sau de valoare nu au fost atinse; licența de export trebuie să fie eliberată de </w:t>
      </w:r>
      <w:r>
        <w:rPr>
          <w:noProof/>
        </w:rPr>
        <w:lastRenderedPageBreak/>
        <w:t>autoritatea competentă a unui alt stat membru. 2 state membre au refuzat exportul unui bun cultural către Federația Rusă din cauza sancțiunilor comerciale ale UE</w:t>
      </w:r>
      <w:r>
        <w:rPr>
          <w:rStyle w:val="FootnoteReference"/>
          <w:noProof/>
        </w:rPr>
        <w:footnoteReference w:id="17"/>
      </w:r>
      <w:r>
        <w:rPr>
          <w:noProof/>
        </w:rPr>
        <w:t>.</w:t>
      </w:r>
    </w:p>
    <w:p>
      <w:pPr>
        <w:jc w:val="both"/>
        <w:rPr>
          <w:noProof/>
        </w:rPr>
      </w:pPr>
    </w:p>
    <w:p>
      <w:pPr>
        <w:jc w:val="both"/>
        <w:rPr>
          <w:noProof/>
        </w:rPr>
      </w:pPr>
      <w:r>
        <w:rPr>
          <w:b/>
          <w:noProof/>
        </w:rPr>
        <w:t xml:space="preserve">Revocarea licențelor. </w:t>
      </w:r>
      <w:r>
        <w:rPr>
          <w:noProof/>
        </w:rPr>
        <w:t>10 state membre dispun de o legislație care prevede revocarea licențelor după eliberarea acestora. Cu toate acestea, doar 1 stat membru a revocat licențe (2 licențe) în cursul perioadei de raportare.</w:t>
      </w:r>
    </w:p>
    <w:p>
      <w:pPr>
        <w:jc w:val="both"/>
        <w:rPr>
          <w:noProof/>
        </w:rPr>
      </w:pPr>
    </w:p>
    <w:p>
      <w:pPr>
        <w:jc w:val="both"/>
        <w:rPr>
          <w:b/>
          <w:bCs/>
          <w:noProof/>
        </w:rPr>
      </w:pPr>
      <w:r>
        <w:rPr>
          <w:b/>
          <w:noProof/>
        </w:rPr>
        <w:t>2.5 Sistemul electronic – digitalizare</w:t>
      </w:r>
    </w:p>
    <w:p>
      <w:pPr>
        <w:jc w:val="both"/>
        <w:rPr>
          <w:noProof/>
        </w:rPr>
      </w:pPr>
    </w:p>
    <w:p>
      <w:pPr>
        <w:jc w:val="both"/>
        <w:rPr>
          <w:noProof/>
        </w:rPr>
      </w:pPr>
      <w:r>
        <w:rPr>
          <w:noProof/>
        </w:rPr>
        <w:t>O foarte mare majoritate a statelor membre (25) sprijină efortul de digitalizare a sistemului de licențe de export prin dezvoltarea unui sistem electronic centralizat la nivelul UE. Un astfel de sistem ar trebui să faciliteze cooperarea administrativă între autoritățile statelor membre, să urmărească mai bine proveniența bunurilor culturale în întreaga UE și să îmbunătățească monitorizarea licențelor de export.</w:t>
      </w:r>
    </w:p>
    <w:p>
      <w:pPr>
        <w:jc w:val="both"/>
        <w:rPr>
          <w:noProof/>
        </w:rPr>
      </w:pPr>
    </w:p>
    <w:p>
      <w:pPr>
        <w:jc w:val="both"/>
        <w:rPr>
          <w:noProof/>
        </w:rPr>
      </w:pPr>
      <w:r>
        <w:rPr>
          <w:noProof/>
        </w:rPr>
        <w:t>La momentul redactării prezentului raport, Comisia urma să adopte noi dispoziții de punere în aplicare în acest scop. În conformitate cu acest proiect de dispoziții, sistemul de export al bunurilor culturale (ECG) este programat să devină operațional la 2 octombrie 2031.</w:t>
      </w:r>
    </w:p>
    <w:p>
      <w:pPr>
        <w:jc w:val="both"/>
        <w:rPr>
          <w:noProof/>
        </w:rPr>
      </w:pPr>
    </w:p>
    <w:p>
      <w:pPr>
        <w:rPr>
          <w:b/>
          <w:bCs/>
          <w:noProof/>
        </w:rPr>
      </w:pPr>
    </w:p>
    <w:p>
      <w:pPr>
        <w:rPr>
          <w:b/>
          <w:bCs/>
          <w:noProof/>
        </w:rPr>
      </w:pPr>
      <w:r>
        <w:rPr>
          <w:b/>
          <w:noProof/>
        </w:rPr>
        <w:t>3. CONCLUZII ȘI ASPECTE NEREZOLVATE</w:t>
      </w:r>
    </w:p>
    <w:p>
      <w:pPr>
        <w:jc w:val="both"/>
        <w:rPr>
          <w:noProof/>
          <w:sz w:val="23"/>
          <w:szCs w:val="23"/>
        </w:rPr>
      </w:pPr>
    </w:p>
    <w:p>
      <w:pPr>
        <w:jc w:val="both"/>
        <w:rPr>
          <w:noProof/>
        </w:rPr>
      </w:pPr>
      <w:r>
        <w:rPr>
          <w:noProof/>
        </w:rPr>
        <w:t>La fel ca în rapoartele anterioare și pe baza feedbackului primit de la statele membre, se consideră că regulamentul (1) are rezultate bune în ceea ce privește atingerea obiectivelor sale și (2) este un instrument important pentru combaterea comerțului ilegal.</w:t>
      </w:r>
    </w:p>
    <w:p>
      <w:pPr>
        <w:jc w:val="both"/>
        <w:rPr>
          <w:noProof/>
        </w:rPr>
      </w:pPr>
    </w:p>
    <w:p>
      <w:pPr>
        <w:jc w:val="both"/>
        <w:rPr>
          <w:noProof/>
        </w:rPr>
      </w:pPr>
      <w:r>
        <w:rPr>
          <w:noProof/>
        </w:rPr>
        <w:t>Comisia va monitoriza următoarele îmbunătățiri recomandate care au fost identificate de majoritatea statelor membre:</w:t>
      </w:r>
    </w:p>
    <w:p>
      <w:pPr>
        <w:jc w:val="both"/>
        <w:rPr>
          <w:noProof/>
        </w:rPr>
      </w:pPr>
    </w:p>
    <w:p>
      <w:pPr>
        <w:pStyle w:val="ListParagraph"/>
        <w:numPr>
          <w:ilvl w:val="0"/>
          <w:numId w:val="10"/>
        </w:numPr>
        <w:jc w:val="both"/>
        <w:rPr>
          <w:noProof/>
        </w:rPr>
      </w:pPr>
      <w:r>
        <w:rPr>
          <w:noProof/>
        </w:rPr>
        <w:t>în ceea ce privește digitalizarea: Comisia se pregătește în prezent pentru dezvoltarea sistemului ECG, împrumutând numeroase caracteristici și funcționalități din sistemul de import al bunurilor culturale, ținând seama, în același timp, de nevoile specifice care decurg din regulament;</w:t>
      </w:r>
    </w:p>
    <w:p>
      <w:pPr>
        <w:pStyle w:val="ListParagraph"/>
        <w:numPr>
          <w:ilvl w:val="0"/>
          <w:numId w:val="10"/>
        </w:numPr>
        <w:jc w:val="both"/>
        <w:rPr>
          <w:noProof/>
        </w:rPr>
      </w:pPr>
      <w:r>
        <w:rPr>
          <w:noProof/>
        </w:rPr>
        <w:t>în ceea ce privește propunerea de actualizare a domeniului de aplicare material al regulamentului: Comisia va profita de o reuniune viitoare a grupului de experți pentru a reflecta în mod prioritar asupra posibilei revizuiri a pragurilor valorice</w:t>
      </w:r>
      <w:r>
        <w:rPr>
          <w:rStyle w:val="FootnoteReference"/>
          <w:noProof/>
        </w:rPr>
        <w:footnoteReference w:id="18"/>
      </w:r>
      <w:r>
        <w:rPr>
          <w:noProof/>
        </w:rPr>
        <w:t>;</w:t>
      </w:r>
    </w:p>
    <w:p>
      <w:pPr>
        <w:pStyle w:val="ListParagraph"/>
        <w:numPr>
          <w:ilvl w:val="0"/>
          <w:numId w:val="10"/>
        </w:numPr>
        <w:jc w:val="both"/>
        <w:rPr>
          <w:noProof/>
        </w:rPr>
      </w:pPr>
      <w:r>
        <w:rPr>
          <w:noProof/>
        </w:rPr>
        <w:t xml:space="preserve">în ceea ce privește posibilitatea de a elabora o metodă comună de evaluare: Comisia va invita statele membre să </w:t>
      </w:r>
      <w:bookmarkStart w:id="2" w:name="_Hlk233985361"/>
      <w:r>
        <w:rPr>
          <w:noProof/>
        </w:rPr>
        <w:t xml:space="preserve">își prezinte opiniile și sugestiile </w:t>
      </w:r>
      <w:bookmarkEnd w:id="2"/>
      <w:r>
        <w:rPr>
          <w:noProof/>
        </w:rPr>
        <w:t>în cadrul unei viitoare reuniuni a grupului de experți.</w:t>
      </w:r>
    </w:p>
    <w:p>
      <w:pPr>
        <w:jc w:val="both"/>
        <w:rPr>
          <w:noProof/>
          <w:sz w:val="23"/>
          <w:szCs w:val="23"/>
        </w:rPr>
      </w:pPr>
    </w:p>
    <w:p>
      <w:pPr>
        <w:jc w:val="both"/>
        <w:rPr>
          <w:noProof/>
          <w:sz w:val="23"/>
          <w:szCs w:val="23"/>
        </w:rPr>
      </w:pPr>
    </w:p>
    <w:p>
      <w:pPr>
        <w:rPr>
          <w:noProof/>
          <w:sz w:val="23"/>
          <w:szCs w:val="23"/>
        </w:rPr>
      </w:pPr>
      <w:r>
        <w:rPr>
          <w:noProof/>
        </w:rPr>
        <w:br w:type="page"/>
      </w:r>
    </w:p>
    <w:p>
      <w:pPr>
        <w:rPr>
          <w:noProof/>
          <w:sz w:val="23"/>
          <w:szCs w:val="23"/>
        </w:rPr>
      </w:pPr>
    </w:p>
    <w:p>
      <w:pPr>
        <w:rPr>
          <w:noProof/>
          <w:sz w:val="23"/>
          <w:szCs w:val="23"/>
        </w:rPr>
      </w:pPr>
    </w:p>
    <w:p>
      <w:pPr>
        <w:rPr>
          <w:noProof/>
          <w:sz w:val="23"/>
          <w:szCs w:val="23"/>
        </w:rPr>
      </w:pPr>
    </w:p>
    <w:p>
      <w:pPr>
        <w:jc w:val="center"/>
        <w:rPr>
          <w:b/>
          <w:bCs/>
          <w:noProof/>
        </w:rPr>
      </w:pPr>
      <w:r>
        <w:rPr>
          <w:b/>
          <w:noProof/>
        </w:rPr>
        <w:t>4. ANEXĂ</w:t>
      </w:r>
    </w:p>
    <w:p>
      <w:pPr>
        <w:rPr>
          <w:noProof/>
        </w:rPr>
      </w:pPr>
    </w:p>
    <w:p>
      <w:pPr>
        <w:rPr>
          <w:noProof/>
        </w:rPr>
      </w:pPr>
      <w:r>
        <w:rPr>
          <w:noProof/>
        </w:rPr>
        <w:t>Tabelul 1. Licențe normale eliberate de statele membre</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noProof/>
              </w:rPr>
              <w:t>State membre</w:t>
            </w:r>
          </w:p>
        </w:tc>
        <w:tc>
          <w:tcPr>
            <w:tcW w:w="3674" w:type="dxa"/>
            <w:gridSpan w:val="3"/>
            <w:shd w:val="clear" w:color="auto" w:fill="DBE5F1" w:themeFill="accent1" w:themeFillTint="33"/>
            <w:vAlign w:val="center"/>
          </w:tcPr>
          <w:p>
            <w:pPr>
              <w:jc w:val="center"/>
              <w:rPr>
                <w:b/>
                <w:bCs/>
                <w:noProof/>
              </w:rPr>
            </w:pPr>
            <w:r>
              <w:rPr>
                <w:b/>
                <w:noProof/>
              </w:rPr>
              <w:t>Anul</w:t>
            </w:r>
          </w:p>
        </w:tc>
        <w:tc>
          <w:tcPr>
            <w:tcW w:w="1463" w:type="dxa"/>
            <w:vMerge w:val="restart"/>
            <w:shd w:val="clear" w:color="auto" w:fill="DBE5F1" w:themeFill="accent1" w:themeFillTint="33"/>
            <w:vAlign w:val="center"/>
          </w:tcPr>
          <w:p>
            <w:pPr>
              <w:jc w:val="center"/>
              <w:rPr>
                <w:b/>
                <w:bCs/>
                <w:noProof/>
              </w:rPr>
            </w:pPr>
            <w:r>
              <w:rPr>
                <w:b/>
                <w:noProof/>
              </w:rPr>
              <w:t>2021-2023</w:t>
            </w:r>
          </w:p>
        </w:tc>
        <w:tc>
          <w:tcPr>
            <w:tcW w:w="2426" w:type="dxa"/>
            <w:vMerge w:val="restart"/>
            <w:shd w:val="clear" w:color="auto" w:fill="DBE5F1" w:themeFill="accent1" w:themeFillTint="33"/>
            <w:vAlign w:val="center"/>
          </w:tcPr>
          <w:p>
            <w:pPr>
              <w:jc w:val="center"/>
              <w:rPr>
                <w:b/>
                <w:bCs/>
                <w:noProof/>
              </w:rPr>
            </w:pPr>
            <w:r>
              <w:rPr>
                <w:b/>
                <w:noProof/>
              </w:rPr>
              <w:t>Pondere din total în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noProof/>
              </w:rPr>
              <w:t>2021</w:t>
            </w:r>
          </w:p>
        </w:tc>
        <w:tc>
          <w:tcPr>
            <w:tcW w:w="1275" w:type="dxa"/>
            <w:shd w:val="clear" w:color="auto" w:fill="DBE5F1" w:themeFill="accent1" w:themeFillTint="33"/>
          </w:tcPr>
          <w:p>
            <w:pPr>
              <w:jc w:val="center"/>
              <w:rPr>
                <w:b/>
                <w:bCs/>
                <w:noProof/>
              </w:rPr>
            </w:pPr>
            <w:r>
              <w:rPr>
                <w:b/>
                <w:noProof/>
              </w:rPr>
              <w:t>2022</w:t>
            </w:r>
          </w:p>
        </w:tc>
        <w:tc>
          <w:tcPr>
            <w:tcW w:w="1276" w:type="dxa"/>
            <w:shd w:val="clear" w:color="auto" w:fill="DBE5F1" w:themeFill="accent1" w:themeFillTint="33"/>
          </w:tcPr>
          <w:p>
            <w:pPr>
              <w:jc w:val="center"/>
              <w:rPr>
                <w:b/>
                <w:bCs/>
                <w:noProof/>
              </w:rPr>
            </w:pPr>
            <w:r>
              <w:rPr>
                <w:b/>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noProof/>
              </w:rPr>
              <w:t>BE</w:t>
            </w:r>
          </w:p>
        </w:tc>
        <w:tc>
          <w:tcPr>
            <w:tcW w:w="1123" w:type="dxa"/>
          </w:tcPr>
          <w:p>
            <w:pPr>
              <w:jc w:val="right"/>
              <w:rPr>
                <w:noProof/>
              </w:rPr>
            </w:pPr>
            <w:r>
              <w:rPr>
                <w:noProof/>
              </w:rPr>
              <w:t>432</w:t>
            </w:r>
          </w:p>
        </w:tc>
        <w:tc>
          <w:tcPr>
            <w:tcW w:w="1275" w:type="dxa"/>
          </w:tcPr>
          <w:p>
            <w:pPr>
              <w:jc w:val="right"/>
              <w:rPr>
                <w:noProof/>
              </w:rPr>
            </w:pPr>
            <w:r>
              <w:rPr>
                <w:noProof/>
              </w:rPr>
              <w:t>533</w:t>
            </w:r>
          </w:p>
        </w:tc>
        <w:tc>
          <w:tcPr>
            <w:tcW w:w="1276" w:type="dxa"/>
          </w:tcPr>
          <w:p>
            <w:pPr>
              <w:jc w:val="right"/>
              <w:rPr>
                <w:noProof/>
              </w:rPr>
            </w:pPr>
            <w:r>
              <w:rPr>
                <w:noProof/>
              </w:rPr>
              <w:t>599</w:t>
            </w:r>
          </w:p>
        </w:tc>
        <w:tc>
          <w:tcPr>
            <w:tcW w:w="1463" w:type="dxa"/>
          </w:tcPr>
          <w:p>
            <w:pPr>
              <w:jc w:val="right"/>
              <w:rPr>
                <w:noProof/>
              </w:rPr>
            </w:pPr>
            <w:r>
              <w:rPr>
                <w:noProof/>
              </w:rPr>
              <w:t>1 564</w:t>
            </w:r>
          </w:p>
        </w:tc>
        <w:tc>
          <w:tcPr>
            <w:tcW w:w="2426" w:type="dxa"/>
            <w:vAlign w:val="bottom"/>
          </w:tcPr>
          <w:p>
            <w:pPr>
              <w:jc w:val="right"/>
              <w:rPr>
                <w:noProof/>
              </w:rPr>
            </w:pPr>
            <w:r>
              <w:rPr>
                <w:noProof/>
              </w:rPr>
              <w:t>5,60 %</w:t>
            </w:r>
          </w:p>
        </w:tc>
      </w:tr>
      <w:tr>
        <w:tc>
          <w:tcPr>
            <w:tcW w:w="1679" w:type="dxa"/>
            <w:shd w:val="clear" w:color="auto" w:fill="DBE5F1" w:themeFill="accent1" w:themeFillTint="33"/>
          </w:tcPr>
          <w:p>
            <w:pPr>
              <w:jc w:val="center"/>
              <w:rPr>
                <w:b/>
                <w:bCs/>
                <w:noProof/>
              </w:rPr>
            </w:pPr>
            <w:r>
              <w:rPr>
                <w:b/>
                <w:noProof/>
              </w:rPr>
              <w:t>BG</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CZ</w:t>
            </w:r>
          </w:p>
        </w:tc>
        <w:tc>
          <w:tcPr>
            <w:tcW w:w="1123" w:type="dxa"/>
          </w:tcPr>
          <w:p>
            <w:pPr>
              <w:jc w:val="right"/>
              <w:rPr>
                <w:noProof/>
              </w:rPr>
            </w:pPr>
            <w:r>
              <w:rPr>
                <w:noProof/>
              </w:rPr>
              <w:t>6</w:t>
            </w:r>
          </w:p>
        </w:tc>
        <w:tc>
          <w:tcPr>
            <w:tcW w:w="1275" w:type="dxa"/>
          </w:tcPr>
          <w:p>
            <w:pPr>
              <w:jc w:val="right"/>
              <w:rPr>
                <w:noProof/>
              </w:rPr>
            </w:pPr>
            <w:r>
              <w:rPr>
                <w:noProof/>
              </w:rPr>
              <w:t>12</w:t>
            </w:r>
          </w:p>
        </w:tc>
        <w:tc>
          <w:tcPr>
            <w:tcW w:w="1276" w:type="dxa"/>
          </w:tcPr>
          <w:p>
            <w:pPr>
              <w:jc w:val="right"/>
              <w:rPr>
                <w:noProof/>
              </w:rPr>
            </w:pPr>
            <w:r>
              <w:rPr>
                <w:noProof/>
              </w:rPr>
              <w:t>28</w:t>
            </w:r>
          </w:p>
        </w:tc>
        <w:tc>
          <w:tcPr>
            <w:tcW w:w="1463" w:type="dxa"/>
          </w:tcPr>
          <w:p>
            <w:pPr>
              <w:jc w:val="right"/>
              <w:rPr>
                <w:noProof/>
              </w:rPr>
            </w:pPr>
            <w:r>
              <w:rPr>
                <w:noProof/>
              </w:rPr>
              <w:t>46</w:t>
            </w:r>
          </w:p>
        </w:tc>
        <w:tc>
          <w:tcPr>
            <w:tcW w:w="2426" w:type="dxa"/>
            <w:vAlign w:val="bottom"/>
          </w:tcPr>
          <w:p>
            <w:pPr>
              <w:jc w:val="right"/>
              <w:rPr>
                <w:noProof/>
              </w:rPr>
            </w:pPr>
            <w:r>
              <w:rPr>
                <w:noProof/>
              </w:rPr>
              <w:t>0,13 %</w:t>
            </w:r>
          </w:p>
        </w:tc>
      </w:tr>
      <w:tr>
        <w:tc>
          <w:tcPr>
            <w:tcW w:w="1679" w:type="dxa"/>
            <w:shd w:val="clear" w:color="auto" w:fill="DBE5F1" w:themeFill="accent1" w:themeFillTint="33"/>
          </w:tcPr>
          <w:p>
            <w:pPr>
              <w:jc w:val="center"/>
              <w:rPr>
                <w:b/>
                <w:bCs/>
                <w:noProof/>
              </w:rPr>
            </w:pPr>
            <w:r>
              <w:rPr>
                <w:b/>
                <w:noProof/>
              </w:rPr>
              <w:t>DK</w:t>
            </w:r>
          </w:p>
        </w:tc>
        <w:tc>
          <w:tcPr>
            <w:tcW w:w="1123" w:type="dxa"/>
          </w:tcPr>
          <w:p>
            <w:pPr>
              <w:jc w:val="right"/>
              <w:rPr>
                <w:noProof/>
              </w:rPr>
            </w:pPr>
            <w:r>
              <w:rPr>
                <w:noProof/>
              </w:rPr>
              <w:t>68</w:t>
            </w:r>
          </w:p>
        </w:tc>
        <w:tc>
          <w:tcPr>
            <w:tcW w:w="1275" w:type="dxa"/>
          </w:tcPr>
          <w:p>
            <w:pPr>
              <w:jc w:val="right"/>
              <w:rPr>
                <w:noProof/>
              </w:rPr>
            </w:pPr>
            <w:r>
              <w:rPr>
                <w:noProof/>
              </w:rPr>
              <w:t>48</w:t>
            </w:r>
          </w:p>
        </w:tc>
        <w:tc>
          <w:tcPr>
            <w:tcW w:w="1276" w:type="dxa"/>
          </w:tcPr>
          <w:p>
            <w:pPr>
              <w:jc w:val="right"/>
              <w:rPr>
                <w:noProof/>
              </w:rPr>
            </w:pPr>
            <w:r>
              <w:rPr>
                <w:noProof/>
              </w:rPr>
              <w:t>74</w:t>
            </w:r>
          </w:p>
        </w:tc>
        <w:tc>
          <w:tcPr>
            <w:tcW w:w="1463" w:type="dxa"/>
          </w:tcPr>
          <w:p>
            <w:pPr>
              <w:jc w:val="right"/>
              <w:rPr>
                <w:noProof/>
              </w:rPr>
            </w:pPr>
            <w:r>
              <w:rPr>
                <w:noProof/>
              </w:rPr>
              <w:t>190</w:t>
            </w:r>
          </w:p>
        </w:tc>
        <w:tc>
          <w:tcPr>
            <w:tcW w:w="2426" w:type="dxa"/>
            <w:vAlign w:val="bottom"/>
          </w:tcPr>
          <w:p>
            <w:pPr>
              <w:jc w:val="right"/>
              <w:rPr>
                <w:noProof/>
              </w:rPr>
            </w:pPr>
            <w:r>
              <w:rPr>
                <w:noProof/>
              </w:rPr>
              <w:t>0,53 %</w:t>
            </w:r>
          </w:p>
        </w:tc>
      </w:tr>
      <w:tr>
        <w:tc>
          <w:tcPr>
            <w:tcW w:w="1679" w:type="dxa"/>
            <w:shd w:val="clear" w:color="auto" w:fill="DBE5F1" w:themeFill="accent1" w:themeFillTint="33"/>
          </w:tcPr>
          <w:p>
            <w:pPr>
              <w:jc w:val="center"/>
              <w:rPr>
                <w:b/>
                <w:bCs/>
                <w:noProof/>
              </w:rPr>
            </w:pPr>
            <w:r>
              <w:rPr>
                <w:b/>
                <w:noProof/>
              </w:rPr>
              <w:t>DE</w:t>
            </w:r>
          </w:p>
        </w:tc>
        <w:tc>
          <w:tcPr>
            <w:tcW w:w="1123" w:type="dxa"/>
          </w:tcPr>
          <w:p>
            <w:pPr>
              <w:jc w:val="right"/>
              <w:rPr>
                <w:noProof/>
              </w:rPr>
            </w:pPr>
            <w:r>
              <w:rPr>
                <w:noProof/>
              </w:rPr>
              <w:t>1 590</w:t>
            </w:r>
          </w:p>
        </w:tc>
        <w:tc>
          <w:tcPr>
            <w:tcW w:w="1275" w:type="dxa"/>
          </w:tcPr>
          <w:p>
            <w:pPr>
              <w:jc w:val="right"/>
              <w:rPr>
                <w:noProof/>
              </w:rPr>
            </w:pPr>
            <w:r>
              <w:rPr>
                <w:noProof/>
              </w:rPr>
              <w:t>1 343</w:t>
            </w:r>
          </w:p>
        </w:tc>
        <w:tc>
          <w:tcPr>
            <w:tcW w:w="1276" w:type="dxa"/>
          </w:tcPr>
          <w:p>
            <w:pPr>
              <w:jc w:val="right"/>
              <w:rPr>
                <w:noProof/>
              </w:rPr>
            </w:pPr>
            <w:r>
              <w:rPr>
                <w:noProof/>
              </w:rPr>
              <w:t>1 390</w:t>
            </w:r>
          </w:p>
        </w:tc>
        <w:tc>
          <w:tcPr>
            <w:tcW w:w="1463" w:type="dxa"/>
          </w:tcPr>
          <w:p>
            <w:pPr>
              <w:jc w:val="right"/>
              <w:rPr>
                <w:noProof/>
              </w:rPr>
            </w:pPr>
            <w:r>
              <w:rPr>
                <w:noProof/>
              </w:rPr>
              <w:t>4 323</w:t>
            </w:r>
          </w:p>
        </w:tc>
        <w:tc>
          <w:tcPr>
            <w:tcW w:w="2426" w:type="dxa"/>
            <w:vAlign w:val="bottom"/>
          </w:tcPr>
          <w:p>
            <w:pPr>
              <w:jc w:val="right"/>
              <w:rPr>
                <w:noProof/>
              </w:rPr>
            </w:pPr>
            <w:r>
              <w:rPr>
                <w:noProof/>
              </w:rPr>
              <w:t>12,15 %</w:t>
            </w:r>
          </w:p>
        </w:tc>
      </w:tr>
      <w:tr>
        <w:tc>
          <w:tcPr>
            <w:tcW w:w="1679" w:type="dxa"/>
            <w:shd w:val="clear" w:color="auto" w:fill="DBE5F1" w:themeFill="accent1" w:themeFillTint="33"/>
          </w:tcPr>
          <w:p>
            <w:pPr>
              <w:jc w:val="center"/>
              <w:rPr>
                <w:b/>
                <w:bCs/>
                <w:noProof/>
              </w:rPr>
            </w:pPr>
            <w:r>
              <w:rPr>
                <w:b/>
                <w:noProof/>
              </w:rPr>
              <w:t>EE</w:t>
            </w:r>
          </w:p>
        </w:tc>
        <w:tc>
          <w:tcPr>
            <w:tcW w:w="1123" w:type="dxa"/>
          </w:tcPr>
          <w:p>
            <w:pPr>
              <w:jc w:val="right"/>
              <w:rPr>
                <w:noProof/>
              </w:rPr>
            </w:pPr>
            <w:r>
              <w:rPr>
                <w:noProof/>
              </w:rPr>
              <w:t>22</w:t>
            </w:r>
          </w:p>
        </w:tc>
        <w:tc>
          <w:tcPr>
            <w:tcW w:w="1275" w:type="dxa"/>
          </w:tcPr>
          <w:p>
            <w:pPr>
              <w:jc w:val="right"/>
              <w:rPr>
                <w:noProof/>
              </w:rPr>
            </w:pPr>
            <w:r>
              <w:rPr>
                <w:noProof/>
              </w:rPr>
              <w:t>14</w:t>
            </w:r>
          </w:p>
        </w:tc>
        <w:tc>
          <w:tcPr>
            <w:tcW w:w="1276" w:type="dxa"/>
          </w:tcPr>
          <w:p>
            <w:pPr>
              <w:jc w:val="right"/>
              <w:rPr>
                <w:noProof/>
              </w:rPr>
            </w:pPr>
            <w:r>
              <w:rPr>
                <w:noProof/>
              </w:rPr>
              <w:t>23</w:t>
            </w:r>
          </w:p>
        </w:tc>
        <w:tc>
          <w:tcPr>
            <w:tcW w:w="1463" w:type="dxa"/>
          </w:tcPr>
          <w:p>
            <w:pPr>
              <w:jc w:val="right"/>
              <w:rPr>
                <w:noProof/>
              </w:rPr>
            </w:pPr>
            <w:r>
              <w:rPr>
                <w:noProof/>
              </w:rPr>
              <w:t>59</w:t>
            </w:r>
          </w:p>
        </w:tc>
        <w:tc>
          <w:tcPr>
            <w:tcW w:w="2426" w:type="dxa"/>
            <w:vAlign w:val="bottom"/>
          </w:tcPr>
          <w:p>
            <w:pPr>
              <w:jc w:val="right"/>
              <w:rPr>
                <w:noProof/>
              </w:rPr>
            </w:pPr>
            <w:r>
              <w:rPr>
                <w:noProof/>
              </w:rPr>
              <w:t>0,17 %</w:t>
            </w:r>
          </w:p>
        </w:tc>
      </w:tr>
      <w:tr>
        <w:tc>
          <w:tcPr>
            <w:tcW w:w="1679" w:type="dxa"/>
            <w:shd w:val="clear" w:color="auto" w:fill="DBE5F1" w:themeFill="accent1" w:themeFillTint="33"/>
          </w:tcPr>
          <w:p>
            <w:pPr>
              <w:jc w:val="center"/>
              <w:rPr>
                <w:b/>
                <w:bCs/>
                <w:noProof/>
              </w:rPr>
            </w:pPr>
            <w:r>
              <w:rPr>
                <w:b/>
                <w:noProof/>
              </w:rPr>
              <w:t>IE</w:t>
            </w:r>
          </w:p>
        </w:tc>
        <w:tc>
          <w:tcPr>
            <w:tcW w:w="1123" w:type="dxa"/>
          </w:tcPr>
          <w:p>
            <w:pPr>
              <w:jc w:val="right"/>
              <w:rPr>
                <w:noProof/>
              </w:rPr>
            </w:pPr>
            <w:r>
              <w:rPr>
                <w:noProof/>
              </w:rPr>
              <w:t>110</w:t>
            </w:r>
          </w:p>
        </w:tc>
        <w:tc>
          <w:tcPr>
            <w:tcW w:w="1275" w:type="dxa"/>
          </w:tcPr>
          <w:p>
            <w:pPr>
              <w:jc w:val="right"/>
              <w:rPr>
                <w:noProof/>
              </w:rPr>
            </w:pPr>
            <w:r>
              <w:rPr>
                <w:noProof/>
              </w:rPr>
              <w:t>69</w:t>
            </w:r>
          </w:p>
        </w:tc>
        <w:tc>
          <w:tcPr>
            <w:tcW w:w="1276" w:type="dxa"/>
          </w:tcPr>
          <w:p>
            <w:pPr>
              <w:jc w:val="right"/>
              <w:rPr>
                <w:noProof/>
              </w:rPr>
            </w:pPr>
            <w:r>
              <w:rPr>
                <w:noProof/>
              </w:rPr>
              <w:t>49</w:t>
            </w:r>
          </w:p>
        </w:tc>
        <w:tc>
          <w:tcPr>
            <w:tcW w:w="1463" w:type="dxa"/>
          </w:tcPr>
          <w:p>
            <w:pPr>
              <w:jc w:val="right"/>
              <w:rPr>
                <w:noProof/>
              </w:rPr>
            </w:pPr>
            <w:r>
              <w:rPr>
                <w:noProof/>
              </w:rPr>
              <w:t>228</w:t>
            </w:r>
          </w:p>
        </w:tc>
        <w:tc>
          <w:tcPr>
            <w:tcW w:w="2426" w:type="dxa"/>
            <w:vAlign w:val="bottom"/>
          </w:tcPr>
          <w:p>
            <w:pPr>
              <w:jc w:val="right"/>
              <w:rPr>
                <w:noProof/>
              </w:rPr>
            </w:pPr>
            <w:r>
              <w:rPr>
                <w:noProof/>
              </w:rPr>
              <w:t>0,64 %</w:t>
            </w:r>
          </w:p>
        </w:tc>
      </w:tr>
      <w:tr>
        <w:tc>
          <w:tcPr>
            <w:tcW w:w="1679" w:type="dxa"/>
            <w:shd w:val="clear" w:color="auto" w:fill="DBE5F1" w:themeFill="accent1" w:themeFillTint="33"/>
          </w:tcPr>
          <w:p>
            <w:pPr>
              <w:jc w:val="center"/>
              <w:rPr>
                <w:b/>
                <w:bCs/>
                <w:noProof/>
              </w:rPr>
            </w:pPr>
            <w:r>
              <w:rPr>
                <w:b/>
                <w:noProof/>
              </w:rPr>
              <w:t>EL</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3</w:t>
            </w:r>
          </w:p>
        </w:tc>
        <w:tc>
          <w:tcPr>
            <w:tcW w:w="1463" w:type="dxa"/>
          </w:tcPr>
          <w:p>
            <w:pPr>
              <w:jc w:val="right"/>
              <w:rPr>
                <w:noProof/>
              </w:rPr>
            </w:pPr>
            <w:r>
              <w:rPr>
                <w:noProof/>
              </w:rPr>
              <w:t>5</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ES</w:t>
            </w:r>
          </w:p>
        </w:tc>
        <w:tc>
          <w:tcPr>
            <w:tcW w:w="1123" w:type="dxa"/>
          </w:tcPr>
          <w:p>
            <w:pPr>
              <w:jc w:val="right"/>
              <w:rPr>
                <w:noProof/>
              </w:rPr>
            </w:pPr>
            <w:r>
              <w:rPr>
                <w:noProof/>
              </w:rPr>
              <w:t>3 151</w:t>
            </w:r>
          </w:p>
        </w:tc>
        <w:tc>
          <w:tcPr>
            <w:tcW w:w="1275" w:type="dxa"/>
          </w:tcPr>
          <w:p>
            <w:pPr>
              <w:jc w:val="right"/>
              <w:rPr>
                <w:noProof/>
              </w:rPr>
            </w:pPr>
            <w:r>
              <w:rPr>
                <w:noProof/>
              </w:rPr>
              <w:t>3 445</w:t>
            </w:r>
          </w:p>
        </w:tc>
        <w:tc>
          <w:tcPr>
            <w:tcW w:w="1276" w:type="dxa"/>
          </w:tcPr>
          <w:p>
            <w:pPr>
              <w:jc w:val="right"/>
              <w:rPr>
                <w:noProof/>
              </w:rPr>
            </w:pPr>
            <w:r>
              <w:rPr>
                <w:noProof/>
              </w:rPr>
              <w:t>2 958</w:t>
            </w:r>
          </w:p>
        </w:tc>
        <w:tc>
          <w:tcPr>
            <w:tcW w:w="1463" w:type="dxa"/>
          </w:tcPr>
          <w:p>
            <w:pPr>
              <w:jc w:val="right"/>
              <w:rPr>
                <w:noProof/>
              </w:rPr>
            </w:pPr>
            <w:r>
              <w:rPr>
                <w:noProof/>
              </w:rPr>
              <w:t>9 554</w:t>
            </w:r>
          </w:p>
        </w:tc>
        <w:tc>
          <w:tcPr>
            <w:tcW w:w="2426" w:type="dxa"/>
            <w:vAlign w:val="bottom"/>
          </w:tcPr>
          <w:p>
            <w:pPr>
              <w:jc w:val="right"/>
              <w:rPr>
                <w:noProof/>
              </w:rPr>
            </w:pPr>
            <w:r>
              <w:rPr>
                <w:noProof/>
              </w:rPr>
              <w:t>26,85 %</w:t>
            </w:r>
          </w:p>
        </w:tc>
      </w:tr>
      <w:tr>
        <w:tc>
          <w:tcPr>
            <w:tcW w:w="1679" w:type="dxa"/>
            <w:shd w:val="clear" w:color="auto" w:fill="DBE5F1" w:themeFill="accent1" w:themeFillTint="33"/>
          </w:tcPr>
          <w:p>
            <w:pPr>
              <w:jc w:val="center"/>
              <w:rPr>
                <w:b/>
                <w:bCs/>
                <w:noProof/>
              </w:rPr>
            </w:pPr>
            <w:r>
              <w:rPr>
                <w:b/>
                <w:noProof/>
              </w:rPr>
              <w:t>FR</w:t>
            </w:r>
          </w:p>
        </w:tc>
        <w:tc>
          <w:tcPr>
            <w:tcW w:w="1123" w:type="dxa"/>
          </w:tcPr>
          <w:p>
            <w:pPr>
              <w:jc w:val="right"/>
              <w:rPr>
                <w:noProof/>
              </w:rPr>
            </w:pPr>
            <w:r>
              <w:rPr>
                <w:noProof/>
              </w:rPr>
              <w:t>3 628</w:t>
            </w:r>
          </w:p>
        </w:tc>
        <w:tc>
          <w:tcPr>
            <w:tcW w:w="1275" w:type="dxa"/>
          </w:tcPr>
          <w:p>
            <w:pPr>
              <w:jc w:val="right"/>
              <w:rPr>
                <w:noProof/>
              </w:rPr>
            </w:pPr>
            <w:r>
              <w:rPr>
                <w:noProof/>
              </w:rPr>
              <w:t>4 142</w:t>
            </w:r>
          </w:p>
        </w:tc>
        <w:tc>
          <w:tcPr>
            <w:tcW w:w="1276" w:type="dxa"/>
          </w:tcPr>
          <w:p>
            <w:pPr>
              <w:jc w:val="right"/>
              <w:rPr>
                <w:noProof/>
              </w:rPr>
            </w:pPr>
            <w:r>
              <w:rPr>
                <w:noProof/>
              </w:rPr>
              <w:t>4 026</w:t>
            </w:r>
          </w:p>
        </w:tc>
        <w:tc>
          <w:tcPr>
            <w:tcW w:w="1463" w:type="dxa"/>
          </w:tcPr>
          <w:p>
            <w:pPr>
              <w:jc w:val="right"/>
              <w:rPr>
                <w:noProof/>
              </w:rPr>
            </w:pPr>
            <w:r>
              <w:rPr>
                <w:noProof/>
              </w:rPr>
              <w:t>11 796</w:t>
            </w:r>
          </w:p>
        </w:tc>
        <w:tc>
          <w:tcPr>
            <w:tcW w:w="2426" w:type="dxa"/>
            <w:vAlign w:val="bottom"/>
          </w:tcPr>
          <w:p>
            <w:pPr>
              <w:jc w:val="right"/>
              <w:rPr>
                <w:noProof/>
              </w:rPr>
            </w:pPr>
            <w:r>
              <w:rPr>
                <w:noProof/>
              </w:rPr>
              <w:t>33,15 %</w:t>
            </w:r>
          </w:p>
        </w:tc>
      </w:tr>
      <w:tr>
        <w:tc>
          <w:tcPr>
            <w:tcW w:w="1679" w:type="dxa"/>
            <w:shd w:val="clear" w:color="auto" w:fill="DBE5F1" w:themeFill="accent1" w:themeFillTint="33"/>
          </w:tcPr>
          <w:p>
            <w:pPr>
              <w:jc w:val="center"/>
              <w:rPr>
                <w:b/>
                <w:bCs/>
                <w:noProof/>
              </w:rPr>
            </w:pPr>
            <w:r>
              <w:rPr>
                <w:b/>
                <w:noProof/>
              </w:rPr>
              <w:t>HR</w:t>
            </w:r>
          </w:p>
        </w:tc>
        <w:tc>
          <w:tcPr>
            <w:tcW w:w="1123" w:type="dxa"/>
          </w:tcPr>
          <w:p>
            <w:pPr>
              <w:jc w:val="right"/>
              <w:rPr>
                <w:noProof/>
              </w:rPr>
            </w:pPr>
            <w:r>
              <w:rPr>
                <w:noProof/>
              </w:rPr>
              <w:t>42</w:t>
            </w:r>
          </w:p>
        </w:tc>
        <w:tc>
          <w:tcPr>
            <w:tcW w:w="1275" w:type="dxa"/>
          </w:tcPr>
          <w:p>
            <w:pPr>
              <w:jc w:val="right"/>
              <w:rPr>
                <w:noProof/>
              </w:rPr>
            </w:pPr>
            <w:r>
              <w:rPr>
                <w:noProof/>
              </w:rPr>
              <w:t>36</w:t>
            </w:r>
          </w:p>
        </w:tc>
        <w:tc>
          <w:tcPr>
            <w:tcW w:w="1276" w:type="dxa"/>
          </w:tcPr>
          <w:p>
            <w:pPr>
              <w:jc w:val="right"/>
              <w:rPr>
                <w:noProof/>
              </w:rPr>
            </w:pPr>
            <w:r>
              <w:rPr>
                <w:noProof/>
              </w:rPr>
              <w:t>38</w:t>
            </w:r>
          </w:p>
        </w:tc>
        <w:tc>
          <w:tcPr>
            <w:tcW w:w="1463" w:type="dxa"/>
          </w:tcPr>
          <w:p>
            <w:pPr>
              <w:jc w:val="right"/>
              <w:rPr>
                <w:noProof/>
              </w:rPr>
            </w:pPr>
            <w:r>
              <w:rPr>
                <w:noProof/>
              </w:rPr>
              <w:t>116</w:t>
            </w:r>
          </w:p>
        </w:tc>
        <w:tc>
          <w:tcPr>
            <w:tcW w:w="2426" w:type="dxa"/>
            <w:vAlign w:val="bottom"/>
          </w:tcPr>
          <w:p>
            <w:pPr>
              <w:jc w:val="right"/>
              <w:rPr>
                <w:noProof/>
              </w:rPr>
            </w:pPr>
            <w:r>
              <w:rPr>
                <w:noProof/>
              </w:rPr>
              <w:t>0,33 %</w:t>
            </w:r>
          </w:p>
        </w:tc>
      </w:tr>
      <w:tr>
        <w:tc>
          <w:tcPr>
            <w:tcW w:w="1679" w:type="dxa"/>
            <w:shd w:val="clear" w:color="auto" w:fill="DBE5F1" w:themeFill="accent1" w:themeFillTint="33"/>
          </w:tcPr>
          <w:p>
            <w:pPr>
              <w:jc w:val="center"/>
              <w:rPr>
                <w:b/>
                <w:bCs/>
                <w:noProof/>
              </w:rPr>
            </w:pPr>
            <w:r>
              <w:rPr>
                <w:b/>
                <w:noProof/>
              </w:rPr>
              <w:t>IT</w:t>
            </w:r>
          </w:p>
        </w:tc>
        <w:tc>
          <w:tcPr>
            <w:tcW w:w="1123" w:type="dxa"/>
          </w:tcPr>
          <w:p>
            <w:pPr>
              <w:jc w:val="right"/>
              <w:rPr>
                <w:noProof/>
              </w:rPr>
            </w:pPr>
            <w:r>
              <w:rPr>
                <w:noProof/>
              </w:rPr>
              <w:t>434</w:t>
            </w:r>
          </w:p>
        </w:tc>
        <w:tc>
          <w:tcPr>
            <w:tcW w:w="1275" w:type="dxa"/>
          </w:tcPr>
          <w:p>
            <w:pPr>
              <w:jc w:val="right"/>
              <w:rPr>
                <w:noProof/>
              </w:rPr>
            </w:pPr>
            <w:r>
              <w:rPr>
                <w:noProof/>
              </w:rPr>
              <w:t>551</w:t>
            </w:r>
          </w:p>
        </w:tc>
        <w:tc>
          <w:tcPr>
            <w:tcW w:w="1276" w:type="dxa"/>
          </w:tcPr>
          <w:p>
            <w:pPr>
              <w:jc w:val="right"/>
              <w:rPr>
                <w:noProof/>
              </w:rPr>
            </w:pPr>
            <w:r>
              <w:rPr>
                <w:noProof/>
              </w:rPr>
              <w:t>591</w:t>
            </w:r>
          </w:p>
        </w:tc>
        <w:tc>
          <w:tcPr>
            <w:tcW w:w="1463" w:type="dxa"/>
          </w:tcPr>
          <w:p>
            <w:pPr>
              <w:jc w:val="right"/>
              <w:rPr>
                <w:noProof/>
              </w:rPr>
            </w:pPr>
            <w:r>
              <w:rPr>
                <w:noProof/>
              </w:rPr>
              <w:t>1 576</w:t>
            </w:r>
          </w:p>
        </w:tc>
        <w:tc>
          <w:tcPr>
            <w:tcW w:w="2426" w:type="dxa"/>
            <w:vAlign w:val="bottom"/>
          </w:tcPr>
          <w:p>
            <w:pPr>
              <w:jc w:val="right"/>
              <w:rPr>
                <w:noProof/>
              </w:rPr>
            </w:pPr>
            <w:r>
              <w:rPr>
                <w:noProof/>
              </w:rPr>
              <w:t>4,43 %</w:t>
            </w:r>
          </w:p>
        </w:tc>
      </w:tr>
      <w:tr>
        <w:tc>
          <w:tcPr>
            <w:tcW w:w="1679" w:type="dxa"/>
            <w:shd w:val="clear" w:color="auto" w:fill="DBE5F1" w:themeFill="accent1" w:themeFillTint="33"/>
          </w:tcPr>
          <w:p>
            <w:pPr>
              <w:jc w:val="center"/>
              <w:rPr>
                <w:b/>
                <w:bCs/>
                <w:noProof/>
              </w:rPr>
            </w:pPr>
            <w:r>
              <w:rPr>
                <w:b/>
                <w:noProof/>
              </w:rPr>
              <w:t>CY</w:t>
            </w:r>
          </w:p>
        </w:tc>
        <w:tc>
          <w:tcPr>
            <w:tcW w:w="1123" w:type="dxa"/>
          </w:tcPr>
          <w:p>
            <w:pPr>
              <w:jc w:val="right"/>
              <w:rPr>
                <w:noProof/>
              </w:rPr>
            </w:pPr>
            <w:r>
              <w:rPr>
                <w:noProof/>
              </w:rPr>
              <w:t>2</w:t>
            </w:r>
          </w:p>
        </w:tc>
        <w:tc>
          <w:tcPr>
            <w:tcW w:w="1275" w:type="dxa"/>
          </w:tcPr>
          <w:p>
            <w:pPr>
              <w:jc w:val="right"/>
              <w:rPr>
                <w:noProof/>
              </w:rPr>
            </w:pPr>
            <w:r>
              <w:rPr>
                <w:noProof/>
              </w:rPr>
              <w:t>5</w:t>
            </w:r>
          </w:p>
        </w:tc>
        <w:tc>
          <w:tcPr>
            <w:tcW w:w="1276" w:type="dxa"/>
          </w:tcPr>
          <w:p>
            <w:pPr>
              <w:jc w:val="right"/>
              <w:rPr>
                <w:noProof/>
              </w:rPr>
            </w:pPr>
            <w:r>
              <w:rPr>
                <w:noProof/>
              </w:rPr>
              <w:t>6</w:t>
            </w:r>
          </w:p>
        </w:tc>
        <w:tc>
          <w:tcPr>
            <w:tcW w:w="1463" w:type="dxa"/>
          </w:tcPr>
          <w:p>
            <w:pPr>
              <w:jc w:val="right"/>
              <w:rPr>
                <w:noProof/>
              </w:rPr>
            </w:pPr>
            <w:r>
              <w:rPr>
                <w:noProof/>
              </w:rPr>
              <w:t>13</w:t>
            </w:r>
          </w:p>
        </w:tc>
        <w:tc>
          <w:tcPr>
            <w:tcW w:w="2426" w:type="dxa"/>
            <w:vAlign w:val="bottom"/>
          </w:tcPr>
          <w:p>
            <w:pPr>
              <w:jc w:val="right"/>
              <w:rPr>
                <w:noProof/>
              </w:rPr>
            </w:pPr>
            <w:r>
              <w:rPr>
                <w:noProof/>
              </w:rPr>
              <w:t>0,04 %</w:t>
            </w:r>
          </w:p>
        </w:tc>
      </w:tr>
      <w:tr>
        <w:tc>
          <w:tcPr>
            <w:tcW w:w="1679" w:type="dxa"/>
            <w:shd w:val="clear" w:color="auto" w:fill="DBE5F1" w:themeFill="accent1" w:themeFillTint="33"/>
          </w:tcPr>
          <w:p>
            <w:pPr>
              <w:jc w:val="center"/>
              <w:rPr>
                <w:b/>
                <w:bCs/>
                <w:noProof/>
              </w:rPr>
            </w:pPr>
            <w:r>
              <w:rPr>
                <w:b/>
                <w:noProof/>
              </w:rPr>
              <w:t>LV</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0</w:t>
            </w:r>
          </w:p>
        </w:tc>
        <w:tc>
          <w:tcPr>
            <w:tcW w:w="1463" w:type="dxa"/>
          </w:tcPr>
          <w:p>
            <w:pPr>
              <w:jc w:val="right"/>
              <w:rPr>
                <w:noProof/>
              </w:rPr>
            </w:pPr>
            <w:r>
              <w:rPr>
                <w:noProof/>
              </w:rPr>
              <w:t>2</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LT</w:t>
            </w:r>
          </w:p>
        </w:tc>
        <w:tc>
          <w:tcPr>
            <w:tcW w:w="1123" w:type="dxa"/>
          </w:tcPr>
          <w:p>
            <w:pPr>
              <w:jc w:val="right"/>
              <w:rPr>
                <w:noProof/>
              </w:rPr>
            </w:pPr>
            <w:r>
              <w:rPr>
                <w:noProof/>
              </w:rPr>
              <w:t>2</w:t>
            </w:r>
          </w:p>
        </w:tc>
        <w:tc>
          <w:tcPr>
            <w:tcW w:w="1275" w:type="dxa"/>
          </w:tcPr>
          <w:p>
            <w:pPr>
              <w:jc w:val="right"/>
              <w:rPr>
                <w:noProof/>
              </w:rPr>
            </w:pPr>
            <w:r>
              <w:rPr>
                <w:noProof/>
              </w:rPr>
              <w:t>3</w:t>
            </w:r>
          </w:p>
        </w:tc>
        <w:tc>
          <w:tcPr>
            <w:tcW w:w="1276" w:type="dxa"/>
          </w:tcPr>
          <w:p>
            <w:pPr>
              <w:jc w:val="right"/>
              <w:rPr>
                <w:noProof/>
              </w:rPr>
            </w:pPr>
            <w:r>
              <w:rPr>
                <w:noProof/>
              </w:rPr>
              <w:t>3</w:t>
            </w:r>
          </w:p>
        </w:tc>
        <w:tc>
          <w:tcPr>
            <w:tcW w:w="1463" w:type="dxa"/>
          </w:tcPr>
          <w:p>
            <w:pPr>
              <w:jc w:val="right"/>
              <w:rPr>
                <w:noProof/>
              </w:rPr>
            </w:pPr>
            <w:r>
              <w:rPr>
                <w:noProof/>
              </w:rPr>
              <w:t>8</w:t>
            </w:r>
          </w:p>
        </w:tc>
        <w:tc>
          <w:tcPr>
            <w:tcW w:w="2426" w:type="dxa"/>
            <w:vAlign w:val="bottom"/>
          </w:tcPr>
          <w:p>
            <w:pPr>
              <w:jc w:val="right"/>
              <w:rPr>
                <w:noProof/>
              </w:rPr>
            </w:pPr>
            <w:r>
              <w:rPr>
                <w:noProof/>
              </w:rPr>
              <w:t>0,13 %</w:t>
            </w:r>
          </w:p>
        </w:tc>
      </w:tr>
      <w:tr>
        <w:tc>
          <w:tcPr>
            <w:tcW w:w="1679" w:type="dxa"/>
            <w:shd w:val="clear" w:color="auto" w:fill="DBE5F1" w:themeFill="accent1" w:themeFillTint="33"/>
          </w:tcPr>
          <w:p>
            <w:pPr>
              <w:jc w:val="center"/>
              <w:rPr>
                <w:b/>
                <w:bCs/>
                <w:noProof/>
              </w:rPr>
            </w:pPr>
            <w:r>
              <w:rPr>
                <w:b/>
                <w:noProof/>
              </w:rPr>
              <w:t>LU</w:t>
            </w:r>
          </w:p>
        </w:tc>
        <w:tc>
          <w:tcPr>
            <w:tcW w:w="1123" w:type="dxa"/>
          </w:tcPr>
          <w:p>
            <w:pPr>
              <w:jc w:val="right"/>
              <w:rPr>
                <w:noProof/>
              </w:rPr>
            </w:pPr>
            <w:r>
              <w:rPr>
                <w:noProof/>
              </w:rPr>
              <w:t>0</w:t>
            </w:r>
          </w:p>
        </w:tc>
        <w:tc>
          <w:tcPr>
            <w:tcW w:w="1275" w:type="dxa"/>
          </w:tcPr>
          <w:p>
            <w:pPr>
              <w:jc w:val="right"/>
              <w:rPr>
                <w:noProof/>
              </w:rPr>
            </w:pPr>
            <w:r>
              <w:rPr>
                <w:noProof/>
              </w:rPr>
              <w:t>8</w:t>
            </w:r>
          </w:p>
        </w:tc>
        <w:tc>
          <w:tcPr>
            <w:tcW w:w="1276" w:type="dxa"/>
          </w:tcPr>
          <w:p>
            <w:pPr>
              <w:jc w:val="right"/>
              <w:rPr>
                <w:noProof/>
              </w:rPr>
            </w:pPr>
            <w:r>
              <w:rPr>
                <w:noProof/>
              </w:rPr>
              <w:t>23</w:t>
            </w:r>
          </w:p>
        </w:tc>
        <w:tc>
          <w:tcPr>
            <w:tcW w:w="1463" w:type="dxa"/>
          </w:tcPr>
          <w:p>
            <w:pPr>
              <w:jc w:val="right"/>
              <w:rPr>
                <w:noProof/>
              </w:rPr>
            </w:pPr>
            <w:r>
              <w:rPr>
                <w:noProof/>
              </w:rPr>
              <w:t>31</w:t>
            </w:r>
          </w:p>
        </w:tc>
        <w:tc>
          <w:tcPr>
            <w:tcW w:w="2426" w:type="dxa"/>
            <w:vAlign w:val="bottom"/>
          </w:tcPr>
          <w:p>
            <w:pPr>
              <w:jc w:val="right"/>
              <w:rPr>
                <w:noProof/>
              </w:rPr>
            </w:pPr>
            <w:r>
              <w:rPr>
                <w:noProof/>
              </w:rPr>
              <w:t>0,09 %</w:t>
            </w:r>
          </w:p>
        </w:tc>
      </w:tr>
      <w:tr>
        <w:tc>
          <w:tcPr>
            <w:tcW w:w="1679" w:type="dxa"/>
            <w:shd w:val="clear" w:color="auto" w:fill="DBE5F1" w:themeFill="accent1" w:themeFillTint="33"/>
          </w:tcPr>
          <w:p>
            <w:pPr>
              <w:jc w:val="center"/>
              <w:rPr>
                <w:b/>
                <w:bCs/>
                <w:noProof/>
              </w:rPr>
            </w:pPr>
            <w:r>
              <w:rPr>
                <w:b/>
                <w:noProof/>
              </w:rPr>
              <w:t>HU</w:t>
            </w:r>
          </w:p>
        </w:tc>
        <w:tc>
          <w:tcPr>
            <w:tcW w:w="1123" w:type="dxa"/>
          </w:tcPr>
          <w:p>
            <w:pPr>
              <w:jc w:val="right"/>
              <w:rPr>
                <w:noProof/>
              </w:rPr>
            </w:pPr>
            <w:r>
              <w:rPr>
                <w:noProof/>
              </w:rPr>
              <w:t>31</w:t>
            </w:r>
          </w:p>
        </w:tc>
        <w:tc>
          <w:tcPr>
            <w:tcW w:w="1275" w:type="dxa"/>
          </w:tcPr>
          <w:p>
            <w:pPr>
              <w:jc w:val="right"/>
              <w:rPr>
                <w:noProof/>
              </w:rPr>
            </w:pPr>
            <w:r>
              <w:rPr>
                <w:noProof/>
              </w:rPr>
              <w:t>17</w:t>
            </w:r>
          </w:p>
        </w:tc>
        <w:tc>
          <w:tcPr>
            <w:tcW w:w="1276" w:type="dxa"/>
          </w:tcPr>
          <w:p>
            <w:pPr>
              <w:jc w:val="right"/>
              <w:rPr>
                <w:noProof/>
              </w:rPr>
            </w:pPr>
            <w:r>
              <w:rPr>
                <w:noProof/>
              </w:rPr>
              <w:t>5</w:t>
            </w:r>
          </w:p>
        </w:tc>
        <w:tc>
          <w:tcPr>
            <w:tcW w:w="1463" w:type="dxa"/>
          </w:tcPr>
          <w:p>
            <w:pPr>
              <w:jc w:val="right"/>
              <w:rPr>
                <w:noProof/>
              </w:rPr>
            </w:pPr>
            <w:r>
              <w:rPr>
                <w:noProof/>
              </w:rPr>
              <w:t>53</w:t>
            </w:r>
          </w:p>
        </w:tc>
        <w:tc>
          <w:tcPr>
            <w:tcW w:w="2426" w:type="dxa"/>
            <w:vAlign w:val="bottom"/>
          </w:tcPr>
          <w:p>
            <w:pPr>
              <w:jc w:val="right"/>
              <w:rPr>
                <w:noProof/>
              </w:rPr>
            </w:pPr>
            <w:r>
              <w:rPr>
                <w:noProof/>
              </w:rPr>
              <w:t>0,15 %</w:t>
            </w:r>
          </w:p>
        </w:tc>
      </w:tr>
      <w:tr>
        <w:tc>
          <w:tcPr>
            <w:tcW w:w="1679" w:type="dxa"/>
            <w:shd w:val="clear" w:color="auto" w:fill="DBE5F1" w:themeFill="accent1" w:themeFillTint="33"/>
          </w:tcPr>
          <w:p>
            <w:pPr>
              <w:jc w:val="center"/>
              <w:rPr>
                <w:b/>
                <w:bCs/>
                <w:noProof/>
              </w:rPr>
            </w:pPr>
            <w:r>
              <w:rPr>
                <w:b/>
                <w:noProof/>
              </w:rPr>
              <w:t>MT</w:t>
            </w:r>
          </w:p>
        </w:tc>
        <w:tc>
          <w:tcPr>
            <w:tcW w:w="1123" w:type="dxa"/>
          </w:tcPr>
          <w:p>
            <w:pPr>
              <w:jc w:val="right"/>
              <w:rPr>
                <w:noProof/>
              </w:rPr>
            </w:pPr>
            <w:r>
              <w:rPr>
                <w:noProof/>
              </w:rPr>
              <w:t>22</w:t>
            </w:r>
          </w:p>
        </w:tc>
        <w:tc>
          <w:tcPr>
            <w:tcW w:w="1275" w:type="dxa"/>
          </w:tcPr>
          <w:p>
            <w:pPr>
              <w:jc w:val="right"/>
              <w:rPr>
                <w:noProof/>
              </w:rPr>
            </w:pPr>
            <w:r>
              <w:rPr>
                <w:noProof/>
              </w:rPr>
              <w:t>25</w:t>
            </w:r>
          </w:p>
        </w:tc>
        <w:tc>
          <w:tcPr>
            <w:tcW w:w="1276" w:type="dxa"/>
          </w:tcPr>
          <w:p>
            <w:pPr>
              <w:jc w:val="right"/>
              <w:rPr>
                <w:noProof/>
              </w:rPr>
            </w:pPr>
            <w:r>
              <w:rPr>
                <w:noProof/>
              </w:rPr>
              <w:t>29</w:t>
            </w:r>
          </w:p>
        </w:tc>
        <w:tc>
          <w:tcPr>
            <w:tcW w:w="1463" w:type="dxa"/>
          </w:tcPr>
          <w:p>
            <w:pPr>
              <w:jc w:val="right"/>
              <w:rPr>
                <w:noProof/>
              </w:rPr>
            </w:pPr>
            <w:r>
              <w:rPr>
                <w:noProof/>
              </w:rPr>
              <w:t>76</w:t>
            </w:r>
          </w:p>
        </w:tc>
        <w:tc>
          <w:tcPr>
            <w:tcW w:w="2426" w:type="dxa"/>
            <w:vAlign w:val="bottom"/>
          </w:tcPr>
          <w:p>
            <w:pPr>
              <w:jc w:val="right"/>
              <w:rPr>
                <w:noProof/>
              </w:rPr>
            </w:pPr>
            <w:r>
              <w:rPr>
                <w:noProof/>
              </w:rPr>
              <w:t>0,21 %</w:t>
            </w:r>
          </w:p>
        </w:tc>
      </w:tr>
      <w:tr>
        <w:tc>
          <w:tcPr>
            <w:tcW w:w="1679" w:type="dxa"/>
            <w:shd w:val="clear" w:color="auto" w:fill="DBE5F1" w:themeFill="accent1" w:themeFillTint="33"/>
          </w:tcPr>
          <w:p>
            <w:pPr>
              <w:jc w:val="center"/>
              <w:rPr>
                <w:b/>
                <w:bCs/>
                <w:noProof/>
              </w:rPr>
            </w:pPr>
            <w:r>
              <w:rPr>
                <w:b/>
                <w:noProof/>
              </w:rPr>
              <w:t>NL</w:t>
            </w:r>
          </w:p>
        </w:tc>
        <w:tc>
          <w:tcPr>
            <w:tcW w:w="1123" w:type="dxa"/>
          </w:tcPr>
          <w:p>
            <w:pPr>
              <w:jc w:val="right"/>
              <w:rPr>
                <w:noProof/>
              </w:rPr>
            </w:pPr>
            <w:r>
              <w:rPr>
                <w:noProof/>
              </w:rPr>
              <w:t>345</w:t>
            </w:r>
          </w:p>
        </w:tc>
        <w:tc>
          <w:tcPr>
            <w:tcW w:w="1275" w:type="dxa"/>
          </w:tcPr>
          <w:p>
            <w:pPr>
              <w:jc w:val="right"/>
              <w:rPr>
                <w:noProof/>
              </w:rPr>
            </w:pPr>
            <w:r>
              <w:rPr>
                <w:noProof/>
              </w:rPr>
              <w:t>361</w:t>
            </w:r>
          </w:p>
        </w:tc>
        <w:tc>
          <w:tcPr>
            <w:tcW w:w="1276" w:type="dxa"/>
          </w:tcPr>
          <w:p>
            <w:pPr>
              <w:jc w:val="right"/>
              <w:rPr>
                <w:noProof/>
              </w:rPr>
            </w:pPr>
            <w:r>
              <w:rPr>
                <w:noProof/>
              </w:rPr>
              <w:t>450</w:t>
            </w:r>
          </w:p>
        </w:tc>
        <w:tc>
          <w:tcPr>
            <w:tcW w:w="1463" w:type="dxa"/>
          </w:tcPr>
          <w:p>
            <w:pPr>
              <w:jc w:val="right"/>
              <w:rPr>
                <w:noProof/>
              </w:rPr>
            </w:pPr>
            <w:r>
              <w:rPr>
                <w:noProof/>
              </w:rPr>
              <w:t>1 156</w:t>
            </w:r>
          </w:p>
        </w:tc>
        <w:tc>
          <w:tcPr>
            <w:tcW w:w="2426" w:type="dxa"/>
            <w:vAlign w:val="bottom"/>
          </w:tcPr>
          <w:p>
            <w:pPr>
              <w:jc w:val="right"/>
              <w:rPr>
                <w:noProof/>
              </w:rPr>
            </w:pPr>
            <w:r>
              <w:rPr>
                <w:noProof/>
              </w:rPr>
              <w:t>3,25 %</w:t>
            </w:r>
          </w:p>
        </w:tc>
      </w:tr>
      <w:tr>
        <w:tc>
          <w:tcPr>
            <w:tcW w:w="1679" w:type="dxa"/>
            <w:shd w:val="clear" w:color="auto" w:fill="DBE5F1" w:themeFill="accent1" w:themeFillTint="33"/>
          </w:tcPr>
          <w:p>
            <w:pPr>
              <w:jc w:val="center"/>
              <w:rPr>
                <w:b/>
                <w:bCs/>
                <w:noProof/>
              </w:rPr>
            </w:pPr>
            <w:r>
              <w:rPr>
                <w:b/>
                <w:noProof/>
              </w:rPr>
              <w:t>AT</w:t>
            </w:r>
          </w:p>
        </w:tc>
        <w:tc>
          <w:tcPr>
            <w:tcW w:w="1123" w:type="dxa"/>
          </w:tcPr>
          <w:p>
            <w:pPr>
              <w:jc w:val="right"/>
              <w:rPr>
                <w:noProof/>
              </w:rPr>
            </w:pPr>
            <w:r>
              <w:rPr>
                <w:noProof/>
              </w:rPr>
              <w:t>670</w:t>
            </w:r>
          </w:p>
        </w:tc>
        <w:tc>
          <w:tcPr>
            <w:tcW w:w="1275" w:type="dxa"/>
          </w:tcPr>
          <w:p>
            <w:pPr>
              <w:jc w:val="right"/>
              <w:rPr>
                <w:noProof/>
              </w:rPr>
            </w:pPr>
            <w:r>
              <w:rPr>
                <w:noProof/>
              </w:rPr>
              <w:t>697</w:t>
            </w:r>
          </w:p>
        </w:tc>
        <w:tc>
          <w:tcPr>
            <w:tcW w:w="1276" w:type="dxa"/>
          </w:tcPr>
          <w:p>
            <w:pPr>
              <w:jc w:val="right"/>
              <w:rPr>
                <w:noProof/>
              </w:rPr>
            </w:pPr>
            <w:r>
              <w:rPr>
                <w:noProof/>
              </w:rPr>
              <w:t>625</w:t>
            </w:r>
          </w:p>
        </w:tc>
        <w:tc>
          <w:tcPr>
            <w:tcW w:w="1463" w:type="dxa"/>
          </w:tcPr>
          <w:p>
            <w:pPr>
              <w:jc w:val="right"/>
              <w:rPr>
                <w:noProof/>
              </w:rPr>
            </w:pPr>
            <w:r>
              <w:rPr>
                <w:noProof/>
              </w:rPr>
              <w:t>1 992</w:t>
            </w:r>
          </w:p>
        </w:tc>
        <w:tc>
          <w:tcPr>
            <w:tcW w:w="2426" w:type="dxa"/>
            <w:vAlign w:val="bottom"/>
          </w:tcPr>
          <w:p>
            <w:pPr>
              <w:jc w:val="right"/>
              <w:rPr>
                <w:noProof/>
              </w:rPr>
            </w:pPr>
            <w:r>
              <w:rPr>
                <w:noProof/>
              </w:rPr>
              <w:t>5,67 %</w:t>
            </w:r>
          </w:p>
        </w:tc>
      </w:tr>
      <w:tr>
        <w:tc>
          <w:tcPr>
            <w:tcW w:w="1679" w:type="dxa"/>
            <w:shd w:val="clear" w:color="auto" w:fill="DBE5F1" w:themeFill="accent1" w:themeFillTint="33"/>
          </w:tcPr>
          <w:p>
            <w:pPr>
              <w:jc w:val="center"/>
              <w:rPr>
                <w:b/>
                <w:bCs/>
                <w:noProof/>
              </w:rPr>
            </w:pPr>
            <w:r>
              <w:rPr>
                <w:b/>
                <w:noProof/>
              </w:rPr>
              <w:t>PL</w:t>
            </w:r>
          </w:p>
        </w:tc>
        <w:tc>
          <w:tcPr>
            <w:tcW w:w="1123" w:type="dxa"/>
          </w:tcPr>
          <w:p>
            <w:pPr>
              <w:jc w:val="right"/>
              <w:rPr>
                <w:noProof/>
              </w:rPr>
            </w:pPr>
            <w:r>
              <w:rPr>
                <w:noProof/>
              </w:rPr>
              <w:t>16</w:t>
            </w:r>
          </w:p>
        </w:tc>
        <w:tc>
          <w:tcPr>
            <w:tcW w:w="1275" w:type="dxa"/>
          </w:tcPr>
          <w:p>
            <w:pPr>
              <w:jc w:val="right"/>
              <w:rPr>
                <w:noProof/>
              </w:rPr>
            </w:pPr>
            <w:r>
              <w:rPr>
                <w:noProof/>
              </w:rPr>
              <w:t>16</w:t>
            </w:r>
          </w:p>
        </w:tc>
        <w:tc>
          <w:tcPr>
            <w:tcW w:w="1276" w:type="dxa"/>
          </w:tcPr>
          <w:p>
            <w:pPr>
              <w:jc w:val="right"/>
              <w:rPr>
                <w:noProof/>
              </w:rPr>
            </w:pPr>
            <w:r>
              <w:rPr>
                <w:noProof/>
              </w:rPr>
              <w:t>15</w:t>
            </w:r>
          </w:p>
        </w:tc>
        <w:tc>
          <w:tcPr>
            <w:tcW w:w="1463" w:type="dxa"/>
          </w:tcPr>
          <w:p>
            <w:pPr>
              <w:jc w:val="right"/>
              <w:rPr>
                <w:noProof/>
              </w:rPr>
            </w:pPr>
            <w:r>
              <w:rPr>
                <w:noProof/>
              </w:rPr>
              <w:t>47</w:t>
            </w:r>
          </w:p>
        </w:tc>
        <w:tc>
          <w:tcPr>
            <w:tcW w:w="2426" w:type="dxa"/>
            <w:vAlign w:val="bottom"/>
          </w:tcPr>
          <w:p>
            <w:pPr>
              <w:jc w:val="right"/>
              <w:rPr>
                <w:noProof/>
              </w:rPr>
            </w:pPr>
            <w:r>
              <w:rPr>
                <w:noProof/>
              </w:rPr>
              <w:t>0,13 %</w:t>
            </w:r>
          </w:p>
        </w:tc>
      </w:tr>
      <w:tr>
        <w:tc>
          <w:tcPr>
            <w:tcW w:w="1679" w:type="dxa"/>
            <w:shd w:val="clear" w:color="auto" w:fill="DBE5F1" w:themeFill="accent1" w:themeFillTint="33"/>
          </w:tcPr>
          <w:p>
            <w:pPr>
              <w:jc w:val="center"/>
              <w:rPr>
                <w:b/>
                <w:bCs/>
                <w:noProof/>
              </w:rPr>
            </w:pPr>
            <w:r>
              <w:rPr>
                <w:b/>
                <w:noProof/>
              </w:rPr>
              <w:t>PT</w:t>
            </w:r>
          </w:p>
        </w:tc>
        <w:tc>
          <w:tcPr>
            <w:tcW w:w="1123" w:type="dxa"/>
          </w:tcPr>
          <w:p>
            <w:pPr>
              <w:jc w:val="right"/>
              <w:rPr>
                <w:noProof/>
              </w:rPr>
            </w:pPr>
            <w:r>
              <w:rPr>
                <w:noProof/>
              </w:rPr>
              <w:t>573</w:t>
            </w:r>
          </w:p>
        </w:tc>
        <w:tc>
          <w:tcPr>
            <w:tcW w:w="1275" w:type="dxa"/>
          </w:tcPr>
          <w:p>
            <w:pPr>
              <w:jc w:val="right"/>
              <w:rPr>
                <w:noProof/>
              </w:rPr>
            </w:pPr>
            <w:r>
              <w:rPr>
                <w:noProof/>
              </w:rPr>
              <w:t>728</w:t>
            </w:r>
          </w:p>
        </w:tc>
        <w:tc>
          <w:tcPr>
            <w:tcW w:w="1276" w:type="dxa"/>
          </w:tcPr>
          <w:p>
            <w:pPr>
              <w:jc w:val="right"/>
              <w:rPr>
                <w:noProof/>
              </w:rPr>
            </w:pPr>
            <w:r>
              <w:rPr>
                <w:noProof/>
              </w:rPr>
              <w:t>559</w:t>
            </w:r>
          </w:p>
        </w:tc>
        <w:tc>
          <w:tcPr>
            <w:tcW w:w="1463" w:type="dxa"/>
          </w:tcPr>
          <w:p>
            <w:pPr>
              <w:jc w:val="right"/>
              <w:rPr>
                <w:noProof/>
              </w:rPr>
            </w:pPr>
            <w:r>
              <w:rPr>
                <w:noProof/>
              </w:rPr>
              <w:t>1 860</w:t>
            </w:r>
          </w:p>
        </w:tc>
        <w:tc>
          <w:tcPr>
            <w:tcW w:w="2426" w:type="dxa"/>
            <w:vAlign w:val="bottom"/>
          </w:tcPr>
          <w:p>
            <w:pPr>
              <w:jc w:val="right"/>
              <w:rPr>
                <w:noProof/>
              </w:rPr>
            </w:pPr>
            <w:r>
              <w:rPr>
                <w:noProof/>
              </w:rPr>
              <w:t>5,23 %</w:t>
            </w:r>
          </w:p>
        </w:tc>
      </w:tr>
      <w:tr>
        <w:tc>
          <w:tcPr>
            <w:tcW w:w="1679" w:type="dxa"/>
            <w:shd w:val="clear" w:color="auto" w:fill="DBE5F1" w:themeFill="accent1" w:themeFillTint="33"/>
          </w:tcPr>
          <w:p>
            <w:pPr>
              <w:jc w:val="center"/>
              <w:rPr>
                <w:b/>
                <w:bCs/>
                <w:noProof/>
              </w:rPr>
            </w:pPr>
            <w:r>
              <w:rPr>
                <w:b/>
                <w:noProof/>
              </w:rPr>
              <w:t>RO</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SI</w:t>
            </w:r>
          </w:p>
        </w:tc>
        <w:tc>
          <w:tcPr>
            <w:tcW w:w="1123" w:type="dxa"/>
          </w:tcPr>
          <w:p>
            <w:pPr>
              <w:jc w:val="right"/>
              <w:rPr>
                <w:noProof/>
              </w:rPr>
            </w:pPr>
            <w:r>
              <w:rPr>
                <w:noProof/>
              </w:rPr>
              <w:t>4</w:t>
            </w:r>
          </w:p>
        </w:tc>
        <w:tc>
          <w:tcPr>
            <w:tcW w:w="1275" w:type="dxa"/>
          </w:tcPr>
          <w:p>
            <w:pPr>
              <w:jc w:val="right"/>
              <w:rPr>
                <w:noProof/>
              </w:rPr>
            </w:pPr>
            <w:r>
              <w:rPr>
                <w:noProof/>
              </w:rPr>
              <w:t>1</w:t>
            </w:r>
          </w:p>
        </w:tc>
        <w:tc>
          <w:tcPr>
            <w:tcW w:w="1276" w:type="dxa"/>
          </w:tcPr>
          <w:p>
            <w:pPr>
              <w:jc w:val="right"/>
              <w:rPr>
                <w:noProof/>
              </w:rPr>
            </w:pPr>
            <w:r>
              <w:rPr>
                <w:noProof/>
              </w:rPr>
              <w:t>10</w:t>
            </w:r>
          </w:p>
        </w:tc>
        <w:tc>
          <w:tcPr>
            <w:tcW w:w="1463" w:type="dxa"/>
          </w:tcPr>
          <w:p>
            <w:pPr>
              <w:jc w:val="right"/>
              <w:rPr>
                <w:noProof/>
              </w:rPr>
            </w:pPr>
            <w:r>
              <w:rPr>
                <w:noProof/>
              </w:rPr>
              <w:t>15</w:t>
            </w:r>
          </w:p>
        </w:tc>
        <w:tc>
          <w:tcPr>
            <w:tcW w:w="2426" w:type="dxa"/>
            <w:vAlign w:val="bottom"/>
          </w:tcPr>
          <w:p>
            <w:pPr>
              <w:jc w:val="right"/>
              <w:rPr>
                <w:noProof/>
              </w:rPr>
            </w:pPr>
            <w:r>
              <w:rPr>
                <w:noProof/>
              </w:rPr>
              <w:t>0,04 %</w:t>
            </w:r>
          </w:p>
        </w:tc>
      </w:tr>
      <w:tr>
        <w:tc>
          <w:tcPr>
            <w:tcW w:w="1679" w:type="dxa"/>
            <w:shd w:val="clear" w:color="auto" w:fill="DBE5F1" w:themeFill="accent1" w:themeFillTint="33"/>
          </w:tcPr>
          <w:p>
            <w:pPr>
              <w:jc w:val="center"/>
              <w:rPr>
                <w:b/>
                <w:bCs/>
                <w:noProof/>
              </w:rPr>
            </w:pPr>
            <w:r>
              <w:rPr>
                <w:b/>
                <w:noProof/>
              </w:rPr>
              <w:t>SK</w:t>
            </w:r>
          </w:p>
        </w:tc>
        <w:tc>
          <w:tcPr>
            <w:tcW w:w="1123" w:type="dxa"/>
          </w:tcPr>
          <w:p>
            <w:pPr>
              <w:jc w:val="right"/>
              <w:rPr>
                <w:noProof/>
              </w:rPr>
            </w:pPr>
            <w:r>
              <w:rPr>
                <w:noProof/>
              </w:rPr>
              <w:t>3</w:t>
            </w:r>
          </w:p>
        </w:tc>
        <w:tc>
          <w:tcPr>
            <w:tcW w:w="1275" w:type="dxa"/>
          </w:tcPr>
          <w:p>
            <w:pPr>
              <w:jc w:val="right"/>
              <w:rPr>
                <w:noProof/>
              </w:rPr>
            </w:pPr>
            <w:r>
              <w:rPr>
                <w:noProof/>
              </w:rPr>
              <w:t>6</w:t>
            </w:r>
          </w:p>
        </w:tc>
        <w:tc>
          <w:tcPr>
            <w:tcW w:w="1276" w:type="dxa"/>
          </w:tcPr>
          <w:p>
            <w:pPr>
              <w:jc w:val="right"/>
              <w:rPr>
                <w:noProof/>
              </w:rPr>
            </w:pPr>
            <w:r>
              <w:rPr>
                <w:noProof/>
              </w:rPr>
              <w:t>2</w:t>
            </w:r>
          </w:p>
        </w:tc>
        <w:tc>
          <w:tcPr>
            <w:tcW w:w="1463" w:type="dxa"/>
          </w:tcPr>
          <w:p>
            <w:pPr>
              <w:jc w:val="right"/>
              <w:rPr>
                <w:noProof/>
              </w:rPr>
            </w:pPr>
            <w:r>
              <w:rPr>
                <w:noProof/>
              </w:rPr>
              <w:t>11</w:t>
            </w:r>
          </w:p>
        </w:tc>
        <w:tc>
          <w:tcPr>
            <w:tcW w:w="2426" w:type="dxa"/>
            <w:vAlign w:val="bottom"/>
          </w:tcPr>
          <w:p>
            <w:pPr>
              <w:jc w:val="right"/>
              <w:rPr>
                <w:noProof/>
              </w:rPr>
            </w:pPr>
            <w:r>
              <w:rPr>
                <w:noProof/>
              </w:rPr>
              <w:t>0,03 %</w:t>
            </w:r>
          </w:p>
        </w:tc>
      </w:tr>
      <w:tr>
        <w:tc>
          <w:tcPr>
            <w:tcW w:w="1679" w:type="dxa"/>
            <w:shd w:val="clear" w:color="auto" w:fill="DBE5F1" w:themeFill="accent1" w:themeFillTint="33"/>
          </w:tcPr>
          <w:p>
            <w:pPr>
              <w:jc w:val="center"/>
              <w:rPr>
                <w:b/>
                <w:bCs/>
                <w:noProof/>
              </w:rPr>
            </w:pPr>
            <w:r>
              <w:rPr>
                <w:b/>
                <w:noProof/>
              </w:rPr>
              <w:t>FI</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0,01 %</w:t>
            </w:r>
          </w:p>
        </w:tc>
      </w:tr>
      <w:tr>
        <w:tc>
          <w:tcPr>
            <w:tcW w:w="1679" w:type="dxa"/>
            <w:shd w:val="clear" w:color="auto" w:fill="DBE5F1" w:themeFill="accent1" w:themeFillTint="33"/>
          </w:tcPr>
          <w:p>
            <w:pPr>
              <w:jc w:val="center"/>
              <w:rPr>
                <w:b/>
                <w:bCs/>
                <w:noProof/>
              </w:rPr>
            </w:pPr>
            <w:r>
              <w:rPr>
                <w:b/>
                <w:noProof/>
              </w:rPr>
              <w:t>SE</w:t>
            </w:r>
          </w:p>
        </w:tc>
        <w:tc>
          <w:tcPr>
            <w:tcW w:w="1123" w:type="dxa"/>
          </w:tcPr>
          <w:p>
            <w:pPr>
              <w:jc w:val="right"/>
              <w:rPr>
                <w:noProof/>
              </w:rPr>
            </w:pPr>
            <w:r>
              <w:rPr>
                <w:noProof/>
              </w:rPr>
              <w:t>131</w:t>
            </w:r>
          </w:p>
        </w:tc>
        <w:tc>
          <w:tcPr>
            <w:tcW w:w="1275" w:type="dxa"/>
          </w:tcPr>
          <w:p>
            <w:pPr>
              <w:jc w:val="right"/>
              <w:rPr>
                <w:noProof/>
              </w:rPr>
            </w:pPr>
            <w:r>
              <w:rPr>
                <w:noProof/>
              </w:rPr>
              <w:t>121</w:t>
            </w:r>
          </w:p>
        </w:tc>
        <w:tc>
          <w:tcPr>
            <w:tcW w:w="1276" w:type="dxa"/>
          </w:tcPr>
          <w:p>
            <w:pPr>
              <w:jc w:val="right"/>
              <w:rPr>
                <w:noProof/>
              </w:rPr>
            </w:pPr>
            <w:r>
              <w:rPr>
                <w:noProof/>
              </w:rPr>
              <w:t>135</w:t>
            </w:r>
          </w:p>
        </w:tc>
        <w:tc>
          <w:tcPr>
            <w:tcW w:w="1463" w:type="dxa"/>
          </w:tcPr>
          <w:p>
            <w:pPr>
              <w:jc w:val="right"/>
              <w:rPr>
                <w:noProof/>
              </w:rPr>
            </w:pPr>
            <w:r>
              <w:rPr>
                <w:noProof/>
              </w:rPr>
              <w:t>387</w:t>
            </w:r>
          </w:p>
        </w:tc>
        <w:tc>
          <w:tcPr>
            <w:tcW w:w="2426" w:type="dxa"/>
            <w:vAlign w:val="bottom"/>
          </w:tcPr>
          <w:p>
            <w:pPr>
              <w:jc w:val="right"/>
              <w:rPr>
                <w:noProof/>
              </w:rPr>
            </w:pPr>
            <w:r>
              <w:rPr>
                <w:noProof/>
              </w:rPr>
              <w:t>1,09 %</w:t>
            </w:r>
          </w:p>
        </w:tc>
      </w:tr>
      <w:tr>
        <w:tc>
          <w:tcPr>
            <w:tcW w:w="1679" w:type="dxa"/>
            <w:shd w:val="clear" w:color="auto" w:fill="DBE5F1" w:themeFill="accent1" w:themeFillTint="33"/>
          </w:tcPr>
          <w:p>
            <w:pPr>
              <w:jc w:val="center"/>
              <w:rPr>
                <w:b/>
                <w:bCs/>
                <w:noProof/>
              </w:rPr>
            </w:pPr>
            <w:r>
              <w:rPr>
                <w:b/>
                <w:noProof/>
              </w:rPr>
              <w:t>Total</w:t>
            </w:r>
          </w:p>
        </w:tc>
        <w:tc>
          <w:tcPr>
            <w:tcW w:w="1123" w:type="dxa"/>
          </w:tcPr>
          <w:p>
            <w:pPr>
              <w:jc w:val="right"/>
              <w:rPr>
                <w:noProof/>
              </w:rPr>
            </w:pPr>
            <w:r>
              <w:rPr>
                <w:noProof/>
              </w:rPr>
              <w:t>11 286</w:t>
            </w:r>
          </w:p>
        </w:tc>
        <w:tc>
          <w:tcPr>
            <w:tcW w:w="1275" w:type="dxa"/>
          </w:tcPr>
          <w:p>
            <w:pPr>
              <w:jc w:val="right"/>
              <w:rPr>
                <w:noProof/>
              </w:rPr>
            </w:pPr>
            <w:r>
              <w:rPr>
                <w:noProof/>
              </w:rPr>
              <w:t>12 184</w:t>
            </w:r>
          </w:p>
        </w:tc>
        <w:tc>
          <w:tcPr>
            <w:tcW w:w="1276" w:type="dxa"/>
          </w:tcPr>
          <w:p>
            <w:pPr>
              <w:jc w:val="right"/>
              <w:rPr>
                <w:noProof/>
              </w:rPr>
            </w:pPr>
            <w:r>
              <w:rPr>
                <w:noProof/>
              </w:rPr>
              <w:t>11 644</w:t>
            </w:r>
          </w:p>
        </w:tc>
        <w:tc>
          <w:tcPr>
            <w:tcW w:w="1463" w:type="dxa"/>
          </w:tcPr>
          <w:p>
            <w:pPr>
              <w:jc w:val="right"/>
              <w:rPr>
                <w:noProof/>
              </w:rPr>
            </w:pPr>
            <w:r>
              <w:rPr>
                <w:noProof/>
              </w:rPr>
              <w:t>35 114</w:t>
            </w:r>
          </w:p>
        </w:tc>
        <w:tc>
          <w:tcPr>
            <w:tcW w:w="2426" w:type="dxa"/>
            <w:vAlign w:val="bottom"/>
          </w:tcPr>
          <w:p>
            <w:pPr>
              <w:jc w:val="right"/>
              <w:rPr>
                <w:noProof/>
              </w:rPr>
            </w:pPr>
            <w:r>
              <w:rPr>
                <w:noProof/>
              </w:rPr>
              <w:t>100,00 %</w:t>
            </w:r>
          </w:p>
        </w:tc>
      </w:tr>
    </w:tbl>
    <w:p>
      <w:pPr>
        <w:rPr>
          <w:noProof/>
        </w:rPr>
      </w:pPr>
    </w:p>
    <w:p>
      <w:pPr>
        <w:rPr>
          <w:noProof/>
        </w:rPr>
      </w:pPr>
      <w:r>
        <w:rPr>
          <w:noProof/>
        </w:rPr>
        <w:br w:type="page"/>
      </w:r>
      <w:r>
        <w:rPr>
          <w:noProof/>
        </w:rPr>
        <w:lastRenderedPageBreak/>
        <w:t>Tabelul 2. Licențe deschise specifice aflate în circulație</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noProof/>
              </w:rPr>
              <w:t>State membre</w:t>
            </w:r>
          </w:p>
        </w:tc>
        <w:tc>
          <w:tcPr>
            <w:tcW w:w="3674" w:type="dxa"/>
            <w:gridSpan w:val="3"/>
            <w:shd w:val="clear" w:color="auto" w:fill="DBE5F1" w:themeFill="accent1" w:themeFillTint="33"/>
            <w:vAlign w:val="center"/>
          </w:tcPr>
          <w:p>
            <w:pPr>
              <w:jc w:val="center"/>
              <w:rPr>
                <w:b/>
                <w:bCs/>
                <w:noProof/>
              </w:rPr>
            </w:pPr>
            <w:r>
              <w:rPr>
                <w:b/>
                <w:noProof/>
              </w:rPr>
              <w:t>Anul</w:t>
            </w:r>
          </w:p>
        </w:tc>
        <w:tc>
          <w:tcPr>
            <w:tcW w:w="1463" w:type="dxa"/>
            <w:vMerge w:val="restart"/>
            <w:shd w:val="clear" w:color="auto" w:fill="DBE5F1" w:themeFill="accent1" w:themeFillTint="33"/>
            <w:vAlign w:val="center"/>
          </w:tcPr>
          <w:p>
            <w:pPr>
              <w:jc w:val="center"/>
              <w:rPr>
                <w:b/>
                <w:bCs/>
                <w:noProof/>
              </w:rPr>
            </w:pPr>
            <w:r>
              <w:rPr>
                <w:b/>
                <w:noProof/>
              </w:rPr>
              <w:t>2021-2023</w:t>
            </w:r>
          </w:p>
        </w:tc>
        <w:tc>
          <w:tcPr>
            <w:tcW w:w="2426" w:type="dxa"/>
            <w:vMerge w:val="restart"/>
            <w:shd w:val="clear" w:color="auto" w:fill="DBE5F1" w:themeFill="accent1" w:themeFillTint="33"/>
            <w:vAlign w:val="center"/>
          </w:tcPr>
          <w:p>
            <w:pPr>
              <w:jc w:val="center"/>
              <w:rPr>
                <w:b/>
                <w:bCs/>
                <w:noProof/>
              </w:rPr>
            </w:pPr>
            <w:r>
              <w:rPr>
                <w:b/>
                <w:noProof/>
              </w:rPr>
              <w:t>Pondere din total în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noProof/>
              </w:rPr>
              <w:t>2021</w:t>
            </w:r>
          </w:p>
        </w:tc>
        <w:tc>
          <w:tcPr>
            <w:tcW w:w="1275" w:type="dxa"/>
            <w:shd w:val="clear" w:color="auto" w:fill="DBE5F1" w:themeFill="accent1" w:themeFillTint="33"/>
          </w:tcPr>
          <w:p>
            <w:pPr>
              <w:jc w:val="center"/>
              <w:rPr>
                <w:b/>
                <w:bCs/>
                <w:noProof/>
              </w:rPr>
            </w:pPr>
            <w:r>
              <w:rPr>
                <w:b/>
                <w:noProof/>
              </w:rPr>
              <w:t>2022</w:t>
            </w:r>
          </w:p>
        </w:tc>
        <w:tc>
          <w:tcPr>
            <w:tcW w:w="1276" w:type="dxa"/>
            <w:shd w:val="clear" w:color="auto" w:fill="DBE5F1" w:themeFill="accent1" w:themeFillTint="33"/>
          </w:tcPr>
          <w:p>
            <w:pPr>
              <w:jc w:val="center"/>
              <w:rPr>
                <w:b/>
                <w:bCs/>
                <w:noProof/>
              </w:rPr>
            </w:pPr>
            <w:r>
              <w:rPr>
                <w:b/>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noProof/>
              </w:rPr>
              <w:t>BE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BG</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DE</w:t>
            </w:r>
          </w:p>
        </w:tc>
        <w:tc>
          <w:tcPr>
            <w:tcW w:w="1123" w:type="dxa"/>
          </w:tcPr>
          <w:p>
            <w:pPr>
              <w:jc w:val="right"/>
              <w:rPr>
                <w:noProof/>
              </w:rPr>
            </w:pPr>
            <w:r>
              <w:rPr>
                <w:noProof/>
              </w:rPr>
              <w:t>619</w:t>
            </w:r>
          </w:p>
        </w:tc>
        <w:tc>
          <w:tcPr>
            <w:tcW w:w="1275" w:type="dxa"/>
          </w:tcPr>
          <w:p>
            <w:pPr>
              <w:jc w:val="right"/>
              <w:rPr>
                <w:noProof/>
              </w:rPr>
            </w:pPr>
            <w:r>
              <w:rPr>
                <w:noProof/>
              </w:rPr>
              <w:t>797</w:t>
            </w:r>
          </w:p>
        </w:tc>
        <w:tc>
          <w:tcPr>
            <w:tcW w:w="1276" w:type="dxa"/>
          </w:tcPr>
          <w:p>
            <w:pPr>
              <w:jc w:val="right"/>
              <w:rPr>
                <w:noProof/>
              </w:rPr>
            </w:pPr>
            <w:r>
              <w:rPr>
                <w:noProof/>
              </w:rPr>
              <w:t>882</w:t>
            </w:r>
          </w:p>
        </w:tc>
        <w:tc>
          <w:tcPr>
            <w:tcW w:w="1463" w:type="dxa"/>
            <w:vAlign w:val="bottom"/>
          </w:tcPr>
          <w:p>
            <w:pPr>
              <w:jc w:val="right"/>
              <w:rPr>
                <w:noProof/>
              </w:rPr>
            </w:pPr>
            <w:r>
              <w:rPr>
                <w:noProof/>
              </w:rPr>
              <w:t>2298</w:t>
            </w:r>
          </w:p>
        </w:tc>
        <w:tc>
          <w:tcPr>
            <w:tcW w:w="2426" w:type="dxa"/>
            <w:vAlign w:val="bottom"/>
          </w:tcPr>
          <w:p>
            <w:pPr>
              <w:jc w:val="right"/>
              <w:rPr>
                <w:noProof/>
              </w:rPr>
            </w:pPr>
            <w:r>
              <w:rPr>
                <w:noProof/>
              </w:rPr>
              <w:t>65,53 %</w:t>
            </w:r>
          </w:p>
        </w:tc>
      </w:tr>
      <w:tr>
        <w:tc>
          <w:tcPr>
            <w:tcW w:w="1679" w:type="dxa"/>
            <w:shd w:val="clear" w:color="auto" w:fill="DBE5F1" w:themeFill="accent1" w:themeFillTint="33"/>
          </w:tcPr>
          <w:p>
            <w:pPr>
              <w:jc w:val="center"/>
              <w:rPr>
                <w:b/>
                <w:bCs/>
                <w:noProof/>
              </w:rPr>
            </w:pPr>
            <w:r>
              <w:rPr>
                <w:b/>
                <w:noProof/>
              </w:rPr>
              <w:t>EE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EL</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4</w:t>
            </w:r>
          </w:p>
        </w:tc>
        <w:tc>
          <w:tcPr>
            <w:tcW w:w="1463" w:type="dxa"/>
          </w:tcPr>
          <w:p>
            <w:pPr>
              <w:jc w:val="right"/>
              <w:rPr>
                <w:noProof/>
              </w:rPr>
            </w:pPr>
            <w:r>
              <w:rPr>
                <w:noProof/>
              </w:rPr>
              <w:t>7</w:t>
            </w:r>
          </w:p>
        </w:tc>
        <w:tc>
          <w:tcPr>
            <w:tcW w:w="2426" w:type="dxa"/>
            <w:vAlign w:val="bottom"/>
          </w:tcPr>
          <w:p>
            <w:pPr>
              <w:jc w:val="right"/>
              <w:rPr>
                <w:noProof/>
              </w:rPr>
            </w:pPr>
            <w:r>
              <w:rPr>
                <w:noProof/>
              </w:rPr>
              <w:t>0,20 %</w:t>
            </w:r>
          </w:p>
        </w:tc>
      </w:tr>
      <w:tr>
        <w:tc>
          <w:tcPr>
            <w:tcW w:w="1679" w:type="dxa"/>
            <w:shd w:val="clear" w:color="auto" w:fill="DBE5F1" w:themeFill="accent1" w:themeFillTint="33"/>
          </w:tcPr>
          <w:p>
            <w:pPr>
              <w:jc w:val="center"/>
              <w:rPr>
                <w:b/>
                <w:bCs/>
                <w:noProof/>
              </w:rPr>
            </w:pPr>
            <w:r>
              <w:rPr>
                <w:b/>
                <w:noProof/>
              </w:rPr>
              <w:t>ES</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FR</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0,06 %</w:t>
            </w:r>
          </w:p>
        </w:tc>
      </w:tr>
      <w:tr>
        <w:tc>
          <w:tcPr>
            <w:tcW w:w="1679" w:type="dxa"/>
            <w:shd w:val="clear" w:color="auto" w:fill="DBE5F1" w:themeFill="accent1" w:themeFillTint="33"/>
          </w:tcPr>
          <w:p>
            <w:pPr>
              <w:jc w:val="center"/>
              <w:rPr>
                <w:b/>
                <w:bCs/>
                <w:noProof/>
              </w:rPr>
            </w:pPr>
            <w:r>
              <w:rPr>
                <w:b/>
                <w:noProof/>
              </w:rPr>
              <w:t>HR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MT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NL</w:t>
            </w:r>
          </w:p>
        </w:tc>
        <w:tc>
          <w:tcPr>
            <w:tcW w:w="1123" w:type="dxa"/>
          </w:tcPr>
          <w:p>
            <w:pPr>
              <w:jc w:val="right"/>
              <w:rPr>
                <w:noProof/>
              </w:rPr>
            </w:pPr>
            <w:r>
              <w:rPr>
                <w:noProof/>
              </w:rPr>
              <w:t>324</w:t>
            </w:r>
          </w:p>
        </w:tc>
        <w:tc>
          <w:tcPr>
            <w:tcW w:w="1275" w:type="dxa"/>
          </w:tcPr>
          <w:p>
            <w:pPr>
              <w:jc w:val="right"/>
              <w:rPr>
                <w:noProof/>
              </w:rPr>
            </w:pPr>
            <w:r>
              <w:rPr>
                <w:noProof/>
              </w:rPr>
              <w:t>348</w:t>
            </w:r>
          </w:p>
        </w:tc>
        <w:tc>
          <w:tcPr>
            <w:tcW w:w="1276" w:type="dxa"/>
          </w:tcPr>
          <w:p>
            <w:pPr>
              <w:jc w:val="right"/>
              <w:rPr>
                <w:noProof/>
              </w:rPr>
            </w:pPr>
            <w:r>
              <w:rPr>
                <w:noProof/>
              </w:rPr>
              <w:t>461</w:t>
            </w:r>
          </w:p>
        </w:tc>
        <w:tc>
          <w:tcPr>
            <w:tcW w:w="1463" w:type="dxa"/>
          </w:tcPr>
          <w:p>
            <w:pPr>
              <w:jc w:val="right"/>
              <w:rPr>
                <w:noProof/>
              </w:rPr>
            </w:pPr>
            <w:r>
              <w:rPr>
                <w:noProof/>
              </w:rPr>
              <w:t>1 133</w:t>
            </w:r>
          </w:p>
        </w:tc>
        <w:tc>
          <w:tcPr>
            <w:tcW w:w="2426" w:type="dxa"/>
            <w:vAlign w:val="bottom"/>
          </w:tcPr>
          <w:p>
            <w:pPr>
              <w:jc w:val="right"/>
              <w:rPr>
                <w:noProof/>
              </w:rPr>
            </w:pPr>
            <w:r>
              <w:rPr>
                <w:noProof/>
              </w:rPr>
              <w:t>32,31 %</w:t>
            </w:r>
          </w:p>
        </w:tc>
      </w:tr>
      <w:tr>
        <w:tc>
          <w:tcPr>
            <w:tcW w:w="1679" w:type="dxa"/>
            <w:shd w:val="clear" w:color="auto" w:fill="DBE5F1" w:themeFill="accent1" w:themeFillTint="33"/>
          </w:tcPr>
          <w:p>
            <w:pPr>
              <w:jc w:val="center"/>
              <w:rPr>
                <w:b/>
                <w:bCs/>
                <w:noProof/>
              </w:rPr>
            </w:pPr>
            <w:r>
              <w:rPr>
                <w:b/>
                <w:noProof/>
              </w:rPr>
              <w:t>AT</w:t>
            </w:r>
          </w:p>
        </w:tc>
        <w:tc>
          <w:tcPr>
            <w:tcW w:w="1123" w:type="dxa"/>
          </w:tcPr>
          <w:p>
            <w:pPr>
              <w:jc w:val="right"/>
              <w:rPr>
                <w:noProof/>
              </w:rPr>
            </w:pPr>
            <w:r>
              <w:rPr>
                <w:noProof/>
              </w:rPr>
              <w:t>15</w:t>
            </w:r>
          </w:p>
        </w:tc>
        <w:tc>
          <w:tcPr>
            <w:tcW w:w="1275" w:type="dxa"/>
          </w:tcPr>
          <w:p>
            <w:pPr>
              <w:jc w:val="right"/>
              <w:rPr>
                <w:noProof/>
              </w:rPr>
            </w:pPr>
            <w:r>
              <w:rPr>
                <w:noProof/>
              </w:rPr>
              <w:t>17</w:t>
            </w:r>
          </w:p>
        </w:tc>
        <w:tc>
          <w:tcPr>
            <w:tcW w:w="1276" w:type="dxa"/>
          </w:tcPr>
          <w:p>
            <w:pPr>
              <w:jc w:val="right"/>
              <w:rPr>
                <w:noProof/>
              </w:rPr>
            </w:pPr>
            <w:r>
              <w:rPr>
                <w:noProof/>
              </w:rPr>
              <w:t>25</w:t>
            </w:r>
          </w:p>
        </w:tc>
        <w:tc>
          <w:tcPr>
            <w:tcW w:w="1463" w:type="dxa"/>
          </w:tcPr>
          <w:p>
            <w:pPr>
              <w:jc w:val="right"/>
              <w:rPr>
                <w:noProof/>
              </w:rPr>
            </w:pPr>
            <w:r>
              <w:rPr>
                <w:noProof/>
              </w:rPr>
              <w:t>57</w:t>
            </w:r>
          </w:p>
        </w:tc>
        <w:tc>
          <w:tcPr>
            <w:tcW w:w="2426" w:type="dxa"/>
            <w:vAlign w:val="bottom"/>
          </w:tcPr>
          <w:p>
            <w:pPr>
              <w:jc w:val="right"/>
              <w:rPr>
                <w:noProof/>
              </w:rPr>
            </w:pPr>
            <w:r>
              <w:rPr>
                <w:noProof/>
              </w:rPr>
              <w:t>1,63 %</w:t>
            </w:r>
          </w:p>
        </w:tc>
      </w:tr>
      <w:tr>
        <w:tc>
          <w:tcPr>
            <w:tcW w:w="1679" w:type="dxa"/>
            <w:shd w:val="clear" w:color="auto" w:fill="DBE5F1" w:themeFill="accent1" w:themeFillTint="33"/>
          </w:tcPr>
          <w:p>
            <w:pPr>
              <w:jc w:val="center"/>
              <w:rPr>
                <w:b/>
                <w:bCs/>
                <w:noProof/>
              </w:rPr>
            </w:pPr>
            <w:r>
              <w:rPr>
                <w:b/>
                <w:noProof/>
              </w:rPr>
              <w:t>PL</w:t>
            </w:r>
          </w:p>
        </w:tc>
        <w:tc>
          <w:tcPr>
            <w:tcW w:w="1123" w:type="dxa"/>
          </w:tcPr>
          <w:p>
            <w:pPr>
              <w:jc w:val="right"/>
              <w:rPr>
                <w:noProof/>
              </w:rPr>
            </w:pPr>
            <w:r>
              <w:rPr>
                <w:noProof/>
              </w:rPr>
              <w:t>0</w:t>
            </w:r>
          </w:p>
        </w:tc>
        <w:tc>
          <w:tcPr>
            <w:tcW w:w="1275" w:type="dxa"/>
          </w:tcPr>
          <w:p>
            <w:pPr>
              <w:jc w:val="right"/>
              <w:rPr>
                <w:noProof/>
              </w:rPr>
            </w:pPr>
            <w:r>
              <w:rPr>
                <w:noProof/>
              </w:rPr>
              <w:t>8</w:t>
            </w:r>
          </w:p>
        </w:tc>
        <w:tc>
          <w:tcPr>
            <w:tcW w:w="1276" w:type="dxa"/>
          </w:tcPr>
          <w:p>
            <w:pPr>
              <w:jc w:val="right"/>
              <w:rPr>
                <w:noProof/>
              </w:rPr>
            </w:pPr>
            <w:r>
              <w:rPr>
                <w:noProof/>
              </w:rPr>
              <w:t>2</w:t>
            </w:r>
          </w:p>
        </w:tc>
        <w:tc>
          <w:tcPr>
            <w:tcW w:w="1463" w:type="dxa"/>
          </w:tcPr>
          <w:p>
            <w:pPr>
              <w:jc w:val="right"/>
              <w:rPr>
                <w:noProof/>
              </w:rPr>
            </w:pPr>
            <w:r>
              <w:rPr>
                <w:noProof/>
              </w:rPr>
              <w:t>10</w:t>
            </w:r>
          </w:p>
        </w:tc>
        <w:tc>
          <w:tcPr>
            <w:tcW w:w="2426" w:type="dxa"/>
            <w:vAlign w:val="bottom"/>
          </w:tcPr>
          <w:p>
            <w:pPr>
              <w:jc w:val="right"/>
              <w:rPr>
                <w:noProof/>
              </w:rPr>
            </w:pPr>
            <w:r>
              <w:rPr>
                <w:noProof/>
              </w:rPr>
              <w:t>0,29 %</w:t>
            </w:r>
          </w:p>
        </w:tc>
      </w:tr>
      <w:tr>
        <w:tc>
          <w:tcPr>
            <w:tcW w:w="1679" w:type="dxa"/>
            <w:shd w:val="clear" w:color="auto" w:fill="DBE5F1" w:themeFill="accent1" w:themeFillTint="33"/>
          </w:tcPr>
          <w:p>
            <w:pPr>
              <w:jc w:val="center"/>
              <w:rPr>
                <w:b/>
                <w:bCs/>
                <w:noProof/>
              </w:rPr>
            </w:pPr>
            <w:r>
              <w:rPr>
                <w:b/>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FI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Total</w:t>
            </w:r>
          </w:p>
        </w:tc>
        <w:tc>
          <w:tcPr>
            <w:tcW w:w="1123" w:type="dxa"/>
          </w:tcPr>
          <w:p>
            <w:pPr>
              <w:jc w:val="right"/>
              <w:rPr>
                <w:noProof/>
              </w:rPr>
            </w:pPr>
            <w:r>
              <w:rPr>
                <w:noProof/>
              </w:rPr>
              <w:t>959</w:t>
            </w:r>
          </w:p>
        </w:tc>
        <w:tc>
          <w:tcPr>
            <w:tcW w:w="1275" w:type="dxa"/>
          </w:tcPr>
          <w:p>
            <w:pPr>
              <w:jc w:val="right"/>
              <w:rPr>
                <w:noProof/>
              </w:rPr>
            </w:pPr>
            <w:r>
              <w:rPr>
                <w:noProof/>
              </w:rPr>
              <w:t>1 173</w:t>
            </w:r>
          </w:p>
        </w:tc>
        <w:tc>
          <w:tcPr>
            <w:tcW w:w="1276" w:type="dxa"/>
          </w:tcPr>
          <w:p>
            <w:pPr>
              <w:jc w:val="right"/>
              <w:rPr>
                <w:noProof/>
              </w:rPr>
            </w:pPr>
            <w:r>
              <w:rPr>
                <w:noProof/>
              </w:rPr>
              <w:t>1 375</w:t>
            </w:r>
          </w:p>
        </w:tc>
        <w:tc>
          <w:tcPr>
            <w:tcW w:w="1463" w:type="dxa"/>
          </w:tcPr>
          <w:p>
            <w:pPr>
              <w:jc w:val="right"/>
              <w:rPr>
                <w:noProof/>
              </w:rPr>
            </w:pPr>
            <w:r>
              <w:rPr>
                <w:noProof/>
              </w:rPr>
              <w:t>3 507</w:t>
            </w:r>
          </w:p>
        </w:tc>
        <w:tc>
          <w:tcPr>
            <w:tcW w:w="2426" w:type="dxa"/>
            <w:vAlign w:val="bottom"/>
          </w:tcPr>
          <w:p>
            <w:pPr>
              <w:jc w:val="right"/>
              <w:rPr>
                <w:noProof/>
              </w:rPr>
            </w:pPr>
            <w:r>
              <w:rPr>
                <w:noProof/>
              </w:rPr>
              <w:t>100 %</w:t>
            </w:r>
          </w:p>
        </w:tc>
      </w:tr>
    </w:tbl>
    <w:p>
      <w:pPr>
        <w:rPr>
          <w:noProof/>
        </w:rPr>
      </w:pPr>
      <w:r>
        <w:rPr>
          <w:noProof/>
        </w:rPr>
        <w:br w:type="page"/>
      </w:r>
    </w:p>
    <w:p>
      <w:pPr>
        <w:rPr>
          <w:noProof/>
        </w:rPr>
      </w:pPr>
      <w:r>
        <w:rPr>
          <w:noProof/>
        </w:rPr>
        <w:lastRenderedPageBreak/>
        <w:t>Tabelul 3. Licențe deschise generale aflate în circulație</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noProof/>
              </w:rPr>
              <w:t>State membre</w:t>
            </w:r>
          </w:p>
        </w:tc>
        <w:tc>
          <w:tcPr>
            <w:tcW w:w="3674" w:type="dxa"/>
            <w:gridSpan w:val="3"/>
            <w:shd w:val="clear" w:color="auto" w:fill="DBE5F1" w:themeFill="accent1" w:themeFillTint="33"/>
            <w:vAlign w:val="center"/>
          </w:tcPr>
          <w:p>
            <w:pPr>
              <w:jc w:val="center"/>
              <w:rPr>
                <w:b/>
                <w:bCs/>
                <w:noProof/>
              </w:rPr>
            </w:pPr>
            <w:r>
              <w:rPr>
                <w:b/>
                <w:noProof/>
              </w:rPr>
              <w:t>Anul</w:t>
            </w:r>
          </w:p>
        </w:tc>
        <w:tc>
          <w:tcPr>
            <w:tcW w:w="1463" w:type="dxa"/>
            <w:vMerge w:val="restart"/>
            <w:shd w:val="clear" w:color="auto" w:fill="DBE5F1" w:themeFill="accent1" w:themeFillTint="33"/>
            <w:vAlign w:val="center"/>
          </w:tcPr>
          <w:p>
            <w:pPr>
              <w:jc w:val="center"/>
              <w:rPr>
                <w:b/>
                <w:bCs/>
                <w:noProof/>
              </w:rPr>
            </w:pPr>
            <w:r>
              <w:rPr>
                <w:b/>
                <w:noProof/>
              </w:rPr>
              <w:t>2021-2023</w:t>
            </w:r>
          </w:p>
        </w:tc>
        <w:tc>
          <w:tcPr>
            <w:tcW w:w="2426" w:type="dxa"/>
            <w:vMerge w:val="restart"/>
            <w:shd w:val="clear" w:color="auto" w:fill="DBE5F1" w:themeFill="accent1" w:themeFillTint="33"/>
            <w:vAlign w:val="center"/>
          </w:tcPr>
          <w:p>
            <w:pPr>
              <w:jc w:val="center"/>
              <w:rPr>
                <w:b/>
                <w:bCs/>
                <w:noProof/>
              </w:rPr>
            </w:pPr>
            <w:r>
              <w:rPr>
                <w:b/>
                <w:noProof/>
              </w:rPr>
              <w:t>Pondere din total în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noProof/>
              </w:rPr>
              <w:t>2021</w:t>
            </w:r>
          </w:p>
        </w:tc>
        <w:tc>
          <w:tcPr>
            <w:tcW w:w="1275" w:type="dxa"/>
            <w:shd w:val="clear" w:color="auto" w:fill="DBE5F1" w:themeFill="accent1" w:themeFillTint="33"/>
          </w:tcPr>
          <w:p>
            <w:pPr>
              <w:jc w:val="center"/>
              <w:rPr>
                <w:b/>
                <w:bCs/>
                <w:noProof/>
              </w:rPr>
            </w:pPr>
            <w:r>
              <w:rPr>
                <w:b/>
                <w:noProof/>
              </w:rPr>
              <w:t>2022</w:t>
            </w:r>
          </w:p>
        </w:tc>
        <w:tc>
          <w:tcPr>
            <w:tcW w:w="1276" w:type="dxa"/>
            <w:shd w:val="clear" w:color="auto" w:fill="DBE5F1" w:themeFill="accent1" w:themeFillTint="33"/>
          </w:tcPr>
          <w:p>
            <w:pPr>
              <w:jc w:val="center"/>
              <w:rPr>
                <w:b/>
                <w:bCs/>
                <w:noProof/>
              </w:rPr>
            </w:pPr>
            <w:r>
              <w:rPr>
                <w:b/>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noProof/>
              </w:rPr>
              <w:t>BE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BG</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5</w:t>
            </w:r>
          </w:p>
        </w:tc>
        <w:tc>
          <w:tcPr>
            <w:tcW w:w="1463" w:type="dxa"/>
          </w:tcPr>
          <w:p>
            <w:pPr>
              <w:jc w:val="right"/>
              <w:rPr>
                <w:noProof/>
              </w:rPr>
            </w:pPr>
            <w:r>
              <w:rPr>
                <w:noProof/>
              </w:rPr>
              <w:t>6</w:t>
            </w:r>
          </w:p>
        </w:tc>
        <w:tc>
          <w:tcPr>
            <w:tcW w:w="2426" w:type="dxa"/>
            <w:vAlign w:val="bottom"/>
          </w:tcPr>
          <w:p>
            <w:pPr>
              <w:jc w:val="right"/>
              <w:rPr>
                <w:noProof/>
              </w:rPr>
            </w:pPr>
            <w:r>
              <w:rPr>
                <w:noProof/>
              </w:rPr>
              <w:t>0,50 %</w:t>
            </w:r>
          </w:p>
        </w:tc>
      </w:tr>
      <w:tr>
        <w:tc>
          <w:tcPr>
            <w:tcW w:w="1679" w:type="dxa"/>
            <w:shd w:val="clear" w:color="auto" w:fill="DBE5F1" w:themeFill="accent1" w:themeFillTint="33"/>
          </w:tcPr>
          <w:p>
            <w:pPr>
              <w:jc w:val="center"/>
              <w:rPr>
                <w:b/>
                <w:bCs/>
                <w:noProof/>
              </w:rPr>
            </w:pPr>
            <w:r>
              <w:rPr>
                <w:b/>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DE</w:t>
            </w:r>
          </w:p>
        </w:tc>
        <w:tc>
          <w:tcPr>
            <w:tcW w:w="1123" w:type="dxa"/>
          </w:tcPr>
          <w:p>
            <w:pPr>
              <w:jc w:val="right"/>
              <w:rPr>
                <w:noProof/>
              </w:rPr>
            </w:pPr>
            <w:r>
              <w:rPr>
                <w:noProof/>
              </w:rPr>
              <w:t>199</w:t>
            </w:r>
          </w:p>
        </w:tc>
        <w:tc>
          <w:tcPr>
            <w:tcW w:w="1275" w:type="dxa"/>
          </w:tcPr>
          <w:p>
            <w:pPr>
              <w:jc w:val="right"/>
              <w:rPr>
                <w:noProof/>
              </w:rPr>
            </w:pPr>
            <w:r>
              <w:rPr>
                <w:noProof/>
              </w:rPr>
              <w:t>189</w:t>
            </w:r>
          </w:p>
        </w:tc>
        <w:tc>
          <w:tcPr>
            <w:tcW w:w="1276" w:type="dxa"/>
          </w:tcPr>
          <w:p>
            <w:pPr>
              <w:jc w:val="right"/>
              <w:rPr>
                <w:noProof/>
              </w:rPr>
            </w:pPr>
            <w:r>
              <w:rPr>
                <w:noProof/>
              </w:rPr>
              <w:t>176</w:t>
            </w:r>
          </w:p>
        </w:tc>
        <w:tc>
          <w:tcPr>
            <w:tcW w:w="1463" w:type="dxa"/>
          </w:tcPr>
          <w:p>
            <w:pPr>
              <w:jc w:val="right"/>
              <w:rPr>
                <w:noProof/>
              </w:rPr>
            </w:pPr>
            <w:r>
              <w:rPr>
                <w:noProof/>
              </w:rPr>
              <w:t>564</w:t>
            </w:r>
          </w:p>
        </w:tc>
        <w:tc>
          <w:tcPr>
            <w:tcW w:w="2426" w:type="dxa"/>
            <w:vAlign w:val="bottom"/>
          </w:tcPr>
          <w:p>
            <w:pPr>
              <w:jc w:val="right"/>
              <w:rPr>
                <w:noProof/>
              </w:rPr>
            </w:pPr>
            <w:r>
              <w:rPr>
                <w:noProof/>
              </w:rPr>
              <w:t>46,73 %</w:t>
            </w:r>
          </w:p>
        </w:tc>
      </w:tr>
      <w:tr>
        <w:tc>
          <w:tcPr>
            <w:tcW w:w="1679" w:type="dxa"/>
            <w:shd w:val="clear" w:color="auto" w:fill="DBE5F1" w:themeFill="accent1" w:themeFillTint="33"/>
          </w:tcPr>
          <w:p>
            <w:pPr>
              <w:jc w:val="center"/>
              <w:rPr>
                <w:b/>
                <w:bCs/>
                <w:noProof/>
              </w:rPr>
            </w:pPr>
            <w:r>
              <w:rPr>
                <w:b/>
                <w:noProof/>
              </w:rPr>
              <w:t>EE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EL</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5</w:t>
            </w:r>
          </w:p>
        </w:tc>
        <w:tc>
          <w:tcPr>
            <w:tcW w:w="1463" w:type="dxa"/>
          </w:tcPr>
          <w:p>
            <w:pPr>
              <w:jc w:val="right"/>
              <w:rPr>
                <w:noProof/>
              </w:rPr>
            </w:pPr>
            <w:r>
              <w:rPr>
                <w:noProof/>
              </w:rPr>
              <w:t>8</w:t>
            </w:r>
          </w:p>
        </w:tc>
        <w:tc>
          <w:tcPr>
            <w:tcW w:w="2426" w:type="dxa"/>
            <w:vAlign w:val="bottom"/>
          </w:tcPr>
          <w:p>
            <w:pPr>
              <w:jc w:val="right"/>
              <w:rPr>
                <w:noProof/>
              </w:rPr>
            </w:pPr>
            <w:r>
              <w:rPr>
                <w:noProof/>
              </w:rPr>
              <w:t>0,66 %</w:t>
            </w:r>
          </w:p>
        </w:tc>
      </w:tr>
      <w:tr>
        <w:tc>
          <w:tcPr>
            <w:tcW w:w="1679" w:type="dxa"/>
            <w:shd w:val="clear" w:color="auto" w:fill="DBE5F1" w:themeFill="accent1" w:themeFillTint="33"/>
          </w:tcPr>
          <w:p>
            <w:pPr>
              <w:jc w:val="center"/>
              <w:rPr>
                <w:b/>
                <w:bCs/>
                <w:noProof/>
              </w:rPr>
            </w:pPr>
            <w:r>
              <w:rPr>
                <w:b/>
                <w:noProof/>
              </w:rPr>
              <w:t>ES</w:t>
            </w:r>
          </w:p>
        </w:tc>
        <w:tc>
          <w:tcPr>
            <w:tcW w:w="1123" w:type="dxa"/>
          </w:tcPr>
          <w:p>
            <w:pPr>
              <w:jc w:val="right"/>
              <w:rPr>
                <w:noProof/>
              </w:rPr>
            </w:pPr>
            <w:r>
              <w:rPr>
                <w:noProof/>
              </w:rPr>
              <w:t>149</w:t>
            </w:r>
          </w:p>
        </w:tc>
        <w:tc>
          <w:tcPr>
            <w:tcW w:w="1275" w:type="dxa"/>
          </w:tcPr>
          <w:p>
            <w:pPr>
              <w:jc w:val="right"/>
              <w:rPr>
                <w:noProof/>
              </w:rPr>
            </w:pPr>
            <w:r>
              <w:rPr>
                <w:noProof/>
              </w:rPr>
              <w:t>187</w:t>
            </w:r>
          </w:p>
        </w:tc>
        <w:tc>
          <w:tcPr>
            <w:tcW w:w="1276" w:type="dxa"/>
          </w:tcPr>
          <w:p>
            <w:pPr>
              <w:jc w:val="right"/>
              <w:rPr>
                <w:noProof/>
              </w:rPr>
            </w:pPr>
            <w:r>
              <w:rPr>
                <w:noProof/>
              </w:rPr>
              <w:t>170</w:t>
            </w:r>
          </w:p>
        </w:tc>
        <w:tc>
          <w:tcPr>
            <w:tcW w:w="1463" w:type="dxa"/>
          </w:tcPr>
          <w:p>
            <w:pPr>
              <w:jc w:val="right"/>
              <w:rPr>
                <w:noProof/>
              </w:rPr>
            </w:pPr>
            <w:r>
              <w:rPr>
                <w:noProof/>
              </w:rPr>
              <w:t>506</w:t>
            </w:r>
          </w:p>
        </w:tc>
        <w:tc>
          <w:tcPr>
            <w:tcW w:w="2426" w:type="dxa"/>
            <w:vAlign w:val="bottom"/>
          </w:tcPr>
          <w:p>
            <w:pPr>
              <w:jc w:val="right"/>
              <w:rPr>
                <w:noProof/>
              </w:rPr>
            </w:pPr>
            <w:r>
              <w:rPr>
                <w:noProof/>
              </w:rPr>
              <w:t>41,92 %</w:t>
            </w:r>
          </w:p>
        </w:tc>
      </w:tr>
      <w:tr>
        <w:tc>
          <w:tcPr>
            <w:tcW w:w="1679" w:type="dxa"/>
            <w:shd w:val="clear" w:color="auto" w:fill="DBE5F1" w:themeFill="accent1" w:themeFillTint="33"/>
          </w:tcPr>
          <w:p>
            <w:pPr>
              <w:jc w:val="center"/>
              <w:rPr>
                <w:b/>
                <w:bCs/>
                <w:noProof/>
              </w:rPr>
            </w:pPr>
            <w:r>
              <w:rPr>
                <w:b/>
                <w:noProof/>
              </w:rPr>
              <w:t>FR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HR</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0</w:t>
            </w:r>
          </w:p>
        </w:tc>
        <w:tc>
          <w:tcPr>
            <w:tcW w:w="1463" w:type="dxa"/>
          </w:tcPr>
          <w:p>
            <w:pPr>
              <w:jc w:val="right"/>
              <w:rPr>
                <w:noProof/>
              </w:rPr>
            </w:pPr>
            <w:r>
              <w:rPr>
                <w:noProof/>
              </w:rPr>
              <w:t>3</w:t>
            </w:r>
          </w:p>
        </w:tc>
        <w:tc>
          <w:tcPr>
            <w:tcW w:w="2426" w:type="dxa"/>
            <w:vAlign w:val="bottom"/>
          </w:tcPr>
          <w:p>
            <w:pPr>
              <w:jc w:val="right"/>
              <w:rPr>
                <w:noProof/>
              </w:rPr>
            </w:pPr>
            <w:r>
              <w:rPr>
                <w:noProof/>
              </w:rPr>
              <w:t>0,25 %</w:t>
            </w:r>
          </w:p>
        </w:tc>
      </w:tr>
      <w:tr>
        <w:tc>
          <w:tcPr>
            <w:tcW w:w="1679" w:type="dxa"/>
            <w:shd w:val="clear" w:color="auto" w:fill="DBE5F1" w:themeFill="accent1" w:themeFillTint="33"/>
          </w:tcPr>
          <w:p>
            <w:pPr>
              <w:jc w:val="center"/>
              <w:rPr>
                <w:b/>
                <w:bCs/>
                <w:noProof/>
              </w:rPr>
            </w:pPr>
            <w:r>
              <w:rPr>
                <w:b/>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HU</w:t>
            </w:r>
          </w:p>
        </w:tc>
        <w:tc>
          <w:tcPr>
            <w:tcW w:w="1123" w:type="dxa"/>
          </w:tcPr>
          <w:p>
            <w:pPr>
              <w:jc w:val="right"/>
              <w:rPr>
                <w:noProof/>
              </w:rPr>
            </w:pPr>
            <w:r>
              <w:rPr>
                <w:noProof/>
              </w:rPr>
              <w:t>0</w:t>
            </w:r>
          </w:p>
        </w:tc>
        <w:tc>
          <w:tcPr>
            <w:tcW w:w="1275" w:type="dxa"/>
          </w:tcPr>
          <w:p>
            <w:pPr>
              <w:jc w:val="right"/>
              <w:rPr>
                <w:noProof/>
              </w:rPr>
            </w:pPr>
            <w:r>
              <w:rPr>
                <w:noProof/>
              </w:rPr>
              <w:t>4</w:t>
            </w:r>
          </w:p>
        </w:tc>
        <w:tc>
          <w:tcPr>
            <w:tcW w:w="1276" w:type="dxa"/>
          </w:tcPr>
          <w:p>
            <w:pPr>
              <w:jc w:val="right"/>
              <w:rPr>
                <w:noProof/>
              </w:rPr>
            </w:pPr>
            <w:r>
              <w:rPr>
                <w:noProof/>
              </w:rPr>
              <w:t>9</w:t>
            </w:r>
          </w:p>
        </w:tc>
        <w:tc>
          <w:tcPr>
            <w:tcW w:w="1463" w:type="dxa"/>
          </w:tcPr>
          <w:p>
            <w:pPr>
              <w:jc w:val="right"/>
              <w:rPr>
                <w:noProof/>
              </w:rPr>
            </w:pPr>
            <w:r>
              <w:rPr>
                <w:noProof/>
              </w:rPr>
              <w:t>13</w:t>
            </w:r>
          </w:p>
        </w:tc>
        <w:tc>
          <w:tcPr>
            <w:tcW w:w="2426" w:type="dxa"/>
            <w:vAlign w:val="bottom"/>
          </w:tcPr>
          <w:p>
            <w:pPr>
              <w:jc w:val="right"/>
              <w:rPr>
                <w:noProof/>
              </w:rPr>
            </w:pPr>
            <w:r>
              <w:rPr>
                <w:noProof/>
              </w:rPr>
              <w:t>1,08 %</w:t>
            </w:r>
          </w:p>
        </w:tc>
      </w:tr>
      <w:tr>
        <w:tc>
          <w:tcPr>
            <w:tcW w:w="1679" w:type="dxa"/>
            <w:shd w:val="clear" w:color="auto" w:fill="DBE5F1" w:themeFill="accent1" w:themeFillTint="33"/>
          </w:tcPr>
          <w:p>
            <w:pPr>
              <w:jc w:val="center"/>
              <w:rPr>
                <w:b/>
                <w:bCs/>
                <w:noProof/>
              </w:rPr>
            </w:pPr>
            <w:r>
              <w:rPr>
                <w:b/>
                <w:noProof/>
              </w:rPr>
              <w:t>MT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NL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AT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PL</w:t>
            </w:r>
          </w:p>
        </w:tc>
        <w:tc>
          <w:tcPr>
            <w:tcW w:w="1123" w:type="dxa"/>
          </w:tcPr>
          <w:p>
            <w:pPr>
              <w:jc w:val="right"/>
              <w:rPr>
                <w:noProof/>
              </w:rPr>
            </w:pPr>
            <w:r>
              <w:rPr>
                <w:noProof/>
              </w:rPr>
              <w:t>6</w:t>
            </w:r>
          </w:p>
        </w:tc>
        <w:tc>
          <w:tcPr>
            <w:tcW w:w="1275" w:type="dxa"/>
          </w:tcPr>
          <w:p>
            <w:pPr>
              <w:jc w:val="right"/>
              <w:rPr>
                <w:noProof/>
              </w:rPr>
            </w:pPr>
            <w:r>
              <w:rPr>
                <w:noProof/>
              </w:rPr>
              <w:t>3</w:t>
            </w:r>
          </w:p>
        </w:tc>
        <w:tc>
          <w:tcPr>
            <w:tcW w:w="1276" w:type="dxa"/>
          </w:tcPr>
          <w:p>
            <w:pPr>
              <w:jc w:val="right"/>
              <w:rPr>
                <w:noProof/>
              </w:rPr>
            </w:pPr>
            <w:r>
              <w:rPr>
                <w:noProof/>
              </w:rPr>
              <w:t>4</w:t>
            </w:r>
          </w:p>
        </w:tc>
        <w:tc>
          <w:tcPr>
            <w:tcW w:w="1463" w:type="dxa"/>
          </w:tcPr>
          <w:p>
            <w:pPr>
              <w:jc w:val="right"/>
              <w:rPr>
                <w:noProof/>
              </w:rPr>
            </w:pPr>
            <w:r>
              <w:rPr>
                <w:noProof/>
              </w:rPr>
              <w:t>13</w:t>
            </w:r>
          </w:p>
        </w:tc>
        <w:tc>
          <w:tcPr>
            <w:tcW w:w="2426" w:type="dxa"/>
            <w:vAlign w:val="bottom"/>
          </w:tcPr>
          <w:p>
            <w:pPr>
              <w:jc w:val="right"/>
              <w:rPr>
                <w:noProof/>
              </w:rPr>
            </w:pPr>
            <w:r>
              <w:rPr>
                <w:noProof/>
              </w:rPr>
              <w:t>1,08 %</w:t>
            </w:r>
          </w:p>
        </w:tc>
      </w:tr>
      <w:tr>
        <w:tc>
          <w:tcPr>
            <w:tcW w:w="1679" w:type="dxa"/>
            <w:shd w:val="clear" w:color="auto" w:fill="DBE5F1" w:themeFill="accent1" w:themeFillTint="33"/>
          </w:tcPr>
          <w:p>
            <w:pPr>
              <w:jc w:val="center"/>
              <w:rPr>
                <w:b/>
                <w:bCs/>
                <w:noProof/>
              </w:rPr>
            </w:pPr>
            <w:r>
              <w:rPr>
                <w:b/>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SI</w:t>
            </w:r>
          </w:p>
        </w:tc>
        <w:tc>
          <w:tcPr>
            <w:tcW w:w="1123" w:type="dxa"/>
          </w:tcPr>
          <w:p>
            <w:pPr>
              <w:jc w:val="right"/>
              <w:rPr>
                <w:noProof/>
              </w:rPr>
            </w:pPr>
            <w:r>
              <w:rPr>
                <w:noProof/>
              </w:rPr>
              <w:t>16</w:t>
            </w:r>
          </w:p>
        </w:tc>
        <w:tc>
          <w:tcPr>
            <w:tcW w:w="1275" w:type="dxa"/>
          </w:tcPr>
          <w:p>
            <w:pPr>
              <w:jc w:val="right"/>
              <w:rPr>
                <w:noProof/>
              </w:rPr>
            </w:pPr>
            <w:r>
              <w:rPr>
                <w:noProof/>
              </w:rPr>
              <w:t>22</w:t>
            </w:r>
          </w:p>
        </w:tc>
        <w:tc>
          <w:tcPr>
            <w:tcW w:w="1276" w:type="dxa"/>
          </w:tcPr>
          <w:p>
            <w:pPr>
              <w:jc w:val="right"/>
              <w:rPr>
                <w:noProof/>
              </w:rPr>
            </w:pPr>
            <w:r>
              <w:rPr>
                <w:noProof/>
              </w:rPr>
              <w:t>31</w:t>
            </w:r>
          </w:p>
        </w:tc>
        <w:tc>
          <w:tcPr>
            <w:tcW w:w="1463" w:type="dxa"/>
          </w:tcPr>
          <w:p>
            <w:pPr>
              <w:jc w:val="right"/>
              <w:rPr>
                <w:noProof/>
              </w:rPr>
            </w:pPr>
            <w:r>
              <w:rPr>
                <w:noProof/>
              </w:rPr>
              <w:t>69</w:t>
            </w:r>
          </w:p>
        </w:tc>
        <w:tc>
          <w:tcPr>
            <w:tcW w:w="2426" w:type="dxa"/>
            <w:vAlign w:val="bottom"/>
          </w:tcPr>
          <w:p>
            <w:pPr>
              <w:jc w:val="right"/>
              <w:rPr>
                <w:noProof/>
              </w:rPr>
            </w:pPr>
            <w:r>
              <w:rPr>
                <w:noProof/>
              </w:rPr>
              <w:t>5,72 %</w:t>
            </w:r>
          </w:p>
        </w:tc>
      </w:tr>
      <w:tr>
        <w:tc>
          <w:tcPr>
            <w:tcW w:w="1679" w:type="dxa"/>
            <w:shd w:val="clear" w:color="auto" w:fill="DBE5F1" w:themeFill="accent1" w:themeFillTint="33"/>
          </w:tcPr>
          <w:p>
            <w:pPr>
              <w:jc w:val="center"/>
              <w:rPr>
                <w:b/>
                <w:bCs/>
                <w:noProof/>
              </w:rPr>
            </w:pPr>
            <w:r>
              <w:rPr>
                <w:b/>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FI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SE</w:t>
            </w:r>
          </w:p>
        </w:tc>
        <w:tc>
          <w:tcPr>
            <w:tcW w:w="1123" w:type="dxa"/>
          </w:tcPr>
          <w:p>
            <w:pPr>
              <w:jc w:val="right"/>
              <w:rPr>
                <w:noProof/>
              </w:rPr>
            </w:pPr>
            <w:r>
              <w:rPr>
                <w:noProof/>
              </w:rPr>
              <w:t>9</w:t>
            </w:r>
          </w:p>
        </w:tc>
        <w:tc>
          <w:tcPr>
            <w:tcW w:w="1275" w:type="dxa"/>
          </w:tcPr>
          <w:p>
            <w:pPr>
              <w:jc w:val="right"/>
              <w:rPr>
                <w:noProof/>
              </w:rPr>
            </w:pPr>
            <w:r>
              <w:rPr>
                <w:noProof/>
              </w:rPr>
              <w:t>9</w:t>
            </w:r>
          </w:p>
        </w:tc>
        <w:tc>
          <w:tcPr>
            <w:tcW w:w="1276" w:type="dxa"/>
          </w:tcPr>
          <w:p>
            <w:pPr>
              <w:jc w:val="right"/>
              <w:rPr>
                <w:noProof/>
              </w:rPr>
            </w:pPr>
            <w:r>
              <w:rPr>
                <w:noProof/>
              </w:rPr>
              <w:t>7</w:t>
            </w:r>
          </w:p>
        </w:tc>
        <w:tc>
          <w:tcPr>
            <w:tcW w:w="1463" w:type="dxa"/>
          </w:tcPr>
          <w:p>
            <w:pPr>
              <w:jc w:val="right"/>
              <w:rPr>
                <w:noProof/>
              </w:rPr>
            </w:pPr>
            <w:r>
              <w:rPr>
                <w:noProof/>
              </w:rPr>
              <w:t>25</w:t>
            </w:r>
          </w:p>
        </w:tc>
        <w:tc>
          <w:tcPr>
            <w:tcW w:w="2426" w:type="dxa"/>
            <w:vAlign w:val="bottom"/>
          </w:tcPr>
          <w:p>
            <w:pPr>
              <w:jc w:val="right"/>
              <w:rPr>
                <w:noProof/>
              </w:rPr>
            </w:pPr>
            <w:r>
              <w:rPr>
                <w:noProof/>
              </w:rPr>
              <w:t>2,07 %</w:t>
            </w:r>
          </w:p>
        </w:tc>
      </w:tr>
      <w:tr>
        <w:tc>
          <w:tcPr>
            <w:tcW w:w="1679" w:type="dxa"/>
            <w:shd w:val="clear" w:color="auto" w:fill="DBE5F1" w:themeFill="accent1" w:themeFillTint="33"/>
          </w:tcPr>
          <w:p>
            <w:pPr>
              <w:jc w:val="center"/>
              <w:rPr>
                <w:b/>
                <w:bCs/>
                <w:noProof/>
              </w:rPr>
            </w:pPr>
            <w:r>
              <w:rPr>
                <w:b/>
                <w:noProof/>
              </w:rPr>
              <w:t>Total</w:t>
            </w:r>
          </w:p>
        </w:tc>
        <w:tc>
          <w:tcPr>
            <w:tcW w:w="1123" w:type="dxa"/>
          </w:tcPr>
          <w:p>
            <w:pPr>
              <w:jc w:val="right"/>
              <w:rPr>
                <w:noProof/>
              </w:rPr>
            </w:pPr>
            <w:r>
              <w:rPr>
                <w:noProof/>
              </w:rPr>
              <w:t>381</w:t>
            </w:r>
          </w:p>
        </w:tc>
        <w:tc>
          <w:tcPr>
            <w:tcW w:w="1275" w:type="dxa"/>
          </w:tcPr>
          <w:p>
            <w:pPr>
              <w:jc w:val="right"/>
              <w:rPr>
                <w:noProof/>
              </w:rPr>
            </w:pPr>
            <w:r>
              <w:rPr>
                <w:noProof/>
              </w:rPr>
              <w:t>419</w:t>
            </w:r>
          </w:p>
        </w:tc>
        <w:tc>
          <w:tcPr>
            <w:tcW w:w="1276" w:type="dxa"/>
          </w:tcPr>
          <w:p>
            <w:pPr>
              <w:jc w:val="right"/>
              <w:rPr>
                <w:noProof/>
              </w:rPr>
            </w:pPr>
            <w:r>
              <w:rPr>
                <w:noProof/>
              </w:rPr>
              <w:t>407</w:t>
            </w:r>
          </w:p>
        </w:tc>
        <w:tc>
          <w:tcPr>
            <w:tcW w:w="1463" w:type="dxa"/>
          </w:tcPr>
          <w:p>
            <w:pPr>
              <w:jc w:val="right"/>
              <w:rPr>
                <w:noProof/>
              </w:rPr>
            </w:pPr>
            <w:r>
              <w:rPr>
                <w:noProof/>
              </w:rPr>
              <w:t>1 207</w:t>
            </w:r>
          </w:p>
        </w:tc>
        <w:tc>
          <w:tcPr>
            <w:tcW w:w="2426" w:type="dxa"/>
            <w:vAlign w:val="bottom"/>
          </w:tcPr>
          <w:p>
            <w:pPr>
              <w:jc w:val="right"/>
              <w:rPr>
                <w:noProof/>
              </w:rPr>
            </w:pPr>
            <w:r>
              <w:rPr>
                <w:noProof/>
              </w:rPr>
              <w:t>100,00 %</w:t>
            </w:r>
          </w:p>
        </w:tc>
      </w:tr>
    </w:tbl>
    <w:p>
      <w:pPr>
        <w:rPr>
          <w:bCs/>
          <w:noProof/>
        </w:rPr>
      </w:pPr>
      <w:r>
        <w:rPr>
          <w:noProof/>
        </w:rPr>
        <w:br w:type="page"/>
      </w:r>
    </w:p>
    <w:p>
      <w:pPr>
        <w:rPr>
          <w:noProof/>
        </w:rPr>
      </w:pPr>
      <w:r>
        <w:rPr>
          <w:noProof/>
        </w:rPr>
        <w:lastRenderedPageBreak/>
        <w:t>Tabelul 4. Cereri de licențe normale respinse</w:t>
      </w:r>
    </w:p>
    <w:p>
      <w:pPr>
        <w:rPr>
          <w:noProof/>
          <w:sz w:val="22"/>
          <w:szCs w:val="22"/>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noProof/>
              </w:rPr>
              <w:t>State membre</w:t>
            </w:r>
          </w:p>
        </w:tc>
        <w:tc>
          <w:tcPr>
            <w:tcW w:w="3674" w:type="dxa"/>
            <w:gridSpan w:val="3"/>
            <w:shd w:val="clear" w:color="auto" w:fill="DBE5F1" w:themeFill="accent1" w:themeFillTint="33"/>
            <w:vAlign w:val="center"/>
          </w:tcPr>
          <w:p>
            <w:pPr>
              <w:jc w:val="center"/>
              <w:rPr>
                <w:b/>
                <w:bCs/>
                <w:noProof/>
              </w:rPr>
            </w:pPr>
            <w:r>
              <w:rPr>
                <w:b/>
                <w:noProof/>
              </w:rPr>
              <w:t>Anul</w:t>
            </w:r>
          </w:p>
        </w:tc>
        <w:tc>
          <w:tcPr>
            <w:tcW w:w="1463" w:type="dxa"/>
            <w:vMerge w:val="restart"/>
            <w:shd w:val="clear" w:color="auto" w:fill="DBE5F1" w:themeFill="accent1" w:themeFillTint="33"/>
            <w:vAlign w:val="center"/>
          </w:tcPr>
          <w:p>
            <w:pPr>
              <w:jc w:val="center"/>
              <w:rPr>
                <w:b/>
                <w:bCs/>
                <w:noProof/>
              </w:rPr>
            </w:pPr>
            <w:r>
              <w:rPr>
                <w:b/>
                <w:noProof/>
              </w:rPr>
              <w:t>2021-2023</w:t>
            </w:r>
          </w:p>
        </w:tc>
        <w:tc>
          <w:tcPr>
            <w:tcW w:w="2426" w:type="dxa"/>
            <w:vMerge w:val="restart"/>
            <w:shd w:val="clear" w:color="auto" w:fill="DBE5F1" w:themeFill="accent1" w:themeFillTint="33"/>
            <w:vAlign w:val="center"/>
          </w:tcPr>
          <w:p>
            <w:pPr>
              <w:jc w:val="center"/>
              <w:rPr>
                <w:b/>
                <w:bCs/>
                <w:noProof/>
              </w:rPr>
            </w:pPr>
            <w:r>
              <w:rPr>
                <w:b/>
                <w:noProof/>
              </w:rPr>
              <w:t>Pondere din total în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noProof/>
              </w:rPr>
              <w:t>2021</w:t>
            </w:r>
          </w:p>
        </w:tc>
        <w:tc>
          <w:tcPr>
            <w:tcW w:w="1275" w:type="dxa"/>
            <w:shd w:val="clear" w:color="auto" w:fill="DBE5F1" w:themeFill="accent1" w:themeFillTint="33"/>
          </w:tcPr>
          <w:p>
            <w:pPr>
              <w:jc w:val="center"/>
              <w:rPr>
                <w:b/>
                <w:bCs/>
                <w:noProof/>
              </w:rPr>
            </w:pPr>
            <w:r>
              <w:rPr>
                <w:b/>
                <w:noProof/>
              </w:rPr>
              <w:t>2022</w:t>
            </w:r>
          </w:p>
        </w:tc>
        <w:tc>
          <w:tcPr>
            <w:tcW w:w="1276" w:type="dxa"/>
            <w:shd w:val="clear" w:color="auto" w:fill="DBE5F1" w:themeFill="accent1" w:themeFillTint="33"/>
          </w:tcPr>
          <w:p>
            <w:pPr>
              <w:jc w:val="center"/>
              <w:rPr>
                <w:b/>
                <w:bCs/>
                <w:noProof/>
              </w:rPr>
            </w:pPr>
            <w:r>
              <w:rPr>
                <w:b/>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noProof/>
              </w:rPr>
              <w:t>BE</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2</w:t>
            </w:r>
          </w:p>
        </w:tc>
        <w:tc>
          <w:tcPr>
            <w:tcW w:w="1463" w:type="dxa"/>
          </w:tcPr>
          <w:p>
            <w:pPr>
              <w:jc w:val="right"/>
              <w:rPr>
                <w:noProof/>
              </w:rPr>
            </w:pPr>
            <w:r>
              <w:rPr>
                <w:noProof/>
              </w:rPr>
              <w:t>5</w:t>
            </w:r>
          </w:p>
        </w:tc>
        <w:tc>
          <w:tcPr>
            <w:tcW w:w="2426" w:type="dxa"/>
            <w:vAlign w:val="bottom"/>
          </w:tcPr>
          <w:p>
            <w:pPr>
              <w:jc w:val="right"/>
              <w:rPr>
                <w:noProof/>
              </w:rPr>
            </w:pPr>
            <w:r>
              <w:rPr>
                <w:noProof/>
              </w:rPr>
              <w:t>0,99 %</w:t>
            </w:r>
          </w:p>
        </w:tc>
      </w:tr>
      <w:tr>
        <w:tc>
          <w:tcPr>
            <w:tcW w:w="1679" w:type="dxa"/>
            <w:shd w:val="clear" w:color="auto" w:fill="DBE5F1" w:themeFill="accent1" w:themeFillTint="33"/>
          </w:tcPr>
          <w:p>
            <w:pPr>
              <w:jc w:val="center"/>
              <w:rPr>
                <w:b/>
                <w:bCs/>
                <w:noProof/>
              </w:rPr>
            </w:pPr>
            <w:r>
              <w:rPr>
                <w:b/>
                <w:noProof/>
              </w:rPr>
              <w:t>BG</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DE</w:t>
            </w:r>
          </w:p>
        </w:tc>
        <w:tc>
          <w:tcPr>
            <w:tcW w:w="1123" w:type="dxa"/>
          </w:tcPr>
          <w:p>
            <w:pPr>
              <w:jc w:val="right"/>
              <w:rPr>
                <w:noProof/>
              </w:rPr>
            </w:pPr>
            <w:r>
              <w:rPr>
                <w:noProof/>
              </w:rPr>
              <w:t>3</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5</w:t>
            </w:r>
          </w:p>
        </w:tc>
        <w:tc>
          <w:tcPr>
            <w:tcW w:w="2426" w:type="dxa"/>
            <w:vAlign w:val="bottom"/>
          </w:tcPr>
          <w:p>
            <w:pPr>
              <w:jc w:val="right"/>
              <w:rPr>
                <w:noProof/>
              </w:rPr>
            </w:pPr>
            <w:r>
              <w:rPr>
                <w:noProof/>
              </w:rPr>
              <w:t>0,99 %</w:t>
            </w:r>
          </w:p>
        </w:tc>
      </w:tr>
      <w:tr>
        <w:tc>
          <w:tcPr>
            <w:tcW w:w="1679" w:type="dxa"/>
            <w:shd w:val="clear" w:color="auto" w:fill="DBE5F1" w:themeFill="accent1" w:themeFillTint="33"/>
          </w:tcPr>
          <w:p>
            <w:pPr>
              <w:jc w:val="center"/>
              <w:rPr>
                <w:b/>
                <w:bCs/>
                <w:noProof/>
              </w:rPr>
            </w:pPr>
            <w:r>
              <w:rPr>
                <w:b/>
                <w:noProof/>
              </w:rPr>
              <w:t>EE</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0,40 %</w:t>
            </w:r>
          </w:p>
        </w:tc>
      </w:tr>
      <w:tr>
        <w:tc>
          <w:tcPr>
            <w:tcW w:w="1679" w:type="dxa"/>
            <w:shd w:val="clear" w:color="auto" w:fill="DBE5F1" w:themeFill="accent1" w:themeFillTint="33"/>
          </w:tcPr>
          <w:p>
            <w:pPr>
              <w:jc w:val="center"/>
              <w:rPr>
                <w:b/>
                <w:bCs/>
                <w:noProof/>
              </w:rPr>
            </w:pPr>
            <w:r>
              <w:rPr>
                <w:b/>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EL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ES</w:t>
            </w:r>
          </w:p>
        </w:tc>
        <w:tc>
          <w:tcPr>
            <w:tcW w:w="1123" w:type="dxa"/>
          </w:tcPr>
          <w:p>
            <w:pPr>
              <w:jc w:val="right"/>
              <w:rPr>
                <w:noProof/>
              </w:rPr>
            </w:pPr>
            <w:r>
              <w:rPr>
                <w:noProof/>
              </w:rPr>
              <w:t>136</w:t>
            </w:r>
          </w:p>
        </w:tc>
        <w:tc>
          <w:tcPr>
            <w:tcW w:w="1275" w:type="dxa"/>
          </w:tcPr>
          <w:p>
            <w:pPr>
              <w:jc w:val="right"/>
              <w:rPr>
                <w:noProof/>
              </w:rPr>
            </w:pPr>
            <w:r>
              <w:rPr>
                <w:noProof/>
              </w:rPr>
              <w:t>170</w:t>
            </w:r>
          </w:p>
        </w:tc>
        <w:tc>
          <w:tcPr>
            <w:tcW w:w="1276" w:type="dxa"/>
          </w:tcPr>
          <w:p>
            <w:pPr>
              <w:jc w:val="right"/>
              <w:rPr>
                <w:noProof/>
              </w:rPr>
            </w:pPr>
            <w:r>
              <w:rPr>
                <w:noProof/>
              </w:rPr>
              <w:t>171</w:t>
            </w:r>
          </w:p>
        </w:tc>
        <w:tc>
          <w:tcPr>
            <w:tcW w:w="1463" w:type="dxa"/>
          </w:tcPr>
          <w:p>
            <w:pPr>
              <w:jc w:val="right"/>
              <w:rPr>
                <w:noProof/>
              </w:rPr>
            </w:pPr>
            <w:r>
              <w:rPr>
                <w:noProof/>
              </w:rPr>
              <w:t>477</w:t>
            </w:r>
          </w:p>
        </w:tc>
        <w:tc>
          <w:tcPr>
            <w:tcW w:w="2426" w:type="dxa"/>
            <w:vAlign w:val="bottom"/>
          </w:tcPr>
          <w:p>
            <w:pPr>
              <w:jc w:val="right"/>
              <w:rPr>
                <w:noProof/>
              </w:rPr>
            </w:pPr>
            <w:r>
              <w:rPr>
                <w:noProof/>
              </w:rPr>
              <w:t>94,46 %</w:t>
            </w:r>
          </w:p>
        </w:tc>
      </w:tr>
      <w:tr>
        <w:tc>
          <w:tcPr>
            <w:tcW w:w="1679" w:type="dxa"/>
            <w:shd w:val="clear" w:color="auto" w:fill="DBE5F1" w:themeFill="accent1" w:themeFillTint="33"/>
          </w:tcPr>
          <w:p>
            <w:pPr>
              <w:jc w:val="center"/>
              <w:rPr>
                <w:b/>
                <w:bCs/>
                <w:noProof/>
              </w:rPr>
            </w:pPr>
            <w:r>
              <w:rPr>
                <w:b/>
                <w:noProof/>
              </w:rPr>
              <w:t>FR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HR</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2</w:t>
            </w:r>
          </w:p>
        </w:tc>
        <w:tc>
          <w:tcPr>
            <w:tcW w:w="1463" w:type="dxa"/>
          </w:tcPr>
          <w:p>
            <w:pPr>
              <w:jc w:val="right"/>
              <w:rPr>
                <w:noProof/>
              </w:rPr>
            </w:pPr>
            <w:r>
              <w:rPr>
                <w:noProof/>
              </w:rPr>
              <w:t>4</w:t>
            </w:r>
          </w:p>
        </w:tc>
        <w:tc>
          <w:tcPr>
            <w:tcW w:w="2426" w:type="dxa"/>
            <w:vAlign w:val="bottom"/>
          </w:tcPr>
          <w:p>
            <w:pPr>
              <w:jc w:val="right"/>
              <w:rPr>
                <w:noProof/>
              </w:rPr>
            </w:pPr>
            <w:r>
              <w:rPr>
                <w:noProof/>
              </w:rPr>
              <w:t>0,79 %</w:t>
            </w:r>
          </w:p>
        </w:tc>
      </w:tr>
      <w:tr>
        <w:tc>
          <w:tcPr>
            <w:tcW w:w="1679" w:type="dxa"/>
            <w:shd w:val="clear" w:color="auto" w:fill="DBE5F1" w:themeFill="accent1" w:themeFillTint="33"/>
          </w:tcPr>
          <w:p>
            <w:pPr>
              <w:jc w:val="center"/>
              <w:rPr>
                <w:b/>
                <w:bCs/>
                <w:noProof/>
              </w:rPr>
            </w:pPr>
            <w:r>
              <w:rPr>
                <w:b/>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HU</w:t>
            </w:r>
          </w:p>
        </w:tc>
        <w:tc>
          <w:tcPr>
            <w:tcW w:w="1123" w:type="dxa"/>
          </w:tcPr>
          <w:p>
            <w:pPr>
              <w:jc w:val="right"/>
              <w:rPr>
                <w:noProof/>
              </w:rPr>
            </w:pPr>
            <w:r>
              <w:rPr>
                <w:noProof/>
              </w:rPr>
              <w:t>0</w:t>
            </w:r>
          </w:p>
        </w:tc>
        <w:tc>
          <w:tcPr>
            <w:tcW w:w="1275" w:type="dxa"/>
          </w:tcPr>
          <w:p>
            <w:pPr>
              <w:jc w:val="right"/>
              <w:rPr>
                <w:noProof/>
              </w:rPr>
            </w:pPr>
            <w:r>
              <w:rPr>
                <w:noProof/>
              </w:rPr>
              <w:t>4</w:t>
            </w:r>
          </w:p>
        </w:tc>
        <w:tc>
          <w:tcPr>
            <w:tcW w:w="1276" w:type="dxa"/>
          </w:tcPr>
          <w:p>
            <w:pPr>
              <w:jc w:val="right"/>
              <w:rPr>
                <w:noProof/>
              </w:rPr>
            </w:pPr>
            <w:r>
              <w:rPr>
                <w:noProof/>
              </w:rPr>
              <w:t>1</w:t>
            </w:r>
          </w:p>
        </w:tc>
        <w:tc>
          <w:tcPr>
            <w:tcW w:w="1463" w:type="dxa"/>
          </w:tcPr>
          <w:p>
            <w:pPr>
              <w:jc w:val="right"/>
              <w:rPr>
                <w:noProof/>
              </w:rPr>
            </w:pPr>
            <w:r>
              <w:rPr>
                <w:noProof/>
              </w:rPr>
              <w:t>5</w:t>
            </w:r>
          </w:p>
        </w:tc>
        <w:tc>
          <w:tcPr>
            <w:tcW w:w="2426" w:type="dxa"/>
            <w:vAlign w:val="bottom"/>
          </w:tcPr>
          <w:p>
            <w:pPr>
              <w:jc w:val="right"/>
              <w:rPr>
                <w:noProof/>
              </w:rPr>
            </w:pPr>
            <w:r>
              <w:rPr>
                <w:noProof/>
              </w:rPr>
              <w:t>0,99 %</w:t>
            </w:r>
          </w:p>
        </w:tc>
      </w:tr>
      <w:tr>
        <w:tc>
          <w:tcPr>
            <w:tcW w:w="1679" w:type="dxa"/>
            <w:shd w:val="clear" w:color="auto" w:fill="DBE5F1" w:themeFill="accent1" w:themeFillTint="33"/>
          </w:tcPr>
          <w:p>
            <w:pPr>
              <w:jc w:val="center"/>
              <w:rPr>
                <w:b/>
                <w:bCs/>
                <w:noProof/>
              </w:rPr>
            </w:pPr>
            <w:r>
              <w:rPr>
                <w:b/>
                <w:noProof/>
              </w:rPr>
              <w:t>MT</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1</w:t>
            </w:r>
          </w:p>
        </w:tc>
        <w:tc>
          <w:tcPr>
            <w:tcW w:w="1463" w:type="dxa"/>
          </w:tcPr>
          <w:p>
            <w:pPr>
              <w:jc w:val="right"/>
              <w:rPr>
                <w:noProof/>
              </w:rPr>
            </w:pPr>
            <w:r>
              <w:rPr>
                <w:noProof/>
              </w:rPr>
              <w:t>4</w:t>
            </w:r>
          </w:p>
        </w:tc>
        <w:tc>
          <w:tcPr>
            <w:tcW w:w="2426" w:type="dxa"/>
            <w:vAlign w:val="bottom"/>
          </w:tcPr>
          <w:p>
            <w:pPr>
              <w:jc w:val="right"/>
              <w:rPr>
                <w:noProof/>
              </w:rPr>
            </w:pPr>
            <w:r>
              <w:rPr>
                <w:noProof/>
              </w:rPr>
              <w:t>0,79 %</w:t>
            </w:r>
          </w:p>
        </w:tc>
      </w:tr>
      <w:tr>
        <w:tc>
          <w:tcPr>
            <w:tcW w:w="1679" w:type="dxa"/>
            <w:shd w:val="clear" w:color="auto" w:fill="DBE5F1" w:themeFill="accent1" w:themeFillTint="33"/>
          </w:tcPr>
          <w:p>
            <w:pPr>
              <w:jc w:val="center"/>
              <w:rPr>
                <w:b/>
                <w:bCs/>
                <w:noProof/>
              </w:rPr>
            </w:pPr>
            <w:r>
              <w:rPr>
                <w:b/>
                <w:noProof/>
              </w:rPr>
              <w:t>NL</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0,40 %</w:t>
            </w:r>
          </w:p>
        </w:tc>
      </w:tr>
      <w:tr>
        <w:tc>
          <w:tcPr>
            <w:tcW w:w="1679" w:type="dxa"/>
            <w:shd w:val="clear" w:color="auto" w:fill="DBE5F1" w:themeFill="accent1" w:themeFillTint="33"/>
          </w:tcPr>
          <w:p>
            <w:pPr>
              <w:jc w:val="center"/>
              <w:rPr>
                <w:b/>
                <w:bCs/>
                <w:noProof/>
              </w:rPr>
            </w:pPr>
            <w:r>
              <w:rPr>
                <w:b/>
                <w:noProof/>
              </w:rPr>
              <w:t>AT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PL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FI</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0</w:t>
            </w:r>
          </w:p>
        </w:tc>
        <w:tc>
          <w:tcPr>
            <w:tcW w:w="1463" w:type="dxa"/>
          </w:tcPr>
          <w:p>
            <w:pPr>
              <w:jc w:val="right"/>
              <w:rPr>
                <w:noProof/>
              </w:rPr>
            </w:pPr>
            <w:r>
              <w:rPr>
                <w:noProof/>
              </w:rPr>
              <w:t>1</w:t>
            </w:r>
          </w:p>
        </w:tc>
        <w:tc>
          <w:tcPr>
            <w:tcW w:w="2426" w:type="dxa"/>
            <w:vAlign w:val="bottom"/>
          </w:tcPr>
          <w:p>
            <w:pPr>
              <w:jc w:val="right"/>
              <w:rPr>
                <w:noProof/>
              </w:rPr>
            </w:pPr>
            <w:r>
              <w:rPr>
                <w:noProof/>
              </w:rPr>
              <w:t>0,20 %</w:t>
            </w:r>
          </w:p>
        </w:tc>
      </w:tr>
      <w:tr>
        <w:tc>
          <w:tcPr>
            <w:tcW w:w="1679" w:type="dxa"/>
            <w:shd w:val="clear" w:color="auto" w:fill="DBE5F1" w:themeFill="accent1" w:themeFillTint="33"/>
          </w:tcPr>
          <w:p>
            <w:pPr>
              <w:jc w:val="center"/>
              <w:rPr>
                <w:b/>
                <w:bCs/>
                <w:noProof/>
              </w:rPr>
            </w:pPr>
            <w:r>
              <w:rPr>
                <w:b/>
                <w:noProof/>
              </w:rPr>
              <w:t>SE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0,00 %</w:t>
            </w:r>
          </w:p>
        </w:tc>
      </w:tr>
      <w:tr>
        <w:tc>
          <w:tcPr>
            <w:tcW w:w="1679" w:type="dxa"/>
            <w:shd w:val="clear" w:color="auto" w:fill="DBE5F1" w:themeFill="accent1" w:themeFillTint="33"/>
          </w:tcPr>
          <w:p>
            <w:pPr>
              <w:jc w:val="center"/>
              <w:rPr>
                <w:b/>
                <w:bCs/>
                <w:noProof/>
              </w:rPr>
            </w:pPr>
            <w:r>
              <w:rPr>
                <w:b/>
                <w:noProof/>
              </w:rPr>
              <w:t>Total</w:t>
            </w:r>
          </w:p>
        </w:tc>
        <w:tc>
          <w:tcPr>
            <w:tcW w:w="1123" w:type="dxa"/>
          </w:tcPr>
          <w:p>
            <w:pPr>
              <w:jc w:val="right"/>
              <w:rPr>
                <w:noProof/>
              </w:rPr>
            </w:pPr>
            <w:r>
              <w:rPr>
                <w:noProof/>
              </w:rPr>
              <w:t>143</w:t>
            </w:r>
          </w:p>
        </w:tc>
        <w:tc>
          <w:tcPr>
            <w:tcW w:w="1275" w:type="dxa"/>
          </w:tcPr>
          <w:p>
            <w:pPr>
              <w:jc w:val="right"/>
              <w:rPr>
                <w:noProof/>
              </w:rPr>
            </w:pPr>
            <w:r>
              <w:rPr>
                <w:noProof/>
              </w:rPr>
              <w:t>182</w:t>
            </w:r>
          </w:p>
        </w:tc>
        <w:tc>
          <w:tcPr>
            <w:tcW w:w="1276" w:type="dxa"/>
          </w:tcPr>
          <w:p>
            <w:pPr>
              <w:jc w:val="right"/>
              <w:rPr>
                <w:noProof/>
              </w:rPr>
            </w:pPr>
            <w:r>
              <w:rPr>
                <w:noProof/>
              </w:rPr>
              <w:t>180</w:t>
            </w:r>
          </w:p>
        </w:tc>
        <w:tc>
          <w:tcPr>
            <w:tcW w:w="1463" w:type="dxa"/>
          </w:tcPr>
          <w:p>
            <w:pPr>
              <w:jc w:val="right"/>
              <w:rPr>
                <w:noProof/>
              </w:rPr>
            </w:pPr>
            <w:r>
              <w:rPr>
                <w:noProof/>
              </w:rPr>
              <w:t>505</w:t>
            </w:r>
          </w:p>
        </w:tc>
        <w:tc>
          <w:tcPr>
            <w:tcW w:w="2426" w:type="dxa"/>
            <w:vAlign w:val="bottom"/>
          </w:tcPr>
          <w:p>
            <w:pPr>
              <w:jc w:val="right"/>
              <w:rPr>
                <w:noProof/>
              </w:rPr>
            </w:pPr>
            <w:r>
              <w:rPr>
                <w:noProof/>
              </w:rPr>
              <w:t>100,00 %</w:t>
            </w:r>
          </w:p>
        </w:tc>
      </w:tr>
    </w:tbl>
    <w:p>
      <w:pPr>
        <w:rPr>
          <w:noProof/>
        </w:rPr>
      </w:pPr>
    </w:p>
    <w:p>
      <w:pPr>
        <w:rPr>
          <w:noProof/>
        </w:rPr>
      </w:pPr>
      <w:r>
        <w:rPr>
          <w:noProof/>
        </w:rPr>
        <w:br w:type="page"/>
      </w:r>
    </w:p>
    <w:p>
      <w:pPr>
        <w:rPr>
          <w:noProof/>
        </w:rPr>
      </w:pPr>
    </w:p>
    <w:p>
      <w:pPr>
        <w:rPr>
          <w:noProof/>
        </w:rPr>
      </w:pPr>
      <w:r>
        <w:rPr>
          <w:noProof/>
        </w:rPr>
        <w:t>Tabelul 5. Cazuri de încălcare/neconformitate</w:t>
      </w:r>
    </w:p>
    <w:p>
      <w:pPr>
        <w:rPr>
          <w:noProof/>
        </w:rPr>
      </w:pPr>
    </w:p>
    <w:tbl>
      <w:tblPr>
        <w:tblStyle w:val="TableGrid"/>
        <w:tblW w:w="0" w:type="auto"/>
        <w:tblLook w:val="04A0" w:firstRow="1" w:lastRow="0" w:firstColumn="1" w:lastColumn="0" w:noHBand="0" w:noVBand="1"/>
      </w:tblPr>
      <w:tblGrid>
        <w:gridCol w:w="2660"/>
        <w:gridCol w:w="6379"/>
      </w:tblGrid>
      <w:tr>
        <w:tc>
          <w:tcPr>
            <w:tcW w:w="2660" w:type="dxa"/>
            <w:shd w:val="clear" w:color="auto" w:fill="DBE5F1" w:themeFill="accent1" w:themeFillTint="33"/>
          </w:tcPr>
          <w:p>
            <w:pPr>
              <w:jc w:val="center"/>
              <w:rPr>
                <w:b/>
                <w:bCs/>
                <w:noProof/>
              </w:rPr>
            </w:pPr>
            <w:r>
              <w:rPr>
                <w:b/>
                <w:noProof/>
              </w:rPr>
              <w:t>Anul</w:t>
            </w:r>
          </w:p>
        </w:tc>
        <w:tc>
          <w:tcPr>
            <w:tcW w:w="6379" w:type="dxa"/>
            <w:shd w:val="clear" w:color="auto" w:fill="DBE5F1" w:themeFill="accent1" w:themeFillTint="33"/>
          </w:tcPr>
          <w:p>
            <w:pPr>
              <w:jc w:val="center"/>
              <w:rPr>
                <w:b/>
                <w:bCs/>
                <w:noProof/>
              </w:rPr>
            </w:pPr>
            <w:r>
              <w:rPr>
                <w:b/>
                <w:noProof/>
              </w:rPr>
              <w:t>Totalul cazurilor de încălcare</w:t>
            </w:r>
          </w:p>
        </w:tc>
      </w:tr>
      <w:tr>
        <w:tc>
          <w:tcPr>
            <w:tcW w:w="2660" w:type="dxa"/>
          </w:tcPr>
          <w:p>
            <w:pPr>
              <w:rPr>
                <w:noProof/>
              </w:rPr>
            </w:pPr>
            <w:r>
              <w:rPr>
                <w:noProof/>
              </w:rPr>
              <w:t>2021</w:t>
            </w:r>
          </w:p>
        </w:tc>
        <w:tc>
          <w:tcPr>
            <w:tcW w:w="6379" w:type="dxa"/>
          </w:tcPr>
          <w:p>
            <w:pPr>
              <w:rPr>
                <w:noProof/>
              </w:rPr>
            </w:pPr>
            <w:r>
              <w:rPr>
                <w:noProof/>
              </w:rPr>
              <w:t>67</w:t>
            </w:r>
          </w:p>
        </w:tc>
      </w:tr>
      <w:tr>
        <w:tc>
          <w:tcPr>
            <w:tcW w:w="2660" w:type="dxa"/>
          </w:tcPr>
          <w:p>
            <w:pPr>
              <w:rPr>
                <w:noProof/>
              </w:rPr>
            </w:pPr>
            <w:r>
              <w:rPr>
                <w:noProof/>
              </w:rPr>
              <w:t>2022</w:t>
            </w:r>
          </w:p>
        </w:tc>
        <w:tc>
          <w:tcPr>
            <w:tcW w:w="6379" w:type="dxa"/>
          </w:tcPr>
          <w:p>
            <w:pPr>
              <w:rPr>
                <w:noProof/>
              </w:rPr>
            </w:pPr>
            <w:r>
              <w:rPr>
                <w:noProof/>
              </w:rPr>
              <w:t>96</w:t>
            </w:r>
          </w:p>
        </w:tc>
      </w:tr>
      <w:tr>
        <w:tc>
          <w:tcPr>
            <w:tcW w:w="2660" w:type="dxa"/>
          </w:tcPr>
          <w:p>
            <w:pPr>
              <w:rPr>
                <w:noProof/>
              </w:rPr>
            </w:pPr>
            <w:r>
              <w:rPr>
                <w:noProof/>
              </w:rPr>
              <w:t>2023</w:t>
            </w:r>
          </w:p>
        </w:tc>
        <w:tc>
          <w:tcPr>
            <w:tcW w:w="6379" w:type="dxa"/>
          </w:tcPr>
          <w:p>
            <w:pPr>
              <w:rPr>
                <w:noProof/>
              </w:rPr>
            </w:pPr>
            <w:r>
              <w:rPr>
                <w:noProof/>
              </w:rPr>
              <w:t>58</w:t>
            </w:r>
          </w:p>
        </w:tc>
      </w:tr>
      <w:tr>
        <w:tc>
          <w:tcPr>
            <w:tcW w:w="2660" w:type="dxa"/>
            <w:shd w:val="clear" w:color="auto" w:fill="DBE5F1" w:themeFill="accent1" w:themeFillTint="33"/>
          </w:tcPr>
          <w:p>
            <w:pPr>
              <w:rPr>
                <w:b/>
                <w:bCs/>
                <w:noProof/>
              </w:rPr>
            </w:pPr>
            <w:r>
              <w:rPr>
                <w:b/>
                <w:noProof/>
              </w:rPr>
              <w:t>Total</w:t>
            </w:r>
          </w:p>
        </w:tc>
        <w:tc>
          <w:tcPr>
            <w:tcW w:w="6379" w:type="dxa"/>
            <w:shd w:val="clear" w:color="auto" w:fill="DBE5F1" w:themeFill="accent1" w:themeFillTint="33"/>
          </w:tcPr>
          <w:p>
            <w:pPr>
              <w:rPr>
                <w:noProof/>
              </w:rPr>
            </w:pPr>
            <w:r>
              <w:rPr>
                <w:noProof/>
              </w:rPr>
              <w:t>221</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84222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3</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jc w:val="both"/>
      </w:pPr>
      <w:r>
        <w:rPr>
          <w:rStyle w:val="FootnoteReference"/>
        </w:rPr>
        <w:footnoteRef/>
      </w:r>
      <w:r>
        <w:t xml:space="preserve"> Regulamentul (CE) nr. 116/2009 al Consiliului din 18 decembrie 2008 privind exportul bunurilor culturale (JO L 39, 10.2.2009, p. 1, ELI: </w:t>
      </w:r>
      <w:hyperlink r:id="rId1" w:history="1">
        <w:r>
          <w:rPr>
            <w:rStyle w:val="Hyperlink"/>
          </w:rPr>
          <w:t>http://data.europa.eu/eli/reg/2009/116/oj</w:t>
        </w:r>
      </w:hyperlink>
      <w:r>
        <w:t>).</w:t>
      </w:r>
    </w:p>
  </w:footnote>
  <w:footnote w:id="2">
    <w:p>
      <w:pPr>
        <w:pStyle w:val="FootnoteText"/>
        <w:jc w:val="both"/>
      </w:pPr>
      <w:r>
        <w:rPr>
          <w:rStyle w:val="FootnoteReference"/>
        </w:rPr>
        <w:footnoteRef/>
      </w:r>
      <w:r>
        <w:t xml:space="preserve"> Regulamentul de punere în aplicare (UE) nr. 1081/2012 al Comisiei din 9 noiembrie 2012 pentru Regulamentul (CE) nr. 116/2009 al Consiliului privind exportul bunurilor culturale (JO L 324, 22.11.2012, p. 1, ELI: </w:t>
      </w:r>
      <w:hyperlink r:id="rId2" w:history="1">
        <w:r>
          <w:rPr>
            <w:rStyle w:val="Hyperlink"/>
          </w:rPr>
          <w:t>http://data.europa.eu/eli/reg_impl/2012/1081/oj</w:t>
        </w:r>
      </w:hyperlink>
      <w:r>
        <w:t xml:space="preserve">). Cel mai recent text consolidat este disponibil la adresa: </w:t>
      </w:r>
      <w:hyperlink r:id="rId3" w:history="1">
        <w:r>
          <w:rPr>
            <w:rStyle w:val="Hyperlink"/>
          </w:rPr>
          <w:t>https://eur-lex.europa.eu/legal-content/RO/TXT/?uri=CELEX%3A02012R1081-20121212</w:t>
        </w:r>
      </w:hyperlink>
      <w:r>
        <w:t>.</w:t>
      </w:r>
    </w:p>
  </w:footnote>
  <w:footnote w:id="3">
    <w:p>
      <w:pPr>
        <w:pStyle w:val="FootnoteText"/>
        <w:jc w:val="both"/>
      </w:pPr>
      <w:r>
        <w:rPr>
          <w:rStyle w:val="FootnoteReference"/>
        </w:rPr>
        <w:footnoteRef/>
      </w:r>
      <w:r>
        <w:t xml:space="preserve"> Sondaj în rândul statelor membre sub forma unui chestionar, realizat între 15 iulie 2024 și 1 octombrie 2024.</w:t>
      </w:r>
    </w:p>
  </w:footnote>
  <w:footnote w:id="4">
    <w:p>
      <w:pPr>
        <w:pStyle w:val="FootnoteText"/>
        <w:jc w:val="both"/>
      </w:pPr>
      <w:r>
        <w:rPr>
          <w:rStyle w:val="FootnoteReference"/>
        </w:rPr>
        <w:footnoteRef/>
      </w:r>
      <w:r>
        <w:t xml:space="preserve"> Singurul stat membru care consideră că regulamentul nu a funcționat suficient de bine își justifică opinia prin faptul că propria legislație națională este mai strictă. Cu toate acestea, </w:t>
      </w:r>
      <w:bookmarkStart w:id="1" w:name="_Hlk232071044"/>
      <w:r>
        <w:t>nu există bariere în calea liberei circulații a mărfurilor între statele membre ale UE</w:t>
      </w:r>
      <w:bookmarkEnd w:id="1"/>
      <w:r>
        <w:t>, astfel încât nici măcar cele mai stricte dispoziții naționale nu pot împiedica transferul ilegal al unui bun cultural protejat de pe teritoriul național al unui stat membru pe teritoriul unui alt stat membru – unde acesta nu este protejat de dispozițiile naționale ale primului stat membru – și de acolo către o țară din afara UE.</w:t>
      </w:r>
    </w:p>
  </w:footnote>
  <w:footnote w:id="5">
    <w:p>
      <w:pPr>
        <w:pStyle w:val="FootnoteText"/>
      </w:pPr>
      <w:r>
        <w:rPr>
          <w:rStyle w:val="FootnoteReference"/>
        </w:rPr>
        <w:footnoteRef/>
      </w:r>
      <w:r>
        <w:t xml:space="preserve"> Două state membre au sugerat această îmbunătățire.</w:t>
      </w:r>
    </w:p>
  </w:footnote>
  <w:footnote w:id="6">
    <w:p>
      <w:pPr>
        <w:pStyle w:val="FootnoteText"/>
        <w:jc w:val="both"/>
      </w:pPr>
      <w:r>
        <w:rPr>
          <w:rStyle w:val="FootnoteReference"/>
        </w:rPr>
        <w:footnoteRef/>
      </w:r>
      <w:r>
        <w:t xml:space="preserve"> Două state membre au reiterat această solicitare, care era deja prezentă în Raportul anterior al Comisiei către Parlamentul European, Consiliu și Comitetul Economic și Social European privind punerea în aplicare a Regulamentului (CE) nr. 116/2009 al Consiliului din 18 decembrie 2008 privind exportul bunurilor culturale 1 ianuarie 2018-31 decembrie 2020, COM (2022) 424, p. 6.</w:t>
      </w:r>
    </w:p>
  </w:footnote>
  <w:footnote w:id="7">
    <w:p>
      <w:pPr>
        <w:pStyle w:val="FootnoteText"/>
        <w:jc w:val="both"/>
      </w:pPr>
      <w:r>
        <w:rPr>
          <w:rStyle w:val="FootnoteReference"/>
        </w:rPr>
        <w:footnoteRef/>
      </w:r>
      <w:r>
        <w:t xml:space="preserve"> Regulamentul (UE) 2019/880 al Parlamentului European și al Consiliului din 17 aprilie 2019 privind introducerea și importul bunurilor culturale (JO L 151, 7.6.2019, p. 1, ELI: </w:t>
      </w:r>
      <w:hyperlink r:id="rId4" w:tooltip="Oferă acces la acest document prin identificatorul său uniform de resurse ELI." w:history="1">
        <w:r>
          <w:rPr>
            <w:rStyle w:val="Hyperlink"/>
          </w:rPr>
          <w:t>http://data.europa.eu/eli/reg/2019/880/oj</w:t>
        </w:r>
      </w:hyperlink>
      <w:r>
        <w:t>).</w:t>
      </w:r>
    </w:p>
  </w:footnote>
  <w:footnote w:id="8">
    <w:p>
      <w:pPr>
        <w:pStyle w:val="FootnoteText"/>
        <w:jc w:val="both"/>
      </w:pPr>
      <w:r>
        <w:rPr>
          <w:rStyle w:val="FootnoteReference"/>
        </w:rPr>
        <w:footnoteRef/>
      </w:r>
      <w:r>
        <w:t xml:space="preserve"> Regulamentul privind importul nu poate fi fuzionat cu Regulamentele privind exportul, deoarece domeniile de aplicare, procedurile și certificarea aferente diferă. Cu toate acestea, sistemele electronice corespunzătoare pentru implementarea lor vor fi foarte similare în ceea ce privește interfața pentru utilizatori și funcționalitățile sistemului.</w:t>
      </w:r>
    </w:p>
  </w:footnote>
  <w:footnote w:id="9">
    <w:p>
      <w:pPr>
        <w:pStyle w:val="FootnoteText"/>
        <w:jc w:val="both"/>
      </w:pPr>
      <w:r>
        <w:rPr>
          <w:rStyle w:val="FootnoteReference"/>
        </w:rPr>
        <w:footnoteRef/>
      </w:r>
      <w:r>
        <w:t xml:space="preserve"> Directiva 2014/60/UE a Parlamentului European și a Consiliului din 15 mai 2014 privind restituirea bunurilor culturale care au părăsit ilegal teritoriul unui stat membru și de modificare a Regulamentului (UE) nr. 1024/2012 (reformare) (JO L 159, 28.5.2014, p. 1, ELI: </w:t>
      </w:r>
      <w:hyperlink r:id="rId5" w:tooltip="Oferă acces la acest document prin identificatorul său uniform de resurse ELI." w:history="1">
        <w:r>
          <w:rPr>
            <w:rStyle w:val="Hyperlink"/>
          </w:rPr>
          <w:t>http://data.europa.eu/eli/dir/2014/60/oj</w:t>
        </w:r>
      </w:hyperlink>
      <w:r>
        <w:t>). În urma reformării sale din 2014, domeniul de aplicare al Directivei privind restituirea diferă în prezent de domeniul de aplicare al regulamentului, împiedicând alinierea deplină a instrumentelor. Directiva privind restituirea se aplică bunurilor culturale, astfel cum sunt definite la articolul 2 alineatul (1): „un bun clasificat sau definit de un stat membru, înainte sau după ce a părăsit ilegal teritoriul respectivului stat membru, ca numărându-se printre «bunurile de patrimoniu național cu valoare artistică, istorică sau arheologică», în conformitate cu legislația sau procedurile administrative naționale în sensul articolului 36 din TFUE”. În schimb, bunurile culturale sunt obiectele enumerate în anexa I la Regulamentul (CE) nr. 116/2009.</w:t>
      </w:r>
    </w:p>
  </w:footnote>
  <w:footnote w:id="10">
    <w:p>
      <w:pPr>
        <w:pStyle w:val="FootnoteText"/>
        <w:jc w:val="both"/>
      </w:pPr>
      <w:r>
        <w:rPr>
          <w:rStyle w:val="FootnoteReference"/>
        </w:rPr>
        <w:footnoteRef/>
      </w:r>
      <w:r>
        <w:t xml:space="preserve"> Un stat membru a sugerat această armonizare. Cu toate acestea, UE nu poate adera la Convenția UNESCO (Organizația Națiunilor Unite pentru Educație, Știință și Cultură) din 1970 privind mijloacele de interzicere și prevenire a importului, exportului și transferului ilicit de proprietate culturală, deoarece numai țările individuale pot adera.</w:t>
      </w:r>
    </w:p>
  </w:footnote>
  <w:footnote w:id="11">
    <w:p>
      <w:pPr>
        <w:pStyle w:val="FootnoteText"/>
        <w:jc w:val="both"/>
      </w:pPr>
      <w:r>
        <w:rPr>
          <w:rStyle w:val="FootnoteReference"/>
        </w:rPr>
        <w:footnoteRef/>
      </w:r>
      <w:r>
        <w:t xml:space="preserve"> Patru state membre au sugerat astfel de îmbunătățiri, subliniind, în același timp, că ar trebui puse la dispoziție mai multe resurse pentru ca instrumentele și cooperarea suplimentare să fie eficace (în special în ceea ce privește funcționarii cu expertiză în domeniul bunurilor culturale).</w:t>
      </w:r>
    </w:p>
  </w:footnote>
  <w:footnote w:id="12">
    <w:p>
      <w:pPr>
        <w:pStyle w:val="FootnoteText"/>
        <w:jc w:val="both"/>
      </w:pPr>
      <w:r>
        <w:rPr>
          <w:rStyle w:val="FootnoteReference"/>
        </w:rPr>
        <w:footnoteRef/>
      </w:r>
      <w:r>
        <w:t xml:space="preserve"> Icoanele sunt clasificate în prezent în categoria „picturi”. Pragul de valoare foarte ridicat al acestei categorii (peste 150 000 EUR) lasă majoritatea icoanelor în afara domeniului de aplicare al regulamentului.</w:t>
      </w:r>
    </w:p>
  </w:footnote>
  <w:footnote w:id="13">
    <w:p>
      <w:pPr>
        <w:pStyle w:val="FootnoteText"/>
        <w:jc w:val="both"/>
      </w:pPr>
      <w:r>
        <w:rPr>
          <w:rStyle w:val="FootnoteReference"/>
        </w:rPr>
        <w:footnoteRef/>
      </w:r>
      <w:r>
        <w:t xml:space="preserve"> Articolul 2 din Regulamentul de punere în aplicare prevede că „fiecare stat membru hotărăște dacă dorește sau nu să elibereze licențe deschise specifice sau generale, acestea putând fi folosite în locul” unei licențe normale.</w:t>
      </w:r>
    </w:p>
  </w:footnote>
  <w:footnote w:id="14">
    <w:p>
      <w:pPr>
        <w:pStyle w:val="FootnoteText"/>
      </w:pPr>
      <w:r>
        <w:rPr>
          <w:rStyle w:val="FootnoteReference"/>
        </w:rPr>
        <w:footnoteRef/>
      </w:r>
      <w:r>
        <w:t xml:space="preserve"> Perioada maximă stabilită de regulamentul de punere în aplicare este de cinci ani [articolul 10 alineatul (3)].</w:t>
      </w:r>
    </w:p>
  </w:footnote>
  <w:footnote w:id="15">
    <w:p>
      <w:pPr>
        <w:pStyle w:val="FootnoteText"/>
      </w:pPr>
      <w:r>
        <w:rPr>
          <w:rStyle w:val="FootnoteReference"/>
        </w:rPr>
        <w:footnoteRef/>
      </w:r>
      <w:r>
        <w:t xml:space="preserve"> Perioada maximă stabilită de regulamentul de punere în aplicare este de cinci ani [articolul 13 alineatul (3)].</w:t>
      </w:r>
    </w:p>
  </w:footnote>
  <w:footnote w:id="16">
    <w:p>
      <w:pPr>
        <w:pStyle w:val="FootnoteText"/>
        <w:jc w:val="both"/>
      </w:pPr>
      <w:r>
        <w:rPr>
          <w:rStyle w:val="FootnoteReference"/>
        </w:rPr>
        <w:footnoteRef/>
      </w:r>
      <w:r>
        <w:t xml:space="preserve"> Această scutire se referă în principal la obiecte vechi care sunt produse în cantități mari și sunt cvasiidentice (de exemplu, monede) sau sunt obiecte care nu sunt rezultatul direct al excavărilor.</w:t>
      </w:r>
    </w:p>
  </w:footnote>
  <w:footnote w:id="17">
    <w:p>
      <w:pPr>
        <w:pStyle w:val="FootnoteText"/>
        <w:jc w:val="both"/>
      </w:pPr>
      <w:r>
        <w:rPr>
          <w:rStyle w:val="FootnoteReference"/>
        </w:rPr>
        <w:footnoteRef/>
      </w:r>
      <w:r>
        <w:t xml:space="preserve"> Regulamentul (UE) nr. 833/2014 al Consiliului din 31 iulie 2014 privind măsuri restrictive având în vedere acțiunile Rusiei de destabilizare a situației în Ucraina (JO L 229, 31.7.2014, p. 1, ELI: </w:t>
      </w:r>
      <w:hyperlink r:id="rId6" w:tooltip="Oferă acces la acest document prin identificatorul său uniform de resurse ELI." w:history="1">
        <w:r>
          <w:rPr>
            <w:rStyle w:val="Hyperlink"/>
          </w:rPr>
          <w:t>http://data.europa.eu/eli/reg/2014/833/oj</w:t>
        </w:r>
      </w:hyperlink>
      <w:r>
        <w:t>).</w:t>
      </w:r>
    </w:p>
  </w:footnote>
  <w:footnote w:id="18">
    <w:p>
      <w:pPr>
        <w:pStyle w:val="FootnoteText"/>
        <w:jc w:val="both"/>
      </w:pPr>
      <w:r>
        <w:rPr>
          <w:rStyle w:val="FootnoteReference"/>
        </w:rPr>
        <w:footnoteRef/>
      </w:r>
      <w:r>
        <w:t xml:space="preserve"> Un proces de reflecție cu privire la posibila actualizare a categoriilor de bunuri, precum și a pragului de vechime (sprijinit doar de câteva state membre) ar putea avea loc în cadrul unei reuniuni a grupului de experți într-o etapă ulterioară.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F50BA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323037"/>
    <w:multiLevelType w:val="hybridMultilevel"/>
    <w:tmpl w:val="B7AEFDD6"/>
    <w:lvl w:ilvl="0" w:tplc="1B48F07A">
      <w:start w:val="1"/>
      <w:numFmt w:val="bullet"/>
      <w:lvlText w:val="-"/>
      <w:lvlJc w:val="left"/>
      <w:pPr>
        <w:ind w:left="1440" w:hanging="360"/>
      </w:pPr>
      <w:rPr>
        <w:rFonts w:ascii="Aptos" w:hAnsi="Apto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364F3835"/>
    <w:multiLevelType w:val="hybridMultilevel"/>
    <w:tmpl w:val="15E8C568"/>
    <w:lvl w:ilvl="0" w:tplc="C5387912">
      <w:start w:val="1"/>
      <w:numFmt w:val="decimal"/>
      <w:lvlText w:val="(%1)"/>
      <w:lvlJc w:val="left"/>
      <w:pPr>
        <w:ind w:left="720" w:hanging="360"/>
      </w:pPr>
      <w:rPr>
        <w:rFonts w:ascii="Times New Roman" w:eastAsia="Times New Roman"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8206227"/>
    <w:multiLevelType w:val="hybridMultilevel"/>
    <w:tmpl w:val="DE201984"/>
    <w:lvl w:ilvl="0" w:tplc="7DB4C7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DA052B"/>
    <w:multiLevelType w:val="hybridMultilevel"/>
    <w:tmpl w:val="5080D3F6"/>
    <w:lvl w:ilvl="0" w:tplc="981AC2CA">
      <w:numFmt w:val="bullet"/>
      <w:lvlText w:val="-"/>
      <w:lvlJc w:val="left"/>
      <w:pPr>
        <w:ind w:left="1440" w:hanging="360"/>
      </w:pPr>
      <w:rPr>
        <w:rFonts w:ascii="Times New Roman" w:eastAsia="Times New Roman"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4B6B0D4D"/>
    <w:multiLevelType w:val="hybridMultilevel"/>
    <w:tmpl w:val="E458B5AA"/>
    <w:lvl w:ilvl="0" w:tplc="C61E0542">
      <w:start w:val="1"/>
      <w:numFmt w:val="bullet"/>
      <w:lvlText w:val=""/>
      <w:lvlJc w:val="left"/>
      <w:pPr>
        <w:ind w:left="1858" w:hanging="360"/>
      </w:pPr>
      <w:rPr>
        <w:rFonts w:ascii="Symbol" w:hAnsi="Symbol"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6" w15:restartNumberingAfterBreak="0">
    <w:nsid w:val="597A5C3C"/>
    <w:multiLevelType w:val="hybridMultilevel"/>
    <w:tmpl w:val="35B83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44B64"/>
    <w:multiLevelType w:val="hybridMultilevel"/>
    <w:tmpl w:val="0E8A2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786232"/>
    <w:multiLevelType w:val="multilevel"/>
    <w:tmpl w:val="F15AD2D2"/>
    <w:lvl w:ilvl="0">
      <w:start w:val="1"/>
      <w:numFmt w:val="decimal"/>
      <w:pStyle w:val="Heading1"/>
      <w:lvlText w:val="%1."/>
      <w:lvlJc w:val="left"/>
      <w:pPr>
        <w:ind w:left="360" w:hanging="360"/>
      </w:pPr>
    </w:lvl>
    <w:lvl w:ilvl="1">
      <w:start w:val="8"/>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6"/>
  </w:num>
  <w:num w:numId="2">
    <w:abstractNumId w:val="0"/>
  </w:num>
  <w:num w:numId="3">
    <w:abstractNumId w:val="5"/>
  </w:num>
  <w:num w:numId="4">
    <w:abstractNumId w:val="2"/>
  </w:num>
  <w:num w:numId="5">
    <w:abstractNumId w:val="8"/>
  </w:num>
  <w:num w:numId="6">
    <w:abstractNumId w:val="8"/>
    <w:lvlOverride w:ilvl="0">
      <w:startOverride w:val="3"/>
    </w:lvlOverride>
    <w:lvlOverride w:ilvl="1">
      <w:startOverride w:val="9"/>
    </w:lvlOverride>
  </w:num>
  <w:num w:numId="7">
    <w:abstractNumId w:val="4"/>
  </w:num>
  <w:num w:numId="8">
    <w:abstractNumId w:val="7"/>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3F69A1FE-7457-4A93-96C1-BC7F18E91824"/>
    <w:docVar w:name="LW_COVERPAGE_TYPE" w:val="1"/>
    <w:docVar w:name="LW_CROSSREFERENCE" w:val="&lt;UNUSED&gt;"/>
    <w:docVar w:name="LW_DocType" w:val="NORMAL"/>
    <w:docVar w:name="LW_EMISSION" w:val="8.9.2026"/>
    <w:docVar w:name="LW_EMISSION_ISODATE" w:val="2026-09-08"/>
    <w:docVar w:name="LW_EMISSION_LOCATION" w:val="BRX"/>
    <w:docVar w:name="LW_EMISSION_PREFIX" w:val="Bruxelles, "/>
    <w:docVar w:name="LW_EMISSION_SUFFIX" w:val=" "/>
    <w:docVar w:name="LW_ID_DOCTYPE_NONLW" w:val="CP-007"/>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feritor la punerea în aplicare a Regulamentului (CE) nr. 116/2009 al Consiliului din 18 decembrie 2008 privind exportul bunurilor culturale&lt;/FMT&gt;_x000d__x000b__x000d__x000b_1 ianuarie 2021-31 decembrie 2023_x000d__x000b__x000d__x000b__x000d__x000d__x000d__x000d__x000d__x000d__x000b__x000d__x000d__x000d__x000d__x000d__x000d__x000d__x000d__x000d__x000d__x000d__x000d__x000d__x000d__x000b_"/>
    <w:docVar w:name="LW_TYPE.DOC.CP" w:val="RAPORT AL COMISIEI C\u258?TRE PARLAMENTUL EUROPEAN, CONSILIU \u536?I COMITETUL ECONOMIC \u536?I SOCIAL EUROPEA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A5D330EE-5A29-44C1-888F-7B907140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numPr>
        <w:numId w:val="5"/>
      </w:numPr>
      <w:spacing w:before="240" w:after="120"/>
      <w:ind w:left="357" w:hanging="357"/>
      <w:outlineLvl w:val="0"/>
    </w:pPr>
    <w:rPr>
      <w:rFonts w:eastAsiaTheme="majorEastAsia" w:cstheme="majorBidi"/>
      <w:smallCaps/>
      <w:sz w:val="28"/>
      <w:szCs w:val="32"/>
    </w:rPr>
  </w:style>
  <w:style w:type="paragraph" w:styleId="Heading2">
    <w:name w:val="heading 2"/>
    <w:basedOn w:val="Normal"/>
    <w:next w:val="Normal"/>
    <w:link w:val="Heading2Char"/>
    <w:unhideWhenUsed/>
    <w:qFormat/>
    <w:pPr>
      <w:keepNext/>
      <w:keepLines/>
      <w:spacing w:before="120" w:after="160"/>
      <w:outlineLvl w:val="1"/>
    </w:pPr>
    <w:rPr>
      <w:rFonts w:eastAsiaTheme="majorEastAsia" w:cstheme="majorBidi"/>
      <w: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styleId="ListBullet">
    <w:name w:val="List Bullet"/>
    <w:basedOn w:val="Normal"/>
    <w:semiHidden/>
    <w:unhideWhenUsed/>
    <w:pPr>
      <w:numPr>
        <w:numId w:val="2"/>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character" w:customStyle="1" w:styleId="Heading1Char">
    <w:name w:val="Heading 1 Char"/>
    <w:basedOn w:val="DefaultParagraphFont"/>
    <w:link w:val="Heading1"/>
    <w:rPr>
      <w:rFonts w:eastAsiaTheme="majorEastAsia" w:cstheme="majorBidi"/>
      <w:smallCaps/>
      <w:sz w:val="28"/>
      <w:szCs w:val="32"/>
    </w:rPr>
  </w:style>
  <w:style w:type="character" w:customStyle="1" w:styleId="Heading2Char">
    <w:name w:val="Heading 2 Char"/>
    <w:basedOn w:val="DefaultParagraphFont"/>
    <w:link w:val="Heading2"/>
    <w:rPr>
      <w:rFonts w:eastAsiaTheme="majorEastAsia" w:cstheme="majorBidi"/>
      <w:i/>
      <w:sz w:val="26"/>
      <w:szCs w:val="2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numPr>
        <w:numId w:val="0"/>
      </w:numPr>
      <w:spacing w:after="0" w:line="259" w:lineRule="auto"/>
      <w:outlineLvl w:val="9"/>
    </w:pPr>
    <w:rPr>
      <w:rFonts w:asciiTheme="majorHAnsi" w:hAnsiTheme="majorHAnsi"/>
      <w:smallCaps w:val="0"/>
      <w:color w:val="365F91" w:themeColor="accent1" w:themeShade="BF"/>
      <w:sz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paragraph" w:styleId="Revision">
    <w:name w:val="Revision"/>
    <w:hidden/>
    <w:uiPriority w:val="99"/>
    <w:semiHidden/>
    <w:rPr>
      <w:sz w:val="24"/>
      <w:szCs w:val="24"/>
    </w:rPr>
  </w:style>
  <w:style w:type="paragraph" w:customStyle="1" w:styleId="Languesfaisantfoi">
    <w:name w:val="Langues faisant foi"/>
    <w:basedOn w:val="Normal"/>
    <w:next w:val="Normal"/>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pPr>
      <w:spacing w:before="360" w:after="240"/>
      <w:jc w:val="center"/>
    </w:pPr>
    <w:rPr>
      <w:rFonts w:eastAsiaTheme="minorHAnsi"/>
      <w:szCs w:val="22"/>
      <w:lang w:eastAsia="en-US"/>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semiHidden/>
    <w:unhideWhenUsed/>
    <w:rPr>
      <w:color w:val="800080"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pPr>
      <w:spacing w:line="276" w:lineRule="auto"/>
      <w:ind w:left="5103"/>
    </w:pPr>
    <w:rPr>
      <w:rFonts w:eastAsiaTheme="minorHAnsi"/>
      <w:sz w:val="28"/>
      <w:szCs w:val="22"/>
      <w:lang w:eastAsia="en-US"/>
    </w:rPr>
  </w:style>
  <w:style w:type="paragraph" w:customStyle="1" w:styleId="DateMarking">
    <w:name w:val="DateMarking"/>
    <w:basedOn w:val="Normal"/>
    <w:pPr>
      <w:spacing w:line="276" w:lineRule="auto"/>
      <w:ind w:left="5103"/>
    </w:pPr>
    <w:rPr>
      <w:rFonts w:eastAsiaTheme="minorHAnsi"/>
      <w:i/>
      <w:sz w:val="28"/>
      <w:szCs w:val="22"/>
      <w:lang w:eastAsia="en-US"/>
    </w:rPr>
  </w:style>
  <w:style w:type="paragraph" w:customStyle="1" w:styleId="ReleasableTo">
    <w:name w:val="ReleasableTo"/>
    <w:basedOn w:val="Normal"/>
    <w:pPr>
      <w:spacing w:line="276" w:lineRule="auto"/>
      <w:ind w:left="5103"/>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1602">
      <w:bodyDiv w:val="1"/>
      <w:marLeft w:val="0"/>
      <w:marRight w:val="0"/>
      <w:marTop w:val="0"/>
      <w:marBottom w:val="0"/>
      <w:divBdr>
        <w:top w:val="none" w:sz="0" w:space="0" w:color="auto"/>
        <w:left w:val="none" w:sz="0" w:space="0" w:color="auto"/>
        <w:bottom w:val="none" w:sz="0" w:space="0" w:color="auto"/>
        <w:right w:val="none" w:sz="0" w:space="0" w:color="auto"/>
      </w:divBdr>
    </w:div>
    <w:div w:id="157165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uri=CELEX%3A02012R1081-20121212" TargetMode="External"/><Relationship Id="rId2" Type="http://schemas.openxmlformats.org/officeDocument/2006/relationships/hyperlink" Target="http://data.europa.eu/eli/reg_impl/2012/1081/oj" TargetMode="External"/><Relationship Id="rId1" Type="http://schemas.openxmlformats.org/officeDocument/2006/relationships/hyperlink" Target="http://data.europa.eu/eli/reg/2009/116/oj" TargetMode="External"/><Relationship Id="rId6" Type="http://schemas.openxmlformats.org/officeDocument/2006/relationships/hyperlink" Target="http://data.europa.eu/eli/reg/2014/833/oj" TargetMode="External"/><Relationship Id="rId5" Type="http://schemas.openxmlformats.org/officeDocument/2006/relationships/hyperlink" Target="http://data.europa.eu/eli/dir/2014/60/oj" TargetMode="External"/><Relationship Id="rId4" Type="http://schemas.openxmlformats.org/officeDocument/2006/relationships/hyperlink" Target="http://data.europa.eu/eli/reg/2019/88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6D258-ACEC-47EF-B449-37348105E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2135</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2026-06-30T07:13:00Z</dcterms:created>
  <dcterms:modified xsi:type="dcterms:W3CDTF">2026-09-08T08:49:00Z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2026-06-12T14:29:32Z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855be37e-c5bb-4004-9a82-5acf3bfa4f36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ies>
</file>