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5A5A23-3319-4FD1-ACB4-BDB2CA04F5CB" style="width:455.25pt;height:371.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rPr>
          <w:noProof/>
        </w:rPr>
      </w:pPr>
      <w:r>
        <w:rPr>
          <w:noProof/>
        </w:rPr>
        <w:t>În conformitate cu articolul 395 alineatul (1) din Directiva 2006/112/CE din 28 noiembrie 2006 privind sistemul comun al taxei pe valoarea adăugată</w:t>
      </w:r>
      <w:r>
        <w:rPr>
          <w:rStyle w:val="FootnoteReference"/>
          <w:noProof/>
        </w:rPr>
        <w:footnoteReference w:id="1"/>
      </w:r>
      <w:r>
        <w:rPr>
          <w:noProof/>
        </w:rPr>
        <w:t xml:space="preserve"> (denumită în continuare „Directiva TVA”), Consiliul, hotărând în unanimitate la propunerea Comisiei, poate autoriza orice stat membru să aplice măsuri speciale de derogare de la dispozițiile directivei respective pentru a simplifica procedura de colectare a TVA-ului sau pentru a preveni anumite forme de evaziune fiscală sau de evitare a obligațiilor fiscale.</w:t>
      </w:r>
    </w:p>
    <w:p>
      <w:pPr>
        <w:rPr>
          <w:noProof/>
        </w:rPr>
      </w:pPr>
      <w:r>
        <w:rPr>
          <w:noProof/>
        </w:rPr>
        <w:t>Printr-o scrisoare înregistrată la Comisie la 19 mai 2026, România a solicitat o prelungire a derogării de la articolul 26 alineatul (1) litera (a) și de la articolul 168 din Directiva TVA, pentru a continua să limiteze la 50 % dreptul de deducere a TVA-ului achitat în amonte aferent cheltuielilor legate de anumite vehicule rutiere motorizate care nu sunt utilizate exclusiv în scopuri profesionale și să nu considere prestare de servicii efectuată cu plată utilizarea în folosul propriu de către o persoană impozabilă sau de către personalul acesteia sau, în sens mai general, utilizarea în alte scopuri decât pentru desfășurarea activității sale economice, în cazul în care vehiculele respective au făcut obiectul restricției menționate anterior privind dreptul de deducere.</w:t>
      </w:r>
    </w:p>
    <w:p>
      <w:pPr>
        <w:rPr>
          <w:noProof/>
        </w:rPr>
      </w:pPr>
      <w:r>
        <w:rPr>
          <w:noProof/>
        </w:rPr>
        <w:t>În conformitate cu articolul 395 alineatul (2) din Directiva TVA, Comisia a informat celelalte state membre, prin scrisoarea din 22 mai 2026, cu privire la cererea înaintată de România. Printr-o scrisoare din 26 mai 2026, Comisia a informat România că dispune de toate informațiile pe care le consideră necesare pentru evaluarea cererii.</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noProof/>
        </w:rPr>
      </w:pPr>
      <w:r>
        <w:rPr>
          <w:noProof/>
        </w:rPr>
        <w:t>Articolul 168 din Directiva TVA prevede că o persoană impozabilă are dreptul de a deduce valoarea TVA-ului perceput pentru achizițiile efectuate în scopul operațiunilor sale taxabile. Articolul 26 alineatul (1) litera (a) din aceeași directivă prevede ca utilizarea în folosul propriu a bunurilor care constituie o parte din activele folosite în cadrul unei activități economice de către persoanele impozabile sau de către personalul acestora sau, mai general, utilizarea acestora în alte scopuri decât pentru desfășurarea activității lor să fie considerată prestare de servicii efectuată cu plată atunci când TVA-ul aferent bunurilor respective a fost dedus total sau parțial. Acest sistem permite recuperarea TVA-ului dedus inițial pentru utilizarea în interes personal.</w:t>
      </w:r>
    </w:p>
    <w:p>
      <w:pPr>
        <w:pBdr>
          <w:top w:val="nil"/>
          <w:left w:val="nil"/>
          <w:bottom w:val="nil"/>
          <w:right w:val="nil"/>
          <w:between w:val="nil"/>
          <w:bar w:val="nil"/>
        </w:pBdr>
        <w:spacing w:before="0" w:after="240"/>
        <w:rPr>
          <w:noProof/>
        </w:rPr>
      </w:pPr>
      <w:r>
        <w:rPr>
          <w:noProof/>
        </w:rPr>
        <w:t>În cazul vehiculelor rutiere motorizate care nu sunt utilizate exclusiv în scopuri profesionale, este dificil să se facă distincția între utilizarea în interes personal și utilizarea în interes de serviciu. Atunci când există o evidență contabilă, aceasta impune o sarcină administrativă și costuri administrative suplimentare atât întreprinderii, cât și administrației pentru menținerea și verificarea respectivei evidențe. Acest lucru ar putea duce chiar la litigii costisitoare și de lungă durată. În practică, uneori este chiar imposibil să se verifice utilizarea efectivă a vehiculelor, ceea ce poate duce la (tentative de) fraudă în materie de TVA (cum ar fi ținerea unor evidențe nefiabile) și, prin urmare, la o scădere a veniturilor din TVA. Din cauza numărului de vehicule utilizate în scopuri mixte, evaziunea fiscală ar putea fi substanțială.</w:t>
      </w:r>
    </w:p>
    <w:p>
      <w:pPr>
        <w:pBdr>
          <w:top w:val="nil"/>
          <w:left w:val="nil"/>
          <w:bottom w:val="nil"/>
          <w:right w:val="nil"/>
          <w:between w:val="nil"/>
          <w:bar w:val="nil"/>
        </w:pBdr>
        <w:spacing w:before="0" w:after="240"/>
        <w:rPr>
          <w:rFonts w:eastAsia="Arial Unicode MS"/>
          <w:noProof/>
        </w:rPr>
      </w:pPr>
      <w:r>
        <w:rPr>
          <w:noProof/>
        </w:rPr>
        <w:t>Conform raportului prezentat de România, astfel cum se prevede la articolul 5 alineatul (3) din Decizia de punere în aplicare 2024/1641 a Consiliului</w:t>
      </w:r>
      <w:r>
        <w:rPr>
          <w:rStyle w:val="FootnoteReference"/>
          <w:noProof/>
        </w:rPr>
        <w:footnoteReference w:id="2"/>
      </w:r>
      <w:r>
        <w:rPr>
          <w:noProof/>
        </w:rPr>
        <w:t xml:space="preserve"> din 24 mai 2024, ponderea </w:t>
      </w:r>
      <w:r>
        <w:rPr>
          <w:noProof/>
        </w:rPr>
        <w:lastRenderedPageBreak/>
        <w:t xml:space="preserve">întreprinderilor mici cu mai puțin de nouă angajați din România este ridicată: 99,8 % din totalul întreprinderilor active în sectorul industrial, în sectorul construcțiilor sau în sectorul serviciilor în 2023 erau întreprinderi mici și mijlocii, iar întreprinderile active cu până la nouă salariați reprezentau 91,7 % din totalul operatorilor economici și sociali activi în aceste sectoare de activitate. Acestea sunt deseori întreprinderi familiale. În astfel de întreprinderi mici, de multe ori nu există o separare clară între activele societății și activele private ale persoanelor care desfășoară activități comerciale. În astfel de cazuri, este extrem de dificil să se facă distincția între utilizarea privată și utilizarea în scopuri profesionale a autovehiculelor, iar cheltuielile necesare în acest scop ar fi disproporționat de mari, inclusiv cheltuielile care rezultă din necesitatea de a menține o documentație detaliată. </w:t>
      </w:r>
    </w:p>
    <w:p>
      <w:pPr>
        <w:rPr>
          <w:noProof/>
        </w:rPr>
      </w:pPr>
      <w:r>
        <w:rPr>
          <w:noProof/>
        </w:rPr>
        <w:t xml:space="preserve">Din aceste motive, România a fost autorizată să deroge de la articolul 168 din Directiva TVA prin limitarea la 50 % a dreptului de deducere a TVA-ului perceput la cumpărarea, achiziționarea intracomunitară, importul, închirierea sau leasingul de vehicule rutiere motorizate, precum și pentru cheltuielile aferente, inclusiv achiziționarea de combustibil, în cazul în care aceste vehicule nu sunt utilizate exclusiv în scopuri profesionale. În plus, pentru vehiculele rutiere motorizate cărora li se aplică această limită de 50 %, pentru a se evita dubla impunere, România a fost autorizată să scutească persoanele impozabile de obligația de a trata utilizarea acestor vehicule în alte scopuri decât pentru desfășurarea activității lor drept prestare de servicii efectuată cu plată în temeiul articolului 26 alineatul (1) litera (a) din Directiva TVA. Măsurile speciale nu s-au aplicat vehiculelor rutiere </w:t>
      </w:r>
      <w:r>
        <w:rPr>
          <w:noProof/>
          <w:color w:val="000000"/>
          <w:shd w:val="clear" w:color="auto" w:fill="FFFFFF"/>
        </w:rPr>
        <w:t>motorizate cu o masă totală maximă autorizată de peste 3 500 kg sau cu mai mult de nouă scaune, inclusiv scaunul șoferului. În plus,</w:t>
      </w:r>
      <w:r>
        <w:rPr>
          <w:noProof/>
        </w:rPr>
        <w:t xml:space="preserve"> unele categorii de vehicule au fost excluse în mod expres de la această restricție a dreptului de deducere, de exemplu vehiculele utilizate exclusiv pentru serviciile de urgență, de securitate, de protecție sau de curierat, vehiculele utilizate de agenții de vânzare și de cumpărare, vehiculele utilizate pentru transportul de pasageri și taxiurile, vehiculele utilizate de școlile de șoferi pentru instruire, vehiculele utilizate pentru închiriere sau leasing sau vehiculele utilizate ca produse în scopuri comerciale. </w:t>
      </w:r>
    </w:p>
    <w:p>
      <w:pPr>
        <w:rPr>
          <w:noProof/>
        </w:rPr>
      </w:pPr>
      <w:r>
        <w:rPr>
          <w:noProof/>
        </w:rPr>
        <w:t>Autorizația pentru măsurile speciale menționate mai sus a fost acordată pentru prima dată de Consiliu prin Decizia 2012/232/UE din 26 aprilie 2012, până la 31 decembrie 2014. În consecință, măsurile speciale au fost prelungite prin Decizia de punere în aplicare (UE) 2015/156 a Consiliului</w:t>
      </w:r>
      <w:r>
        <w:rPr>
          <w:rStyle w:val="FootnoteReference"/>
          <w:noProof/>
        </w:rPr>
        <w:footnoteReference w:id="3"/>
      </w:r>
      <w:r>
        <w:rPr>
          <w:noProof/>
        </w:rPr>
        <w:t xml:space="preserve"> din 27 ianuarie 2015 până la 31 decembrie 2017, prin Decizia de punere în aplicare (UE) 2017/2012 a Consiliului</w:t>
      </w:r>
      <w:r>
        <w:rPr>
          <w:rStyle w:val="FootnoteReference"/>
          <w:noProof/>
        </w:rPr>
        <w:footnoteReference w:id="4"/>
      </w:r>
      <w:r>
        <w:rPr>
          <w:noProof/>
        </w:rPr>
        <w:t xml:space="preserve"> din 7 noiembrie 2017 până la 31 decembrie 2020 și prin Decizia de punere în aplicare (UE) 2020/1262 a Consiliului</w:t>
      </w:r>
      <w:r>
        <w:rPr>
          <w:rStyle w:val="FootnoteReference"/>
          <w:noProof/>
        </w:rPr>
        <w:footnoteReference w:id="5"/>
      </w:r>
      <w:r>
        <w:rPr>
          <w:noProof/>
        </w:rPr>
        <w:t xml:space="preserve"> din 4 septembrie 2020 până la 31 decembrie 2023. Prin intermediul unei derogări noi, dar identice </w:t>
      </w:r>
      <w:r>
        <w:rPr>
          <w:noProof/>
        </w:rPr>
        <w:lastRenderedPageBreak/>
        <w:t>din punctul de vedere al conținutului, măsurile speciale au fost prelungite din nou până la 24 mai 2024 prin Decizia de punere în aplicare (UE) 2024/1641 a Consiliului din 31 decembrie 2026.</w:t>
      </w:r>
    </w:p>
    <w:p>
      <w:pPr>
        <w:pBdr>
          <w:top w:val="nil"/>
          <w:left w:val="nil"/>
          <w:bottom w:val="nil"/>
          <w:right w:val="nil"/>
          <w:between w:val="nil"/>
          <w:bar w:val="nil"/>
        </w:pBdr>
        <w:spacing w:before="0" w:after="240"/>
        <w:rPr>
          <w:noProof/>
        </w:rPr>
      </w:pPr>
      <w:r>
        <w:rPr>
          <w:noProof/>
        </w:rPr>
        <w:t>Prezenta cerere a României de a prelungi în continuare măsurile speciale se bazează pe aceleași motive ca cele prezentate în cererile anterioare. Cererea este însoțită de un raport care include o reexaminare a limitării procentuale care se aplică dreptului de deducere, în conformitate cu articolul 5 alineatul (3) din Decizia de punere în aplicare (UE) 2024/1641 a Consiliului. România susține că măsurile speciale și-au îndeplinit rolul. derogarea este o simplificare care elimină necesitatea ca persoana impozabilă să țină evidența kilometrajului aferent utilizării în scopuri profesionale și a kilometrajului aferent utilizării în scopuri personale a vehiculului și creează condițiile care permit evitarea evaziunii fiscale ce ar putea rezulta în urma înregistrării unui kilometraj inferior celui efectiv parcurs în scopuri personale. România consideră că se aplică în continuare condițiile de aplicare a măsurilor speciale și că limita de deducere a TVA-ului achitat în amonte, de 50 %, aplicată în prezent, rămâne adecvată și reflectă circumstanțele economice actuale din România.</w:t>
      </w:r>
    </w:p>
    <w:p>
      <w:pPr>
        <w:rPr>
          <w:noProof/>
        </w:rPr>
      </w:pPr>
      <w:r>
        <w:rPr>
          <w:noProof/>
        </w:rPr>
        <w:t>Dat fiind impactul pozitiv al măsurilor speciale în ceea ce privește sarcina administrativă a contribuabililor și a administrațiilor fiscale, se propune autorizarea prelungirii măsurilor speciale actuale. Autorizația ar trebui să fie valabilă pentru o nouă perioadă limitată, și anume până la 31 decembrie 2029, pentru a permite o revizuire a necesității și a eficacității măsurilor speciale și pentru a se stabili dacă restricția de 50 % continuă să reflecte în mod corect raportul global dintre utilizarea în scopuri profesionale și utilizarea în interes personal. Orice cerere de prelungire suplimentară trebuie să fie însoțită de un raport care să cuprindă o reexaminare a procentului aplicat și să fie trimisă Comisiei până la 31 martie 2029.</w:t>
      </w:r>
    </w:p>
    <w:p>
      <w:pPr>
        <w:pStyle w:val="ManualHeading2"/>
        <w:rPr>
          <w:rFonts w:eastAsia="Arial Unicode MS"/>
          <w:noProof/>
        </w:rPr>
      </w:pPr>
      <w:r>
        <w:rPr>
          <w:noProof/>
          <w:color w:val="000000"/>
          <w:u w:color="000000"/>
          <w:bdr w:val="nil"/>
        </w:rPr>
        <w:t>•</w:t>
      </w:r>
      <w:r>
        <w:rPr>
          <w:noProof/>
        </w:rPr>
        <w:tab/>
        <w:t>Coerența cu dispozițiile de politică deja existente în domeniul de politică vizat</w:t>
      </w:r>
    </w:p>
    <w:p>
      <w:pPr>
        <w:rPr>
          <w:noProof/>
        </w:rPr>
      </w:pPr>
      <w:r>
        <w:rPr>
          <w:noProof/>
        </w:rPr>
        <w:t>Derogări similare în ceea ce privește dreptul de deducere au fost acordate și altor state membre (Italia</w:t>
      </w:r>
      <w:r>
        <w:rPr>
          <w:rStyle w:val="FootnoteReference"/>
          <w:noProof/>
        </w:rPr>
        <w:footnoteReference w:id="6"/>
      </w:r>
      <w:r>
        <w:rPr>
          <w:noProof/>
        </w:rPr>
        <w:t>, Polonia</w:t>
      </w:r>
      <w:r>
        <w:rPr>
          <w:rStyle w:val="FootnoteReference"/>
          <w:noProof/>
        </w:rPr>
        <w:footnoteReference w:id="7"/>
      </w:r>
      <w:r>
        <w:rPr>
          <w:noProof/>
        </w:rPr>
        <w:t>, Estonia</w:t>
      </w:r>
      <w:r>
        <w:rPr>
          <w:rStyle w:val="FootnoteReference"/>
          <w:noProof/>
        </w:rPr>
        <w:footnoteReference w:id="8"/>
      </w:r>
      <w:r>
        <w:rPr>
          <w:noProof/>
        </w:rPr>
        <w:t>, Ungaria</w:t>
      </w:r>
      <w:r>
        <w:rPr>
          <w:rStyle w:val="FootnoteReference"/>
          <w:noProof/>
        </w:rPr>
        <w:footnoteReference w:id="9"/>
      </w:r>
      <w:r>
        <w:rPr>
          <w:noProof/>
        </w:rPr>
        <w:t>, Croația</w:t>
      </w:r>
      <w:r>
        <w:rPr>
          <w:rStyle w:val="FootnoteReference"/>
          <w:noProof/>
        </w:rPr>
        <w:footnoteReference w:id="10"/>
      </w:r>
      <w:r>
        <w:rPr>
          <w:noProof/>
        </w:rPr>
        <w:t xml:space="preserve"> și Letonia</w:t>
      </w:r>
      <w:r>
        <w:rPr>
          <w:rStyle w:val="FootnoteReference"/>
          <w:noProof/>
        </w:rPr>
        <w:footnoteReference w:id="11"/>
      </w:r>
      <w:r>
        <w:rPr>
          <w:noProof/>
        </w:rPr>
        <w:t xml:space="preserve">). </w:t>
      </w:r>
    </w:p>
    <w:p>
      <w:pPr>
        <w:widowControl w:val="0"/>
        <w:shd w:val="clear" w:color="auto" w:fill="FFFFFF"/>
        <w:autoSpaceDE w:val="0"/>
        <w:autoSpaceDN w:val="0"/>
        <w:adjustRightInd w:val="0"/>
        <w:spacing w:before="230" w:after="0" w:line="269" w:lineRule="exact"/>
        <w:ind w:right="86"/>
        <w:rPr>
          <w:noProof/>
        </w:rPr>
      </w:pPr>
      <w:r>
        <w:rPr>
          <w:noProof/>
        </w:rPr>
        <w:lastRenderedPageBreak/>
        <w:t xml:space="preserve">Conform articolului 176 din Directiva TVA, Consiliul stabilește cheltuielile pentru care TVA-ul nu este deductibil. Până la adoptarea unor dispoziții în acest sens, statele membre pot menține excluderile care erau în vigoare în temeiul legislației naționale la 1 ianuarie 1979. Pe această bază, există o serie de dispoziții de tip „statu-quo” care limitează dreptul de deducere a TVA-ului în ceea ce privește vehiculele rutiere motorizate care nu sunt utilizate exclusiv în scopuri profesionale. </w:t>
      </w:r>
    </w:p>
    <w:p>
      <w:pPr>
        <w:widowControl w:val="0"/>
        <w:shd w:val="clear" w:color="auto" w:fill="FFFFFF"/>
        <w:autoSpaceDE w:val="0"/>
        <w:autoSpaceDN w:val="0"/>
        <w:adjustRightInd w:val="0"/>
        <w:spacing w:before="230" w:after="0" w:line="269" w:lineRule="exact"/>
        <w:ind w:right="86"/>
        <w:rPr>
          <w:noProof/>
        </w:rPr>
      </w:pPr>
      <w:r>
        <w:rPr>
          <w:noProof/>
        </w:rPr>
        <w:t>Inițiativele anterioare de stabilire a unor norme privind categoriile de cheltuieli care pot face obiectul unei limitări a dreptului de deducere au eșuat</w:t>
      </w:r>
      <w:r>
        <w:rPr>
          <w:rStyle w:val="FootnoteReference"/>
          <w:noProof/>
        </w:rPr>
        <w:footnoteReference w:id="12"/>
      </w:r>
      <w:r>
        <w:rPr>
          <w:noProof/>
        </w:rPr>
        <w:t>. Până la armonizarea acestor norme la nivelul UE, măsurile speciale precum cele de față sunt considerate adecvate.</w:t>
      </w:r>
    </w:p>
    <w:p>
      <w:pPr>
        <w:widowControl w:val="0"/>
        <w:shd w:val="clear" w:color="auto" w:fill="FFFFFF"/>
        <w:autoSpaceDE w:val="0"/>
        <w:autoSpaceDN w:val="0"/>
        <w:adjustRightInd w:val="0"/>
        <w:spacing w:before="230" w:after="0" w:line="269" w:lineRule="exact"/>
        <w:ind w:right="86"/>
        <w:rPr>
          <w:rFonts w:eastAsia="Arial Unicode MS"/>
          <w:noProof/>
          <w:color w:val="000000" w:themeColor="text1"/>
        </w:rPr>
      </w:pPr>
      <w:r>
        <w:rPr>
          <w:noProof/>
        </w:rPr>
        <w:t>Prin urmare, măsurile speciale propuse sunt în concordanță cu dispozițiile Directivei TVA</w:t>
      </w:r>
      <w:r>
        <w:rPr>
          <w:noProof/>
          <w:color w:val="000000" w:themeColor="text1"/>
        </w:rPr>
        <w:t>.</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Coerența cu alte politici ale Uniunii</w:t>
      </w:r>
    </w:p>
    <w:p>
      <w:pPr>
        <w:pBdr>
          <w:top w:val="nil"/>
          <w:left w:val="nil"/>
          <w:bottom w:val="nil"/>
          <w:right w:val="nil"/>
          <w:between w:val="nil"/>
          <w:bar w:val="nil"/>
        </w:pBdr>
        <w:rPr>
          <w:rFonts w:eastAsia="Arial Unicode MS"/>
          <w:noProof/>
        </w:rPr>
      </w:pPr>
      <w:r>
        <w:rPr>
          <w:noProof/>
        </w:rPr>
        <w:t>Această măsură este coerentă cu Strategia UE privind start-upurile și întreprinderile în fază de extindere</w:t>
      </w:r>
      <w:r>
        <w:rPr>
          <w:rStyle w:val="FootnoteReference"/>
          <w:rFonts w:eastAsia="Arial Unicode MS"/>
          <w:noProof/>
        </w:rPr>
        <w:footnoteReference w:id="13"/>
      </w:r>
      <w:r>
        <w:rPr>
          <w:noProof/>
        </w:rPr>
        <w:t xml:space="preserve"> pentru a sprijini întreprinderile tinere și inovatoare și este, de asemenea, compatibilă cu programul de lucru al Comisiei pentru 2025</w:t>
      </w:r>
      <w:r>
        <w:rPr>
          <w:rStyle w:val="FootnoteReference"/>
          <w:noProof/>
        </w:rPr>
        <w:footnoteReference w:id="14"/>
      </w:r>
      <w:r>
        <w:rPr>
          <w:noProof/>
        </w:rPr>
        <w:t>, care evidențiază agenda de punere în aplicare și de simplificare.</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u w:color="000000"/>
          <w:bdr w:val="nil"/>
        </w:rPr>
        <w:t>•</w:t>
      </w:r>
      <w:r>
        <w:rPr>
          <w:noProof/>
        </w:rPr>
        <w:tab/>
      </w:r>
      <w:r>
        <w:rPr>
          <w:noProof/>
          <w:u w:color="000000"/>
          <w:bdr w:val="nil"/>
        </w:rPr>
        <w:t>Temei juridic</w:t>
      </w:r>
    </w:p>
    <w:p>
      <w:pPr>
        <w:rPr>
          <w:noProof/>
        </w:rPr>
      </w:pPr>
      <w:r>
        <w:rPr>
          <w:noProof/>
        </w:rPr>
        <w:t>Articolul 395 din Directiva TVA.</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Subsidiaritatea (în cazul competențelor neexclusive) </w:t>
      </w:r>
    </w:p>
    <w:p>
      <w:pPr>
        <w:rPr>
          <w:noProof/>
        </w:rPr>
      </w:pPr>
      <w:r>
        <w:rPr>
          <w:noProof/>
        </w:rPr>
        <w:t>Având în vedere dispoziția din Directiva TVA pe care se întemeiază propunerea, principiul subsidiarității nu se aplică.</w:t>
      </w:r>
    </w:p>
    <w:p>
      <w:pPr>
        <w:pStyle w:val="ManualHeading2"/>
        <w:rPr>
          <w:rFonts w:eastAsia="Arial Unicode MS"/>
          <w:noProof/>
          <w:u w:color="000000"/>
          <w:bdr w:val="nil"/>
        </w:rPr>
      </w:pPr>
      <w:r>
        <w:rPr>
          <w:noProof/>
          <w:u w:color="000000"/>
          <w:bdr w:val="nil"/>
        </w:rPr>
        <w:t>•</w:t>
      </w:r>
      <w:r>
        <w:rPr>
          <w:noProof/>
        </w:rPr>
        <w:tab/>
      </w:r>
      <w:r>
        <w:rPr>
          <w:noProof/>
          <w:u w:color="000000"/>
          <w:bdr w:val="nil"/>
        </w:rPr>
        <w:t>Proporționalitatea</w:t>
      </w:r>
    </w:p>
    <w:p>
      <w:pPr>
        <w:widowControl w:val="0"/>
        <w:shd w:val="clear" w:color="auto" w:fill="FFFFFF"/>
        <w:autoSpaceDE w:val="0"/>
        <w:autoSpaceDN w:val="0"/>
        <w:adjustRightInd w:val="0"/>
        <w:spacing w:before="230" w:after="0" w:line="269" w:lineRule="exact"/>
        <w:ind w:right="86"/>
        <w:rPr>
          <w:noProof/>
        </w:rPr>
      </w:pPr>
      <w:r>
        <w:rPr>
          <w:noProof/>
        </w:rPr>
        <w:t>Decizia se referă la o autorizare acordată unui stat membru la solicitarea acestuia și nu constituie o obligație.</w:t>
      </w:r>
    </w:p>
    <w:p>
      <w:pPr>
        <w:widowControl w:val="0"/>
        <w:shd w:val="clear" w:color="auto" w:fill="FFFFFF"/>
        <w:autoSpaceDE w:val="0"/>
        <w:autoSpaceDN w:val="0"/>
        <w:adjustRightInd w:val="0"/>
        <w:spacing w:before="230" w:after="0" w:line="269" w:lineRule="exact"/>
        <w:ind w:right="86"/>
        <w:rPr>
          <w:noProof/>
        </w:rPr>
      </w:pPr>
      <w:r>
        <w:rPr>
          <w:noProof/>
        </w:rPr>
        <w:t xml:space="preserve">Având în vedere domeniul de aplicare limitat al derogării, măsurile speciale sunt proporționale cu obiectivul urmărit, și anume simplificarea colectării taxelor și prevenirea anumitor forme de evaziune fiscală sau de evitare a obligațiilor fiscale. În special, având în vedere posibilitatea ca întreprinderile să declare un cuantum al TVA-ului mai mic decât cel datorat și povara pe care o reprezintă pentru autoritățile fiscale verificarea datelor de </w:t>
      </w:r>
      <w:r>
        <w:rPr>
          <w:noProof/>
        </w:rPr>
        <w:lastRenderedPageBreak/>
        <w:t>kilometraj, limitarea la 50 % ar simplifica procedura de colectare a TVA-ului și ar preveni evaziunea fiscală cauzată, printre altele, de păstrarea incorectă a evidențelor.</w:t>
      </w:r>
    </w:p>
    <w:p>
      <w:pPr>
        <w:pStyle w:val="ManualHeading2"/>
        <w:rPr>
          <w:rFonts w:eastAsia="Arial Unicode MS"/>
          <w:noProof/>
          <w:u w:color="000000"/>
          <w:bdr w:val="nil"/>
        </w:rPr>
      </w:pPr>
      <w:r>
        <w:rPr>
          <w:noProof/>
          <w:u w:color="000000"/>
          <w:bdr w:val="nil"/>
        </w:rPr>
        <w:t>•</w:t>
      </w:r>
      <w:r>
        <w:rPr>
          <w:noProof/>
        </w:rPr>
        <w:tab/>
      </w:r>
      <w:r>
        <w:rPr>
          <w:noProof/>
          <w:u w:color="000000"/>
          <w:bdr w:val="nil"/>
        </w:rPr>
        <w:t>Alegerea instrumentului</w:t>
      </w:r>
    </w:p>
    <w:p>
      <w:pPr>
        <w:widowControl w:val="0"/>
        <w:shd w:val="clear" w:color="auto" w:fill="FFFFFF"/>
        <w:autoSpaceDE w:val="0"/>
        <w:autoSpaceDN w:val="0"/>
        <w:adjustRightInd w:val="0"/>
        <w:spacing w:before="230" w:after="0" w:line="269" w:lineRule="exact"/>
        <w:ind w:right="86"/>
        <w:rPr>
          <w:noProof/>
        </w:rPr>
      </w:pPr>
      <w:r>
        <w:rPr>
          <w:noProof/>
        </w:rPr>
        <w:t>Instrumentul propus este o decizie de punere în aplicare a Consiliului.</w:t>
      </w:r>
    </w:p>
    <w:p>
      <w:pPr>
        <w:widowControl w:val="0"/>
        <w:shd w:val="clear" w:color="auto" w:fill="FFFFFF"/>
        <w:autoSpaceDE w:val="0"/>
        <w:autoSpaceDN w:val="0"/>
        <w:adjustRightInd w:val="0"/>
        <w:spacing w:before="230" w:after="0" w:line="269" w:lineRule="exact"/>
        <w:ind w:right="86"/>
        <w:rPr>
          <w:noProof/>
        </w:rPr>
      </w:pPr>
      <w:r>
        <w:rPr>
          <w:noProof/>
        </w:rPr>
        <w:t>În conformitate cu articolul 395 din Directiva TVA, o derogare de la dispozițiile comune în materie de TVA este posibilă numai cu autorizarea Consiliului, hotărând în unanimitate la propunerea Comisiei. O decizie de punere în aplicare a Consiliului este cel mai adecvat instrument, deoarece poate fi adresată statelor membre în mod individual.</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Consultarea cu părțile interesate</w:t>
      </w:r>
    </w:p>
    <w:p>
      <w:pPr>
        <w:widowControl w:val="0"/>
        <w:shd w:val="clear" w:color="auto" w:fill="FFFFFF"/>
        <w:autoSpaceDE w:val="0"/>
        <w:autoSpaceDN w:val="0"/>
        <w:adjustRightInd w:val="0"/>
        <w:spacing w:before="230" w:after="0" w:line="269" w:lineRule="exact"/>
        <w:ind w:right="86"/>
        <w:rPr>
          <w:noProof/>
        </w:rPr>
      </w:pPr>
      <w:r>
        <w:rPr>
          <w:noProof/>
        </w:rPr>
        <w:t>Nu s-a efectuat o consultare cu părțile interesate.</w:t>
      </w:r>
      <w:r>
        <w:rPr>
          <w:noProof/>
          <w:u w:color="000000"/>
          <w:bdr w:val="nil"/>
        </w:rPr>
        <w:t xml:space="preserve"> Prezenta propunere se bazează pe o cerere înaintată de România și se referă doar la acest stat membru.</w:t>
      </w:r>
    </w:p>
    <w:p>
      <w:pPr>
        <w:pStyle w:val="ManualHeading2"/>
        <w:rPr>
          <w:rFonts w:eastAsia="Arial Unicode MS"/>
          <w:noProof/>
          <w:u w:color="000000"/>
          <w:bdr w:val="nil"/>
        </w:rPr>
      </w:pPr>
      <w:r>
        <w:rPr>
          <w:noProof/>
          <w:u w:color="000000"/>
          <w:bdr w:val="nil"/>
        </w:rPr>
        <w:t>•</w:t>
      </w:r>
      <w:r>
        <w:rPr>
          <w:noProof/>
        </w:rPr>
        <w:tab/>
      </w:r>
      <w:r>
        <w:rPr>
          <w:noProof/>
          <w:u w:color="000000"/>
          <w:bdr w:val="nil"/>
        </w:rPr>
        <w:t>Obținerea și utilizarea cunoștințelor de specialitate</w:t>
      </w:r>
    </w:p>
    <w:p>
      <w:pPr>
        <w:rPr>
          <w:noProof/>
        </w:rPr>
      </w:pPr>
      <w:r>
        <w:rPr>
          <w:noProof/>
        </w:rPr>
        <w:t>Nu a fost necesar să se recurgă la cunoștințe de specialitate externe.</w:t>
      </w:r>
    </w:p>
    <w:p>
      <w:pPr>
        <w:pStyle w:val="ManualHeading2"/>
        <w:rPr>
          <w:rFonts w:eastAsia="Arial Unicode MS"/>
          <w:noProof/>
          <w:u w:color="000000"/>
          <w:bdr w:val="nil"/>
        </w:rPr>
      </w:pPr>
      <w:r>
        <w:rPr>
          <w:noProof/>
          <w:u w:color="000000"/>
          <w:bdr w:val="nil"/>
        </w:rPr>
        <w:t>•</w:t>
      </w:r>
      <w:r>
        <w:rPr>
          <w:noProof/>
        </w:rPr>
        <w:tab/>
      </w:r>
      <w:r>
        <w:rPr>
          <w:noProof/>
          <w:u w:color="000000"/>
          <w:bdr w:val="nil"/>
        </w:rPr>
        <w:t>Evaluarea impactului</w:t>
      </w:r>
    </w:p>
    <w:p>
      <w:pPr>
        <w:widowControl w:val="0"/>
        <w:shd w:val="clear" w:color="auto" w:fill="FFFFFF"/>
        <w:autoSpaceDE w:val="0"/>
        <w:autoSpaceDN w:val="0"/>
        <w:adjustRightInd w:val="0"/>
        <w:spacing w:before="230" w:after="0" w:line="269" w:lineRule="exact"/>
        <w:ind w:right="86"/>
        <w:rPr>
          <w:rFonts w:eastAsia="Arial Unicode MS"/>
          <w:noProof/>
          <w:u w:color="000000"/>
          <w:bdr w:val="nil"/>
        </w:rPr>
      </w:pPr>
      <w:r>
        <w:rPr>
          <w:noProof/>
          <w:u w:color="000000"/>
          <w:bdr w:val="nil"/>
        </w:rPr>
        <w:t xml:space="preserve">Propunerea are ca scop simplificarea procedurii de colectare a TVA-ului și prevenirea evaziunii în materie de TVA. Măsurile speciale propuse au așadar un potențial impact pozitiv deopotrivă pentru întreprinderi și pentru administrația fiscală. </w:t>
      </w:r>
      <w:r>
        <w:rPr>
          <w:noProof/>
        </w:rPr>
        <w:t>România a identificat măsurile speciale ca fiind cea mai potrivită soluție, fiind comparabile cu alte derogări din trecut și din prezent care au fost acordate altor state membre.</w:t>
      </w:r>
    </w:p>
    <w:p>
      <w:pPr>
        <w:pStyle w:val="ManualHeading2"/>
        <w:rPr>
          <w:rFonts w:eastAsia="Arial Unicode MS"/>
          <w:noProof/>
          <w:u w:color="000000"/>
          <w:bdr w:val="nil"/>
        </w:rPr>
      </w:pPr>
      <w:r>
        <w:rPr>
          <w:noProof/>
          <w:u w:color="000000"/>
          <w:bdr w:val="nil"/>
        </w:rPr>
        <w:t>•</w:t>
      </w:r>
      <w:r>
        <w:rPr>
          <w:noProof/>
        </w:rPr>
        <w:tab/>
      </w:r>
      <w:r>
        <w:rPr>
          <w:noProof/>
          <w:u w:color="000000"/>
          <w:bdr w:val="nil"/>
        </w:rPr>
        <w:t>Drepturile fundamentale</w:t>
      </w:r>
    </w:p>
    <w:p>
      <w:pPr>
        <w:pBdr>
          <w:top w:val="nil"/>
          <w:left w:val="nil"/>
          <w:bottom w:val="nil"/>
          <w:right w:val="nil"/>
          <w:between w:val="nil"/>
          <w:bar w:val="nil"/>
        </w:pBdr>
        <w:spacing w:before="0" w:after="240"/>
        <w:rPr>
          <w:noProof/>
        </w:rPr>
      </w:pPr>
      <w:r>
        <w:rPr>
          <w:noProof/>
        </w:rPr>
        <w:t>Propunerea nu are consecințe asupra protecției drepturilor fundamentale.</w:t>
      </w:r>
    </w:p>
    <w:p>
      <w:pPr>
        <w:pStyle w:val="ManualHeading1"/>
        <w:rPr>
          <w:noProof/>
        </w:rPr>
      </w:pPr>
      <w:r>
        <w:rPr>
          <w:noProof/>
        </w:rPr>
        <w:t>4.</w:t>
      </w:r>
      <w:r>
        <w:rPr>
          <w:noProof/>
        </w:rPr>
        <w:tab/>
        <w:t>IMPLICAȚII BUGETARE</w:t>
      </w:r>
    </w:p>
    <w:p>
      <w:pPr>
        <w:widowControl w:val="0"/>
        <w:shd w:val="clear" w:color="auto" w:fill="FFFFFF"/>
        <w:autoSpaceDE w:val="0"/>
        <w:autoSpaceDN w:val="0"/>
        <w:adjustRightInd w:val="0"/>
        <w:spacing w:before="230" w:after="0" w:line="269" w:lineRule="exact"/>
        <w:ind w:right="86"/>
        <w:rPr>
          <w:b/>
          <w:noProof/>
        </w:rPr>
      </w:pPr>
      <w:r>
        <w:rPr>
          <w:noProof/>
        </w:rPr>
        <w:t xml:space="preserve">Propunerea nu va avea efecte adverse asupra resurselor proprii ale Uniunii provenind din TVA. </w:t>
      </w:r>
    </w:p>
    <w:p>
      <w:pPr>
        <w:pStyle w:val="ManualHeading1"/>
        <w:rPr>
          <w:noProof/>
        </w:rPr>
      </w:pPr>
      <w:r>
        <w:rPr>
          <w:noProof/>
        </w:rPr>
        <w:t>5.</w:t>
      </w:r>
      <w:r>
        <w:rPr>
          <w:noProof/>
        </w:rPr>
        <w:tab/>
        <w:t>ALTE ELEMENTE</w:t>
      </w:r>
    </w:p>
    <w:p>
      <w:pPr>
        <w:rPr>
          <w:b/>
          <w:noProof/>
          <w:u w:color="000000"/>
          <w:bdr w:val="nil"/>
        </w:rPr>
      </w:pPr>
      <w:r>
        <w:rPr>
          <w:noProof/>
          <w:u w:color="000000"/>
          <w:bdr w:val="nil"/>
        </w:rPr>
        <w:t>Propunerea este limitată în timp și include o clauză de încetare a efectelor la data de 31 decembrie 2029.</w:t>
      </w:r>
    </w:p>
    <w:p>
      <w:pPr>
        <w:widowControl w:val="0"/>
        <w:shd w:val="clear" w:color="auto" w:fill="FFFFFF"/>
        <w:autoSpaceDE w:val="0"/>
        <w:autoSpaceDN w:val="0"/>
        <w:adjustRightInd w:val="0"/>
        <w:spacing w:before="230" w:after="0" w:line="269" w:lineRule="exact"/>
        <w:ind w:right="86"/>
        <w:rPr>
          <w:noProof/>
        </w:rPr>
      </w:pPr>
      <w:r>
        <w:rPr>
          <w:noProof/>
          <w:u w:color="000000"/>
          <w:bdr w:val="nil"/>
        </w:rPr>
        <w:t>În cazul în care ar lua în calcul o nouă prelungire a măsurilor de derogare după 2029, România trebuie să prezinte Comisiei o cerere de prelungire, însoțită de un raport care să includă o reexaminare a limitării procentuale, până cel târziu la 31 martie 2029.</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2026/0253 (NLE)</w:t>
      </w:r>
    </w:p>
    <w:p>
      <w:pPr>
        <w:pStyle w:val="Statut"/>
        <w:rPr>
          <w:noProof/>
        </w:rPr>
      </w:pPr>
      <w:r>
        <w:rPr>
          <w:noProof/>
        </w:rPr>
        <w:t>Propunere de</w:t>
      </w:r>
    </w:p>
    <w:p>
      <w:pPr>
        <w:pStyle w:val="Typedudocument"/>
        <w:rPr>
          <w:noProof/>
        </w:rPr>
      </w:pPr>
      <w:r>
        <w:rPr>
          <w:noProof/>
        </w:rPr>
        <w:t>DECIZIE DE PUNERE ÎN APLICARE A CONSILIULUI</w:t>
      </w:r>
    </w:p>
    <w:p>
      <w:pPr>
        <w:pStyle w:val="Titreobjet"/>
        <w:rPr>
          <w:noProof/>
        </w:rPr>
      </w:pPr>
      <w:r>
        <w:rPr>
          <w:noProof/>
        </w:rPr>
        <w:t>de modificare a Deciziei de punere în aplicare (UE) 2024/1641 a Consiliului în ceea ce privește autorizarea României să aplice măsuri speciale de derogare de la articolul 26 alineatul (1) litera (a) și de la articolul 168 din Directiva 2006/112/CE privind sistemul comun al taxei pe valoarea adăugată</w:t>
      </w:r>
    </w:p>
    <w:p>
      <w:pPr>
        <w:pStyle w:val="Institutionquiagit"/>
        <w:rPr>
          <w:noProof/>
        </w:rPr>
      </w:pPr>
      <w:r>
        <w:rPr>
          <w:noProof/>
        </w:rPr>
        <w:t>CONSILIUL UNIUNII EUROPENE,</w:t>
      </w:r>
    </w:p>
    <w:p>
      <w:pPr>
        <w:rPr>
          <w:noProof/>
        </w:rPr>
      </w:pPr>
      <w:r>
        <w:rPr>
          <w:noProof/>
        </w:rPr>
        <w:t xml:space="preserve">având în vedere Tratatul privind funcționarea Uniunii Europene, </w:t>
      </w:r>
    </w:p>
    <w:p>
      <w:pPr>
        <w:rPr>
          <w:noProof/>
        </w:rPr>
      </w:pPr>
      <w:r>
        <w:rPr>
          <w:noProof/>
        </w:rPr>
        <w:t>având în vedere Directiva 2006/112/CE a Consiliului din 28 noiembrie 2006 privind sistemul comun al taxei pe valoarea adăugată</w:t>
      </w:r>
      <w:r>
        <w:rPr>
          <w:rStyle w:val="FootnoteReference"/>
          <w:noProof/>
        </w:rPr>
        <w:footnoteReference w:id="15"/>
      </w:r>
      <w:r>
        <w:rPr>
          <w:noProof/>
        </w:rPr>
        <w:t>, în special articolul 395 alineatul (1) primul paragraf,</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Prin Decizia de punere în aplicare (UE) 2024/1641 a Consiliului</w:t>
      </w:r>
      <w:r>
        <w:rPr>
          <w:rStyle w:val="FootnoteReference"/>
          <w:noProof/>
        </w:rPr>
        <w:footnoteReference w:id="16"/>
      </w:r>
      <w:r>
        <w:rPr>
          <w:noProof/>
        </w:rPr>
        <w:t>, România a fost autorizată să aplice măsuri speciale, prin derogare de la articolul 168 din Directiva 2006/112/CE, pentru a limita la 50 % dreptul de deducere a TVA-ului aferent cumpărării, achiziției intracomunitare, importului, închirierii sau leasingului anumitor vehicule rutiere motorizate, precum și a TVA-ului perceput pentru cheltuielile legate de vehiculele respective, în cazul în care acestea nu sunt utilizate exclusiv în scopuri profesionale, și, prin derogare de la articolul 26 alineatul (1) litera (a) din Directiva 2006/112/CE, pentru a scuti persoanele impozabile de obligația de a trata utilizarea acestor vehicule în alte scopuri decât pentru desfășurarea activității lor drept prestare de servicii efectuată cu plată. Aceste măsuri speciale urmează să expire la 31 decembrie 2026.</w:t>
      </w:r>
    </w:p>
    <w:p>
      <w:pPr>
        <w:pStyle w:val="ManualConsidrant"/>
        <w:rPr>
          <w:noProof/>
        </w:rPr>
      </w:pPr>
      <w:r>
        <w:rPr>
          <w:noProof/>
        </w:rPr>
        <w:t>(2)</w:t>
      </w:r>
      <w:r>
        <w:rPr>
          <w:noProof/>
        </w:rPr>
        <w:tab/>
        <w:t>Prin scrisoarea înregistrată de Comisie la 19 mai 2026, România a solicitat, în conformitate cu articolul 395 alineatul (2) primul paragraf din Directiva 2006/112/CE, autorizarea de a continua să aplice măsurile speciale după data de 31 decembrie 2026.</w:t>
      </w:r>
    </w:p>
    <w:p>
      <w:pPr>
        <w:pStyle w:val="ManualConsidrant"/>
        <w:rPr>
          <w:noProof/>
        </w:rPr>
      </w:pPr>
      <w:r>
        <w:rPr>
          <w:noProof/>
        </w:rPr>
        <w:t>(3)</w:t>
      </w:r>
      <w:r>
        <w:rPr>
          <w:noProof/>
        </w:rPr>
        <w:tab/>
        <w:t>Prin scrisoarea din 22 mai 2026, Comisia a transmis cererea înaintată de România celorlalte state membre, în conformitate cu articolul 395 alineatul (2) al doilea paragraf din Directiva 2006/112/CE. Prin scrisoarea datată 26 mai 2026, Comisia a informat România că dispune de toate informațiile necesare pentru analizarea cererii.</w:t>
      </w:r>
    </w:p>
    <w:p>
      <w:pPr>
        <w:pStyle w:val="ManualConsidrant"/>
        <w:rPr>
          <w:noProof/>
        </w:rPr>
      </w:pPr>
      <w:r>
        <w:rPr>
          <w:noProof/>
        </w:rPr>
        <w:t>(4)</w:t>
      </w:r>
      <w:r>
        <w:rPr>
          <w:noProof/>
        </w:rPr>
        <w:tab/>
        <w:t xml:space="preserve">În conformitate cu articolul 5 alineatul (3) din Decizia de punere în aplicare (UE) 2024/1641, România a prezentat, pe lângă cerere, un raport care includea reexaminarea procentului stabilit pentru limitarea dreptului de deducere a TVA-ului menționat la articolul 1 din decizia respectivă. Pe baza informațiilor disponibile în </w:t>
      </w:r>
      <w:r>
        <w:rPr>
          <w:noProof/>
        </w:rPr>
        <w:lastRenderedPageBreak/>
        <w:t xml:space="preserve">prezent, România susține că o limită de 50 % este în continuare justificabilă și adecvată. </w:t>
      </w:r>
    </w:p>
    <w:p>
      <w:pPr>
        <w:pStyle w:val="ManualConsidrant"/>
        <w:rPr>
          <w:noProof/>
        </w:rPr>
      </w:pPr>
      <w:r>
        <w:rPr>
          <w:noProof/>
        </w:rPr>
        <w:t>(5)</w:t>
      </w:r>
      <w:r>
        <w:rPr>
          <w:noProof/>
        </w:rPr>
        <w:tab/>
        <w:t>Dat fiind impactul pozitiv al măsurilor speciale asupra sarcinii administrative a contribuabililor și a autorităților fiscale prin simplificarea colectării TVA-ului și prevenirea evaziunii fiscale generate de ținerea incorectă a evidențelor, Comisia consideră așadar că este necesar ca România să fie autorizată să aplice în continuare măsurile speciale.</w:t>
      </w:r>
    </w:p>
    <w:p>
      <w:pPr>
        <w:pStyle w:val="ManualConsidrant"/>
        <w:rPr>
          <w:noProof/>
        </w:rPr>
      </w:pPr>
      <w:r>
        <w:rPr>
          <w:noProof/>
        </w:rPr>
        <w:t>(6)</w:t>
      </w:r>
      <w:r>
        <w:rPr>
          <w:noProof/>
        </w:rPr>
        <w:tab/>
        <w:t>Este necesar ca prelungirea măsurilor speciale să fie limitată în timp pentru a se permite o evaluare a eficacității sale și a caracterului adecvat al limitării procentuale aplicate dreptului de deducere a TVA-ului. Prin urmare, România ar trebui să fie autorizată să aplice în continuare măsurile speciale până la 31 decembrie 2029.</w:t>
      </w:r>
    </w:p>
    <w:p>
      <w:pPr>
        <w:pStyle w:val="ManualConsidrant"/>
        <w:rPr>
          <w:noProof/>
        </w:rPr>
      </w:pPr>
      <w:r>
        <w:rPr>
          <w:noProof/>
        </w:rPr>
        <w:t>(7)</w:t>
      </w:r>
      <w:r>
        <w:rPr>
          <w:noProof/>
        </w:rPr>
        <w:tab/>
        <w:t>Măsurile speciale sunt proporționale cu obiectivele urmărite, și anume simplificarea procedurii de colectare a TVA-ului și prevenirea anumitor forme de evaziune fiscală sau de evitare a obligațiilor fiscale, deoarece este limitată în timp și ca domeniu de aplicare. În plus, măsurile speciale nu generează riscul reorientării fraudei către alte sectoare sau către alte state membre.</w:t>
      </w:r>
    </w:p>
    <w:p>
      <w:pPr>
        <w:pStyle w:val="ManualConsidrant"/>
        <w:rPr>
          <w:noProof/>
        </w:rPr>
      </w:pPr>
      <w:r>
        <w:rPr>
          <w:noProof/>
        </w:rPr>
        <w:t>(8)</w:t>
      </w:r>
      <w:r>
        <w:rPr>
          <w:noProof/>
        </w:rPr>
        <w:tab/>
        <w:t>În cazul în care consideră că este necesară o nouă prelungire a măsurilor speciale după anul 2029, România ar trebui să transmită Comisiei, cel târziu la 31 martie 2029, o cerere de prelungire împreună cu un raport care să cuprindă o reexaminare a limitării procentuale aplicate dreptului de deducere a TVA-ului.</w:t>
      </w:r>
    </w:p>
    <w:p>
      <w:pPr>
        <w:pStyle w:val="ManualConsidrant"/>
        <w:rPr>
          <w:noProof/>
        </w:rPr>
      </w:pPr>
      <w:r>
        <w:rPr>
          <w:noProof/>
        </w:rPr>
        <w:t>(9)</w:t>
      </w:r>
      <w:r>
        <w:rPr>
          <w:noProof/>
        </w:rPr>
        <w:tab/>
        <w:t>Aplicarea măsurilor speciale după 31 decembrie 2026 va avea doar un efect neglijabil asupra cuantumului total al veniturilor fiscale ale României colectate în etapa de consum final și nu va afecta resursele proprii ale Uniunii provenite din TVA.</w:t>
      </w:r>
    </w:p>
    <w:p>
      <w:pPr>
        <w:pStyle w:val="ManualConsidrant"/>
        <w:rPr>
          <w:noProof/>
        </w:rPr>
      </w:pPr>
      <w:r>
        <w:rPr>
          <w:noProof/>
        </w:rPr>
        <w:t>(10)</w:t>
      </w:r>
      <w:r>
        <w:rPr>
          <w:noProof/>
        </w:rPr>
        <w:tab/>
        <w:t xml:space="preserve">Prin urmare, </w:t>
      </w:r>
      <w:bookmarkStart w:id="1" w:name="_Hlk230181882"/>
      <w:r>
        <w:rPr>
          <w:noProof/>
        </w:rPr>
        <w:t>Decizia de punere în aplicare (UE) 2024/1641 a Consiliului</w:t>
      </w:r>
      <w:bookmarkEnd w:id="1"/>
      <w:r>
        <w:rPr>
          <w:noProof/>
        </w:rPr>
        <w:t xml:space="preserve"> ar trebui modificată în consecință,</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La articolul 5 din Regulamentul de punere în aplicare (UE) 2024/1641, alineatele (2) și (3) se înlocuiesc cu următorul text:</w:t>
      </w:r>
    </w:p>
    <w:p>
      <w:pPr>
        <w:pStyle w:val="ManualNumPar1"/>
        <w:rPr>
          <w:noProof/>
        </w:rPr>
      </w:pPr>
      <w:r>
        <w:rPr>
          <w:noProof/>
        </w:rPr>
        <w:t>„(2)</w:t>
      </w:r>
      <w:r>
        <w:rPr>
          <w:noProof/>
        </w:rPr>
        <w:tab/>
        <w:t xml:space="preserve">Prezenta decizie se aplică de la 1 ianuarie 2027 până la 31 decembrie 2029. </w:t>
      </w:r>
    </w:p>
    <w:p>
      <w:pPr>
        <w:pStyle w:val="ManualNumPar1"/>
        <w:rPr>
          <w:noProof/>
        </w:rPr>
      </w:pPr>
      <w:r>
        <w:rPr>
          <w:noProof/>
        </w:rPr>
        <w:t>(3)</w:t>
      </w:r>
      <w:r>
        <w:rPr>
          <w:noProof/>
        </w:rPr>
        <w:tab/>
        <w:t>Orice cerere de prelungire a măsurilor speciale prevăzute la articolele 1 și 3 este prezentată Comisiei până la 31 martie 2029 și este însoțită de un raport care include o reexaminare a limitării procentuale aplicate dreptului de deducere a TVA-ului în temeiul prezentei decizii.”</w:t>
      </w:r>
    </w:p>
    <w:p>
      <w:pPr>
        <w:pStyle w:val="Titrearticle"/>
        <w:rPr>
          <w:noProof/>
        </w:rPr>
      </w:pPr>
      <w:r>
        <w:rPr>
          <w:noProof/>
        </w:rPr>
        <w:t>Articolul 2</w:t>
      </w:r>
    </w:p>
    <w:p>
      <w:pPr>
        <w:rPr>
          <w:noProof/>
        </w:rPr>
      </w:pPr>
      <w:r>
        <w:rPr>
          <w:noProof/>
        </w:rPr>
        <w:t>Prezenta decizie produce efecte de la data notificării.</w:t>
      </w:r>
    </w:p>
    <w:p>
      <w:pPr>
        <w:pStyle w:val="Titrearticle"/>
        <w:rPr>
          <w:noProof/>
        </w:rPr>
      </w:pPr>
      <w:r>
        <w:rPr>
          <w:noProof/>
        </w:rPr>
        <w:lastRenderedPageBreak/>
        <w:t>Articolul 3</w:t>
      </w:r>
    </w:p>
    <w:p>
      <w:pPr>
        <w:keepNext/>
        <w:keepLines/>
        <w:rPr>
          <w:noProof/>
        </w:rPr>
      </w:pPr>
      <w:r>
        <w:rPr>
          <w:noProof/>
        </w:rPr>
        <w:t>Prezenta decizie se adresează României.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OJ L 347, 11.12.2006, p. 1, ELI: </w:t>
      </w:r>
      <w:hyperlink r:id="rId1" w:history="1">
        <w:r>
          <w:rPr>
            <w:rStyle w:val="Hyperlink"/>
          </w:rPr>
          <w:t>http://data.europa.eu/eli/dir/2006/112/oj</w:t>
        </w:r>
      </w:hyperlink>
      <w:r>
        <w:t>.</w:t>
      </w:r>
    </w:p>
  </w:footnote>
  <w:footnote w:id="2">
    <w:p>
      <w:pPr>
        <w:pStyle w:val="FootnoteText"/>
      </w:pPr>
      <w:r>
        <w:rPr>
          <w:rStyle w:val="FootnoteReference"/>
        </w:rPr>
        <w:footnoteRef/>
      </w:r>
      <w:r>
        <w:tab/>
        <w:t xml:space="preserve">Decizia de punere în aplicare (UE) 2024/1641 a Consiliului din 24 mai 2024 de autorizare a României în vederea aplicării unor măsuri speciale de derogare de la articolul 26 alineatul (1) litera (a) și de la articolul 168 din Directiva 2006/112/CE privind sistemul comun al taxei pe valoarea adăugată (JO L, 2024/1641, 6.6.2024, ELI: </w:t>
      </w:r>
      <w:hyperlink r:id="rId2" w:history="1">
        <w:r>
          <w:rPr>
            <w:rStyle w:val="Hyperlink"/>
          </w:rPr>
          <w:t>http://data.europa.eu/eli/dec_impl/2024/1641/oj</w:t>
        </w:r>
      </w:hyperlink>
      <w:r>
        <w:t xml:space="preserve">). </w:t>
      </w:r>
    </w:p>
  </w:footnote>
  <w:footnote w:id="3">
    <w:p>
      <w:pPr>
        <w:pStyle w:val="FootnoteText"/>
      </w:pPr>
      <w:r>
        <w:rPr>
          <w:rStyle w:val="FootnoteReference"/>
        </w:rPr>
        <w:footnoteRef/>
      </w:r>
      <w:r>
        <w:tab/>
        <w:t xml:space="preserve">Decizia de punere în aplicare (UE) 2015/156 a Consiliului din 27 ianuarie 2015 de prelungire a perioadei de valabilitate a Deciziei de punere în aplicare 2012/232/UE de autorizare a României în vederea aplicării unei măsuri de derogare de la articolul 26 alineatul (1) litera (a) și de la articolul 168 din Directiva 2006/112/CE privind sistemul comun al taxei pe valoarea adăugată (JO L 26, 31.1.2015, p. 27, ELI: </w:t>
      </w:r>
      <w:hyperlink r:id="rId3" w:history="1">
        <w:r>
          <w:rPr>
            <w:rStyle w:val="Hyperlink"/>
          </w:rPr>
          <w:t>http://data.europa.eu/eli/dec_impl/2015/156/oj</w:t>
        </w:r>
      </w:hyperlink>
      <w:r>
        <w:t>).</w:t>
      </w:r>
    </w:p>
  </w:footnote>
  <w:footnote w:id="4">
    <w:p>
      <w:pPr>
        <w:pStyle w:val="FootnoteText"/>
      </w:pPr>
      <w:r>
        <w:rPr>
          <w:rStyle w:val="FootnoteReference"/>
        </w:rPr>
        <w:footnoteRef/>
      </w:r>
      <w:r>
        <w:tab/>
        <w:t xml:space="preserve">Decizia de punere în aplicare (UE) 2017/2012 a Consiliului din 7 noiembrie 2017 de modificare a Deciziei de punere în aplicare 2012/232/UE de autorizare a României în vederea aplicării unei măsuri de derogare de la articolul 26 alineatul (1) litera (a) și de la articolul 168 din Directiva 2006/112/CE privind sistemul comun al taxei pe valoarea adăugată (JO L 292, 10.11.2017, p. 57, ELI: </w:t>
      </w:r>
      <w:hyperlink r:id="rId4" w:history="1">
        <w:r>
          <w:rPr>
            <w:rStyle w:val="Hyperlink"/>
          </w:rPr>
          <w:t>http://data.europa.eu/eli/dec_impl/2017/2012/oj</w:t>
        </w:r>
      </w:hyperlink>
      <w:r>
        <w:t xml:space="preserve">). </w:t>
      </w:r>
    </w:p>
  </w:footnote>
  <w:footnote w:id="5">
    <w:p>
      <w:pPr>
        <w:pStyle w:val="FootnoteText"/>
      </w:pPr>
      <w:r>
        <w:rPr>
          <w:rStyle w:val="FootnoteReference"/>
        </w:rPr>
        <w:footnoteRef/>
      </w:r>
      <w:r>
        <w:tab/>
        <w:t xml:space="preserve">Decizia de punere în aplicare (UE) 2020/1262 a Consiliului din 4 septembrie 2020 de modificare a Deciziei de punere în aplicare 2012/232/UE de autorizare a României în vederea aplicării de măsuri de derogare de la articolul 26 alineatul (1) litera (a) și de la articolul 168 din Directiva 2006/112/CE privind sistemul comun al taxei pe valoarea adăugată (JO L 296, 10.9.2020, p. 6, ELI: </w:t>
      </w:r>
      <w:hyperlink r:id="rId5" w:history="1">
        <w:r>
          <w:rPr>
            <w:rStyle w:val="Hyperlink"/>
          </w:rPr>
          <w:t>http://data.europa.eu/eli/dec_impl/2020/1262/oj</w:t>
        </w:r>
      </w:hyperlink>
      <w:r>
        <w:t xml:space="preserve">). </w:t>
      </w:r>
    </w:p>
  </w:footnote>
  <w:footnote w:id="6">
    <w:p>
      <w:pPr>
        <w:pStyle w:val="FootnoteText"/>
      </w:pPr>
      <w:r>
        <w:rPr>
          <w:rStyle w:val="FootnoteReference"/>
        </w:rPr>
        <w:footnoteRef/>
      </w:r>
      <w:r>
        <w:tab/>
        <w:t xml:space="preserve">Decizia de punere în aplicare (UE) 2025/2529 a Consiliului din 8 decembrie 2025 de modificare a Deciziei 2007/441/CE de autorizare a Republicii Italiene de a aplica măsuri de derogare de la articolul 26 alineatul (1) litera (a) și de la articolul 168 din Directiva 2006/112/CE privind sistemul comun al taxei pe valoarea adăugată (JO L, 2025/2529, 12.12.2025, ELI: </w:t>
      </w:r>
      <w:hyperlink r:id="rId6" w:history="1">
        <w:r>
          <w:rPr>
            <w:rStyle w:val="Hyperlink"/>
          </w:rPr>
          <w:t>http://data.europa.eu/eli/dec_impl/2025/2529/oj</w:t>
        </w:r>
      </w:hyperlink>
      <w:r>
        <w:t xml:space="preserve">). </w:t>
      </w:r>
    </w:p>
  </w:footnote>
  <w:footnote w:id="7">
    <w:p>
      <w:pPr>
        <w:pStyle w:val="FootnoteText"/>
      </w:pPr>
      <w:r>
        <w:rPr>
          <w:rStyle w:val="FootnoteReference"/>
        </w:rPr>
        <w:footnoteRef/>
      </w:r>
      <w:r>
        <w:tab/>
        <w:t xml:space="preserve">Decizia de punere în aplicare (UE) 2025/1986 a Consiliului din 22 septembrie 2025 de modificare a Deciziei de punere în aplicare 2013/805/UE de autorizare a introducerii de către Republica Polonă a unor măsuri de derogare de la articolul 26 alineatul (1) litera (a) și de la articolul 168 din Directiva 2006/112/CE privind sistemul comun al taxei pe valoarea adăugată (JO L, 2025/1986, 30.9.2025, ELI: </w:t>
      </w:r>
      <w:hyperlink r:id="rId7" w:history="1">
        <w:r>
          <w:rPr>
            <w:rStyle w:val="Hyperlink"/>
          </w:rPr>
          <w:t>http://data.europa.eu/eli/dec_impl/2025/1986/oj</w:t>
        </w:r>
      </w:hyperlink>
      <w:r>
        <w:t xml:space="preserve">). </w:t>
      </w:r>
    </w:p>
  </w:footnote>
  <w:footnote w:id="8">
    <w:p>
      <w:pPr>
        <w:pStyle w:val="FootnoteText"/>
      </w:pPr>
      <w:r>
        <w:rPr>
          <w:rStyle w:val="FootnoteReference"/>
        </w:rPr>
        <w:footnoteRef/>
      </w:r>
      <w:r>
        <w:tab/>
        <w:t xml:space="preserve">Decizia de punere în aplicare (UE) 2025/539 a Consiliului din 18 martie 2025 de autorizare a Estoniei să aplice o măsură specială de derogare de la articolul 26 alineatul (1) litera (a) și de la articolele 168 și 168a din Directiva 2006/112/CE privind sistemul comun al taxei pe valoarea adăugată (JO L 2025/539, 21.3.2025, ELI: </w:t>
      </w:r>
      <w:hyperlink r:id="rId8" w:history="1">
        <w:r>
          <w:rPr>
            <w:rStyle w:val="Hyperlink"/>
          </w:rPr>
          <w:t>http://data.europa.eu/eli/dec_impl/2025/539/oj</w:t>
        </w:r>
      </w:hyperlink>
      <w:r>
        <w:t xml:space="preserve">). </w:t>
      </w:r>
    </w:p>
  </w:footnote>
  <w:footnote w:id="9">
    <w:p>
      <w:pPr>
        <w:pStyle w:val="FootnoteText"/>
      </w:pPr>
      <w:r>
        <w:rPr>
          <w:rStyle w:val="FootnoteReference"/>
        </w:rPr>
        <w:footnoteRef/>
      </w:r>
      <w:r>
        <w:tab/>
        <w:t xml:space="preserve">Decizia de punere în aplicare (UE) 2024/3205 a Consiliului din 10 decembrie 2024 de modificare a Deciziei de punere în aplicare (UE) 2018/1493 de autorizare a Ungariei să introducă o măsură specială de derogare de la articolul 26 alineatul (1) litera (a) și de la articolele 168 și 168a din Directiva 2006/112/CE privind sistemul comun al taxei pe valoarea adăugată (JO L 2024/3205, 19.12.2024, ELI: </w:t>
      </w:r>
      <w:hyperlink r:id="rId9" w:history="1">
        <w:r>
          <w:rPr>
            <w:rStyle w:val="Hyperlink"/>
          </w:rPr>
          <w:t>http://data.europa.eu/eli/dec_impl/2024/3205/oj</w:t>
        </w:r>
      </w:hyperlink>
      <w:r>
        <w:t xml:space="preserve">). </w:t>
      </w:r>
    </w:p>
  </w:footnote>
  <w:footnote w:id="10">
    <w:p>
      <w:pPr>
        <w:pStyle w:val="FootnoteText"/>
      </w:pPr>
      <w:r>
        <w:rPr>
          <w:rStyle w:val="FootnoteReference"/>
        </w:rPr>
        <w:footnoteRef/>
      </w:r>
      <w:r>
        <w:tab/>
        <w:t xml:space="preserve">Decizia de punere în aplicare (UE) 2024/2884 a Consiliului din 5 noiembrie 2024 de modificare a Deciziei de punere în aplicare (UE) 2018/1994 de autorizare a Croației să introducă o măsură specială de derogare de la articolul 26 alineatul (1) litera (a) și de la articolele 168 și 168a din Directiva 2006/112/CE privind sistemul comun al taxei pe valoarea adăugată (JO L, 2024/2884, 13.11.2024, ELI: </w:t>
      </w:r>
      <w:hyperlink r:id="rId10" w:history="1">
        <w:r>
          <w:rPr>
            <w:rStyle w:val="Hyperlink"/>
          </w:rPr>
          <w:t>http://data.europa.eu/eli/dec_impl/2024/2884/oj</w:t>
        </w:r>
      </w:hyperlink>
      <w:r>
        <w:t>).</w:t>
      </w:r>
    </w:p>
  </w:footnote>
  <w:footnote w:id="11">
    <w:p>
      <w:pPr>
        <w:pStyle w:val="FootnoteText"/>
      </w:pPr>
      <w:r>
        <w:rPr>
          <w:rStyle w:val="FootnoteReference"/>
        </w:rPr>
        <w:footnoteRef/>
      </w:r>
      <w:r>
        <w:tab/>
        <w:t xml:space="preserve">Decizia de punere în aplicare (UE) 2024/3206 a Consiliului din 10 decembrie 2024 de modificare a Deciziei de punere în aplicare (UE) 2015/2429 de autorizare a Letoniei să introducă o măsură specială de derogare de la articolul 26 alineatul (1) litera (a) și de la articolele 168 și 168a din Directiva 2006/112/CE privind sistemul comun al taxei pe valoarea adăugată (JO L, 2024/3206, 19.12.2024, ELI: </w:t>
      </w:r>
      <w:hyperlink r:id="rId11" w:history="1">
        <w:r>
          <w:rPr>
            <w:rStyle w:val="Hyperlink"/>
          </w:rPr>
          <w:t>http://data.europa.eu/eli/dec_impl/2024/3206/oj</w:t>
        </w:r>
      </w:hyperlink>
      <w:r>
        <w:t xml:space="preserve">). </w:t>
      </w:r>
    </w:p>
  </w:footnote>
  <w:footnote w:id="12">
    <w:p>
      <w:pPr>
        <w:pStyle w:val="FootnoteText"/>
      </w:pPr>
      <w:r>
        <w:rPr>
          <w:rStyle w:val="FootnoteReference"/>
        </w:rPr>
        <w:footnoteRef/>
      </w:r>
      <w:r>
        <w:tab/>
        <w:t>COM (2004) 728 final – Propunere de directivă a Consiliului de modificare a Directivei 77/388/CEE în vederea simplificării obligațiilor în materie de taxă pe valoarea adăugată (JO C 24, 29.1.2005, p. 10), retrasă la 21 mai 2014 (JO C 153, 21.5.2014, p. 3).</w:t>
      </w:r>
    </w:p>
  </w:footnote>
  <w:footnote w:id="13">
    <w:p>
      <w:pPr>
        <w:pStyle w:val="FootnoteText"/>
      </w:pPr>
      <w:r>
        <w:rPr>
          <w:rStyle w:val="FootnoteReference"/>
        </w:rPr>
        <w:footnoteRef/>
      </w:r>
      <w:r>
        <w:tab/>
        <w:t xml:space="preserve">Comunicare a Comisiei către Parlamentul European, Consiliu, Comitetul Economic și Social European și Comitetul Regiunilor, Strategia UE privind start-upurile și întreprinderile în faza de extindere Alegeți Europa pentru lansarea și dezvoltarea afacerii, COM(2025) 270 final; a se vedea </w:t>
      </w:r>
      <w:hyperlink r:id="rId12" w:history="1">
        <w:r>
          <w:rPr>
            <w:rStyle w:val="Hyperlink"/>
          </w:rPr>
          <w:t>EUR-Lex - 52025DC0270 - RO - EUR-Lex</w:t>
        </w:r>
      </w:hyperlink>
      <w:r>
        <w:t>.</w:t>
      </w:r>
    </w:p>
  </w:footnote>
  <w:footnote w:id="14">
    <w:p>
      <w:pPr>
        <w:spacing w:before="0" w:after="0"/>
        <w:ind w:left="720" w:hanging="720"/>
        <w:rPr>
          <w:sz w:val="20"/>
          <w:szCs w:val="20"/>
        </w:rPr>
      </w:pPr>
      <w:r>
        <w:rPr>
          <w:rStyle w:val="FootnoteReference"/>
        </w:rPr>
        <w:footnoteRef/>
      </w:r>
      <w:r>
        <w:tab/>
      </w:r>
      <w:r>
        <w:rPr>
          <w:sz w:val="20"/>
        </w:rPr>
        <w:t xml:space="preserve">Comunicarea Comisiei către Parlamentul European, Consiliu, Comitetul Economic și Social European și Comitetul Regiunilor - Programul de lucru al Comisiei pentru 2025 - Progresăm împreună: o Uniune mai ambițioasă, mai simplă și mai rapidă [COM(2025) 45 final]; a se vedea </w:t>
      </w:r>
      <w:hyperlink r:id="rId13" w:history="1">
        <w:r>
          <w:rPr>
            <w:rStyle w:val="Hyperlink"/>
            <w:sz w:val="20"/>
          </w:rPr>
          <w:t>EUR-Lex - 52025DC0045 - RO - EUR-Lex</w:t>
        </w:r>
      </w:hyperlink>
      <w:r>
        <w:rPr>
          <w:sz w:val="20"/>
        </w:rPr>
        <w:t>.</w:t>
      </w:r>
    </w:p>
  </w:footnote>
  <w:footnote w:id="15">
    <w:p>
      <w:pPr>
        <w:pStyle w:val="FootnoteText"/>
      </w:pPr>
      <w:r>
        <w:rPr>
          <w:rStyle w:val="FootnoteReference"/>
        </w:rPr>
        <w:footnoteRef/>
      </w:r>
      <w:r>
        <w:tab/>
        <w:t>JO L 347, 11.12.2006, p. 1,</w:t>
      </w:r>
      <w:bookmarkStart w:id="0" w:name="_Hlk170485812"/>
      <w:r>
        <w:t xml:space="preserve"> </w:t>
      </w:r>
      <w:r>
        <w:rPr>
          <w:color w:val="333333"/>
          <w:shd w:val="clear" w:color="auto" w:fill="FFFFFF"/>
        </w:rPr>
        <w:t xml:space="preserve">ELI: </w:t>
      </w:r>
      <w:hyperlink r:id="rId14" w:history="1">
        <w:r>
          <w:rPr>
            <w:rStyle w:val="Hyperlink"/>
          </w:rPr>
          <w:t>http://data.europa.eu/eli/dir/2006/112/oj</w:t>
        </w:r>
      </w:hyperlink>
      <w:bookmarkEnd w:id="0"/>
      <w:r>
        <w:t>.</w:t>
      </w:r>
    </w:p>
  </w:footnote>
  <w:footnote w:id="16">
    <w:p>
      <w:pPr>
        <w:pStyle w:val="FootnoteText"/>
      </w:pPr>
      <w:r>
        <w:rPr>
          <w:rStyle w:val="FootnoteReference"/>
        </w:rPr>
        <w:footnoteRef/>
      </w:r>
      <w:r>
        <w:tab/>
        <w:t xml:space="preserve">Decizia de punere în aplicare (UE) 2024/1641 a Consiliului din 24 mai 2024 de autorizare a României în vederea aplicării unor măsuri speciale de derogare de la articolul 26 alineatul (1) litera (a) și de la articolul 168 din Directiva 2006/112/CE privind sistemul comun al taxei pe valoarea adăugată (JO L, 2024/1641, 6.6.2024, ELI: </w:t>
      </w:r>
      <w:hyperlink r:id="rId15" w:history="1">
        <w:r>
          <w:rPr>
            <w:rStyle w:val="Hyperlink"/>
          </w:rPr>
          <w:t>http://data.europa.eu/eli/dec_impl/2024/1641/oj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C109D3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2B8148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62D9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3: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05A5A23-3319-4FD1-ACB4-BDB2CA04F5CB"/>
    <w:docVar w:name="LW_COVERPAGE_TYPE" w:val="1"/>
    <w:docVar w:name="LW_CreatedUtc" w:val="2026-07-28T11:42:58.0753907Z"/>
    <w:docVar w:name="LW_CROSSREFERENCE" w:val="&lt;UNUSED&gt;"/>
    <w:docVar w:name="LW_DocType" w:val="COM"/>
    <w:docVar w:name="LW_EMISSION" w:val="10.9.2026"/>
    <w:docVar w:name="LW_EMISSION_ISODATE" w:val="2026-09-1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53"/>
    <w:docVar w:name="LW_REF.II.NEW.CP_YEAR" w:val="2026"/>
    <w:docVar w:name="LW_REF.INST.NEW" w:val="COM"/>
    <w:docVar w:name="LW_REF.INST.NEW_ADOPTED" w:val="final"/>
    <w:docVar w:name="LW_REF.INST.NEW_TEXT" w:val="(2026) 4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24/1641 a Consiliului în ceea ce prive\u537?te autorizarea României s\u259? aplice m\u259?suri speciale de derogare de la articolul 26 alineatul (1) litera (a) \u537?i de la articolul 168 din Directiva 2006/112/CE privind sistemul comun al taxei pe valoarea ad\u259?ugat\u259?"/>
    <w:docVar w:name="LW_TYPE.DOC.CP" w:val="DECIZIE DE PUNERE ÎN APLICAR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21E0A4F-EA01-47F2-ACB7-EFC0BFDB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iPriority w:val="99"/>
    <w:unhideWhenUsed/>
    <w:rPr>
      <w:color w:val="0000FF" w:themeColor="hyperlink"/>
      <w:u w:val="single"/>
    </w:r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impl/2025/539/oj" TargetMode="External"/><Relationship Id="rId13" Type="http://schemas.openxmlformats.org/officeDocument/2006/relationships/hyperlink" Target="https://eur-lex.europa.eu/legal-content/RO/TXT/?uri=CELEX%3A52025DC0045" TargetMode="External"/><Relationship Id="rId3" Type="http://schemas.openxmlformats.org/officeDocument/2006/relationships/hyperlink" Target="http://data.europa.eu/eli/dec_impl/2015/156/oj" TargetMode="External"/><Relationship Id="rId7" Type="http://schemas.openxmlformats.org/officeDocument/2006/relationships/hyperlink" Target="http://data.europa.eu/eli/dec_impl/2025/1986/oj" TargetMode="External"/><Relationship Id="rId12" Type="http://schemas.openxmlformats.org/officeDocument/2006/relationships/hyperlink" Target="https://eur-lex.europa.eu/legal-content/EN/TXT/?uri=celex:52025DC0270https://eur-lex.europa.eu/legal-content/EN/TXT/?uri=celex:52025DC0270" TargetMode="External"/><Relationship Id="rId2" Type="http://schemas.openxmlformats.org/officeDocument/2006/relationships/hyperlink" Target="http://data.europa.eu/eli/dec_impl/2024/1641/oj" TargetMode="External"/><Relationship Id="rId1" Type="http://schemas.openxmlformats.org/officeDocument/2006/relationships/hyperlink" Target="http://data.europa.eu/eli/dir/2006/112/oj" TargetMode="External"/><Relationship Id="rId6" Type="http://schemas.openxmlformats.org/officeDocument/2006/relationships/hyperlink" Target="http://data.europa.eu/eli/dec_impl/2025/2529/oj" TargetMode="External"/><Relationship Id="rId11" Type="http://schemas.openxmlformats.org/officeDocument/2006/relationships/hyperlink" Target="http://data.europa.eu/eli/dec_impl/2024/3206/oj" TargetMode="External"/><Relationship Id="rId5" Type="http://schemas.openxmlformats.org/officeDocument/2006/relationships/hyperlink" Target="http://data.europa.eu/eli/dec_impl/2020/1262/oj" TargetMode="External"/><Relationship Id="rId15" Type="http://schemas.openxmlformats.org/officeDocument/2006/relationships/hyperlink" Target="http://data.europa.eu/eli/dec_impl/2024/1641/oj" TargetMode="External"/><Relationship Id="rId10" Type="http://schemas.openxmlformats.org/officeDocument/2006/relationships/hyperlink" Target="http://data.europa.eu/eli/dec_impl/2024/2884/oj" TargetMode="External"/><Relationship Id="rId4" Type="http://schemas.openxmlformats.org/officeDocument/2006/relationships/hyperlink" Target="http://data.europa.eu/eli/dec_impl/2017/2012/oj" TargetMode="External"/><Relationship Id="rId9" Type="http://schemas.openxmlformats.org/officeDocument/2006/relationships/hyperlink" Target="http://data.europa.eu/eli/dec_impl/2024/3205/oj" TargetMode="External"/><Relationship Id="rId14" Type="http://schemas.openxmlformats.org/officeDocument/2006/relationships/hyperlink" Target="http://data.europa.eu/eli/dir/2006/1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37</TotalTime>
  <Pages>4</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2026-07-28T11:42:00Z</dcterms:created>
  <dcterms:modified xsi:type="dcterms:W3CDTF">2026-09-09T15:23:00Z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2026-07-28T11:46:10Z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0283c19b-0b4b-4b86-a927-ecda24072f2d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