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D18E789-CA6A-44A4-A563-BE524EA4CB2D" style="width:455.25pt;height:345.7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RECOMMENDATION</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recommendation</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By communication G/SECRET/55 dated 19 March 2026, the United Kingdom notified the WTO Members of its intention to modify its import tariff concessions as they are currently binding the United Kingdom on all steel products between HS codes 72.06 and HS 73.07 by increasing the current duty binding of zero to 50% ad valorem, in accordance with the procedure laid down in Article XXVIII:5 of the General Agreement on Tariffs and Trade 1994 (GATT 1994). The current bindings being modified are detailed in Schedule XIX – United Kingdom and its subsequent addendums. This schedule is not yet formally in force but it reflects the tariff commitments which the UK actually has. </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At the same time, the United Kingdom indicated it is ready to negotiate and consult with Members concerned (i.e. substantial suppliers, principal suppliers and initial negotiating right holders for the tariff lines concerned) pursuant to Article XXVIII GATT 1994. To this end, the United Kingdom has submitted import statistics by country of origin covering the last three years for which data are available. </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According to Article XXVIII of the GATT 1994, the EU as the WTO Member principal supplier and substantial supplier interest for most of the tariff lines concerned by the proposed change of concession of the United Kingdom, has the right to negotiate with the United Kingdom on this </w:t>
      </w:r>
      <w:r>
        <w:rPr>
          <w:rFonts w:eastAsia="Arial Unicode MS"/>
          <w:noProof/>
          <w:szCs w:val="24"/>
          <w:lang w:val="en-US"/>
        </w:rPr>
        <w:t>p</w:t>
      </w:r>
      <w:r>
        <w:rPr>
          <w:rFonts w:eastAsia="Arial Unicode MS"/>
          <w:noProof/>
          <w:szCs w:val="24"/>
        </w:rPr>
        <w:t>r</w:t>
      </w:r>
      <w:r>
        <w:rPr>
          <w:rFonts w:eastAsia="Arial Unicode MS"/>
          <w:noProof/>
          <w:szCs w:val="24"/>
          <w:lang w:val="en-US"/>
        </w:rPr>
        <w:t>op</w:t>
      </w:r>
      <w:r>
        <w:rPr>
          <w:rFonts w:eastAsia="Arial Unicode MS"/>
          <w:noProof/>
          <w:szCs w:val="24"/>
        </w:rPr>
        <w:t xml:space="preserve">osed modification including </w:t>
      </w:r>
      <w:r>
        <w:rPr>
          <w:rFonts w:eastAsia="Arial Unicode MS"/>
          <w:noProof/>
          <w:szCs w:val="24"/>
          <w:lang w:val="en-US"/>
        </w:rPr>
        <w:t xml:space="preserve">possibly on </w:t>
      </w:r>
      <w:r>
        <w:rPr>
          <w:rFonts w:eastAsia="Arial Unicode MS"/>
          <w:noProof/>
          <w:szCs w:val="24"/>
        </w:rPr>
        <w:t>appropriate compensation, in order to maintain a general level of concessions not less favourable to trade than before the change envisaged by the United Kingdom.</w:t>
      </w:r>
    </w:p>
    <w:p>
      <w:pPr>
        <w:pBdr>
          <w:top w:val="nil"/>
          <w:left w:val="nil"/>
          <w:bottom w:val="nil"/>
          <w:right w:val="nil"/>
          <w:between w:val="nil"/>
          <w:bar w:val="nil"/>
        </w:pBdr>
        <w:spacing w:after="240"/>
        <w:rPr>
          <w:rFonts w:eastAsia="Arial Unicode MS"/>
          <w:noProof/>
          <w:szCs w:val="24"/>
        </w:rPr>
      </w:pPr>
      <w:r>
        <w:rPr>
          <w:rFonts w:eastAsia="Arial Unicode MS"/>
          <w:noProof/>
          <w:szCs w:val="24"/>
        </w:rPr>
        <w:t>In accordance with the Procedures for Negotiations under Article XXVIII adopted by the GATT Council on 10 November 1980</w:t>
      </w:r>
      <w:r>
        <w:rPr>
          <w:rStyle w:val="FootnoteReference"/>
          <w:rFonts w:eastAsia="Arial Unicode MS"/>
          <w:noProof/>
          <w:szCs w:val="24"/>
        </w:rPr>
        <w:footnoteReference w:id="1"/>
      </w:r>
      <w:r>
        <w:rPr>
          <w:rFonts w:eastAsia="Arial Unicode MS"/>
          <w:noProof/>
          <w:szCs w:val="24"/>
        </w:rPr>
        <w:t xml:space="preserve">, on 16 June 2026 the EU presented a claim of interest as Member holding a principal supplier and substantial supplier interest on 373 tariff items of a total of 388. </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objective of this proposal is to obtain from the Council the authorisation for the Commission to open the negotiations pursuant to Article XXVIII of the GATT 1994 with the United Kingdom on this modification and possibly to agree adequate compensation for the EU following the United Kingdom's decision to withdraw certain tariff concessions for steel and steel products from Schedule of Concessions XIX – United Kingdom.</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This proposal is without prejudice to the Commission’s Recommendation of 29 July 2015 (COM (2015) 369 final) authorising the opening of negotiations under Article XXIV:6 and/or XXVIII of GATT 1994 with WTO members modifying their tariff concessions.</w:t>
      </w:r>
    </w:p>
    <w:p>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recommendation is consistent with the EU common commercial policy and with the rules of the World Trade Organization.</w:t>
      </w:r>
    </w:p>
    <w:p>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The recommendation is consistent with other areas of the EU’s external action. </w:t>
      </w:r>
    </w:p>
    <w:p>
      <w:pPr>
        <w:pStyle w:val="ManualHeading1"/>
        <w:rPr>
          <w:noProof/>
        </w:rPr>
      </w:pPr>
      <w:r>
        <w:rPr>
          <w:noProof/>
        </w:rPr>
        <w:t>2.</w:t>
      </w:r>
      <w:r>
        <w:rPr>
          <w:noProof/>
        </w:rPr>
        <w:tab/>
        <w:t>LEGAL BASIS, SUBSIDIARITY AND PROPORTIONALITY</w:t>
      </w:r>
    </w:p>
    <w:p>
      <w:pPr>
        <w:pStyle w:val="ManualHeading2"/>
        <w:rPr>
          <w:rFonts w:eastAsia="Arial Unicode MS"/>
          <w:noProof/>
        </w:rPr>
      </w:pPr>
      <w:bookmarkStart w:id="0" w:name="_Toc216446635"/>
      <w:r>
        <w:rPr>
          <w:rFonts w:eastAsia="Arial Unicode MS"/>
          <w:bCs/>
          <w:noProof/>
          <w:szCs w:val="24"/>
          <w:bdr w:val="nil"/>
          <w:lang w:eastAsia="en-GB"/>
        </w:rPr>
        <w:t>•</w:t>
      </w:r>
      <w:r>
        <w:rPr>
          <w:noProof/>
          <w:szCs w:val="24"/>
        </w:rPr>
        <w:tab/>
      </w:r>
      <w:r>
        <w:rPr>
          <w:rFonts w:eastAsia="Arial Unicode MS"/>
          <w:noProof/>
        </w:rPr>
        <w:t>Substantive legal basis</w:t>
      </w:r>
      <w:bookmarkEnd w:id="0"/>
    </w:p>
    <w:p>
      <w:pPr>
        <w:pBdr>
          <w:top w:val="nil"/>
          <w:left w:val="nil"/>
          <w:bottom w:val="nil"/>
          <w:right w:val="nil"/>
          <w:between w:val="nil"/>
          <w:bar w:val="nil"/>
        </w:pBdr>
        <w:spacing w:after="240"/>
        <w:rPr>
          <w:rFonts w:eastAsia="Arial Unicode MS"/>
          <w:noProof/>
          <w:szCs w:val="24"/>
        </w:rPr>
      </w:pPr>
      <w:bookmarkStart w:id="1" w:name="_Hlk235106135"/>
      <w:r>
        <w:rPr>
          <w:rFonts w:eastAsia="Arial Unicode MS"/>
          <w:noProof/>
          <w:szCs w:val="24"/>
        </w:rPr>
        <w:t>The Commission does not indicate the substantive legal basis when it recommends the Council to adopt a decision authorising the negotiations of an international agreement. Therefore, Article 218(3) and (4) should be indicated as legal basis for this proposal.</w:t>
      </w:r>
    </w:p>
    <w:p>
      <w:pPr>
        <w:pStyle w:val="ManualHeading2"/>
        <w:rPr>
          <w:rFonts w:eastAsia="Arial Unicode MS"/>
          <w:noProof/>
        </w:rPr>
      </w:pPr>
      <w:bookmarkStart w:id="2" w:name="_Toc216446634"/>
      <w:bookmarkEnd w:id="1"/>
      <w:r>
        <w:rPr>
          <w:rFonts w:eastAsia="Arial Unicode MS"/>
          <w:bCs/>
          <w:noProof/>
          <w:szCs w:val="24"/>
          <w:bdr w:val="nil"/>
          <w:lang w:eastAsia="en-GB"/>
        </w:rPr>
        <w:t>•</w:t>
      </w:r>
      <w:r>
        <w:rPr>
          <w:noProof/>
          <w:szCs w:val="24"/>
        </w:rPr>
        <w:tab/>
      </w:r>
      <w:r>
        <w:rPr>
          <w:rFonts w:eastAsia="Arial Unicode MS"/>
          <w:noProof/>
        </w:rPr>
        <w:t>Procedural legal basis</w:t>
      </w:r>
      <w:bookmarkEnd w:id="2"/>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Article 218(3) TFEU provides that, where the agreement envisaged does not relate exclusively or principally to the common foreign and security policy, the Commission must submit recommendations to the Council. The Council must adopt a decision authorising the opening of the negotiations and nominating the Union negotiator or the head of the Union’s negotiating team. </w:t>
      </w:r>
    </w:p>
    <w:p>
      <w:pPr>
        <w:pBdr>
          <w:top w:val="nil"/>
          <w:left w:val="nil"/>
          <w:bottom w:val="nil"/>
          <w:right w:val="nil"/>
          <w:between w:val="nil"/>
          <w:bar w:val="nil"/>
        </w:pBdr>
        <w:spacing w:after="240"/>
        <w:rPr>
          <w:rFonts w:eastAsia="Arial Unicode MS"/>
          <w:noProof/>
          <w:szCs w:val="24"/>
        </w:rPr>
      </w:pPr>
      <w:r>
        <w:rPr>
          <w:rFonts w:eastAsia="Arial Unicode MS"/>
          <w:noProof/>
          <w:szCs w:val="24"/>
        </w:rPr>
        <w:t>Article 218(4) TFEU provides that the Council may address negotiating directives to the negotiator and designate a special committee to consult the negotiator.</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Commission recommends to open negotiations between the European Union and the United Kingdom for an international agreement, relating to under Article XXVIII of the General Agreement on Tariffs and Trade 1994 regarding the modification of the WTO import tariff concessions on steel and steel products as currently binding to the United Kingdom. The Commission is to be nominated as negotiator.</w:t>
      </w:r>
    </w:p>
    <w:p>
      <w:pPr>
        <w:pBdr>
          <w:top w:val="nil"/>
          <w:left w:val="nil"/>
          <w:bottom w:val="nil"/>
          <w:right w:val="nil"/>
          <w:between w:val="nil"/>
          <w:bar w:val="nil"/>
        </w:pBdr>
        <w:spacing w:after="240"/>
        <w:rPr>
          <w:rFonts w:eastAsia="Arial Unicode MS"/>
          <w:noProof/>
          <w:szCs w:val="24"/>
        </w:rPr>
      </w:pPr>
      <w:r>
        <w:rPr>
          <w:rFonts w:eastAsia="Arial Unicode MS"/>
          <w:noProof/>
          <w:szCs w:val="24"/>
        </w:rPr>
        <w:t>The procedural legal basis for the proposed decision to authorise opening of negotiations of the envisaged agreement is Article 218(3) and (4) TFEU.</w:t>
      </w:r>
    </w:p>
    <w:p>
      <w:pPr>
        <w:pStyle w:val="ManualHeading2"/>
        <w:rPr>
          <w:rFonts w:eastAsia="Arial Unicode MS"/>
          <w:b w:val="0"/>
          <w:bCs/>
          <w:noProof/>
          <w:szCs w:val="24"/>
          <w:bdr w:val="nil"/>
          <w:lang w:eastAsia="en-GB"/>
        </w:rPr>
      </w:pPr>
      <w:bookmarkStart w:id="3" w:name="_Toc216446636"/>
      <w:r>
        <w:rPr>
          <w:rFonts w:eastAsia="Arial Unicode MS"/>
          <w:bCs/>
          <w:noProof/>
          <w:szCs w:val="24"/>
          <w:bdr w:val="nil"/>
          <w:lang w:eastAsia="en-GB"/>
        </w:rPr>
        <w:t>•</w:t>
      </w:r>
      <w:r>
        <w:rPr>
          <w:noProof/>
          <w:szCs w:val="24"/>
        </w:rPr>
        <w:tab/>
      </w:r>
      <w:r>
        <w:rPr>
          <w:rFonts w:eastAsia="Arial Unicode MS"/>
          <w:noProof/>
        </w:rPr>
        <w:t>Choice</w:t>
      </w:r>
      <w:r>
        <w:rPr>
          <w:rFonts w:eastAsia="Arial Unicode MS"/>
          <w:bCs/>
          <w:noProof/>
          <w:szCs w:val="24"/>
          <w:bdr w:val="nil"/>
          <w:lang w:eastAsia="en-GB"/>
        </w:rPr>
        <w:t xml:space="preserve"> of negotiator</w:t>
      </w:r>
      <w:bookmarkEnd w:id="3"/>
    </w:p>
    <w:p>
      <w:pPr>
        <w:rPr>
          <w:noProof/>
          <w:lang w:val="en-IE"/>
        </w:rPr>
      </w:pPr>
      <w:r>
        <w:rPr>
          <w:noProof/>
          <w:lang w:val="en-IE"/>
        </w:rPr>
        <w:t xml:space="preserve">Given that the agreement envisaged exclusively covers matters other than the common foreign and security policy, the Commission </w:t>
      </w:r>
      <w:r>
        <w:rPr>
          <w:rFonts w:eastAsia="Arial Unicode MS"/>
          <w:noProof/>
          <w:lang w:val="en-IE"/>
        </w:rPr>
        <w:t xml:space="preserve">should be nominated </w:t>
      </w:r>
      <w:r>
        <w:rPr>
          <w:noProof/>
          <w:lang w:val="en-IE"/>
        </w:rPr>
        <w:t>as the negotiator pursuant to Article 218(3) TFEU.</w:t>
      </w:r>
    </w:p>
    <w:p>
      <w:pPr>
        <w:pStyle w:val="ManualHeading2"/>
        <w:rPr>
          <w:rFonts w:eastAsia="Arial Unicode MS"/>
          <w:b w:val="0"/>
          <w:bCs/>
          <w:noProof/>
          <w:szCs w:val="24"/>
        </w:rPr>
      </w:pPr>
      <w:r>
        <w:rPr>
          <w:rFonts w:eastAsia="Arial Unicode MS"/>
          <w:bCs/>
          <w:noProof/>
          <w:szCs w:val="24"/>
          <w:bdr w:val="nil"/>
          <w:lang w:eastAsia="en-GB"/>
        </w:rPr>
        <w:t>•</w:t>
      </w:r>
      <w:r>
        <w:rPr>
          <w:noProof/>
          <w:szCs w:val="24"/>
        </w:rPr>
        <w:tab/>
      </w:r>
      <w:r>
        <w:rPr>
          <w:rFonts w:eastAsia="Arial Unicode MS"/>
          <w:bCs/>
          <w:noProof/>
          <w:szCs w:val="24"/>
        </w:rPr>
        <w:t xml:space="preserve">Union </w:t>
      </w:r>
      <w:r>
        <w:rPr>
          <w:rFonts w:eastAsia="Arial Unicode MS"/>
          <w:noProof/>
        </w:rPr>
        <w:t>competence</w:t>
      </w:r>
    </w:p>
    <w:p>
      <w:pPr>
        <w:pBdr>
          <w:top w:val="nil"/>
          <w:left w:val="nil"/>
          <w:bottom w:val="nil"/>
          <w:right w:val="nil"/>
          <w:between w:val="nil"/>
          <w:bar w:val="nil"/>
        </w:pBdr>
        <w:spacing w:after="240"/>
        <w:rPr>
          <w:rFonts w:eastAsia="Arial Unicode MS"/>
          <w:noProof/>
          <w:szCs w:val="24"/>
        </w:rPr>
      </w:pPr>
      <w:r>
        <w:rPr>
          <w:rFonts w:eastAsia="Arial Unicode MS"/>
          <w:noProof/>
          <w:szCs w:val="24"/>
        </w:rPr>
        <w:t>Negotiations under Article XXVIII GATT concern matters falling with trade policy. The common commercial policy is listed among the areas of exclusive competence of the Union in Article 3 of the TFEU.</w:t>
      </w:r>
    </w:p>
    <w:p>
      <w:pPr>
        <w:pStyle w:val="ManualHeading2"/>
        <w:rPr>
          <w:rFonts w:eastAsia="Arial Unicode MS"/>
          <w:b w:val="0"/>
          <w:bCs/>
          <w:noProof/>
          <w:szCs w:val="24"/>
          <w:bdr w:val="nil"/>
          <w:lang w:eastAsia="en-GB"/>
        </w:rPr>
      </w:pPr>
      <w:bookmarkStart w:id="4" w:name="_Toc216446637"/>
      <w:r>
        <w:rPr>
          <w:rFonts w:eastAsia="Arial Unicode MS"/>
          <w:bCs/>
          <w:noProof/>
          <w:szCs w:val="24"/>
          <w:bdr w:val="nil"/>
          <w:lang w:eastAsia="en-GB"/>
        </w:rPr>
        <w:t>•</w:t>
      </w:r>
      <w:r>
        <w:rPr>
          <w:noProof/>
          <w:szCs w:val="24"/>
        </w:rPr>
        <w:tab/>
      </w:r>
      <w:r>
        <w:rPr>
          <w:rFonts w:eastAsia="Arial Unicode MS"/>
          <w:noProof/>
        </w:rPr>
        <w:t>Subsidiarity</w:t>
      </w:r>
      <w:r>
        <w:rPr>
          <w:rFonts w:eastAsia="Arial Unicode MS"/>
          <w:bCs/>
          <w:noProof/>
          <w:szCs w:val="24"/>
          <w:bdr w:val="nil"/>
          <w:lang w:eastAsia="en-GB"/>
        </w:rPr>
        <w:t xml:space="preserve"> (for non-exclusive competence)</w:t>
      </w:r>
      <w:bookmarkEnd w:id="4"/>
      <w:r>
        <w:rPr>
          <w:rFonts w:eastAsia="Arial Unicode MS"/>
          <w:bCs/>
          <w:noProof/>
          <w:szCs w:val="24"/>
          <w:bdr w:val="nil"/>
          <w:lang w:eastAsia="en-GB"/>
        </w:rPr>
        <w:t xml:space="preserve"> </w:t>
      </w:r>
    </w:p>
    <w:p>
      <w:pPr>
        <w:pBdr>
          <w:top w:val="nil"/>
          <w:left w:val="nil"/>
          <w:bottom w:val="nil"/>
          <w:right w:val="nil"/>
          <w:between w:val="nil"/>
          <w:bar w:val="nil"/>
        </w:pBdr>
        <w:spacing w:after="240"/>
        <w:rPr>
          <w:rFonts w:eastAsia="Arial Unicode MS"/>
          <w:noProof/>
          <w:szCs w:val="24"/>
        </w:rPr>
      </w:pPr>
      <w:r>
        <w:rPr>
          <w:rFonts w:eastAsia="Arial Unicode MS"/>
          <w:noProof/>
          <w:szCs w:val="24"/>
        </w:rPr>
        <w:t xml:space="preserve">According to Article 5(3) of the TEU, the subsidiarity principle does not apply in areas of exclusive EU competence, of which the common commercial policy is one. </w:t>
      </w:r>
    </w:p>
    <w:p>
      <w:pPr>
        <w:pStyle w:val="ManualHeading2"/>
        <w:rPr>
          <w:rFonts w:eastAsia="Arial Unicode MS"/>
          <w:b w:val="0"/>
          <w:bCs/>
          <w:noProof/>
          <w:szCs w:val="24"/>
          <w:bdr w:val="nil"/>
          <w:lang w:eastAsia="en-GB"/>
        </w:rPr>
      </w:pPr>
      <w:bookmarkStart w:id="5" w:name="_Toc216446638"/>
      <w:r>
        <w:rPr>
          <w:rFonts w:eastAsia="Arial Unicode MS"/>
          <w:bCs/>
          <w:noProof/>
          <w:szCs w:val="24"/>
          <w:bdr w:val="nil"/>
          <w:lang w:eastAsia="en-GB"/>
        </w:rPr>
        <w:t>•</w:t>
      </w:r>
      <w:r>
        <w:rPr>
          <w:noProof/>
          <w:szCs w:val="24"/>
        </w:rPr>
        <w:tab/>
      </w:r>
      <w:r>
        <w:rPr>
          <w:rFonts w:eastAsia="Arial Unicode MS"/>
          <w:noProof/>
        </w:rPr>
        <w:t>Proportionality</w:t>
      </w:r>
      <w:bookmarkEnd w:id="5"/>
    </w:p>
    <w:p>
      <w:pPr>
        <w:pBdr>
          <w:top w:val="nil"/>
          <w:left w:val="nil"/>
          <w:bottom w:val="nil"/>
          <w:right w:val="nil"/>
          <w:between w:val="nil"/>
          <w:bar w:val="nil"/>
        </w:pBdr>
        <w:spacing w:after="240"/>
        <w:rPr>
          <w:rFonts w:eastAsia="Arial Unicode MS"/>
          <w:noProof/>
          <w:szCs w:val="24"/>
        </w:rPr>
      </w:pPr>
      <w:r>
        <w:rPr>
          <w:rFonts w:eastAsia="Arial Unicode MS"/>
          <w:noProof/>
          <w:szCs w:val="24"/>
        </w:rPr>
        <w:t>The present Recommendation proposes to the Council to authorise the Commission to open negotiations, on behalf of the EU, under Article XXVIII of the GATT 1994 with the United Kingdom. The United Kingdom notified WTO Members the intention to negotiate under Article XXVIII of the GATT 1994 in order to modify its import tariff concessions as they are currently binding the United Kingdom and reflected in its Schedule of Concessions XIX on all steel products covered between HS codes 72.06 and HS 73.07 by increasing the current duty binding to 50% ad valorem. According to WTO rules, the EU, as WTO member having negotiation and consultation rights on 373 tariff lines, has the right to negotiate with the United Kingdom appropriate compensation. The Commission recommendation proposed is therefore necessary in view of the objectives set out above and also in line with the principle of proportionality.</w:t>
      </w:r>
    </w:p>
    <w:p>
      <w:pPr>
        <w:pStyle w:val="ManualHeading2"/>
        <w:rPr>
          <w:rFonts w:eastAsia="Arial Unicode MS"/>
          <w:b w:val="0"/>
          <w:bCs/>
          <w:noProof/>
          <w:szCs w:val="24"/>
          <w:bdr w:val="nil"/>
          <w:lang w:eastAsia="en-GB"/>
        </w:rPr>
      </w:pPr>
      <w:bookmarkStart w:id="6" w:name="_Toc216446639"/>
      <w:r>
        <w:rPr>
          <w:rFonts w:eastAsia="Arial Unicode MS"/>
          <w:bCs/>
          <w:noProof/>
          <w:szCs w:val="24"/>
          <w:bdr w:val="nil"/>
          <w:lang w:eastAsia="en-GB"/>
        </w:rPr>
        <w:t>•</w:t>
      </w:r>
      <w:r>
        <w:rPr>
          <w:noProof/>
          <w:szCs w:val="24"/>
        </w:rPr>
        <w:tab/>
      </w:r>
      <w:r>
        <w:rPr>
          <w:rFonts w:eastAsia="Arial Unicode MS"/>
          <w:bCs/>
          <w:noProof/>
          <w:szCs w:val="24"/>
          <w:bdr w:val="nil"/>
          <w:lang w:eastAsia="en-GB"/>
        </w:rPr>
        <w:t xml:space="preserve">Choice of the </w:t>
      </w:r>
      <w:r>
        <w:rPr>
          <w:rFonts w:eastAsia="Arial Unicode MS"/>
          <w:noProof/>
        </w:rPr>
        <w:t>instrument</w:t>
      </w:r>
      <w:bookmarkEnd w:id="6"/>
    </w:p>
    <w:p>
      <w:pPr>
        <w:pBdr>
          <w:top w:val="nil"/>
          <w:left w:val="nil"/>
          <w:bottom w:val="nil"/>
          <w:right w:val="nil"/>
          <w:between w:val="nil"/>
          <w:bar w:val="nil"/>
        </w:pBdr>
        <w:spacing w:after="240"/>
        <w:rPr>
          <w:rFonts w:eastAsia="Arial Unicode MS"/>
          <w:noProof/>
          <w:szCs w:val="24"/>
        </w:rPr>
      </w:pPr>
      <w:r>
        <w:rPr>
          <w:rFonts w:eastAsia="Arial Unicode MS"/>
          <w:noProof/>
          <w:szCs w:val="24"/>
        </w:rPr>
        <w:t>This recommendation for a Council decision is submitted in accordance with Article 218(3) and (4) TFEU, which envisage the adoption by the Council of a decision authorising the opening of negotiations and nominating the Union negotiator. The Council may also address negotiating directives to the negotiator. There exists no other legal instrument that could be used in order to achieve the objective pursued in this recommendation.</w:t>
      </w:r>
    </w:p>
    <w:p>
      <w:pPr>
        <w:pStyle w:val="ManualHeading1"/>
        <w:rPr>
          <w:b w:val="0"/>
          <w:bCs/>
          <w:smallCaps w:val="0"/>
          <w:noProof/>
          <w:szCs w:val="24"/>
        </w:rPr>
      </w:pPr>
      <w:bookmarkStart w:id="7" w:name="_Toc216446640"/>
      <w:r>
        <w:rPr>
          <w:bCs/>
          <w:noProof/>
          <w:szCs w:val="24"/>
        </w:rPr>
        <w:t>3.</w:t>
      </w:r>
      <w:r>
        <w:rPr>
          <w:noProof/>
          <w:szCs w:val="24"/>
        </w:rPr>
        <w:tab/>
      </w:r>
      <w:r>
        <w:rPr>
          <w:noProof/>
        </w:rPr>
        <w:t>RESULTS</w:t>
      </w:r>
      <w:r>
        <w:rPr>
          <w:bCs/>
          <w:noProof/>
          <w:szCs w:val="24"/>
        </w:rPr>
        <w:t xml:space="preserve"> OF EX-POST EVALUATIONS, STAKEHOLDER CONSULTATIONS AND IMPACT ASSESSMENTS</w:t>
      </w:r>
      <w:bookmarkEnd w:id="7"/>
    </w:p>
    <w:p>
      <w:pPr>
        <w:pStyle w:val="ManualHeading2"/>
        <w:rPr>
          <w:rFonts w:eastAsia="Arial Unicode MS"/>
          <w:b w:val="0"/>
          <w:bCs/>
          <w:noProof/>
          <w:szCs w:val="24"/>
          <w:bdr w:val="nil"/>
          <w:lang w:eastAsia="en-GB"/>
        </w:rPr>
      </w:pPr>
      <w:bookmarkStart w:id="8" w:name="_Toc216446641"/>
      <w:r>
        <w:rPr>
          <w:rFonts w:eastAsia="Arial Unicode MS"/>
          <w:bCs/>
          <w:noProof/>
          <w:szCs w:val="24"/>
          <w:bdr w:val="nil"/>
          <w:lang w:eastAsia="en-GB"/>
        </w:rPr>
        <w:t>•</w:t>
      </w:r>
      <w:r>
        <w:rPr>
          <w:noProof/>
          <w:szCs w:val="24"/>
        </w:rPr>
        <w:tab/>
      </w:r>
      <w:r>
        <w:rPr>
          <w:rFonts w:eastAsia="Arial Unicode MS"/>
          <w:bCs/>
          <w:noProof/>
          <w:szCs w:val="24"/>
          <w:bdr w:val="nil"/>
          <w:lang w:eastAsia="en-GB"/>
        </w:rPr>
        <w:t>Ex-post evaluations/</w:t>
      </w:r>
      <w:r>
        <w:rPr>
          <w:rFonts w:eastAsia="Arial Unicode MS"/>
          <w:noProof/>
        </w:rPr>
        <w:t>fitness</w:t>
      </w:r>
      <w:r>
        <w:rPr>
          <w:rFonts w:eastAsia="Arial Unicode MS"/>
          <w:bCs/>
          <w:noProof/>
          <w:szCs w:val="24"/>
          <w:bdr w:val="nil"/>
          <w:lang w:eastAsia="en-GB"/>
        </w:rPr>
        <w:t xml:space="preserve"> checks of existing legislation</w:t>
      </w:r>
      <w:bookmarkEnd w:id="8"/>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2"/>
        <w:rPr>
          <w:rFonts w:eastAsia="Arial Unicode MS"/>
          <w:b w:val="0"/>
          <w:bCs/>
          <w:noProof/>
          <w:szCs w:val="24"/>
          <w:bdr w:val="nil"/>
          <w:lang w:eastAsia="en-GB"/>
        </w:rPr>
      </w:pPr>
      <w:bookmarkStart w:id="9" w:name="_Toc216446642"/>
      <w:r>
        <w:rPr>
          <w:rFonts w:eastAsia="Arial Unicode MS"/>
          <w:bCs/>
          <w:noProof/>
          <w:szCs w:val="24"/>
          <w:bdr w:val="nil"/>
          <w:lang w:eastAsia="en-GB"/>
        </w:rPr>
        <w:t>•</w:t>
      </w:r>
      <w:r>
        <w:rPr>
          <w:noProof/>
          <w:szCs w:val="24"/>
        </w:rPr>
        <w:tab/>
      </w:r>
      <w:r>
        <w:rPr>
          <w:rFonts w:eastAsia="Arial Unicode MS"/>
          <w:bCs/>
          <w:noProof/>
          <w:szCs w:val="24"/>
          <w:bdr w:val="nil"/>
          <w:lang w:eastAsia="en-GB"/>
        </w:rPr>
        <w:t xml:space="preserve">Stakeholder </w:t>
      </w:r>
      <w:r>
        <w:rPr>
          <w:rFonts w:eastAsia="Arial Unicode MS"/>
          <w:noProof/>
        </w:rPr>
        <w:t>consultations</w:t>
      </w:r>
      <w:bookmarkEnd w:id="9"/>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 According to the WTO rules, negotiations under Article XXVIII of the GATT 1994 must be conducted with the greatest possible secrecy.</w:t>
      </w:r>
    </w:p>
    <w:p>
      <w:pPr>
        <w:pStyle w:val="ManualHeading2"/>
        <w:rPr>
          <w:rFonts w:eastAsia="Arial Unicode MS"/>
          <w:b w:val="0"/>
          <w:bCs/>
          <w:noProof/>
          <w:szCs w:val="24"/>
          <w:bdr w:val="nil"/>
          <w:lang w:eastAsia="en-GB"/>
        </w:rPr>
      </w:pPr>
      <w:bookmarkStart w:id="10" w:name="_Toc216446643"/>
      <w:r>
        <w:rPr>
          <w:rFonts w:eastAsia="Arial Unicode MS"/>
          <w:bCs/>
          <w:noProof/>
          <w:szCs w:val="24"/>
          <w:bdr w:val="nil"/>
          <w:lang w:eastAsia="en-GB"/>
        </w:rPr>
        <w:t>•</w:t>
      </w:r>
      <w:r>
        <w:rPr>
          <w:noProof/>
          <w:szCs w:val="24"/>
        </w:rPr>
        <w:tab/>
      </w:r>
      <w:r>
        <w:rPr>
          <w:rFonts w:eastAsia="Arial Unicode MS"/>
          <w:bCs/>
          <w:noProof/>
          <w:szCs w:val="24"/>
          <w:lang w:eastAsia="en-GB"/>
        </w:rPr>
        <w:t xml:space="preserve">Collection and use of </w:t>
      </w:r>
      <w:r>
        <w:rPr>
          <w:rFonts w:eastAsia="Arial Unicode MS"/>
          <w:bCs/>
          <w:noProof/>
          <w:szCs w:val="24"/>
          <w:bdr w:val="nil"/>
          <w:lang w:eastAsia="en-GB"/>
        </w:rPr>
        <w:t>expertise</w:t>
      </w:r>
      <w:bookmarkEnd w:id="10"/>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2"/>
        <w:rPr>
          <w:rFonts w:eastAsia="Arial Unicode MS"/>
          <w:b w:val="0"/>
          <w:bCs/>
          <w:noProof/>
          <w:szCs w:val="24"/>
          <w:bdr w:val="nil"/>
          <w:lang w:eastAsia="en-GB"/>
        </w:rPr>
      </w:pPr>
      <w:bookmarkStart w:id="11" w:name="_Toc216446644"/>
      <w:r>
        <w:rPr>
          <w:rFonts w:eastAsia="Arial Unicode MS"/>
          <w:bCs/>
          <w:noProof/>
          <w:szCs w:val="24"/>
          <w:bdr w:val="nil"/>
          <w:lang w:eastAsia="en-GB"/>
        </w:rPr>
        <w:t>•</w:t>
      </w:r>
      <w:r>
        <w:rPr>
          <w:noProof/>
          <w:szCs w:val="24"/>
        </w:rPr>
        <w:tab/>
      </w:r>
      <w:r>
        <w:rPr>
          <w:rFonts w:eastAsia="Arial Unicode MS"/>
          <w:bCs/>
          <w:noProof/>
          <w:szCs w:val="24"/>
          <w:bdr w:val="nil"/>
          <w:lang w:eastAsia="en-GB"/>
        </w:rPr>
        <w:t xml:space="preserve">Impact </w:t>
      </w:r>
      <w:r>
        <w:rPr>
          <w:rFonts w:eastAsia="Arial Unicode MS"/>
          <w:noProof/>
        </w:rPr>
        <w:t>assessment</w:t>
      </w:r>
      <w:bookmarkEnd w:id="11"/>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2"/>
        <w:rPr>
          <w:rFonts w:eastAsia="Arial Unicode MS"/>
          <w:b w:val="0"/>
          <w:bCs/>
          <w:noProof/>
          <w:szCs w:val="24"/>
          <w:bdr w:val="nil"/>
          <w:lang w:eastAsia="en-GB"/>
        </w:rPr>
      </w:pPr>
      <w:bookmarkStart w:id="12" w:name="_Toc216446645"/>
      <w:r>
        <w:rPr>
          <w:rFonts w:eastAsia="Arial Unicode MS"/>
          <w:bCs/>
          <w:noProof/>
          <w:szCs w:val="24"/>
          <w:bdr w:val="nil"/>
          <w:lang w:eastAsia="en-GB"/>
        </w:rPr>
        <w:t>•</w:t>
      </w:r>
      <w:r>
        <w:rPr>
          <w:noProof/>
          <w:szCs w:val="24"/>
        </w:rPr>
        <w:tab/>
      </w:r>
      <w:r>
        <w:rPr>
          <w:rFonts w:eastAsia="Arial Unicode MS"/>
          <w:bCs/>
          <w:noProof/>
          <w:szCs w:val="24"/>
          <w:bdr w:val="nil"/>
          <w:lang w:eastAsia="en-GB"/>
        </w:rPr>
        <w:t>Regulatory fitness and simplification</w:t>
      </w:r>
      <w:bookmarkEnd w:id="12"/>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2"/>
        <w:rPr>
          <w:rFonts w:eastAsia="Arial Unicode MS"/>
          <w:b w:val="0"/>
          <w:bCs/>
          <w:noProof/>
          <w:szCs w:val="24"/>
          <w:bdr w:val="nil"/>
          <w:lang w:eastAsia="en-GB"/>
        </w:rPr>
      </w:pPr>
      <w:bookmarkStart w:id="13" w:name="_Toc216446646"/>
      <w:r>
        <w:rPr>
          <w:rFonts w:eastAsia="Arial Unicode MS"/>
          <w:bCs/>
          <w:noProof/>
          <w:szCs w:val="24"/>
          <w:bdr w:val="nil"/>
          <w:lang w:eastAsia="en-GB"/>
        </w:rPr>
        <w:t>•</w:t>
      </w:r>
      <w:r>
        <w:rPr>
          <w:noProof/>
          <w:szCs w:val="24"/>
        </w:rPr>
        <w:tab/>
      </w:r>
      <w:r>
        <w:rPr>
          <w:rFonts w:eastAsia="Arial Unicode MS"/>
          <w:noProof/>
        </w:rPr>
        <w:t>Fundamental</w:t>
      </w:r>
      <w:r>
        <w:rPr>
          <w:rFonts w:eastAsia="Arial Unicode MS"/>
          <w:bCs/>
          <w:noProof/>
          <w:szCs w:val="24"/>
          <w:bdr w:val="nil"/>
          <w:lang w:eastAsia="en-GB"/>
        </w:rPr>
        <w:t xml:space="preserve"> rights</w:t>
      </w:r>
      <w:bookmarkEnd w:id="13"/>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1"/>
        <w:rPr>
          <w:b w:val="0"/>
          <w:bCs/>
          <w:smallCaps w:val="0"/>
          <w:noProof/>
          <w:szCs w:val="24"/>
        </w:rPr>
      </w:pPr>
      <w:bookmarkStart w:id="14" w:name="_Toc216446647"/>
      <w:r>
        <w:rPr>
          <w:bCs/>
          <w:noProof/>
          <w:szCs w:val="24"/>
        </w:rPr>
        <w:t>4.</w:t>
      </w:r>
      <w:r>
        <w:rPr>
          <w:noProof/>
          <w:szCs w:val="24"/>
        </w:rPr>
        <w:tab/>
      </w:r>
      <w:r>
        <w:rPr>
          <w:bCs/>
          <w:noProof/>
          <w:szCs w:val="24"/>
        </w:rPr>
        <w:t>BUDGETARY IMPLICATIONS</w:t>
      </w:r>
      <w:bookmarkEnd w:id="14"/>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1"/>
        <w:rPr>
          <w:b w:val="0"/>
          <w:bCs/>
          <w:smallCaps w:val="0"/>
          <w:noProof/>
          <w:szCs w:val="24"/>
        </w:rPr>
      </w:pPr>
      <w:bookmarkStart w:id="15" w:name="_Toc216446648"/>
      <w:r>
        <w:rPr>
          <w:bCs/>
          <w:noProof/>
          <w:szCs w:val="24"/>
        </w:rPr>
        <w:t>5.</w:t>
      </w:r>
      <w:r>
        <w:rPr>
          <w:noProof/>
          <w:szCs w:val="24"/>
        </w:rPr>
        <w:tab/>
      </w:r>
      <w:r>
        <w:rPr>
          <w:bCs/>
          <w:noProof/>
          <w:szCs w:val="24"/>
        </w:rPr>
        <w:t>OTHER ELEMENTS</w:t>
      </w:r>
      <w:bookmarkEnd w:id="15"/>
    </w:p>
    <w:p>
      <w:pPr>
        <w:pStyle w:val="ManualHeading2"/>
        <w:rPr>
          <w:rFonts w:eastAsia="Arial Unicode MS"/>
          <w:b w:val="0"/>
          <w:bCs/>
          <w:noProof/>
          <w:szCs w:val="24"/>
          <w:bdr w:val="nil"/>
          <w:lang w:eastAsia="en-GB"/>
        </w:rPr>
      </w:pPr>
      <w:bookmarkStart w:id="16" w:name="_Toc216446649"/>
      <w:r>
        <w:rPr>
          <w:rFonts w:eastAsia="Arial Unicode MS"/>
          <w:bCs/>
          <w:noProof/>
          <w:szCs w:val="24"/>
          <w:bdr w:val="nil"/>
          <w:lang w:eastAsia="en-GB"/>
        </w:rPr>
        <w:t>•</w:t>
      </w:r>
      <w:r>
        <w:rPr>
          <w:noProof/>
          <w:szCs w:val="24"/>
        </w:rPr>
        <w:tab/>
      </w:r>
      <w:r>
        <w:rPr>
          <w:rFonts w:eastAsia="Arial Unicode MS"/>
          <w:bCs/>
          <w:noProof/>
          <w:szCs w:val="24"/>
          <w:lang w:eastAsia="en-GB"/>
        </w:rPr>
        <w:t xml:space="preserve">Implementation plans and monitoring, </w:t>
      </w:r>
      <w:r>
        <w:rPr>
          <w:rFonts w:eastAsia="Arial Unicode MS"/>
          <w:noProof/>
        </w:rPr>
        <w:t>evaluation</w:t>
      </w:r>
      <w:r>
        <w:rPr>
          <w:rFonts w:eastAsia="Arial Unicode MS"/>
          <w:bCs/>
          <w:noProof/>
          <w:szCs w:val="24"/>
          <w:bdr w:val="nil"/>
          <w:lang w:eastAsia="en-GB"/>
        </w:rPr>
        <w:t xml:space="preserve"> and reporting arrangements</w:t>
      </w:r>
      <w:bookmarkEnd w:id="16"/>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2"/>
        <w:rPr>
          <w:rFonts w:eastAsia="Arial Unicode MS"/>
          <w:b w:val="0"/>
          <w:bCs/>
          <w:noProof/>
          <w:szCs w:val="24"/>
          <w:bdr w:val="nil"/>
          <w:lang w:eastAsia="en-GB"/>
        </w:rPr>
      </w:pPr>
      <w:bookmarkStart w:id="17" w:name="_Toc216446650"/>
      <w:r>
        <w:rPr>
          <w:rFonts w:eastAsia="Arial Unicode MS"/>
          <w:bCs/>
          <w:noProof/>
          <w:szCs w:val="24"/>
          <w:bdr w:val="nil"/>
          <w:lang w:eastAsia="en-GB"/>
        </w:rPr>
        <w:t>•</w:t>
      </w:r>
      <w:r>
        <w:rPr>
          <w:noProof/>
          <w:szCs w:val="24"/>
        </w:rPr>
        <w:tab/>
      </w:r>
      <w:r>
        <w:rPr>
          <w:rFonts w:eastAsia="Arial Unicode MS"/>
          <w:bCs/>
          <w:noProof/>
          <w:szCs w:val="24"/>
          <w:bdr w:val="nil"/>
          <w:lang w:eastAsia="en-GB"/>
        </w:rPr>
        <w:t xml:space="preserve">Explanatory </w:t>
      </w:r>
      <w:r>
        <w:rPr>
          <w:rFonts w:eastAsia="Arial Unicode MS"/>
          <w:noProof/>
        </w:rPr>
        <w:t>documents</w:t>
      </w:r>
      <w:r>
        <w:rPr>
          <w:rFonts w:eastAsia="Arial Unicode MS"/>
          <w:bCs/>
          <w:noProof/>
          <w:szCs w:val="24"/>
          <w:bdr w:val="nil"/>
          <w:lang w:eastAsia="en-GB"/>
        </w:rPr>
        <w:t xml:space="preserve"> (for </w:t>
      </w:r>
      <w:r>
        <w:rPr>
          <w:rFonts w:eastAsia="Arial Unicode MS"/>
          <w:noProof/>
        </w:rPr>
        <w:t>directives</w:t>
      </w:r>
      <w:r>
        <w:rPr>
          <w:rFonts w:eastAsia="Arial Unicode MS"/>
          <w:bCs/>
          <w:noProof/>
          <w:szCs w:val="24"/>
          <w:bdr w:val="nil"/>
          <w:lang w:eastAsia="en-GB"/>
        </w:rPr>
        <w:t>)</w:t>
      </w:r>
      <w:bookmarkEnd w:id="17"/>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pStyle w:val="ManualHeading2"/>
        <w:rPr>
          <w:rFonts w:eastAsia="Arial Unicode MS"/>
          <w:b w:val="0"/>
          <w:bCs/>
          <w:noProof/>
          <w:szCs w:val="24"/>
          <w:bdr w:val="nil"/>
          <w:lang w:eastAsia="en-GB"/>
        </w:rPr>
      </w:pPr>
      <w:bookmarkStart w:id="18" w:name="_Toc216446651"/>
      <w:r>
        <w:rPr>
          <w:rFonts w:eastAsia="Arial Unicode MS"/>
          <w:bCs/>
          <w:noProof/>
          <w:szCs w:val="24"/>
          <w:bdr w:val="nil"/>
          <w:lang w:eastAsia="en-GB"/>
        </w:rPr>
        <w:t>•</w:t>
      </w:r>
      <w:r>
        <w:rPr>
          <w:noProof/>
          <w:szCs w:val="24"/>
        </w:rPr>
        <w:tab/>
      </w:r>
      <w:r>
        <w:rPr>
          <w:rFonts w:eastAsia="Arial Unicode MS"/>
          <w:bCs/>
          <w:noProof/>
          <w:szCs w:val="24"/>
          <w:bdr w:val="nil"/>
          <w:lang w:eastAsia="en-GB"/>
        </w:rPr>
        <w:t xml:space="preserve">Detailed explanation of the </w:t>
      </w:r>
      <w:r>
        <w:rPr>
          <w:rFonts w:eastAsia="Arial Unicode MS"/>
          <w:noProof/>
        </w:rPr>
        <w:t>specific</w:t>
      </w:r>
      <w:r>
        <w:rPr>
          <w:rFonts w:eastAsia="Arial Unicode MS"/>
          <w:bCs/>
          <w:noProof/>
          <w:szCs w:val="24"/>
          <w:bdr w:val="nil"/>
          <w:lang w:eastAsia="en-GB"/>
        </w:rPr>
        <w:t xml:space="preserve"> </w:t>
      </w:r>
      <w:r>
        <w:rPr>
          <w:rFonts w:eastAsia="Arial Unicode MS"/>
          <w:noProof/>
        </w:rPr>
        <w:t>provisions</w:t>
      </w:r>
      <w:r>
        <w:rPr>
          <w:rFonts w:eastAsia="Arial Unicode MS"/>
          <w:bCs/>
          <w:noProof/>
          <w:szCs w:val="24"/>
          <w:bdr w:val="nil"/>
          <w:lang w:eastAsia="en-GB"/>
        </w:rPr>
        <w:t xml:space="preserve"> of the recommendation</w:t>
      </w:r>
      <w:bookmarkEnd w:id="18"/>
    </w:p>
    <w:p>
      <w:pPr>
        <w:pBdr>
          <w:top w:val="nil"/>
          <w:left w:val="nil"/>
          <w:bottom w:val="nil"/>
          <w:right w:val="nil"/>
          <w:between w:val="nil"/>
          <w:bar w:val="nil"/>
        </w:pBdr>
        <w:spacing w:after="240"/>
        <w:rPr>
          <w:rFonts w:eastAsia="Arial Unicode MS"/>
          <w:noProof/>
          <w:szCs w:val="24"/>
        </w:rPr>
      </w:pPr>
      <w:r>
        <w:rPr>
          <w:rFonts w:eastAsia="Arial Unicode MS"/>
          <w:noProof/>
          <w:szCs w:val="24"/>
        </w:rPr>
        <w:t>Not applicable.</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Statut"/>
        <w:rPr>
          <w:noProof/>
        </w:rPr>
      </w:pPr>
      <w:r>
        <w:rPr>
          <w:noProof/>
        </w:rPr>
        <w:t>Recommendation for a</w:t>
      </w:r>
    </w:p>
    <w:p>
      <w:pPr>
        <w:pStyle w:val="Typedudocument"/>
        <w:rPr>
          <w:noProof/>
        </w:rPr>
      </w:pPr>
      <w:r>
        <w:rPr>
          <w:noProof/>
        </w:rPr>
        <w:t>COUNCIL DECISION</w:t>
      </w:r>
    </w:p>
    <w:p>
      <w:pPr>
        <w:pStyle w:val="Titreobjet"/>
        <w:rPr>
          <w:noProof/>
        </w:rPr>
      </w:pPr>
      <w:r>
        <w:rPr>
          <w:noProof/>
        </w:rPr>
        <w:t>authorising the opening of negotiations on an agreement between the European Union and the United Kingdom under Article XXVIII of the General Agreement on Tariffs and Trade 1994 regarding the modification of its WTO import tariff concessions on steel and steel products</w:t>
      </w:r>
    </w:p>
    <w:p>
      <w:pPr>
        <w:pStyle w:val="Institutionquiagit"/>
        <w:rPr>
          <w:noProof/>
        </w:rPr>
      </w:pPr>
      <w:r>
        <w:rPr>
          <w:noProof/>
        </w:rPr>
        <w:t>THE COUNCIL OF THE EUROPEAN UNION,</w:t>
      </w:r>
    </w:p>
    <w:p>
      <w:pPr>
        <w:rPr>
          <w:noProof/>
          <w:szCs w:val="24"/>
        </w:rPr>
      </w:pPr>
      <w:r>
        <w:rPr>
          <w:noProof/>
          <w:szCs w:val="24"/>
        </w:rPr>
        <w:t>Having regard to the Treaty on the Functioning of the European Union, and in particular Article 207(4), in conjunction with Article 218(3) and (4)</w:t>
      </w:r>
      <w:r>
        <w:rPr>
          <w:noProof/>
        </w:rPr>
        <w:t xml:space="preserve"> thereof</w:t>
      </w:r>
      <w:r>
        <w:rPr>
          <w:noProof/>
          <w:szCs w:val="24"/>
        </w:rPr>
        <w:t xml:space="preserve">, </w:t>
      </w:r>
    </w:p>
    <w:p>
      <w:pPr>
        <w:rPr>
          <w:noProof/>
          <w:szCs w:val="24"/>
        </w:rPr>
      </w:pPr>
      <w:r>
        <w:rPr>
          <w:noProof/>
          <w:szCs w:val="24"/>
        </w:rPr>
        <w:t>Having regard to the recommendation from the European Commission,</w:t>
      </w:r>
    </w:p>
    <w:p>
      <w:pPr>
        <w:rPr>
          <w:noProof/>
          <w:szCs w:val="24"/>
        </w:rPr>
      </w:pPr>
      <w:r>
        <w:rPr>
          <w:noProof/>
          <w:szCs w:val="24"/>
        </w:rPr>
        <w:t>Whereas:</w:t>
      </w:r>
    </w:p>
    <w:p>
      <w:pPr>
        <w:pStyle w:val="ManualConsidrant"/>
        <w:rPr>
          <w:noProof/>
        </w:rPr>
      </w:pPr>
      <w:r>
        <w:rPr>
          <w:noProof/>
        </w:rPr>
        <w:t>(1)</w:t>
      </w:r>
      <w:r>
        <w:rPr>
          <w:noProof/>
        </w:rPr>
        <w:tab/>
        <w:t xml:space="preserve">The United Kingdom notified World Trade Organization (‘WTO’) Members on 19 March 2026 of its intention to launch negotiations under Article XXVIII of the General Agreement on Tariffs and Trade 1994 (‘GATT 1994’) in order </w:t>
      </w:r>
      <w:r>
        <w:rPr>
          <w:rFonts w:eastAsia="Arial Unicode MS"/>
          <w:noProof/>
        </w:rPr>
        <w:t>to modify its import tariff concessions as they are currently binding the United Kingdom and reflected in its Schedule of Concessions XIX on all steel products covered between HS codes 72.06 and HS 73.07 by increasing the current duty binding to 50% ad valorem</w:t>
      </w:r>
      <w:r>
        <w:rPr>
          <w:noProof/>
        </w:rPr>
        <w:t>, in accordance with the procedure laid down in Article XXVIII:5 of the GATT 1994.</w:t>
      </w:r>
    </w:p>
    <w:p>
      <w:pPr>
        <w:pStyle w:val="ManualConsidrant"/>
        <w:rPr>
          <w:noProof/>
        </w:rPr>
      </w:pPr>
      <w:r>
        <w:rPr>
          <w:noProof/>
        </w:rPr>
        <w:t>(2)</w:t>
      </w:r>
      <w:r>
        <w:rPr>
          <w:noProof/>
        </w:rPr>
        <w:tab/>
        <w:t>The Union communicated its claim of interest to the United Kingdom on 16 June 2026 as a WTO Member holding a principal supplier interest and substantial interest on 373 tariff lines, with respect to the concessions which are the subject of negotiation and consultation under Article XXVIII of the GATT 1994.</w:t>
      </w:r>
    </w:p>
    <w:p>
      <w:pPr>
        <w:pStyle w:val="ManualConsidrant"/>
        <w:rPr>
          <w:noProof/>
        </w:rPr>
      </w:pPr>
      <w:r>
        <w:rPr>
          <w:noProof/>
        </w:rPr>
        <w:t>(3)</w:t>
      </w:r>
      <w:r>
        <w:rPr>
          <w:noProof/>
        </w:rPr>
        <w:tab/>
        <w:t xml:space="preserve">The Commission should therefore be authorised to open negotiations under Article XXVIII of the GATT 1994 with the United Kingdom in order to agree o the modification, including on adequate compensation for the Union following the United Kingdom's decision to modify certain tariff concessions for all the </w:t>
      </w:r>
      <w:r>
        <w:rPr>
          <w:rFonts w:eastAsia="Arial Unicode MS"/>
          <w:noProof/>
        </w:rPr>
        <w:t xml:space="preserve">steel products covered between HS headings 72.06 and HS 73.07 </w:t>
      </w:r>
      <w:r>
        <w:rPr>
          <w:noProof/>
        </w:rPr>
        <w:t>from Schedule of Concessions XIX,</w:t>
      </w:r>
    </w:p>
    <w:p>
      <w:pPr>
        <w:pStyle w:val="Formuledadoption"/>
        <w:rPr>
          <w:noProof/>
          <w:lang w:val="en-IE"/>
        </w:rPr>
      </w:pPr>
      <w:r>
        <w:rPr>
          <w:noProof/>
          <w:lang w:val="en-IE"/>
        </w:rPr>
        <w:t xml:space="preserve">HAS ADOPTED THIS DECISION: </w:t>
      </w:r>
    </w:p>
    <w:p>
      <w:pPr>
        <w:pStyle w:val="Titrearticle"/>
        <w:rPr>
          <w:noProof/>
          <w:lang w:val="en-IE"/>
        </w:rPr>
      </w:pPr>
      <w:bookmarkStart w:id="19" w:name="_Hlk215132991"/>
      <w:bookmarkStart w:id="20" w:name="_Hlk215132962"/>
      <w:r>
        <w:rPr>
          <w:noProof/>
          <w:lang w:val="en-IE"/>
        </w:rPr>
        <w:t>Article 1</w:t>
      </w:r>
    </w:p>
    <w:p>
      <w:pPr>
        <w:rPr>
          <w:noProof/>
          <w:szCs w:val="24"/>
        </w:rPr>
      </w:pPr>
      <w:r>
        <w:rPr>
          <w:noProof/>
          <w:szCs w:val="24"/>
        </w:rPr>
        <w:t xml:space="preserve">The Commission is hereby authorised to negotiate, on behalf of the Union, an agreement with the United Kingdom, pursuant to Article XXVIII of the GATT 1994 for appropriate compensation, following the United Kingdom’s decision to </w:t>
      </w:r>
      <w:r>
        <w:rPr>
          <w:rFonts w:eastAsia="Arial Unicode MS"/>
          <w:noProof/>
          <w:szCs w:val="24"/>
        </w:rPr>
        <w:t>modify its import tariff concessions as they are currently binding the United Kingdom and reflected in its Schedule of Concessions XIX on all products between HS headings 72.06 and HS 73.07 by increasing the current duty binding to 50% ad valorem</w:t>
      </w:r>
      <w:r>
        <w:rPr>
          <w:noProof/>
          <w:szCs w:val="24"/>
        </w:rPr>
        <w:t>.</w:t>
      </w:r>
    </w:p>
    <w:p>
      <w:pPr>
        <w:pStyle w:val="Titrearticle"/>
        <w:rPr>
          <w:noProof/>
          <w:lang w:val="en-IE"/>
        </w:rPr>
      </w:pPr>
      <w:bookmarkStart w:id="21" w:name="_Hlk215133098"/>
      <w:bookmarkEnd w:id="19"/>
      <w:r>
        <w:rPr>
          <w:noProof/>
          <w:lang w:val="en-IE"/>
        </w:rPr>
        <w:t>Article 2</w:t>
      </w:r>
    </w:p>
    <w:p>
      <w:pPr>
        <w:rPr>
          <w:i/>
          <w:noProof/>
          <w:lang w:val="en-IE"/>
        </w:rPr>
      </w:pPr>
      <w:r>
        <w:rPr>
          <w:noProof/>
          <w:lang w:val="en-IE"/>
        </w:rPr>
        <w:t>The Commission is hereby nominated as the Union negotiator.</w:t>
      </w:r>
    </w:p>
    <w:p>
      <w:pPr>
        <w:pStyle w:val="Titrearticle"/>
        <w:rPr>
          <w:noProof/>
          <w:lang w:val="en-IE"/>
        </w:rPr>
      </w:pPr>
      <w:r>
        <w:rPr>
          <w:noProof/>
          <w:lang w:val="en-IE"/>
        </w:rPr>
        <w:t>Article 3</w:t>
      </w:r>
    </w:p>
    <w:p>
      <w:pPr>
        <w:rPr>
          <w:noProof/>
          <w:szCs w:val="24"/>
        </w:rPr>
      </w:pPr>
      <w:r>
        <w:rPr>
          <w:noProof/>
          <w:szCs w:val="24"/>
        </w:rPr>
        <w:t>The negotiating directives set out in the addendum to this Decision are hereby addressed to the Commission.</w:t>
      </w:r>
    </w:p>
    <w:bookmarkEnd w:id="21"/>
    <w:p>
      <w:pPr>
        <w:pStyle w:val="Titrearticle"/>
        <w:rPr>
          <w:noProof/>
          <w:lang w:val="en-IE"/>
        </w:rPr>
      </w:pPr>
      <w:r>
        <w:rPr>
          <w:noProof/>
          <w:lang w:val="en-IE"/>
        </w:rPr>
        <w:t>Article 4</w:t>
      </w:r>
    </w:p>
    <w:p>
      <w:pPr>
        <w:rPr>
          <w:noProof/>
          <w:szCs w:val="24"/>
        </w:rPr>
      </w:pPr>
      <w:r>
        <w:rPr>
          <w:noProof/>
          <w:szCs w:val="24"/>
        </w:rPr>
        <w:t>The negotiations shall be conducted in consultation with the Trade Policy Committee.</w:t>
      </w:r>
    </w:p>
    <w:bookmarkEnd w:id="20"/>
    <w:p>
      <w:pPr>
        <w:pStyle w:val="Titrearticle"/>
        <w:rPr>
          <w:noProof/>
          <w:lang w:val="en-IE"/>
        </w:rPr>
      </w:pPr>
      <w:r>
        <w:rPr>
          <w:noProof/>
          <w:lang w:val="en-IE"/>
        </w:rPr>
        <w:t>Article 5</w:t>
      </w:r>
    </w:p>
    <w:p>
      <w:pPr>
        <w:spacing w:after="360"/>
        <w:rPr>
          <w:noProof/>
          <w:szCs w:val="24"/>
        </w:rPr>
      </w:pPr>
      <w:r>
        <w:rPr>
          <w:noProof/>
          <w:szCs w:val="24"/>
        </w:rPr>
        <w:t>This Decision is addressed to the Commission.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tab/>
      </w:r>
      <w:r>
        <w:rPr>
          <w:lang w:val="en-IE"/>
        </w:rPr>
        <w:t>Guidelines adopted on 10 November 1980, GATT documents C/113 and C/113/Corr.1, GATT BISD 27S/26-28.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A463DF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81CE2A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8A2456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2612CA0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lvlOverride w:ilvl="0">
      <w:startOverride w:val="1"/>
    </w:lvlOverride>
  </w:num>
  <w:num w:numId="2">
    <w:abstractNumId w:val="3"/>
  </w:num>
  <w:num w:numId="3">
    <w:abstractNumId w:val="2"/>
  </w:num>
  <w:num w:numId="4">
    <w:abstractNumId w:val="1"/>
  </w:num>
  <w:num w:numId="5">
    <w:abstractNumId w:val="0"/>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8-28 12:01:09"/>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1"/>
    <w:docVar w:name="LW_CORRIGENDUM" w:val="&lt;UNUSED&gt;"/>
    <w:docVar w:name="LW_COVERPAGE_EXISTS" w:val="True"/>
    <w:docVar w:name="LW_COVERPAGE_GUID" w:val="7D18E789-CA6A-44A4-A563-BE524EA4CB2D"/>
    <w:docVar w:name="LW_COVERPAGE_TYPE" w:val="1"/>
    <w:docVar w:name="LW_CreatedUtc" w:val="2026-07-16T12:27:12.6782786Z"/>
    <w:docVar w:name="LW_CROSSREFERENCE" w:val="&lt;UNUSED&gt;"/>
    <w:docVar w:name="LW_DocType" w:val="COM"/>
    <w:docVar w:name="LW_EMISSION" w:val="1.9.2026"/>
    <w:docVar w:name="LW_EMISSION_ISODATE" w:val="2026-09-01"/>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negotiations on an agreement between the European Union and the United Kingdom under Article XXVIII of the General Agreement on Tariffs and Trade 1994 regarding the modification of its WTO import tariff concessions on steel and steel products"/>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6F3108A-78F8-4962-B352-4727828B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lang w:val="en-IE"/>
      <w14:ligatures w14:val="standardContextual"/>
    </w:r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8D760-DC7E-4A7B-93C5-D8181D89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4</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27</cp:revision>
  <dcterms:created xsi:type="dcterms:W3CDTF">2026-08-24T10:00:00Z</dcterms:created>
  <dcterms:modified xsi:type="dcterms:W3CDTF">2026-08-28T10:01:00Z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2026-07-16T12:32:19Z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32852684-79a0-4c53-9527-7bd280817726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