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Pagedecouverture"/>
        <w:rPr>
          <w:noProof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1" type="#_x0000_t75" alt="629C8D13-DBA8-4225-B4ED-1AD753E082EF" style="width:455.25pt;height:381.75pt">
            <v:imagedata r:id="rId7" o:title=""/>
          </v:shape>
        </w:pict>
      </w:r>
    </w:p>
    <w:p>
      <w:pPr>
        <w:rPr>
          <w:noProof/>
        </w:rPr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39"/>
          <w:pgMar w:top="1134" w:right="1417" w:bottom="1134" w:left="1417" w:header="709" w:footer="709" w:gutter="0"/>
          <w:pgNumType w:start="0"/>
          <w:cols w:space="720"/>
          <w:docGrid w:linePitch="360"/>
        </w:sectPr>
      </w:pPr>
    </w:p>
    <w:p>
      <w:pPr>
        <w:pStyle w:val="Annexetitre"/>
        <w:rPr>
          <w:noProof/>
        </w:rPr>
      </w:pPr>
      <w:r>
        <w:rPr>
          <w:noProof/>
        </w:rPr>
        <w:lastRenderedPageBreak/>
        <w:t xml:space="preserve">ANNEXE </w:t>
      </w:r>
    </w:p>
    <w:p>
      <w:pPr>
        <w:spacing w:after="240"/>
        <w:jc w:val="center"/>
        <w:rPr>
          <w:b/>
          <w:bCs/>
          <w:caps/>
          <w:noProof/>
        </w:rPr>
      </w:pPr>
      <w:r>
        <w:rPr>
          <w:b/>
          <w:caps/>
          <w:noProof/>
        </w:rPr>
        <w:t>Directives de négociation d’un accord entre</w:t>
      </w:r>
      <w:r>
        <w:rPr>
          <w:b/>
          <w:caps/>
          <w:noProof/>
        </w:rPr>
        <w:br/>
        <w:t>l’Union européenne et le Royaume-Uni, au titre de l’article XXVIII de l’accord général sur les tarifs douaniers et le commerce de 1994, en ce qui concerne la modification des concessions tarifaires à l’importation de l’OMC sur l’acier et les produits en acier, telles qu’elles lient actuellement le ROYAUME-UNI</w:t>
      </w:r>
    </w:p>
    <w:p>
      <w:pPr>
        <w:pStyle w:val="Bullet0"/>
        <w:numPr>
          <w:ilvl w:val="0"/>
          <w:numId w:val="1"/>
        </w:numPr>
        <w:rPr>
          <w:rFonts w:eastAsia="Times New Roman"/>
          <w:b/>
          <w:bCs/>
          <w:noProof/>
          <w:sz w:val="32"/>
          <w:szCs w:val="32"/>
          <w:u w:val="single"/>
        </w:rPr>
      </w:pPr>
      <w:r>
        <w:rPr>
          <w:noProof/>
        </w:rPr>
        <w:t>La Commission devrait négocier un accord avec le Royaume-Uni, conformément à l’article XXVIII du GATT de 1994</w:t>
      </w:r>
      <w:r>
        <w:rPr>
          <w:rStyle w:val="FootnoteReference"/>
          <w:noProof/>
        </w:rPr>
        <w:footnoteReference w:id="1"/>
      </w:r>
      <w:r>
        <w:rPr>
          <w:noProof/>
        </w:rPr>
        <w:t xml:space="preserve">, à la suite de la décision du Royaume-Uni de modifier ses concessions tarifaires à l’importation, telles qu’elles lient actuellement le Royaume-Uni et figurent dans sa liste de concessions XIX, pour tous les produits relevant des positions SH 72.06 à SH 73.07, en augmentant la consolidation des droits actuelle pour la porter à 50 % ad valorem. </w:t>
      </w:r>
    </w:p>
    <w:p>
      <w:pPr>
        <w:pStyle w:val="Bullet0"/>
        <w:rPr>
          <w:rFonts w:eastAsia="Times New Roman"/>
          <w:b/>
          <w:bCs/>
          <w:noProof/>
          <w:sz w:val="32"/>
          <w:szCs w:val="32"/>
          <w:u w:val="single"/>
        </w:rPr>
      </w:pPr>
      <w:r>
        <w:rPr>
          <w:noProof/>
        </w:rPr>
        <w:t xml:space="preserve">La Commission devrait mener les négociations en vue de parvenir à un accord avec le Royaume-Uni sur la modification et une compensation adéquate à la suite de la décision du Royaume-Uni de modifier ses concessions tarifaires à l’importation pour tous les produits relevant des positions SH 72.06 à SH 73.07 dans sa liste de concessions XIX en augmentant la consolidation des droits actuelle pour la porter à 50 % ad valorem. </w:t>
      </w:r>
    </w:p>
    <w:p>
      <w:pPr>
        <w:pStyle w:val="Bullet0"/>
        <w:rPr>
          <w:rFonts w:eastAsia="Times New Roman"/>
          <w:b/>
          <w:bCs/>
          <w:noProof/>
          <w:sz w:val="32"/>
          <w:szCs w:val="32"/>
          <w:u w:val="single"/>
        </w:rPr>
      </w:pPr>
      <w:r>
        <w:rPr>
          <w:noProof/>
        </w:rPr>
        <w:t xml:space="preserve">La Commission devrait suivre les dispositions pertinentes de l’OMC, en particulier l’article XXVIII du GATT de 1994 et le mémorandum d’accord sur l’interprétation de l’article XXVIII du GATT de 1994. </w:t>
      </w:r>
    </w:p>
    <w:p>
      <w:pPr>
        <w:pStyle w:val="Bullet0"/>
        <w:rPr>
          <w:rFonts w:eastAsia="Times New Roman"/>
          <w:b/>
          <w:bCs/>
          <w:noProof/>
          <w:sz w:val="32"/>
          <w:szCs w:val="32"/>
          <w:u w:val="single"/>
        </w:rPr>
      </w:pPr>
      <w:r>
        <w:rPr>
          <w:noProof/>
        </w:rPr>
        <w:t>La Commission devrait informer le Conseil des résultats des négociations et, le cas échéant, de tout problème pouvant survenir pendant les négociations.</w:t>
      </w:r>
    </w:p>
    <w:sectPr>
      <w:headerReference w:type="even" r:id="rId14"/>
      <w:footerReference w:type="even" r:id="rId15"/>
      <w:footerReference w:type="default" r:id="rId16"/>
      <w:headerReference w:type="first" r:id="rId17"/>
      <w:footerReference w:type="first" r:id="rId18"/>
      <w:pgSz w:w="11907" w:h="16839"/>
      <w:pgMar w:top="1134" w:right="1417" w:bottom="1134" w:left="1417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spacing w:before="0" w:after="0"/>
      </w:pPr>
      <w:r>
        <w:separator/>
      </w:r>
    </w:p>
  </w:endnote>
  <w:endnote w:type="continuationSeparator" w:id="0">
    <w:p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rPr>
        <w:rFonts w:ascii="Arial" w:hAnsi="Arial" w:cs="Arial"/>
        <w:b/>
        <w:sz w:val="48"/>
      </w:rPr>
    </w:pPr>
    <w:r>
      <w:rPr>
        <w:rFonts w:ascii="Arial" w:hAnsi="Arial" w:cs="Arial"/>
        <w:b/>
        <w:sz w:val="48"/>
      </w:rPr>
      <w:t>FR</w:t>
    </w:r>
    <w:r>
      <w:rPr>
        <w:rFonts w:ascii="Arial" w:hAnsi="Arial" w:cs="Arial"/>
        <w:b/>
        <w:sz w:val="48"/>
      </w:rPr>
      <w:tab/>
    </w:r>
    <w:r>
      <w:rPr>
        <w:rFonts w:ascii="Arial" w:hAnsi="Arial" w:cs="Arial"/>
        <w:b/>
        <w:sz w:val="48"/>
      </w:rPr>
      <w:tab/>
    </w:r>
    <w:r>
      <w:tab/>
    </w:r>
    <w:r>
      <w:rPr>
        <w:rFonts w:ascii="Arial" w:hAnsi="Arial" w:cs="Arial"/>
        <w:b/>
        <w:sz w:val="48"/>
      </w:rPr>
      <w:t>FR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rPr>
        <w:rFonts w:ascii="Arial" w:hAnsi="Arial" w:cs="Arial"/>
        <w:b/>
        <w:sz w:val="48"/>
      </w:rPr>
    </w:pPr>
    <w:r>
      <w:rPr>
        <w:rFonts w:ascii="Arial" w:hAnsi="Arial" w:cs="Arial"/>
        <w:b/>
        <w:sz w:val="48"/>
      </w:rPr>
      <w:t>FR</w:t>
    </w:r>
    <w:r>
      <w:rPr>
        <w:rFonts w:ascii="Arial" w:hAnsi="Arial" w:cs="Arial"/>
        <w:b/>
        <w:sz w:val="48"/>
      </w:rPr>
      <w:tab/>
    </w:r>
    <w:r>
      <w:rPr>
        <w:rFonts w:ascii="Arial" w:hAnsi="Arial" w:cs="Arial"/>
        <w:b/>
        <w:sz w:val="48"/>
      </w:rPr>
      <w:tab/>
    </w:r>
    <w:r>
      <w:tab/>
    </w:r>
    <w:r>
      <w:rPr>
        <w:rFonts w:ascii="Arial" w:hAnsi="Arial" w:cs="Arial"/>
        <w:b/>
        <w:sz w:val="48"/>
      </w:rPr>
      <w:t>FR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rPr>
        <w:rFonts w:ascii="Arial" w:hAnsi="Arial" w:cs="Arial"/>
        <w:b/>
        <w:sz w:val="48"/>
      </w:rPr>
    </w:pPr>
    <w:r>
      <w:rPr>
        <w:rFonts w:ascii="Arial" w:hAnsi="Arial" w:cs="Arial"/>
        <w:b/>
        <w:sz w:val="48"/>
      </w:rPr>
      <w:t>FR</w:t>
    </w:r>
    <w:r>
      <w:rPr>
        <w:rFonts w:ascii="Arial" w:hAnsi="Arial" w:cs="Arial"/>
        <w:b/>
        <w:sz w:val="48"/>
      </w:rPr>
      <w:tab/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0</w:t>
    </w:r>
    <w:r>
      <w:fldChar w:fldCharType="end"/>
    </w:r>
    <w:r>
      <w:tab/>
    </w:r>
    <w:r>
      <w:tab/>
    </w:r>
    <w:r>
      <w:rPr>
        <w:rFonts w:ascii="Arial" w:hAnsi="Arial" w:cs="Arial"/>
        <w:b/>
        <w:sz w:val="48"/>
      </w:rPr>
      <w:t>FR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pPr>
        <w:spacing w:before="0" w:after="0"/>
      </w:pPr>
      <w:r>
        <w:separator/>
      </w:r>
    </w:p>
  </w:footnote>
  <w:footnote w:type="continuationSeparator" w:id="0">
    <w:p>
      <w:pPr>
        <w:spacing w:before="0" w:after="0"/>
      </w:pPr>
      <w:r>
        <w:continuationSeparator/>
      </w:r>
    </w:p>
  </w:footnote>
  <w:footnote w:id="1">
    <w:p>
      <w:pPr>
        <w:pStyle w:val="FootnoteText"/>
      </w:pPr>
      <w:r>
        <w:rPr>
          <w:rStyle w:val="FootnoteReference"/>
        </w:rPr>
        <w:footnoteRef/>
      </w:r>
      <w:r>
        <w:tab/>
      </w:r>
      <w:hyperlink r:id="rId1" w:history="1">
        <w:r>
          <w:rPr>
            <w:rStyle w:val="Hyperlink"/>
          </w:rPr>
          <w:t>https://www.wto.org/french/docs_f/legal_f/gatt47_f.htm</w:t>
        </w:r>
      </w:hyperlink>
      <w: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D"/>
    <w:multiLevelType w:val="singleLevel"/>
    <w:tmpl w:val="8828DEA2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 w15:restartNumberingAfterBreak="0">
    <w:nsid w:val="FFFFFF7E"/>
    <w:multiLevelType w:val="singleLevel"/>
    <w:tmpl w:val="9FB0ADC2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2" w15:restartNumberingAfterBreak="0">
    <w:nsid w:val="FFFFFF7F"/>
    <w:multiLevelType w:val="singleLevel"/>
    <w:tmpl w:val="77DEDF1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3" w15:restartNumberingAfterBreak="0">
    <w:nsid w:val="FFFFFF81"/>
    <w:multiLevelType w:val="singleLevel"/>
    <w:tmpl w:val="28BE437A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4" w15:restartNumberingAfterBreak="0">
    <w:nsid w:val="FFFFFF82"/>
    <w:multiLevelType w:val="singleLevel"/>
    <w:tmpl w:val="FF2CE5F6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5" w15:restartNumberingAfterBreak="0">
    <w:nsid w:val="FFFFFF83"/>
    <w:multiLevelType w:val="singleLevel"/>
    <w:tmpl w:val="B4AEFD7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6" w15:restartNumberingAfterBreak="0">
    <w:nsid w:val="FFFFFF88"/>
    <w:multiLevelType w:val="singleLevel"/>
    <w:tmpl w:val="F070C35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FFFFFF89"/>
    <w:multiLevelType w:val="singleLevel"/>
    <w:tmpl w:val="49D255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1B3C78B8"/>
    <w:multiLevelType w:val="multilevel"/>
    <w:tmpl w:val="2ED4F4D0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9" w15:restartNumberingAfterBreak="0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2CB72C6E"/>
    <w:multiLevelType w:val="singleLevel"/>
    <w:tmpl w:val="10ACD464"/>
    <w:name w:val="Bullet 3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11" w15:restartNumberingAfterBreak="0">
    <w:nsid w:val="2CE9221F"/>
    <w:multiLevelType w:val="singleLevel"/>
    <w:tmpl w:val="9B4AFB48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12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3" w15:restartNumberingAfterBreak="0">
    <w:nsid w:val="42FC0772"/>
    <w:multiLevelType w:val="singleLevel"/>
    <w:tmpl w:val="4128FCF8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14" w15:restartNumberingAfterBreak="0">
    <w:nsid w:val="42FC077D"/>
    <w:multiLevelType w:val="singleLevel"/>
    <w:tmpl w:val="4128FD03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15" w15:restartNumberingAfterBreak="0">
    <w:nsid w:val="4552127F"/>
    <w:multiLevelType w:val="singleLevel"/>
    <w:tmpl w:val="057A5296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16" w15:restartNumberingAfterBreak="0">
    <w:nsid w:val="556E1D63"/>
    <w:multiLevelType w:val="singleLevel"/>
    <w:tmpl w:val="493AAFF0"/>
    <w:name w:val="Bullet 4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17" w15:restartNumberingAfterBreak="0">
    <w:nsid w:val="5B395AAA"/>
    <w:multiLevelType w:val="singleLevel"/>
    <w:tmpl w:val="96D02E8A"/>
    <w:name w:val="Bullet 1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18" w15:restartNumberingAfterBreak="0">
    <w:nsid w:val="5C056EE5"/>
    <w:multiLevelType w:val="singleLevel"/>
    <w:tmpl w:val="3378D27C"/>
    <w:name w:val="Bullet 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19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20" w15:restartNumberingAfterBreak="0">
    <w:nsid w:val="64A12FA4"/>
    <w:multiLevelType w:val="multilevel"/>
    <w:tmpl w:val="428ECF3E"/>
    <w:name w:val="Heading"/>
    <w:lvl w:ilvl="0">
      <w:start w:val="1"/>
      <w:numFmt w:val="decimal"/>
      <w:lvlRestart w:val="0"/>
      <w:pStyle w:val="Heading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Heading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Heading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67B856F6"/>
    <w:multiLevelType w:val="singleLevel"/>
    <w:tmpl w:val="0AB28E9C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22" w15:restartNumberingAfterBreak="0">
    <w:nsid w:val="7CBE4812"/>
    <w:multiLevelType w:val="singleLevel"/>
    <w:tmpl w:val="23C821E4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>
    <w:abstractNumId w:val="15"/>
    <w:lvlOverride w:ilvl="0">
      <w:startOverride w:val="1"/>
    </w:lvlOverride>
  </w:num>
  <w:num w:numId="2">
    <w:abstractNumId w:val="7"/>
  </w:num>
  <w:num w:numId="3">
    <w:abstractNumId w:val="5"/>
  </w:num>
  <w:num w:numId="4">
    <w:abstractNumId w:val="4"/>
  </w:num>
  <w:num w:numId="5">
    <w:abstractNumId w:val="3"/>
  </w:num>
  <w:num w:numId="6">
    <w:abstractNumId w:val="6"/>
  </w:num>
  <w:num w:numId="7">
    <w:abstractNumId w:val="2"/>
  </w:num>
  <w:num w:numId="8">
    <w:abstractNumId w:val="1"/>
  </w:num>
  <w:num w:numId="9">
    <w:abstractNumId w:val="0"/>
  </w:num>
  <w:num w:numId="10">
    <w:abstractNumId w:val="19"/>
  </w:num>
  <w:num w:numId="11">
    <w:abstractNumId w:val="12"/>
  </w:num>
  <w:num w:numId="12">
    <w:abstractNumId w:val="21"/>
  </w:num>
  <w:num w:numId="13">
    <w:abstractNumId w:val="11"/>
  </w:num>
  <w:num w:numId="14">
    <w:abstractNumId w:val="13"/>
  </w:num>
  <w:num w:numId="15">
    <w:abstractNumId w:val="14"/>
  </w:num>
  <w:num w:numId="16">
    <w:abstractNumId w:val="9"/>
  </w:num>
  <w:num w:numId="17">
    <w:abstractNumId w:val="20"/>
  </w:num>
  <w:num w:numId="18">
    <w:abstractNumId w:val="8"/>
  </w:num>
  <w:num w:numId="19">
    <w:abstractNumId w:val="15"/>
  </w:num>
  <w:num w:numId="20">
    <w:abstractNumId w:val="17"/>
  </w:num>
  <w:num w:numId="21">
    <w:abstractNumId w:val="18"/>
  </w:num>
  <w:num w:numId="22">
    <w:abstractNumId w:val="10"/>
  </w:num>
  <w:num w:numId="23">
    <w:abstractNumId w:val="16"/>
  </w:num>
  <w:num w:numId="24">
    <w:abstractNumId w:val="22"/>
  </w:num>
  <w:num w:numId="25">
    <w:abstractNumId w:val="19"/>
  </w:num>
  <w:num w:numId="26">
    <w:abstractNumId w:val="12"/>
  </w:num>
  <w:num w:numId="27">
    <w:abstractNumId w:val="21"/>
  </w:num>
  <w:num w:numId="28">
    <w:abstractNumId w:val="11"/>
  </w:num>
  <w:num w:numId="29">
    <w:abstractNumId w:val="13"/>
  </w:num>
  <w:num w:numId="30">
    <w:abstractNumId w:val="14"/>
  </w:num>
  <w:num w:numId="31">
    <w:abstractNumId w:val="9"/>
  </w:num>
  <w:num w:numId="32">
    <w:abstractNumId w:val="20"/>
  </w:num>
  <w:num w:numId="33">
    <w:abstractNumId w:val="8"/>
  </w:num>
  <w:num w:numId="34">
    <w:abstractNumId w:val="15"/>
  </w:num>
  <w:num w:numId="35">
    <w:abstractNumId w:val="17"/>
  </w:num>
  <w:num w:numId="36">
    <w:abstractNumId w:val="18"/>
  </w:num>
  <w:num w:numId="37">
    <w:abstractNumId w:val="10"/>
  </w:num>
  <w:num w:numId="38">
    <w:abstractNumId w:val="16"/>
  </w:num>
  <w:num w:numId="39">
    <w:abstractNumId w:val="22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oNotDisplayPageBoundaries/>
  <w:hideSpellingErrors/>
  <w:hideGrammaticalErrors/>
  <w:attachedTemplate r:id="rId1"/>
  <w:revisionView w:markup="0"/>
  <w:defaultTabStop w:val="720"/>
  <w:hyphenationZone w:val="425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docVars>
    <w:docVar w:name="CR_RefLast" w:val="0"/>
    <w:docVar w:name="DQCDateTime" w:val="2026-09-04 08:50:38"/>
    <w:docVar w:name="DQCResult_Distribution" w:val="0;0"/>
    <w:docVar w:name="DQCResult_DocumentContent" w:val="0;0"/>
    <w:docVar w:name="DQCResult_DocumentSize" w:val="0;0"/>
    <w:docVar w:name="DQCResult_InvalidFootnotes" w:val="0;0"/>
    <w:docVar w:name="DQCResult_ModifiedMarkers" w:val="0;0"/>
    <w:docVar w:name="DQCResult_ModifiedNumbering" w:val="0;0"/>
    <w:docVar w:name="DQCResult_Objects" w:val="0;0"/>
    <w:docVar w:name="DQCResult_StructureCheck" w:val="0;0"/>
    <w:docVar w:name="DQCStatus" w:val="Green"/>
    <w:docVar w:name="DQCVersion" w:val="3"/>
    <w:docVar w:name="DQCWithWarnings" w:val="0"/>
    <w:docVar w:name="LW_ACCOMPAGNANT" w:val="de la"/>
    <w:docVar w:name="LW_ACCOMPAGNANT.CP" w:val="de la"/>
    <w:docVar w:name="LW_ANNEX_NBR_FIRST" w:val="1"/>
    <w:docVar w:name="LW_ANNEX_NBR_LAST" w:val="1"/>
    <w:docVar w:name="LW_ANNEX_UNIQUE" w:val="1"/>
    <w:docVar w:name="LW_CORRIGENDUM" w:val="&lt;UNUSED&gt;"/>
    <w:docVar w:name="LW_COVERPAGE_EXISTS" w:val="True"/>
    <w:docVar w:name="LW_COVERPAGE_GUID" w:val="629C8D13-DBA8-4225-B4ED-1AD753E082EF"/>
    <w:docVar w:name="LW_COVERPAGE_TYPE" w:val="1"/>
    <w:docVar w:name="LW_CreatedUtc" w:val="2026-07-16T12:28:44.9355321Z"/>
    <w:docVar w:name="LW_CROSSREFERENCE" w:val="&lt;UNUSED&gt;"/>
    <w:docVar w:name="LW_DocType" w:val="ANNEX"/>
    <w:docVar w:name="LW_EMISSION" w:val="1.9.2026"/>
    <w:docVar w:name="LW_EMISSION_ISODATE" w:val="2026-09-01"/>
    <w:docVar w:name="LW_EMISSION_LOCATION" w:val="BRX"/>
    <w:docVar w:name="LW_EMISSION_PREFIX" w:val="Bruxelles, le "/>
    <w:docVar w:name="LW_EMISSION_SUFFIX" w:val=" "/>
    <w:docVar w:name="LW_ID_DOCSTRUCTURE" w:val="COM/ANNEX"/>
    <w:docVar w:name="LW_ID_DOCTYPE" w:val="SG-017"/>
    <w:docVar w:name="LW_LANGUE" w:val="FR"/>
    <w:docVar w:name="LW_LEVEL_OF_SENSITIVITY" w:val="Standard treatment"/>
    <w:docVar w:name="LW_NOM.INST" w:val="COMMISSION EUROPÉENNE"/>
    <w:docVar w:name="LW_NOM.INST_JOINTDOC" w:val="&lt;EMPTY&gt;"/>
    <w:docVar w:name="LW_OBJETACTEPRINCIPAL" w:val="autorisant l\u8217?ouverture de négociations en vue de la conclusion d\u8217?un accord entre l\u8217?Union européenne et le Royaume-Uni au titre de l\u8217?article XXVIII de l\u8217?accord général sur les tarifs douaniers et le commerce de 1994 en ce qui concerne la modification de ses concessions tarifaires à l\u8217?importation de l\u8217?OMC sur l\u8217?acier et les produits en acier"/>
    <w:docVar w:name="LW_OBJETACTEPRINCIPAL.CP" w:val="autorisant l\u8217?ouverture de négociations en vue de la conclusion d\u8217?un accord entre l\u8217?Union européenne et le Royaume-Uni au titre de l\u8217?article XXVIII de l\u8217?accord général sur les tarifs douaniers et le commerce de 1994 en ce qui concerne la modification de ses concessions tarifaires à l\u8217?importation de l\u8217?OMC sur l\u8217?acier et les produits en acier"/>
    <w:docVar w:name="LW_PART_NBR" w:val="1"/>
    <w:docVar w:name="LW_PART_NBR_TOTAL" w:val="1"/>
    <w:docVar w:name="LW_REF.INST.NEW" w:val="COM"/>
    <w:docVar w:name="LW_REF.INST.NEW_ADOPTED" w:val="final"/>
    <w:docVar w:name="LW_REF.INST.NEW_TEXT" w:val="(2026) 458"/>
    <w:docVar w:name="LW_REF.INTERNE" w:val="&lt;UNUSED&gt;"/>
    <w:docVar w:name="LW_SENSITIVITY" w:val="&lt;?xml version=&quot;1.0&quot; encoding=&quot;utf-8&quot;?&gt;_x000d__x000a_&lt;SensitivityLevel xmlns:xsi=&quot;http://www.w3.org/2001/XMLSchema-instance&quot; xmlns:xsd=&quot;http://www.w3.org/2001/XMLSchema&quot; id=&quot;standard&quot;&gt;_x000d__x000a_  &lt;nicename EN=&quot;Standard treatment&quot; FR=&quot;Traitement standard&quot; /&gt;_x000d__x000a_  &lt;documentProperty&gt;Standard treatment&lt;/documentProperty&gt;_x000d__x000a_  &lt;markingConfig isAvailable=&quot;false&quot; isMandatory=&quot;false&quot; sensitiveMarkingMandatory=&quot;false&quot; specialMarkingMandatory=&quot;true&quot; isOptionDisplayInHeaderAvailable=&quot;true&quot; sensitiveMarkingListSee=&quot;SensitiveMarkings&quot; specialMarkingListSee=&quot;SpecialMarkings&quot; sensitiveFootnoteTextSee=&quot;sensitiveFootnote&quot; specialFootnoteTextSee=&quot;specialFootnote&quot; /&gt;_x000d__x000a_  &lt;chosenMainMarking xsi:nil=&quot;true&quot; /&gt;_x000d__x000a_  &lt;dateMarking xsi:nil=&quot;true&quot; /&gt;_x000d__x000a_  &lt;releasableToConfig isAvailable=&quot;false&quot; institutionListSee=&quot;DefaultInstitutions&quot; /&gt;_x000d__x000a_  &lt;chosenReleasableTo xsi:nil=&quot;true&quot; /&gt;_x000d__x000a_  &lt;detached xsi:nil=&quot;true&quot; /&gt;_x000d__x000a_  &lt;declassify xsi:nil=&quot;true&quot; /&gt;_x000d__x000a_  &lt;headerTexts xsi:nil=&quot;true&quot; /&gt;_x000d__x000a_  &lt;footerTexts xsi:nil=&quot;true&quot; /&gt;_x000d__x000a_  &lt;isRestricted&gt;false&lt;/isRestricted&gt;_x000d__x000a_&lt;/SensitivityLevel&gt;"/>
    <w:docVar w:name="LW_SUPERTITRE" w:val="&lt;UNUSED&gt;"/>
    <w:docVar w:name="LW_TYPE.DOC" w:val="ANNEXE"/>
    <w:docVar w:name="LW_TYPE.DOC.CP" w:val="ANNEXE"/>
    <w:docVar w:name="LW_TYPEACTEPRINCIPAL" w:val="recommandation de décision du Conseil"/>
    <w:docVar w:name="LW_TYPEACTEPRINCIPAL.CP" w:val="recommandation de décision du Conseil"/>
    <w:docVar w:name="LwApiVersions" w:val="LW4CoDe 1.25.1.0; LW 9.2, Build 20260702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5:docId w15:val="{1D03E703-4D06-4AFA-AC79-12EAC924B8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before="120" w:after="120" w:line="240" w:lineRule="auto"/>
      <w:jc w:val="both"/>
    </w:pPr>
    <w:rPr>
      <w:rFonts w:ascii="Times New Roman" w:hAnsi="Times New Roman" w:cs="Times New Roman"/>
      <w:sz w:val="24"/>
      <w:lang w:val="fr-FR"/>
    </w:rPr>
  </w:style>
  <w:style w:type="paragraph" w:styleId="Heading1">
    <w:name w:val="heading 1"/>
    <w:basedOn w:val="Normal"/>
    <w:next w:val="Text1"/>
    <w:link w:val="Heading1Char"/>
    <w:uiPriority w:val="9"/>
    <w:qFormat/>
    <w:pPr>
      <w:keepNext/>
      <w:numPr>
        <w:numId w:val="32"/>
      </w:numPr>
      <w:spacing w:before="360"/>
      <w:outlineLvl w:val="0"/>
    </w:pPr>
    <w:rPr>
      <w:rFonts w:eastAsiaTheme="majorEastAsia"/>
      <w:b/>
      <w:bCs/>
      <w:smallCaps/>
      <w:szCs w:val="28"/>
    </w:rPr>
  </w:style>
  <w:style w:type="paragraph" w:styleId="Heading2">
    <w:name w:val="heading 2"/>
    <w:basedOn w:val="Normal"/>
    <w:next w:val="Text1"/>
    <w:link w:val="Heading2Char"/>
    <w:uiPriority w:val="9"/>
    <w:semiHidden/>
    <w:unhideWhenUsed/>
    <w:qFormat/>
    <w:pPr>
      <w:keepNext/>
      <w:numPr>
        <w:ilvl w:val="1"/>
        <w:numId w:val="32"/>
      </w:numPr>
      <w:outlineLvl w:val="1"/>
    </w:pPr>
    <w:rPr>
      <w:rFonts w:eastAsiaTheme="majorEastAsia"/>
      <w:b/>
      <w:bCs/>
      <w:szCs w:val="26"/>
    </w:rPr>
  </w:style>
  <w:style w:type="paragraph" w:styleId="Heading3">
    <w:name w:val="heading 3"/>
    <w:basedOn w:val="Normal"/>
    <w:next w:val="Text1"/>
    <w:link w:val="Heading3Char"/>
    <w:uiPriority w:val="9"/>
    <w:semiHidden/>
    <w:unhideWhenUsed/>
    <w:qFormat/>
    <w:pPr>
      <w:keepNext/>
      <w:numPr>
        <w:ilvl w:val="2"/>
        <w:numId w:val="32"/>
      </w:numPr>
      <w:outlineLvl w:val="2"/>
    </w:pPr>
    <w:rPr>
      <w:rFonts w:eastAsiaTheme="majorEastAsia"/>
      <w:bCs/>
      <w:i/>
    </w:rPr>
  </w:style>
  <w:style w:type="paragraph" w:styleId="Heading4">
    <w:name w:val="heading 4"/>
    <w:basedOn w:val="Normal"/>
    <w:next w:val="Text1"/>
    <w:link w:val="Heading4Char"/>
    <w:uiPriority w:val="9"/>
    <w:semiHidden/>
    <w:unhideWhenUsed/>
    <w:qFormat/>
    <w:pPr>
      <w:keepNext/>
      <w:numPr>
        <w:ilvl w:val="3"/>
        <w:numId w:val="32"/>
      </w:numPr>
      <w:outlineLvl w:val="3"/>
    </w:pPr>
    <w:rPr>
      <w:rFonts w:eastAsiaTheme="majorEastAsia"/>
      <w:bCs/>
      <w:iCs/>
    </w:rPr>
  </w:style>
  <w:style w:type="paragraph" w:styleId="Heading5">
    <w:name w:val="heading 5"/>
    <w:basedOn w:val="Normal"/>
    <w:next w:val="Text2"/>
    <w:link w:val="Heading5Char"/>
    <w:uiPriority w:val="9"/>
    <w:semiHidden/>
    <w:unhideWhenUsed/>
    <w:qFormat/>
    <w:pPr>
      <w:keepNext/>
      <w:numPr>
        <w:ilvl w:val="4"/>
        <w:numId w:val="32"/>
      </w:numPr>
      <w:outlineLvl w:val="4"/>
    </w:pPr>
    <w:rPr>
      <w:rFonts w:eastAsiaTheme="majorEastAsia"/>
    </w:rPr>
  </w:style>
  <w:style w:type="paragraph" w:styleId="Heading6">
    <w:name w:val="heading 6"/>
    <w:basedOn w:val="Normal"/>
    <w:next w:val="Text2"/>
    <w:link w:val="Heading6Char"/>
    <w:uiPriority w:val="9"/>
    <w:semiHidden/>
    <w:unhideWhenUsed/>
    <w:qFormat/>
    <w:pPr>
      <w:keepNext/>
      <w:numPr>
        <w:ilvl w:val="5"/>
        <w:numId w:val="32"/>
      </w:numPr>
      <w:outlineLvl w:val="5"/>
    </w:pPr>
    <w:rPr>
      <w:rFonts w:eastAsiaTheme="majorEastAsia"/>
      <w:iCs/>
    </w:rPr>
  </w:style>
  <w:style w:type="paragraph" w:styleId="Heading7">
    <w:name w:val="heading 7"/>
    <w:basedOn w:val="Normal"/>
    <w:next w:val="Text2"/>
    <w:link w:val="Heading7Char"/>
    <w:uiPriority w:val="9"/>
    <w:semiHidden/>
    <w:unhideWhenUsed/>
    <w:qFormat/>
    <w:pPr>
      <w:keepNext/>
      <w:numPr>
        <w:ilvl w:val="6"/>
        <w:numId w:val="32"/>
      </w:numPr>
      <w:outlineLvl w:val="6"/>
    </w:pPr>
    <w:rPr>
      <w:rFonts w:eastAsiaTheme="majorEastAsia"/>
      <w:iCs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spacing w:before="0" w:after="160" w:line="259" w:lineRule="auto"/>
      <w:ind w:left="720"/>
      <w:contextualSpacing/>
      <w:jc w:val="left"/>
    </w:pPr>
    <w:rPr>
      <w:rFonts w:asciiTheme="minorHAnsi" w:hAnsiTheme="minorHAnsi" w:cstheme="minorBidi"/>
      <w:kern w:val="2"/>
      <w:sz w:val="22"/>
      <w14:ligatures w14:val="standardContextual"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before="0" w:after="200"/>
    </w:pPr>
    <w:rPr>
      <w:i/>
      <w:iCs/>
      <w:color w:val="1F497D" w:themeColor="text2"/>
      <w:sz w:val="18"/>
      <w:szCs w:val="18"/>
    </w:rPr>
  </w:style>
  <w:style w:type="paragraph" w:styleId="TableofFigures">
    <w:name w:val="table of figures"/>
    <w:basedOn w:val="Normal"/>
    <w:next w:val="Normal"/>
    <w:uiPriority w:val="99"/>
    <w:semiHidden/>
    <w:unhideWhenUsed/>
    <w:pPr>
      <w:spacing w:after="0"/>
    </w:pPr>
  </w:style>
  <w:style w:type="paragraph" w:styleId="ListBullet">
    <w:name w:val="List Bullet"/>
    <w:basedOn w:val="Normal"/>
    <w:uiPriority w:val="99"/>
    <w:semiHidden/>
    <w:unhideWhenUsed/>
    <w:pPr>
      <w:numPr>
        <w:numId w:val="2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pPr>
      <w:numPr>
        <w:numId w:val="3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pPr>
      <w:numPr>
        <w:numId w:val="4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pPr>
      <w:numPr>
        <w:numId w:val="5"/>
      </w:numPr>
      <w:contextualSpacing/>
    </w:pPr>
  </w:style>
  <w:style w:type="paragraph" w:styleId="ListNumber">
    <w:name w:val="List Number"/>
    <w:basedOn w:val="Normal"/>
    <w:uiPriority w:val="99"/>
    <w:semiHidden/>
    <w:unhideWhenUsed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pPr>
      <w:numPr>
        <w:numId w:val="9"/>
      </w:numPr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Times New Roman" w:hAnsi="Times New Roman" w:cs="Times New Roman"/>
      <w:sz w:val="20"/>
      <w:szCs w:val="20"/>
      <w:lang w:val="fr-F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rFonts w:ascii="Times New Roman" w:hAnsi="Times New Roman" w:cs="Times New Roman"/>
      <w:b/>
      <w:bCs/>
      <w:sz w:val="20"/>
      <w:szCs w:val="20"/>
      <w:lang w:val="fr-FR"/>
    </w:rPr>
  </w:style>
  <w:style w:type="character" w:styleId="UnresolvedMention">
    <w:name w:val="Unresolved Mention"/>
    <w:basedOn w:val="DefaultParagraphFont"/>
    <w:uiPriority w:val="99"/>
    <w:semiHidden/>
    <w:unhideWhenUsed/>
    <w:rPr>
      <w:color w:val="605E5C"/>
      <w:shd w:val="clear" w:color="auto" w:fill="E1DFDD"/>
    </w:rPr>
  </w:style>
  <w:style w:type="character" w:customStyle="1" w:styleId="HeaderChar">
    <w:name w:val="Header Char"/>
    <w:basedOn w:val="DefaultParagraphFont"/>
    <w:link w:val="Header"/>
    <w:uiPriority w:val="99"/>
    <w:rPr>
      <w:rFonts w:ascii="Times New Roman" w:hAnsi="Times New Roman" w:cs="Times New Roman"/>
      <w:sz w:val="24"/>
      <w:lang w:val="fr-FR"/>
    </w:rPr>
  </w:style>
  <w:style w:type="character" w:customStyle="1" w:styleId="FooterChar">
    <w:name w:val="Footer Char"/>
    <w:basedOn w:val="DefaultParagraphFont"/>
    <w:link w:val="Footer"/>
    <w:uiPriority w:val="99"/>
    <w:rPr>
      <w:rFonts w:ascii="Times New Roman" w:hAnsi="Times New Roman" w:cs="Times New Roman"/>
      <w:sz w:val="24"/>
      <w:lang w:val="fr-FR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before="0" w:after="0"/>
      <w:ind w:left="720" w:hanging="72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Pr>
      <w:rFonts w:ascii="Times New Roman" w:hAnsi="Times New Roman" w:cs="Times New Roman"/>
      <w:sz w:val="20"/>
      <w:szCs w:val="20"/>
      <w:shd w:val="clear" w:color="auto" w:fill="auto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="Times New Roman" w:eastAsiaTheme="majorEastAsia" w:hAnsi="Times New Roman" w:cs="Times New Roman"/>
      <w:b/>
      <w:bCs/>
      <w:smallCaps/>
      <w:sz w:val="24"/>
      <w:szCs w:val="28"/>
      <w:shd w:val="clear" w:color="auto" w:fill="auto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="Times New Roman" w:eastAsiaTheme="majorEastAsia" w:hAnsi="Times New Roman" w:cs="Times New Roman"/>
      <w:b/>
      <w:bCs/>
      <w:sz w:val="24"/>
      <w:szCs w:val="26"/>
      <w:shd w:val="clear" w:color="auto" w:fill="auto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="Times New Roman" w:eastAsiaTheme="majorEastAsia" w:hAnsi="Times New Roman" w:cs="Times New Roman"/>
      <w:bCs/>
      <w:i/>
      <w:sz w:val="24"/>
      <w:shd w:val="clear" w:color="auto" w:fill="auto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="Times New Roman" w:eastAsiaTheme="majorEastAsia" w:hAnsi="Times New Roman" w:cs="Times New Roman"/>
      <w:bCs/>
      <w:iCs/>
      <w:sz w:val="24"/>
      <w:shd w:val="clear" w:color="auto" w:fill="auto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="Times New Roman" w:eastAsiaTheme="majorEastAsia" w:hAnsi="Times New Roman" w:cs="Times New Roman"/>
      <w:sz w:val="24"/>
      <w:shd w:val="clear" w:color="auto" w:fill="auto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="Times New Roman" w:eastAsiaTheme="majorEastAsia" w:hAnsi="Times New Roman" w:cs="Times New Roman"/>
      <w:iCs/>
      <w:sz w:val="24"/>
      <w:shd w:val="clear" w:color="auto" w:fill="auto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="Times New Roman" w:eastAsiaTheme="majorEastAsia" w:hAnsi="Times New Roman" w:cs="Times New Roman"/>
      <w:iCs/>
      <w:sz w:val="24"/>
      <w:shd w:val="clear" w:color="auto" w:fill="auto"/>
      <w:lang w:val="en-GB"/>
    </w:rPr>
  </w:style>
  <w:style w:type="paragraph" w:styleId="TOCHeading">
    <w:name w:val="TOC Heading"/>
    <w:basedOn w:val="Normal"/>
    <w:next w:val="Normal"/>
    <w:uiPriority w:val="39"/>
    <w:semiHidden/>
    <w:unhideWhenUsed/>
    <w:qFormat/>
    <w:pPr>
      <w:spacing w:after="240"/>
      <w:jc w:val="center"/>
    </w:pPr>
    <w:rPr>
      <w:b/>
      <w:sz w:val="28"/>
    </w:rPr>
  </w:style>
  <w:style w:type="paragraph" w:styleId="TOC1">
    <w:name w:val="toc 1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2">
    <w:name w:val="toc 2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3">
    <w:name w:val="toc 3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4">
    <w:name w:val="toc 4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5">
    <w:name w:val="toc 5"/>
    <w:basedOn w:val="Normal"/>
    <w:next w:val="Normal"/>
    <w:uiPriority w:val="39"/>
    <w:semiHidden/>
    <w:unhideWhenUsed/>
    <w:pPr>
      <w:tabs>
        <w:tab w:val="right" w:leader="dot" w:pos="9071"/>
      </w:tabs>
      <w:spacing w:before="300"/>
      <w:jc w:val="left"/>
    </w:pPr>
  </w:style>
  <w:style w:type="paragraph" w:styleId="TOC6">
    <w:name w:val="toc 6"/>
    <w:basedOn w:val="Normal"/>
    <w:next w:val="Normal"/>
    <w:uiPriority w:val="39"/>
    <w:semiHidden/>
    <w:unhideWhenUsed/>
    <w:pPr>
      <w:tabs>
        <w:tab w:val="right" w:leader="dot" w:pos="9071"/>
      </w:tabs>
      <w:spacing w:before="240"/>
      <w:jc w:val="left"/>
    </w:pPr>
  </w:style>
  <w:style w:type="paragraph" w:styleId="TOC7">
    <w:name w:val="toc 7"/>
    <w:basedOn w:val="Normal"/>
    <w:next w:val="Normal"/>
    <w:uiPriority w:val="39"/>
    <w:semiHidden/>
    <w:unhideWhenUsed/>
    <w:pPr>
      <w:tabs>
        <w:tab w:val="right" w:leader="dot" w:pos="9071"/>
      </w:tabs>
      <w:spacing w:before="180"/>
      <w:jc w:val="left"/>
    </w:pPr>
  </w:style>
  <w:style w:type="paragraph" w:styleId="TOC8">
    <w:name w:val="toc 8"/>
    <w:basedOn w:val="Normal"/>
    <w:next w:val="Normal"/>
    <w:uiPriority w:val="39"/>
    <w:semiHidden/>
    <w:unhideWhenUsed/>
    <w:pPr>
      <w:tabs>
        <w:tab w:val="right" w:leader="dot" w:pos="9071"/>
      </w:tabs>
      <w:jc w:val="left"/>
    </w:pPr>
  </w:style>
  <w:style w:type="paragraph" w:styleId="TOC9">
    <w:name w:val="toc 9"/>
    <w:basedOn w:val="Normal"/>
    <w:next w:val="Normal"/>
    <w:uiPriority w:val="39"/>
    <w:semiHidden/>
    <w:unhideWhenUsed/>
    <w:pPr>
      <w:tabs>
        <w:tab w:val="right" w:leader="dot" w:pos="9071"/>
      </w:tabs>
      <w:ind w:left="1417" w:hanging="1417"/>
      <w:jc w:val="left"/>
    </w:pPr>
  </w:style>
  <w:style w:type="character" w:styleId="FootnoteReference">
    <w:name w:val="footnote reference"/>
    <w:basedOn w:val="DefaultParagraphFont"/>
    <w:uiPriority w:val="99"/>
    <w:semiHidden/>
    <w:unhideWhenUsed/>
    <w:rPr>
      <w:shd w:val="clear" w:color="auto" w:fill="auto"/>
      <w:vertAlign w:val="superscript"/>
    </w:rPr>
  </w:style>
  <w:style w:type="paragraph" w:customStyle="1" w:styleId="HeaderSensitivity">
    <w:name w:val="Header Sensitivity"/>
    <w:basedOn w:val="Normal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0"/>
      <w:ind w:left="113" w:right="113"/>
      <w:jc w:val="center"/>
    </w:pPr>
    <w:rPr>
      <w:b/>
      <w:sz w:val="32"/>
    </w:rPr>
  </w:style>
  <w:style w:type="paragraph" w:customStyle="1" w:styleId="HeaderSensitivityRight">
    <w:name w:val="Header Sensitivity Right"/>
    <w:basedOn w:val="Normal"/>
    <w:pPr>
      <w:spacing w:before="0"/>
      <w:jc w:val="right"/>
    </w:pPr>
    <w:rPr>
      <w:sz w:val="28"/>
    </w:rPr>
  </w:style>
  <w:style w:type="paragraph" w:customStyle="1" w:styleId="FooterSensitivity">
    <w:name w:val="Footer Sensitivity"/>
    <w:basedOn w:val="Normal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 w:after="0"/>
      <w:ind w:left="113" w:right="113"/>
      <w:jc w:val="center"/>
    </w:pPr>
    <w:rPr>
      <w:b/>
      <w:sz w:val="32"/>
    </w:rPr>
  </w:style>
  <w:style w:type="paragraph" w:customStyle="1" w:styleId="Text1">
    <w:name w:val="Text 1"/>
    <w:basedOn w:val="Normal"/>
    <w:pPr>
      <w:ind w:left="850"/>
    </w:pPr>
  </w:style>
  <w:style w:type="paragraph" w:customStyle="1" w:styleId="Text2">
    <w:name w:val="Text 2"/>
    <w:basedOn w:val="Normal"/>
    <w:pPr>
      <w:ind w:left="1417"/>
    </w:pPr>
  </w:style>
  <w:style w:type="paragraph" w:customStyle="1" w:styleId="Text3">
    <w:name w:val="Text 3"/>
    <w:basedOn w:val="Normal"/>
    <w:pPr>
      <w:ind w:left="1984"/>
    </w:pPr>
  </w:style>
  <w:style w:type="paragraph" w:customStyle="1" w:styleId="Text4">
    <w:name w:val="Text 4"/>
    <w:basedOn w:val="Normal"/>
    <w:pPr>
      <w:ind w:left="2551"/>
    </w:pPr>
  </w:style>
  <w:style w:type="paragraph" w:customStyle="1" w:styleId="Text5">
    <w:name w:val="Text 5"/>
    <w:basedOn w:val="Normal"/>
    <w:pPr>
      <w:ind w:left="3118"/>
    </w:pPr>
  </w:style>
  <w:style w:type="paragraph" w:customStyle="1" w:styleId="Text6">
    <w:name w:val="Text 6"/>
    <w:basedOn w:val="Normal"/>
    <w:pPr>
      <w:ind w:left="3685"/>
    </w:pPr>
  </w:style>
  <w:style w:type="paragraph" w:customStyle="1" w:styleId="NormalCentered">
    <w:name w:val="Normal Centered"/>
    <w:basedOn w:val="Normal"/>
    <w:pPr>
      <w:jc w:val="center"/>
    </w:pPr>
  </w:style>
  <w:style w:type="paragraph" w:customStyle="1" w:styleId="NormalLeft">
    <w:name w:val="Normal Left"/>
    <w:basedOn w:val="Normal"/>
    <w:pPr>
      <w:jc w:val="left"/>
    </w:pPr>
  </w:style>
  <w:style w:type="paragraph" w:customStyle="1" w:styleId="NormalRight">
    <w:name w:val="Normal Right"/>
    <w:basedOn w:val="Normal"/>
    <w:pPr>
      <w:jc w:val="right"/>
    </w:pPr>
  </w:style>
  <w:style w:type="paragraph" w:customStyle="1" w:styleId="QuotedText">
    <w:name w:val="Quoted Text"/>
    <w:basedOn w:val="Normal"/>
    <w:pPr>
      <w:ind w:left="1417"/>
    </w:pPr>
  </w:style>
  <w:style w:type="paragraph" w:customStyle="1" w:styleId="Point0">
    <w:name w:val="Point 0"/>
    <w:basedOn w:val="Normal"/>
    <w:pPr>
      <w:ind w:left="850" w:hanging="850"/>
    </w:pPr>
  </w:style>
  <w:style w:type="paragraph" w:customStyle="1" w:styleId="Point1">
    <w:name w:val="Point 1"/>
    <w:basedOn w:val="Normal"/>
    <w:pPr>
      <w:ind w:left="1417" w:hanging="567"/>
    </w:pPr>
  </w:style>
  <w:style w:type="paragraph" w:customStyle="1" w:styleId="Point2">
    <w:name w:val="Point 2"/>
    <w:basedOn w:val="Normal"/>
    <w:pPr>
      <w:ind w:left="1984" w:hanging="567"/>
    </w:pPr>
  </w:style>
  <w:style w:type="paragraph" w:customStyle="1" w:styleId="Point3">
    <w:name w:val="Point 3"/>
    <w:basedOn w:val="Normal"/>
    <w:pPr>
      <w:ind w:left="2551" w:hanging="567"/>
    </w:pPr>
  </w:style>
  <w:style w:type="paragraph" w:customStyle="1" w:styleId="Point4">
    <w:name w:val="Point 4"/>
    <w:basedOn w:val="Normal"/>
    <w:pPr>
      <w:ind w:left="3118" w:hanging="567"/>
    </w:pPr>
  </w:style>
  <w:style w:type="paragraph" w:customStyle="1" w:styleId="Point5">
    <w:name w:val="Point 5"/>
    <w:basedOn w:val="Normal"/>
    <w:pPr>
      <w:ind w:left="3685" w:hanging="567"/>
    </w:pPr>
  </w:style>
  <w:style w:type="paragraph" w:customStyle="1" w:styleId="Tiret0">
    <w:name w:val="Tiret 0"/>
    <w:basedOn w:val="Point0"/>
    <w:pPr>
      <w:numPr>
        <w:numId w:val="25"/>
      </w:numPr>
    </w:pPr>
  </w:style>
  <w:style w:type="paragraph" w:customStyle="1" w:styleId="Tiret1">
    <w:name w:val="Tiret 1"/>
    <w:basedOn w:val="Point1"/>
    <w:pPr>
      <w:numPr>
        <w:numId w:val="26"/>
      </w:numPr>
    </w:pPr>
  </w:style>
  <w:style w:type="paragraph" w:customStyle="1" w:styleId="Tiret2">
    <w:name w:val="Tiret 2"/>
    <w:basedOn w:val="Point2"/>
    <w:pPr>
      <w:numPr>
        <w:numId w:val="27"/>
      </w:numPr>
    </w:pPr>
  </w:style>
  <w:style w:type="paragraph" w:customStyle="1" w:styleId="Tiret3">
    <w:name w:val="Tiret 3"/>
    <w:basedOn w:val="Point3"/>
    <w:pPr>
      <w:numPr>
        <w:numId w:val="28"/>
      </w:numPr>
    </w:pPr>
  </w:style>
  <w:style w:type="paragraph" w:customStyle="1" w:styleId="Tiret4">
    <w:name w:val="Tiret 4"/>
    <w:basedOn w:val="Point4"/>
    <w:pPr>
      <w:numPr>
        <w:numId w:val="29"/>
      </w:numPr>
    </w:pPr>
  </w:style>
  <w:style w:type="paragraph" w:customStyle="1" w:styleId="Tiret5">
    <w:name w:val="Tiret 5"/>
    <w:basedOn w:val="Point5"/>
    <w:pPr>
      <w:numPr>
        <w:numId w:val="30"/>
      </w:numPr>
    </w:pPr>
  </w:style>
  <w:style w:type="paragraph" w:customStyle="1" w:styleId="PointDouble0">
    <w:name w:val="PointDouble 0"/>
    <w:basedOn w:val="Normal"/>
    <w:pPr>
      <w:tabs>
        <w:tab w:val="left" w:pos="850"/>
      </w:tabs>
      <w:ind w:left="1417" w:hanging="1417"/>
    </w:pPr>
  </w:style>
  <w:style w:type="paragraph" w:customStyle="1" w:styleId="PointDouble1">
    <w:name w:val="PointDouble 1"/>
    <w:basedOn w:val="Normal"/>
    <w:pPr>
      <w:tabs>
        <w:tab w:val="left" w:pos="1417"/>
      </w:tabs>
      <w:ind w:left="1984" w:hanging="1134"/>
    </w:pPr>
  </w:style>
  <w:style w:type="paragraph" w:customStyle="1" w:styleId="PointDouble2">
    <w:name w:val="PointDouble 2"/>
    <w:basedOn w:val="Normal"/>
    <w:pPr>
      <w:tabs>
        <w:tab w:val="left" w:pos="1984"/>
      </w:tabs>
      <w:ind w:left="2551" w:hanging="1134"/>
    </w:pPr>
  </w:style>
  <w:style w:type="paragraph" w:customStyle="1" w:styleId="PointDouble3">
    <w:name w:val="PointDouble 3"/>
    <w:basedOn w:val="Normal"/>
    <w:pPr>
      <w:tabs>
        <w:tab w:val="left" w:pos="2551"/>
      </w:tabs>
      <w:ind w:left="3118" w:hanging="1134"/>
    </w:pPr>
  </w:style>
  <w:style w:type="paragraph" w:customStyle="1" w:styleId="PointDouble4">
    <w:name w:val="PointDouble 4"/>
    <w:basedOn w:val="Normal"/>
    <w:pPr>
      <w:tabs>
        <w:tab w:val="left" w:pos="3118"/>
      </w:tabs>
      <w:ind w:left="3685" w:hanging="1134"/>
    </w:pPr>
  </w:style>
  <w:style w:type="paragraph" w:customStyle="1" w:styleId="PointTriple0">
    <w:name w:val="PointTriple 0"/>
    <w:basedOn w:val="Normal"/>
    <w:pPr>
      <w:tabs>
        <w:tab w:val="left" w:pos="850"/>
        <w:tab w:val="left" w:pos="1417"/>
      </w:tabs>
      <w:ind w:left="1984" w:hanging="1984"/>
    </w:pPr>
  </w:style>
  <w:style w:type="paragraph" w:customStyle="1" w:styleId="PointTriple1">
    <w:name w:val="PointTriple 1"/>
    <w:basedOn w:val="Normal"/>
    <w:pPr>
      <w:tabs>
        <w:tab w:val="left" w:pos="1417"/>
        <w:tab w:val="left" w:pos="1984"/>
      </w:tabs>
      <w:ind w:left="2551" w:hanging="1701"/>
    </w:pPr>
  </w:style>
  <w:style w:type="paragraph" w:customStyle="1" w:styleId="PointTriple2">
    <w:name w:val="PointTriple 2"/>
    <w:basedOn w:val="Normal"/>
    <w:pPr>
      <w:tabs>
        <w:tab w:val="left" w:pos="1984"/>
        <w:tab w:val="left" w:pos="2551"/>
      </w:tabs>
      <w:ind w:left="3118" w:hanging="1701"/>
    </w:pPr>
  </w:style>
  <w:style w:type="paragraph" w:customStyle="1" w:styleId="PointTriple3">
    <w:name w:val="PointTriple 3"/>
    <w:basedOn w:val="Normal"/>
    <w:pPr>
      <w:tabs>
        <w:tab w:val="left" w:pos="2551"/>
        <w:tab w:val="left" w:pos="3118"/>
      </w:tabs>
      <w:ind w:left="3685" w:hanging="1701"/>
    </w:pPr>
  </w:style>
  <w:style w:type="paragraph" w:customStyle="1" w:styleId="PointTriple4">
    <w:name w:val="PointTriple 4"/>
    <w:basedOn w:val="Normal"/>
    <w:pPr>
      <w:tabs>
        <w:tab w:val="left" w:pos="3118"/>
        <w:tab w:val="left" w:pos="3685"/>
      </w:tabs>
      <w:ind w:left="4252" w:hanging="1701"/>
    </w:pPr>
  </w:style>
  <w:style w:type="paragraph" w:customStyle="1" w:styleId="NumPar1">
    <w:name w:val="NumPar 1"/>
    <w:basedOn w:val="Normal"/>
    <w:next w:val="Text1"/>
    <w:pPr>
      <w:numPr>
        <w:numId w:val="31"/>
      </w:numPr>
    </w:pPr>
  </w:style>
  <w:style w:type="paragraph" w:customStyle="1" w:styleId="NumPar2">
    <w:name w:val="NumPar 2"/>
    <w:basedOn w:val="Normal"/>
    <w:next w:val="Text1"/>
    <w:pPr>
      <w:numPr>
        <w:ilvl w:val="1"/>
        <w:numId w:val="31"/>
      </w:numPr>
    </w:pPr>
  </w:style>
  <w:style w:type="paragraph" w:customStyle="1" w:styleId="NumPar3">
    <w:name w:val="NumPar 3"/>
    <w:basedOn w:val="Normal"/>
    <w:next w:val="Text1"/>
    <w:pPr>
      <w:numPr>
        <w:ilvl w:val="2"/>
        <w:numId w:val="31"/>
      </w:numPr>
    </w:pPr>
  </w:style>
  <w:style w:type="paragraph" w:customStyle="1" w:styleId="NumPar4">
    <w:name w:val="NumPar 4"/>
    <w:basedOn w:val="Normal"/>
    <w:next w:val="Text1"/>
    <w:pPr>
      <w:numPr>
        <w:ilvl w:val="3"/>
        <w:numId w:val="31"/>
      </w:numPr>
    </w:pPr>
  </w:style>
  <w:style w:type="paragraph" w:customStyle="1" w:styleId="NumPar5">
    <w:name w:val="NumPar 5"/>
    <w:basedOn w:val="Normal"/>
    <w:next w:val="Text2"/>
    <w:pPr>
      <w:numPr>
        <w:ilvl w:val="4"/>
        <w:numId w:val="31"/>
      </w:numPr>
    </w:pPr>
  </w:style>
  <w:style w:type="paragraph" w:customStyle="1" w:styleId="NumPar6">
    <w:name w:val="NumPar 6"/>
    <w:basedOn w:val="Normal"/>
    <w:next w:val="Text2"/>
    <w:pPr>
      <w:numPr>
        <w:ilvl w:val="5"/>
        <w:numId w:val="31"/>
      </w:numPr>
    </w:pPr>
  </w:style>
  <w:style w:type="paragraph" w:customStyle="1" w:styleId="NumPar7">
    <w:name w:val="NumPar 7"/>
    <w:basedOn w:val="Normal"/>
    <w:next w:val="Text2"/>
    <w:pPr>
      <w:numPr>
        <w:ilvl w:val="6"/>
        <w:numId w:val="31"/>
      </w:numPr>
    </w:pPr>
  </w:style>
  <w:style w:type="paragraph" w:customStyle="1" w:styleId="ManualNumPar1">
    <w:name w:val="Manual NumPar 1"/>
    <w:basedOn w:val="Normal"/>
    <w:next w:val="Text1"/>
    <w:pPr>
      <w:ind w:left="850" w:hanging="850"/>
    </w:pPr>
  </w:style>
  <w:style w:type="paragraph" w:customStyle="1" w:styleId="ManualNumPar2">
    <w:name w:val="Manual NumPar 2"/>
    <w:basedOn w:val="Normal"/>
    <w:next w:val="Text1"/>
    <w:pPr>
      <w:ind w:left="850" w:hanging="850"/>
    </w:pPr>
  </w:style>
  <w:style w:type="paragraph" w:customStyle="1" w:styleId="ManualNumPar3">
    <w:name w:val="Manual NumPar 3"/>
    <w:basedOn w:val="Normal"/>
    <w:next w:val="Text1"/>
    <w:pPr>
      <w:ind w:left="850" w:hanging="850"/>
    </w:pPr>
  </w:style>
  <w:style w:type="paragraph" w:customStyle="1" w:styleId="ManualNumPar4">
    <w:name w:val="Manual NumPar 4"/>
    <w:basedOn w:val="Normal"/>
    <w:next w:val="Text1"/>
    <w:pPr>
      <w:ind w:left="850" w:hanging="850"/>
    </w:pPr>
  </w:style>
  <w:style w:type="paragraph" w:customStyle="1" w:styleId="ManualNumPar5">
    <w:name w:val="Manual NumPar 5"/>
    <w:basedOn w:val="Normal"/>
    <w:next w:val="Text2"/>
    <w:pPr>
      <w:ind w:left="1417" w:hanging="1417"/>
    </w:pPr>
  </w:style>
  <w:style w:type="paragraph" w:customStyle="1" w:styleId="ManualNumPar6">
    <w:name w:val="Manual NumPar 6"/>
    <w:basedOn w:val="Normal"/>
    <w:next w:val="Text2"/>
    <w:pPr>
      <w:ind w:left="1417" w:hanging="1417"/>
    </w:pPr>
  </w:style>
  <w:style w:type="paragraph" w:customStyle="1" w:styleId="ManualNumPar7">
    <w:name w:val="Manual NumPar 7"/>
    <w:basedOn w:val="Normal"/>
    <w:next w:val="Text2"/>
    <w:pPr>
      <w:ind w:left="1417" w:hanging="1417"/>
    </w:pPr>
  </w:style>
  <w:style w:type="paragraph" w:customStyle="1" w:styleId="QuotedNumPar">
    <w:name w:val="Quoted NumPar"/>
    <w:basedOn w:val="Normal"/>
    <w:pPr>
      <w:ind w:left="1417" w:hanging="567"/>
    </w:pPr>
  </w:style>
  <w:style w:type="paragraph" w:customStyle="1" w:styleId="ManualHeading1">
    <w:name w:val="Manual Heading 1"/>
    <w:basedOn w:val="Normal"/>
    <w:next w:val="Text1"/>
    <w:pPr>
      <w:keepNext/>
      <w:tabs>
        <w:tab w:val="left" w:pos="850"/>
      </w:tabs>
      <w:spacing w:before="360"/>
      <w:ind w:left="850" w:hanging="850"/>
      <w:outlineLvl w:val="0"/>
    </w:pPr>
    <w:rPr>
      <w:b/>
      <w:smallCaps/>
    </w:rPr>
  </w:style>
  <w:style w:type="paragraph" w:customStyle="1" w:styleId="ManualHeading2">
    <w:name w:val="Manual Heading 2"/>
    <w:basedOn w:val="Normal"/>
    <w:next w:val="Text1"/>
    <w:pPr>
      <w:keepNext/>
      <w:tabs>
        <w:tab w:val="left" w:pos="850"/>
      </w:tabs>
      <w:ind w:left="850" w:hanging="850"/>
      <w:outlineLvl w:val="1"/>
    </w:pPr>
    <w:rPr>
      <w:b/>
    </w:rPr>
  </w:style>
  <w:style w:type="paragraph" w:customStyle="1" w:styleId="ManualHeading3">
    <w:name w:val="Manual Heading 3"/>
    <w:basedOn w:val="Normal"/>
    <w:next w:val="Text1"/>
    <w:pPr>
      <w:keepNext/>
      <w:tabs>
        <w:tab w:val="left" w:pos="850"/>
      </w:tabs>
      <w:ind w:left="850" w:hanging="850"/>
      <w:outlineLvl w:val="2"/>
    </w:pPr>
    <w:rPr>
      <w:i/>
    </w:rPr>
  </w:style>
  <w:style w:type="paragraph" w:customStyle="1" w:styleId="ManualHeading4">
    <w:name w:val="Manual Heading 4"/>
    <w:basedOn w:val="Normal"/>
    <w:next w:val="Text1"/>
    <w:pPr>
      <w:keepNext/>
      <w:tabs>
        <w:tab w:val="left" w:pos="850"/>
      </w:tabs>
      <w:ind w:left="850" w:hanging="850"/>
      <w:outlineLvl w:val="3"/>
    </w:pPr>
  </w:style>
  <w:style w:type="paragraph" w:customStyle="1" w:styleId="ManualHeading5">
    <w:name w:val="Manual Heading 5"/>
    <w:basedOn w:val="Normal"/>
    <w:next w:val="Text2"/>
    <w:pPr>
      <w:keepNext/>
      <w:tabs>
        <w:tab w:val="left" w:pos="1417"/>
      </w:tabs>
      <w:ind w:left="1417" w:hanging="1417"/>
      <w:outlineLvl w:val="4"/>
    </w:pPr>
  </w:style>
  <w:style w:type="paragraph" w:customStyle="1" w:styleId="ManualHeading6">
    <w:name w:val="Manual Heading 6"/>
    <w:basedOn w:val="Normal"/>
    <w:next w:val="Text2"/>
    <w:pPr>
      <w:keepNext/>
      <w:tabs>
        <w:tab w:val="left" w:pos="1417"/>
      </w:tabs>
      <w:ind w:left="1417" w:hanging="1417"/>
      <w:outlineLvl w:val="5"/>
    </w:pPr>
  </w:style>
  <w:style w:type="paragraph" w:customStyle="1" w:styleId="ManualHeading7">
    <w:name w:val="Manual Heading 7"/>
    <w:basedOn w:val="Normal"/>
    <w:next w:val="Text2"/>
    <w:pPr>
      <w:keepNext/>
      <w:tabs>
        <w:tab w:val="left" w:pos="1417"/>
      </w:tabs>
      <w:ind w:left="1417" w:hanging="1417"/>
      <w:outlineLvl w:val="6"/>
    </w:pPr>
  </w:style>
  <w:style w:type="paragraph" w:customStyle="1" w:styleId="ChapterTitle">
    <w:name w:val="ChapterTitle"/>
    <w:basedOn w:val="Normal"/>
    <w:next w:val="Normal"/>
    <w:pPr>
      <w:keepNext/>
      <w:spacing w:after="360"/>
      <w:jc w:val="center"/>
    </w:pPr>
    <w:rPr>
      <w:b/>
      <w:sz w:val="32"/>
    </w:rPr>
  </w:style>
  <w:style w:type="paragraph" w:customStyle="1" w:styleId="PartTitle">
    <w:name w:val="PartTitle"/>
    <w:basedOn w:val="Normal"/>
    <w:next w:val="ChapterTitle"/>
    <w:pPr>
      <w:keepNext/>
      <w:pageBreakBefore/>
      <w:spacing w:after="360"/>
      <w:jc w:val="center"/>
    </w:pPr>
    <w:rPr>
      <w:b/>
      <w:sz w:val="36"/>
    </w:rPr>
  </w:style>
  <w:style w:type="paragraph" w:customStyle="1" w:styleId="SectionTitle">
    <w:name w:val="SectionTitle"/>
    <w:basedOn w:val="Normal"/>
    <w:next w:val="Heading1"/>
    <w:pPr>
      <w:keepNext/>
      <w:spacing w:after="360"/>
      <w:jc w:val="center"/>
    </w:pPr>
    <w:rPr>
      <w:b/>
      <w:smallCaps/>
      <w:sz w:val="28"/>
    </w:rPr>
  </w:style>
  <w:style w:type="paragraph" w:customStyle="1" w:styleId="TableTitle">
    <w:name w:val="Table Title"/>
    <w:basedOn w:val="Normal"/>
    <w:next w:val="Normal"/>
    <w:pPr>
      <w:jc w:val="center"/>
    </w:pPr>
    <w:rPr>
      <w:b/>
    </w:rPr>
  </w:style>
  <w:style w:type="character" w:customStyle="1" w:styleId="Marker">
    <w:name w:val="Marker"/>
    <w:basedOn w:val="DefaultParagraphFont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Pr>
      <w:color w:val="008000"/>
      <w:shd w:val="clear" w:color="auto" w:fill="auto"/>
    </w:rPr>
  </w:style>
  <w:style w:type="character" w:customStyle="1" w:styleId="Marker2">
    <w:name w:val="Marker2"/>
    <w:basedOn w:val="DefaultParagraphFont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pPr>
      <w:numPr>
        <w:numId w:val="33"/>
      </w:numPr>
    </w:pPr>
  </w:style>
  <w:style w:type="paragraph" w:customStyle="1" w:styleId="Point1number">
    <w:name w:val="Point 1 (number)"/>
    <w:basedOn w:val="Normal"/>
    <w:pPr>
      <w:numPr>
        <w:ilvl w:val="2"/>
        <w:numId w:val="33"/>
      </w:numPr>
    </w:pPr>
  </w:style>
  <w:style w:type="paragraph" w:customStyle="1" w:styleId="Point2number">
    <w:name w:val="Point 2 (number)"/>
    <w:basedOn w:val="Normal"/>
    <w:pPr>
      <w:numPr>
        <w:ilvl w:val="4"/>
        <w:numId w:val="33"/>
      </w:numPr>
    </w:pPr>
  </w:style>
  <w:style w:type="paragraph" w:customStyle="1" w:styleId="Point3number">
    <w:name w:val="Point 3 (number)"/>
    <w:basedOn w:val="Normal"/>
    <w:pPr>
      <w:numPr>
        <w:ilvl w:val="6"/>
        <w:numId w:val="33"/>
      </w:numPr>
    </w:pPr>
  </w:style>
  <w:style w:type="paragraph" w:customStyle="1" w:styleId="Point0letter">
    <w:name w:val="Point 0 (letter)"/>
    <w:basedOn w:val="Normal"/>
    <w:pPr>
      <w:numPr>
        <w:ilvl w:val="1"/>
        <w:numId w:val="33"/>
      </w:numPr>
    </w:pPr>
  </w:style>
  <w:style w:type="paragraph" w:customStyle="1" w:styleId="Point1letter">
    <w:name w:val="Point 1 (letter)"/>
    <w:basedOn w:val="Normal"/>
    <w:pPr>
      <w:numPr>
        <w:ilvl w:val="3"/>
        <w:numId w:val="33"/>
      </w:numPr>
    </w:pPr>
  </w:style>
  <w:style w:type="paragraph" w:customStyle="1" w:styleId="Point2letter">
    <w:name w:val="Point 2 (letter)"/>
    <w:basedOn w:val="Normal"/>
    <w:pPr>
      <w:numPr>
        <w:ilvl w:val="5"/>
        <w:numId w:val="33"/>
      </w:numPr>
    </w:pPr>
  </w:style>
  <w:style w:type="paragraph" w:customStyle="1" w:styleId="Point3letter">
    <w:name w:val="Point 3 (letter)"/>
    <w:basedOn w:val="Normal"/>
    <w:pPr>
      <w:numPr>
        <w:ilvl w:val="7"/>
        <w:numId w:val="33"/>
      </w:numPr>
    </w:pPr>
  </w:style>
  <w:style w:type="paragraph" w:customStyle="1" w:styleId="Point4letter">
    <w:name w:val="Point 4 (letter)"/>
    <w:basedOn w:val="Normal"/>
    <w:pPr>
      <w:numPr>
        <w:ilvl w:val="8"/>
        <w:numId w:val="33"/>
      </w:numPr>
    </w:pPr>
  </w:style>
  <w:style w:type="paragraph" w:customStyle="1" w:styleId="Bullet0">
    <w:name w:val="Bullet 0"/>
    <w:basedOn w:val="Normal"/>
    <w:pPr>
      <w:numPr>
        <w:numId w:val="34"/>
      </w:numPr>
    </w:pPr>
  </w:style>
  <w:style w:type="paragraph" w:customStyle="1" w:styleId="Bullet1">
    <w:name w:val="Bullet 1"/>
    <w:basedOn w:val="Normal"/>
    <w:pPr>
      <w:numPr>
        <w:numId w:val="35"/>
      </w:numPr>
    </w:pPr>
  </w:style>
  <w:style w:type="paragraph" w:customStyle="1" w:styleId="Bullet2">
    <w:name w:val="Bullet 2"/>
    <w:basedOn w:val="Normal"/>
    <w:pPr>
      <w:numPr>
        <w:numId w:val="36"/>
      </w:numPr>
    </w:pPr>
  </w:style>
  <w:style w:type="paragraph" w:customStyle="1" w:styleId="Bullet3">
    <w:name w:val="Bullet 3"/>
    <w:basedOn w:val="Normal"/>
    <w:pPr>
      <w:numPr>
        <w:numId w:val="37"/>
      </w:numPr>
    </w:pPr>
  </w:style>
  <w:style w:type="paragraph" w:customStyle="1" w:styleId="Bullet4">
    <w:name w:val="Bullet 4"/>
    <w:basedOn w:val="Normal"/>
    <w:pPr>
      <w:numPr>
        <w:numId w:val="38"/>
      </w:numPr>
    </w:pPr>
  </w:style>
  <w:style w:type="paragraph" w:customStyle="1" w:styleId="Langue">
    <w:name w:val="Langue"/>
    <w:basedOn w:val="Normal"/>
    <w:next w:val="Rfrenceinterne"/>
    <w:pPr>
      <w:framePr w:wrap="around" w:vAnchor="page" w:hAnchor="text" w:xAlign="center" w:y="14741"/>
      <w:spacing w:before="0" w:after="600"/>
      <w:jc w:val="center"/>
    </w:pPr>
    <w:rPr>
      <w:b/>
      <w:caps/>
    </w:rPr>
  </w:style>
  <w:style w:type="paragraph" w:customStyle="1" w:styleId="Nomdelinstitution">
    <w:name w:val="Nom de l'institution"/>
    <w:basedOn w:val="Normal"/>
    <w:next w:val="Emission"/>
    <w:pPr>
      <w:spacing w:before="0" w:after="0"/>
      <w:jc w:val="left"/>
    </w:pPr>
    <w:rPr>
      <w:rFonts w:ascii="Arial" w:hAnsi="Arial" w:cs="Arial"/>
    </w:rPr>
  </w:style>
  <w:style w:type="paragraph" w:customStyle="1" w:styleId="Emission">
    <w:name w:val="Emission"/>
    <w:basedOn w:val="Normal"/>
    <w:next w:val="Rfrenceinstitutionnelle"/>
    <w:pPr>
      <w:spacing w:before="0" w:after="0"/>
      <w:ind w:left="5103"/>
      <w:jc w:val="left"/>
    </w:pPr>
  </w:style>
  <w:style w:type="paragraph" w:customStyle="1" w:styleId="Rfrenceinstitutionnelle">
    <w:name w:val="Référence institutionnelle"/>
    <w:basedOn w:val="Normal"/>
    <w:next w:val="Confidentialit"/>
    <w:pPr>
      <w:spacing w:before="0" w:after="240"/>
      <w:ind w:left="5103"/>
      <w:jc w:val="left"/>
    </w:pPr>
  </w:style>
  <w:style w:type="paragraph" w:customStyle="1" w:styleId="Pagedecouverture">
    <w:name w:val="Page de couverture"/>
    <w:basedOn w:val="Normal"/>
    <w:next w:val="Normal"/>
    <w:pPr>
      <w:spacing w:before="0" w:after="0"/>
    </w:pPr>
  </w:style>
  <w:style w:type="paragraph" w:customStyle="1" w:styleId="Declassification">
    <w:name w:val="Declassification"/>
    <w:basedOn w:val="Normal"/>
    <w:next w:val="Normal"/>
    <w:pPr>
      <w:spacing w:before="0" w:after="0"/>
    </w:pPr>
  </w:style>
  <w:style w:type="paragraph" w:customStyle="1" w:styleId="Disclaimer">
    <w:name w:val="Disclaimer"/>
    <w:basedOn w:val="Normal"/>
    <w:pPr>
      <w:framePr w:w="8220" w:wrap="notBeside" w:hAnchor="margin" w:xAlign="center" w:y="10401"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</w:pPr>
  </w:style>
  <w:style w:type="paragraph" w:customStyle="1" w:styleId="SecurityMarking">
    <w:name w:val="SecurityMarking"/>
    <w:basedOn w:val="Normal"/>
    <w:pPr>
      <w:spacing w:before="0" w:after="0" w:line="276" w:lineRule="auto"/>
      <w:ind w:left="5103"/>
      <w:jc w:val="left"/>
    </w:pPr>
    <w:rPr>
      <w:sz w:val="28"/>
    </w:rPr>
  </w:style>
  <w:style w:type="paragraph" w:customStyle="1" w:styleId="DateMarking">
    <w:name w:val="DateMarking"/>
    <w:basedOn w:val="Normal"/>
    <w:pPr>
      <w:spacing w:before="0" w:after="0" w:line="276" w:lineRule="auto"/>
      <w:ind w:left="5103"/>
      <w:jc w:val="left"/>
    </w:pPr>
    <w:rPr>
      <w:i/>
      <w:sz w:val="28"/>
    </w:rPr>
  </w:style>
  <w:style w:type="paragraph" w:customStyle="1" w:styleId="ReleasableTo">
    <w:name w:val="ReleasableTo"/>
    <w:basedOn w:val="Normal"/>
    <w:pPr>
      <w:spacing w:before="0" w:after="0" w:line="276" w:lineRule="auto"/>
      <w:ind w:left="5103"/>
      <w:jc w:val="left"/>
    </w:pPr>
    <w:rPr>
      <w:i/>
      <w:sz w:val="28"/>
    </w:rPr>
  </w:style>
  <w:style w:type="paragraph" w:customStyle="1" w:styleId="Annexetitreexpos">
    <w:name w:val="Annexe titre (exposé)"/>
    <w:basedOn w:val="Normal"/>
    <w:next w:val="Normal"/>
    <w:pPr>
      <w:jc w:val="center"/>
    </w:pPr>
    <w:rPr>
      <w:b/>
      <w:u w:val="single"/>
    </w:rPr>
  </w:style>
  <w:style w:type="paragraph" w:customStyle="1" w:styleId="Annexetitre">
    <w:name w:val="Annexe titre"/>
    <w:basedOn w:val="Normal"/>
    <w:next w:val="Normal"/>
    <w:pPr>
      <w:jc w:val="center"/>
    </w:pPr>
    <w:rPr>
      <w:b/>
      <w:u w:val="single"/>
    </w:rPr>
  </w:style>
  <w:style w:type="paragraph" w:customStyle="1" w:styleId="Annexetitrefichefinancire">
    <w:name w:val="Annexe titre (fiche financière)"/>
    <w:basedOn w:val="Normal"/>
    <w:next w:val="Normal"/>
    <w:pPr>
      <w:jc w:val="center"/>
    </w:pPr>
    <w:rPr>
      <w:b/>
      <w:u w:val="single"/>
    </w:rPr>
  </w:style>
  <w:style w:type="paragraph" w:customStyle="1" w:styleId="Applicationdirecte">
    <w:name w:val="Application directe"/>
    <w:basedOn w:val="Normal"/>
    <w:next w:val="Fait"/>
    <w:pPr>
      <w:spacing w:before="480"/>
    </w:pPr>
  </w:style>
  <w:style w:type="paragraph" w:customStyle="1" w:styleId="Avertissementtitre">
    <w:name w:val="Avertissement titre"/>
    <w:basedOn w:val="Normal"/>
    <w:next w:val="Normal"/>
    <w:pPr>
      <w:keepNext/>
      <w:spacing w:before="480"/>
    </w:pPr>
    <w:rPr>
      <w:u w:val="single"/>
    </w:rPr>
  </w:style>
  <w:style w:type="paragraph" w:customStyle="1" w:styleId="Confidence">
    <w:name w:val="Confidence"/>
    <w:basedOn w:val="Normal"/>
    <w:next w:val="Normal"/>
    <w:pPr>
      <w:spacing w:before="360"/>
      <w:jc w:val="center"/>
    </w:pPr>
  </w:style>
  <w:style w:type="paragraph" w:customStyle="1" w:styleId="Confidentialit">
    <w:name w:val="Confidentialité"/>
    <w:basedOn w:val="Normal"/>
    <w:next w:val="TypedudocumentPagedecouverture"/>
    <w:pPr>
      <w:spacing w:before="240" w:after="240"/>
      <w:ind w:left="5103"/>
      <w:jc w:val="left"/>
    </w:pPr>
    <w:rPr>
      <w:i/>
      <w:sz w:val="32"/>
    </w:rPr>
  </w:style>
  <w:style w:type="paragraph" w:customStyle="1" w:styleId="Considrant">
    <w:name w:val="Considérant"/>
    <w:basedOn w:val="Normal"/>
    <w:pPr>
      <w:numPr>
        <w:numId w:val="39"/>
      </w:numPr>
    </w:pPr>
  </w:style>
  <w:style w:type="paragraph" w:customStyle="1" w:styleId="Corrigendum">
    <w:name w:val="Corrigendum"/>
    <w:basedOn w:val="Normal"/>
    <w:next w:val="Normal"/>
    <w:pPr>
      <w:spacing w:before="0" w:after="240"/>
      <w:jc w:val="left"/>
    </w:pPr>
  </w:style>
  <w:style w:type="paragraph" w:customStyle="1" w:styleId="Datedadoption">
    <w:name w:val="Date d'adoption"/>
    <w:basedOn w:val="Normal"/>
    <w:next w:val="IntrtEEE"/>
    <w:pPr>
      <w:spacing w:before="360" w:after="0"/>
      <w:jc w:val="center"/>
    </w:pPr>
    <w:rPr>
      <w:b/>
    </w:rPr>
  </w:style>
  <w:style w:type="paragraph" w:customStyle="1" w:styleId="Exposdesmotifstitre">
    <w:name w:val="Exposé des motifs titre"/>
    <w:basedOn w:val="Normal"/>
    <w:next w:val="Normal"/>
    <w:pPr>
      <w:jc w:val="center"/>
    </w:pPr>
    <w:rPr>
      <w:b/>
      <w:u w:val="single"/>
    </w:rPr>
  </w:style>
  <w:style w:type="paragraph" w:customStyle="1" w:styleId="Fait">
    <w:name w:val="Fait à"/>
    <w:basedOn w:val="Normal"/>
    <w:next w:val="Institutionquisigne"/>
    <w:pPr>
      <w:keepNext/>
      <w:spacing w:after="0"/>
    </w:pPr>
  </w:style>
  <w:style w:type="paragraph" w:customStyle="1" w:styleId="Formuledadoption">
    <w:name w:val="Formule d'adoption"/>
    <w:basedOn w:val="Normal"/>
    <w:next w:val="Titrearticle"/>
    <w:pPr>
      <w:keepNext/>
    </w:pPr>
  </w:style>
  <w:style w:type="paragraph" w:customStyle="1" w:styleId="Institutionquiagit">
    <w:name w:val="Institution qui agit"/>
    <w:basedOn w:val="Normal"/>
    <w:next w:val="Normal"/>
    <w:pPr>
      <w:keepNext/>
      <w:spacing w:before="600"/>
    </w:pPr>
  </w:style>
  <w:style w:type="paragraph" w:customStyle="1" w:styleId="Institutionquisigne">
    <w:name w:val="Institution qui signe"/>
    <w:basedOn w:val="Normal"/>
    <w:next w:val="Personnequisigne"/>
    <w:pPr>
      <w:keepNext/>
      <w:tabs>
        <w:tab w:val="left" w:pos="4252"/>
      </w:tabs>
      <w:spacing w:before="720" w:after="0"/>
    </w:pPr>
    <w:rPr>
      <w:i/>
    </w:rPr>
  </w:style>
  <w:style w:type="paragraph" w:customStyle="1" w:styleId="ManualConsidrant">
    <w:name w:val="Manual Considérant"/>
    <w:basedOn w:val="Normal"/>
    <w:pPr>
      <w:ind w:left="709" w:hanging="709"/>
    </w:pPr>
  </w:style>
  <w:style w:type="paragraph" w:customStyle="1" w:styleId="Personnequisigne">
    <w:name w:val="Personne qui signe"/>
    <w:basedOn w:val="Normal"/>
    <w:next w:val="Institutionquisigne"/>
    <w:pPr>
      <w:tabs>
        <w:tab w:val="left" w:pos="4252"/>
      </w:tabs>
      <w:spacing w:before="0" w:after="0"/>
      <w:jc w:val="left"/>
    </w:pPr>
    <w:rPr>
      <w:i/>
    </w:rPr>
  </w:style>
  <w:style w:type="paragraph" w:customStyle="1" w:styleId="Rfrenceinterinstitutionnelle">
    <w:name w:val="Référence interinstitutionnelle"/>
    <w:basedOn w:val="Normal"/>
    <w:next w:val="Statut"/>
    <w:pPr>
      <w:spacing w:before="0" w:after="0"/>
      <w:ind w:left="5103"/>
      <w:jc w:val="left"/>
    </w:pPr>
  </w:style>
  <w:style w:type="paragraph" w:customStyle="1" w:styleId="Rfrenceinterne">
    <w:name w:val="Référence interne"/>
    <w:basedOn w:val="Normal"/>
    <w:next w:val="Rfrenceinterinstitutionnelle"/>
    <w:pPr>
      <w:spacing w:before="0" w:after="0"/>
      <w:ind w:left="5103"/>
      <w:jc w:val="left"/>
    </w:pPr>
  </w:style>
  <w:style w:type="paragraph" w:customStyle="1" w:styleId="Statut">
    <w:name w:val="Statut"/>
    <w:basedOn w:val="Normal"/>
    <w:next w:val="Typedudocument"/>
    <w:pPr>
      <w:spacing w:before="0" w:after="240"/>
      <w:jc w:val="center"/>
    </w:pPr>
  </w:style>
  <w:style w:type="paragraph" w:customStyle="1" w:styleId="Titrearticle">
    <w:name w:val="Titre article"/>
    <w:basedOn w:val="Normal"/>
    <w:next w:val="Normal"/>
    <w:pPr>
      <w:keepNext/>
      <w:spacing w:before="360"/>
      <w:jc w:val="center"/>
    </w:pPr>
    <w:rPr>
      <w:i/>
    </w:rPr>
  </w:style>
  <w:style w:type="paragraph" w:customStyle="1" w:styleId="Typedudocument">
    <w:name w:val="Type du document"/>
    <w:basedOn w:val="Normal"/>
    <w:next w:val="Accompagnant"/>
    <w:pPr>
      <w:spacing w:before="360" w:after="180"/>
      <w:jc w:val="center"/>
    </w:pPr>
    <w:rPr>
      <w:b/>
    </w:rPr>
  </w:style>
  <w:style w:type="character" w:customStyle="1" w:styleId="Added">
    <w:name w:val="Added"/>
    <w:basedOn w:val="DefaultParagraphFont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pPr>
      <w:keepLines/>
      <w:spacing w:line="360" w:lineRule="auto"/>
      <w:ind w:left="3402"/>
      <w:jc w:val="left"/>
    </w:pPr>
  </w:style>
  <w:style w:type="paragraph" w:customStyle="1" w:styleId="Objetexterne">
    <w:name w:val="Objet externe"/>
    <w:basedOn w:val="Normal"/>
    <w:next w:val="Normal"/>
    <w:rPr>
      <w:i/>
      <w:caps/>
    </w:rPr>
  </w:style>
  <w:style w:type="paragraph" w:customStyle="1" w:styleId="Supertitre">
    <w:name w:val="Supertitre"/>
    <w:basedOn w:val="Normal"/>
    <w:next w:val="Normal"/>
    <w:pPr>
      <w:spacing w:before="0" w:after="600"/>
      <w:jc w:val="center"/>
    </w:pPr>
    <w:rPr>
      <w:b/>
    </w:rPr>
  </w:style>
  <w:style w:type="paragraph" w:customStyle="1" w:styleId="Languesfaisantfoi">
    <w:name w:val="Langues faisant foi"/>
    <w:basedOn w:val="Normal"/>
    <w:next w:val="Normal"/>
    <w:pPr>
      <w:spacing w:before="360" w:after="240"/>
      <w:jc w:val="center"/>
    </w:pPr>
  </w:style>
  <w:style w:type="paragraph" w:customStyle="1" w:styleId="Rfrencecroise">
    <w:name w:val="Référence croisée"/>
    <w:basedOn w:val="Normal"/>
    <w:pPr>
      <w:spacing w:before="0" w:after="0"/>
      <w:jc w:val="center"/>
    </w:pPr>
  </w:style>
  <w:style w:type="paragraph" w:customStyle="1" w:styleId="Fichefinanciretitre">
    <w:name w:val="Fiche financière titre"/>
    <w:basedOn w:val="Normal"/>
    <w:next w:val="Normal"/>
    <w:pPr>
      <w:jc w:val="center"/>
    </w:pPr>
    <w:rPr>
      <w:b/>
      <w:u w:val="single"/>
    </w:rPr>
  </w:style>
  <w:style w:type="paragraph" w:customStyle="1" w:styleId="DatedadoptionPagedecouverture">
    <w:name w:val="Date d'adoption (Page de couverture)"/>
    <w:basedOn w:val="Datedadoption"/>
    <w:next w:val="IntrtEEEPagedecouverture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</w:style>
  <w:style w:type="paragraph" w:customStyle="1" w:styleId="StatutPagedecouverture">
    <w:name w:val="Statut (Page de couverture)"/>
    <w:basedOn w:val="Statut"/>
    <w:next w:val="TypedudocumentPagedecouverture"/>
  </w:style>
  <w:style w:type="paragraph" w:customStyle="1" w:styleId="TypedudocumentPagedecouverture">
    <w:name w:val="Type du document (Page de couverture)"/>
    <w:basedOn w:val="Typedudocument"/>
    <w:next w:val="AccompagnantPagedecouverture"/>
  </w:style>
  <w:style w:type="paragraph" w:customStyle="1" w:styleId="Volume">
    <w:name w:val="Volume"/>
    <w:basedOn w:val="Normal"/>
    <w:next w:val="Confidentialit"/>
    <w:pPr>
      <w:spacing w:before="0" w:after="240"/>
      <w:ind w:left="5103"/>
      <w:jc w:val="left"/>
    </w:pPr>
  </w:style>
  <w:style w:type="paragraph" w:customStyle="1" w:styleId="IntrtEEE">
    <w:name w:val="Intérêt EEE"/>
    <w:basedOn w:val="Languesfaisantfoi"/>
    <w:next w:val="Normal"/>
    <w:pPr>
      <w:spacing w:after="0"/>
    </w:pPr>
  </w:style>
  <w:style w:type="paragraph" w:customStyle="1" w:styleId="Accompagnant">
    <w:name w:val="Accompagnant"/>
    <w:basedOn w:val="Normal"/>
    <w:next w:val="Typeacteprincipal"/>
    <w:pPr>
      <w:spacing w:before="180" w:after="240"/>
      <w:jc w:val="center"/>
    </w:pPr>
    <w:rPr>
      <w:b/>
    </w:rPr>
  </w:style>
  <w:style w:type="paragraph" w:customStyle="1" w:styleId="Typeacteprincipal">
    <w:name w:val="Type acte principal"/>
    <w:basedOn w:val="Normal"/>
    <w:next w:val="Objetacteprincipal"/>
    <w:pPr>
      <w:spacing w:before="0" w:after="240"/>
      <w:jc w:val="center"/>
    </w:pPr>
    <w:rPr>
      <w:b/>
    </w:rPr>
  </w:style>
  <w:style w:type="paragraph" w:customStyle="1" w:styleId="Objetacteprincipal">
    <w:name w:val="Objet acte principal"/>
    <w:basedOn w:val="Normal"/>
    <w:next w:val="Titrearticle"/>
    <w:pPr>
      <w:spacing w:before="0" w:after="360"/>
      <w:jc w:val="center"/>
    </w:pPr>
    <w:rPr>
      <w:b/>
    </w:rPr>
  </w:style>
  <w:style w:type="paragraph" w:customStyle="1" w:styleId="IntrtEEEPagedecouverture">
    <w:name w:val="Intérêt EEE (Page de couverture)"/>
    <w:basedOn w:val="IntrtEEE"/>
    <w:next w:val="Normal"/>
  </w:style>
  <w:style w:type="paragraph" w:customStyle="1" w:styleId="AccompagnantPagedecouverture">
    <w:name w:val="Accompagnant (Page de couverture)"/>
    <w:basedOn w:val="Accompagnant"/>
    <w:next w:val="TypeacteprincipalPagedecouverture"/>
  </w:style>
  <w:style w:type="paragraph" w:customStyle="1" w:styleId="TypeacteprincipalPagedecouverture">
    <w:name w:val="Type acte principal (Page de couverture)"/>
    <w:basedOn w:val="Typeacteprincipal"/>
    <w:next w:val="ObjetacteprincipalPagedecouverture"/>
  </w:style>
  <w:style w:type="paragraph" w:customStyle="1" w:styleId="ObjetacteprincipalPagedecouverture">
    <w:name w:val="Objet acte principal (Page de couverture)"/>
    <w:basedOn w:val="Objetacteprincipal"/>
    <w:next w:val="Rfrencecroise"/>
  </w:style>
  <w:style w:type="paragraph" w:customStyle="1" w:styleId="LanguesfaisantfoiPagedecouverture">
    <w:name w:val="Langues faisant foi (Page de couverture)"/>
    <w:basedOn w:val="Normal"/>
    <w:next w:val="Rfrencecroise"/>
    <w:pPr>
      <w:spacing w:before="360" w:after="240"/>
      <w:jc w:val="center"/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35"/>
        <w:tab w:val="right" w:pos="9071"/>
      </w:tabs>
      <w:spacing w:before="0"/>
    </w:pPr>
  </w:style>
  <w:style w:type="paragraph" w:customStyle="1" w:styleId="HeaderLandscape">
    <w:name w:val="HeaderLandscape"/>
    <w:basedOn w:val="Normal"/>
    <w:pPr>
      <w:tabs>
        <w:tab w:val="center" w:pos="7285"/>
        <w:tab w:val="right" w:pos="14003"/>
      </w:tabs>
      <w:spacing w:before="0"/>
    </w:p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35"/>
        <w:tab w:val="right" w:pos="9071"/>
        <w:tab w:val="right" w:pos="9921"/>
      </w:tabs>
      <w:spacing w:before="360" w:after="0"/>
      <w:ind w:left="-850" w:right="-850"/>
      <w:jc w:val="left"/>
    </w:pPr>
  </w:style>
  <w:style w:type="paragraph" w:customStyle="1" w:styleId="FooterLandscape">
    <w:name w:val="FooterLandscape"/>
    <w:basedOn w:val="Normal"/>
    <w:pPr>
      <w:tabs>
        <w:tab w:val="center" w:pos="7285"/>
        <w:tab w:val="center" w:pos="10913"/>
        <w:tab w:val="right" w:pos="15137"/>
      </w:tabs>
      <w:spacing w:before="360" w:after="0"/>
      <w:ind w:left="-567" w:right="-567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header" Target="header3.xml"/><Relationship Id="rId17" Type="http://schemas.openxmlformats.org/officeDocument/2006/relationships/header" Target="header5.xml"/><Relationship Id="rId2" Type="http://schemas.openxmlformats.org/officeDocument/2006/relationships/styles" Target="styles.xml"/><Relationship Id="rId16" Type="http://schemas.openxmlformats.org/officeDocument/2006/relationships/footer" Target="footer5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footer" Target="footer4.xml"/><Relationship Id="rId10" Type="http://schemas.openxmlformats.org/officeDocument/2006/relationships/footer" Target="footer1.xm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wto.org/french/docs_f/legal_f/gatt47_f.htm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ANNEX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ANNEX.dotm</Template>
  <TotalTime>9</TotalTime>
  <Pages>1</Pages>
  <Words>239</Words>
  <Characters>1365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SVC-T1-CODE-PRD</cp:lastModifiedBy>
  <cp:revision>30</cp:revision>
  <dcterms:created xsi:type="dcterms:W3CDTF">2026-07-16T15:33:00Z</dcterms:created>
  <dcterms:modified xsi:type="dcterms:W3CDTF">2026-09-04T06:50:00Z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ategory">
    <vt:lpwstr>COM/ANNEX</vt:lpwstr>
  </property>
  <property fmtid="{D5CDD505-2E9C-101B-9397-08002B2CF9AE}" pid="3" name="Version">
    <vt:lpwstr>8.0.25.0</vt:lpwstr>
  </property>
  <property fmtid="{D5CDD505-2E9C-101B-9397-08002B2CF9AE}" pid="4" name="Last edited using">
    <vt:lpwstr>LW 9.2, Build 20250828</vt:lpwstr>
  </property>
  <property fmtid="{D5CDD505-2E9C-101B-9397-08002B2CF9AE}" pid="5" name="Created using">
    <vt:lpwstr>LW 9.2, Build 20250828</vt:lpwstr>
  </property>
  <property fmtid="{D5CDD505-2E9C-101B-9397-08002B2CF9AE}" pid="6" name="First annex">
    <vt:lpwstr>1</vt:lpwstr>
  </property>
  <property fmtid="{D5CDD505-2E9C-101B-9397-08002B2CF9AE}" pid="7" name="Last annex">
    <vt:lpwstr>1</vt:lpwstr>
  </property>
  <property fmtid="{D5CDD505-2E9C-101B-9397-08002B2CF9AE}" pid="8" name="Unique annex">
    <vt:lpwstr>1</vt:lpwstr>
  </property>
  <property fmtid="{D5CDD505-2E9C-101B-9397-08002B2CF9AE}" pid="9" name="Part">
    <vt:lpwstr>1</vt:lpwstr>
  </property>
  <property fmtid="{D5CDD505-2E9C-101B-9397-08002B2CF9AE}" pid="10" name="Total parts">
    <vt:lpwstr>1</vt:lpwstr>
  </property>
  <property fmtid="{D5CDD505-2E9C-101B-9397-08002B2CF9AE}" pid="11" name="Level of sensitivity">
    <vt:lpwstr>Standard treatment</vt:lpwstr>
  </property>
  <property fmtid="{D5CDD505-2E9C-101B-9397-08002B2CF9AE}" pid="12" name="LWTemplateID">
    <vt:lpwstr>SG-017</vt:lpwstr>
  </property>
  <property fmtid="{D5CDD505-2E9C-101B-9397-08002B2CF9AE}" pid="13" name="MSIP_Label_6bd9ddd1-4d20-43f6-abfa-fc3c07406f94_Enabled">
    <vt:lpwstr>true</vt:lpwstr>
  </property>
  <property fmtid="{D5CDD505-2E9C-101B-9397-08002B2CF9AE}" pid="14" name="MSIP_Label_6bd9ddd1-4d20-43f6-abfa-fc3c07406f94_SetDate">
    <vt:lpwstr>2026-07-16T12:31:26Z</vt:lpwstr>
  </property>
  <property fmtid="{D5CDD505-2E9C-101B-9397-08002B2CF9AE}" pid="15" name="MSIP_Label_6bd9ddd1-4d20-43f6-abfa-fc3c07406f94_Method">
    <vt:lpwstr>Standard</vt:lpwstr>
  </property>
  <property fmtid="{D5CDD505-2E9C-101B-9397-08002B2CF9AE}" pid="16" name="MSIP_Label_6bd9ddd1-4d20-43f6-abfa-fc3c07406f94_Name">
    <vt:lpwstr>Commission Use</vt:lpwstr>
  </property>
  <property fmtid="{D5CDD505-2E9C-101B-9397-08002B2CF9AE}" pid="17" name="MSIP_Label_6bd9ddd1-4d20-43f6-abfa-fc3c07406f94_SiteId">
    <vt:lpwstr>b24c8b06-522c-46fe-9080-70926f8dddb1</vt:lpwstr>
  </property>
  <property fmtid="{D5CDD505-2E9C-101B-9397-08002B2CF9AE}" pid="18" name="MSIP_Label_6bd9ddd1-4d20-43f6-abfa-fc3c07406f94_ActionId">
    <vt:lpwstr>dd03a749-a4d9-4918-b2f1-dadd5fa70ac3</vt:lpwstr>
  </property>
  <property fmtid="{D5CDD505-2E9C-101B-9397-08002B2CF9AE}" pid="19" name="MSIP_Label_6bd9ddd1-4d20-43f6-abfa-fc3c07406f94_ContentBits">
    <vt:lpwstr>0</vt:lpwstr>
  </property>
  <property fmtid="{D5CDD505-2E9C-101B-9397-08002B2CF9AE}" pid="20" name="MSIP_Label_6bd9ddd1-4d20-43f6-abfa-fc3c07406f94_Tag">
    <vt:lpwstr>10, 3, 0, 1</vt:lpwstr>
  </property>
  <property fmtid="{D5CDD505-2E9C-101B-9397-08002B2CF9AE}" pid="21" name="DQCStatus">
    <vt:lpwstr>Green (DQC version 03)</vt:lpwstr>
  </property>
</Properties>
</file>