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ABF4F106-3250-429F-972F-BD6B82814EC7" style="width:455.25pt;height:345.7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RECOMANDĂRII</w:t>
      </w:r>
    </w:p>
    <w:p>
      <w:pPr>
        <w:pStyle w:val="ManualHeading2"/>
        <w:rPr>
          <w:rFonts w:eastAsia="Arial Unicode MS"/>
          <w:noProof/>
        </w:rPr>
      </w:pPr>
      <w:r>
        <w:rPr>
          <w:noProof/>
          <w:color w:val="000000"/>
          <w:u w:color="000000"/>
          <w:bdr w:val="nil"/>
        </w:rPr>
        <w:t>•</w:t>
      </w:r>
      <w:r>
        <w:rPr>
          <w:noProof/>
        </w:rPr>
        <w:tab/>
        <w:t>Motivele și obiectivele recomandării</w:t>
      </w:r>
    </w:p>
    <w:p>
      <w:pPr>
        <w:pBdr>
          <w:top w:val="nil"/>
          <w:left w:val="nil"/>
          <w:bottom w:val="nil"/>
          <w:right w:val="nil"/>
          <w:between w:val="nil"/>
          <w:bar w:val="nil"/>
        </w:pBdr>
        <w:spacing w:after="240"/>
        <w:rPr>
          <w:rFonts w:eastAsia="Arial Unicode MS"/>
          <w:noProof/>
          <w:szCs w:val="24"/>
        </w:rPr>
      </w:pPr>
      <w:r>
        <w:rPr>
          <w:noProof/>
        </w:rPr>
        <w:t xml:space="preserve">Prin comunicarea G/SECRET/55 din 19 martie 2026, Regatul Unit a notificat membrilor OMC intenția sa de a-și modifica concesiile tarifare la import, astfel cum sunt în prezent obligatorii pentru Regatul Unit pentru toate produsele siderurgice încadrate între codurile SA 72.06 și SA 73.07, prin creșterea actualei taxe obligatorii de la zero la 50 % ad valorem, în conformitate cu procedura prevăzută la articolul XXVIII alineatul (5) din Acordul general pentru tarife și comerț 1994 (GATT 1994). Obligațiile actuale care se modifică sunt detaliate în lista XIX – Regatul Unit și în addendumurile ulterioare la aceasta. Această listă nu este încă în vigoare în mod oficial, dar reflectă angajamentele tarifare pe care le are de fapt Regatul Unit. </w:t>
      </w:r>
    </w:p>
    <w:p>
      <w:pPr>
        <w:pBdr>
          <w:top w:val="nil"/>
          <w:left w:val="nil"/>
          <w:bottom w:val="nil"/>
          <w:right w:val="nil"/>
          <w:between w:val="nil"/>
          <w:bar w:val="nil"/>
        </w:pBdr>
        <w:spacing w:after="240"/>
        <w:rPr>
          <w:rFonts w:eastAsia="Arial Unicode MS"/>
          <w:noProof/>
          <w:szCs w:val="24"/>
        </w:rPr>
      </w:pPr>
      <w:r>
        <w:rPr>
          <w:noProof/>
        </w:rPr>
        <w:t xml:space="preserve">În același timp, Regatul Unit a indicat că este pregătit să negocieze și să se consulte cu membrii în cauză (și anume furnizori importanți, furnizori principali și titulari de drepturi de negociere inițială pentru liniile tarifare în cauză) în temeiul articolului XXVIII din GATT 1994. În acest scop, Regatul Unit a prezentat statistici privind importurile în funcție de țara de origine, care acoperă ultimii trei ani pentru care sunt disponibile date. </w:t>
      </w:r>
    </w:p>
    <w:p>
      <w:pPr>
        <w:pBdr>
          <w:top w:val="nil"/>
          <w:left w:val="nil"/>
          <w:bottom w:val="nil"/>
          <w:right w:val="nil"/>
          <w:between w:val="nil"/>
          <w:bar w:val="nil"/>
        </w:pBdr>
        <w:spacing w:after="240"/>
        <w:rPr>
          <w:rFonts w:eastAsia="Arial Unicode MS"/>
          <w:noProof/>
          <w:szCs w:val="24"/>
        </w:rPr>
      </w:pPr>
      <w:r>
        <w:rPr>
          <w:noProof/>
        </w:rPr>
        <w:t>În conformitate cu articolul XXVIII din GATT 1994, în calitate de membru al OMC cu interes de furnizor principal și furnizor important pentru majoritatea liniilor tarifare vizate de modificarea propusă a concesiilor Regatului Unit, UE are dreptul de a negocia cu Regatul Unit cu privire la această modificare propusă, inclusiv, eventual, cu privire la o compensație adecvată, pentru a menține un nivel general de concesii care să nu fie mai puțin favorabil schimburilor comerciale decât înainte de modificarea avută în vedere de Regatul Unit.</w:t>
      </w:r>
    </w:p>
    <w:p>
      <w:pPr>
        <w:pBdr>
          <w:top w:val="nil"/>
          <w:left w:val="nil"/>
          <w:bottom w:val="nil"/>
          <w:right w:val="nil"/>
          <w:between w:val="nil"/>
          <w:bar w:val="nil"/>
        </w:pBdr>
        <w:spacing w:after="240"/>
        <w:rPr>
          <w:rFonts w:eastAsia="Arial Unicode MS"/>
          <w:noProof/>
          <w:szCs w:val="24"/>
        </w:rPr>
      </w:pPr>
      <w:r>
        <w:rPr>
          <w:noProof/>
        </w:rPr>
        <w:t>În conformitate cu procedurile de negociere de la articolul XXVIII adoptate de Consiliul GATT la 10 noiembrie 1980</w:t>
      </w:r>
      <w:r>
        <w:rPr>
          <w:rStyle w:val="FootnoteReference"/>
          <w:rFonts w:eastAsia="Arial Unicode MS"/>
          <w:noProof/>
          <w:szCs w:val="24"/>
        </w:rPr>
        <w:footnoteReference w:id="1"/>
      </w:r>
      <w:r>
        <w:rPr>
          <w:noProof/>
        </w:rPr>
        <w:t xml:space="preserve">, UE a prezentat, la 16 iunie 2026, o declarație de interes în calitate de membru care deține un interes de furnizor principal și furnizor important pentru 373 de poziții tarifare din totalul de 388. </w:t>
      </w:r>
    </w:p>
    <w:p>
      <w:pPr>
        <w:pBdr>
          <w:top w:val="nil"/>
          <w:left w:val="nil"/>
          <w:bottom w:val="nil"/>
          <w:right w:val="nil"/>
          <w:between w:val="nil"/>
          <w:bar w:val="nil"/>
        </w:pBdr>
        <w:spacing w:after="240"/>
        <w:rPr>
          <w:rFonts w:eastAsia="Arial Unicode MS"/>
          <w:noProof/>
          <w:szCs w:val="24"/>
        </w:rPr>
      </w:pPr>
      <w:r>
        <w:rPr>
          <w:noProof/>
        </w:rPr>
        <w:t>Obiectivul prezentei propuneri este de a obține din partea Consiliului autorizarea Comisiei de a deschide negocieri în temeiul articolului XXVIII din GATT 1994 cu Regatul Unit cu privire la această modificare și, eventual, de a conveni asupra unei compensații adecvate pentru UE în urma deciziei Regatului Unit de a retrage anumite concesii tarifare pentru oțel și produse siderurgice din lista de concesii XIX – Regatul Unit.</w:t>
      </w:r>
    </w:p>
    <w:p>
      <w:pPr>
        <w:pBdr>
          <w:top w:val="nil"/>
          <w:left w:val="nil"/>
          <w:bottom w:val="nil"/>
          <w:right w:val="nil"/>
          <w:between w:val="nil"/>
          <w:bar w:val="nil"/>
        </w:pBdr>
        <w:spacing w:after="240"/>
        <w:rPr>
          <w:rFonts w:eastAsia="Arial Unicode MS"/>
          <w:noProof/>
          <w:szCs w:val="24"/>
        </w:rPr>
      </w:pPr>
      <w:r>
        <w:rPr>
          <w:noProof/>
        </w:rPr>
        <w:t>Prezenta propunere nu aduce atingere Recomandării Comisiei din 29 iulie 2015 [COM (2015) 369 final] de autorizare a deschiderii negocierilor în temeiul articolului XXIV alineatul (6) și/sau al articolului XXVIII din GATT 1994 cu membrii OMC pentru modificarea concesiilor lor tarifare.</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existente în domeniul de politică vizat</w:t>
      </w:r>
    </w:p>
    <w:p>
      <w:pPr>
        <w:pBdr>
          <w:top w:val="nil"/>
          <w:left w:val="nil"/>
          <w:bottom w:val="nil"/>
          <w:right w:val="nil"/>
          <w:between w:val="nil"/>
          <w:bar w:val="nil"/>
        </w:pBdr>
        <w:spacing w:after="240"/>
        <w:rPr>
          <w:rFonts w:eastAsia="Arial Unicode MS"/>
          <w:noProof/>
          <w:szCs w:val="24"/>
        </w:rPr>
      </w:pPr>
      <w:r>
        <w:rPr>
          <w:noProof/>
        </w:rPr>
        <w:t>Recomandarea este în concordanță cu politica comercială comună a UE și cu normele Organizației Mondiale a Comerțului.</w:t>
      </w:r>
    </w:p>
    <w:p>
      <w:pPr>
        <w:pStyle w:val="ManualHeading2"/>
        <w:rPr>
          <w:rFonts w:eastAsia="Arial Unicode MS"/>
          <w:noProof/>
        </w:rPr>
      </w:pPr>
      <w:r>
        <w:rPr>
          <w:noProof/>
          <w:color w:val="000000"/>
          <w:u w:color="000000"/>
          <w:bdr w:val="nil"/>
        </w:rPr>
        <w:t>•</w:t>
      </w:r>
      <w:r>
        <w:rPr>
          <w:noProof/>
        </w:rPr>
        <w:tab/>
        <w:t>Coerența cu alte politici ale Uniunii</w:t>
      </w:r>
    </w:p>
    <w:p>
      <w:pPr>
        <w:pBdr>
          <w:top w:val="nil"/>
          <w:left w:val="nil"/>
          <w:bottom w:val="nil"/>
          <w:right w:val="nil"/>
          <w:between w:val="nil"/>
          <w:bar w:val="nil"/>
        </w:pBdr>
        <w:spacing w:after="240"/>
        <w:rPr>
          <w:rFonts w:eastAsia="Arial Unicode MS"/>
          <w:noProof/>
          <w:szCs w:val="24"/>
        </w:rPr>
      </w:pPr>
      <w:r>
        <w:rPr>
          <w:noProof/>
        </w:rPr>
        <w:t xml:space="preserve">Recomandarea este coerentă cu alte domenii ale acțiunii externe a UE. </w:t>
      </w:r>
    </w:p>
    <w:p>
      <w:pPr>
        <w:pStyle w:val="ManualHeading1"/>
        <w:rPr>
          <w:noProof/>
        </w:rPr>
      </w:pPr>
      <w:r>
        <w:rPr>
          <w:noProof/>
        </w:rPr>
        <w:t>2.</w:t>
      </w:r>
      <w:r>
        <w:rPr>
          <w:noProof/>
        </w:rPr>
        <w:tab/>
        <w:t>TEMEI JURIDIC, SUBSIDIARITATE ȘI PROPORȚIONALITATE</w:t>
      </w:r>
    </w:p>
    <w:p>
      <w:pPr>
        <w:pStyle w:val="ManualHeading2"/>
        <w:rPr>
          <w:rFonts w:eastAsia="Arial Unicode MS"/>
          <w:noProof/>
        </w:rPr>
      </w:pPr>
      <w:bookmarkStart w:id="0" w:name="_Toc216446635"/>
      <w:r>
        <w:rPr>
          <w:noProof/>
          <w:bdr w:val="nil"/>
        </w:rPr>
        <w:t>•</w:t>
      </w:r>
      <w:r>
        <w:rPr>
          <w:noProof/>
        </w:rPr>
        <w:tab/>
        <w:t>Temeiul juridic material</w:t>
      </w:r>
      <w:bookmarkEnd w:id="0"/>
    </w:p>
    <w:p>
      <w:pPr>
        <w:pBdr>
          <w:top w:val="nil"/>
          <w:left w:val="nil"/>
          <w:bottom w:val="nil"/>
          <w:right w:val="nil"/>
          <w:between w:val="nil"/>
          <w:bar w:val="nil"/>
        </w:pBdr>
        <w:spacing w:after="240"/>
        <w:rPr>
          <w:rFonts w:eastAsia="Arial Unicode MS"/>
          <w:noProof/>
          <w:szCs w:val="24"/>
        </w:rPr>
      </w:pPr>
      <w:bookmarkStart w:id="1" w:name="_Hlk235106135"/>
      <w:r>
        <w:rPr>
          <w:noProof/>
        </w:rPr>
        <w:t>Comisia nu indică temeiul juridic material atunci când recomandă Consiliului să adopte o decizie de autorizare a negocierilor privind un acord internațional. Prin urmare, articolul 218 alineatul (3) și alineatul (4) trebuie să fie indicat ca temei juridic al prezentei propuneri.</w:t>
      </w:r>
    </w:p>
    <w:p>
      <w:pPr>
        <w:pStyle w:val="ManualHeading2"/>
        <w:rPr>
          <w:rFonts w:eastAsia="Arial Unicode MS"/>
          <w:noProof/>
        </w:rPr>
      </w:pPr>
      <w:bookmarkStart w:id="2" w:name="_Toc216446634"/>
      <w:bookmarkEnd w:id="1"/>
      <w:r>
        <w:rPr>
          <w:noProof/>
          <w:bdr w:val="nil"/>
        </w:rPr>
        <w:t>•</w:t>
      </w:r>
      <w:r>
        <w:rPr>
          <w:noProof/>
        </w:rPr>
        <w:tab/>
        <w:t>Temeiul juridic procedural</w:t>
      </w:r>
      <w:bookmarkEnd w:id="2"/>
    </w:p>
    <w:p>
      <w:pPr>
        <w:pBdr>
          <w:top w:val="nil"/>
          <w:left w:val="nil"/>
          <w:bottom w:val="nil"/>
          <w:right w:val="nil"/>
          <w:between w:val="nil"/>
          <w:bar w:val="nil"/>
        </w:pBdr>
        <w:spacing w:after="240"/>
        <w:rPr>
          <w:rFonts w:eastAsia="Arial Unicode MS"/>
          <w:noProof/>
          <w:szCs w:val="24"/>
        </w:rPr>
      </w:pPr>
      <w:r>
        <w:rPr>
          <w:noProof/>
        </w:rPr>
        <w:t xml:space="preserve">Articolul 218 alineatul (3) din TFUE prevede că, în cazul în care acordul avut în vedere nu se referă exclusiv sau în principal la politica externă și de securitate comună, Comisia trebuie să prezinte recomandări Consiliului. Consiliul trebuie să adopte o decizie de autorizare a începerii negocierilor și de numire a negociatorului Uniunii sau a șefului echipei de negociere a Uniunii. </w:t>
      </w:r>
    </w:p>
    <w:p>
      <w:pPr>
        <w:pBdr>
          <w:top w:val="nil"/>
          <w:left w:val="nil"/>
          <w:bottom w:val="nil"/>
          <w:right w:val="nil"/>
          <w:between w:val="nil"/>
          <w:bar w:val="nil"/>
        </w:pBdr>
        <w:spacing w:after="240"/>
        <w:rPr>
          <w:rFonts w:eastAsia="Arial Unicode MS"/>
          <w:noProof/>
          <w:szCs w:val="24"/>
        </w:rPr>
      </w:pPr>
      <w:r>
        <w:rPr>
          <w:noProof/>
        </w:rPr>
        <w:t>Articolul 218 alineatul (4) din TFUE prevede că Consiliul poate adresa directive de negociere negociatorului și poate desemna un comitet special pentru a se consulta cu negociatorul.</w:t>
      </w:r>
    </w:p>
    <w:p>
      <w:pPr>
        <w:pBdr>
          <w:top w:val="nil"/>
          <w:left w:val="nil"/>
          <w:bottom w:val="nil"/>
          <w:right w:val="nil"/>
          <w:between w:val="nil"/>
          <w:bar w:val="nil"/>
        </w:pBdr>
        <w:spacing w:after="240"/>
        <w:rPr>
          <w:rFonts w:eastAsia="Arial Unicode MS"/>
          <w:noProof/>
          <w:szCs w:val="24"/>
        </w:rPr>
      </w:pPr>
      <w:r>
        <w:rPr>
          <w:noProof/>
        </w:rPr>
        <w:t>Comisia recomandă deschiderea negocierilor între Uniunea Europeană și Regatul Unit în vederea unui acord internațional, în temeiul articolului XXVIII din Acordul general pentru tarife și comerț 1994, referitor la modificarea concesiilor tarifare OMC la import pentru oțel și produse siderurgice astfel cum sunt în prezent obligatorii pentru Regatul Unit. Comisia trebuie să fie desemnată negociator.</w:t>
      </w:r>
    </w:p>
    <w:p>
      <w:pPr>
        <w:pBdr>
          <w:top w:val="nil"/>
          <w:left w:val="nil"/>
          <w:bottom w:val="nil"/>
          <w:right w:val="nil"/>
          <w:between w:val="nil"/>
          <w:bar w:val="nil"/>
        </w:pBdr>
        <w:spacing w:after="240"/>
        <w:rPr>
          <w:rFonts w:eastAsia="Arial Unicode MS"/>
          <w:noProof/>
          <w:szCs w:val="24"/>
        </w:rPr>
      </w:pPr>
      <w:r>
        <w:rPr>
          <w:noProof/>
        </w:rPr>
        <w:t>Temeiul juridic procedural al deciziei propuse de autorizare a începerii negocierilor pentru acordul avut în vedere este articolul 218 alineatele (3) și (4) din TFUE.</w:t>
      </w:r>
    </w:p>
    <w:p>
      <w:pPr>
        <w:pStyle w:val="ManualHeading2"/>
        <w:rPr>
          <w:rFonts w:eastAsia="Arial Unicode MS"/>
          <w:b w:val="0"/>
          <w:bCs/>
          <w:noProof/>
          <w:szCs w:val="24"/>
          <w:bdr w:val="nil"/>
        </w:rPr>
      </w:pPr>
      <w:bookmarkStart w:id="3" w:name="_Toc216446636"/>
      <w:r>
        <w:rPr>
          <w:noProof/>
          <w:bdr w:val="nil"/>
        </w:rPr>
        <w:t>•</w:t>
      </w:r>
      <w:r>
        <w:rPr>
          <w:noProof/>
        </w:rPr>
        <w:tab/>
        <w:t xml:space="preserve">Alegerea </w:t>
      </w:r>
      <w:r>
        <w:rPr>
          <w:noProof/>
          <w:bdr w:val="nil"/>
        </w:rPr>
        <w:t>negociatorului</w:t>
      </w:r>
      <w:bookmarkEnd w:id="3"/>
    </w:p>
    <w:p>
      <w:pPr>
        <w:rPr>
          <w:noProof/>
        </w:rPr>
      </w:pPr>
      <w:r>
        <w:rPr>
          <w:noProof/>
        </w:rPr>
        <w:t>Dat fiind faptul că acordul preconizat vizează exclusiv alte aspecte decât politica externă și de securitate comună, Comisia trebuie desemnată drept negociator în temeiul articolului 218 alineatul (3) din TFUE.</w:t>
      </w:r>
    </w:p>
    <w:p>
      <w:pPr>
        <w:pStyle w:val="ManualHeading2"/>
        <w:rPr>
          <w:rFonts w:eastAsia="Arial Unicode MS"/>
          <w:b w:val="0"/>
          <w:bCs/>
          <w:noProof/>
          <w:szCs w:val="24"/>
        </w:rPr>
      </w:pPr>
      <w:r>
        <w:rPr>
          <w:noProof/>
          <w:bdr w:val="nil"/>
        </w:rPr>
        <w:t>•</w:t>
      </w:r>
      <w:r>
        <w:rPr>
          <w:noProof/>
        </w:rPr>
        <w:tab/>
        <w:t>Competența Uniunii</w:t>
      </w:r>
    </w:p>
    <w:p>
      <w:pPr>
        <w:pBdr>
          <w:top w:val="nil"/>
          <w:left w:val="nil"/>
          <w:bottom w:val="nil"/>
          <w:right w:val="nil"/>
          <w:between w:val="nil"/>
          <w:bar w:val="nil"/>
        </w:pBdr>
        <w:spacing w:after="240"/>
        <w:rPr>
          <w:rFonts w:eastAsia="Arial Unicode MS"/>
          <w:noProof/>
          <w:szCs w:val="24"/>
        </w:rPr>
      </w:pPr>
      <w:r>
        <w:rPr>
          <w:noProof/>
        </w:rPr>
        <w:t>Negocierile în temeiul articolului XXVIII din GATT se referă la chestiuni care țin de politica comercială. Politica comercială comună este menționată printre domeniile care sunt de competența exclusivă a Uniunii la articolul 3 din TFUE.</w:t>
      </w:r>
    </w:p>
    <w:p>
      <w:pPr>
        <w:pStyle w:val="ManualHeading2"/>
        <w:rPr>
          <w:rFonts w:eastAsia="Arial Unicode MS"/>
          <w:b w:val="0"/>
          <w:bCs/>
          <w:noProof/>
          <w:szCs w:val="24"/>
          <w:bdr w:val="nil"/>
        </w:rPr>
      </w:pPr>
      <w:bookmarkStart w:id="4" w:name="_Toc216446637"/>
      <w:r>
        <w:rPr>
          <w:noProof/>
          <w:bdr w:val="nil"/>
        </w:rPr>
        <w:t>•</w:t>
      </w:r>
      <w:r>
        <w:rPr>
          <w:noProof/>
        </w:rPr>
        <w:tab/>
        <w:t xml:space="preserve">Subsidiaritatea </w:t>
      </w:r>
      <w:r>
        <w:rPr>
          <w:noProof/>
          <w:bdr w:val="nil"/>
        </w:rPr>
        <w:t>(în cazul competențelor neexclusive)</w:t>
      </w:r>
      <w:bookmarkEnd w:id="4"/>
      <w:r>
        <w:rPr>
          <w:noProof/>
          <w:bdr w:val="nil"/>
        </w:rPr>
        <w:t xml:space="preserve"> </w:t>
      </w:r>
    </w:p>
    <w:p>
      <w:pPr>
        <w:pBdr>
          <w:top w:val="nil"/>
          <w:left w:val="nil"/>
          <w:bottom w:val="nil"/>
          <w:right w:val="nil"/>
          <w:between w:val="nil"/>
          <w:bar w:val="nil"/>
        </w:pBdr>
        <w:spacing w:after="240"/>
        <w:rPr>
          <w:rFonts w:eastAsia="Arial Unicode MS"/>
          <w:noProof/>
          <w:szCs w:val="24"/>
        </w:rPr>
      </w:pPr>
      <w:r>
        <w:rPr>
          <w:noProof/>
        </w:rPr>
        <w:t xml:space="preserve">În conformitate cu articolul 5 alineatul (3) din TUE, principiul subsidiarității nu se aplică în domeniile care sunt de competența exclusivă a UE, iar politica comercială comună este unul dintre acestea. </w:t>
      </w:r>
    </w:p>
    <w:p>
      <w:pPr>
        <w:pStyle w:val="ManualHeading2"/>
        <w:rPr>
          <w:rFonts w:eastAsia="Arial Unicode MS"/>
          <w:b w:val="0"/>
          <w:bCs/>
          <w:noProof/>
          <w:szCs w:val="24"/>
          <w:bdr w:val="nil"/>
        </w:rPr>
      </w:pPr>
      <w:bookmarkStart w:id="5" w:name="_Toc216446638"/>
      <w:r>
        <w:rPr>
          <w:noProof/>
          <w:bdr w:val="nil"/>
        </w:rPr>
        <w:t>•</w:t>
      </w:r>
      <w:r>
        <w:rPr>
          <w:noProof/>
        </w:rPr>
        <w:tab/>
        <w:t>Proporționalitatea</w:t>
      </w:r>
      <w:bookmarkEnd w:id="5"/>
    </w:p>
    <w:p>
      <w:pPr>
        <w:pBdr>
          <w:top w:val="nil"/>
          <w:left w:val="nil"/>
          <w:bottom w:val="nil"/>
          <w:right w:val="nil"/>
          <w:between w:val="nil"/>
          <w:bar w:val="nil"/>
        </w:pBdr>
        <w:spacing w:after="240"/>
        <w:rPr>
          <w:rFonts w:eastAsia="Arial Unicode MS"/>
          <w:noProof/>
          <w:szCs w:val="24"/>
        </w:rPr>
      </w:pPr>
      <w:r>
        <w:rPr>
          <w:noProof/>
        </w:rPr>
        <w:t>Prezenta recomandare propune Consiliului să autorizeze Comisia să deschidă negocieri cu Regatul Unit, în numele UE, în temeiul articolului XXVIII din GATT 1994. Regatul Unit a notificat membrilor OMC intenția de a negocia în temeiul articolului XXVIII din GATT 1994 în vederea modificării concesiilor sale tarifare la import, astfel cum sunt în prezent obligatorii pentru Regatul Unit și se regăsesc în lista sa de concesii XIX pentru toate produsele siderurgice încadrate între codurile SA 72.06 și SA 73.07, prin creșterea taxei actuale obligatorii la 50 % ad valorem. În conformitate cu normele OMC, UE, în calitate de membru al OMC care are drepturi de negociere și consultare pentru 373 de linii tarifare, are dreptul de a negocia cu Regatul Unit o compensație adecvată. Prin urmare, recomandarea propusă de Comisie este necesară având în vedere obiectivele stabilite mai sus și, de asemenea, în conformitate cu principiul proporționalității.</w:t>
      </w:r>
    </w:p>
    <w:p>
      <w:pPr>
        <w:pStyle w:val="ManualHeading2"/>
        <w:rPr>
          <w:rFonts w:eastAsia="Arial Unicode MS"/>
          <w:b w:val="0"/>
          <w:bCs/>
          <w:noProof/>
          <w:szCs w:val="24"/>
          <w:bdr w:val="nil"/>
        </w:rPr>
      </w:pPr>
      <w:bookmarkStart w:id="6" w:name="_Toc216446639"/>
      <w:r>
        <w:rPr>
          <w:noProof/>
          <w:bdr w:val="nil"/>
        </w:rPr>
        <w:t>•</w:t>
      </w:r>
      <w:r>
        <w:rPr>
          <w:noProof/>
        </w:rPr>
        <w:tab/>
      </w:r>
      <w:r>
        <w:rPr>
          <w:noProof/>
          <w:bdr w:val="nil"/>
        </w:rPr>
        <w:t>Alegerea</w:t>
      </w:r>
      <w:r>
        <w:rPr>
          <w:noProof/>
        </w:rPr>
        <w:t xml:space="preserve"> instrumentului</w:t>
      </w:r>
      <w:bookmarkEnd w:id="6"/>
    </w:p>
    <w:p>
      <w:pPr>
        <w:pBdr>
          <w:top w:val="nil"/>
          <w:left w:val="nil"/>
          <w:bottom w:val="nil"/>
          <w:right w:val="nil"/>
          <w:between w:val="nil"/>
          <w:bar w:val="nil"/>
        </w:pBdr>
        <w:spacing w:after="240"/>
        <w:rPr>
          <w:rFonts w:eastAsia="Arial Unicode MS"/>
          <w:noProof/>
          <w:szCs w:val="24"/>
        </w:rPr>
      </w:pPr>
      <w:r>
        <w:rPr>
          <w:noProof/>
        </w:rPr>
        <w:t>Prezenta recomandare de decizie a Consiliului este prezentată în conformitate cu articolul 218 alineatele (3) și (4) din TFUE, care prevede adoptarea de către Consiliu a unei decizii de autorizare a începerii negocierilor și de numire a negociatorului Uniunii. De asemenea, Consiliul poate adresa directive de negociere negociatorului. Nu există un alt instrument juridic care ar putea fi folosit în scopul realizării obiectivului urmărit prin prezenta recomandare.</w:t>
      </w:r>
    </w:p>
    <w:p>
      <w:pPr>
        <w:pStyle w:val="ManualHeading1"/>
        <w:rPr>
          <w:b w:val="0"/>
          <w:bCs/>
          <w:smallCaps w:val="0"/>
          <w:noProof/>
          <w:szCs w:val="24"/>
        </w:rPr>
      </w:pPr>
      <w:bookmarkStart w:id="7" w:name="_Toc216446640"/>
      <w:r>
        <w:rPr>
          <w:noProof/>
        </w:rPr>
        <w:t>3.</w:t>
      </w:r>
      <w:r>
        <w:rPr>
          <w:noProof/>
        </w:rPr>
        <w:tab/>
        <w:t>REZULTATELE EVALUĂRILOR EX POST, ALE CONSULTĂRILOR CU PĂRȚILE INTERESATE ȘI ALE EVALUĂRILOR IMPACTULUI</w:t>
      </w:r>
      <w:bookmarkEnd w:id="7"/>
    </w:p>
    <w:p>
      <w:pPr>
        <w:pStyle w:val="ManualHeading2"/>
        <w:rPr>
          <w:rFonts w:eastAsia="Arial Unicode MS"/>
          <w:b w:val="0"/>
          <w:bCs/>
          <w:noProof/>
          <w:szCs w:val="24"/>
          <w:bdr w:val="nil"/>
        </w:rPr>
      </w:pPr>
      <w:bookmarkStart w:id="8" w:name="_Toc216446641"/>
      <w:r>
        <w:rPr>
          <w:noProof/>
          <w:bdr w:val="nil"/>
        </w:rPr>
        <w:t>•</w:t>
      </w:r>
      <w:r>
        <w:rPr>
          <w:noProof/>
        </w:rPr>
        <w:tab/>
      </w:r>
      <w:r>
        <w:rPr>
          <w:noProof/>
          <w:bdr w:val="nil"/>
        </w:rPr>
        <w:t>Evaluările ex post/</w:t>
      </w:r>
      <w:r>
        <w:rPr>
          <w:noProof/>
        </w:rPr>
        <w:t xml:space="preserve">verificarea </w:t>
      </w:r>
      <w:r>
        <w:rPr>
          <w:noProof/>
          <w:bdr w:val="nil"/>
        </w:rPr>
        <w:t>adecvării legislației existente</w:t>
      </w:r>
      <w:bookmarkEnd w:id="8"/>
    </w:p>
    <w:p>
      <w:pPr>
        <w:pBdr>
          <w:top w:val="nil"/>
          <w:left w:val="nil"/>
          <w:bottom w:val="nil"/>
          <w:right w:val="nil"/>
          <w:between w:val="nil"/>
          <w:bar w:val="nil"/>
        </w:pBdr>
        <w:spacing w:after="240"/>
        <w:rPr>
          <w:rFonts w:eastAsia="Arial Unicode MS"/>
          <w:noProof/>
          <w:szCs w:val="24"/>
        </w:rPr>
      </w:pPr>
      <w:r>
        <w:rPr>
          <w:noProof/>
        </w:rPr>
        <w:t>Nu se aplică.</w:t>
      </w:r>
    </w:p>
    <w:p>
      <w:pPr>
        <w:pStyle w:val="ManualHeading2"/>
        <w:rPr>
          <w:rFonts w:eastAsia="Arial Unicode MS"/>
          <w:b w:val="0"/>
          <w:bCs/>
          <w:noProof/>
          <w:szCs w:val="24"/>
          <w:bdr w:val="nil"/>
        </w:rPr>
      </w:pPr>
      <w:bookmarkStart w:id="9" w:name="_Toc216446642"/>
      <w:r>
        <w:rPr>
          <w:noProof/>
          <w:bdr w:val="nil"/>
        </w:rPr>
        <w:t>•</w:t>
      </w:r>
      <w:r>
        <w:rPr>
          <w:noProof/>
        </w:rPr>
        <w:tab/>
        <w:t xml:space="preserve">Consultarea </w:t>
      </w:r>
      <w:r>
        <w:rPr>
          <w:noProof/>
          <w:bdr w:val="nil"/>
        </w:rPr>
        <w:t>cu părțile interesate</w:t>
      </w:r>
      <w:bookmarkEnd w:id="9"/>
    </w:p>
    <w:p>
      <w:pPr>
        <w:pBdr>
          <w:top w:val="nil"/>
          <w:left w:val="nil"/>
          <w:bottom w:val="nil"/>
          <w:right w:val="nil"/>
          <w:between w:val="nil"/>
          <w:bar w:val="nil"/>
        </w:pBdr>
        <w:spacing w:after="240"/>
        <w:rPr>
          <w:rFonts w:eastAsia="Arial Unicode MS"/>
          <w:noProof/>
          <w:szCs w:val="24"/>
        </w:rPr>
      </w:pPr>
      <w:r>
        <w:rPr>
          <w:noProof/>
        </w:rPr>
        <w:t>Nu se aplică. În conformitate cu normele OMC, negocierile în temeiul articolului XXVIII din GATT 1994 trebuie să se desfășoare cu cea mai mare confidențialitate posibilă.</w:t>
      </w:r>
    </w:p>
    <w:p>
      <w:pPr>
        <w:pStyle w:val="ManualHeading2"/>
        <w:rPr>
          <w:rFonts w:eastAsia="Arial Unicode MS"/>
          <w:b w:val="0"/>
          <w:bCs/>
          <w:noProof/>
          <w:szCs w:val="24"/>
          <w:bdr w:val="nil"/>
        </w:rPr>
      </w:pPr>
      <w:bookmarkStart w:id="10" w:name="_Toc216446643"/>
      <w:r>
        <w:rPr>
          <w:noProof/>
          <w:bdr w:val="nil"/>
        </w:rPr>
        <w:t>•</w:t>
      </w:r>
      <w:r>
        <w:rPr>
          <w:noProof/>
        </w:rPr>
        <w:tab/>
        <w:t xml:space="preserve">Obținerea și utilizarea </w:t>
      </w:r>
      <w:r>
        <w:rPr>
          <w:noProof/>
          <w:bdr w:val="nil"/>
        </w:rPr>
        <w:t>cunoștințelor de specialitate</w:t>
      </w:r>
      <w:bookmarkEnd w:id="10"/>
    </w:p>
    <w:p>
      <w:pPr>
        <w:pBdr>
          <w:top w:val="nil"/>
          <w:left w:val="nil"/>
          <w:bottom w:val="nil"/>
          <w:right w:val="nil"/>
          <w:between w:val="nil"/>
          <w:bar w:val="nil"/>
        </w:pBdr>
        <w:spacing w:after="240"/>
        <w:rPr>
          <w:rFonts w:eastAsia="Arial Unicode MS"/>
          <w:noProof/>
          <w:szCs w:val="24"/>
        </w:rPr>
      </w:pPr>
      <w:r>
        <w:rPr>
          <w:noProof/>
        </w:rPr>
        <w:t>Nu se aplică.</w:t>
      </w:r>
    </w:p>
    <w:p>
      <w:pPr>
        <w:pStyle w:val="ManualHeading2"/>
        <w:rPr>
          <w:rFonts w:eastAsia="Arial Unicode MS"/>
          <w:b w:val="0"/>
          <w:bCs/>
          <w:noProof/>
          <w:szCs w:val="24"/>
          <w:bdr w:val="nil"/>
        </w:rPr>
      </w:pPr>
      <w:bookmarkStart w:id="11" w:name="_Toc216446644"/>
      <w:r>
        <w:rPr>
          <w:noProof/>
          <w:bdr w:val="nil"/>
        </w:rPr>
        <w:t>•</w:t>
      </w:r>
      <w:r>
        <w:rPr>
          <w:noProof/>
        </w:rPr>
        <w:tab/>
        <w:t xml:space="preserve">Evaluarea </w:t>
      </w:r>
      <w:r>
        <w:rPr>
          <w:noProof/>
          <w:bdr w:val="nil"/>
        </w:rPr>
        <w:t>impactului</w:t>
      </w:r>
      <w:bookmarkEnd w:id="11"/>
    </w:p>
    <w:p>
      <w:pPr>
        <w:pBdr>
          <w:top w:val="nil"/>
          <w:left w:val="nil"/>
          <w:bottom w:val="nil"/>
          <w:right w:val="nil"/>
          <w:between w:val="nil"/>
          <w:bar w:val="nil"/>
        </w:pBdr>
        <w:spacing w:after="240"/>
        <w:rPr>
          <w:rFonts w:eastAsia="Arial Unicode MS"/>
          <w:noProof/>
          <w:szCs w:val="24"/>
        </w:rPr>
      </w:pPr>
      <w:r>
        <w:rPr>
          <w:noProof/>
        </w:rPr>
        <w:t>Nu se aplică.</w:t>
      </w:r>
    </w:p>
    <w:p>
      <w:pPr>
        <w:pStyle w:val="ManualHeading2"/>
        <w:rPr>
          <w:rFonts w:eastAsia="Arial Unicode MS"/>
          <w:b w:val="0"/>
          <w:bCs/>
          <w:noProof/>
          <w:szCs w:val="24"/>
          <w:bdr w:val="nil"/>
        </w:rPr>
      </w:pPr>
      <w:bookmarkStart w:id="12" w:name="_Toc216446645"/>
      <w:r>
        <w:rPr>
          <w:noProof/>
          <w:bdr w:val="nil"/>
        </w:rPr>
        <w:t>•</w:t>
      </w:r>
      <w:r>
        <w:rPr>
          <w:noProof/>
        </w:rPr>
        <w:tab/>
      </w:r>
      <w:r>
        <w:rPr>
          <w:noProof/>
          <w:bdr w:val="nil"/>
        </w:rPr>
        <w:t>Adecvarea reglementărilor și simplificarea</w:t>
      </w:r>
      <w:bookmarkEnd w:id="12"/>
    </w:p>
    <w:p>
      <w:pPr>
        <w:pBdr>
          <w:top w:val="nil"/>
          <w:left w:val="nil"/>
          <w:bottom w:val="nil"/>
          <w:right w:val="nil"/>
          <w:between w:val="nil"/>
          <w:bar w:val="nil"/>
        </w:pBdr>
        <w:spacing w:after="240"/>
        <w:rPr>
          <w:rFonts w:eastAsia="Arial Unicode MS"/>
          <w:noProof/>
          <w:szCs w:val="24"/>
        </w:rPr>
      </w:pPr>
      <w:r>
        <w:rPr>
          <w:noProof/>
        </w:rPr>
        <w:t>Nu se aplică.</w:t>
      </w:r>
    </w:p>
    <w:p>
      <w:pPr>
        <w:pStyle w:val="ManualHeading2"/>
        <w:rPr>
          <w:rFonts w:eastAsia="Arial Unicode MS"/>
          <w:b w:val="0"/>
          <w:bCs/>
          <w:noProof/>
          <w:szCs w:val="24"/>
          <w:bdr w:val="nil"/>
        </w:rPr>
      </w:pPr>
      <w:bookmarkStart w:id="13" w:name="_Toc216446646"/>
      <w:r>
        <w:rPr>
          <w:noProof/>
          <w:bdr w:val="nil"/>
        </w:rPr>
        <w:t>•</w:t>
      </w:r>
      <w:r>
        <w:rPr>
          <w:noProof/>
        </w:rPr>
        <w:tab/>
      </w:r>
      <w:r>
        <w:rPr>
          <w:noProof/>
          <w:bdr w:val="nil"/>
        </w:rPr>
        <w:t>Drepturile</w:t>
      </w:r>
      <w:r>
        <w:rPr>
          <w:noProof/>
        </w:rPr>
        <w:t xml:space="preserve"> fundamentale</w:t>
      </w:r>
      <w:bookmarkEnd w:id="13"/>
    </w:p>
    <w:p>
      <w:pPr>
        <w:pBdr>
          <w:top w:val="nil"/>
          <w:left w:val="nil"/>
          <w:bottom w:val="nil"/>
          <w:right w:val="nil"/>
          <w:between w:val="nil"/>
          <w:bar w:val="nil"/>
        </w:pBdr>
        <w:spacing w:after="240"/>
        <w:rPr>
          <w:rFonts w:eastAsia="Arial Unicode MS"/>
          <w:noProof/>
          <w:szCs w:val="24"/>
        </w:rPr>
      </w:pPr>
      <w:r>
        <w:rPr>
          <w:noProof/>
        </w:rPr>
        <w:t>Nu se aplică.</w:t>
      </w:r>
    </w:p>
    <w:p>
      <w:pPr>
        <w:pStyle w:val="ManualHeading1"/>
        <w:rPr>
          <w:b w:val="0"/>
          <w:bCs/>
          <w:smallCaps w:val="0"/>
          <w:noProof/>
          <w:szCs w:val="24"/>
        </w:rPr>
      </w:pPr>
      <w:bookmarkStart w:id="14" w:name="_Toc216446647"/>
      <w:r>
        <w:rPr>
          <w:noProof/>
        </w:rPr>
        <w:t>4.</w:t>
      </w:r>
      <w:r>
        <w:rPr>
          <w:noProof/>
        </w:rPr>
        <w:tab/>
        <w:t>IMPLICAȚII BUGETARE</w:t>
      </w:r>
      <w:bookmarkEnd w:id="14"/>
    </w:p>
    <w:p>
      <w:pPr>
        <w:pBdr>
          <w:top w:val="nil"/>
          <w:left w:val="nil"/>
          <w:bottom w:val="nil"/>
          <w:right w:val="nil"/>
          <w:between w:val="nil"/>
          <w:bar w:val="nil"/>
        </w:pBdr>
        <w:spacing w:after="240"/>
        <w:rPr>
          <w:rFonts w:eastAsia="Arial Unicode MS"/>
          <w:noProof/>
          <w:szCs w:val="24"/>
        </w:rPr>
      </w:pPr>
      <w:r>
        <w:rPr>
          <w:noProof/>
        </w:rPr>
        <w:t>Nu se aplică.</w:t>
      </w:r>
    </w:p>
    <w:p>
      <w:pPr>
        <w:pStyle w:val="ManualHeading1"/>
        <w:rPr>
          <w:b w:val="0"/>
          <w:bCs/>
          <w:smallCaps w:val="0"/>
          <w:noProof/>
          <w:szCs w:val="24"/>
        </w:rPr>
      </w:pPr>
      <w:bookmarkStart w:id="15" w:name="_Toc216446648"/>
      <w:r>
        <w:rPr>
          <w:noProof/>
        </w:rPr>
        <w:t>5.</w:t>
      </w:r>
      <w:r>
        <w:rPr>
          <w:noProof/>
        </w:rPr>
        <w:tab/>
        <w:t>ALTE ELEMENTE</w:t>
      </w:r>
      <w:bookmarkEnd w:id="15"/>
    </w:p>
    <w:p>
      <w:pPr>
        <w:pStyle w:val="ManualHeading2"/>
        <w:rPr>
          <w:rFonts w:eastAsia="Arial Unicode MS"/>
          <w:b w:val="0"/>
          <w:bCs/>
          <w:noProof/>
          <w:szCs w:val="24"/>
          <w:bdr w:val="nil"/>
        </w:rPr>
      </w:pPr>
      <w:bookmarkStart w:id="16" w:name="_Toc216446649"/>
      <w:r>
        <w:rPr>
          <w:noProof/>
          <w:bdr w:val="nil"/>
        </w:rPr>
        <w:t>•</w:t>
      </w:r>
      <w:r>
        <w:rPr>
          <w:noProof/>
        </w:rPr>
        <w:tab/>
        <w:t>Planurile de punere în aplicare și măsurile de monitorizare, evaluare și raportare</w:t>
      </w:r>
      <w:bookmarkEnd w:id="16"/>
    </w:p>
    <w:p>
      <w:pPr>
        <w:pBdr>
          <w:top w:val="nil"/>
          <w:left w:val="nil"/>
          <w:bottom w:val="nil"/>
          <w:right w:val="nil"/>
          <w:between w:val="nil"/>
          <w:bar w:val="nil"/>
        </w:pBdr>
        <w:spacing w:after="240"/>
        <w:rPr>
          <w:rFonts w:eastAsia="Arial Unicode MS"/>
          <w:noProof/>
          <w:szCs w:val="24"/>
        </w:rPr>
      </w:pPr>
      <w:r>
        <w:rPr>
          <w:noProof/>
        </w:rPr>
        <w:t>Nu se aplică.</w:t>
      </w:r>
    </w:p>
    <w:p>
      <w:pPr>
        <w:pStyle w:val="ManualHeading2"/>
        <w:rPr>
          <w:rFonts w:eastAsia="Arial Unicode MS"/>
          <w:b w:val="0"/>
          <w:bCs/>
          <w:noProof/>
          <w:szCs w:val="24"/>
          <w:bdr w:val="nil"/>
        </w:rPr>
      </w:pPr>
      <w:bookmarkStart w:id="17" w:name="_Toc216446650"/>
      <w:r>
        <w:rPr>
          <w:noProof/>
          <w:bdr w:val="nil"/>
        </w:rPr>
        <w:t>•</w:t>
      </w:r>
      <w:r>
        <w:rPr>
          <w:noProof/>
        </w:rPr>
        <w:tab/>
        <w:t>Documentele explicative (în cazul directivelor)</w:t>
      </w:r>
      <w:bookmarkEnd w:id="17"/>
    </w:p>
    <w:p>
      <w:pPr>
        <w:pBdr>
          <w:top w:val="nil"/>
          <w:left w:val="nil"/>
          <w:bottom w:val="nil"/>
          <w:right w:val="nil"/>
          <w:between w:val="nil"/>
          <w:bar w:val="nil"/>
        </w:pBdr>
        <w:spacing w:after="240"/>
        <w:rPr>
          <w:rFonts w:eastAsia="Arial Unicode MS"/>
          <w:noProof/>
          <w:szCs w:val="24"/>
        </w:rPr>
      </w:pPr>
      <w:r>
        <w:rPr>
          <w:noProof/>
        </w:rPr>
        <w:t>Nu se aplică.</w:t>
      </w:r>
    </w:p>
    <w:p>
      <w:pPr>
        <w:pStyle w:val="ManualHeading2"/>
        <w:rPr>
          <w:rFonts w:eastAsia="Arial Unicode MS"/>
          <w:b w:val="0"/>
          <w:bCs/>
          <w:noProof/>
          <w:szCs w:val="24"/>
          <w:bdr w:val="nil"/>
        </w:rPr>
      </w:pPr>
      <w:bookmarkStart w:id="18" w:name="_Toc216446651"/>
      <w:r>
        <w:rPr>
          <w:noProof/>
          <w:bdr w:val="nil"/>
        </w:rPr>
        <w:t>•</w:t>
      </w:r>
      <w:r>
        <w:rPr>
          <w:noProof/>
        </w:rPr>
        <w:tab/>
        <w:t>Explicație detaliată cu privire la dispozițiile specifice ale recomandării</w:t>
      </w:r>
      <w:bookmarkEnd w:id="18"/>
    </w:p>
    <w:p>
      <w:pPr>
        <w:pBdr>
          <w:top w:val="nil"/>
          <w:left w:val="nil"/>
          <w:bottom w:val="nil"/>
          <w:right w:val="nil"/>
          <w:between w:val="nil"/>
          <w:bar w:val="nil"/>
        </w:pBdr>
        <w:spacing w:after="240"/>
        <w:rPr>
          <w:rFonts w:eastAsia="Arial Unicode MS"/>
          <w:noProof/>
          <w:szCs w:val="24"/>
        </w:rPr>
      </w:pPr>
      <w:r>
        <w:rPr>
          <w:noProof/>
        </w:rPr>
        <w:t>Nu se aplică.</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pPr>
        <w:pStyle w:val="Statut"/>
        <w:rPr>
          <w:noProof/>
        </w:rPr>
      </w:pPr>
      <w:r>
        <w:rPr>
          <w:noProof/>
        </w:rPr>
        <w:t>Recomandare de</w:t>
      </w:r>
    </w:p>
    <w:p>
      <w:pPr>
        <w:pStyle w:val="Typedudocument"/>
        <w:rPr>
          <w:noProof/>
        </w:rPr>
      </w:pPr>
      <w:r>
        <w:rPr>
          <w:noProof/>
        </w:rPr>
        <w:t>DECIZIE A CONSILIULUI</w:t>
      </w:r>
    </w:p>
    <w:p>
      <w:pPr>
        <w:pStyle w:val="Titreobjet"/>
        <w:rPr>
          <w:noProof/>
        </w:rPr>
      </w:pPr>
      <w:r>
        <w:rPr>
          <w:noProof/>
        </w:rPr>
        <w:t>de autorizare a deschiderii de negocieri privind un acord între Uniunea Europeană și Regatul Unit în temeiul articolului XXVIII din Acordul general pentru tarife și comerț 1994 referitor la modificarea concesiilor sale tarifare OMC la import pentru oțel și produse siderurgice</w:t>
      </w:r>
    </w:p>
    <w:p>
      <w:pPr>
        <w:pStyle w:val="Institutionquiagit"/>
        <w:rPr>
          <w:noProof/>
        </w:rPr>
      </w:pPr>
      <w:r>
        <w:rPr>
          <w:noProof/>
        </w:rPr>
        <w:t>CONSILIUL UNIUNII EUROPENE,</w:t>
      </w:r>
    </w:p>
    <w:p>
      <w:pPr>
        <w:rPr>
          <w:noProof/>
          <w:szCs w:val="24"/>
        </w:rPr>
      </w:pPr>
      <w:r>
        <w:rPr>
          <w:noProof/>
        </w:rPr>
        <w:t xml:space="preserve">având în vedere Tratatul privind funcționarea Uniunii Europene, în special articolul 207 alineatul (4), coroborat cu articolul 218 alineatele (3) și (4), </w:t>
      </w:r>
    </w:p>
    <w:p>
      <w:pPr>
        <w:rPr>
          <w:noProof/>
          <w:szCs w:val="24"/>
        </w:rPr>
      </w:pPr>
      <w:r>
        <w:rPr>
          <w:noProof/>
        </w:rPr>
        <w:t>având în vedere recomandarea Comisiei Europene,</w:t>
      </w:r>
    </w:p>
    <w:p>
      <w:pPr>
        <w:rPr>
          <w:noProof/>
          <w:szCs w:val="24"/>
        </w:rPr>
      </w:pPr>
      <w:r>
        <w:rPr>
          <w:noProof/>
        </w:rPr>
        <w:t>întrucât:</w:t>
      </w:r>
    </w:p>
    <w:p>
      <w:pPr>
        <w:pStyle w:val="ManualConsidrant"/>
        <w:rPr>
          <w:noProof/>
        </w:rPr>
      </w:pPr>
      <w:r>
        <w:rPr>
          <w:noProof/>
        </w:rPr>
        <w:t>(1)</w:t>
      </w:r>
      <w:r>
        <w:rPr>
          <w:noProof/>
        </w:rPr>
        <w:tab/>
        <w:t>Regatul Unit a notificat membrilor Organizației Mondiale a Comerțului („OMC”) la 19 martie 2026 intenția de a începe negocieri în temeiul articolului XXVIII din Acordul general pentru tarife și comerț 1994 („GATT 1994”) în vederea modificării concesiilor sale tarifare la import, astfel cum sunt în prezent obligatorii pentru Regatul Unit și se regăsesc în lista sa de concesii XIX pentru toate produsele siderurgice încadrate între codurile SA 72.06 și SA 73.07, prin creșterea taxei actuale obligatorii la 50 % ad valorem, în conformitate cu procedura prevăzută la articolul XXVIII alineatul (5) din GATT 1994.</w:t>
      </w:r>
    </w:p>
    <w:p>
      <w:pPr>
        <w:pStyle w:val="ManualConsidrant"/>
        <w:rPr>
          <w:noProof/>
        </w:rPr>
      </w:pPr>
      <w:r>
        <w:rPr>
          <w:noProof/>
        </w:rPr>
        <w:t>(2)</w:t>
      </w:r>
      <w:r>
        <w:rPr>
          <w:noProof/>
        </w:rPr>
        <w:tab/>
        <w:t>La 16 iunie 2026, Uniunea a comunicat Regatului Unit declarația sa de interes ca membru al OMC care deține un interes de furnizor principal și furnizor important pentru 373 de linii tarifare, în ceea ce privește concesiile care fac obiectul negocierilor și consultărilor în temeiul articolului XXVIII din GATT 1994.</w:t>
      </w:r>
    </w:p>
    <w:p>
      <w:pPr>
        <w:pStyle w:val="ManualConsidrant"/>
        <w:rPr>
          <w:noProof/>
        </w:rPr>
      </w:pPr>
      <w:r>
        <w:rPr>
          <w:noProof/>
        </w:rPr>
        <w:t>(3)</w:t>
      </w:r>
      <w:r>
        <w:rPr>
          <w:noProof/>
        </w:rPr>
        <w:tab/>
        <w:t>Prin urmare, Comisia trebuie să fie autorizată să deschidă negocieri în temeiul articolului XXVIII din GATT 1994 cu Regatul Unit pentru a conveni asupra modificării, inclusiv asupra unei compensații adecvate pentru Uniune ca urmare a deciziei Regatului Unit de a modifica anumite concesii tarifare pentru toate produsele siderurgice încadrate între pozițiile SA 72.06 și SA 73.07 din lista de concesii XIX,</w:t>
      </w:r>
    </w:p>
    <w:p>
      <w:pPr>
        <w:pStyle w:val="Formuledadoption"/>
        <w:rPr>
          <w:noProof/>
        </w:rPr>
      </w:pPr>
      <w:r>
        <w:rPr>
          <w:noProof/>
        </w:rPr>
        <w:t xml:space="preserve">ADOPTĂ PREZENTA DECIZIE: </w:t>
      </w:r>
    </w:p>
    <w:p>
      <w:pPr>
        <w:pStyle w:val="Titrearticle"/>
        <w:rPr>
          <w:noProof/>
        </w:rPr>
      </w:pPr>
      <w:bookmarkStart w:id="19" w:name="_Hlk215132991"/>
      <w:bookmarkStart w:id="20" w:name="_Hlk215132962"/>
      <w:r>
        <w:rPr>
          <w:noProof/>
        </w:rPr>
        <w:t>Articolul 1</w:t>
      </w:r>
    </w:p>
    <w:p>
      <w:pPr>
        <w:rPr>
          <w:noProof/>
          <w:szCs w:val="24"/>
        </w:rPr>
      </w:pPr>
      <w:r>
        <w:rPr>
          <w:noProof/>
        </w:rPr>
        <w:t>Comisia este autorizată să negocieze în numele Uniunii un acord cu Regatul Unit în temeiul articolului XXVIII din GATT 1994 o compensație adecvată ca urmare a deciziei Regatului Unit de a-și modifica concesiile tarifare la import, astfel cum sunt în prezent obligatorii pentru Regatul Unit și se regăsesc în lista sa de concesii XIX pentru toate produsele siderurgice încadrate între pozițiile SA 72.06 și SA 73.07, prin creșterea taxei actuale obligatorii la 50 % ad valorem.</w:t>
      </w:r>
    </w:p>
    <w:p>
      <w:pPr>
        <w:pStyle w:val="Titrearticle"/>
        <w:rPr>
          <w:noProof/>
        </w:rPr>
      </w:pPr>
      <w:bookmarkStart w:id="21" w:name="_Hlk215133098"/>
      <w:bookmarkEnd w:id="19"/>
      <w:r>
        <w:rPr>
          <w:noProof/>
        </w:rPr>
        <w:t>Articolul 2</w:t>
      </w:r>
    </w:p>
    <w:p>
      <w:pPr>
        <w:rPr>
          <w:i/>
          <w:noProof/>
        </w:rPr>
      </w:pPr>
      <w:r>
        <w:rPr>
          <w:noProof/>
        </w:rPr>
        <w:t>Comisia este desemnată negociator al Uniunii.</w:t>
      </w:r>
    </w:p>
    <w:p>
      <w:pPr>
        <w:pStyle w:val="Titrearticle"/>
        <w:rPr>
          <w:noProof/>
        </w:rPr>
      </w:pPr>
      <w:r>
        <w:rPr>
          <w:noProof/>
        </w:rPr>
        <w:t>Articolul 3</w:t>
      </w:r>
    </w:p>
    <w:p>
      <w:pPr>
        <w:rPr>
          <w:noProof/>
          <w:szCs w:val="24"/>
        </w:rPr>
      </w:pPr>
      <w:r>
        <w:rPr>
          <w:noProof/>
        </w:rPr>
        <w:t>Directivele de negociere prevăzute în addendumul la prezenta decizie se adresează Comisiei.</w:t>
      </w:r>
    </w:p>
    <w:bookmarkEnd w:id="21"/>
    <w:p>
      <w:pPr>
        <w:pStyle w:val="Titrearticle"/>
        <w:rPr>
          <w:noProof/>
        </w:rPr>
      </w:pPr>
      <w:r>
        <w:rPr>
          <w:noProof/>
        </w:rPr>
        <w:t>Articolul 4</w:t>
      </w:r>
    </w:p>
    <w:p>
      <w:pPr>
        <w:rPr>
          <w:noProof/>
          <w:szCs w:val="24"/>
        </w:rPr>
      </w:pPr>
      <w:r>
        <w:rPr>
          <w:noProof/>
        </w:rPr>
        <w:t>Negocierile se desfășoară în consultare cu Comitetul pentru politică comercială.</w:t>
      </w:r>
    </w:p>
    <w:bookmarkEnd w:id="20"/>
    <w:p>
      <w:pPr>
        <w:pStyle w:val="Titrearticle"/>
        <w:rPr>
          <w:noProof/>
        </w:rPr>
      </w:pPr>
      <w:r>
        <w:rPr>
          <w:noProof/>
        </w:rPr>
        <w:t>Articolul 5</w:t>
      </w:r>
    </w:p>
    <w:p>
      <w:pPr>
        <w:spacing w:after="360"/>
        <w:rPr>
          <w:noProof/>
          <w:szCs w:val="24"/>
        </w:rPr>
      </w:pPr>
      <w:r>
        <w:rPr>
          <w:noProof/>
        </w:rPr>
        <w:t>Prezenta decizie se adresează Comisiei.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FR"/>
        </w:rPr>
      </w:pPr>
      <w:r>
        <w:rPr>
          <w:rStyle w:val="FootnoteReference"/>
        </w:rPr>
        <w:footnoteRef/>
      </w:r>
      <w:r>
        <w:rPr>
          <w:lang w:val="fr-FR"/>
        </w:rPr>
        <w:tab/>
        <w:t>Orientările adoptate la 10 noiembrie 1980, documentele GATT C/113 și C/113/Corr.1, GATT BISD 27S/26-28.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A463DF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81CE2A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8A2456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612CA0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3"/>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08:46: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BF4F106-3250-429F-972F-BD6B82814EC7"/>
    <w:docVar w:name="LW_COVERPAGE_TYPE" w:val="1"/>
    <w:docVar w:name="LW_CreatedUtc" w:val="2026-07-16T12:27:12.6782786Z"/>
    <w:docVar w:name="LW_CROSSREFERENCE" w:val="&lt;UNUSED&gt;"/>
    <w:docVar w:name="LW_DocType" w:val="COM"/>
    <w:docVar w:name="LW_EMISSION" w:val="1.9.2026"/>
    <w:docVar w:name="LW_EMISSION_ISODATE" w:val="2026-09-01"/>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5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utorizare a deschiderii de negocieri privind un acord între Uniunea European\u259? \u537?i Regatul Unit în temeiul articolului XXVIII din Acordul general pentru tarife \u537?i comer\u539? 1994 referitor la modificarea concesiilor sale tarifare OMC la import pentru o\u539?el \u537?i produse siderurgice"/>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6F3108A-78F8-4962-B352-4727828BC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8D760-DC7E-4A7B-93C5-D8181D89F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19</TotalTime>
  <Pages>7</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32</cp:revision>
  <dcterms:created xsi:type="dcterms:W3CDTF">2026-08-24T10:00:00Z</dcterms:created>
  <dcterms:modified xsi:type="dcterms:W3CDTF">2026-09-04T06:46:00Z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2026-07-16T12:32:19Z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32852684-79a0-4c53-9527-7bd280817726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