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AF6558-0606-460B-B7BC-DBD3176D757B"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spacing w:after="240"/>
        <w:jc w:val="center"/>
        <w:rPr>
          <w:b/>
          <w:bCs/>
          <w:caps/>
          <w:noProof/>
        </w:rPr>
      </w:pPr>
      <w:r>
        <w:rPr>
          <w:b/>
          <w:caps/>
          <w:noProof/>
        </w:rPr>
        <w:t>Directive pentru negocierea unui acord între</w:t>
      </w:r>
      <w:r>
        <w:rPr>
          <w:noProof/>
        </w:rPr>
        <w:t xml:space="preserve"> </w:t>
      </w:r>
      <w:r>
        <w:rPr>
          <w:noProof/>
        </w:rPr>
        <w:br/>
      </w:r>
      <w:r>
        <w:rPr>
          <w:b/>
          <w:caps/>
          <w:noProof/>
        </w:rPr>
        <w:t>Uniunea Europeană și Regatul Unit în temeiul articolului XXVIII din Acordul general pentru tarife și comerț 1994, referitor la modificarea concesiilor tarifare OMC la import pentru oțel și produse siderurgice astfel cum sunt în prezent obligatorii pentru Regatul Unit</w:t>
      </w:r>
    </w:p>
    <w:p>
      <w:pPr>
        <w:pStyle w:val="Bullet0"/>
        <w:numPr>
          <w:ilvl w:val="0"/>
          <w:numId w:val="1"/>
        </w:numPr>
        <w:rPr>
          <w:rFonts w:eastAsia="Times New Roman"/>
          <w:b/>
          <w:bCs/>
          <w:noProof/>
          <w:sz w:val="32"/>
          <w:szCs w:val="32"/>
          <w:u w:val="single"/>
        </w:rPr>
      </w:pPr>
      <w:r>
        <w:rPr>
          <w:noProof/>
        </w:rPr>
        <w:t>Comisia ar trebui să negocieze un acord cu Regatul Unit în temeiul articolului XXVIII din GATT 1994</w:t>
      </w:r>
      <w:r>
        <w:rPr>
          <w:rStyle w:val="FootnoteReference"/>
          <w:noProof/>
        </w:rPr>
        <w:footnoteReference w:id="1"/>
      </w:r>
      <w:r>
        <w:rPr>
          <w:noProof/>
        </w:rPr>
        <w:t xml:space="preserve"> ca urmare a deciziei Regatului Unit de a-și modifica concesiile tarifare la import, astfel cum sunt în prezent obligatorii pentru Regatul Unit și se regăsesc în lista sa de concesii XIX pentru toate produsele siderurgice încadrate între pozițiile SA 72.06 și SA 73.07, prin creșterea taxei actuale obligatorii la 50 % ad valorem. </w:t>
      </w:r>
    </w:p>
    <w:p>
      <w:pPr>
        <w:pStyle w:val="Bullet0"/>
        <w:rPr>
          <w:rFonts w:eastAsia="Times New Roman"/>
          <w:b/>
          <w:bCs/>
          <w:noProof/>
          <w:sz w:val="32"/>
          <w:szCs w:val="32"/>
          <w:u w:val="single"/>
        </w:rPr>
      </w:pPr>
      <w:r>
        <w:rPr>
          <w:noProof/>
        </w:rPr>
        <w:t xml:space="preserve">Comisia trebuie să desfășoare negocierile pentru a ajunge la un acord cu Regatul Unit cu privire la modificare și la compensarea adecvată în urma deciziei Regatului Unit de a-și modifica concesiile tarifare la import pentru toate produsele încadrate între pozițiile SA 72.06 și 73.07 din lista sa de concesii XIX, prin creșterea taxei actuale obligatorii la 50 % ad valorem. </w:t>
      </w:r>
    </w:p>
    <w:p>
      <w:pPr>
        <w:pStyle w:val="Bullet0"/>
        <w:rPr>
          <w:rFonts w:eastAsia="Times New Roman"/>
          <w:b/>
          <w:bCs/>
          <w:noProof/>
          <w:sz w:val="32"/>
          <w:szCs w:val="32"/>
          <w:u w:val="single"/>
        </w:rPr>
      </w:pPr>
      <w:r>
        <w:rPr>
          <w:noProof/>
        </w:rPr>
        <w:t xml:space="preserve">Comisia trebuie să respecte dispozițiile relevante ale OMC, în special articolul XXVIII din GATT 1994 și Înțelegerea privind interpretarea articolului XXVIII din GATT 1994. </w:t>
      </w:r>
    </w:p>
    <w:p>
      <w:pPr>
        <w:pStyle w:val="Bullet0"/>
        <w:rPr>
          <w:rFonts w:eastAsia="Times New Roman"/>
          <w:b/>
          <w:bCs/>
          <w:noProof/>
          <w:sz w:val="32"/>
          <w:szCs w:val="32"/>
          <w:u w:val="single"/>
        </w:rPr>
      </w:pPr>
      <w:r>
        <w:rPr>
          <w:noProof/>
        </w:rPr>
        <w:t>Comisia trebuie să informeze Consiliul cu privire la rezultatele negocierilor și, dacă este cazul, cu privire la eventualele probleme ce pot apărea pe parcursul negocierilor.</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https://www.wto.org/english/docs_e/legal_e/gatt47_e.htm</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8828DE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FB0ADC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7DEDF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8BE437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2CE5F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AEFD7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070C35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9D2558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08:47: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3FAF6558-0606-460B-B7BC-DBD3176D757B"/>
    <w:docVar w:name="LW_COVERPAGE_TYPE" w:val="1"/>
    <w:docVar w:name="LW_CreatedUtc" w:val="2026-07-16T12:28:44.9355321Z"/>
    <w:docVar w:name="LW_CROSSREFERENCE" w:val="&lt;UNUSED&gt;"/>
    <w:docVar w:name="LW_DocType" w:val="ANNEX"/>
    <w:docVar w:name="LW_EMISSION" w:val="1.9.2026"/>
    <w:docVar w:name="LW_EMISSION_ISODATE" w:val="2026-09-0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deschiderii de negocieri privind un acord între Uniunea European\u259? \u537?i Regatul Unit în temeiul articolului XXVIII din Acordul general pentru tarife \u537?i comer\u539? 1994 referitor la modificarea concesiilor sale tarifare OMC la import pentru o\u539?el \u537?i produse siderurgice"/>
    <w:docVar w:name="LW_OBJETACTEPRINCIPAL.CP" w:val="de autorizare a deschiderii de negocieri privind un acord între Uniunea European\u259? \u537?i Regatul Unit în temeiul articolului XXVIII din Acordul general pentru tarife \u537?i comer\u539? 1994 referitor la modificarea concesiilor sale tarifare OMC la import pentru o\u539?el \u537?i produse siderurgice"/>
    <w:docVar w:name="LW_PART_NBR" w:val="1"/>
    <w:docVar w:name="LW_PART_NBR_TOTAL" w:val="1"/>
    <w:docVar w:name="LW_REF.INST.NEW" w:val="COM"/>
    <w:docVar w:name="LW_REF.INST.NEW_ADOPTED" w:val="final"/>
    <w:docVar w:name="LW_REF.INST.NEW_TEXT" w:val="(2026) 4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D03E703-4D06-4AFA-AC79-12EAC924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wto.org/english/docs_e/legal_e/gatt47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2026-07-16T15:33:00Z</dcterms:created>
  <dcterms:modified xsi:type="dcterms:W3CDTF">2026-09-04T06:47:00Z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2026-07-16T12:31:26Z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dd03a749-a4d9-4918-b2f1-dadd5fa70ac3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