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D2A7D4E-C923-464C-8ABA-CC40D855997F" style="width:455.25pt;height:372.75pt">
            <v:imagedata r:id="rId11" o:title=""/>
          </v:shape>
        </w:pict>
      </w:r>
    </w:p>
    <w:p>
      <w:pPr>
        <w:rPr>
          <w:noProof/>
        </w:rPr>
        <w:sectPr>
          <w:footerReference w:type="even" r:id="rId12"/>
          <w:footerReference w:type="default" r:id="rId13"/>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EXPUNERE DE MOTIVE</w:t>
      </w:r>
    </w:p>
    <w:p>
      <w:pPr>
        <w:pStyle w:val="ManualHeading1"/>
        <w:rPr>
          <w:noProof/>
        </w:rPr>
      </w:pPr>
      <w:r>
        <w:rPr>
          <w:noProof/>
        </w:rPr>
        <w:t>1.</w:t>
      </w:r>
      <w:r>
        <w:rPr>
          <w:noProof/>
        </w:rPr>
        <w:tab/>
        <w:t>CONTEXTUL RECOMANDĂRII</w:t>
      </w:r>
    </w:p>
    <w:p>
      <w:pPr>
        <w:pStyle w:val="ManualHeading2"/>
        <w:rPr>
          <w:rFonts w:eastAsia="Arial Unicode MS"/>
          <w:noProof/>
        </w:rPr>
      </w:pPr>
      <w:r>
        <w:rPr>
          <w:noProof/>
          <w:color w:val="000000"/>
          <w:u w:color="000000"/>
          <w:bdr w:val="nil"/>
        </w:rPr>
        <w:t>•</w:t>
      </w:r>
      <w:r>
        <w:rPr>
          <w:noProof/>
        </w:rPr>
        <w:tab/>
        <w:t>Motivele și obiectivele recomandării</w:t>
      </w:r>
    </w:p>
    <w:p>
      <w:pPr>
        <w:pBdr>
          <w:top w:val="nil"/>
          <w:left w:val="nil"/>
          <w:bottom w:val="nil"/>
          <w:right w:val="nil"/>
          <w:between w:val="nil"/>
          <w:bar w:val="nil"/>
        </w:pBdr>
        <w:spacing w:after="240"/>
        <w:rPr>
          <w:rFonts w:eastAsia="Arial Unicode MS"/>
          <w:noProof/>
          <w:szCs w:val="24"/>
        </w:rPr>
      </w:pPr>
      <w:r>
        <w:rPr>
          <w:noProof/>
        </w:rPr>
        <w:t xml:space="preserve">Într-o lume globalizată, în care infracțiunile grave și terorismul au un caracter transnațional și polivalent din ce în ce mai pronunțat, autoritățile de aplicare a legii și autoritățile judiciare ar trebui să dispună de toate mijloacele necesare pentru a coopera cu partenerii externi în vederea asigurării securității cetățenilor din țările lor. În consecință, rolul Eurojust de facilitator al cooperării judiciare cu țările terțe ar trebui dezvoltat în continuare, deoarece o astfel de cooperare este esențială pentru colectarea de probe în vederea unor urmăriri penale reușite și pentru aducerea membrilor rețelelor infracționale în fața justiției. În acest scop, Comisia revizuiește în prezent mandatul Eurojust pentru a consolida și mai mult rolul său și sprijinul acordat autorităților naționale competente cu privire la facilitarea cooperării judiciare cu țările terțe. </w:t>
      </w:r>
    </w:p>
    <w:p>
      <w:pPr>
        <w:pBdr>
          <w:top w:val="nil"/>
          <w:left w:val="nil"/>
          <w:bottom w:val="nil"/>
          <w:right w:val="nil"/>
          <w:between w:val="nil"/>
          <w:bar w:val="nil"/>
        </w:pBdr>
        <w:spacing w:after="240"/>
        <w:rPr>
          <w:rFonts w:eastAsia="Arial Unicode MS"/>
          <w:noProof/>
          <w:szCs w:val="24"/>
        </w:rPr>
      </w:pPr>
      <w:r>
        <w:rPr>
          <w:noProof/>
        </w:rPr>
        <w:t xml:space="preserve">Importanța schimbului de informații și a colaborării strânse cu partenerii internaționali a fost subliniată în mod constant în diferitele strategii și planuri de acțiune adoptate de Comisia Europeană în ultimii ani. De exemplu, </w:t>
      </w:r>
      <w:r>
        <w:rPr>
          <w:i/>
          <w:noProof/>
        </w:rPr>
        <w:t>Strategia UE de combatere a criminalității organizate (2021-2025)</w:t>
      </w:r>
      <w:r>
        <w:rPr>
          <w:rStyle w:val="FootnoteReference"/>
          <w:noProof/>
        </w:rPr>
        <w:footnoteReference w:id="1"/>
      </w:r>
      <w:r>
        <w:rPr>
          <w:noProof/>
        </w:rPr>
        <w:t xml:space="preserve"> subliniază complexitatea tot mai mare a noilor grupuri infracționale și a structurilor lor transnaționale, bazate pe rețele. </w:t>
      </w:r>
      <w:r>
        <w:rPr>
          <w:i/>
          <w:noProof/>
        </w:rPr>
        <w:t>ProtectEU: o strategie europeană de securitate internă</w:t>
      </w:r>
      <w:r>
        <w:rPr>
          <w:rStyle w:val="FootnoteReference"/>
          <w:noProof/>
        </w:rPr>
        <w:footnoteReference w:id="2"/>
      </w:r>
      <w:r>
        <w:rPr>
          <w:noProof/>
        </w:rPr>
        <w:t>, prezentată la 1 aprilie 2025, urmărește să unifice cadrele de securitate existente, consolidând în același timp și mai mult capacitatea Eurojust de a combate formele grave de criminalitate transfrontalieră și extinzând setul său de instrumente operaționale.</w:t>
      </w:r>
    </w:p>
    <w:p>
      <w:pPr>
        <w:pBdr>
          <w:top w:val="nil"/>
          <w:left w:val="nil"/>
          <w:bottom w:val="nil"/>
          <w:right w:val="nil"/>
          <w:between w:val="nil"/>
          <w:bar w:val="nil"/>
        </w:pBdr>
        <w:spacing w:after="240"/>
        <w:rPr>
          <w:rFonts w:eastAsia="Arial Unicode MS"/>
          <w:noProof/>
          <w:szCs w:val="24"/>
        </w:rPr>
      </w:pPr>
      <w:r>
        <w:rPr>
          <w:noProof/>
        </w:rPr>
        <w:t>În vederea îndeplinirii în mod eficace a acestor sarcini, cooperarea Eurojust cu țările din afara Uniunii Europene ar trebui consolidată în continuare prin încheierea de acorduri internaționale care să consolideze colaborarea judiciară cu agenția. Acordurile menționate aduc o contribuție deosebit de importantă la combaterea criminalității transnaționale, deoarece permit schimbul rapid de date cu caracter personal și detașarea unui procuror de legătură din țara parteneră în cadrul Eurojust. Astfel de măsuri oferă Eurojust instrumente esențiale, cum ar fi echipele comune de anchetă, pentru a intensifica cooperarea operațională cu partenerii săi internaționali. Eurojust dispune în prezent de 12 acorduri de cooperare care permit schimbul sistematic de date cu caracter personal cu Muntenegru, Ucraina, Moldova, Liechtenstein, Elveția, Macedonia de Nord, SUA, Islanda, Norvegia, Georgia, Albania și Serbia. În temeiul articolului 80 alineatul (5) din Regulamentul 2018/1727</w:t>
      </w:r>
      <w:r>
        <w:rPr>
          <w:rStyle w:val="FootnoteReference"/>
          <w:noProof/>
        </w:rPr>
        <w:footnoteReference w:id="3"/>
      </w:r>
      <w:r>
        <w:rPr>
          <w:noProof/>
        </w:rPr>
        <w:t xml:space="preserve"> („Regulamentul privind Eurojust”), aceste acorduri de cooperare rămân valabile. </w:t>
      </w:r>
    </w:p>
    <w:p>
      <w:pPr>
        <w:pBdr>
          <w:top w:val="nil"/>
          <w:left w:val="nil"/>
          <w:bottom w:val="nil"/>
          <w:right w:val="nil"/>
          <w:between w:val="nil"/>
          <w:bar w:val="nil"/>
        </w:pBdr>
        <w:spacing w:after="240"/>
        <w:rPr>
          <w:rFonts w:eastAsia="Arial Unicode MS"/>
          <w:noProof/>
          <w:szCs w:val="24"/>
        </w:rPr>
      </w:pPr>
      <w:r>
        <w:rPr>
          <w:noProof/>
        </w:rPr>
        <w:t>De la 12 decembrie 2019, dată de la care se aplică Regulamentul privind Eurojust, și în temeiul tratatului, Comisia este responsabilă, în numele Uniunii, de negocierea acordurilor internaționale cu țările terțe privind cooperarea cu Eurojust. Deși Eurojust poate stabili și întreține în mod independent relații de cooperare cu parteneri externi prin intermediul unor acorduri de lucru, în conformitate cu capitolul V din regulament, aceste acorduri în sine nu oferă un temei juridic pentru schimbul de date operaționale cu caracter personal. Acestea permit Eurojust să inițieze contacte instituționale cu autoritățile competente din țările partenere, dar sunt insuficiente în sine pentru a permite o cooperare judiciară eficace.</w:t>
      </w:r>
    </w:p>
    <w:p>
      <w:pPr>
        <w:pBdr>
          <w:top w:val="nil"/>
          <w:left w:val="nil"/>
          <w:bottom w:val="nil"/>
          <w:right w:val="nil"/>
          <w:between w:val="nil"/>
          <w:bar w:val="nil"/>
        </w:pBdr>
        <w:spacing w:after="240"/>
        <w:rPr>
          <w:rFonts w:eastAsia="Arial Unicode MS"/>
          <w:noProof/>
          <w:szCs w:val="24"/>
        </w:rPr>
      </w:pPr>
      <w:r>
        <w:rPr>
          <w:noProof/>
        </w:rPr>
        <w:lastRenderedPageBreak/>
        <w:t>Acesta este motivul pentru care, la 1 martie 2021, Consiliul a autorizat Comisia să negocieze acorduri internaționale cu 13 state terțe (</w:t>
      </w:r>
      <w:r>
        <w:rPr>
          <w:i/>
          <w:noProof/>
        </w:rPr>
        <w:t>Algeria, Argentina, Armenia, Bosnia și Herțegovina, Brazilia, Columbia, Egipt, Israel, Iordania, Liban, Maroc, Tunisia și Turcia</w:t>
      </w:r>
      <w:r>
        <w:rPr>
          <w:noProof/>
        </w:rPr>
        <w:t>) privind cooperarea judiciară dintre Eurojust și autoritățile competente din aceste state. De atunci, Uniunea Europeană a încheiat acorduri cu Armenia</w:t>
      </w:r>
      <w:r>
        <w:rPr>
          <w:rStyle w:val="FootnoteReference"/>
          <w:noProof/>
        </w:rPr>
        <w:footnoteReference w:id="4"/>
      </w:r>
      <w:r>
        <w:rPr>
          <w:noProof/>
        </w:rPr>
        <w:t>, Bosnia și Herțegovina</w:t>
      </w:r>
      <w:r>
        <w:rPr>
          <w:rStyle w:val="FootnoteReference"/>
          <w:noProof/>
        </w:rPr>
        <w:footnoteReference w:id="5"/>
      </w:r>
      <w:r>
        <w:rPr>
          <w:noProof/>
        </w:rPr>
        <w:t>, precum și cu Libanul</w:t>
      </w:r>
      <w:r>
        <w:rPr>
          <w:rStyle w:val="FootnoteReference"/>
          <w:noProof/>
        </w:rPr>
        <w:footnoteReference w:id="6"/>
      </w:r>
      <w:r>
        <w:rPr>
          <w:noProof/>
        </w:rPr>
        <w:t>. În plus, negocierile cu Algeria s-au încheiat, textul fiind convenit la nivel tehnic în cadrul Consiliului în martie 2026. Comisia a finalizat negocierile cu Columbia în iunie 2026. Dispozițiile care reglementează cooperarea dintre autoritățile competente din Regatul Unit și Eurojust fac parte din Acordul comercial și de cooperare (ACC)</w:t>
      </w:r>
      <w:r>
        <w:rPr>
          <w:rStyle w:val="FootnoteReference"/>
          <w:noProof/>
        </w:rPr>
        <w:footnoteReference w:id="7"/>
      </w:r>
      <w:r>
        <w:rPr>
          <w:noProof/>
        </w:rPr>
        <w:t>.</w:t>
      </w:r>
    </w:p>
    <w:p>
      <w:pPr>
        <w:pBdr>
          <w:top w:val="nil"/>
          <w:left w:val="nil"/>
          <w:bottom w:val="nil"/>
          <w:right w:val="nil"/>
          <w:between w:val="nil"/>
          <w:bar w:val="nil"/>
        </w:pBdr>
        <w:spacing w:after="240"/>
        <w:rPr>
          <w:rFonts w:eastAsia="Arial Unicode MS"/>
          <w:noProof/>
          <w:szCs w:val="24"/>
        </w:rPr>
      </w:pPr>
      <w:r>
        <w:rPr>
          <w:noProof/>
        </w:rPr>
        <w:t>Ținând seama de strategiile politice, de nevoile operaționale ale autorităților judiciare din întreaga Uniune Europeană și de beneficiile potențiale ale unei cooperări mai strânse la nivel mondial, Comisia consideră că este necesar să solicite autorizația de a negocia acorduri internaționale cu alte țări terțe pentru a consolida cooperarea Eurojust cu autoritățile lor competente în ceea ce privește investigarea și urmărirea penală a infracțiunilor transfrontaliere grave. Motivele pentru care Comisia propune cele opt țări [Bolivia, Canada, Chile, Costa Rica, Ecuador, Panama, Peru și Emiratele Arabe Unite (EAU)] se bazează pe evaluarea sa cu privire la țările prioritare în conformitate cu criteriile descrise în continuare.</w:t>
      </w:r>
    </w:p>
    <w:p>
      <w:pPr>
        <w:pBdr>
          <w:top w:val="nil"/>
          <w:left w:val="nil"/>
          <w:bottom w:val="nil"/>
          <w:right w:val="nil"/>
          <w:between w:val="nil"/>
          <w:bar w:val="nil"/>
        </w:pBdr>
        <w:spacing w:after="240"/>
        <w:rPr>
          <w:rFonts w:eastAsia="Arial Unicode MS"/>
          <w:noProof/>
          <w:szCs w:val="24"/>
        </w:rPr>
      </w:pPr>
      <w:r>
        <w:rPr>
          <w:noProof/>
        </w:rPr>
        <w:t xml:space="preserve">Un criteriu esențial este </w:t>
      </w:r>
      <w:r>
        <w:rPr>
          <w:b/>
          <w:noProof/>
        </w:rPr>
        <w:t>nevoia operațională</w:t>
      </w:r>
      <w:r>
        <w:rPr>
          <w:noProof/>
        </w:rPr>
        <w:t xml:space="preserve"> a Eurojust, astfel cum este prevăzută în strategia sa privind cooperarea cu partenerii internaționali pentru perioada 2024-2027</w:t>
      </w:r>
      <w:r>
        <w:rPr>
          <w:rStyle w:val="FootnoteReference"/>
          <w:rFonts w:eastAsia="Arial Unicode MS"/>
          <w:noProof/>
          <w:szCs w:val="24"/>
        </w:rPr>
        <w:footnoteReference w:id="8"/>
      </w:r>
      <w:r>
        <w:rPr>
          <w:noProof/>
        </w:rPr>
        <w:t>. În strategia respectivă, prezentată Comisiei în vederea revizuirii în temeiul articolului 52 alineatul (1) din Regulamentul privind Eurojust, agenția a identificat existența unei nevoi operaționale deosebite de cooperare cu Bolivia, Ecuador, Mexic, Nigeria, Peru și EAU. Canada, Panama și EAU fuseseră deja identificate în strategia anterioară a Eurojust (2020-2024), iar relevanța lor operațională a fost reiterată în cea mai recentă strategie. Alte evaluări ale Eurojust au indicat existența unei nevoi operaționale de a consolida cooperarea cu alte țări, inclusiv Chile și Costa Rica. Pentru aceste două țări, Eurojust a identificat o creștere exponențială a numărului de cereri de coordonare și cooperare judiciară, de la 5 în 2024 la 27 în 2025. Numărul de cazuri complexe (și anume cele care necesită mai multe reuniuni de coordonare sau înființarea de echipe comune de anchetă) a crescut, de asemenea, în mod similar, de la zero în 2023 la șase în 2025.</w:t>
      </w:r>
    </w:p>
    <w:p>
      <w:pPr>
        <w:pBdr>
          <w:top w:val="nil"/>
          <w:left w:val="nil"/>
          <w:bottom w:val="nil"/>
          <w:right w:val="nil"/>
          <w:between w:val="nil"/>
          <w:bar w:val="nil"/>
        </w:pBdr>
        <w:spacing w:after="240"/>
        <w:rPr>
          <w:rFonts w:eastAsia="Arial Unicode MS"/>
          <w:noProof/>
          <w:szCs w:val="24"/>
        </w:rPr>
      </w:pPr>
      <w:r>
        <w:rPr>
          <w:noProof/>
        </w:rPr>
        <w:t xml:space="preserve">Un alt criteriu este </w:t>
      </w:r>
      <w:r>
        <w:rPr>
          <w:b/>
          <w:noProof/>
        </w:rPr>
        <w:t>interesul țării terțe</w:t>
      </w:r>
      <w:r>
        <w:rPr>
          <w:noProof/>
        </w:rPr>
        <w:t xml:space="preserve"> de a încheia astfel de acorduri. În acest sens, interacțiunile recente la nivel înalt arată că state precum Canada, Chile, Costa Rica, Ecuador, Panama, Peru și Emiratele Arabe Unite au manifestat un interes deosebit pentru negocierea unui acord de cooperare cu Eurojust.</w:t>
      </w:r>
    </w:p>
    <w:p>
      <w:pPr>
        <w:pBdr>
          <w:top w:val="nil"/>
          <w:left w:val="nil"/>
          <w:bottom w:val="nil"/>
          <w:right w:val="nil"/>
          <w:between w:val="nil"/>
          <w:bar w:val="nil"/>
        </w:pBdr>
        <w:spacing w:after="240"/>
        <w:rPr>
          <w:rFonts w:eastAsia="Arial Unicode MS"/>
          <w:noProof/>
          <w:szCs w:val="24"/>
        </w:rPr>
      </w:pPr>
      <w:r>
        <w:rPr>
          <w:noProof/>
        </w:rPr>
        <w:t xml:space="preserve">Un criteriu </w:t>
      </w:r>
      <w:r>
        <w:rPr>
          <w:b/>
          <w:noProof/>
        </w:rPr>
        <w:t>strategic</w:t>
      </w:r>
      <w:r>
        <w:rPr>
          <w:noProof/>
        </w:rPr>
        <w:t xml:space="preserve"> esențial este consolidarea cooperării cu acele țări terțe care pot avea un impact semnificativ asupra </w:t>
      </w:r>
      <w:r>
        <w:rPr>
          <w:b/>
          <w:noProof/>
        </w:rPr>
        <w:t>securității</w:t>
      </w:r>
      <w:r>
        <w:rPr>
          <w:noProof/>
        </w:rPr>
        <w:t xml:space="preserve"> europene. Acest lucru poate rezulta din considerente geografice sau strategice, ca în cazul țărilor din America Latină, pentru a aborda amenințările comune la adresa securității, în special în domeniul criminalității organizate, al traficului de droguri și al criminalității informatice, astfel cum a subliniat Comisia în ProtectEU: o strategie europeană de securitate internă</w:t>
      </w:r>
      <w:r>
        <w:rPr>
          <w:rStyle w:val="FootnoteReference"/>
          <w:noProof/>
        </w:rPr>
        <w:footnoteReference w:id="9"/>
      </w:r>
      <w:r>
        <w:rPr>
          <w:noProof/>
        </w:rPr>
        <w:t>. Utilitatea operațională poate rezulta, de asemenea, din interesul reciproc, în special în cazul în care există deja o cooperare eficace. De exemplu, Canada primește un volum mare de cereri de asistență judiciară din partea statelor membre, ceea ce reflectă importanța sa ca partener în tratarea cazurilor transfrontaliere.</w:t>
      </w:r>
    </w:p>
    <w:p>
      <w:pPr>
        <w:pBdr>
          <w:top w:val="nil"/>
          <w:left w:val="nil"/>
          <w:bottom w:val="nil"/>
          <w:right w:val="nil"/>
          <w:between w:val="nil"/>
          <w:bar w:val="nil"/>
        </w:pBdr>
        <w:spacing w:after="240"/>
        <w:rPr>
          <w:rFonts w:eastAsia="Arial Unicode MS"/>
          <w:noProof/>
          <w:szCs w:val="24"/>
        </w:rPr>
      </w:pPr>
      <w:r>
        <w:rPr>
          <w:noProof/>
        </w:rPr>
        <w:t>Cea mai mare parte a țărilor propuse sunt din America Latină. Acest lucru este în concordanță nu numai cu ProtectEU: o strategie europeană de securitate internă, ci și cu prioritatea indicată chiar de Eurojust (în strategia sa internațională) și se reflectă prin semnarea diferitelor acorduri de lucru, în special cu țările din America Latină</w:t>
      </w:r>
      <w:r>
        <w:rPr>
          <w:rStyle w:val="FootnoteReference"/>
          <w:noProof/>
        </w:rPr>
        <w:footnoteReference w:id="10"/>
      </w:r>
      <w:r>
        <w:rPr>
          <w:noProof/>
        </w:rPr>
        <w:t>, inclusiv cu toate cele șase țări din America Latină vizate de prezenta recomandare. În plus, Eurojust a semnat un acord de lucru cu rețeaua regională „Asociația ibero-americană a parchetelor” (AIAMP), reprezentând 22 de ministere publice ibero-americane, și un memorandum de înțelegere cu Rețeaua ibero­americană de cooperare judiciară internațională (IberRed), prin care se acordă acces la sistemul de comunicații securizate Iber@. Prin aceste eforturi, agenția Uniunii Europene urmărește să sprijine combaterea comerțului internațional cu droguri provenite din America de Sud, care afectează din ce în ce mai mult securitatea Uniunii Europene</w:t>
      </w:r>
      <w:r>
        <w:rPr>
          <w:rStyle w:val="FootnoteReference"/>
          <w:noProof/>
        </w:rPr>
        <w:footnoteReference w:id="11"/>
      </w:r>
      <w:r>
        <w:rPr>
          <w:noProof/>
        </w:rPr>
        <w:t>.</w:t>
      </w:r>
    </w:p>
    <w:p>
      <w:pPr>
        <w:pBdr>
          <w:top w:val="nil"/>
          <w:left w:val="nil"/>
          <w:bottom w:val="nil"/>
          <w:right w:val="nil"/>
          <w:between w:val="nil"/>
          <w:bar w:val="nil"/>
        </w:pBdr>
        <w:spacing w:after="240"/>
        <w:rPr>
          <w:rFonts w:eastAsia="Arial Unicode MS"/>
          <w:noProof/>
        </w:rPr>
      </w:pPr>
      <w:r>
        <w:rPr>
          <w:noProof/>
        </w:rPr>
        <w:t xml:space="preserve">Un alt factor important este existența unei </w:t>
      </w:r>
      <w:r>
        <w:rPr>
          <w:b/>
          <w:noProof/>
        </w:rPr>
        <w:t>convergențe suficiente în materie de reglementare</w:t>
      </w:r>
      <w:r>
        <w:rPr>
          <w:noProof/>
        </w:rPr>
        <w:t xml:space="preserve"> cu țara terță pentru a permite cooperarea operațională cu agențiile Uniunii Europene. Acest lucru se referă, în special, la respectarea statului de drept, a drepturilor fundamentale (inclusiv interzicerea pedepsei cu moartea) și a standardelor de protecție a datelor. Printre țările cu cea mai mare relevanță operațională sau care prezintă cel mai mare interes pentru cooperarea cu Eurojust, ar trebui să se acorde prioritate celor care demonstrează un grad ridicat de convergență sau celor ale căror standarde sunt în curs de aliniere cu standardele Uniunii Europene (în special cu Directiva privind protecția datelor în materie de asigurare a respectării legii</w:t>
      </w:r>
      <w:r>
        <w:rPr>
          <w:rStyle w:val="FootnoteReference"/>
          <w:rFonts w:eastAsia="Arial Unicode MS"/>
          <w:noProof/>
          <w:szCs w:val="24"/>
        </w:rPr>
        <w:footnoteReference w:id="12"/>
      </w:r>
      <w:r>
        <w:rPr>
          <w:noProof/>
        </w:rPr>
        <w:t>), și anume Canada, Chile, Costa Rica, Panama și Peru.</w:t>
      </w:r>
    </w:p>
    <w:p>
      <w:pPr>
        <w:pBdr>
          <w:top w:val="nil"/>
          <w:left w:val="nil"/>
          <w:bottom w:val="nil"/>
          <w:right w:val="nil"/>
          <w:between w:val="nil"/>
          <w:bar w:val="nil"/>
        </w:pBdr>
        <w:spacing w:after="240"/>
        <w:rPr>
          <w:rFonts w:eastAsia="Arial Unicode MS"/>
          <w:noProof/>
        </w:rPr>
      </w:pPr>
      <w:r>
        <w:rPr>
          <w:noProof/>
        </w:rPr>
        <w:t xml:space="preserve">În cele din urmă, un alt factor-cheie este asigurarea </w:t>
      </w:r>
      <w:r>
        <w:rPr>
          <w:b/>
          <w:noProof/>
        </w:rPr>
        <w:t>coerenței</w:t>
      </w:r>
      <w:r>
        <w:rPr>
          <w:noProof/>
        </w:rPr>
        <w:t xml:space="preserve"> în relațiile </w:t>
      </w:r>
      <w:r>
        <w:rPr>
          <w:b/>
          <w:noProof/>
        </w:rPr>
        <w:t>agențiilor și organismelor din domeniul justiției și afacerilor interne (JAI)</w:t>
      </w:r>
      <w:r>
        <w:rPr>
          <w:noProof/>
        </w:rPr>
        <w:t xml:space="preserve"> cu țările terțe, în special în rândul Europol, al Parchetului European (EPPO) și al Eurojust. În acest sens, în </w:t>
      </w:r>
      <w:r>
        <w:rPr>
          <w:i/>
          <w:noProof/>
        </w:rPr>
        <w:t>ProtectEU: o strategie europeană de securitate internă</w:t>
      </w:r>
      <w:r>
        <w:rPr>
          <w:rStyle w:val="FootnoteReference"/>
          <w:noProof/>
        </w:rPr>
        <w:footnoteReference w:id="13"/>
      </w:r>
      <w:r>
        <w:rPr>
          <w:noProof/>
        </w:rPr>
        <w:t xml:space="preserve">, Comisia subliniază acțiunile pe care le va negocia în vederea încheierii de „acorduri internaționale între UE și țările terțe prioritare privind cooperarea cu Europol și Eurojust;”. În 2023, Consiliul a autorizat Comisia să negocieze acorduri internaționale privind cooperarea în materie de asigurare a respectării legii între Europol și </w:t>
      </w:r>
      <w:r>
        <w:rPr>
          <w:i/>
          <w:noProof/>
        </w:rPr>
        <w:t>Bolivia, Ecuador, Mexic, Peru și Brazilia</w:t>
      </w:r>
      <w:r>
        <w:rPr>
          <w:noProof/>
        </w:rPr>
        <w:t>, țări care nu fac obiectul Deciziei Consiliului din 2021 de autorizare a negocierii unor acorduri privind cooperarea cu Eurojust. Uniunea Europeană a semnat acorduri internaționale privind cooperarea dintre Europol și autoritățile polițienești din Ecuador</w:t>
      </w:r>
      <w:r>
        <w:rPr>
          <w:rStyle w:val="FootnoteReference"/>
          <w:rFonts w:eastAsia="Arial Unicode MS"/>
          <w:noProof/>
          <w:lang w:bidi="en-US"/>
        </w:rPr>
        <w:footnoteReference w:id="14"/>
      </w:r>
      <w:r>
        <w:rPr>
          <w:noProof/>
        </w:rPr>
        <w:t xml:space="preserve"> și Brazilia, care sunt în curs de încheiere. Ar fi logic ca următoarea etapă să fie de a acorda Comisiei autorizația de a negocia acorduri cu Bolivia, Canada, Chile, Costa Rica, Panama, Peru și Emiratele Arabe Unite privind cooperarea cu Eurojust, ceea ce ar permite raționalizarea și consolidarea în continuare a asigurării respectării legii și a cooperării judiciare.</w:t>
      </w:r>
    </w:p>
    <w:p>
      <w:pPr>
        <w:pBdr>
          <w:top w:val="nil"/>
          <w:left w:val="nil"/>
          <w:bottom w:val="nil"/>
          <w:right w:val="nil"/>
          <w:between w:val="nil"/>
          <w:bar w:val="nil"/>
        </w:pBdr>
        <w:spacing w:after="240"/>
        <w:rPr>
          <w:rFonts w:eastAsia="Arial Unicode MS"/>
          <w:noProof/>
          <w:szCs w:val="24"/>
        </w:rPr>
      </w:pPr>
      <w:r>
        <w:rPr>
          <w:noProof/>
        </w:rPr>
        <w:t>Prin urmare, aplicând aceste criterii, Comisia recomandă Consiliului să autorizeze deschiderea negocierilor cu următoarele opt state terțe:</w:t>
      </w:r>
    </w:p>
    <w:p>
      <w:pPr>
        <w:pBdr>
          <w:top w:val="nil"/>
          <w:left w:val="nil"/>
          <w:bottom w:val="nil"/>
          <w:right w:val="nil"/>
          <w:between w:val="nil"/>
          <w:bar w:val="nil"/>
        </w:pBdr>
        <w:spacing w:after="240"/>
        <w:rPr>
          <w:rFonts w:eastAsia="Arial Unicode MS"/>
          <w:noProof/>
          <w:szCs w:val="24"/>
          <w:u w:val="single"/>
        </w:rPr>
      </w:pPr>
      <w:r>
        <w:rPr>
          <w:noProof/>
          <w:u w:val="single"/>
        </w:rPr>
        <w:t>Bolivia</w:t>
      </w:r>
    </w:p>
    <w:p>
      <w:pPr>
        <w:pBdr>
          <w:top w:val="nil"/>
          <w:left w:val="nil"/>
          <w:bottom w:val="nil"/>
          <w:right w:val="nil"/>
          <w:between w:val="nil"/>
          <w:bar w:val="nil"/>
        </w:pBdr>
        <w:spacing w:after="240"/>
        <w:rPr>
          <w:rFonts w:eastAsia="Arial Unicode MS"/>
          <w:noProof/>
          <w:szCs w:val="24"/>
        </w:rPr>
      </w:pPr>
      <w:r>
        <w:rPr>
          <w:noProof/>
        </w:rPr>
        <w:t>Consolidarea cooperării dintre Eurojust și Bolivia este importantă din punct de vedere strategic, în special în ceea ce privește producția și traficul de droguri. Întrucât Bolivia ocupă locul al treilea în lume într-un clasament al producătorilor de cocaină, este utilizată ca punct critic de tranzit și de acces pentru introducerea ilegală de stupefiante în Europa, facilitând operațiunile rețelelor de criminalitate organizată.</w:t>
      </w:r>
    </w:p>
    <w:p>
      <w:pPr>
        <w:pBdr>
          <w:top w:val="nil"/>
          <w:left w:val="nil"/>
          <w:bottom w:val="nil"/>
          <w:right w:val="nil"/>
          <w:between w:val="nil"/>
          <w:bar w:val="nil"/>
        </w:pBdr>
        <w:spacing w:after="240"/>
        <w:rPr>
          <w:rFonts w:eastAsia="Arial Unicode MS"/>
          <w:noProof/>
          <w:szCs w:val="24"/>
        </w:rPr>
      </w:pPr>
      <w:r>
        <w:rPr>
          <w:noProof/>
        </w:rPr>
        <w:t>Evoluțiile recente demonstrează angajamentul ferm al Boliviei de a-și consolida legăturile cu Eurojust atât la nivel strategic, cât și operațional. Bolivia a desemnat un punct de contact cu Eurojust și a participat la mai multe reuniuni operaționale și strategice, precum și la vizite de studiu la Eurojust. Bolivia este considerată drept țară prioritară în Strategia Eurojust privind cooperarea cu partenerii internaționali pentru perioada 2024-2027, reflectând interesele comune în combaterea criminalității legate de droguri. Cadrele existente, cum ar fi Acordul de lucru dintre Bolivia și Eurojust din 2024, oferă o bază solidă pentru colaborarea judiciară. În plus, Bolivia a desemnat un punct de contact Eurojust specific, îmbunătățind și mai mult eficiența cererilor de cooperare judiciară.</w:t>
      </w:r>
    </w:p>
    <w:p>
      <w:pPr>
        <w:pBdr>
          <w:top w:val="nil"/>
          <w:left w:val="nil"/>
          <w:bottom w:val="nil"/>
          <w:right w:val="nil"/>
          <w:between w:val="nil"/>
          <w:bar w:val="nil"/>
        </w:pBdr>
        <w:spacing w:after="240"/>
        <w:rPr>
          <w:rFonts w:eastAsia="Arial Unicode MS"/>
          <w:noProof/>
          <w:szCs w:val="24"/>
        </w:rPr>
      </w:pPr>
      <w:r>
        <w:rPr>
          <w:noProof/>
        </w:rPr>
        <w:t>De asemenea, țara participă activ la mecanismul de cooperare consolidată sprijinit de Eurojust și de programul EL PAcCTO</w:t>
      </w:r>
      <w:r>
        <w:rPr>
          <w:rStyle w:val="FootnoteReference"/>
          <w:rFonts w:eastAsia="Arial Unicode MS"/>
          <w:noProof/>
          <w:szCs w:val="24"/>
        </w:rPr>
        <w:footnoteReference w:id="15"/>
      </w:r>
      <w:r>
        <w:rPr>
          <w:noProof/>
        </w:rPr>
        <w:t>. Acest instrument oferă un cadru pentru cooperarea regulată cu țările din America Latină care au semnat un acord de lucru sau un alt instrument de cooperare cu Eurojust. Mecanismul include atât o componentă europeană coordonată de Eurojust, cât și o componentă intra-latino-americană coordonată de EL PAcCTO și de parchetele din țările semnatare.</w:t>
      </w:r>
    </w:p>
    <w:p>
      <w:pPr>
        <w:pBdr>
          <w:top w:val="nil"/>
          <w:left w:val="nil"/>
          <w:bottom w:val="nil"/>
          <w:right w:val="nil"/>
          <w:between w:val="nil"/>
          <w:bar w:val="nil"/>
        </w:pBdr>
        <w:spacing w:after="240"/>
        <w:rPr>
          <w:rFonts w:eastAsia="Arial Unicode MS"/>
          <w:noProof/>
          <w:szCs w:val="24"/>
        </w:rPr>
      </w:pPr>
      <w:r>
        <w:rPr>
          <w:noProof/>
        </w:rPr>
        <w:t>Toate acestea subliniază disponibilitatea Boliviei de a se implica în inițiative internaționale în domeniul justiției și asigură o cooperare operațională la standardele UE.</w:t>
      </w:r>
    </w:p>
    <w:p>
      <w:pPr>
        <w:pBdr>
          <w:top w:val="nil"/>
          <w:left w:val="nil"/>
          <w:bottom w:val="nil"/>
          <w:right w:val="nil"/>
          <w:between w:val="nil"/>
          <w:bar w:val="nil"/>
        </w:pBdr>
        <w:spacing w:after="240"/>
        <w:rPr>
          <w:rFonts w:eastAsia="Arial Unicode MS"/>
          <w:noProof/>
          <w:szCs w:val="24"/>
        </w:rPr>
      </w:pPr>
      <w:r>
        <w:rPr>
          <w:noProof/>
        </w:rPr>
        <w:t>Bolivia este, de asemenea, implicată activ în rețelele judiciare regionale, inclusiv IberRed și Asociația ibero-americană a parchetelor (AIAMP), ceea ce consolidează fundamentul cooperării. Eurojust a instituit instrumente de colaborare cu aceste rețele, consolidând și mai mult statutul Boliviei de partener important din punct de vedere strategic.</w:t>
      </w:r>
    </w:p>
    <w:p>
      <w:pPr>
        <w:pBdr>
          <w:top w:val="nil"/>
          <w:left w:val="nil"/>
          <w:bottom w:val="nil"/>
          <w:right w:val="nil"/>
          <w:between w:val="nil"/>
          <w:bar w:val="nil"/>
        </w:pBdr>
        <w:spacing w:after="240"/>
        <w:rPr>
          <w:rFonts w:eastAsia="Arial Unicode MS"/>
          <w:noProof/>
          <w:szCs w:val="24"/>
          <w:u w:val="single"/>
        </w:rPr>
      </w:pPr>
      <w:r>
        <w:rPr>
          <w:noProof/>
          <w:u w:val="single"/>
        </w:rPr>
        <w:t>Canada</w:t>
      </w:r>
    </w:p>
    <w:p>
      <w:pPr>
        <w:pBdr>
          <w:top w:val="nil"/>
          <w:left w:val="nil"/>
          <w:bottom w:val="nil"/>
          <w:right w:val="nil"/>
          <w:between w:val="nil"/>
          <w:bar w:val="nil"/>
        </w:pBdr>
        <w:spacing w:after="240"/>
        <w:rPr>
          <w:rFonts w:eastAsia="Arial Unicode MS"/>
          <w:noProof/>
          <w:szCs w:val="24"/>
        </w:rPr>
      </w:pPr>
      <w:r>
        <w:rPr>
          <w:noProof/>
        </w:rPr>
        <w:t>Consolidarea cooperării dintre Eurojust și Canada are o relevanță strategică și operațională semnificativă, în special în domeniul traficului de droguri, al fraudei, al spălării banilor și al criminalității informatice. Canada și Uniunea Europeană sunt din ce în ce mai afectate de infracțiuni sofisticate facilitate prin mijloace informatice, comise de grupuri infracționale organizate care își desfășoară activitatea în mai multe regiuni. Canada este identificată ca partener prioritar în Strategia Eurojust privind cooperarea cu partenerii internaționali pentru perioada 2024-2027, reflectând interesele reciproce puternice în aprofundarea colaborării judiciare.</w:t>
      </w:r>
    </w:p>
    <w:p>
      <w:pPr>
        <w:pBdr>
          <w:top w:val="nil"/>
          <w:left w:val="nil"/>
          <w:bottom w:val="nil"/>
          <w:right w:val="nil"/>
          <w:between w:val="nil"/>
          <w:bar w:val="nil"/>
        </w:pBdr>
        <w:spacing w:after="240"/>
        <w:rPr>
          <w:rFonts w:eastAsia="Arial Unicode MS"/>
          <w:noProof/>
          <w:szCs w:val="24"/>
        </w:rPr>
      </w:pPr>
      <w:r>
        <w:rPr>
          <w:noProof/>
        </w:rPr>
        <w:t>Canada este un partener care împărtășește aceeași viziune, având un grad ridicat de convergență în materie de reglementare în domenii-cheie, inclusiv statul de drept, drepturile fundamentale și garanțiile în materie de protecție a datelor. Cooperarea existentă este deja solidă: Canada se numără printre primele zece țări terțe în ceea ce privește cererile de cooperare judiciară din partea statelor membre ale Uniunii Europene. Acest nivel ridicat de implicare operațională evidențiază necesitatea de a accelera obținerea de probe și de a facilita eventuala detașare a unui procuror de legătură în cadrul Eurojust.</w:t>
      </w:r>
    </w:p>
    <w:p>
      <w:pPr>
        <w:pBdr>
          <w:top w:val="nil"/>
          <w:left w:val="nil"/>
          <w:bottom w:val="nil"/>
          <w:right w:val="nil"/>
          <w:between w:val="nil"/>
          <w:bar w:val="nil"/>
        </w:pBdr>
        <w:spacing w:after="240"/>
        <w:rPr>
          <w:rFonts w:eastAsia="Arial Unicode MS"/>
          <w:noProof/>
          <w:szCs w:val="24"/>
        </w:rPr>
      </w:pPr>
      <w:r>
        <w:rPr>
          <w:noProof/>
        </w:rPr>
        <w:t xml:space="preserve">Autoritățile canadiene au desemnat un punct de contact cu Eurojust și au participat periodic la reuniuni operaționale organizate în cadrul anchetelor și al urmăririlor penale sprijinite de Eurojust privind formele grave de criminalitate și criminalitatea organizată care implică statele membre și Canada. </w:t>
      </w:r>
    </w:p>
    <w:p>
      <w:pPr>
        <w:pBdr>
          <w:top w:val="nil"/>
          <w:left w:val="nil"/>
          <w:bottom w:val="nil"/>
          <w:right w:val="nil"/>
          <w:between w:val="nil"/>
          <w:bar w:val="nil"/>
        </w:pBdr>
        <w:spacing w:after="240"/>
        <w:rPr>
          <w:rFonts w:eastAsia="Arial Unicode MS"/>
          <w:noProof/>
          <w:szCs w:val="24"/>
          <w:u w:val="single"/>
        </w:rPr>
      </w:pPr>
      <w:r>
        <w:rPr>
          <w:noProof/>
          <w:u w:val="single"/>
        </w:rPr>
        <w:t>Chile</w:t>
      </w:r>
    </w:p>
    <w:p>
      <w:pPr>
        <w:pBdr>
          <w:top w:val="nil"/>
          <w:left w:val="nil"/>
          <w:bottom w:val="nil"/>
          <w:right w:val="nil"/>
          <w:between w:val="nil"/>
          <w:bar w:val="nil"/>
        </w:pBdr>
        <w:spacing w:after="240"/>
        <w:rPr>
          <w:rFonts w:eastAsia="Arial Unicode MS"/>
          <w:noProof/>
          <w:szCs w:val="24"/>
        </w:rPr>
      </w:pPr>
      <w:r>
        <w:rPr>
          <w:noProof/>
        </w:rPr>
        <w:t xml:space="preserve">Consolidarea cooperării dintre Eurojust și Chile are o importanță strategică și operațională notabilă, deoarece Chile este din ce în ce mai afectat de traficul de droguri legat de grupurile infracționale organizate care își desfășoară activitatea în Uniunea Europeană. Cooperarea judiciară cu Chile este, de asemenea, esențială pentru combaterea criminalității organizate contra patrimoniului, a criminalității informatice și a spălării banilor. </w:t>
      </w:r>
    </w:p>
    <w:p>
      <w:pPr>
        <w:pBdr>
          <w:top w:val="nil"/>
          <w:left w:val="nil"/>
          <w:bottom w:val="nil"/>
          <w:right w:val="nil"/>
          <w:between w:val="nil"/>
          <w:bar w:val="nil"/>
        </w:pBdr>
        <w:spacing w:after="240"/>
        <w:rPr>
          <w:rFonts w:eastAsia="Arial Unicode MS"/>
          <w:noProof/>
          <w:szCs w:val="24"/>
        </w:rPr>
      </w:pPr>
      <w:r>
        <w:rPr>
          <w:noProof/>
        </w:rPr>
        <w:t>Chile a desemnat un punct de contact cu Eurojust și a participat la mai multe reuniuni operaționale și strategice, precum și la vizite de studiu la Eurojust. Chile este desemnat drept partener prioritar în Strategia Eurojust privind cooperarea cu partenerii internaționali pentru perioada 2024-2027. Un important pas înainte a fost făcut în iulie 2024, când Parchetul General din Chile și Eurojust au semnat un acord de lucru. Acest acord oficializează utilizarea punctelor de contact Eurojust și asigură o comunicare mai strânsă și mai eficientă pentru a accelera cererile de cooperare judiciară între ambele părți. De atunci, cooperarea operațională și strategică a fost consolidată, iar numărul cererilor de asistență care implică Chile și statele membre ale Uniunii Europene a crescut exponențial. Chile a devenit coordonatorul latino-american pentru 2026 al mecanismului de cooperare consolidată sprijinit de Eurojust și de programul EL PAcCTO.</w:t>
      </w:r>
    </w:p>
    <w:p>
      <w:pPr>
        <w:pBdr>
          <w:top w:val="nil"/>
          <w:left w:val="nil"/>
          <w:bottom w:val="nil"/>
          <w:right w:val="nil"/>
          <w:between w:val="nil"/>
          <w:bar w:val="nil"/>
        </w:pBdr>
        <w:spacing w:after="240"/>
        <w:rPr>
          <w:rFonts w:eastAsia="Arial Unicode MS"/>
          <w:noProof/>
          <w:szCs w:val="24"/>
        </w:rPr>
      </w:pPr>
      <w:r>
        <w:rPr>
          <w:noProof/>
        </w:rPr>
        <w:t>Chile este implicat activ în mai multe rețele judiciare regionale, inclusiv IberRed și Asociația ibero-americană a parchetelor (AIAMP). Eurojust a instituit instrumente de cooperare cu ambele rețele. Acest angajament pe mai multe niveluri consolidează și mai mult fundamentul unei cooperări aprofundate cu Chile. Chile manifestă un interes puternic în alinierea standardelor la Uniunea Europeană, de exemplu alinierea legislației privind protecția datelor la Directiva privind protecția datelor în materie de asigurare a respectării legii (cu ajutorul EL PAcCTO).</w:t>
      </w:r>
    </w:p>
    <w:p>
      <w:pPr>
        <w:pBdr>
          <w:top w:val="nil"/>
          <w:left w:val="nil"/>
          <w:bottom w:val="nil"/>
          <w:right w:val="nil"/>
          <w:between w:val="nil"/>
          <w:bar w:val="nil"/>
        </w:pBdr>
        <w:spacing w:after="240"/>
        <w:rPr>
          <w:rFonts w:eastAsia="Arial Unicode MS"/>
          <w:noProof/>
          <w:szCs w:val="24"/>
          <w:u w:val="single"/>
        </w:rPr>
      </w:pPr>
      <w:r>
        <w:rPr>
          <w:noProof/>
          <w:u w:val="single"/>
        </w:rPr>
        <w:t>Costa Rica</w:t>
      </w:r>
    </w:p>
    <w:p>
      <w:pPr>
        <w:pBdr>
          <w:top w:val="nil"/>
          <w:left w:val="nil"/>
          <w:bottom w:val="nil"/>
          <w:right w:val="nil"/>
          <w:between w:val="nil"/>
          <w:bar w:val="nil"/>
        </w:pBdr>
        <w:spacing w:after="240"/>
        <w:rPr>
          <w:rFonts w:eastAsia="Arial Unicode MS"/>
          <w:noProof/>
          <w:szCs w:val="24"/>
        </w:rPr>
      </w:pPr>
      <w:r>
        <w:rPr>
          <w:noProof/>
        </w:rPr>
        <w:t>Consolidarea cooperării dintre Eurojust și Costa Rica are o relevanță operațională din ce în ce mai mare, în special având în vedere expunerea tot mai mare a acestei țări la traficul de droguri și la criminalitatea organizată, determinată parțial de diversificarea rutelor de trafic către UE și de o extindere a fenomenului criminalității organizate. În plus, aceasta, împreună cu Panama, devine un centru pentru întreprinderile private care oferă servicii digitale și, prin urmare, constituie un partener-cheie pentru Eurojust în ceea ce privește probele digitale.</w:t>
      </w:r>
    </w:p>
    <w:p>
      <w:pPr>
        <w:pBdr>
          <w:top w:val="nil"/>
          <w:left w:val="nil"/>
          <w:bottom w:val="nil"/>
          <w:right w:val="nil"/>
          <w:between w:val="nil"/>
          <w:bar w:val="nil"/>
        </w:pBdr>
        <w:spacing w:after="240"/>
        <w:rPr>
          <w:rFonts w:eastAsia="Arial Unicode MS"/>
          <w:noProof/>
          <w:szCs w:val="24"/>
        </w:rPr>
      </w:pPr>
      <w:r>
        <w:rPr>
          <w:noProof/>
        </w:rPr>
        <w:t xml:space="preserve">Costa Rica a desemnat un punct de contact cu Eurojust și a participat la mai multe reuniuni operaționale și strategice, precum și la vizite de studiu la Eurojust. Țara a demonstrat un interes puternic pentru aprofundarea cooperării cu Eurojust și cu Uniunea Europeană în sens mai larg. </w:t>
      </w:r>
      <w:bookmarkStart w:id="0" w:name="_Hlk230862039"/>
      <w:r>
        <w:rPr>
          <w:noProof/>
        </w:rPr>
        <w:t>Un acord de lucru între Costa Rica și Eurojust este deja în vigoare din 2024, iar recentele schimburi la nivel înalt subliniază acest angajament, precum și participarea la mecanismul de cooperare consolidată</w:t>
      </w:r>
      <w:r>
        <w:rPr>
          <w:rStyle w:val="FootnoteReference"/>
          <w:rFonts w:eastAsia="Arial Unicode MS"/>
          <w:noProof/>
          <w:szCs w:val="24"/>
        </w:rPr>
        <w:footnoteReference w:id="16"/>
      </w:r>
      <w:r>
        <w:rPr>
          <w:noProof/>
        </w:rPr>
        <w:t>.</w:t>
      </w:r>
      <w:bookmarkEnd w:id="0"/>
      <w:r>
        <w:rPr>
          <w:noProof/>
        </w:rPr>
        <w:t xml:space="preserve"> Procurorul general participă în mod activ la promovarea unei cooperări judiciare mai strânse. </w:t>
      </w:r>
    </w:p>
    <w:p>
      <w:pPr>
        <w:pBdr>
          <w:top w:val="nil"/>
          <w:left w:val="nil"/>
          <w:bottom w:val="nil"/>
          <w:right w:val="nil"/>
          <w:between w:val="nil"/>
          <w:bar w:val="nil"/>
        </w:pBdr>
        <w:spacing w:after="240"/>
        <w:rPr>
          <w:rFonts w:eastAsia="Arial Unicode MS"/>
          <w:noProof/>
          <w:szCs w:val="24"/>
        </w:rPr>
      </w:pPr>
      <w:r>
        <w:rPr>
          <w:noProof/>
        </w:rPr>
        <w:t>Costa Rica și-a exprimat, de asemenea, interesul de a primi asistență tehnică din partea Uniunii Europene pentru alinierea standardelor judiciare și de protecție a datelor, subliniind și mai mult disponibilitatea sa de a consolida colaborarea în materie de justiție penală.</w:t>
      </w:r>
    </w:p>
    <w:p>
      <w:pPr>
        <w:pBdr>
          <w:top w:val="nil"/>
          <w:left w:val="nil"/>
          <w:bottom w:val="nil"/>
          <w:right w:val="nil"/>
          <w:between w:val="nil"/>
          <w:bar w:val="nil"/>
        </w:pBdr>
        <w:spacing w:after="240"/>
        <w:rPr>
          <w:rFonts w:eastAsia="Arial Unicode MS"/>
          <w:noProof/>
          <w:szCs w:val="24"/>
          <w:u w:val="single"/>
        </w:rPr>
      </w:pPr>
      <w:r>
        <w:rPr>
          <w:noProof/>
          <w:u w:val="single"/>
        </w:rPr>
        <w:t xml:space="preserve">Ecuador </w:t>
      </w:r>
    </w:p>
    <w:p>
      <w:pPr>
        <w:pBdr>
          <w:top w:val="nil"/>
          <w:left w:val="nil"/>
          <w:bottom w:val="nil"/>
          <w:right w:val="nil"/>
          <w:between w:val="nil"/>
          <w:bar w:val="nil"/>
        </w:pBdr>
        <w:spacing w:after="240"/>
        <w:rPr>
          <w:rFonts w:eastAsia="Arial Unicode MS"/>
          <w:noProof/>
          <w:szCs w:val="24"/>
        </w:rPr>
      </w:pPr>
      <w:r>
        <w:rPr>
          <w:noProof/>
        </w:rPr>
        <w:t>Consolidarea cooperării dintre Eurojust și Ecuador este esențială, având în vedere rolul Ecuadorului de important centru de producție și tranzit pentru cocaină, care are un impact asupra pieței europene și a securității regionale. În special, în 2022, Ecuadorul a devenit principala țară de origine pentru transporturile de cocaină către Europa, ceea ce face esențială colaborarea strategică cu privire la combaterea criminalității organizate și a traficului de arme de foc.</w:t>
      </w:r>
    </w:p>
    <w:p>
      <w:pPr>
        <w:pBdr>
          <w:top w:val="nil"/>
          <w:left w:val="nil"/>
          <w:bottom w:val="nil"/>
          <w:right w:val="nil"/>
          <w:between w:val="nil"/>
          <w:bar w:val="nil"/>
        </w:pBdr>
        <w:spacing w:after="240"/>
        <w:rPr>
          <w:rFonts w:eastAsia="Arial Unicode MS"/>
          <w:noProof/>
          <w:szCs w:val="24"/>
        </w:rPr>
      </w:pPr>
      <w:r>
        <w:rPr>
          <w:noProof/>
        </w:rPr>
        <w:t>Având în vedere relevanța sa operațională, Ecuadorul a fost desemnat drept țară prioritară în Strategia Eurojust privind cooperarea cu partenerii internaționali pentru perioada 2024-2027. Această desemnare subliniază interesul tot mai mare al Ecuadorului pentru consolidarea cooperării judiciare cu Uniunea Europeană. În iulie 2024, Ecuadorul s-a alăturat țărilor din America Latină care au semnat un acord de lucru cu Eurojust și a devenit membru al mecanismului de cooperare consolidată. Ecuadorul a desemnat un punct de contact cu Eurojust și a participat la mai multe reuniuni operaționale și strategice, precum și la vizite de studiu la Eurojust. Angajamentele recente, cum ar fi discuțiile la nivel înalt, reflectă abordarea proactivă a Ecuadorului de a consolida legăturile existente. În special, Eurojust și serviciile specializate de urmărire penală împotriva criminalității organizate (UNIDOT și FEDOTI</w:t>
      </w:r>
      <w:r>
        <w:rPr>
          <w:rStyle w:val="FootnoteReference"/>
          <w:rFonts w:eastAsia="Arial Unicode MS"/>
          <w:noProof/>
          <w:szCs w:val="24"/>
        </w:rPr>
        <w:footnoteReference w:id="17"/>
      </w:r>
      <w:r>
        <w:rPr>
          <w:noProof/>
        </w:rPr>
        <w:t xml:space="preserve">) și a spălării banilor își consolidează cooperarea operațională și strategică, inclusiv în contextul măsurilor de securitate consolidate din porturile ecuadoriene pentru combaterea criminalității organizate și a traficului de droguri. </w:t>
      </w:r>
    </w:p>
    <w:p>
      <w:pPr>
        <w:pBdr>
          <w:top w:val="nil"/>
          <w:left w:val="nil"/>
          <w:bottom w:val="nil"/>
          <w:right w:val="nil"/>
          <w:between w:val="nil"/>
          <w:bar w:val="nil"/>
        </w:pBdr>
        <w:spacing w:after="240"/>
        <w:rPr>
          <w:rFonts w:eastAsia="Arial Unicode MS"/>
          <w:noProof/>
          <w:szCs w:val="24"/>
        </w:rPr>
      </w:pPr>
      <w:r>
        <w:rPr>
          <w:noProof/>
        </w:rPr>
        <w:t>Ecuadorul și-a exprimat, de asemenea, interesul de a-și alinia standardele la cele ale Uniunii Europene, în special în domeniul protecției datelor. Un acord internațional privind cooperarea cu Europol, intrat recent în vigoare, include dispoziții cuprinzătoare privind protecția datelor, ceea ce demonstrează și mai mult acest angajament.</w:t>
      </w:r>
    </w:p>
    <w:p>
      <w:pPr>
        <w:keepNext/>
        <w:pBdr>
          <w:top w:val="nil"/>
          <w:left w:val="nil"/>
          <w:bottom w:val="nil"/>
          <w:right w:val="nil"/>
          <w:between w:val="nil"/>
          <w:bar w:val="nil"/>
        </w:pBdr>
        <w:spacing w:after="240"/>
        <w:rPr>
          <w:rFonts w:eastAsia="Arial Unicode MS"/>
          <w:noProof/>
          <w:szCs w:val="24"/>
          <w:u w:val="single"/>
        </w:rPr>
      </w:pPr>
      <w:r>
        <w:rPr>
          <w:noProof/>
          <w:u w:val="single"/>
        </w:rPr>
        <w:t xml:space="preserve">Panama </w:t>
      </w:r>
    </w:p>
    <w:p>
      <w:pPr>
        <w:pBdr>
          <w:top w:val="nil"/>
          <w:left w:val="nil"/>
          <w:bottom w:val="nil"/>
          <w:right w:val="nil"/>
          <w:between w:val="nil"/>
          <w:bar w:val="nil"/>
        </w:pBdr>
        <w:spacing w:after="240"/>
        <w:rPr>
          <w:rFonts w:eastAsia="Arial Unicode MS"/>
          <w:noProof/>
          <w:szCs w:val="24"/>
        </w:rPr>
      </w:pPr>
      <w:r>
        <w:rPr>
          <w:noProof/>
        </w:rPr>
        <w:t>Cooperarea judiciară cu Panama are o relevanță operațională considerabilă, în special în ceea ce privește traficul de droguri, criminalitatea informatică, infracțiunile contra patrimoniului, frauda și spălarea banilor. Panama este utilizată frecvent de grupurile infracționale organizate pentru înregistrarea și exploatarea societăților de tip „cutie poștală” implicate în spălarea banilor și servește drept punct de tranzit esențial pentru drogurile transportate din America de Sud în Europa.</w:t>
      </w:r>
    </w:p>
    <w:p>
      <w:pPr>
        <w:pBdr>
          <w:top w:val="nil"/>
          <w:left w:val="nil"/>
          <w:bottom w:val="nil"/>
          <w:right w:val="nil"/>
          <w:between w:val="nil"/>
          <w:bar w:val="nil"/>
        </w:pBdr>
        <w:spacing w:after="240"/>
        <w:rPr>
          <w:rFonts w:eastAsia="Arial Unicode MS"/>
          <w:noProof/>
          <w:szCs w:val="24"/>
        </w:rPr>
      </w:pPr>
      <w:r>
        <w:rPr>
          <w:noProof/>
        </w:rPr>
        <w:t>Panama a desemnat un punct de contact cu Eurojust și a participat la mai multe reuniuni operaționale și strategice, precum și la vizite de studiu la Eurojust. Eurojust a sprijinit mai multe anchete și urmăriri penale desfășurate de statele membre ale Uniunii Europene în care a fost implicată Panama, autoritățile panameze colaborând îndeaproape cu autoritățile naționale prin intermediul Eurojust și participând în mod activ la reuniunile de coordonare.</w:t>
      </w:r>
    </w:p>
    <w:p>
      <w:pPr>
        <w:pBdr>
          <w:top w:val="nil"/>
          <w:left w:val="nil"/>
          <w:bottom w:val="nil"/>
          <w:right w:val="nil"/>
          <w:between w:val="nil"/>
          <w:bar w:val="nil"/>
        </w:pBdr>
        <w:spacing w:after="240"/>
        <w:rPr>
          <w:rFonts w:eastAsia="Arial Unicode MS"/>
          <w:noProof/>
          <w:szCs w:val="24"/>
        </w:rPr>
      </w:pPr>
      <w:r>
        <w:rPr>
          <w:noProof/>
        </w:rPr>
        <w:t>În plus, Panama și Eurojust colaborează îndeaproape pentru a aborda provocările și a face schimb de bune practici în contextul probelor electronice și al întreprinderilor private care oferă servicii digitale. Pe plan operațional, numărul cazurilor în care este implicată Panama a crescut de cinci ori în ultimii doi ani, însă, pentru continuarea acestei creșteri, este necesar ca schimburile de date cu caracter personal să devină sistematice.</w:t>
      </w:r>
    </w:p>
    <w:p>
      <w:pPr>
        <w:pBdr>
          <w:top w:val="nil"/>
          <w:left w:val="nil"/>
          <w:bottom w:val="nil"/>
          <w:right w:val="nil"/>
          <w:between w:val="nil"/>
          <w:bar w:val="nil"/>
        </w:pBdr>
        <w:spacing w:after="240"/>
        <w:rPr>
          <w:rFonts w:eastAsia="Arial Unicode MS"/>
          <w:noProof/>
          <w:szCs w:val="24"/>
        </w:rPr>
      </w:pPr>
      <w:r>
        <w:rPr>
          <w:noProof/>
        </w:rPr>
        <w:t>Panama este desemnată drept partener prioritar în Strategia Eurojust privind cooperarea cu partenerii internaționali pentru perioada 2024-2027. În 2024, Parchetul General din Panama și Eurojust au semnat un acord de lucru, oficializând utilizarea punctelor de contact Eurojust și asigurând o comunicare mai strânsă pentru a accelera soluționarea cererilor de cooperare judiciară în ambele sensuri.</w:t>
      </w:r>
    </w:p>
    <w:p>
      <w:pPr>
        <w:pBdr>
          <w:top w:val="nil"/>
          <w:left w:val="nil"/>
          <w:bottom w:val="nil"/>
          <w:right w:val="nil"/>
          <w:between w:val="nil"/>
          <w:bar w:val="nil"/>
        </w:pBdr>
        <w:spacing w:after="240"/>
        <w:rPr>
          <w:rFonts w:eastAsia="Arial Unicode MS"/>
          <w:noProof/>
          <w:szCs w:val="24"/>
        </w:rPr>
      </w:pPr>
      <w:r>
        <w:rPr>
          <w:noProof/>
        </w:rPr>
        <w:t>De asemenea, Panama face parte din mai multe rețele judiciare regionale, în special IberRed și Asociația ibero-americană a parchetelor (AIAMP), cu care Eurojust a instituit instrumente de cooperare. EPPO a semnat un memorandum de înțelegere cu AIAMP și un acord de lucru cu Parchetul General al Națiunii, consolidând și mai mult importanța Panama ca partener de cooperare regională. Panama este interesată să își alinieze standardele la cele ale Uniunii Europene, de exemplu în ceea ce privește protecția datelor.</w:t>
      </w:r>
    </w:p>
    <w:p>
      <w:pPr>
        <w:pBdr>
          <w:top w:val="nil"/>
          <w:left w:val="nil"/>
          <w:bottom w:val="nil"/>
          <w:right w:val="nil"/>
          <w:between w:val="nil"/>
          <w:bar w:val="nil"/>
        </w:pBdr>
        <w:spacing w:after="240"/>
        <w:rPr>
          <w:rFonts w:eastAsia="Arial Unicode MS"/>
          <w:noProof/>
          <w:szCs w:val="24"/>
          <w:u w:val="single"/>
        </w:rPr>
      </w:pPr>
      <w:r>
        <w:rPr>
          <w:noProof/>
          <w:u w:val="single"/>
        </w:rPr>
        <w:t>Peru</w:t>
      </w:r>
    </w:p>
    <w:p>
      <w:pPr>
        <w:pBdr>
          <w:top w:val="nil"/>
          <w:left w:val="nil"/>
          <w:bottom w:val="nil"/>
          <w:right w:val="nil"/>
          <w:between w:val="nil"/>
          <w:bar w:val="nil"/>
        </w:pBdr>
        <w:spacing w:after="240"/>
        <w:rPr>
          <w:rFonts w:eastAsia="Arial Unicode MS"/>
          <w:noProof/>
          <w:szCs w:val="24"/>
        </w:rPr>
      </w:pPr>
      <w:r>
        <w:rPr>
          <w:noProof/>
        </w:rPr>
        <w:t>Cooperarea judiciară cu Peru este extrem de relevantă. Având în vedere că Peru ocupă locul al doilea în lume într-un clasament al producătorilor de cocaină și de sursă esențială a drogurilor traficate în Uniunea Europeană, eforturile de cooperare se axează în principal pe combaterea traficului de droguri, abordând în același timp infracțiunile contra patrimoniului, spălarea banilor și criminalitatea informatică. Peru este desemnat drept partener prioritar în Strategia Eurojust privind cooperarea cu partenerii internaționali pentru perioada 2024-2027.</w:t>
      </w:r>
    </w:p>
    <w:p>
      <w:pPr>
        <w:pBdr>
          <w:top w:val="nil"/>
          <w:left w:val="nil"/>
          <w:bottom w:val="nil"/>
          <w:right w:val="nil"/>
          <w:between w:val="nil"/>
          <w:bar w:val="nil"/>
        </w:pBdr>
        <w:spacing w:after="240"/>
        <w:rPr>
          <w:rFonts w:eastAsia="Arial Unicode MS"/>
          <w:noProof/>
          <w:szCs w:val="24"/>
        </w:rPr>
      </w:pPr>
      <w:r>
        <w:rPr>
          <w:noProof/>
        </w:rPr>
        <w:t xml:space="preserve">Această țară și-a manifestat interesul puternic de a coopera cu Eurojust. În 2024, Parchetul General din Peru și Eurojust au semnat un acord de lucru, iar recentele schimburi la nivel înalt subliniază angajamentul lor de a-și consolida cooperarea. Peru a desemnat un punct de contact cu Eurojust și a participat la o serie de reuniuni strategice și operaționale, precum și la vizite de studiu la Eurojust. Autoritățile competente participă, de asemenea, în mod activ la mecanismul de cooperare consolidată, ceea ce a condus la sprijinirea de către Eurojust, în 2025, a zeci de anchete active, la cererea autorităților peruane. </w:t>
      </w:r>
    </w:p>
    <w:p>
      <w:pPr>
        <w:pBdr>
          <w:top w:val="nil"/>
          <w:left w:val="nil"/>
          <w:bottom w:val="nil"/>
          <w:right w:val="nil"/>
          <w:between w:val="nil"/>
          <w:bar w:val="nil"/>
        </w:pBdr>
        <w:spacing w:after="240"/>
        <w:rPr>
          <w:rFonts w:eastAsia="Arial Unicode MS"/>
          <w:noProof/>
          <w:szCs w:val="24"/>
        </w:rPr>
      </w:pPr>
      <w:r>
        <w:rPr>
          <w:noProof/>
        </w:rPr>
        <w:t>În pofida schimbărilor intervenite de atunci în cadrul guvernului, Peru este, de asemenea, angajat într-un dialog referitor la un acord internațional privind cooperarea cu Europol și a solicitat asistență tehnică din partea Comisiei pentru a-și alinia standardele în materie de asigurare a respectării legii la cerințele Uniunii Europene în materie de protecție a datelor.</w:t>
      </w:r>
    </w:p>
    <w:p>
      <w:pPr>
        <w:pBdr>
          <w:top w:val="nil"/>
          <w:left w:val="nil"/>
          <w:bottom w:val="nil"/>
          <w:right w:val="nil"/>
          <w:between w:val="nil"/>
          <w:bar w:val="nil"/>
        </w:pBdr>
        <w:spacing w:after="240"/>
        <w:rPr>
          <w:rFonts w:eastAsia="Arial Unicode MS"/>
          <w:noProof/>
          <w:szCs w:val="24"/>
        </w:rPr>
      </w:pPr>
      <w:r>
        <w:rPr>
          <w:noProof/>
        </w:rPr>
        <w:t xml:space="preserve">De asemenea, Peru este implicat activ în rețele judiciare regionale, în special IberRed și Asociația ibero-americană a parchetelor (AIAMP), cu care Eurojust a instituit instrumente de cooperare. </w:t>
      </w:r>
    </w:p>
    <w:p>
      <w:pPr>
        <w:pBdr>
          <w:top w:val="nil"/>
          <w:left w:val="nil"/>
          <w:bottom w:val="nil"/>
          <w:right w:val="nil"/>
          <w:between w:val="nil"/>
          <w:bar w:val="nil"/>
        </w:pBdr>
        <w:spacing w:after="240"/>
        <w:rPr>
          <w:rFonts w:eastAsia="Arial Unicode MS"/>
          <w:noProof/>
          <w:szCs w:val="24"/>
          <w:u w:val="single"/>
        </w:rPr>
      </w:pPr>
      <w:r>
        <w:rPr>
          <w:noProof/>
          <w:u w:val="single"/>
        </w:rPr>
        <w:t>Emiratele Arabe Unite (EAU)</w:t>
      </w:r>
    </w:p>
    <w:p>
      <w:pPr>
        <w:pBdr>
          <w:top w:val="nil"/>
          <w:left w:val="nil"/>
          <w:bottom w:val="nil"/>
          <w:right w:val="nil"/>
          <w:between w:val="nil"/>
          <w:bar w:val="nil"/>
        </w:pBdr>
        <w:spacing w:after="240"/>
        <w:rPr>
          <w:rFonts w:eastAsia="Arial Unicode MS"/>
          <w:noProof/>
          <w:szCs w:val="24"/>
        </w:rPr>
      </w:pPr>
      <w:r>
        <w:rPr>
          <w:noProof/>
        </w:rPr>
        <w:t xml:space="preserve">Cooperarea judiciară cu Emiratele Arabe Unite (EAU) se referă în principal la fraudă, în special frauda în domeniul TVA, traficul de droguri, spălarea banilor, infracțiunile contra patrimoniului și criminalitatea informatică. Un număr considerabil de grupuri infracționale organizate care vizează Uniunea Europeană par să aibă sediul în EAU, țara servind adesea drept bază pentru coordonarea acestor rețele sau operațiunile lor de la distanță, inclusiv cele legate de traficul de droguri, spălarea banilor și activitățile bancare subterane. </w:t>
      </w:r>
    </w:p>
    <w:p>
      <w:pPr>
        <w:pBdr>
          <w:top w:val="nil"/>
          <w:left w:val="nil"/>
          <w:bottom w:val="nil"/>
          <w:right w:val="nil"/>
          <w:between w:val="nil"/>
          <w:bar w:val="nil"/>
        </w:pBdr>
        <w:spacing w:after="240"/>
        <w:rPr>
          <w:rFonts w:eastAsia="Arial Unicode MS"/>
          <w:noProof/>
          <w:szCs w:val="24"/>
        </w:rPr>
      </w:pPr>
      <w:r>
        <w:rPr>
          <w:noProof/>
        </w:rPr>
        <w:t>În conformitate cu Strategia Eurojust privind cooperarea cu partenerii internaționali pentru perioada 2024-2027, țara are o relevanță operațională foarte mare în lupta împotriva criminalității organizate. Autoritățile din EAU au participat la mai multe reuniuni operaționale și strategice, precum și la vizite de studiu la Eurojust. EAU au numit un punct de contact cu Eurojust și au demonstrat un angajament ferm față de cooperarea cu Eurojust, astfel cum reiese din implicarea în cadrul misiunii Echipei Europa din aprilie 2025 și din participarea la un atelier comun al experților în iulie 2025, în cadrul căruia au fost convenite măsuri concrete pentru a aprofunda și mai mult cooperarea. Este în curs de pregătire un acord de lucru cu Eurojust, inclusiv detașarea unui punct de contact rezident la Haga. Aceste inițiative evidențiază angajamentul țării de a acționa ca partener de încredere în combaterea criminalității transnaționale, alături de Uniunea Europeană.</w:t>
      </w:r>
    </w:p>
    <w:p>
      <w:pPr>
        <w:pStyle w:val="ManualHeading2"/>
        <w:rPr>
          <w:rFonts w:eastAsia="Arial Unicode MS"/>
          <w:noProof/>
          <w:color w:val="000000"/>
          <w:u w:color="000000"/>
          <w:bdr w:val="nil"/>
        </w:rPr>
      </w:pPr>
      <w:r>
        <w:rPr>
          <w:noProof/>
          <w:color w:val="000000"/>
          <w:u w:color="000000"/>
          <w:bdr w:val="nil"/>
        </w:rPr>
        <w:t>•</w:t>
      </w:r>
      <w:r>
        <w:rPr>
          <w:noProof/>
        </w:rPr>
        <w:tab/>
        <w:t>Coerența cu dispozițiile existente în domeniul de politică vizat</w:t>
      </w:r>
    </w:p>
    <w:p>
      <w:pPr>
        <w:pBdr>
          <w:top w:val="nil"/>
          <w:left w:val="nil"/>
          <w:bottom w:val="nil"/>
          <w:right w:val="nil"/>
          <w:between w:val="nil"/>
          <w:bar w:val="nil"/>
        </w:pBdr>
        <w:spacing w:after="240"/>
        <w:rPr>
          <w:rFonts w:eastAsia="Arial Unicode MS"/>
          <w:noProof/>
          <w:szCs w:val="24"/>
        </w:rPr>
      </w:pPr>
      <w:r>
        <w:rPr>
          <w:noProof/>
        </w:rPr>
        <w:t xml:space="preserve">Prezenta recomandare este coerentă cu politica existentă a Uniunii în domeniul cooperării judiciare dintre Eurojust și țările terțe. </w:t>
      </w:r>
    </w:p>
    <w:p>
      <w:pPr>
        <w:pBdr>
          <w:top w:val="nil"/>
          <w:left w:val="nil"/>
          <w:bottom w:val="nil"/>
          <w:right w:val="nil"/>
          <w:between w:val="nil"/>
          <w:bar w:val="nil"/>
        </w:pBdr>
        <w:spacing w:after="240"/>
        <w:rPr>
          <w:rFonts w:eastAsia="Arial Unicode MS"/>
          <w:noProof/>
          <w:szCs w:val="24"/>
        </w:rPr>
      </w:pPr>
      <w:r>
        <w:rPr>
          <w:noProof/>
        </w:rPr>
        <w:t>S-au înregistrat progrese în ceea ce privește îmbunătățirea schimbului de informații și a cooperării între statele membre, precum și între agențiile Uniunii și țările terțe. Regulamentul (UE) 2023/2131 de modificare a Regulamentului (UE) 2018/1727 și a Deciziei 2005/671/JAI a Consiliului în ceea ce privește schimbul de informații digitale în cazurile de terorism</w:t>
      </w:r>
      <w:r>
        <w:rPr>
          <w:rStyle w:val="FootnoteReference"/>
          <w:noProof/>
        </w:rPr>
        <w:footnoteReference w:id="18"/>
      </w:r>
      <w:r>
        <w:rPr>
          <w:noProof/>
        </w:rPr>
        <w:t xml:space="preserve"> consolidează cadrul de cooperare al Eurojust cu țările terțe, oferind un temei juridic pentru detașarea unui procuror de legătură dintr-o țară terță la Eurojust și pentru cooperarea cu Eurojust. </w:t>
      </w:r>
    </w:p>
    <w:p>
      <w:pPr>
        <w:pBdr>
          <w:top w:val="nil"/>
          <w:left w:val="nil"/>
          <w:bottom w:val="nil"/>
          <w:right w:val="nil"/>
          <w:between w:val="nil"/>
          <w:bar w:val="nil"/>
        </w:pBdr>
        <w:spacing w:after="240"/>
        <w:rPr>
          <w:rFonts w:eastAsia="Arial Unicode MS"/>
          <w:noProof/>
          <w:szCs w:val="24"/>
        </w:rPr>
      </w:pPr>
      <w:r>
        <w:rPr>
          <w:noProof/>
        </w:rPr>
        <w:t>De asemenea, Regulamentul (UE) 2022/838 de modificare a Regulamentului (UE) 2018/1727 în ceea ce privește colectarea, conservarea și analizarea în cadrul Eurojust a probelor referitoare la genocid, la crime împotriva umanității și la crime de război</w:t>
      </w:r>
      <w:r>
        <w:rPr>
          <w:rStyle w:val="FootnoteReference"/>
          <w:noProof/>
        </w:rPr>
        <w:footnoteReference w:id="19"/>
      </w:r>
      <w:r>
        <w:rPr>
          <w:noProof/>
        </w:rPr>
        <w:t xml:space="preserve"> are o dimensiune semnificativă legată de țările terțe. Ambele acte legislative subliniază importanța unei cooperări strânse cu țările terțe în vederea cercetării și urmăririi penale a infracțiunilor grave. </w:t>
      </w:r>
    </w:p>
    <w:p>
      <w:pPr>
        <w:pStyle w:val="ManualHeading2"/>
        <w:ind w:left="0" w:firstLine="0"/>
        <w:rPr>
          <w:rFonts w:eastAsia="Arial Unicode MS"/>
          <w:noProof/>
        </w:rPr>
      </w:pPr>
      <w:r>
        <w:rPr>
          <w:noProof/>
          <w:color w:val="000000"/>
          <w:u w:color="000000"/>
          <w:bdr w:val="nil"/>
        </w:rPr>
        <w:t>•</w:t>
      </w:r>
      <w:r>
        <w:rPr>
          <w:noProof/>
        </w:rPr>
        <w:tab/>
        <w:t>Coerența cu alte politici ale Uniunii</w:t>
      </w:r>
    </w:p>
    <w:p>
      <w:pPr>
        <w:pBdr>
          <w:top w:val="nil"/>
          <w:left w:val="nil"/>
          <w:bottom w:val="nil"/>
          <w:right w:val="nil"/>
          <w:between w:val="nil"/>
          <w:bar w:val="nil"/>
        </w:pBdr>
        <w:spacing w:after="240"/>
        <w:rPr>
          <w:rFonts w:eastAsia="Arial Unicode MS"/>
          <w:i/>
          <w:iCs/>
          <w:noProof/>
          <w:szCs w:val="24"/>
        </w:rPr>
      </w:pPr>
      <w:r>
        <w:rPr>
          <w:noProof/>
        </w:rPr>
        <w:t xml:space="preserve">Pe lângă </w:t>
      </w:r>
      <w:r>
        <w:rPr>
          <w:i/>
          <w:noProof/>
        </w:rPr>
        <w:t>Strategia UE de combatere a criminalității organizate (2021-2025)</w:t>
      </w:r>
      <w:r>
        <w:rPr>
          <w:noProof/>
        </w:rPr>
        <w:t xml:space="preserve"> și </w:t>
      </w:r>
      <w:r>
        <w:rPr>
          <w:i/>
          <w:noProof/>
        </w:rPr>
        <w:t>ProtectEU: o strategie europeană de securitate internă</w:t>
      </w:r>
      <w:r>
        <w:rPr>
          <w:rStyle w:val="FootnoteReference"/>
          <w:noProof/>
        </w:rPr>
        <w:footnoteReference w:id="20"/>
      </w:r>
      <w:r>
        <w:rPr>
          <w:noProof/>
        </w:rPr>
        <w:t xml:space="preserve"> menționate mai sus, trimiteri similare la importanța Eurojust și la rolul său vital în cooperarea judiciară transfrontalieră sunt incluse și în alte documente tematice de politică, cum ar fi </w:t>
      </w:r>
      <w:r>
        <w:rPr>
          <w:i/>
          <w:noProof/>
        </w:rPr>
        <w:t>Strategia UE privind combaterea traficului de persoane</w:t>
      </w:r>
      <w:r>
        <w:rPr>
          <w:rStyle w:val="FootnoteReference"/>
          <w:noProof/>
        </w:rPr>
        <w:footnoteReference w:id="21"/>
      </w:r>
      <w:r>
        <w:rPr>
          <w:noProof/>
        </w:rPr>
        <w:t>;</w:t>
      </w:r>
      <w:r>
        <w:rPr>
          <w:i/>
          <w:noProof/>
        </w:rPr>
        <w:t xml:space="preserve"> Agenda UE privind combaterea terorismului</w:t>
      </w:r>
      <w:r>
        <w:rPr>
          <w:rStyle w:val="FootnoteReference"/>
          <w:noProof/>
        </w:rPr>
        <w:footnoteReference w:id="22"/>
      </w:r>
      <w:r>
        <w:rPr>
          <w:noProof/>
        </w:rPr>
        <w:t xml:space="preserve"> și </w:t>
      </w:r>
      <w:r>
        <w:rPr>
          <w:i/>
          <w:noProof/>
        </w:rPr>
        <w:t>Agenda și Planul de acțiune ale UE în materie de droguri</w:t>
      </w:r>
      <w:r>
        <w:rPr>
          <w:rStyle w:val="FootnoteReference"/>
          <w:noProof/>
        </w:rPr>
        <w:footnoteReference w:id="23"/>
      </w:r>
      <w:r>
        <w:rPr>
          <w:noProof/>
        </w:rPr>
        <w:t>.</w:t>
      </w:r>
    </w:p>
    <w:p>
      <w:pPr>
        <w:pBdr>
          <w:top w:val="nil"/>
          <w:left w:val="nil"/>
          <w:bottom w:val="nil"/>
          <w:right w:val="nil"/>
          <w:between w:val="nil"/>
          <w:bar w:val="nil"/>
        </w:pBdr>
        <w:spacing w:after="240"/>
        <w:rPr>
          <w:rFonts w:eastAsia="Arial Unicode MS"/>
          <w:noProof/>
          <w:szCs w:val="24"/>
        </w:rPr>
      </w:pPr>
      <w:r>
        <w:rPr>
          <w:noProof/>
        </w:rPr>
        <w:t>În conformitate cu aceste documente strategice, cooperarea internațională a fost consolidată și în domeniul asigurării respectării legii. Pe baza autorizației acordate de Consiliu</w:t>
      </w:r>
      <w:r>
        <w:rPr>
          <w:rStyle w:val="FootnoteReference"/>
          <w:noProof/>
        </w:rPr>
        <w:footnoteReference w:id="24"/>
      </w:r>
      <w:r>
        <w:rPr>
          <w:noProof/>
        </w:rPr>
        <w:t>, Comisia a negociat acorduri privind schimbul de date cu caracter personal cu Agenția Uniunii Europene pentru Cooperare în Materie de Aplicare a Legii (Europol).</w:t>
      </w:r>
    </w:p>
    <w:p>
      <w:pPr>
        <w:pStyle w:val="ManualHeading1"/>
        <w:rPr>
          <w:noProof/>
        </w:rPr>
      </w:pPr>
      <w:r>
        <w:rPr>
          <w:noProof/>
        </w:rPr>
        <w:t>2.</w:t>
      </w:r>
      <w:r>
        <w:rPr>
          <w:noProof/>
        </w:rPr>
        <w:tab/>
        <w:t>TEMEI JURIDIC, SUBSIDIARITATE ȘI PROPORȚIONALITATE</w:t>
      </w:r>
    </w:p>
    <w:p>
      <w:pPr>
        <w:pStyle w:val="ManualHeading2"/>
        <w:rPr>
          <w:rFonts w:eastAsia="Arial Unicode MS"/>
          <w:noProof/>
          <w:u w:color="000000"/>
          <w:bdr w:val="nil"/>
        </w:rPr>
      </w:pPr>
      <w:r>
        <w:rPr>
          <w:noProof/>
          <w:u w:color="000000"/>
          <w:bdr w:val="nil"/>
        </w:rPr>
        <w:t>•</w:t>
      </w:r>
      <w:r>
        <w:rPr>
          <w:noProof/>
        </w:rPr>
        <w:tab/>
      </w:r>
      <w:r>
        <w:rPr>
          <w:noProof/>
          <w:u w:color="000000"/>
          <w:bdr w:val="nil"/>
        </w:rPr>
        <w:t>Temeiul juridic material</w:t>
      </w:r>
    </w:p>
    <w:p>
      <w:pPr>
        <w:pBdr>
          <w:top w:val="nil"/>
          <w:left w:val="nil"/>
          <w:bottom w:val="nil"/>
          <w:right w:val="nil"/>
          <w:between w:val="nil"/>
          <w:bar w:val="nil"/>
        </w:pBdr>
        <w:spacing w:after="240"/>
        <w:rPr>
          <w:rFonts w:eastAsia="Arial Unicode MS"/>
          <w:noProof/>
          <w:szCs w:val="24"/>
        </w:rPr>
      </w:pPr>
      <w:r>
        <w:rPr>
          <w:noProof/>
        </w:rPr>
        <w:t>Regulamentul (UE) 2018/1727 privind Agenția Uniunii Europene pentru Cooperare în Materie de Justiție Penală (Eurojust) stabilește un cadru legal pentru Eurojust, în special obiectivele, sarcinile, sfera de competență, dispozițiile privind protecția datelor și modalitățile de cooperare cu partenerii săi externi.</w:t>
      </w:r>
    </w:p>
    <w:p>
      <w:pPr>
        <w:pBdr>
          <w:top w:val="nil"/>
          <w:left w:val="nil"/>
          <w:bottom w:val="nil"/>
          <w:right w:val="nil"/>
          <w:between w:val="nil"/>
          <w:bar w:val="nil"/>
        </w:pBdr>
        <w:spacing w:after="240"/>
        <w:rPr>
          <w:rFonts w:eastAsia="Arial Unicode MS"/>
          <w:noProof/>
          <w:szCs w:val="24"/>
        </w:rPr>
      </w:pPr>
      <w:r>
        <w:rPr>
          <w:noProof/>
        </w:rPr>
        <w:t>Obiectivul prezentei recomandări este de a obține din partea Consiliului autorizarea necesară privind negocierea viitoarelor acorduri de către Comisie în numele Uniunii. Având în vedere că obiectivul principal al acordurilor este de a consolida cooperarea judiciară dintre Eurojust și autoritățile competente din țările terțe respective în ceea ce privește combaterea criminalității grave prin schimbul de date cu caracter personal, temeiurile juridice materiale pentru autorizarea de către Consiliu a deschiderii negocierilor sunt articolul 16 alineatul (2) și articolul 85.</w:t>
      </w:r>
    </w:p>
    <w:p>
      <w:pPr>
        <w:pStyle w:val="ManualHeading2"/>
        <w:rPr>
          <w:rFonts w:eastAsia="Arial Unicode MS"/>
          <w:noProof/>
          <w:u w:color="000000"/>
          <w:bdr w:val="nil"/>
        </w:rPr>
      </w:pPr>
      <w:r>
        <w:rPr>
          <w:noProof/>
          <w:u w:color="000000"/>
          <w:bdr w:val="nil"/>
        </w:rPr>
        <w:t>•</w:t>
      </w:r>
      <w:r>
        <w:rPr>
          <w:noProof/>
        </w:rPr>
        <w:tab/>
      </w:r>
      <w:r>
        <w:rPr>
          <w:noProof/>
          <w:u w:color="000000"/>
          <w:bdr w:val="nil"/>
        </w:rPr>
        <w:t>Temeiul juridic procedural</w:t>
      </w:r>
    </w:p>
    <w:p>
      <w:pPr>
        <w:pBdr>
          <w:top w:val="nil"/>
          <w:left w:val="nil"/>
          <w:bottom w:val="nil"/>
          <w:right w:val="nil"/>
          <w:between w:val="nil"/>
          <w:bar w:val="nil"/>
        </w:pBdr>
        <w:spacing w:after="240"/>
        <w:rPr>
          <w:rFonts w:eastAsia="Arial Unicode MS"/>
          <w:noProof/>
          <w:szCs w:val="24"/>
        </w:rPr>
      </w:pPr>
      <w:r>
        <w:rPr>
          <w:noProof/>
        </w:rPr>
        <w:t xml:space="preserve">Articolul 218 alineatul (3) din TFUE prevede că, în cazul în care acordul preconizat nu se referă exclusiv sau în principal la politica externă și de securitate comună, Comisia prezintă recomandări Consiliului. Consiliul adoptă o decizie de autorizare a începerii negocierilor și de numire a negociatorului Uniunii sau a șefului echipei de negociere a Uniunii. </w:t>
      </w:r>
    </w:p>
    <w:p>
      <w:pPr>
        <w:pBdr>
          <w:top w:val="nil"/>
          <w:left w:val="nil"/>
          <w:bottom w:val="nil"/>
          <w:right w:val="nil"/>
          <w:between w:val="nil"/>
          <w:bar w:val="nil"/>
        </w:pBdr>
        <w:spacing w:after="240"/>
        <w:rPr>
          <w:rFonts w:eastAsia="Arial Unicode MS"/>
          <w:noProof/>
          <w:szCs w:val="24"/>
        </w:rPr>
      </w:pPr>
      <w:r>
        <w:rPr>
          <w:noProof/>
        </w:rPr>
        <w:t>Articolul 218 alineatul (4) din TFUE prevede că Consiliul poate adresa directive de negociere negociatorului și poate desemna un comitet special pentru a se consulta cu negociatorul.</w:t>
      </w:r>
    </w:p>
    <w:p>
      <w:pPr>
        <w:widowControl w:val="0"/>
        <w:shd w:val="clear" w:color="auto" w:fill="FFFFFF" w:themeFill="background1"/>
        <w:autoSpaceDE w:val="0"/>
        <w:autoSpaceDN w:val="0"/>
        <w:adjustRightInd w:val="0"/>
        <w:spacing w:before="230" w:after="0" w:line="269" w:lineRule="exact"/>
        <w:ind w:right="86"/>
        <w:rPr>
          <w:rFonts w:eastAsia="Arial Unicode MS"/>
          <w:noProof/>
          <w:szCs w:val="24"/>
        </w:rPr>
      </w:pPr>
      <w:r>
        <w:rPr>
          <w:noProof/>
        </w:rPr>
        <w:t>Comisia recomandă deschiderea negocierilor pentru încheierea unor acorduri între Uniunea Europeană și Bolivia, Canada, Chile, Costa Rica, Ecuador, Panama, Peru și Emiratele Arabe Unite privind cooperarea dintre Agenția Uniunii Europene pentru Cooperare în Materie de Justiție Penală (Eurojust) și autoritățile acelor state terțe competente pentru cooperarea judiciară în materie penală. Comisia trebuie să fie desemnată negociator.</w:t>
      </w:r>
    </w:p>
    <w:p>
      <w:pPr>
        <w:pBdr>
          <w:top w:val="nil"/>
          <w:left w:val="nil"/>
          <w:bottom w:val="nil"/>
          <w:right w:val="nil"/>
          <w:between w:val="nil"/>
          <w:bar w:val="nil"/>
        </w:pBdr>
        <w:spacing w:after="240"/>
        <w:rPr>
          <w:rFonts w:eastAsia="Arial Unicode MS"/>
          <w:noProof/>
          <w:szCs w:val="24"/>
        </w:rPr>
      </w:pPr>
      <w:r>
        <w:rPr>
          <w:noProof/>
        </w:rPr>
        <w:t>Temeiul juridic procedural al deciziei propuse de autorizare a începerii negocierilor pentru acordurile avute în vedere este articolul 218 alineatele (3) și (4) din TFUE.</w:t>
      </w:r>
    </w:p>
    <w:p>
      <w:pPr>
        <w:pStyle w:val="ManualHeading2"/>
        <w:rPr>
          <w:rFonts w:eastAsia="Arial Unicode MS"/>
          <w:noProof/>
          <w:u w:color="000000"/>
          <w:bdr w:val="nil"/>
        </w:rPr>
      </w:pPr>
      <w:r>
        <w:rPr>
          <w:noProof/>
          <w:u w:color="000000"/>
          <w:bdr w:val="nil"/>
        </w:rPr>
        <w:t>•</w:t>
      </w:r>
      <w:r>
        <w:rPr>
          <w:noProof/>
        </w:rPr>
        <w:tab/>
      </w:r>
      <w:r>
        <w:rPr>
          <w:noProof/>
          <w:u w:color="000000"/>
          <w:bdr w:val="nil"/>
        </w:rPr>
        <w:t>Alegerea negociatorului</w:t>
      </w:r>
    </w:p>
    <w:p>
      <w:pPr>
        <w:pBdr>
          <w:top w:val="nil"/>
          <w:left w:val="nil"/>
          <w:bottom w:val="nil"/>
          <w:right w:val="nil"/>
          <w:between w:val="nil"/>
          <w:bar w:val="nil"/>
        </w:pBdr>
        <w:spacing w:after="240"/>
        <w:rPr>
          <w:rFonts w:eastAsia="Arial Unicode MS"/>
          <w:noProof/>
          <w:szCs w:val="24"/>
        </w:rPr>
      </w:pPr>
      <w:r>
        <w:rPr>
          <w:noProof/>
        </w:rPr>
        <w:t>Dat fiind faptul că acordurile preconizate vizează exclusiv alte aspecte decât politica externă și de securitate comună, Comisia trebuie desemnată drept negociator în temeiul articolului 218 alineatul (3) din TFUE.</w:t>
      </w:r>
    </w:p>
    <w:p>
      <w:pPr>
        <w:pStyle w:val="ManualHeading2"/>
        <w:rPr>
          <w:noProof/>
          <w:u w:color="000000"/>
          <w:bdr w:val="nil"/>
        </w:rPr>
      </w:pPr>
      <w:r>
        <w:rPr>
          <w:noProof/>
        </w:rPr>
        <w:t>•</w:t>
      </w:r>
      <w:r>
        <w:rPr>
          <w:noProof/>
        </w:rPr>
        <w:tab/>
      </w:r>
      <w:r>
        <w:rPr>
          <w:noProof/>
          <w:u w:color="000000"/>
          <w:bdr w:val="nil"/>
        </w:rPr>
        <w:t>Competența Uniunii</w:t>
      </w:r>
    </w:p>
    <w:p>
      <w:pPr>
        <w:pBdr>
          <w:top w:val="nil"/>
          <w:left w:val="nil"/>
          <w:bottom w:val="nil"/>
          <w:right w:val="nil"/>
          <w:between w:val="nil"/>
          <w:bar w:val="nil"/>
        </w:pBdr>
        <w:spacing w:after="240"/>
        <w:rPr>
          <w:rFonts w:eastAsia="Arial Unicode MS"/>
          <w:noProof/>
          <w:szCs w:val="24"/>
        </w:rPr>
      </w:pPr>
      <w:r>
        <w:rPr>
          <w:noProof/>
        </w:rPr>
        <w:t>Uniunea are competența de a determina structura, funcționarea, domeniul de acțiune și atribuțiile Eurojust, precum și de a prevedea garanții privind protecția datelor cu caracter personal, în ceea ce privește cooperarea judiciară cu țările terțe.</w:t>
      </w:r>
    </w:p>
    <w:p>
      <w:pPr>
        <w:pBdr>
          <w:top w:val="nil"/>
          <w:left w:val="nil"/>
          <w:bottom w:val="nil"/>
          <w:right w:val="nil"/>
          <w:between w:val="nil"/>
          <w:bar w:val="nil"/>
        </w:pBdr>
        <w:spacing w:after="240"/>
        <w:rPr>
          <w:rFonts w:eastAsia="Arial Unicode MS"/>
          <w:noProof/>
          <w:szCs w:val="24"/>
        </w:rPr>
      </w:pPr>
      <w:r>
        <w:rPr>
          <w:noProof/>
        </w:rPr>
        <w:t xml:space="preserve">Regulamentul privind Eurojust stabilește norme specifice privind datele cu caracter personal transferate de Eurojust în afara Uniunii Europene. La articolul 56 alineatul (2) din Regulamentul privind Eurojust sunt enumerate situațiile în care Eurojust poate transfera în mod legal date cu caracter personal autorităților judiciare ale țărilor terțe. Din această dispoziție rezultă că, pentru transferurile structurale de date cu caracter personal efectuate de Eurojust către respectiva țară terță, este necesară încheierea unui acord internațional obligatoriu corespunzător între Uniunea Europeană și țara terță, care să instituie garanții adecvate în ceea ce privește protecția vieții private și a altor drepturi și libertăți fundamentale ale persoanelor. În conformitate cu articolul 3 alineatul (2) din TFUE, viitoarele acorduri intră astfel în sfera competenței externe exclusive a Uniunii. </w:t>
      </w:r>
    </w:p>
    <w:p>
      <w:pPr>
        <w:pStyle w:val="ManualHeading2"/>
        <w:rPr>
          <w:rFonts w:eastAsia="Arial Unicode MS"/>
          <w:noProof/>
          <w:u w:color="000000"/>
          <w:bdr w:val="nil"/>
        </w:rPr>
      </w:pPr>
      <w:r>
        <w:rPr>
          <w:noProof/>
          <w:u w:color="000000"/>
          <w:bdr w:val="nil"/>
        </w:rPr>
        <w:t>•</w:t>
      </w:r>
      <w:r>
        <w:rPr>
          <w:noProof/>
        </w:rPr>
        <w:tab/>
      </w:r>
      <w:r>
        <w:rPr>
          <w:noProof/>
          <w:u w:color="000000"/>
          <w:bdr w:val="nil"/>
        </w:rPr>
        <w:t xml:space="preserve">Subsidiaritatea (în cazul competențelor neexclusive) </w:t>
      </w:r>
    </w:p>
    <w:p>
      <w:pPr>
        <w:pBdr>
          <w:top w:val="nil"/>
          <w:left w:val="nil"/>
          <w:bottom w:val="nil"/>
          <w:right w:val="nil"/>
          <w:between w:val="nil"/>
          <w:bar w:val="nil"/>
        </w:pBdr>
        <w:spacing w:after="240"/>
        <w:rPr>
          <w:rFonts w:eastAsia="Arial Unicode MS"/>
          <w:noProof/>
          <w:szCs w:val="24"/>
        </w:rPr>
      </w:pPr>
      <w:r>
        <w:rPr>
          <w:noProof/>
        </w:rPr>
        <w:t xml:space="preserve">Nu se aplică. </w:t>
      </w:r>
    </w:p>
    <w:p>
      <w:pPr>
        <w:pStyle w:val="ManualHeading2"/>
        <w:rPr>
          <w:rFonts w:eastAsia="Arial Unicode MS"/>
          <w:noProof/>
          <w:u w:color="000000"/>
          <w:bdr w:val="nil"/>
        </w:rPr>
      </w:pPr>
      <w:r>
        <w:rPr>
          <w:noProof/>
          <w:u w:color="000000"/>
          <w:bdr w:val="nil"/>
        </w:rPr>
        <w:t>•</w:t>
      </w:r>
      <w:r>
        <w:rPr>
          <w:noProof/>
        </w:rPr>
        <w:tab/>
      </w:r>
      <w:r>
        <w:rPr>
          <w:noProof/>
          <w:u w:color="000000"/>
          <w:bdr w:val="nil"/>
        </w:rPr>
        <w:t>Proporționalitatea</w:t>
      </w:r>
    </w:p>
    <w:p>
      <w:pPr>
        <w:pBdr>
          <w:top w:val="nil"/>
          <w:left w:val="nil"/>
          <w:bottom w:val="nil"/>
          <w:right w:val="nil"/>
          <w:between w:val="nil"/>
          <w:bar w:val="nil"/>
        </w:pBdr>
        <w:spacing w:after="240"/>
        <w:rPr>
          <w:rFonts w:eastAsia="Arial Unicode MS"/>
          <w:noProof/>
          <w:szCs w:val="24"/>
        </w:rPr>
      </w:pPr>
      <w:r>
        <w:rPr>
          <w:noProof/>
        </w:rPr>
        <w:t>Obiectivele Uniunii în ceea ce privește prezenta recomandare de decizie a Consiliului, astfel cum sunt prezentate mai sus, pot fi îndeplinite numai prin încheierea unor acorduri internaționale cu caracter obligatoriu, care să prevadă măsurile de cooperare necesare și să asigure, în același timp, protecția adecvată a drepturilor fundamentale. Astfel cum se prevede în Regulamentul (UE) 2018/1727 privind Eurojust, dispozițiile viitoarelor acorduri se vor limita, de asemenea, la ceea ce este necesar pentru atingerea obiectivelor sale principale. Acțiunile unilaterale ale statelor membre în relația cu țările terțe nu reprezintă o alternativă, deoarece Eurojust are un rol unic. De asemenea, acțiunile unilaterale nu ar oferi o bază suficientă pentru cooperarea judiciară dintre Eurojust și țările terțe și nu ar asigura protecția necesară a drepturilor fundamentale.</w:t>
      </w:r>
    </w:p>
    <w:p>
      <w:pPr>
        <w:pStyle w:val="ManualHeading2"/>
        <w:rPr>
          <w:rFonts w:eastAsia="Arial Unicode MS"/>
          <w:noProof/>
          <w:u w:color="000000"/>
          <w:bdr w:val="nil"/>
        </w:rPr>
      </w:pPr>
      <w:r>
        <w:rPr>
          <w:noProof/>
          <w:u w:color="000000"/>
          <w:bdr w:val="nil"/>
        </w:rPr>
        <w:t>•</w:t>
      </w:r>
      <w:r>
        <w:rPr>
          <w:noProof/>
        </w:rPr>
        <w:tab/>
      </w:r>
      <w:r>
        <w:rPr>
          <w:noProof/>
          <w:u w:color="000000"/>
          <w:bdr w:val="nil"/>
        </w:rPr>
        <w:t>Alegerea instrumentului</w:t>
      </w:r>
    </w:p>
    <w:p>
      <w:pPr>
        <w:pBdr>
          <w:top w:val="nil"/>
          <w:left w:val="nil"/>
          <w:bottom w:val="nil"/>
          <w:right w:val="nil"/>
          <w:between w:val="nil"/>
          <w:bar w:val="nil"/>
        </w:pBdr>
        <w:spacing w:after="240"/>
        <w:rPr>
          <w:rFonts w:eastAsia="Arial Unicode MS"/>
          <w:noProof/>
          <w:szCs w:val="24"/>
        </w:rPr>
      </w:pPr>
      <w:r>
        <w:rPr>
          <w:noProof/>
        </w:rPr>
        <w:t>Prezenta recomandare de decizie a Consiliului este prezentată în conformitate cu articolul 218 alineatele (3) și (4) din TFUE, care prevede adoptarea de către Consiliu a unei decizii de autorizare a începerii negocierilor și de numire a negociatorului Uniunii. De asemenea, Consiliul poate adresa directive de negociere negociatorului. Nu există un alt instrument juridic care ar putea fi folosit în scopul realizării obiectivului exprimat în prezenta recomandare.</w:t>
      </w:r>
    </w:p>
    <w:p>
      <w:pPr>
        <w:pStyle w:val="ManualHeading1"/>
        <w:rPr>
          <w:noProof/>
        </w:rPr>
      </w:pPr>
      <w:r>
        <w:rPr>
          <w:noProof/>
        </w:rPr>
        <w:t>3.</w:t>
      </w:r>
      <w:r>
        <w:rPr>
          <w:noProof/>
        </w:rPr>
        <w:tab/>
        <w:t xml:space="preserve">REZULTATELE EVALUĂRILOR </w:t>
      </w:r>
      <w:r>
        <w:rPr>
          <w:i/>
          <w:noProof/>
        </w:rPr>
        <w:t>EX POST</w:t>
      </w:r>
      <w:r>
        <w:rPr>
          <w:noProof/>
        </w:rPr>
        <w:t>, ALE CONSULTĂRILOR CU PĂRȚILE INTERESATE ȘI ALE EVALUĂRILOR IMPACTULUI</w:t>
      </w:r>
    </w:p>
    <w:p>
      <w:pPr>
        <w:pStyle w:val="ManualHeading2"/>
        <w:rPr>
          <w:rFonts w:eastAsia="Arial Unicode MS"/>
          <w:noProof/>
          <w:u w:color="000000"/>
          <w:bdr w:val="nil"/>
        </w:rPr>
      </w:pPr>
      <w:r>
        <w:rPr>
          <w:noProof/>
          <w:u w:color="000000"/>
          <w:bdr w:val="nil"/>
        </w:rPr>
        <w:t>•</w:t>
      </w:r>
      <w:r>
        <w:rPr>
          <w:noProof/>
        </w:rPr>
        <w:tab/>
      </w:r>
      <w:r>
        <w:rPr>
          <w:noProof/>
          <w:u w:color="000000"/>
          <w:bdr w:val="nil"/>
        </w:rPr>
        <w:t xml:space="preserve">Evaluările </w:t>
      </w:r>
      <w:r>
        <w:rPr>
          <w:i/>
          <w:noProof/>
          <w:u w:color="000000"/>
          <w:bdr w:val="nil"/>
        </w:rPr>
        <w:t>ex post</w:t>
      </w:r>
      <w:r>
        <w:rPr>
          <w:noProof/>
          <w:u w:color="000000"/>
          <w:bdr w:val="nil"/>
        </w:rPr>
        <w:t>/verificarea adecvării legislației existente</w:t>
      </w:r>
    </w:p>
    <w:p>
      <w:pPr>
        <w:pBdr>
          <w:top w:val="nil"/>
          <w:left w:val="nil"/>
          <w:bottom w:val="nil"/>
          <w:right w:val="nil"/>
          <w:between w:val="nil"/>
          <w:bar w:val="nil"/>
        </w:pBdr>
        <w:spacing w:before="0" w:after="240"/>
        <w:rPr>
          <w:rFonts w:eastAsia="Arial Unicode MS"/>
          <w:noProof/>
          <w:szCs w:val="24"/>
        </w:rPr>
      </w:pPr>
      <w:r>
        <w:rPr>
          <w:noProof/>
        </w:rPr>
        <w:t>Nu se aplică.</w:t>
      </w:r>
    </w:p>
    <w:p>
      <w:pPr>
        <w:pStyle w:val="ManualHeading2"/>
        <w:rPr>
          <w:rFonts w:eastAsia="Arial Unicode MS"/>
          <w:noProof/>
          <w:u w:color="000000"/>
          <w:bdr w:val="nil"/>
        </w:rPr>
      </w:pPr>
      <w:r>
        <w:rPr>
          <w:noProof/>
          <w:u w:color="000000"/>
          <w:bdr w:val="nil"/>
        </w:rPr>
        <w:t>•</w:t>
      </w:r>
      <w:r>
        <w:rPr>
          <w:noProof/>
        </w:rPr>
        <w:tab/>
      </w:r>
      <w:r>
        <w:rPr>
          <w:noProof/>
          <w:u w:color="000000"/>
          <w:bdr w:val="nil"/>
        </w:rPr>
        <w:t>Consultările cu părțile interesate</w:t>
      </w:r>
    </w:p>
    <w:p>
      <w:pPr>
        <w:pBdr>
          <w:top w:val="nil"/>
          <w:left w:val="nil"/>
          <w:bottom w:val="nil"/>
          <w:right w:val="nil"/>
          <w:between w:val="nil"/>
          <w:bar w:val="nil"/>
        </w:pBdr>
        <w:spacing w:before="0" w:after="240"/>
        <w:rPr>
          <w:rFonts w:eastAsia="Arial Unicode MS"/>
          <w:noProof/>
          <w:szCs w:val="24"/>
        </w:rPr>
      </w:pPr>
      <w:r>
        <w:rPr>
          <w:noProof/>
        </w:rPr>
        <w:t>Nu se aplică.</w:t>
      </w:r>
    </w:p>
    <w:p>
      <w:pPr>
        <w:pStyle w:val="ManualHeading2"/>
        <w:rPr>
          <w:rFonts w:eastAsia="Arial Unicode MS"/>
          <w:noProof/>
          <w:u w:color="000000"/>
          <w:bdr w:val="nil"/>
        </w:rPr>
      </w:pPr>
      <w:r>
        <w:rPr>
          <w:noProof/>
          <w:u w:color="000000"/>
          <w:bdr w:val="nil"/>
        </w:rPr>
        <w:t>•</w:t>
      </w:r>
      <w:r>
        <w:rPr>
          <w:noProof/>
        </w:rPr>
        <w:tab/>
      </w:r>
      <w:r>
        <w:rPr>
          <w:noProof/>
          <w:u w:color="000000"/>
          <w:bdr w:val="nil"/>
        </w:rPr>
        <w:t>Obținerea și utilizarea cunoștințelor de specialitate</w:t>
      </w:r>
    </w:p>
    <w:p>
      <w:pPr>
        <w:pBdr>
          <w:top w:val="nil"/>
          <w:left w:val="nil"/>
          <w:bottom w:val="nil"/>
          <w:right w:val="nil"/>
          <w:between w:val="nil"/>
          <w:bar w:val="nil"/>
        </w:pBdr>
        <w:spacing w:before="0" w:after="240"/>
        <w:rPr>
          <w:rFonts w:eastAsia="Arial Unicode MS"/>
          <w:noProof/>
          <w:szCs w:val="24"/>
        </w:rPr>
      </w:pPr>
      <w:r>
        <w:rPr>
          <w:noProof/>
        </w:rPr>
        <w:t>Colectarea cunoștințelor de specialitate s-a bazat pe contribuțiile operaționale primite de la Eurojust.</w:t>
      </w:r>
    </w:p>
    <w:p>
      <w:pPr>
        <w:pStyle w:val="ManualHeading2"/>
        <w:rPr>
          <w:rFonts w:eastAsia="Arial Unicode MS"/>
          <w:noProof/>
          <w:u w:color="000000"/>
          <w:bdr w:val="nil"/>
        </w:rPr>
      </w:pPr>
      <w:r>
        <w:rPr>
          <w:noProof/>
          <w:u w:color="000000"/>
          <w:bdr w:val="nil"/>
        </w:rPr>
        <w:t>•</w:t>
      </w:r>
      <w:r>
        <w:rPr>
          <w:noProof/>
        </w:rPr>
        <w:tab/>
      </w:r>
      <w:r>
        <w:rPr>
          <w:noProof/>
          <w:u w:color="000000"/>
          <w:bdr w:val="nil"/>
        </w:rPr>
        <w:t>Evaluarea impactului</w:t>
      </w:r>
    </w:p>
    <w:p>
      <w:pPr>
        <w:pBdr>
          <w:top w:val="nil"/>
          <w:left w:val="nil"/>
          <w:bottom w:val="nil"/>
          <w:right w:val="nil"/>
          <w:between w:val="nil"/>
          <w:bar w:val="nil"/>
        </w:pBdr>
        <w:spacing w:before="0" w:after="240"/>
        <w:rPr>
          <w:rFonts w:eastAsia="Arial Unicode MS"/>
          <w:noProof/>
          <w:szCs w:val="24"/>
        </w:rPr>
      </w:pPr>
      <w:r>
        <w:rPr>
          <w:noProof/>
        </w:rPr>
        <w:t>Nu se aplică.</w:t>
      </w:r>
    </w:p>
    <w:p>
      <w:pPr>
        <w:pStyle w:val="ManualHeading2"/>
        <w:rPr>
          <w:rFonts w:eastAsia="Arial Unicode MS"/>
          <w:noProof/>
          <w:u w:color="000000"/>
          <w:bdr w:val="nil"/>
        </w:rPr>
      </w:pPr>
      <w:r>
        <w:rPr>
          <w:noProof/>
          <w:u w:color="000000"/>
          <w:bdr w:val="nil"/>
        </w:rPr>
        <w:t>•</w:t>
      </w:r>
      <w:r>
        <w:rPr>
          <w:noProof/>
        </w:rPr>
        <w:tab/>
      </w:r>
      <w:r>
        <w:rPr>
          <w:noProof/>
          <w:u w:color="000000"/>
          <w:bdr w:val="nil"/>
        </w:rPr>
        <w:t>Adecvarea reglementărilor și simplificarea</w:t>
      </w:r>
    </w:p>
    <w:p>
      <w:pPr>
        <w:pBdr>
          <w:top w:val="nil"/>
          <w:left w:val="nil"/>
          <w:bottom w:val="nil"/>
          <w:right w:val="nil"/>
          <w:between w:val="nil"/>
          <w:bar w:val="nil"/>
        </w:pBdr>
        <w:spacing w:before="0" w:after="240"/>
        <w:rPr>
          <w:rFonts w:eastAsia="Arial Unicode MS"/>
          <w:noProof/>
          <w:szCs w:val="24"/>
        </w:rPr>
      </w:pPr>
      <w:r>
        <w:rPr>
          <w:noProof/>
        </w:rPr>
        <w:t>Nu se aplică.</w:t>
      </w:r>
    </w:p>
    <w:p>
      <w:pPr>
        <w:pStyle w:val="ManualHeading2"/>
        <w:rPr>
          <w:rFonts w:eastAsia="Arial Unicode MS"/>
          <w:noProof/>
          <w:bdr w:val="nil"/>
        </w:rPr>
      </w:pPr>
      <w:r>
        <w:rPr>
          <w:noProof/>
          <w:bdr w:val="nil"/>
        </w:rPr>
        <w:t>•</w:t>
      </w:r>
      <w:r>
        <w:rPr>
          <w:noProof/>
        </w:rPr>
        <w:tab/>
      </w:r>
      <w:r>
        <w:rPr>
          <w:noProof/>
          <w:bdr w:val="nil"/>
        </w:rPr>
        <w:t>Drepturile fundamentale</w:t>
      </w:r>
    </w:p>
    <w:p>
      <w:pPr>
        <w:rPr>
          <w:noProof/>
        </w:rPr>
      </w:pPr>
      <w:r>
        <w:rPr>
          <w:noProof/>
        </w:rPr>
        <w:t xml:space="preserve">Acordurile ar trebui să respecte drepturile fundamentale și principiile recunoscute în Carta drepturilor fundamentale a Uniunii Europene, în special dreptul la respectarea vieții private și de familie, recunoscut la articolul 7 din cartă, dreptul la protecția datelor cu caracter personal, recunoscut la articolul 8 din cartă, și dreptul la o cale de atac eficientă și la un proces echitabil, recunoscut la articolul 47 din cartă. În plus, este interzis orice schimb de informații care conduce la tratamente și pedepse inumane și degradante și, dacă este cazul, legate de pedeapsa cu moartea. </w:t>
      </w:r>
    </w:p>
    <w:p>
      <w:pPr>
        <w:pBdr>
          <w:top w:val="nil"/>
          <w:left w:val="nil"/>
          <w:bottom w:val="nil"/>
          <w:right w:val="nil"/>
          <w:between w:val="nil"/>
          <w:bar w:val="nil"/>
        </w:pBdr>
        <w:spacing w:before="0" w:after="240"/>
        <w:rPr>
          <w:noProof/>
        </w:rPr>
      </w:pPr>
      <w:r>
        <w:rPr>
          <w:noProof/>
        </w:rPr>
        <w:t>Schimbul de date cu caracter personal și prelucrarea acestora de către autoritățile unei țări terțe vizează drepturile fundamentale la viață privată și la protecția datelor. În această privință, acordurile asigură aplicarea unor garanții adecvate pentru datele cu caracter personal transferate în temeiul acordurilor, în conformitate cu dreptul Uniunii.</w:t>
      </w:r>
    </w:p>
    <w:p>
      <w:pPr>
        <w:pBdr>
          <w:top w:val="nil"/>
          <w:left w:val="nil"/>
          <w:bottom w:val="nil"/>
          <w:right w:val="nil"/>
          <w:between w:val="nil"/>
          <w:bar w:val="nil"/>
        </w:pBdr>
        <w:spacing w:before="0" w:after="240"/>
        <w:rPr>
          <w:noProof/>
          <w:szCs w:val="24"/>
        </w:rPr>
      </w:pPr>
      <w:r>
        <w:rPr>
          <w:noProof/>
        </w:rPr>
        <w:t>În special, exercitarea anumitor drepturi individuale poate fi amânată, limitată sau refuzată numai în măsura în care acest lucru este necesar și proporțional, ținând seama de drepturile și interesele fundamentale ale persoanei vizate, din motive importante de interes public, în special pentru a nu aduce atingere unei cercetări sau urmăriri penale în curs.</w:t>
      </w:r>
    </w:p>
    <w:p>
      <w:pPr>
        <w:pBdr>
          <w:top w:val="nil"/>
          <w:left w:val="nil"/>
          <w:bottom w:val="nil"/>
          <w:right w:val="nil"/>
          <w:between w:val="nil"/>
          <w:bar w:val="nil"/>
        </w:pBdr>
        <w:spacing w:before="0" w:after="240"/>
        <w:rPr>
          <w:noProof/>
          <w:szCs w:val="24"/>
        </w:rPr>
      </w:pPr>
      <w:r>
        <w:rPr>
          <w:noProof/>
        </w:rPr>
        <w:t>De asemenea, acordurile garantează că schimbul de date cu caracter personal dintre Eurojust și țările terțe este conform atât cu principiul nediscriminării, cât și cu articolul 52 alineatul (1) din Carta drepturilor fundamentale a Uniunii Europene</w:t>
      </w:r>
      <w:r>
        <w:rPr>
          <w:rStyle w:val="FootnoteReference"/>
          <w:noProof/>
          <w:szCs w:val="24"/>
        </w:rPr>
        <w:footnoteReference w:id="25"/>
      </w:r>
      <w:r>
        <w:rPr>
          <w:noProof/>
        </w:rPr>
        <w:t>, care asigură faptul că ingerințele în drepturile fundamentale garantate de cartă sunt limitate la ceea ce este necesar pentru a îndeplini în mod efectiv obiectivele de interes general urmărite, sub rezerva principiului proporționalității.</w:t>
      </w:r>
    </w:p>
    <w:p>
      <w:pPr>
        <w:pStyle w:val="ManualHeading1"/>
        <w:rPr>
          <w:noProof/>
        </w:rPr>
      </w:pPr>
      <w:r>
        <w:rPr>
          <w:noProof/>
        </w:rPr>
        <w:t>4.</w:t>
      </w:r>
      <w:r>
        <w:rPr>
          <w:noProof/>
        </w:rPr>
        <w:tab/>
        <w:t>IMPLICAȚII BUGETARE</w:t>
      </w:r>
    </w:p>
    <w:p>
      <w:pPr>
        <w:pBdr>
          <w:top w:val="nil"/>
          <w:left w:val="nil"/>
          <w:bottom w:val="nil"/>
          <w:right w:val="nil"/>
          <w:between w:val="nil"/>
          <w:bar w:val="nil"/>
        </w:pBdr>
        <w:spacing w:after="240"/>
        <w:rPr>
          <w:noProof/>
          <w:szCs w:val="24"/>
        </w:rPr>
      </w:pPr>
      <w:r>
        <w:rPr>
          <w:noProof/>
        </w:rPr>
        <w:t>Propunerea nu are implicații asupra bugetului Uniunii.</w:t>
      </w:r>
    </w:p>
    <w:p>
      <w:pPr>
        <w:pStyle w:val="ManualHeading1"/>
        <w:rPr>
          <w:noProof/>
        </w:rPr>
      </w:pPr>
      <w:r>
        <w:rPr>
          <w:noProof/>
        </w:rPr>
        <w:t>5.</w:t>
      </w:r>
      <w:r>
        <w:rPr>
          <w:noProof/>
        </w:rPr>
        <w:tab/>
        <w:t>ALTE ELEMENTE</w:t>
      </w:r>
    </w:p>
    <w:p>
      <w:pPr>
        <w:pStyle w:val="ManualHeading2"/>
        <w:rPr>
          <w:rFonts w:eastAsia="Arial Unicode MS"/>
          <w:noProof/>
          <w:u w:color="000000"/>
          <w:bdr w:val="nil"/>
        </w:rPr>
      </w:pPr>
      <w:r>
        <w:rPr>
          <w:noProof/>
          <w:u w:color="000000"/>
          <w:bdr w:val="nil"/>
        </w:rPr>
        <w:t>•</w:t>
      </w:r>
      <w:r>
        <w:rPr>
          <w:noProof/>
        </w:rPr>
        <w:tab/>
      </w:r>
      <w:r>
        <w:rPr>
          <w:noProof/>
          <w:u w:color="000000"/>
          <w:bdr w:val="nil"/>
        </w:rPr>
        <w:t>Planurile de punere în aplicare și măsurile de monitorizare, evaluare și raportare</w:t>
      </w:r>
    </w:p>
    <w:p>
      <w:pPr>
        <w:pBdr>
          <w:top w:val="nil"/>
          <w:left w:val="nil"/>
          <w:bottom w:val="nil"/>
          <w:right w:val="nil"/>
          <w:between w:val="nil"/>
          <w:bar w:val="nil"/>
        </w:pBdr>
        <w:spacing w:after="240"/>
        <w:rPr>
          <w:noProof/>
          <w:szCs w:val="24"/>
        </w:rPr>
      </w:pPr>
      <w:r>
        <w:rPr>
          <w:noProof/>
        </w:rPr>
        <w:t>Vor exista rapoarte și informări periodice către Consiliu și Parlamentul European.</w:t>
      </w:r>
    </w:p>
    <w:p>
      <w:pPr>
        <w:pStyle w:val="ManualHeading2"/>
        <w:rPr>
          <w:rFonts w:eastAsia="Arial Unicode MS"/>
          <w:noProof/>
          <w:u w:color="000000"/>
          <w:bdr w:val="nil"/>
        </w:rPr>
      </w:pPr>
      <w:r>
        <w:rPr>
          <w:noProof/>
          <w:u w:color="000000"/>
          <w:bdr w:val="nil"/>
        </w:rPr>
        <w:t>•</w:t>
      </w:r>
      <w:r>
        <w:rPr>
          <w:noProof/>
        </w:rPr>
        <w:tab/>
      </w:r>
      <w:r>
        <w:rPr>
          <w:noProof/>
          <w:u w:color="000000"/>
          <w:bdr w:val="nil"/>
        </w:rPr>
        <w:t>Documentele explicative (în cazul directivelor)</w:t>
      </w:r>
    </w:p>
    <w:p>
      <w:pPr>
        <w:pBdr>
          <w:top w:val="nil"/>
          <w:left w:val="nil"/>
          <w:bottom w:val="nil"/>
          <w:right w:val="nil"/>
          <w:between w:val="nil"/>
          <w:bar w:val="nil"/>
        </w:pBdr>
        <w:spacing w:after="240"/>
        <w:rPr>
          <w:noProof/>
          <w:szCs w:val="24"/>
        </w:rPr>
      </w:pPr>
      <w:r>
        <w:rPr>
          <w:noProof/>
        </w:rPr>
        <w:t>Nu se aplică.</w:t>
      </w:r>
    </w:p>
    <w:p>
      <w:pPr>
        <w:pStyle w:val="ManualHeading2"/>
        <w:rPr>
          <w:rFonts w:eastAsia="Arial Unicode MS"/>
          <w:noProof/>
          <w:u w:color="000000"/>
          <w:bdr w:val="nil"/>
        </w:rPr>
      </w:pPr>
      <w:r>
        <w:rPr>
          <w:noProof/>
          <w:u w:color="000000"/>
          <w:bdr w:val="nil"/>
        </w:rPr>
        <w:t>•</w:t>
      </w:r>
      <w:r>
        <w:rPr>
          <w:noProof/>
        </w:rPr>
        <w:tab/>
      </w:r>
      <w:r>
        <w:rPr>
          <w:noProof/>
          <w:u w:color="000000"/>
          <w:bdr w:val="nil"/>
        </w:rPr>
        <w:t>Explicație detaliată cu privire la dispozițiile specifice ale recomandării</w:t>
      </w:r>
    </w:p>
    <w:p>
      <w:pPr>
        <w:pBdr>
          <w:top w:val="nil"/>
          <w:left w:val="nil"/>
          <w:bottom w:val="nil"/>
          <w:right w:val="nil"/>
          <w:between w:val="nil"/>
          <w:bar w:val="nil"/>
        </w:pBdr>
        <w:spacing w:after="240"/>
        <w:rPr>
          <w:noProof/>
          <w:szCs w:val="24"/>
        </w:rPr>
      </w:pPr>
      <w:r>
        <w:rPr>
          <w:noProof/>
        </w:rPr>
        <w:t>Prezenta recomandare autorizează Comisia să negocieze și stabilește, de asemenea, orientări de negociere.</w:t>
      </w:r>
    </w:p>
    <w:p>
      <w:pPr>
        <w:pBdr>
          <w:top w:val="nil"/>
          <w:left w:val="nil"/>
          <w:bottom w:val="nil"/>
          <w:right w:val="nil"/>
          <w:between w:val="nil"/>
          <w:bar w:val="nil"/>
        </w:pBdr>
        <w:spacing w:before="0" w:after="240"/>
        <w:rPr>
          <w:rFonts w:eastAsia="Arial Unicode MS"/>
          <w:noProof/>
        </w:rPr>
      </w:pPr>
    </w:p>
    <w:p>
      <w:pPr>
        <w:rPr>
          <w:noProof/>
        </w:rPr>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pPr>
        <w:pStyle w:val="Statut"/>
        <w:rPr>
          <w:noProof/>
        </w:rPr>
      </w:pPr>
      <w:r>
        <w:rPr>
          <w:noProof/>
        </w:rPr>
        <w:t>Recomandare de</w:t>
      </w:r>
    </w:p>
    <w:p>
      <w:pPr>
        <w:pStyle w:val="Typedudocument"/>
        <w:rPr>
          <w:noProof/>
        </w:rPr>
      </w:pPr>
      <w:r>
        <w:rPr>
          <w:noProof/>
        </w:rPr>
        <w:t>DECIZIE A CONSILIULUI</w:t>
      </w:r>
    </w:p>
    <w:p>
      <w:pPr>
        <w:pStyle w:val="Titreobjet"/>
        <w:rPr>
          <w:noProof/>
        </w:rPr>
      </w:pPr>
      <w:r>
        <w:rPr>
          <w:noProof/>
        </w:rPr>
        <w:t xml:space="preserve">de autorizare a deschiderii negocierilor pentru încheierea de acorduri între Uniune și Bolivia, Canada, Chile, Costa Rica, Ecuador, Panama, Peru și Emiratele Arabe Unite privind cooperarea dintre Agenția Uniunii Europene pentru Cooperare în Materie de Justiție Penală (Eurojust) și autoritățile competente pentru cooperarea judiciară în materie penală din aceste state terțe </w:t>
      </w:r>
      <w:r>
        <w:rPr>
          <w:noProof/>
        </w:rPr>
        <w:br/>
      </w:r>
    </w:p>
    <w:p>
      <w:pPr>
        <w:pStyle w:val="Institutionquiagit"/>
        <w:rPr>
          <w:noProof/>
        </w:rPr>
      </w:pPr>
      <w:r>
        <w:rPr>
          <w:noProof/>
        </w:rPr>
        <w:t>CONSILIUL UNIUNII EUROPENE,</w:t>
      </w:r>
    </w:p>
    <w:p>
      <w:pPr>
        <w:pBdr>
          <w:top w:val="nil"/>
          <w:left w:val="nil"/>
          <w:bottom w:val="nil"/>
          <w:right w:val="nil"/>
          <w:between w:val="nil"/>
          <w:bar w:val="nil"/>
        </w:pBdr>
        <w:spacing w:after="240"/>
        <w:rPr>
          <w:noProof/>
          <w:szCs w:val="24"/>
        </w:rPr>
      </w:pPr>
      <w:r>
        <w:rPr>
          <w:noProof/>
        </w:rPr>
        <w:t xml:space="preserve">având în vedere Tratatul privind funcționarea Uniunii Europene, în special articolul 16 alineatul (2) și articolul 85, coroborate cu articolul 218 alineatele (3) și (4), </w:t>
      </w:r>
    </w:p>
    <w:p>
      <w:pPr>
        <w:pBdr>
          <w:top w:val="nil"/>
          <w:left w:val="nil"/>
          <w:bottom w:val="nil"/>
          <w:right w:val="nil"/>
          <w:between w:val="nil"/>
          <w:bar w:val="nil"/>
        </w:pBdr>
        <w:spacing w:after="240"/>
        <w:rPr>
          <w:noProof/>
          <w:szCs w:val="24"/>
        </w:rPr>
      </w:pPr>
      <w:r>
        <w:rPr>
          <w:noProof/>
        </w:rPr>
        <w:t>având în vedere recomandarea Comisiei Europene,</w:t>
      </w:r>
    </w:p>
    <w:p>
      <w:pPr>
        <w:pBdr>
          <w:top w:val="nil"/>
          <w:left w:val="nil"/>
          <w:bottom w:val="nil"/>
          <w:right w:val="nil"/>
          <w:between w:val="nil"/>
          <w:bar w:val="nil"/>
        </w:pBdr>
        <w:spacing w:after="240"/>
        <w:rPr>
          <w:noProof/>
          <w:szCs w:val="24"/>
        </w:rPr>
      </w:pPr>
      <w:r>
        <w:rPr>
          <w:noProof/>
        </w:rPr>
        <w:t>întrucât:</w:t>
      </w:r>
    </w:p>
    <w:p>
      <w:pPr>
        <w:pStyle w:val="Point0"/>
        <w:rPr>
          <w:noProof/>
        </w:rPr>
      </w:pPr>
      <w:r>
        <w:rPr>
          <w:noProof/>
        </w:rPr>
        <w:t>(1)</w:t>
      </w:r>
      <w:r>
        <w:rPr>
          <w:noProof/>
        </w:rPr>
        <w:tab/>
        <w:t>Regulamentul (UE) 2018/1727 al Parlamentului European și al Consiliului</w:t>
      </w:r>
      <w:r>
        <w:rPr>
          <w:rStyle w:val="FootnoteReference"/>
          <w:noProof/>
          <w:lang w:bidi="en-US"/>
        </w:rPr>
        <w:footnoteReference w:id="26"/>
      </w:r>
      <w:r>
        <w:rPr>
          <w:noProof/>
        </w:rPr>
        <w:t xml:space="preserve"> a fost adoptat la 14 noiembrie 2019 și se aplică de la 12 decembrie 2019.</w:t>
      </w:r>
    </w:p>
    <w:p>
      <w:pPr>
        <w:pStyle w:val="Point0"/>
        <w:rPr>
          <w:noProof/>
        </w:rPr>
      </w:pPr>
      <w:r>
        <w:rPr>
          <w:noProof/>
        </w:rPr>
        <w:t>(2)</w:t>
      </w:r>
      <w:r>
        <w:rPr>
          <w:noProof/>
        </w:rPr>
        <w:tab/>
        <w:t>În temeiul articolului 52 din Regulamentul (UE) 2018/1727, Eurojust poate stabili și menține relații de cooperare cu autoritățile din țările terțe și cu organizații internaționale. În acest scop, Eurojust trebuie să elaboreze, o dată la patru ani, în dialog cu Comisia, o strategie de cooperare care precizează țările terțe și organizațiile internaționale în legătură cu care există o necesitate operațională de cooperare. În consecință, în consultare cu Comisia, Eurojust a pregătit o astfel de strategie de cooperare pentru perioada 2024-2027.</w:t>
      </w:r>
    </w:p>
    <w:p>
      <w:pPr>
        <w:pStyle w:val="Point0"/>
        <w:rPr>
          <w:noProof/>
        </w:rPr>
      </w:pPr>
      <w:r>
        <w:rPr>
          <w:noProof/>
        </w:rPr>
        <w:t>(3)</w:t>
      </w:r>
      <w:r>
        <w:rPr>
          <w:noProof/>
        </w:rPr>
        <w:tab/>
        <w:t>Regulamentul (UE) 2018/1727, în special articolul 56, stabilește principiile generale pentru transferul de date cu caracter personal de la Agenția Uniunii Europene pentru Cooperare în Materie de Justiție Penală (Eurojust) către țări terțe și organizații internaționale. Eurojust poate transfera date cu caracter personal către o țară terță pe baza unui acord internațional încheiat între Uniune și țara terță respectivă în temeiul articolului 218 din Tratatul privind funcționarea Uniunii Europene, care să prevadă garanții adecvate în ceea ce privește protecția vieții private și a drepturilor și libertăților fundamentale ale persoanelor.</w:t>
      </w:r>
    </w:p>
    <w:p>
      <w:pPr>
        <w:pStyle w:val="Point0"/>
        <w:rPr>
          <w:noProof/>
        </w:rPr>
      </w:pPr>
      <w:r>
        <w:rPr>
          <w:noProof/>
        </w:rPr>
        <w:t>(4)</w:t>
      </w:r>
      <w:r>
        <w:rPr>
          <w:noProof/>
        </w:rPr>
        <w:tab/>
        <w:t xml:space="preserve">Ar trebui deschise negocieri în vederea încheierii unor astfel de acorduri între Uniune și </w:t>
      </w:r>
      <w:bookmarkStart w:id="2" w:name="_Hlk214883111"/>
      <w:r>
        <w:rPr>
          <w:noProof/>
        </w:rPr>
        <w:t>Bolivia, Canada, Chile, Costa Rica, Ecuador, Panama, Peru și Emiratele Arabe Unite</w:t>
      </w:r>
      <w:bookmarkEnd w:id="2"/>
      <w:r>
        <w:rPr>
          <w:noProof/>
        </w:rPr>
        <w:t>. Selectarea acestor țări se bazează pe o evaluare a nevoilor operaționale identificate, de exemplu, în Strategia Eurojust privind cooperarea cu partenerii internaționali pentru perioada 2024-2027, pe necesitatea de a asigura coerența cu cooperarea cu alte agenții și organisme din domeniul justiției și afacerilor interne, cum ar fi Europol, precum și pe interesele strategice legate de securitatea Uniunii Europene, în special în domeniul criminalității organizate și al traficului de droguri.</w:t>
      </w:r>
    </w:p>
    <w:p>
      <w:pPr>
        <w:pStyle w:val="Point0"/>
        <w:rPr>
          <w:noProof/>
        </w:rPr>
      </w:pPr>
      <w:r>
        <w:rPr>
          <w:noProof/>
        </w:rPr>
        <w:t>(5)</w:t>
      </w:r>
      <w:r>
        <w:rPr>
          <w:noProof/>
        </w:rPr>
        <w:tab/>
        <w:t xml:space="preserve">Acordurile cu aceste țări ar trebui să ofere un temei juridic pentru schimbul sistematic de date cu caracter personal și detașarea procurorilor de legătură, instrumente care nu sunt disponibile prin intermediul propriilor acorduri de lucru ale Eurojust. </w:t>
      </w:r>
    </w:p>
    <w:p>
      <w:pPr>
        <w:pStyle w:val="Point0"/>
        <w:rPr>
          <w:noProof/>
        </w:rPr>
      </w:pPr>
      <w:r>
        <w:rPr>
          <w:noProof/>
        </w:rPr>
        <w:t>(6)</w:t>
      </w:r>
      <w:r>
        <w:rPr>
          <w:noProof/>
        </w:rPr>
        <w:tab/>
        <w:t>Dacă este necesar, Comisia ar trebui să se consulte cu Autoritatea Europeană pentru Protecția Datelor (AEPD), inclusiv în timpul negocierii acordurilor și, în orice caz, înainte de încheierea acordurilor.</w:t>
      </w:r>
    </w:p>
    <w:p>
      <w:pPr>
        <w:pStyle w:val="Point0"/>
        <w:rPr>
          <w:noProof/>
        </w:rPr>
      </w:pPr>
      <w:r>
        <w:rPr>
          <w:noProof/>
        </w:rPr>
        <w:t>(7)</w:t>
      </w:r>
      <w:r>
        <w:rPr>
          <w:noProof/>
        </w:rPr>
        <w:tab/>
        <w:t>Acordurile ar trebui să respecte drepturile fundamentale și principiile recunoscute în Carta drepturilor fundamentale a Uniunii Europene, în special dreptul la respectarea vieții private și de familie, recunoscut la articolul 7 din cartă, dreptul la protecția datelor cu caracter personal, recunoscut la articolul 8 din cartă, și dreptul la o cale de atac eficientă și la un proces echitabil, recunoscut la articolul 47 din cartă. În plus, este interzis orice schimb de informații care conduce la tratamente și pedepse inumane și degradante și, dacă este cazul, legate de pedeapsa cu moartea. Acordurile ar trebui să se aplice în conformitate cu aceste drepturi și principii.</w:t>
      </w:r>
    </w:p>
    <w:p>
      <w:pPr>
        <w:pStyle w:val="Point0"/>
        <w:rPr>
          <w:noProof/>
        </w:rPr>
      </w:pPr>
      <w:r>
        <w:rPr>
          <w:noProof/>
        </w:rPr>
        <w:t>(8)</w:t>
      </w:r>
      <w:r>
        <w:rPr>
          <w:noProof/>
        </w:rPr>
        <w:tab/>
        <w:t>Acordurile nu ar trebui să afecteze transferul de date cu caracter personal sau alte forme de cooperare între autoritățile responsabile de protejarea securității naționale și nu ar trebui să aducă atingere acestora.</w:t>
      </w:r>
    </w:p>
    <w:p>
      <w:pPr>
        <w:pStyle w:val="Point0"/>
        <w:rPr>
          <w:noProof/>
        </w:rPr>
      </w:pPr>
      <w:r>
        <w:rPr>
          <w:noProof/>
        </w:rPr>
        <w:t>(9)</w:t>
      </w:r>
      <w:r>
        <w:rPr>
          <w:noProof/>
        </w:rPr>
        <w:tab/>
        <w:t>Irlanda are obligații în temeiul Regulamentului (UE) 2018/1727 și, prin urmare, participă la adoptarea prezentei decizii.</w:t>
      </w:r>
    </w:p>
    <w:p>
      <w:pPr>
        <w:pStyle w:val="Point0"/>
        <w:rPr>
          <w:noProof/>
        </w:rPr>
      </w:pPr>
      <w:r>
        <w:rPr>
          <w:noProof/>
        </w:rPr>
        <w:t>(10)</w:t>
      </w:r>
      <w:r>
        <w:rPr>
          <w:noProof/>
        </w:rPr>
        <w:tab/>
        <w:t>În conformitate cu articolele 1 și 2 din Protocolul nr. 22 privind poziția Danemarcei, anexat la Tratatul privind Uniunea Europeană și la Tratatul privind funcționarea Uniunii Europene, Danemarca nu participă la adoptarea prezentei decizii, aceasta nu este obligatorie pentru respectivul stat membru și nu i se aplică.</w:t>
      </w:r>
    </w:p>
    <w:p>
      <w:pPr>
        <w:pStyle w:val="Point0"/>
        <w:rPr>
          <w:noProof/>
        </w:rPr>
      </w:pPr>
      <w:r>
        <w:rPr>
          <w:noProof/>
        </w:rPr>
        <w:t>(11)</w:t>
      </w:r>
      <w:r>
        <w:rPr>
          <w:noProof/>
        </w:rPr>
        <w:tab/>
        <w:t>Autoritatea Europeană pentru Protecția Datelor (AEPD) a fost consultată cu privire la prezenta decizie și anexa la aceasta și a emis un aviz la (data),</w:t>
      </w:r>
    </w:p>
    <w:p>
      <w:pPr>
        <w:pStyle w:val="Formuledadoption"/>
        <w:rPr>
          <w:noProof/>
        </w:rPr>
      </w:pPr>
    </w:p>
    <w:p>
      <w:pPr>
        <w:rPr>
          <w:noProof/>
        </w:rPr>
      </w:pPr>
      <w:r>
        <w:rPr>
          <w:noProof/>
        </w:rPr>
        <w:t xml:space="preserve">ADOPTĂ PREZENTA DECIZIE: </w:t>
      </w:r>
    </w:p>
    <w:p>
      <w:pPr>
        <w:pStyle w:val="Titrearticle"/>
        <w:rPr>
          <w:noProof/>
        </w:rPr>
      </w:pPr>
      <w:r>
        <w:rPr>
          <w:noProof/>
        </w:rPr>
        <w:t>Articolul 1</w:t>
      </w:r>
    </w:p>
    <w:p>
      <w:pPr>
        <w:rPr>
          <w:noProof/>
        </w:rPr>
      </w:pPr>
      <w:r>
        <w:rPr>
          <w:noProof/>
        </w:rPr>
        <w:t>Se autorizează deschiderea negocierilor pentru încheierea de acorduri internaționale între Uniunea Europeană și Bolivia, Canada, Chile, Costa Rica, Ecuador, Panama, Peru și Emiratele Arabe Unite privind cooperarea dintre Agenția Uniunii Europene pentru Cooperare în Materie de Justiție Penală (Eurojust) și autoritățile competente pentru cooperarea judiciară în materie penală din aceste state terțe.</w:t>
      </w:r>
    </w:p>
    <w:p>
      <w:pPr>
        <w:rPr>
          <w:noProof/>
          <w:szCs w:val="24"/>
        </w:rPr>
      </w:pPr>
    </w:p>
    <w:p>
      <w:pPr>
        <w:pStyle w:val="Titrearticle"/>
        <w:rPr>
          <w:noProof/>
        </w:rPr>
      </w:pPr>
      <w:r>
        <w:rPr>
          <w:noProof/>
        </w:rPr>
        <w:t>Articolul 2</w:t>
      </w:r>
    </w:p>
    <w:p>
      <w:pPr>
        <w:rPr>
          <w:noProof/>
          <w:szCs w:val="24"/>
        </w:rPr>
      </w:pPr>
      <w:r>
        <w:rPr>
          <w:noProof/>
        </w:rPr>
        <w:t>Comisia este desemnată negociator al Uniunii.</w:t>
      </w:r>
    </w:p>
    <w:p>
      <w:pPr>
        <w:rPr>
          <w:noProof/>
          <w:szCs w:val="24"/>
        </w:rPr>
      </w:pPr>
    </w:p>
    <w:p>
      <w:pPr>
        <w:pStyle w:val="Titrearticle"/>
        <w:rPr>
          <w:noProof/>
        </w:rPr>
      </w:pPr>
      <w:r>
        <w:rPr>
          <w:noProof/>
        </w:rPr>
        <w:t>Articolul 3</w:t>
      </w:r>
    </w:p>
    <w:p>
      <w:pPr>
        <w:rPr>
          <w:noProof/>
          <w:szCs w:val="24"/>
        </w:rPr>
      </w:pPr>
      <w:r>
        <w:rPr>
          <w:noProof/>
        </w:rPr>
        <w:t xml:space="preserve">Directivele de negociere prevăzute în anexa la prezenta decizie se adresează Comisiei. </w:t>
      </w:r>
    </w:p>
    <w:p>
      <w:pPr>
        <w:rPr>
          <w:noProof/>
          <w:szCs w:val="24"/>
        </w:rPr>
      </w:pPr>
    </w:p>
    <w:p>
      <w:pPr>
        <w:pStyle w:val="Titrearticle"/>
        <w:rPr>
          <w:noProof/>
        </w:rPr>
      </w:pPr>
      <w:bookmarkStart w:id="3" w:name="_Hlk214551990"/>
      <w:r>
        <w:rPr>
          <w:noProof/>
        </w:rPr>
        <w:t>Articolul 4</w:t>
      </w:r>
    </w:p>
    <w:p>
      <w:pPr>
        <w:rPr>
          <w:noProof/>
          <w:szCs w:val="24"/>
        </w:rPr>
      </w:pPr>
      <w:bookmarkStart w:id="4" w:name="_Hlk214552023"/>
      <w:r>
        <w:rPr>
          <w:noProof/>
        </w:rPr>
        <w:t>Negocierile se desfășoară în consultare cu [grupul de pregătire al Consiliului], care este desemnat prin prezenta decizie drept comitetul special prevăzut la articolul 218 alineatul (4) din TFUE.</w:t>
      </w:r>
      <w:bookmarkEnd w:id="3"/>
      <w:bookmarkEnd w:id="4"/>
    </w:p>
    <w:p>
      <w:pPr>
        <w:pStyle w:val="Titrearticle"/>
        <w:rPr>
          <w:noProof/>
        </w:rPr>
      </w:pPr>
      <w:r>
        <w:rPr>
          <w:noProof/>
        </w:rPr>
        <w:t>Articolul 5</w:t>
      </w:r>
    </w:p>
    <w:p>
      <w:pPr>
        <w:rPr>
          <w:noProof/>
          <w:szCs w:val="24"/>
        </w:rPr>
      </w:pPr>
      <w:r>
        <w:rPr>
          <w:noProof/>
        </w:rPr>
        <w:t>Prezenta decizie se adresează Comisiei.</w:t>
      </w:r>
    </w:p>
    <w:p>
      <w:pPr>
        <w:rPr>
          <w:noProof/>
          <w:szCs w:val="24"/>
        </w:rPr>
      </w:pPr>
    </w:p>
    <w:p>
      <w:pPr>
        <w:pStyle w:val="Fait"/>
        <w:rPr>
          <w:noProof/>
        </w:rPr>
      </w:pPr>
      <w:r>
        <w:rPr>
          <w:noProof/>
        </w:rPr>
        <w:t>Adoptată la Bruxelles,</w:t>
      </w:r>
    </w:p>
    <w:p>
      <w:pPr>
        <w:pStyle w:val="Institutionquisigne"/>
        <w:rPr>
          <w:noProof/>
        </w:rPr>
      </w:pPr>
      <w:r>
        <w:rPr>
          <w:noProof/>
        </w:rPr>
        <w:tab/>
        <w:t>Pentru Consiliu</w:t>
      </w:r>
    </w:p>
    <w:p>
      <w:pPr>
        <w:pStyle w:val="Personnequisigne"/>
        <w:rPr>
          <w:noProof/>
        </w:rPr>
      </w:pPr>
      <w:r>
        <w:rPr>
          <w:noProof/>
        </w:rPr>
        <w:tab/>
        <w:t>Președintele</w:t>
      </w:r>
    </w:p>
    <w:sectPr>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Comunicarea Comisiei referitoare la Strategia UE de combatere a criminalității organizate 2021-2025, COM(2021) 170 final.</w:t>
      </w:r>
    </w:p>
  </w:footnote>
  <w:footnote w:id="2">
    <w:p>
      <w:pPr>
        <w:pStyle w:val="FootnoteText"/>
      </w:pPr>
      <w:r>
        <w:rPr>
          <w:rStyle w:val="FootnoteReference"/>
        </w:rPr>
        <w:footnoteRef/>
      </w:r>
      <w:r>
        <w:tab/>
        <w:t>Comunicarea Comisiei privind ProtectEU: o strategie europeană de securitate internă, COM(2025) 148 final.</w:t>
      </w:r>
    </w:p>
  </w:footnote>
  <w:footnote w:id="3">
    <w:p>
      <w:pPr>
        <w:pStyle w:val="FootnoteText"/>
      </w:pPr>
      <w:r>
        <w:rPr>
          <w:rStyle w:val="FootnoteReference"/>
        </w:rPr>
        <w:footnoteRef/>
      </w:r>
      <w:r>
        <w:tab/>
        <w:t xml:space="preserve">Regulamentul (UE) 2018/1727 din 14 noiembrie 2018, JO L 295, 21.11.2018, p. 138. Cele 12 acorduri de cooperare pot fi consultate la adresa </w:t>
      </w:r>
      <w:hyperlink r:id="rId1" w:history="1">
        <w:r>
          <w:rPr>
            <w:rStyle w:val="Hyperlink"/>
          </w:rPr>
          <w:t>https://www.eurojust.europa.eu/states-and-partners/third-countries/agreements-cooperation</w:t>
        </w:r>
      </w:hyperlink>
      <w:r>
        <w:t xml:space="preserve">. </w:t>
      </w:r>
    </w:p>
  </w:footnote>
  <w:footnote w:id="4">
    <w:p>
      <w:pPr>
        <w:pStyle w:val="FootnoteText"/>
      </w:pPr>
      <w:r>
        <w:rPr>
          <w:rStyle w:val="FootnoteReference"/>
        </w:rPr>
        <w:footnoteRef/>
      </w:r>
      <w:r>
        <w:tab/>
        <w:t>Semnat la 5 aprilie 2024. Consiliul a adoptat decizia de încheiere a acestuia la 10 octombrie 2024, JO L 31.10.2024, </w:t>
      </w:r>
      <w:hyperlink r:id="rId2" w:history="1">
        <w:r>
          <w:rPr>
            <w:rStyle w:val="Hyperlink"/>
          </w:rPr>
          <w:t>EUR-Lex – 22024A02737 – RO – EUR-Lex</w:t>
        </w:r>
      </w:hyperlink>
      <w:r>
        <w:t>.</w:t>
      </w:r>
    </w:p>
  </w:footnote>
  <w:footnote w:id="5">
    <w:p>
      <w:pPr>
        <w:pStyle w:val="FootnoteText"/>
      </w:pPr>
      <w:r>
        <w:rPr>
          <w:rStyle w:val="FootnoteReference"/>
        </w:rPr>
        <w:footnoteRef/>
      </w:r>
      <w:r>
        <w:tab/>
        <w:t xml:space="preserve">Semnat la 28 octombrie 2024. Consiliul a adoptat decizia de încheiere a acestuia la 14 aprilie 2025, JO L, 7.5.2025, </w:t>
      </w:r>
      <w:hyperlink r:id="rId3" w:history="1">
        <w:r>
          <w:rPr>
            <w:rStyle w:val="Hyperlink"/>
          </w:rPr>
          <w:t>https://eur-lex.europa.eu/eli/agree_internation/2025/867/oj/eng</w:t>
        </w:r>
      </w:hyperlink>
      <w:r>
        <w:t>.</w:t>
      </w:r>
    </w:p>
  </w:footnote>
  <w:footnote w:id="6">
    <w:p>
      <w:pPr>
        <w:pStyle w:val="FootnoteText"/>
      </w:pPr>
      <w:r>
        <w:rPr>
          <w:rStyle w:val="FootnoteReference"/>
        </w:rPr>
        <w:footnoteRef/>
      </w:r>
      <w:r>
        <w:tab/>
        <w:t>Semnat la 2 decembrie 2025. Consiliul a adoptat decizia de încheiere a acestuia la 4 iunie 2026, JO L, 3.7.2026, https://eur-lex.europa.eu/eli/dec/2026/1522/oj?eliuri=eli%3Adec%3A2026%3A1522%3Aoj&amp;locale=ro.</w:t>
      </w:r>
    </w:p>
  </w:footnote>
  <w:footnote w:id="7">
    <w:p>
      <w:pPr>
        <w:pStyle w:val="FootnoteText"/>
      </w:pPr>
      <w:r>
        <w:rPr>
          <w:rStyle w:val="FootnoteReference"/>
        </w:rPr>
        <w:footnoteRef/>
      </w:r>
      <w:r>
        <w:tab/>
        <w:t xml:space="preserve">Acord comercial și de cooperare între Uniunea Europeană și Comunitatea Europeană a Energiei Atomice, pe de o parte, și Regatul Unit al Marii Britanii și Irlandei de Nord, pe de altă parte, JO L149, 30.4.2021, https://eur-lex.europa.eu/eli/agree_internation/2021/689(1)/oj. </w:t>
      </w:r>
    </w:p>
  </w:footnote>
  <w:footnote w:id="8">
    <w:p>
      <w:pPr>
        <w:pStyle w:val="FootnoteText"/>
      </w:pPr>
      <w:r>
        <w:rPr>
          <w:rStyle w:val="FootnoteReference"/>
        </w:rPr>
        <w:footnoteRef/>
      </w:r>
      <w:r>
        <w:tab/>
        <w:t>https://www.eurojust.europa.eu/states-and-partners/third-countries/strategy-cooperation-international-partners.</w:t>
      </w:r>
    </w:p>
  </w:footnote>
  <w:footnote w:id="9">
    <w:p>
      <w:pPr>
        <w:pStyle w:val="FootnoteText"/>
      </w:pPr>
      <w:r>
        <w:rPr>
          <w:rStyle w:val="FootnoteReference"/>
        </w:rPr>
        <w:footnoteRef/>
      </w:r>
      <w:r>
        <w:tab/>
        <w:t>A se vedea nota de subsol 2 de mai sus.</w:t>
      </w:r>
    </w:p>
  </w:footnote>
  <w:footnote w:id="10">
    <w:p>
      <w:pPr>
        <w:pStyle w:val="FootnoteText"/>
      </w:pPr>
      <w:r>
        <w:rPr>
          <w:rStyle w:val="FootnoteReference"/>
        </w:rPr>
        <w:footnoteRef/>
      </w:r>
      <w:r>
        <w:tab/>
        <w:t>https://www.eurojust.europa.eu/states-and-partners/third-countries/working-arrangements.</w:t>
      </w:r>
    </w:p>
  </w:footnote>
  <w:footnote w:id="11">
    <w:p>
      <w:pPr>
        <w:pStyle w:val="FootnoteText"/>
      </w:pPr>
      <w:r>
        <w:rPr>
          <w:rStyle w:val="FootnoteReference"/>
        </w:rPr>
        <w:footnoteRef/>
      </w:r>
      <w:r>
        <w:tab/>
        <w:t>A se vedea, în acest context, concluziile Consiliului Justiție și Afaceri Interne (JAI), 12-13 iunie 2024. De asemenea, a se vedea Declarația de la Veneția a reuniunii miniștrilor de justiție ai G7, 9­10 mai 2024.</w:t>
      </w:r>
    </w:p>
  </w:footnote>
  <w:footnote w:id="12">
    <w:p>
      <w:pPr>
        <w:pStyle w:val="FootnoteText"/>
      </w:pPr>
      <w:r>
        <w:rPr>
          <w:rStyle w:val="FootnoteReference"/>
        </w:rPr>
        <w:footnoteRef/>
      </w:r>
      <w:r>
        <w:tab/>
        <w:t xml:space="preserve">Directiva (UE) 2023/977 privind schimbul de informații dintre autoritățile de aplicare a legii ale statelor membre și de abrogare a Deciziei-cadru 2006/960/JAI a Consiliului, JO L 134, 22.5.2023, </w:t>
      </w:r>
      <w:hyperlink r:id="rId4" w:tooltip="Oferă acces la acest document prin identificatorul său uniform de resurse ELI." w:history="1">
        <w:r>
          <w:rPr>
            <w:rStyle w:val="Hyperlink"/>
          </w:rPr>
          <w:t>http://data.europa.eu/eli/dir/2023/977/oj</w:t>
        </w:r>
      </w:hyperlink>
      <w:r>
        <w:t>.</w:t>
      </w:r>
    </w:p>
  </w:footnote>
  <w:footnote w:id="13">
    <w:p>
      <w:pPr>
        <w:pStyle w:val="FootnoteText"/>
      </w:pPr>
      <w:r>
        <w:rPr>
          <w:rStyle w:val="FootnoteReference"/>
        </w:rPr>
        <w:footnoteRef/>
      </w:r>
      <w:r>
        <w:tab/>
        <w:t>A se vedea nota de subsol de mai sus. 2.</w:t>
      </w:r>
    </w:p>
  </w:footnote>
  <w:footnote w:id="14">
    <w:p>
      <w:pPr>
        <w:pStyle w:val="FootnoteText"/>
      </w:pPr>
      <w:r>
        <w:rPr>
          <w:rStyle w:val="FootnoteReference"/>
        </w:rPr>
        <w:footnoteRef/>
      </w:r>
      <w:r>
        <w:tab/>
        <w:t xml:space="preserve">Semnat la 23 septembrie 2025. Consiliul a adoptat decizia de încheiere a acestuia la 30 martie 2026, JO L 828, 15.4.2026: </w:t>
      </w:r>
      <w:hyperlink r:id="rId5">
        <w:r>
          <w:rPr>
            <w:rStyle w:val="Hyperlink"/>
          </w:rPr>
          <w:t>http://data.europa.eu/eli/dec/2026/828/oj</w:t>
        </w:r>
      </w:hyperlink>
      <w:r>
        <w:t>.</w:t>
      </w:r>
    </w:p>
  </w:footnote>
  <w:footnote w:id="15">
    <w:p>
      <w:pPr>
        <w:pStyle w:val="FootnoteText"/>
      </w:pPr>
      <w:r>
        <w:rPr>
          <w:rStyle w:val="FootnoteReference"/>
        </w:rPr>
        <w:footnoteRef/>
      </w:r>
      <w:r>
        <w:tab/>
        <w:t>El PAcCTO este Programul Europa-America Latină de asistență împotriva criminalității transnaționale organizate.</w:t>
      </w:r>
    </w:p>
  </w:footnote>
  <w:footnote w:id="16">
    <w:p>
      <w:pPr>
        <w:pStyle w:val="FootnoteText"/>
      </w:pPr>
      <w:r>
        <w:rPr>
          <w:rStyle w:val="FootnoteReference"/>
        </w:rPr>
        <w:footnoteRef/>
      </w:r>
      <w:r>
        <w:tab/>
        <w:t>A se vedea mai sus partea referitoare la Bolivia.</w:t>
      </w:r>
    </w:p>
  </w:footnote>
  <w:footnote w:id="17">
    <w:p>
      <w:pPr>
        <w:pStyle w:val="FootnoteText"/>
      </w:pPr>
      <w:r>
        <w:rPr>
          <w:rStyle w:val="FootnoteReference"/>
        </w:rPr>
        <w:footnoteRef/>
      </w:r>
      <w:r>
        <w:tab/>
        <w:t>O urmărire penală UNIDOT se referă la procedurile judiciare inițiate de Unitatea națională specializată din Ecuador de investigare a criminalității transnaționale organizate (în spaniolă: </w:t>
      </w:r>
      <w:r>
        <w:rPr>
          <w:i/>
        </w:rPr>
        <w:t xml:space="preserve">Unidad Nacional de Investigación contra la Delincuencia Organizada Transnacional; </w:t>
      </w:r>
      <w:r>
        <w:rPr>
          <w:b/>
        </w:rPr>
        <w:t>FEDOTI</w:t>
      </w:r>
      <w:r>
        <w:t xml:space="preserve"> este Parchetul specializat pentru criminalitate organizată transnațională și internațională.</w:t>
      </w:r>
    </w:p>
  </w:footnote>
  <w:footnote w:id="18">
    <w:p>
      <w:pPr>
        <w:pStyle w:val="FootnoteText"/>
      </w:pPr>
      <w:r>
        <w:rPr>
          <w:rStyle w:val="FootnoteReference"/>
        </w:rPr>
        <w:footnoteRef/>
      </w:r>
      <w:r>
        <w:tab/>
        <w:t xml:space="preserve">Regulamentul (UE) 2023/2131 al Parlamentului European și al Consiliului din 4 octombrie 2023 de modificare a Regulamentului (UE) 2018/1727 al Parlamentului European și al Consiliului și a Deciziei 2005/671/JAI a Consiliului în ceea ce privește schimbul de informații digitale în cazurile de terorism. </w:t>
      </w:r>
      <w:bookmarkStart w:id="1" w:name="_Hlk231406929"/>
      <w:r>
        <w:t>JO L, 2023/2131, 11.10.2023, http://data.europa.eu/eli/reg/2023/2131/oj</w:t>
      </w:r>
      <w:bookmarkEnd w:id="1"/>
      <w:r>
        <w:t>.</w:t>
      </w:r>
    </w:p>
  </w:footnote>
  <w:footnote w:id="19">
    <w:p>
      <w:pPr>
        <w:pStyle w:val="FootnoteText"/>
      </w:pPr>
      <w:r>
        <w:rPr>
          <w:rStyle w:val="FootnoteReference"/>
        </w:rPr>
        <w:footnoteRef/>
      </w:r>
      <w:r>
        <w:tab/>
        <w:t>Regulamentul (UE) 2022/838 al Parlamentului European și al Consiliului din 30 mai 2022 de modificare a Regulamentului (UE) 2018/1727 în ceea ce privește conservarea, analizarea și stocarea în cadrul Eurojust a probelor referitoare la genocid, la crime împotriva umanității, la crime de război și la infracțiuni conexe.</w:t>
      </w:r>
    </w:p>
  </w:footnote>
  <w:footnote w:id="20">
    <w:p>
      <w:pPr>
        <w:pStyle w:val="FootnoteText"/>
      </w:pPr>
      <w:r>
        <w:rPr>
          <w:rStyle w:val="FootnoteReference"/>
        </w:rPr>
        <w:footnoteRef/>
      </w:r>
      <w:r>
        <w:tab/>
        <w:t>A se vedea notele de subsol 1 și 2.</w:t>
      </w:r>
    </w:p>
  </w:footnote>
  <w:footnote w:id="21">
    <w:p>
      <w:pPr>
        <w:pStyle w:val="FootnoteText"/>
      </w:pPr>
      <w:r>
        <w:rPr>
          <w:rStyle w:val="FootnoteReference"/>
        </w:rPr>
        <w:footnoteRef/>
      </w:r>
      <w:r>
        <w:tab/>
        <w:t>Comunicarea Comisiei referitoare la Strategia UE privind combaterea traficului de persoane 2021-2025 [COM (2021) 171 final].</w:t>
      </w:r>
    </w:p>
  </w:footnote>
  <w:footnote w:id="22">
    <w:p>
      <w:pPr>
        <w:pStyle w:val="FootnoteText"/>
      </w:pPr>
      <w:r>
        <w:rPr>
          <w:rStyle w:val="FootnoteReference"/>
        </w:rPr>
        <w:footnoteRef/>
      </w:r>
      <w:r>
        <w:tab/>
        <w:t>Comunicarea Comisiei privind ProtectEU: Agenda privind prevenirea și combaterea terorismului”, 26.2.2026, [COM(2026) 101 final].</w:t>
      </w:r>
    </w:p>
  </w:footnote>
  <w:footnote w:id="23">
    <w:p>
      <w:pPr>
        <w:pStyle w:val="FootnoteText"/>
      </w:pPr>
      <w:r>
        <w:rPr>
          <w:rStyle w:val="FootnoteReference"/>
        </w:rPr>
        <w:footnoteRef/>
      </w:r>
      <w:r>
        <w:tab/>
        <w:t>Comunicarea Comisiei – Agenda și Planul de acțiune ale UE în materie de droguri (2021-2025) [COM (2020) 606 final].</w:t>
      </w:r>
    </w:p>
  </w:footnote>
  <w:footnote w:id="24">
    <w:p>
      <w:pPr>
        <w:pStyle w:val="FootnoteText"/>
      </w:pPr>
      <w:r>
        <w:rPr>
          <w:rStyle w:val="FootnoteReference"/>
        </w:rPr>
        <w:footnoteRef/>
      </w:r>
      <w:r>
        <w:tab/>
        <w:t>Decizia 7047/20 a Consiliului din 23 aprilie 2020 și documentul CM 2178/20 al Consiliului din 13 mai 2020.</w:t>
      </w:r>
    </w:p>
  </w:footnote>
  <w:footnote w:id="25">
    <w:p>
      <w:pPr>
        <w:pStyle w:val="FootnoteText"/>
        <w:rPr>
          <w:b/>
          <w:bCs/>
        </w:rPr>
      </w:pPr>
      <w:r>
        <w:rPr>
          <w:rStyle w:val="FootnoteReference"/>
        </w:rPr>
        <w:footnoteRef/>
      </w:r>
      <w:r>
        <w:tab/>
        <w:t>Carta drepturilor fundamentale a Uniunii Europene,</w:t>
      </w:r>
      <w:r>
        <w:rPr>
          <w:b/>
        </w:rPr>
        <w:t xml:space="preserve"> </w:t>
      </w:r>
      <w:r>
        <w:rPr>
          <w:i/>
        </w:rPr>
        <w:t>JO C 202, 7.6.2016,</w:t>
      </w:r>
      <w:r>
        <w:t xml:space="preserve"> </w:t>
      </w:r>
      <w:hyperlink r:id="rId6" w:history="1">
        <w:r>
          <w:rPr>
            <w:rStyle w:val="Hyperlink"/>
          </w:rPr>
          <w:t>http://data.europa.eu/eli/treaty/char_2016/oj</w:t>
        </w:r>
      </w:hyperlink>
      <w:r>
        <w:t>.</w:t>
      </w:r>
    </w:p>
  </w:footnote>
  <w:footnote w:id="26">
    <w:p>
      <w:pPr>
        <w:pStyle w:val="FootnoteText"/>
      </w:pPr>
      <w:r>
        <w:rPr>
          <w:rStyle w:val="FootnoteReference"/>
        </w:rPr>
        <w:footnoteRef/>
      </w:r>
      <w:r>
        <w:tab/>
        <w:t xml:space="preserve">Regulamentul (UE) 2018/1727 al Parlamentului European și al Consiliului din 14 noiembrie 2018 privind Agenția Uniunii Europene pentru Cooperare în Materie de Justiție Penală (Eurojust) și de înlocuire și abrogare a Deciziei 2002/187/JAI a Consiliului (JO L 295, 21.11.2018, p. 138, </w:t>
      </w:r>
      <w:hyperlink r:id="rId7" w:tooltip="Oferă acces la acest document prin identificatorul său uniform de resurse ELI." w:history="1">
        <w:r>
          <w:rPr>
            <w:rStyle w:val="Hyperlink"/>
          </w:rPr>
          <w:t>http://data.europa.eu/eli/reg/2018/1727/oj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FB66440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27B2239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4522B32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7CDC70E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9 17:26:0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4D2A7D4E-C923-464C-8ABA-CC40D855997F"/>
    <w:docVar w:name="LW_COVERPAGE_TYPE" w:val="1"/>
    <w:docVar w:name="LW_CreatedUtc" w:val="2026-04-17T16:54:41.6718591Z"/>
    <w:docVar w:name="LW_CROSSREFERENCE" w:val="&lt;UNUSED&gt;"/>
    <w:docVar w:name="LW_DocType" w:val="COM"/>
    <w:docVar w:name="LW_EMISSION" w:val="10.9.2026"/>
    <w:docVar w:name="LW_EMISSION_ISODATE" w:val="2026-09-10"/>
    <w:docVar w:name="LW_EMISSION_LOCATION" w:val="BRX"/>
    <w:docVar w:name="LW_EMISSION_PREFIX" w:val="Bruxelles, "/>
    <w:docVar w:name="LW_EMISSION_SUFFIX" w:val=" "/>
    <w:docVar w:name="LW_ID_DOCMODEL" w:val="SG-001"/>
    <w:docVar w:name="LW_ID_DOCSIGNATURE" w:val="SG-001"/>
    <w:docVar w:name="LW_ID_DOCSTRUCTURE" w:val="COM/PL/ORG/NOEEA"/>
    <w:docVar w:name="LW_ID_DOCTYPE" w:val="SG-001"/>
    <w:docVar w:name="LW_ID_STATUT" w:val="SG-001"/>
    <w:docVar w:name="LW_INSERT_EXP.MOTIFS.NEW" w:val="1"/>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45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de autorizare a deschiderii negocierilor pentru încheierea de acorduri între Uniune \u537?i Bolivia, Canada, Chile, Costa Rica, Ecuador, Panama, Peru \u537?i Emiratele Arabe Unite privind cooperarea dintre Agen\u539?ia Uniunii Europene pentru Cooperare în Materie de Justi\u539?ie Penal\u259? (Eurojust) \u537?i autorit\u259?\u539?ile competente pentru cooperarea judiciar\u259? în materie penal\u259? din aceste state ter\u539?e _x000b_"/>
    <w:docVar w:name="LW_TYPE.DOC.CP" w:val="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A72F9E55-21AE-491D-B31C-65250EFDF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ListParagraph">
    <w:name w:val="List Paragraph"/>
    <w:basedOn w:val="Normal"/>
    <w:uiPriority w:val="34"/>
    <w:qFormat/>
    <w:pPr>
      <w:spacing w:before="0" w:after="160" w:line="259" w:lineRule="auto"/>
      <w:ind w:left="720"/>
      <w:contextualSpacing/>
      <w:jc w:val="left"/>
    </w:pPr>
    <w:rPr>
      <w:rFonts w:asciiTheme="minorHAnsi" w:hAnsiTheme="minorHAnsi" w:cstheme="minorBidi"/>
      <w:kern w:val="2"/>
      <w:sz w:val="22"/>
      <w14:ligatures w14:val="standardContextua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427854">
      <w:bodyDiv w:val="1"/>
      <w:marLeft w:val="0"/>
      <w:marRight w:val="0"/>
      <w:marTop w:val="0"/>
      <w:marBottom w:val="0"/>
      <w:divBdr>
        <w:top w:val="none" w:sz="0" w:space="0" w:color="auto"/>
        <w:left w:val="none" w:sz="0" w:space="0" w:color="auto"/>
        <w:bottom w:val="none" w:sz="0" w:space="0" w:color="auto"/>
        <w:right w:val="none" w:sz="0" w:space="0" w:color="auto"/>
      </w:divBdr>
    </w:div>
    <w:div w:id="262497756">
      <w:bodyDiv w:val="1"/>
      <w:marLeft w:val="0"/>
      <w:marRight w:val="0"/>
      <w:marTop w:val="0"/>
      <w:marBottom w:val="0"/>
      <w:divBdr>
        <w:top w:val="none" w:sz="0" w:space="0" w:color="auto"/>
        <w:left w:val="none" w:sz="0" w:space="0" w:color="auto"/>
        <w:bottom w:val="none" w:sz="0" w:space="0" w:color="auto"/>
        <w:right w:val="none" w:sz="0" w:space="0" w:color="auto"/>
      </w:divBdr>
    </w:div>
    <w:div w:id="1428847974">
      <w:bodyDiv w:val="1"/>
      <w:marLeft w:val="0"/>
      <w:marRight w:val="0"/>
      <w:marTop w:val="0"/>
      <w:marBottom w:val="0"/>
      <w:divBdr>
        <w:top w:val="none" w:sz="0" w:space="0" w:color="auto"/>
        <w:left w:val="none" w:sz="0" w:space="0" w:color="auto"/>
        <w:bottom w:val="none" w:sz="0" w:space="0" w:color="auto"/>
        <w:right w:val="none" w:sz="0" w:space="0" w:color="auto"/>
      </w:divBdr>
    </w:div>
    <w:div w:id="193901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RO/TXT/HTML/?uri=OJ:L_202500867" TargetMode="External"/><Relationship Id="rId7" Type="http://schemas.openxmlformats.org/officeDocument/2006/relationships/hyperlink" Target="http://data.europa.eu/eli/reg/2018/1727/oj" TargetMode="External"/><Relationship Id="rId2" Type="http://schemas.openxmlformats.org/officeDocument/2006/relationships/hyperlink" Target="https://eur-lex.europa.eu/legal-content/RO/TXT/?uri=CELEX%3A22024A02737&amp;qid=1773922527975" TargetMode="External"/><Relationship Id="rId1" Type="http://schemas.openxmlformats.org/officeDocument/2006/relationships/hyperlink" Target="https://www.eurojust.europa.eu/states-and-partners/third-countries/agreements-cooperation" TargetMode="External"/><Relationship Id="rId6" Type="http://schemas.openxmlformats.org/officeDocument/2006/relationships/hyperlink" Target="https://eur-lex.europa.eu/eli/treaty/char_2016/oj?eliuri=eli%3Atreaty%3Achar_2016%3Aoj&amp;locale=ro" TargetMode="External"/><Relationship Id="rId5" Type="http://schemas.openxmlformats.org/officeDocument/2006/relationships/hyperlink" Target="http://data.europa.eu/eli/dec/2026/828/oj." TargetMode="External"/><Relationship Id="rId4" Type="http://schemas.openxmlformats.org/officeDocument/2006/relationships/hyperlink" Target="http://data.europa.eu/eli/dir/2023/97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F1B87D5ABF651429579392F313233BD" ma:contentTypeVersion="8" ma:contentTypeDescription="Create a new document." ma:contentTypeScope="" ma:versionID="c023ff067c21ed04125e5978c772ea53">
  <xsd:schema xmlns:xsd="http://www.w3.org/2001/XMLSchema" xmlns:xs="http://www.w3.org/2001/XMLSchema" xmlns:p="http://schemas.microsoft.com/office/2006/metadata/properties" xmlns:ns2="b2332242-72eb-4c56-ab66-572cc47fcb14" xmlns:ns3="97c12176-f42e-47a4-9c39-4993e896fb64" targetNamespace="http://schemas.microsoft.com/office/2006/metadata/properties" ma:root="true" ma:fieldsID="a5b3ee2e7ef466fe8c534c646c298108" ns2:_="" ns3:_="">
    <xsd:import namespace="b2332242-72eb-4c56-ab66-572cc47fcb14"/>
    <xsd:import namespace="97c12176-f42e-47a4-9c39-4993e896fb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332242-72eb-4c56-ab66-572cc47fcb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c12176-f42e-47a4-9c39-4993e896fb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3FF2E-B1E3-4FE0-8346-70CD27692220}">
  <ds:schemaRefs>
    <ds:schemaRef ds:uri="http://schemas.microsoft.com/sharepoint/v3/contenttype/forms"/>
  </ds:schemaRefs>
</ds:datastoreItem>
</file>

<file path=customXml/itemProps2.xml><?xml version="1.0" encoding="utf-8"?>
<ds:datastoreItem xmlns:ds="http://schemas.openxmlformats.org/officeDocument/2006/customXml" ds:itemID="{79B7C227-E3B9-4CD9-9D76-16B0D459FB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332242-72eb-4c56-ab66-572cc47fcb14"/>
    <ds:schemaRef ds:uri="97c12176-f42e-47a4-9c39-4993e896fb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B75132-6C54-446D-9979-ACE070380A4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2912B80-D280-47C4-A721-C8BB819BE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41</TotalTime>
  <Pages>5</Pages>
  <Words>6106</Words>
  <Characters>34808</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40833</CharactersWithSpaces>
  <SharedDoc>false</SharedDoc>
  <HLinks>
    <vt:vector size="42" baseType="variant">
      <vt:variant>
        <vt:i4>6488175</vt:i4>
      </vt:variant>
      <vt:variant>
        <vt:i4>18</vt:i4>
      </vt:variant>
      <vt:variant>
        <vt:i4>0</vt:i4>
      </vt:variant>
      <vt:variant>
        <vt:i4>5</vt:i4>
      </vt:variant>
      <vt:variant>
        <vt:lpwstr>http://data.europa.eu/eli/reg/2018/1727/oj</vt:lpwstr>
      </vt:variant>
      <vt:variant>
        <vt:lpwstr/>
      </vt:variant>
      <vt:variant>
        <vt:i4>3735621</vt:i4>
      </vt:variant>
      <vt:variant>
        <vt:i4>15</vt:i4>
      </vt:variant>
      <vt:variant>
        <vt:i4>0</vt:i4>
      </vt:variant>
      <vt:variant>
        <vt:i4>5</vt:i4>
      </vt:variant>
      <vt:variant>
        <vt:lpwstr>http://data.europa.eu/eli/treaty/char_2016/oj</vt:lpwstr>
      </vt:variant>
      <vt:variant>
        <vt:lpwstr/>
      </vt:variant>
      <vt:variant>
        <vt:i4>4456460</vt:i4>
      </vt:variant>
      <vt:variant>
        <vt:i4>12</vt:i4>
      </vt:variant>
      <vt:variant>
        <vt:i4>0</vt:i4>
      </vt:variant>
      <vt:variant>
        <vt:i4>5</vt:i4>
      </vt:variant>
      <vt:variant>
        <vt:lpwstr>http://data.europa.eu/eli/dec/2026/828/oj</vt:lpwstr>
      </vt:variant>
      <vt:variant>
        <vt:lpwstr/>
      </vt:variant>
      <vt:variant>
        <vt:i4>4390936</vt:i4>
      </vt:variant>
      <vt:variant>
        <vt:i4>9</vt:i4>
      </vt:variant>
      <vt:variant>
        <vt:i4>0</vt:i4>
      </vt:variant>
      <vt:variant>
        <vt:i4>5</vt:i4>
      </vt:variant>
      <vt:variant>
        <vt:lpwstr>http://data.europa.eu/eli/dir/2023/977/oj</vt:lpwstr>
      </vt:variant>
      <vt:variant>
        <vt:lpwstr/>
      </vt:variant>
      <vt:variant>
        <vt:i4>5767221</vt:i4>
      </vt:variant>
      <vt:variant>
        <vt:i4>6</vt:i4>
      </vt:variant>
      <vt:variant>
        <vt:i4>0</vt:i4>
      </vt:variant>
      <vt:variant>
        <vt:i4>5</vt:i4>
      </vt:variant>
      <vt:variant>
        <vt:lpwstr>https://eur-lex.europa.eu/eli/agree_internation/2025/867/oj/eng</vt:lpwstr>
      </vt:variant>
      <vt:variant>
        <vt:lpwstr/>
      </vt:variant>
      <vt:variant>
        <vt:i4>720980</vt:i4>
      </vt:variant>
      <vt:variant>
        <vt:i4>3</vt:i4>
      </vt:variant>
      <vt:variant>
        <vt:i4>0</vt:i4>
      </vt:variant>
      <vt:variant>
        <vt:i4>5</vt:i4>
      </vt:variant>
      <vt:variant>
        <vt:lpwstr>https://eur-lex.europa.eu/legal-content/EN/TXT/?uri=CELEX%3A22024A02737&amp;qid=1773922527975</vt:lpwstr>
      </vt:variant>
      <vt:variant>
        <vt:lpwstr/>
      </vt:variant>
      <vt:variant>
        <vt:i4>4718603</vt:i4>
      </vt:variant>
      <vt:variant>
        <vt:i4>0</vt:i4>
      </vt:variant>
      <vt:variant>
        <vt:i4>0</vt:i4>
      </vt:variant>
      <vt:variant>
        <vt:i4>5</vt:i4>
      </vt:variant>
      <vt:variant>
        <vt:lpwstr>https://www.eurojust.europa.eu/states-and-partners/third-countries/agreements-cooperation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18</cp:revision>
  <cp:lastPrinted>2026-06-04T12:01:00Z</cp:lastPrinted>
  <dcterms:created xsi:type="dcterms:W3CDTF">2026-08-31T15:26:00Z</dcterms:created>
  <dcterms:modified xsi:type="dcterms:W3CDTF">2026-09-09T15:26:00Z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SG-001</vt:lpwstr>
  </property>
  <property fmtid="{D5CDD505-2E9C-101B-9397-08002B2CF9AE}" pid="10" name="MSIP_Label_6bd9ddd1-4d20-43f6-abfa-fc3c07406f94_Enabled">
    <vt:lpwstr>true</vt:lpwstr>
  </property>
  <property fmtid="{D5CDD505-2E9C-101B-9397-08002B2CF9AE}" pid="11" name="MSIP_Label_6bd9ddd1-4d20-43f6-abfa-fc3c07406f94_SetDate">
    <vt:lpwstr>2026-04-17T16:55:25Z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9928681f-de5c-43c0-bf5e-7705ae5d1e43</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0x010100FF1B87D5ABF651429579392F313233BD</vt:lpwstr>
  </property>
  <property fmtid="{D5CDD505-2E9C-101B-9397-08002B2CF9AE}" pid="19" name="MediaServiceImageTags">
    <vt:lpwstr/>
  </property>
  <property fmtid="{D5CDD505-2E9C-101B-9397-08002B2CF9AE}" pid="20" name="DQCStatus">
    <vt:lpwstr>Green (DQC version 03)</vt:lpwstr>
  </property>
</Properties>
</file>