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5668A" w14:textId="52A6F8BD" w:rsidR="006049C0" w:rsidRDefault="00802821" w:rsidP="00802821">
      <w:pPr>
        <w:pStyle w:val="Pagedecouverture"/>
        <w:rPr>
          <w:noProof/>
        </w:rPr>
      </w:pPr>
      <w:bookmarkStart w:id="0" w:name="_Toc212842540"/>
      <w:bookmarkStart w:id="1" w:name="LW_BM_COVERPAGE"/>
      <w:r>
        <w:rPr>
          <w:noProof/>
        </w:rPr>
        <w:pict w14:anchorId="489896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37A083A-4B6D-46A5-9D04-F7E0E1E9E167" style="width:455.25pt;height:286.5pt">
            <v:imagedata r:id="rId11" o:title=""/>
          </v:shape>
        </w:pict>
      </w:r>
    </w:p>
    <w:bookmarkEnd w:id="1"/>
    <w:p w14:paraId="3CF1F36B" w14:textId="77777777" w:rsidR="006049C0" w:rsidRDefault="006049C0" w:rsidP="006049C0">
      <w:pPr>
        <w:rPr>
          <w:noProof/>
        </w:rPr>
        <w:sectPr w:rsidR="006049C0" w:rsidSect="00802821">
          <w:headerReference w:type="even" r:id="rId12"/>
          <w:headerReference w:type="default" r:id="rId13"/>
          <w:footerReference w:type="even" r:id="rId14"/>
          <w:footerReference w:type="default" r:id="rId15"/>
          <w:headerReference w:type="first" r:id="rId16"/>
          <w:footerReference w:type="first" r:id="rId17"/>
          <w:endnotePr>
            <w:numFmt w:val="lowerLetter"/>
          </w:endnotePr>
          <w:pgSz w:w="11906" w:h="16838"/>
          <w:pgMar w:top="1134" w:right="1417" w:bottom="1134" w:left="1417" w:header="709" w:footer="709" w:gutter="0"/>
          <w:pgNumType w:start="0"/>
          <w:cols w:space="720"/>
          <w:docGrid w:linePitch="326"/>
        </w:sectPr>
      </w:pPr>
    </w:p>
    <w:p w14:paraId="020F784D" w14:textId="4045C675" w:rsidR="00506262" w:rsidRPr="00B5212B" w:rsidRDefault="72A7B6A3" w:rsidP="00E5070D">
      <w:pPr>
        <w:pStyle w:val="Heading1"/>
        <w:spacing w:before="0"/>
        <w:rPr>
          <w:noProof/>
        </w:rPr>
      </w:pPr>
      <w:bookmarkStart w:id="2" w:name="_GoBack"/>
      <w:bookmarkEnd w:id="2"/>
      <w:r>
        <w:rPr>
          <w:noProof/>
        </w:rPr>
        <w:lastRenderedPageBreak/>
        <w:t>Introduction</w:t>
      </w:r>
      <w:bookmarkEnd w:id="0"/>
    </w:p>
    <w:p w14:paraId="5D97D1BC" w14:textId="0C3DFE35" w:rsidR="00413162" w:rsidRPr="000E464F" w:rsidRDefault="00413162" w:rsidP="00413162">
      <w:pPr>
        <w:spacing w:line="240" w:lineRule="auto"/>
        <w:rPr>
          <w:noProof/>
          <w:sz w:val="24"/>
          <w:szCs w:val="24"/>
        </w:rPr>
      </w:pPr>
      <w:r>
        <w:rPr>
          <w:noProof/>
          <w:sz w:val="24"/>
        </w:rPr>
        <w:t xml:space="preserve">Obtenir des résultats dans le domaine de la migration est et restera une priorité politique. Les citoyens attendent de la politique en matière de migration et d’asile qu’elle soit équitable et ferme, qu’elle permette de gérer efficacement la migration et qu’elle demeure fidèle aux valeurs européennes. </w:t>
      </w:r>
    </w:p>
    <w:p w14:paraId="24560B57" w14:textId="77777777" w:rsidR="00413162" w:rsidRPr="000E464F" w:rsidRDefault="00413162" w:rsidP="00413162">
      <w:pPr>
        <w:spacing w:line="240" w:lineRule="auto"/>
        <w:rPr>
          <w:noProof/>
          <w:sz w:val="24"/>
          <w:szCs w:val="24"/>
        </w:rPr>
      </w:pPr>
      <w:r>
        <w:rPr>
          <w:noProof/>
          <w:sz w:val="24"/>
        </w:rPr>
        <w:t xml:space="preserve">Forte des progrès constants accomplis ces dernières années, l’Union européenne ouvre à présent un nouveau chapitre. La Commission et les États membres collaborent étroitement pour </w:t>
      </w:r>
      <w:r>
        <w:rPr>
          <w:b/>
          <w:noProof/>
          <w:sz w:val="24"/>
        </w:rPr>
        <w:t>réduire la migration irrégulière et améliorer la gestion de la migration</w:t>
      </w:r>
      <w:r>
        <w:rPr>
          <w:noProof/>
          <w:sz w:val="24"/>
        </w:rPr>
        <w:t>. La combinaison des réformes introduites par le pacte sur la migration et l’asile (ci-après le «pacte»), qui concilient solidarité et responsabilité, d’une diplomatie migratoire volontariste et d’une coopération opérationnelle efficace à l’intérieur et à l’extérieur de l’Union donne des résultats, notamment sous la forme d’une diminution progressive des arrivées illégales depuis 2023 (</w:t>
      </w:r>
      <w:r>
        <w:rPr>
          <w:rStyle w:val="FootnoteReference"/>
          <w:rFonts w:eastAsia="Yu Gothic"/>
          <w:noProof/>
        </w:rPr>
        <w:footnoteReference w:id="2"/>
      </w:r>
      <w:r>
        <w:rPr>
          <w:noProof/>
          <w:sz w:val="24"/>
        </w:rPr>
        <w:t xml:space="preserve">). </w:t>
      </w:r>
    </w:p>
    <w:p w14:paraId="13FDCD9E" w14:textId="77777777" w:rsidR="00413162" w:rsidRPr="000E464F" w:rsidRDefault="00413162" w:rsidP="00413162">
      <w:pPr>
        <w:spacing w:line="240" w:lineRule="auto"/>
        <w:rPr>
          <w:noProof/>
          <w:sz w:val="24"/>
          <w:szCs w:val="24"/>
        </w:rPr>
      </w:pPr>
      <w:r>
        <w:rPr>
          <w:noProof/>
          <w:sz w:val="24"/>
        </w:rPr>
        <w:t xml:space="preserve">Pour répondre aux attentes des citoyens, il est indispensable que l’UE adopte une approche de la gestion de la migration qui montre qu’elle est en mesure de </w:t>
      </w:r>
      <w:r>
        <w:rPr>
          <w:b/>
          <w:noProof/>
          <w:sz w:val="24"/>
        </w:rPr>
        <w:t>prévenir la migration irrégulière</w:t>
      </w:r>
      <w:r>
        <w:rPr>
          <w:noProof/>
          <w:sz w:val="24"/>
        </w:rPr>
        <w:t xml:space="preserve"> et de mettre un terme aux activités des réseaux criminels de passeurs, de </w:t>
      </w:r>
      <w:r>
        <w:rPr>
          <w:b/>
          <w:noProof/>
          <w:sz w:val="24"/>
        </w:rPr>
        <w:t>protéger les personnes</w:t>
      </w:r>
      <w:r>
        <w:rPr>
          <w:noProof/>
          <w:sz w:val="24"/>
        </w:rPr>
        <w:t xml:space="preserve"> qui fuient la guerre et les persécutions et d’</w:t>
      </w:r>
      <w:r>
        <w:rPr>
          <w:b/>
          <w:noProof/>
          <w:sz w:val="24"/>
        </w:rPr>
        <w:t>encourager les talents</w:t>
      </w:r>
      <w:r>
        <w:rPr>
          <w:noProof/>
          <w:sz w:val="24"/>
        </w:rPr>
        <w:t xml:space="preserve"> à venir sur son territoire afin de stimuler la compétitivité de son économie. </w:t>
      </w:r>
    </w:p>
    <w:p w14:paraId="0AC5E50B" w14:textId="7336A3E7" w:rsidR="00413162" w:rsidRPr="000E464F" w:rsidRDefault="008203F2" w:rsidP="00413162">
      <w:pPr>
        <w:spacing w:line="240" w:lineRule="auto"/>
        <w:rPr>
          <w:noProof/>
          <w:sz w:val="24"/>
          <w:szCs w:val="24"/>
        </w:rPr>
      </w:pPr>
      <w:bookmarkStart w:id="3" w:name="_Hlk219874760"/>
      <w:bookmarkStart w:id="4" w:name="_Hlk219874777"/>
      <w:r>
        <w:rPr>
          <w:noProof/>
          <w:sz w:val="24"/>
        </w:rPr>
        <w:t>La plupart des migrants qui arrivent</w:t>
      </w:r>
      <w:bookmarkEnd w:id="3"/>
      <w:r>
        <w:rPr>
          <w:noProof/>
          <w:sz w:val="24"/>
        </w:rPr>
        <w:t xml:space="preserve"> clandestinement dans l’Union et qui y séjournent illégalement ne peuvent prétendre à aucune forme de protection ni se prévaloir d’aucun droit de séjour</w:t>
      </w:r>
      <w:bookmarkEnd w:id="4"/>
      <w:r>
        <w:rPr>
          <w:noProof/>
          <w:sz w:val="24"/>
        </w:rPr>
        <w:t> (</w:t>
      </w:r>
      <w:r>
        <w:rPr>
          <w:rStyle w:val="FootnoteReference"/>
          <w:rFonts w:eastAsia="Yu Gothic"/>
          <w:noProof/>
        </w:rPr>
        <w:footnoteReference w:id="3"/>
      </w:r>
      <w:r>
        <w:rPr>
          <w:noProof/>
          <w:sz w:val="24"/>
        </w:rPr>
        <w:t>). Qui plus est, seul un quart environ des personnes sans droit de séjour quittent effectivement l’Union (</w:t>
      </w:r>
      <w:r>
        <w:rPr>
          <w:rStyle w:val="FootnoteReference"/>
          <w:rFonts w:eastAsia="Yu Gothic"/>
          <w:noProof/>
        </w:rPr>
        <w:footnoteReference w:id="4"/>
      </w:r>
      <w:r>
        <w:rPr>
          <w:noProof/>
          <w:sz w:val="24"/>
        </w:rPr>
        <w:t>). L’</w:t>
      </w:r>
      <w:r>
        <w:rPr>
          <w:b/>
          <w:noProof/>
          <w:sz w:val="24"/>
        </w:rPr>
        <w:t>utilisation abusive d’un système</w:t>
      </w:r>
      <w:r>
        <w:rPr>
          <w:noProof/>
          <w:sz w:val="24"/>
        </w:rPr>
        <w:t xml:space="preserve"> conçu pour protéger les personnes qui en ont réellement besoin est </w:t>
      </w:r>
      <w:r>
        <w:rPr>
          <w:b/>
          <w:noProof/>
          <w:sz w:val="24"/>
        </w:rPr>
        <w:t>intolérable</w:t>
      </w:r>
      <w:r>
        <w:rPr>
          <w:noProof/>
          <w:sz w:val="24"/>
        </w:rPr>
        <w:t>. Les failles découlant de ce dysfonctionnement permettent des séjours irréguliers de longue durée dans l’Union, avec tout ce que cela implique pour l’éducation, le logement et les services locaux, ce qui sape la confiance du public dans la capacité de l’Europe à gérer la migration et à façonner sa politique migratoire en fonction des intérêts européens. La capacité de notre continent à attirer la main-d’œuvre supplémentaire dont nos économies et nos marchés du travail ont besoin de toute urgence s’en ressent également. En outre, depuis 2021, l’instrumentalisation de la migration par la Biélorussie et la Russie complexifie encore la situation en matière de migration et de sécurité dans l’Union, en créant de nouvelles formes de menaces hybrides utilisant la migration à des fins politiques.</w:t>
      </w:r>
    </w:p>
    <w:p w14:paraId="64F084C6" w14:textId="40127823" w:rsidR="00413162" w:rsidRPr="000E464F" w:rsidRDefault="00413162" w:rsidP="00413162">
      <w:pPr>
        <w:spacing w:line="240" w:lineRule="auto"/>
        <w:rPr>
          <w:noProof/>
          <w:sz w:val="24"/>
          <w:szCs w:val="24"/>
        </w:rPr>
      </w:pPr>
      <w:r>
        <w:rPr>
          <w:noProof/>
          <w:sz w:val="24"/>
        </w:rPr>
        <w:t xml:space="preserve">Parmi les personnes qui entrent illégalement dans l’UE, 90 % recourent aux services de groupes criminels et de </w:t>
      </w:r>
      <w:r>
        <w:rPr>
          <w:b/>
          <w:noProof/>
          <w:sz w:val="24"/>
        </w:rPr>
        <w:t>réseaux de passeurs</w:t>
      </w:r>
      <w:r>
        <w:rPr>
          <w:noProof/>
          <w:sz w:val="24"/>
        </w:rPr>
        <w:t> (</w:t>
      </w:r>
      <w:r>
        <w:rPr>
          <w:rStyle w:val="FootnoteReference"/>
          <w:noProof/>
          <w:szCs w:val="24"/>
        </w:rPr>
        <w:footnoteReference w:id="5"/>
      </w:r>
      <w:r>
        <w:rPr>
          <w:noProof/>
          <w:sz w:val="24"/>
        </w:rPr>
        <w:t xml:space="preserve">) qui, dans leur quête de profit, n’hésitent pas à mettre la vie des intéressés en péril, que ce soit dans le désert ou en mer, à les priver de leur dignité et à bafouer les droits fondamentaux. Le trafic de migrants alimente un système criminel qui crée des tensions sociales et de l’insécurité le long des routes migratoires. Certes, la recherche d’une vie meilleure dans l’Union européenne peut être légitime, mais les personnes qui n’ont pas droit à une protection doivent agir dans le cadre </w:t>
      </w:r>
      <w:r>
        <w:rPr>
          <w:noProof/>
          <w:sz w:val="24"/>
        </w:rPr>
        <w:lastRenderedPageBreak/>
        <w:t xml:space="preserve">légal, en utilisant les voies légales appropriées. Chaque traversée clandestine évitée peut sauver des vies. </w:t>
      </w:r>
    </w:p>
    <w:p w14:paraId="7A229F74" w14:textId="77777777" w:rsidR="00413162" w:rsidRPr="000E464F" w:rsidRDefault="00413162" w:rsidP="00413162">
      <w:pPr>
        <w:spacing w:line="240" w:lineRule="auto"/>
        <w:rPr>
          <w:noProof/>
          <w:sz w:val="24"/>
          <w:szCs w:val="24"/>
        </w:rPr>
      </w:pPr>
      <w:r>
        <w:rPr>
          <w:noProof/>
          <w:sz w:val="24"/>
        </w:rPr>
        <w:t xml:space="preserve">L’UE reste déterminée à être un espace qui </w:t>
      </w:r>
      <w:r>
        <w:rPr>
          <w:b/>
          <w:noProof/>
          <w:sz w:val="24"/>
        </w:rPr>
        <w:t>protège les personnes fuyant la guerre et les persécutions</w:t>
      </w:r>
      <w:r>
        <w:rPr>
          <w:noProof/>
          <w:sz w:val="24"/>
        </w:rPr>
        <w:t>. Accorder une protection à ceux qui en ont besoin constitue une obligation en vertu du droit de l’Union et du droit international. L’Europe assure elle-même la protection d’un grand nombre de réfugiés et, au niveau international, la diplomatie et le soutien financier de l’Union contribuent à protéger les demandeurs d’asile et les réfugiés accueillis dans des pays tiers.</w:t>
      </w:r>
    </w:p>
    <w:p w14:paraId="1D4C2B31" w14:textId="1B173098" w:rsidR="00413162" w:rsidRPr="000E464F" w:rsidRDefault="00413162" w:rsidP="00413162">
      <w:pPr>
        <w:spacing w:line="240" w:lineRule="auto"/>
        <w:rPr>
          <w:noProof/>
          <w:sz w:val="24"/>
          <w:szCs w:val="24"/>
        </w:rPr>
      </w:pPr>
      <w:r>
        <w:rPr>
          <w:noProof/>
          <w:sz w:val="24"/>
        </w:rPr>
        <w:t>L’</w:t>
      </w:r>
      <w:r>
        <w:rPr>
          <w:b/>
          <w:noProof/>
          <w:sz w:val="24"/>
        </w:rPr>
        <w:t>aide</w:t>
      </w:r>
      <w:r>
        <w:rPr>
          <w:noProof/>
          <w:sz w:val="24"/>
        </w:rPr>
        <w:t xml:space="preserve"> apportée par l’UE </w:t>
      </w:r>
      <w:r>
        <w:rPr>
          <w:b/>
          <w:noProof/>
          <w:sz w:val="24"/>
        </w:rPr>
        <w:t>aux Ukrainiens</w:t>
      </w:r>
      <w:r>
        <w:rPr>
          <w:noProof/>
          <w:sz w:val="24"/>
        </w:rPr>
        <w:t xml:space="preserve"> est l’illustration la plus récente d’une longue tradition d’accueil qui s’est développée progressivement au fil du temps. Les citoyens européens ont ouvert leur foyer aux réfugiés fuyant la guerre d’agression menée par la Russie contre l’Ukraine (</w:t>
      </w:r>
      <w:r>
        <w:rPr>
          <w:rStyle w:val="FootnoteReference"/>
          <w:noProof/>
          <w:szCs w:val="24"/>
        </w:rPr>
        <w:footnoteReference w:id="6"/>
      </w:r>
      <w:r>
        <w:rPr>
          <w:noProof/>
          <w:sz w:val="24"/>
        </w:rPr>
        <w:t>), qui a entraîné le plus grand déplacement de population en Europe depuis la Seconde Guerre mondiale et l’accueil, dans l’Union, de plus de quatre millions de personnes déplacées. Fournir une protection temporaire aux Ukrainiens reste une priorité pour l’Union et les États membres, tout comme les aider à rentrer chez eux pour contribuer à la reconstruction de leur pays lorsque la situation le permettra, selon une approche coordonnée et progressive. Outre les bénéficiaires d’une protection temporaire, quelque 3,9 millions de demandeurs d’asile se sont vu accorder un statut de protection dans l’UE entre 2015 et 2024. Rien qu’en 2024, environ 438 000 demandeurs d’asile ont obtenu une protection (</w:t>
      </w:r>
      <w:r>
        <w:rPr>
          <w:rStyle w:val="FootnoteReference"/>
          <w:noProof/>
          <w:szCs w:val="24"/>
        </w:rPr>
        <w:footnoteReference w:id="7"/>
      </w:r>
      <w:r>
        <w:rPr>
          <w:noProof/>
          <w:sz w:val="24"/>
        </w:rPr>
        <w:t xml:space="preserve">). </w:t>
      </w:r>
    </w:p>
    <w:p w14:paraId="0E21A8A2" w14:textId="3D6D472E" w:rsidR="00413162" w:rsidRPr="000E464F" w:rsidRDefault="00413162" w:rsidP="00413162">
      <w:pPr>
        <w:spacing w:line="240" w:lineRule="auto"/>
        <w:rPr>
          <w:noProof/>
          <w:sz w:val="24"/>
          <w:szCs w:val="24"/>
        </w:rPr>
      </w:pPr>
      <w:r>
        <w:rPr>
          <w:noProof/>
          <w:sz w:val="24"/>
        </w:rPr>
        <w:t xml:space="preserve">Toutefois, l’utilisation abusive des régimes d’asile des États membres compromet leur </w:t>
      </w:r>
      <w:r>
        <w:rPr>
          <w:b/>
          <w:noProof/>
          <w:sz w:val="24"/>
        </w:rPr>
        <w:t>capacité de fournir une protection</w:t>
      </w:r>
      <w:r>
        <w:rPr>
          <w:noProof/>
          <w:sz w:val="24"/>
        </w:rPr>
        <w:t xml:space="preserve"> </w:t>
      </w:r>
      <w:r>
        <w:rPr>
          <w:b/>
          <w:noProof/>
          <w:sz w:val="24"/>
        </w:rPr>
        <w:t>et un accueil adéquat aux personnes qui en ont besoin</w:t>
      </w:r>
      <w:r>
        <w:rPr>
          <w:noProof/>
          <w:sz w:val="24"/>
        </w:rPr>
        <w:t>, ainsi que de proposer des programmes d’</w:t>
      </w:r>
      <w:r>
        <w:rPr>
          <w:b/>
          <w:noProof/>
          <w:sz w:val="24"/>
        </w:rPr>
        <w:t>intégration</w:t>
      </w:r>
      <w:r>
        <w:rPr>
          <w:noProof/>
          <w:sz w:val="24"/>
        </w:rPr>
        <w:t xml:space="preserve"> aux migrants autorisés à séjourner dans l’Union.</w:t>
      </w:r>
      <w:r>
        <w:rPr>
          <w:b/>
          <w:noProof/>
          <w:sz w:val="24"/>
        </w:rPr>
        <w:t xml:space="preserve"> </w:t>
      </w:r>
      <w:r>
        <w:rPr>
          <w:noProof/>
          <w:sz w:val="24"/>
        </w:rPr>
        <w:t xml:space="preserve">Par ailleurs, elle nuit au fonctionnement de l’espace Schengen, car les mouvements secondaires irréguliers portent atteinte à l’idée même de libre circulation sans frontières intérieures. Le pacte réforme le système européen de migration et d’asile, en prévoyant un contrôle accru de la migration irrégulière, en simplifiant les règles et les procédures en matière d’asile, en renforçant la résilience et la préparation et en introduisant des instruments destinés à la gestion d’éventuelles crises futures. </w:t>
      </w:r>
    </w:p>
    <w:p w14:paraId="3C4EFA4F" w14:textId="77777777" w:rsidR="00413162" w:rsidRPr="000E464F" w:rsidRDefault="00413162" w:rsidP="00413162">
      <w:pPr>
        <w:spacing w:line="240" w:lineRule="auto"/>
        <w:rPr>
          <w:noProof/>
          <w:sz w:val="24"/>
          <w:szCs w:val="24"/>
        </w:rPr>
      </w:pPr>
      <w:r>
        <w:rPr>
          <w:noProof/>
          <w:sz w:val="24"/>
        </w:rPr>
        <w:t xml:space="preserve">Il est dans l’intérêt mutuel de l’UE et de ses partenaires de prévenir la migration irrégulière, de protéger les personnes qui fuient la guerre et les persécutions et d’encourager la mobilité des talents. L’Union continue d’œuvrer à l’amélioration de ses systèmes de gestion de la migration, mais la clé de sa réussite réside dans une </w:t>
      </w:r>
      <w:r>
        <w:rPr>
          <w:b/>
          <w:noProof/>
          <w:sz w:val="24"/>
        </w:rPr>
        <w:t>bonne coopération avec les pays tiers partenaires</w:t>
      </w:r>
      <w:r>
        <w:rPr>
          <w:noProof/>
          <w:sz w:val="24"/>
        </w:rPr>
        <w:t>. En fin de compte, aucun pays ne peut régler seul les problèmes liés à ce phénomène mondial et tous les partenaires devraient jouer leur rôle, dans le cadre d’une approche axée sur l’ensemble de la route. Tout en continuant à reposer sur un cadre interne solide, la politique migratoire européenne devrait, à l’avenir, mettre davantage l’accent sur la coopération avec les pays partenaires. La Commission, en coopération avec les États membres, dans le cadre d’une approche «Équipe Europe», redoublera d’efforts en ce sens.</w:t>
      </w:r>
    </w:p>
    <w:p w14:paraId="3CE59007" w14:textId="63B00990" w:rsidR="00413162" w:rsidRPr="000E464F" w:rsidRDefault="00413162" w:rsidP="00413162">
      <w:pPr>
        <w:spacing w:line="240" w:lineRule="auto"/>
        <w:rPr>
          <w:noProof/>
          <w:sz w:val="24"/>
          <w:szCs w:val="24"/>
        </w:rPr>
      </w:pPr>
      <w:r>
        <w:rPr>
          <w:noProof/>
          <w:sz w:val="24"/>
        </w:rPr>
        <w:t xml:space="preserve">L’Union demeure une </w:t>
      </w:r>
      <w:r>
        <w:rPr>
          <w:b/>
          <w:noProof/>
          <w:sz w:val="24"/>
        </w:rPr>
        <w:t>destination attrayante pour les touristes, les étudiants, les chercheurs et les travailleurs</w:t>
      </w:r>
      <w:r>
        <w:rPr>
          <w:noProof/>
          <w:sz w:val="24"/>
        </w:rPr>
        <w:t>, plus de 90 % des ressortissants de pays tiers arrivant sur son territoire de manière légale et contrôlée. Ces arrivées contribuent à nos économies et à nos sociétés et façonnent nos cultures. En 2024, 1,7 million de personnes sont entrées légalement dans l’UE pour y travailler et y étudier (</w:t>
      </w:r>
      <w:r>
        <w:rPr>
          <w:rStyle w:val="FootnoteReference"/>
          <w:noProof/>
          <w:szCs w:val="24"/>
        </w:rPr>
        <w:footnoteReference w:id="8"/>
      </w:r>
      <w:r>
        <w:rPr>
          <w:noProof/>
          <w:sz w:val="24"/>
        </w:rPr>
        <w:t>). La récente numérisation des politiques de l’UE en matière de gestion des frontières et de visas améliore l’expérience des voyageurs en réduisant les délais d’attente et en rationalisant les procédures, tout en maintenant les normes de sécurité les plus élevées.</w:t>
      </w:r>
    </w:p>
    <w:p w14:paraId="4DD32287" w14:textId="77777777" w:rsidR="00413162" w:rsidRDefault="00413162" w:rsidP="00413162">
      <w:pPr>
        <w:spacing w:line="240" w:lineRule="auto"/>
        <w:rPr>
          <w:noProof/>
          <w:sz w:val="24"/>
          <w:szCs w:val="24"/>
        </w:rPr>
      </w:pPr>
      <w:r>
        <w:rPr>
          <w:noProof/>
          <w:sz w:val="24"/>
        </w:rPr>
        <w:t xml:space="preserve">L’UE est un continent ouvert et connecté au reste du monde, dont la population active vieillit et se réduit et qui est aujourd’hui confronté à des pénuries de main-d’œuvre et de compétences dans de nombreux secteurs. Pour continuer à croître sur le plan économique, favoriser la compétitivité et promouvoir une autonomie stratégique ouverte, l’Union doit devenir un pôle mondial capable </w:t>
      </w:r>
      <w:r>
        <w:rPr>
          <w:b/>
          <w:noProof/>
          <w:sz w:val="24"/>
        </w:rPr>
        <w:t>d’attirer et de retenir les talents</w:t>
      </w:r>
      <w:r>
        <w:rPr>
          <w:noProof/>
          <w:sz w:val="24"/>
        </w:rPr>
        <w:t xml:space="preserve">. À cette fin, l’Union et ses États membres devraient s’attaquer aux goulets d’étranglement qui ralentissent leurs systèmes, y compris en ce qui concerne le traitement des demandes de visa et la reconnaissance des qualifications, et intensifier la coopération stratégique avec leurs partenaires afin de faciliter l’accès des talents à leur territoire, en encourageant l’arrivée d’étudiants, de chercheurs et de travailleurs de tous niveaux de compétences, ainsi qu’en maximisant le potentiel humain de tous ceux qui sont déjà sur place. </w:t>
      </w:r>
    </w:p>
    <w:p w14:paraId="37E0618C" w14:textId="5F2ED64A" w:rsidR="00413162" w:rsidRPr="000E464F" w:rsidRDefault="00413162" w:rsidP="00413162">
      <w:pPr>
        <w:spacing w:line="240" w:lineRule="auto"/>
        <w:rPr>
          <w:noProof/>
          <w:sz w:val="24"/>
          <w:szCs w:val="24"/>
        </w:rPr>
      </w:pPr>
      <w:r>
        <w:rPr>
          <w:noProof/>
          <w:sz w:val="24"/>
        </w:rPr>
        <w:t xml:space="preserve">Dans le cadre d’une vision à plus long terme, il convient également de tenir compte des </w:t>
      </w:r>
      <w:r>
        <w:rPr>
          <w:b/>
          <w:noProof/>
          <w:sz w:val="24"/>
        </w:rPr>
        <w:t>évolutions technologiques</w:t>
      </w:r>
      <w:r>
        <w:rPr>
          <w:noProof/>
          <w:sz w:val="24"/>
        </w:rPr>
        <w:t xml:space="preserve"> en cours, qui ouvrent de nouvelles possibilités, encore inexploitées, d’accroître l’efficacité et la sécurité des processus migratoires. La présente stratégie vise à exploiter le potentiel de la numérisation et de l’intelligence artificielle (IA) dans le domaine de la migration et de l’asile afin de doter les États membres d’outils modernes, sûrs et efficients pour améliorer la qualité, la cohérence et la rapidité de la prise de décision, ainsi que pour renforcer la sécurité, tout en améliorant les services fournis aux personnes. </w:t>
      </w:r>
    </w:p>
    <w:p w14:paraId="360AFCCB" w14:textId="736BCB0D" w:rsidR="00413162" w:rsidRPr="000E464F" w:rsidRDefault="00413162" w:rsidP="00413162">
      <w:pPr>
        <w:spacing w:line="240" w:lineRule="auto"/>
        <w:rPr>
          <w:noProof/>
          <w:sz w:val="24"/>
          <w:szCs w:val="24"/>
        </w:rPr>
      </w:pPr>
      <w:r>
        <w:rPr>
          <w:noProof/>
          <w:sz w:val="24"/>
        </w:rPr>
        <w:t>La présente stratégie a été élaborée conformément au règlement relatif à la gestion de l’asile et de la migration (</w:t>
      </w:r>
      <w:r>
        <w:rPr>
          <w:rStyle w:val="FootnoteReference"/>
          <w:noProof/>
          <w:szCs w:val="24"/>
        </w:rPr>
        <w:footnoteReference w:id="9"/>
      </w:r>
      <w:r>
        <w:rPr>
          <w:noProof/>
          <w:sz w:val="24"/>
        </w:rPr>
        <w:t xml:space="preserve">); elle s’appuie sur les </w:t>
      </w:r>
      <w:r>
        <w:rPr>
          <w:b/>
          <w:noProof/>
          <w:sz w:val="24"/>
        </w:rPr>
        <w:t>stratégies nationales</w:t>
      </w:r>
      <w:r>
        <w:rPr>
          <w:noProof/>
          <w:sz w:val="24"/>
        </w:rPr>
        <w:t xml:space="preserve"> présentées par les États membres (</w:t>
      </w:r>
      <w:r>
        <w:rPr>
          <w:noProof/>
          <w:sz w:val="24"/>
          <w:szCs w:val="24"/>
          <w:vertAlign w:val="superscript"/>
        </w:rPr>
        <w:footnoteReference w:id="10"/>
      </w:r>
      <w:r>
        <w:rPr>
          <w:noProof/>
          <w:sz w:val="24"/>
        </w:rPr>
        <w:t>) en application dudit règlement (</w:t>
      </w:r>
      <w:r>
        <w:rPr>
          <w:rStyle w:val="FootnoteReference"/>
          <w:noProof/>
          <w:szCs w:val="24"/>
        </w:rPr>
        <w:footnoteReference w:id="11"/>
      </w:r>
      <w:r>
        <w:rPr>
          <w:noProof/>
          <w:sz w:val="24"/>
        </w:rPr>
        <w:t>) et tient compte des avis exprimés par le Parlement européen (</w:t>
      </w:r>
      <w:r>
        <w:rPr>
          <w:noProof/>
          <w:sz w:val="24"/>
          <w:szCs w:val="24"/>
          <w:vertAlign w:val="superscript"/>
        </w:rPr>
        <w:footnoteReference w:id="12"/>
      </w:r>
      <w:r>
        <w:rPr>
          <w:noProof/>
          <w:sz w:val="24"/>
        </w:rPr>
        <w:t>), les États membres et les différentes parties prenantes, dont les agences de l’UE. Elle vise à définir une politique européenne en matière de migration et d’asile qui renforce la cohésion de l’UE, recherche des pistes innovantes pour l’avenir et affirme le rôle régional et mondial de l’UE au cours des cinq prochaines années. Les actions qu’elle prévoit sont ancrées dans le respect des droits fondamentaux, consacrés dans la charte, et de nos obligations internationales.</w:t>
      </w:r>
    </w:p>
    <w:p w14:paraId="5E90D5C8" w14:textId="77777777" w:rsidR="00413162" w:rsidRPr="00DE4B9B" w:rsidRDefault="00413162" w:rsidP="00413162">
      <w:pPr>
        <w:spacing w:line="240" w:lineRule="auto"/>
        <w:rPr>
          <w:noProof/>
          <w:sz w:val="24"/>
          <w:szCs w:val="24"/>
        </w:rPr>
      </w:pPr>
      <w:r>
        <w:rPr>
          <w:noProof/>
          <w:sz w:val="24"/>
        </w:rPr>
        <w:t>Pour atteindre les principaux objectifs de la présente stratégie, à savoir prévenir la migration irrégulière, protéger les personnes qui en ont besoin et attirer des talents, l’Union devrait concentrer ses efforts sur les cinq priorités suivantes:</w:t>
      </w:r>
    </w:p>
    <w:p w14:paraId="0DDA5F12" w14:textId="1FB31B8E" w:rsidR="00BA67FA" w:rsidRPr="00B5212B" w:rsidRDefault="00DE4B9B" w:rsidP="00CB3910">
      <w:pPr>
        <w:spacing w:before="120" w:after="0" w:line="240" w:lineRule="auto"/>
        <w:jc w:val="center"/>
        <w:rPr>
          <w:noProof/>
          <w:sz w:val="24"/>
          <w:szCs w:val="24"/>
        </w:rPr>
      </w:pPr>
      <w:r>
        <w:rPr>
          <w:noProof/>
          <w:lang w:val="en-GB"/>
        </w:rPr>
        <w:drawing>
          <wp:inline distT="0" distB="0" distL="0" distR="0" wp14:anchorId="3534D274" wp14:editId="64BFCD49">
            <wp:extent cx="4951828" cy="1828800"/>
            <wp:effectExtent l="0" t="0" r="0" b="19050"/>
            <wp:docPr id="1501224674"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FCCE2B5" w14:textId="77777777" w:rsidR="00A7291D" w:rsidRPr="00B5212B" w:rsidRDefault="00A7291D" w:rsidP="00A7291D">
      <w:pPr>
        <w:spacing w:after="0" w:line="240" w:lineRule="auto"/>
        <w:jc w:val="center"/>
        <w:rPr>
          <w:noProof/>
        </w:rPr>
      </w:pPr>
    </w:p>
    <w:p w14:paraId="52221CCF" w14:textId="013F882F" w:rsidR="00A7291D" w:rsidRPr="003A5268" w:rsidRDefault="00891736" w:rsidP="00A7291D">
      <w:pPr>
        <w:pStyle w:val="Heading1"/>
        <w:spacing w:before="0"/>
        <w:rPr>
          <w:bCs/>
          <w:noProof/>
        </w:rPr>
      </w:pPr>
      <w:bookmarkStart w:id="5" w:name="_Toc212842542"/>
      <w:r>
        <w:rPr>
          <w:noProof/>
        </w:rPr>
        <w:t xml:space="preserve">Renforcer la diplomatie migratoire </w:t>
      </w:r>
    </w:p>
    <w:p w14:paraId="260EBEA4" w14:textId="2ABF3A4B" w:rsidR="004115A2" w:rsidRPr="00B5212B" w:rsidRDefault="0652689E" w:rsidP="00AB7673">
      <w:pPr>
        <w:spacing w:line="240" w:lineRule="auto"/>
        <w:rPr>
          <w:noProof/>
          <w:sz w:val="24"/>
          <w:szCs w:val="24"/>
        </w:rPr>
      </w:pPr>
      <w:r>
        <w:rPr>
          <w:noProof/>
          <w:sz w:val="24"/>
        </w:rPr>
        <w:t xml:space="preserve">Forte des résultats concrets obtenus ces dernières années, l’Union doit s’attacher, au cours des cinq prochaines années, à continuer d’empêcher que des personnes risquent leur vie lors de voyages dangereux, de </w:t>
      </w:r>
      <w:r>
        <w:rPr>
          <w:b/>
          <w:noProof/>
          <w:sz w:val="24"/>
        </w:rPr>
        <w:t>faire en sorte que la baisse des arrivées illégales sur son territoire se poursuive</w:t>
      </w:r>
      <w:r>
        <w:rPr>
          <w:noProof/>
          <w:sz w:val="24"/>
        </w:rPr>
        <w:t xml:space="preserve"> et de réduire la pression exercée sur les systèmes d’asile et de migration en soutenant la mise en œuvre des réformes introduites par le pacte et en promouvant le respect des droits fondamentaux des migrants et des réfugiés à l’échelle mondiale. </w:t>
      </w:r>
    </w:p>
    <w:p w14:paraId="3CC62F88" w14:textId="1211439B" w:rsidR="00E92CA4" w:rsidRPr="00DE4B9B" w:rsidRDefault="5709876B" w:rsidP="00AB7673">
      <w:pPr>
        <w:spacing w:line="240" w:lineRule="auto"/>
        <w:rPr>
          <w:rFonts w:eastAsia="EC Square Sans Pro"/>
          <w:noProof/>
          <w:sz w:val="24"/>
          <w:szCs w:val="24"/>
        </w:rPr>
      </w:pPr>
      <w:r>
        <w:rPr>
          <w:noProof/>
          <w:sz w:val="24"/>
        </w:rPr>
        <w:t xml:space="preserve">Les travaux en cours visant à doter l’Union d’un système moderne, équitable et efficient en matière d’asile et de gestion de la migration doivent aller de pair avec une </w:t>
      </w:r>
      <w:r>
        <w:rPr>
          <w:b/>
          <w:noProof/>
          <w:sz w:val="24"/>
        </w:rPr>
        <w:t>diplomatie migratoire efficace promouvant les intérêts de l’Union et restant fidèle aux valeurs européennes</w:t>
      </w:r>
      <w:r>
        <w:rPr>
          <w:noProof/>
          <w:sz w:val="24"/>
        </w:rPr>
        <w:t xml:space="preserve">. Ils doivent reposer sur le principe selon lequel la gestion de la migration relève d’une responsabilité partagée, tous les acteurs situés le long des routes migratoires ayant leur rôle à jouer. Au cours des cinq prochaines années, ce principe guidera l’action de l’Union visant à renforcer les partenariats globaux existants et à en créer de nouveaux avec les principaux pays d’origine et de transit des migrants, ainsi qu’avec les principaux pays d’accueil des réfugiés, en instaurant un climat de confiance avec ses partenaires et en mettant en avant son rôle en tant qu’acteur central du débat mondial et des efforts déployés à l’échelle de la planète pour gérer la migration. L’Union continue de façonner ses relations avec les pays tiers sur les questions liées à la migration </w:t>
      </w:r>
      <w:r>
        <w:rPr>
          <w:b/>
          <w:noProof/>
          <w:sz w:val="24"/>
        </w:rPr>
        <w:t>en promouvant ses valeurs et ses intérêts</w:t>
      </w:r>
      <w:r>
        <w:rPr>
          <w:noProof/>
          <w:sz w:val="24"/>
        </w:rPr>
        <w:t xml:space="preserve"> et en coopérant avec ses partenaires pour gérer les pressions migratoires d’une manière mutuellement bénéfique, étant donné qu’il est dans l’intérêt de toutes les parties de collaborer pour faire face à ce problème commun.</w:t>
      </w:r>
    </w:p>
    <w:p w14:paraId="6561603B" w14:textId="1A8ACE43" w:rsidR="00431C15" w:rsidRPr="00AB7673" w:rsidRDefault="61A20131" w:rsidP="00AB7673">
      <w:pPr>
        <w:spacing w:line="240" w:lineRule="auto"/>
        <w:rPr>
          <w:rFonts w:eastAsia="EC Square Sans Pro"/>
          <w:noProof/>
          <w:sz w:val="24"/>
          <w:szCs w:val="24"/>
        </w:rPr>
      </w:pPr>
      <w:r>
        <w:rPr>
          <w:noProof/>
          <w:sz w:val="24"/>
        </w:rPr>
        <w:t xml:space="preserve">La diplomatie migratoire devrait </w:t>
      </w:r>
      <w:r>
        <w:rPr>
          <w:b/>
          <w:noProof/>
          <w:sz w:val="24"/>
        </w:rPr>
        <w:t>englober tous les aspects</w:t>
      </w:r>
      <w:r>
        <w:rPr>
          <w:noProof/>
          <w:sz w:val="24"/>
        </w:rPr>
        <w:t xml:space="preserve"> et contribuer à l’amélioration de la prévention et du contrôle des départs irréguliers, au démantèlement des réseaux de passeurs et à la lutte contre les causes profondes de la migration, ainsi qu’à la mise à disposition d’une protection à proximité du lieu d’origine et à la fourniture de possibilités de réinstallation et d’autres voies complémentaires d’admission aux personnes ayant besoin d’une protection. Elle devrait également garantir le retour et la réadmission rapides et efficaces, dans leur pays, des ressortissants n’ayant pas le droit de séjourner dans l’Union et, par ailleurs, contribuer à attirer des travailleurs, des étudiants et des chercheurs possédant des compétences et des talents susceptibles de favoriser la compétitivité européenne, tout en participant au développement économique des pays d’origine.</w:t>
      </w:r>
    </w:p>
    <w:p w14:paraId="06057592" w14:textId="38262176" w:rsidR="00DE4B9B" w:rsidRPr="00AB7673" w:rsidRDefault="00DE4B9B" w:rsidP="00AB7673">
      <w:pPr>
        <w:spacing w:line="240" w:lineRule="auto"/>
        <w:rPr>
          <w:noProof/>
          <w:sz w:val="24"/>
          <w:szCs w:val="24"/>
        </w:rPr>
      </w:pPr>
      <w:r>
        <w:rPr>
          <w:noProof/>
          <w:sz w:val="24"/>
        </w:rPr>
        <w:t xml:space="preserve">Ces </w:t>
      </w:r>
      <w:r>
        <w:rPr>
          <w:b/>
          <w:noProof/>
          <w:sz w:val="24"/>
        </w:rPr>
        <w:t>principes se retrouvent déjà dans les partenariats</w:t>
      </w:r>
      <w:r>
        <w:rPr>
          <w:noProof/>
          <w:sz w:val="24"/>
        </w:rPr>
        <w:t xml:space="preserve"> que l’UE a établis ces dernières années avec des pays tiers comme l’Égypte, la Jordanie, la Mauritanie et la Tunisie. Ils font aussi partie intégrante du pacte pour la Méditerranée (</w:t>
      </w:r>
      <w:r>
        <w:rPr>
          <w:noProof/>
          <w:sz w:val="24"/>
          <w:szCs w:val="24"/>
          <w:vertAlign w:val="superscript"/>
        </w:rPr>
        <w:footnoteReference w:id="13"/>
      </w:r>
      <w:r>
        <w:rPr>
          <w:noProof/>
          <w:sz w:val="24"/>
        </w:rPr>
        <w:t>), qui promeut une approche de la migration fondée sur le partenariat et axée sur l’ensemble de la route, dans le cadre d’une stratégie globale complète de renforcement de nos relations avec nos partenaires du voisinage méridional. L’Union devrait continuer à favoriser cette approche, car elle offre davantage de stabilité et de réelles possibilités et garantit, dans le domaine de la migration, une coopération en vue d’une gouvernance efficace et fondée sur les droits entre l’UE et ses partenaires le long des différentes routes migratoires.</w:t>
      </w:r>
    </w:p>
    <w:p w14:paraId="72ED4178" w14:textId="504107D5" w:rsidR="008B3602" w:rsidRDefault="003B4A87" w:rsidP="00AB7673">
      <w:pPr>
        <w:spacing w:line="240" w:lineRule="auto"/>
        <w:rPr>
          <w:rFonts w:eastAsia="EC Square Sans Pro"/>
          <w:noProof/>
          <w:sz w:val="24"/>
          <w:szCs w:val="24"/>
        </w:rPr>
      </w:pPr>
      <w:r>
        <w:rPr>
          <w:noProof/>
          <w:sz w:val="24"/>
        </w:rPr>
        <w:t xml:space="preserve">Il importe que l’UE et ses États membres mènent une diplomatie migratoire volontariste, en renforçant les </w:t>
      </w:r>
      <w:r>
        <w:rPr>
          <w:b/>
          <w:noProof/>
          <w:sz w:val="24"/>
        </w:rPr>
        <w:t>liens avec d’autres politiques et en utilisant des leviers et des incitations</w:t>
      </w:r>
      <w:r>
        <w:rPr>
          <w:noProof/>
          <w:sz w:val="24"/>
        </w:rPr>
        <w:t>, conformément aux appels lancés par le Conseil européen (</w:t>
      </w:r>
      <w:r>
        <w:rPr>
          <w:rStyle w:val="FootnoteReference"/>
          <w:rFonts w:eastAsia="EC Square Sans Pro"/>
          <w:noProof/>
          <w:sz w:val="24"/>
          <w:szCs w:val="24"/>
        </w:rPr>
        <w:footnoteReference w:id="14"/>
      </w:r>
      <w:r>
        <w:rPr>
          <w:noProof/>
          <w:sz w:val="24"/>
        </w:rPr>
        <w:t>) ces dernières années. La panoplie d’instruments dont dispose l’Union comprend la politique des visas, notamment le mécanisme prévu à l’article 25 </w:t>
      </w:r>
      <w:r>
        <w:rPr>
          <w:i/>
          <w:noProof/>
          <w:sz w:val="24"/>
        </w:rPr>
        <w:t>bis</w:t>
      </w:r>
      <w:r>
        <w:rPr>
          <w:noProof/>
          <w:sz w:val="24"/>
        </w:rPr>
        <w:t xml:space="preserve"> du code des visas et le mécanisme de suspension de l’exemption de visa, ainsi que la politique commerciale, compte tenu de la révision récemment approuvée du règlement relatif au système de préférences généralisées, qui permettra de retirer temporairement le bénéfice d’une préférence commerciale en cas de manque de coopération en matière de réadmission. Elle devrait également englober le financement extérieur, comme l’a proposé la Commission dans le règlement «Europe dans le monde» pour le prochain cadre financier pluriannuel (2028-2034). Elle devrait être combinée avec les outils, les leviers et les incitations dont les États membres disposent au niveau bilatéral, qui devraient être mobilisés à l’appui des actions conjointes de l’UE. La Commission et le haut représentant envisageront également l’utilisation de nouvelles incitations et de nouveaux leviers dans d’autres domaines d’action, afin de promouvoir les intérêts de l’UE et de créer de nouvelles possibilités de coopération internationale. </w:t>
      </w:r>
    </w:p>
    <w:p w14:paraId="740CF1D4" w14:textId="1D0C9871" w:rsidR="007D7F8B" w:rsidRDefault="00F06B56" w:rsidP="00AB7673">
      <w:pPr>
        <w:spacing w:line="240" w:lineRule="auto"/>
        <w:rPr>
          <w:noProof/>
          <w:sz w:val="24"/>
          <w:szCs w:val="24"/>
        </w:rPr>
      </w:pPr>
      <w:r>
        <w:rPr>
          <w:noProof/>
          <w:sz w:val="24"/>
        </w:rPr>
        <w:t>L’Union restera active au sein des enceintes multilatérales pertinentes afin de mettre en place des partenariats fiables et d’</w:t>
      </w:r>
      <w:r>
        <w:rPr>
          <w:b/>
          <w:noProof/>
          <w:sz w:val="24"/>
        </w:rPr>
        <w:t>améliorer la gouvernance mondiale dans le domaine de la migration</w:t>
      </w:r>
      <w:r>
        <w:rPr>
          <w:noProof/>
          <w:sz w:val="24"/>
        </w:rPr>
        <w:t>.</w:t>
      </w:r>
      <w:r>
        <w:rPr>
          <w:b/>
          <w:noProof/>
          <w:sz w:val="24"/>
        </w:rPr>
        <w:t xml:space="preserve"> </w:t>
      </w:r>
      <w:r>
        <w:rPr>
          <w:noProof/>
          <w:sz w:val="24"/>
        </w:rPr>
        <w:t xml:space="preserve">Parmi ces enceintes figure le forum d’examen des migrations internationales du pacte mondial des Nations unies pour des migrations sûres, ordonnées et régulières, prévu pour mai 2026. L’UE continuera également de soutenir la mise en œuvre du pacte mondial sur les réfugiés. Elle coopérera aussi avec le </w:t>
      </w:r>
      <w:r>
        <w:rPr>
          <w:b/>
          <w:noProof/>
          <w:sz w:val="24"/>
        </w:rPr>
        <w:t>Conseil de l’Europe</w:t>
      </w:r>
      <w:r>
        <w:rPr>
          <w:noProof/>
          <w:sz w:val="24"/>
        </w:rPr>
        <w:t xml:space="preserve"> en vue de remédier aux problèmes que posent actuellement la migration irrégulière et le trafic de migrants (</w:t>
      </w:r>
      <w:r>
        <w:rPr>
          <w:rStyle w:val="FootnoteReference"/>
          <w:noProof/>
          <w:sz w:val="24"/>
          <w:szCs w:val="24"/>
        </w:rPr>
        <w:footnoteReference w:id="15"/>
      </w:r>
      <w:r>
        <w:rPr>
          <w:noProof/>
          <w:sz w:val="24"/>
        </w:rPr>
        <w:t>). La Commission contribuera à la réflexion en cours du Conseil de l’Europe dans le cadre de l’initiative lancée lors de la conférence ministérielle informelle du 10 décembre 2025 sur l’application de la convention européenne des droits de l’homme, en tenant pleinement compte des deux objectifs que sont la protection des droits et la sécurité.</w:t>
      </w:r>
    </w:p>
    <w:p w14:paraId="7FBDCFE1" w14:textId="0740F282" w:rsidR="008B3602" w:rsidRPr="00097003" w:rsidRDefault="00F06B56" w:rsidP="00AB7673">
      <w:pPr>
        <w:spacing w:line="240" w:lineRule="auto"/>
        <w:rPr>
          <w:rFonts w:eastAsia="EC Square Sans Pro"/>
          <w:noProof/>
          <w:sz w:val="24"/>
          <w:szCs w:val="24"/>
        </w:rPr>
      </w:pPr>
      <w:r>
        <w:rPr>
          <w:noProof/>
          <w:sz w:val="24"/>
        </w:rPr>
        <w:t xml:space="preserve">Afin de s’attaquer aux </w:t>
      </w:r>
      <w:r>
        <w:rPr>
          <w:b/>
          <w:noProof/>
          <w:sz w:val="24"/>
        </w:rPr>
        <w:t>causes profondes</w:t>
      </w:r>
      <w:r>
        <w:rPr>
          <w:noProof/>
          <w:sz w:val="24"/>
        </w:rPr>
        <w:t xml:space="preserve"> de la migration irrégulière, l’Union et ses États membres continueront de s’efforcer de lutter contre la pauvreté dans le monde, de favoriser le développement économique et de renforcer la paix et la sécurité, notamment en maintenant leur soutien au système des Nations unies, en prenant part activement aux réformes en cours, le cas échéant, et en tentant d’apporter l’aide nécessaire face à un manque de ressources sans précédent, conformément aux intérêts de l’UE. </w:t>
      </w:r>
    </w:p>
    <w:p w14:paraId="4FCA3DF2" w14:textId="6C4CC58C" w:rsidR="008B3602" w:rsidRPr="00641573" w:rsidRDefault="008B3602" w:rsidP="005D4E73">
      <w:pPr>
        <w:spacing w:line="240" w:lineRule="auto"/>
        <w:rPr>
          <w:rFonts w:eastAsia="EC Square Sans Pro"/>
          <w:b/>
          <w:i/>
          <w:noProof/>
          <w:sz w:val="24"/>
          <w:szCs w:val="24"/>
        </w:rPr>
      </w:pPr>
      <w:r>
        <w:rPr>
          <w:b/>
          <w:i/>
          <w:noProof/>
          <w:sz w:val="24"/>
        </w:rPr>
        <w:t>Approche axée sur l’ensemble de la route et approfondissement de la coopération avec le voisinage de l’UE</w:t>
      </w:r>
    </w:p>
    <w:p w14:paraId="24E04547" w14:textId="77D6A24D" w:rsidR="003F542A" w:rsidRPr="00B5212B" w:rsidRDefault="17DBAD46" w:rsidP="00AB7673">
      <w:pPr>
        <w:spacing w:line="240" w:lineRule="auto"/>
        <w:rPr>
          <w:rFonts w:eastAsia="EC Square Sans Pro"/>
          <w:noProof/>
          <w:sz w:val="24"/>
          <w:szCs w:val="24"/>
        </w:rPr>
      </w:pPr>
      <w:r>
        <w:rPr>
          <w:noProof/>
          <w:sz w:val="24"/>
        </w:rPr>
        <w:t xml:space="preserve">La Commission continuera de promouvoir une </w:t>
      </w:r>
      <w:r>
        <w:rPr>
          <w:b/>
          <w:noProof/>
          <w:sz w:val="24"/>
        </w:rPr>
        <w:t>approche axée sur l’ensemble de la route</w:t>
      </w:r>
      <w:r>
        <w:rPr>
          <w:noProof/>
          <w:sz w:val="24"/>
        </w:rPr>
        <w:t xml:space="preserve"> afin de régler les problèmes multiples liés aux mouvements migratoires mixtes composés de migrants économiques et de personnes en quête de protection et d’aider les pays tiers à renforcer leurs systèmes de migration, de gestion des frontières, d’asile et de retour, y compris par un développement de leurs capacités à fournir des solutions d’accueil et de protection adéquates aux demandeurs d’asile et aux réfugiés, en se concentrant essentiellement sur les pays proches des lieux d’origine des migrants. Les mesures seront adaptées à chaque contexte et pourront concerner la lutte contre le trafic de migrants et la traite des êtres humains, la gestion des frontières, l’enregistrement, l’octroi d’une protection et le renforcement des systèmes de fourniture de services associant les communautés d’accueil, ainsi que la gestion des voies légales d’accès et la garantie d’un retour et d’une réadmission rapides, sûrs et dignes et d’une réintégration durable. </w:t>
      </w:r>
    </w:p>
    <w:p w14:paraId="2B54EF58" w14:textId="05104E06" w:rsidR="00767F7D" w:rsidRPr="00B5212B" w:rsidRDefault="00A35EC9" w:rsidP="00AB7673">
      <w:pPr>
        <w:spacing w:line="240" w:lineRule="auto"/>
        <w:rPr>
          <w:noProof/>
          <w:sz w:val="24"/>
          <w:szCs w:val="24"/>
        </w:rPr>
      </w:pPr>
      <w:r>
        <w:rPr>
          <w:noProof/>
          <w:sz w:val="24"/>
        </w:rPr>
        <w:t xml:space="preserve">Une </w:t>
      </w:r>
      <w:r>
        <w:rPr>
          <w:b/>
          <w:noProof/>
          <w:sz w:val="24"/>
        </w:rPr>
        <w:t>coopération étroite et continue avec des organisations internationales</w:t>
      </w:r>
      <w:r>
        <w:rPr>
          <w:noProof/>
          <w:sz w:val="24"/>
        </w:rPr>
        <w:t xml:space="preserve"> telles que le Haut-Commissariat des Nations unies pour les réfugiés (HCR), l’Organisation internationale pour les migrations (OIM) et d’autres organisations gouvernementales internationales compétentes sera essentielle pour soutenir l’approche axée sur l’ensemble de la route afin de répondre aux besoins de la mobilisation internationale accrue de l’UE. La Commission entend soutenir des moyens innovants de promouvoir la création d’espaces sûrs, situés plus près des pays d’origine, pour la protection des demandeurs d’asile et des réfugiés, de contribuer à prévenir les voyages dangereux qui causent des pertes humaines le long des routes migratoires et d’encourager les programmes de retour volontaire et de réintégration depuis les pays tiers vers les pays d’origine. L’approche axée sur l’ensemble de la route pourrait comprendre la création éventuelle de </w:t>
      </w:r>
      <w:r>
        <w:rPr>
          <w:b/>
          <w:noProof/>
          <w:sz w:val="24"/>
        </w:rPr>
        <w:t>centres polyvalents</w:t>
      </w:r>
      <w:r>
        <w:rPr>
          <w:noProof/>
          <w:sz w:val="24"/>
        </w:rPr>
        <w:t xml:space="preserve"> ou le renforcement de tels centres existants (</w:t>
      </w:r>
      <w:r>
        <w:rPr>
          <w:rStyle w:val="FootnoteReference"/>
          <w:rFonts w:eastAsia="EC Square Sans Pro"/>
          <w:noProof/>
          <w:sz w:val="24"/>
          <w:szCs w:val="24"/>
        </w:rPr>
        <w:footnoteReference w:id="16"/>
      </w:r>
      <w:r>
        <w:rPr>
          <w:noProof/>
          <w:sz w:val="24"/>
        </w:rPr>
        <w:t xml:space="preserve">) le long des principales routes migratoires, en accord avec le pays tiers concerné et en coopération avec les organisations internationales. </w:t>
      </w:r>
    </w:p>
    <w:p w14:paraId="62B207C7" w14:textId="6ED328E1" w:rsidR="00006378" w:rsidRPr="0099404E" w:rsidRDefault="00D4121E" w:rsidP="00AB7673">
      <w:pPr>
        <w:spacing w:line="240" w:lineRule="auto"/>
        <w:rPr>
          <w:rStyle w:val="MacroTextChar"/>
          <w:rFonts w:ascii="Times New Roman" w:eastAsia="EC Square Sans Pro" w:hAnsi="Times New Roman"/>
          <w:noProof/>
          <w:sz w:val="24"/>
          <w:szCs w:val="24"/>
        </w:rPr>
      </w:pPr>
      <w:r>
        <w:rPr>
          <w:noProof/>
          <w:sz w:val="24"/>
        </w:rPr>
        <w:t xml:space="preserve">Les pays candidats et les candidats potentiels à l’adhésion à l’UE devraient également jouer un rôle dans la gestion de la migration. La mise en place de systèmes efficients de gestion de l’asile et de la migration et l’alignement des politiques en matière de migration, de visas et de gestion des frontières sur celles de l’UE constituent une condition préalable à l’adhésion à l’Union. Cette dernière devrait en particulier maintenir une coopération approfondie avec les </w:t>
      </w:r>
      <w:r>
        <w:rPr>
          <w:b/>
          <w:noProof/>
          <w:sz w:val="24"/>
        </w:rPr>
        <w:t>partenaires concernés par l’élargissement</w:t>
      </w:r>
      <w:r>
        <w:rPr>
          <w:noProof/>
          <w:sz w:val="24"/>
        </w:rPr>
        <w:t xml:space="preserve"> et leur apporter son aide, en mettant l’accent sur le renforcement de la gestion des frontières, la lutte contre le trafic de migrants et la traite des êtres humains, le soutien à l’alignement sur l’acquis de l’UE de leurs politiques en matière de migration, d’asile et de visas et l’amélioration des réadmissions et des retours. L’Agence de l’Union européenne pour l’asile (AUEA), l’Agence européenne de garde-frontières et de garde-côtes (Frontex) et Europol continueront de soutenir les partenaires et de coopérer avec eux. Le plan d’action de l’UE pour les Balkans occidentaux a déjà contribué à une diminution significative du nombre de franchissements illégaux des frontières le long de la route des Balkans occidentaux et la coopération devrait se poursuivre dans ce cadre. </w:t>
      </w:r>
    </w:p>
    <w:p w14:paraId="36CEFCE0" w14:textId="7DCE9185" w:rsidR="00A7291D" w:rsidRPr="00B5212B" w:rsidRDefault="00A7291D" w:rsidP="00A7291D">
      <w:pPr>
        <w:spacing w:line="240" w:lineRule="auto"/>
        <w:rPr>
          <w:rFonts w:eastAsia="EC Square Sans Pro"/>
          <w:b/>
          <w:bCs/>
          <w:i/>
          <w:iCs/>
          <w:noProof/>
          <w:sz w:val="24"/>
          <w:szCs w:val="24"/>
        </w:rPr>
      </w:pPr>
      <w:r>
        <w:rPr>
          <w:b/>
          <w:i/>
          <w:noProof/>
          <w:sz w:val="24"/>
        </w:rPr>
        <w:t>Prévenir les voyages dangereux et sauver des vies</w:t>
      </w:r>
    </w:p>
    <w:p w14:paraId="7B27047F" w14:textId="09A8660A" w:rsidR="00E57A0E" w:rsidRDefault="3508BCB0" w:rsidP="3F0769EC">
      <w:pPr>
        <w:spacing w:line="240" w:lineRule="auto"/>
        <w:rPr>
          <w:rFonts w:eastAsia="EC Square Sans Pro"/>
          <w:noProof/>
          <w:sz w:val="24"/>
          <w:szCs w:val="24"/>
        </w:rPr>
      </w:pPr>
      <w:r>
        <w:rPr>
          <w:noProof/>
          <w:sz w:val="24"/>
        </w:rPr>
        <w:t xml:space="preserve">Le </w:t>
      </w:r>
      <w:r>
        <w:rPr>
          <w:b/>
          <w:noProof/>
          <w:sz w:val="24"/>
        </w:rPr>
        <w:t>trafic de migrants</w:t>
      </w:r>
      <w:r>
        <w:rPr>
          <w:noProof/>
          <w:sz w:val="24"/>
        </w:rPr>
        <w:t xml:space="preserve"> est une activité criminelle odieuse, souvent transnationale, dans le cadre de laquelle des personnes sont exploitées au péril de leur vie et au mépris de leur dignité par des réseaux criminels motivés par l’appât du gain, ou à laquelle des acteurs étatiques ont recours pour compromettre la sécurité de l’Union. Il porte atteinte à notre système de gestion de la migration et nuit à la protection de nos frontières extérieures. Il appartient à l’UE et à ses États membres, et non aux organisations criminelles, de décider des personnes qui entrent sur leur territoire et des circonstances dans lesquelles elles peuvent le faire. </w:t>
      </w:r>
    </w:p>
    <w:p w14:paraId="28FA6958" w14:textId="35D43920" w:rsidR="00D57B5A" w:rsidRPr="00B5212B" w:rsidRDefault="00D57B5A" w:rsidP="3F0769EC">
      <w:pPr>
        <w:spacing w:line="240" w:lineRule="auto"/>
        <w:rPr>
          <w:rFonts w:eastAsia="Yu Gothic"/>
          <w:noProof/>
          <w:sz w:val="24"/>
          <w:szCs w:val="24"/>
        </w:rPr>
      </w:pPr>
      <w:r>
        <w:rPr>
          <w:noProof/>
          <w:sz w:val="24"/>
        </w:rPr>
        <w:t xml:space="preserve">Afin d’enrayer le modèle économique des passeurs et de prévenir les départs irréguliers et les pertes humaines, l’UE doit poursuivre son action visant à renforcer la capacité de ses partenaires </w:t>
      </w:r>
      <w:r>
        <w:rPr>
          <w:b/>
          <w:noProof/>
          <w:sz w:val="24"/>
        </w:rPr>
        <w:t>à contrôler et à gérer les entrées et les sorties à leurs frontières</w:t>
      </w:r>
      <w:r>
        <w:rPr>
          <w:noProof/>
          <w:sz w:val="24"/>
        </w:rPr>
        <w:t xml:space="preserve">, ainsi qu’à déployer leurs moyens de recherche et de sauvetage, afin de réduire les incidents autant que possible et de protéger les personnes contre les risques graves. Plus les interventions sont menées tôt le long de la route, plus grandes sont les chances de prévenir les incidents et les décès. Des initiatives récentes de l’UE se sont traduites par une prévention plus efficace des voyages dangereux. </w:t>
      </w:r>
    </w:p>
    <w:p w14:paraId="0C8F2292" w14:textId="5CBD5DEF" w:rsidR="00DA5D54" w:rsidRPr="00B5212B" w:rsidRDefault="5F783381">
      <w:pPr>
        <w:spacing w:line="240" w:lineRule="auto"/>
        <w:rPr>
          <w:rFonts w:eastAsia="Yu Gothic"/>
          <w:noProof/>
          <w:sz w:val="24"/>
          <w:szCs w:val="24"/>
        </w:rPr>
      </w:pPr>
      <w:r>
        <w:rPr>
          <w:noProof/>
          <w:sz w:val="24"/>
        </w:rPr>
        <w:t>Pour que son action soit efficiente, l’UE doit également œuvrer au renforcement de la coopération internationale, en faisant de l’</w:t>
      </w:r>
      <w:r>
        <w:rPr>
          <w:b/>
          <w:noProof/>
          <w:sz w:val="24"/>
        </w:rPr>
        <w:t>alliance mondiale pour lutter contre le trafic de migrants</w:t>
      </w:r>
      <w:r>
        <w:rPr>
          <w:noProof/>
          <w:sz w:val="24"/>
        </w:rPr>
        <w:t xml:space="preserve"> un cadre de coopération solide à long terme qui rassemble les parties prenantes afin de prévenir le trafic de migrants, d’y faire face et de créer d’autres voies d’entrée, sûres et légales.</w:t>
      </w:r>
    </w:p>
    <w:p w14:paraId="7C1BEF35" w14:textId="4E14F1AF" w:rsidR="00887066" w:rsidRPr="00B5212B" w:rsidRDefault="5D939215" w:rsidP="33FF167A">
      <w:pPr>
        <w:spacing w:line="240" w:lineRule="auto"/>
        <w:rPr>
          <w:rFonts w:eastAsia="EC Square Sans Pro"/>
          <w:noProof/>
          <w:sz w:val="24"/>
          <w:szCs w:val="24"/>
        </w:rPr>
      </w:pPr>
      <w:bookmarkStart w:id="6" w:name="_Hlk220052384"/>
      <w:r>
        <w:rPr>
          <w:noProof/>
          <w:sz w:val="24"/>
        </w:rPr>
        <w:t xml:space="preserve">S’appuyant sur les deux premières années de mise en œuvre de l’alliance mondiale, la deuxième conférence internationale de ladite alliance, qui s’est tenue le 10 décembre 2025, a ouvert la voie à la mise en place d’une </w:t>
      </w:r>
      <w:r>
        <w:rPr>
          <w:b/>
          <w:noProof/>
          <w:sz w:val="24"/>
        </w:rPr>
        <w:t>coopération structurée</w:t>
      </w:r>
      <w:r>
        <w:rPr>
          <w:noProof/>
          <w:sz w:val="24"/>
        </w:rPr>
        <w:t xml:space="preserve"> à la hauteur des ambitions plus élevées de l’Union. Les partenaires qui ont approuvé la déclaration conjointe (</w:t>
      </w:r>
      <w:r>
        <w:rPr>
          <w:rStyle w:val="FootnoteReference"/>
          <w:rFonts w:eastAsia="Times"/>
          <w:noProof/>
          <w:sz w:val="24"/>
          <w:szCs w:val="24"/>
        </w:rPr>
        <w:footnoteReference w:id="17"/>
      </w:r>
      <w:r>
        <w:rPr>
          <w:noProof/>
          <w:sz w:val="24"/>
        </w:rPr>
        <w:t>) ont exprimé leur attachement à une série de principes, d’engagements et de responsabilités communs dans le but de renforcer la coopération internationale visant à lutter contre le trafic de migrants de manière collective, à l’échelle mondiale, dans le cadre d’une approche axée sur l’ensemble de la route et dans un esprit de responsabilité partagée. Les réunions annuelles des hauts fonctionnaires orienteront les travaux de suivi pour mettre en œuvre les priorités et favoriser une cohérence accrue et une planification conjointe, tandis que les conférences ministérielles garantiront un leadership politique durable. Cela permettra de renforcer la coordination et d’accroître l’impact de diverses initiatives régionales et thématiques (par exemple, les processus de Budapest, de Khartoum, de Niamey, de Prague et de Rabat, Eurofront et El Pacto avec l’Amérique latine et les Caraïbes), ainsi que du G7 et des travaux menés par l’ONUDC et le Conseil de l’Europe, le but étant de rationaliser davantage les mesures et de favoriser les synergies.</w:t>
      </w:r>
    </w:p>
    <w:bookmarkEnd w:id="6"/>
    <w:p w14:paraId="60F61481" w14:textId="249C6BF2" w:rsidR="00EE4574" w:rsidRPr="00144A14" w:rsidRDefault="142ACB9E" w:rsidP="00AB7673">
      <w:pPr>
        <w:spacing w:line="240" w:lineRule="auto"/>
        <w:rPr>
          <w:rFonts w:eastAsia="Yu Gothic"/>
          <w:noProof/>
          <w:sz w:val="24"/>
          <w:szCs w:val="24"/>
        </w:rPr>
      </w:pPr>
      <w:r>
        <w:rPr>
          <w:noProof/>
          <w:sz w:val="24"/>
        </w:rPr>
        <w:t>Les réseaux de passeurs se servent des plateformes numériques, des crypto-actifs et d’autres technologies pour faire connaître leurs opérations illicites, alimenter leurs activités et dissimuler leurs gains illicites. L’une des priorités de l’alliance mondiale sera de lutter contre l’</w:t>
      </w:r>
      <w:r>
        <w:rPr>
          <w:b/>
          <w:noProof/>
          <w:sz w:val="24"/>
        </w:rPr>
        <w:t>utilisation des technologies numériques aux fins du trafic de migrants</w:t>
      </w:r>
      <w:r>
        <w:rPr>
          <w:noProof/>
          <w:sz w:val="24"/>
        </w:rPr>
        <w:t>, en intensifiant le dialogue avec les plateformes numériques et les fournisseurs de technologies. Dans le même temps, nous devons nous aussi tirer parti de la technologie, en dotant les services répressifs de nouveaux outils et technologies, y compris de capacités d’analyse fondées sur l’IA, pour traiter et connecter de vastes ensembles de données, afin de permettre auxdits services de toujours garder une longueur d’avance sur les passeurs. À cette fin, Europol, récemment renforcée par son centre chargé de lutter contre le trafic de migrants (</w:t>
      </w:r>
      <w:r>
        <w:rPr>
          <w:rStyle w:val="FootnoteReference"/>
          <w:rFonts w:eastAsia="Yu Gothic"/>
          <w:noProof/>
          <w:sz w:val="24"/>
          <w:szCs w:val="24"/>
        </w:rPr>
        <w:footnoteReference w:id="18"/>
      </w:r>
      <w:r>
        <w:rPr>
          <w:noProof/>
          <w:sz w:val="24"/>
        </w:rPr>
        <w:t>), accroîtra ses activités opérationnelles destinées à agir sur l’empreinte numérique des passeurs. La Commission approfondira également son partenariat stratégique avec l’Office des Nations unies contre la drogue et le crime (ONUDC) afin de s’attaquer à la dimension en ligne du trafic de migrants et de perturber les flux financiers illicites au moyen d’une approche consistant à «suivre l’argent». À cette fin, il sera nécessaire de recourir au renseignement financier et au partage sécurisé d’informations afin d’identifier les acteurs criminels à tous les niveaux. En outre, une identification numérique et des services de confiance de pointe pourront faciliter l’application de nouvelles mesures visant à lutter contre la fraude et l’usurpation d’identité, ainsi qu’à soutenir la numérisation et l’automatisation des contrôles aux frontières.</w:t>
      </w:r>
    </w:p>
    <w:p w14:paraId="73174D06" w14:textId="127F5AE9" w:rsidR="00D045D8" w:rsidRPr="00B5212B" w:rsidRDefault="0C438317" w:rsidP="00AB7673">
      <w:pPr>
        <w:spacing w:line="240" w:lineRule="auto"/>
        <w:rPr>
          <w:noProof/>
          <w:sz w:val="24"/>
          <w:szCs w:val="24"/>
        </w:rPr>
      </w:pPr>
      <w:r>
        <w:rPr>
          <w:noProof/>
          <w:sz w:val="24"/>
        </w:rPr>
        <w:t xml:space="preserve">L’utilisation de </w:t>
      </w:r>
      <w:r>
        <w:rPr>
          <w:b/>
          <w:noProof/>
          <w:sz w:val="24"/>
        </w:rPr>
        <w:t>moyens de transport commerciaux</w:t>
      </w:r>
      <w:r>
        <w:rPr>
          <w:noProof/>
          <w:sz w:val="24"/>
        </w:rPr>
        <w:t>, principalement aériens, est désormais un mode opératoire établi des réseaux de passeurs, qui acheminent les migrants vers des pays tiers proches ou limitrophes de l’UE, depuis lesquels ceux-ci tentent ensuite de pénétrer illégalement sur le territoire de cette dernière. L’UE, s’appuyant sur les résultats positifs obtenus au moyen d’une boîte à outils (</w:t>
      </w:r>
      <w:r>
        <w:rPr>
          <w:rStyle w:val="FootnoteReference"/>
          <w:noProof/>
          <w:sz w:val="24"/>
          <w:szCs w:val="24"/>
        </w:rPr>
        <w:footnoteReference w:id="19"/>
      </w:r>
      <w:r>
        <w:rPr>
          <w:noProof/>
          <w:sz w:val="24"/>
        </w:rPr>
        <w:t>) portant sur ces activités, dialoguera avec les principales parties prenantes sur les suites à donner à la note de travail (</w:t>
      </w:r>
      <w:r>
        <w:rPr>
          <w:rStyle w:val="FootnoteReference"/>
          <w:noProof/>
          <w:sz w:val="24"/>
          <w:szCs w:val="24"/>
        </w:rPr>
        <w:footnoteReference w:id="20"/>
      </w:r>
      <w:r>
        <w:rPr>
          <w:noProof/>
          <w:sz w:val="24"/>
        </w:rPr>
        <w:t>) de l’Organisation de l’aviation civile internationale (OACI), dans le but de définir des approches communes et d’étudier des actions conjointes qui pourraient être approuvées par les principaux pays partenaires et par les acteurs du secteur de l’aviation, y compris dans le cadre de l’OACI.</w:t>
      </w:r>
    </w:p>
    <w:p w14:paraId="49FA7902" w14:textId="0003C1D8" w:rsidR="00E57A0E" w:rsidRPr="00B5212B" w:rsidRDefault="7A4BE311" w:rsidP="00AB7673">
      <w:pPr>
        <w:spacing w:line="240" w:lineRule="auto"/>
        <w:rPr>
          <w:rFonts w:eastAsia="Yu Gothic"/>
          <w:noProof/>
          <w:sz w:val="24"/>
          <w:szCs w:val="24"/>
        </w:rPr>
      </w:pPr>
      <w:r>
        <w:rPr>
          <w:noProof/>
          <w:sz w:val="24"/>
        </w:rPr>
        <w:t xml:space="preserve">Dans le cadre des efforts déployés afin de doter les pays situés le long des routes migratoires des outils nécessaires pour gérer la migration et lutter contre le trafic de migrants, l’UE aidera ses partenaires à mettre en place les capacités nécessaires pour </w:t>
      </w:r>
      <w:r>
        <w:rPr>
          <w:b/>
          <w:noProof/>
          <w:sz w:val="24"/>
        </w:rPr>
        <w:t>renforcer leur action judiciaire et répressive</w:t>
      </w:r>
      <w:r>
        <w:rPr>
          <w:noProof/>
          <w:sz w:val="24"/>
        </w:rPr>
        <w:t xml:space="preserve"> et établir des canaux de coopération solides, y compris par l’intermédiaire d’équipes communes d’enquête. Le but sera d’améliorer l’efficacité de la détection des réseaux de passeurs ainsi que des enquêtes et des poursuites les concernant. En fin de compte, cela devrait se traduire par une augmentation du nombre de poursuites fructueuses et de sanctions véritablement dissuasives, et faire ainsi du trafic de migrants une activité criminelle plus risquée, plus complexe et moins rentable. L’UE devrait pouvoir compter sur un réseau de partenaires engagés dans la lutte contre le trafic de migrants le long des routes migratoires pour obtenir des renseignements et des informations en temps réel sur les flux migratoires et aider ainsi les pays situés le long de ces routes à s’y préparer. La Commission, en coordination avec les États membres, coopérera avec Interpol, Europol, Eurojust, Frontex et les principales organisations internationales, en s’appuyant également sur le soutien du réseau européen d’officiers de liaison «Immigration». </w:t>
      </w:r>
    </w:p>
    <w:p w14:paraId="78EA9B5F" w14:textId="6A57B1A3" w:rsidR="009377E7" w:rsidRPr="00B5212B" w:rsidRDefault="6EA0CD7C" w:rsidP="00AB7673">
      <w:pPr>
        <w:spacing w:line="240" w:lineRule="auto"/>
        <w:rPr>
          <w:rFonts w:eastAsia="Yu Gothic"/>
          <w:noProof/>
          <w:sz w:val="24"/>
          <w:szCs w:val="24"/>
        </w:rPr>
      </w:pPr>
      <w:r>
        <w:rPr>
          <w:noProof/>
          <w:sz w:val="24"/>
        </w:rPr>
        <w:t>L’un des problèmes majeurs posés par le trafic de migrants réside dans le fait que les criminels qui organisent et mènent ces activités sont souvent établis en dehors de l’UE et ne relèvent donc pas de la compétence des juridictions des États membres. Parallèlement à la proposition de durcissement du cadre législatif de l’UE en matière de prévention de l’aide à la migration irrégulière (</w:t>
      </w:r>
      <w:r>
        <w:rPr>
          <w:rStyle w:val="FootnoteReference"/>
          <w:rFonts w:eastAsia="EC Square Sans Pro"/>
          <w:noProof/>
          <w:sz w:val="24"/>
          <w:szCs w:val="24"/>
        </w:rPr>
        <w:footnoteReference w:id="21"/>
      </w:r>
      <w:r>
        <w:rPr>
          <w:noProof/>
          <w:sz w:val="24"/>
        </w:rPr>
        <w:t xml:space="preserve">) en cours d’examen par le Parlement européen et le Conseil, l’UE élabore actuellement un </w:t>
      </w:r>
      <w:r>
        <w:rPr>
          <w:b/>
          <w:noProof/>
          <w:sz w:val="24"/>
        </w:rPr>
        <w:t>nouveau régime de sanctions</w:t>
      </w:r>
      <w:r>
        <w:rPr>
          <w:noProof/>
          <w:sz w:val="24"/>
        </w:rPr>
        <w:t xml:space="preserve"> ciblant les personnes impliquées dans le trafic de migrants et la traite des êtres humains, en particulier les acteurs criminels de grande importance, dans le but de geler leurs avoirs, de les priver de profits et de restreindre leur capacité à entrer dans l’UE, en totale complémentarité avec les mesures de justice pénale. </w:t>
      </w:r>
    </w:p>
    <w:p w14:paraId="3852AB72" w14:textId="79FC6620" w:rsidR="00A7291D" w:rsidRPr="00D62DC7" w:rsidRDefault="006D7845" w:rsidP="00AB7673">
      <w:pPr>
        <w:spacing w:line="240" w:lineRule="auto"/>
        <w:rPr>
          <w:rFonts w:eastAsia="Yu Gothic"/>
          <w:noProof/>
          <w:sz w:val="24"/>
          <w:szCs w:val="24"/>
        </w:rPr>
      </w:pPr>
      <w:r>
        <w:rPr>
          <w:noProof/>
          <w:sz w:val="24"/>
        </w:rPr>
        <w:t xml:space="preserve">Les </w:t>
      </w:r>
      <w:r>
        <w:rPr>
          <w:b/>
          <w:noProof/>
          <w:sz w:val="24"/>
        </w:rPr>
        <w:t>partenariats stratégiques et globaux</w:t>
      </w:r>
      <w:r>
        <w:rPr>
          <w:noProof/>
          <w:sz w:val="24"/>
        </w:rPr>
        <w:t xml:space="preserve"> de l’UE avec l’Égypte, la Jordanie et la Tunisie, le partenariat en matière de migration avec la Mauritanie, ainsi que le dialogue renforcé avec des partenaires clés, dont le Liban, le Maroc, le Sénégal et la Turquie, ont contribué à une diminution significative du nombre de franchissements illégaux observés sur les routes de la Méditerranée orientale et centrale et de l’Atlantique (</w:t>
      </w:r>
      <w:r>
        <w:rPr>
          <w:rStyle w:val="FootnoteReference"/>
          <w:rFonts w:eastAsia="Yu Gothic"/>
          <w:noProof/>
          <w:sz w:val="24"/>
          <w:szCs w:val="24"/>
        </w:rPr>
        <w:footnoteReference w:id="22"/>
      </w:r>
      <w:r>
        <w:rPr>
          <w:noProof/>
          <w:sz w:val="24"/>
        </w:rPr>
        <w:t>). La Commission renforce également son soutien à la Libye en ce qui concerne les capacités de recherche et de sauvetage et les actions liées à la protection, aux retours humanitaires et aux évacuations, conformément au droit international et dans le respect des droits de l’homme. La Commission, en coopération avec toutes les parties prenantes concernées, continuera de dialoguer avec les pays tiers afin de renforcer les efforts de recherche et de sauvetage, de lutter contre le trafic de migrants et la traite des êtres humains, de protéger les personnes déplacées et d’améliorer la coopération en matière de retour et de réadmission depuis l’UE et depuis d’autres pays tiers, en veillant au respect total des droits fondamentaux et des obligations internationales.</w:t>
      </w:r>
    </w:p>
    <w:p w14:paraId="13BE41E8" w14:textId="1CBB96C4" w:rsidR="00D20F7A" w:rsidRPr="00D62DC7" w:rsidRDefault="27A98F76" w:rsidP="00F10FD2">
      <w:pPr>
        <w:spacing w:line="240" w:lineRule="auto"/>
        <w:rPr>
          <w:rFonts w:eastAsia="EC Square Sans Pro"/>
          <w:noProof/>
          <w:sz w:val="24"/>
          <w:szCs w:val="24"/>
        </w:rPr>
      </w:pPr>
      <w:r>
        <w:rPr>
          <w:noProof/>
          <w:sz w:val="24"/>
        </w:rPr>
        <w:t xml:space="preserve">Le nombre croissant de migrants traversant clandestinement la </w:t>
      </w:r>
      <w:r>
        <w:rPr>
          <w:b/>
          <w:noProof/>
          <w:sz w:val="24"/>
        </w:rPr>
        <w:t>Manche</w:t>
      </w:r>
      <w:r>
        <w:rPr>
          <w:noProof/>
          <w:sz w:val="24"/>
        </w:rPr>
        <w:t xml:space="preserve"> depuis la France vers le Royaume-Uni appelle une réaction ferme pour lutter contre la migration irrégulière et la criminalité organisée qui l’entoure, combinée à des efforts maximaux destinés à éviter de nouvelles pertes humaines en mer. Dans le prolongement de la déclaration commune du sommet des dirigeants de l’UE et du Royaume-Uni de mai 2025, et dans le cadre de l’alliance mondiale pour lutter contre le trafic de migrants, l’UE s’emploie à renforcer sa coopération avec le Royaume-Uni. Dans ce contexte, le projet pilote adopté par la France et le Royaume-Uni et soutenu par la Commission est utile pour décourager ces voyages dangereux et remédier à cette situation difficile à la frontière extérieure de l’UE.</w:t>
      </w:r>
    </w:p>
    <w:p w14:paraId="04CC0EB0" w14:textId="71D0C21B" w:rsidR="00A7291D" w:rsidRPr="00B5212B" w:rsidRDefault="00A7291D" w:rsidP="00A7291D">
      <w:pPr>
        <w:spacing w:line="240" w:lineRule="auto"/>
        <w:rPr>
          <w:b/>
          <w:bCs/>
          <w:i/>
          <w:iCs/>
          <w:noProof/>
          <w:sz w:val="24"/>
          <w:szCs w:val="24"/>
        </w:rPr>
      </w:pPr>
      <w:r>
        <w:rPr>
          <w:b/>
          <w:i/>
          <w:noProof/>
          <w:sz w:val="24"/>
        </w:rPr>
        <w:t xml:space="preserve">Aider les pays partenaires à renforcer leur régime d’asile et de protection  </w:t>
      </w:r>
    </w:p>
    <w:p w14:paraId="59DFA984" w14:textId="693204C5" w:rsidR="5E087AF9" w:rsidRPr="00EE067B" w:rsidRDefault="00341D07" w:rsidP="000759B8">
      <w:pPr>
        <w:spacing w:line="240" w:lineRule="auto"/>
        <w:rPr>
          <w:noProof/>
        </w:rPr>
      </w:pPr>
      <w:r>
        <w:rPr>
          <w:noProof/>
          <w:sz w:val="24"/>
        </w:rPr>
        <w:t xml:space="preserve">Fin juin 2025, plus de 117 millions de personnes se trouvaient en situation de </w:t>
      </w:r>
      <w:r>
        <w:rPr>
          <w:b/>
          <w:noProof/>
          <w:sz w:val="24"/>
        </w:rPr>
        <w:t>déplacement forcé</w:t>
      </w:r>
      <w:r>
        <w:rPr>
          <w:noProof/>
          <w:sz w:val="24"/>
        </w:rPr>
        <w:t xml:space="preserve"> dans le monde (</w:t>
      </w:r>
      <w:r>
        <w:rPr>
          <w:rStyle w:val="FootnoteReference"/>
          <w:noProof/>
          <w:sz w:val="24"/>
          <w:szCs w:val="24"/>
        </w:rPr>
        <w:footnoteReference w:id="23"/>
      </w:r>
      <w:r>
        <w:rPr>
          <w:noProof/>
          <w:sz w:val="24"/>
        </w:rPr>
        <w:t xml:space="preserve">). Le nombre de ces personnes a presque doublé au cours des dix dernières années, reflétant près d’une décennie d’augmentations en glissement annuel. Deux tiers des personnes qui sont contraintes de quitter leur foyer séjournent dans des zones voisines, souvent situées dans des pays à revenu faible ou intermédiaire. Le fait de rester dans la même région et d’y recevoir une protection effective est avantageux pour les personnes déplacées et les réfugiés, qui sont alors moins exposés au risque de devoir entreprendre un voyage dangereux, avec les souffrances humaines que celui-ci implique, et aide les États à gérer les problèmes liés à la migration conformément à leurs obligations internationales. </w:t>
      </w:r>
    </w:p>
    <w:p w14:paraId="6F4216A3" w14:textId="279F0FF8" w:rsidR="00EE067B" w:rsidRPr="00EE067B" w:rsidRDefault="00FD48E8" w:rsidP="000759B8">
      <w:pPr>
        <w:spacing w:line="240" w:lineRule="auto"/>
        <w:rPr>
          <w:noProof/>
          <w:sz w:val="24"/>
          <w:szCs w:val="24"/>
        </w:rPr>
      </w:pPr>
      <w:r>
        <w:rPr>
          <w:noProof/>
          <w:sz w:val="24"/>
        </w:rPr>
        <w:t xml:space="preserve">La Commission, s’appuyant sur les résultats obtenus dans le cadre de l’IVCDCI – Europe dans le monde, continuera de soutenir des programmes visant à renforcer les régimes d’asile nationaux, les cadres d’accueil et de protection et la gestion de la migration dans les pays tiers. Un soutien sera apporté aux réformes juridiques et institutionnelles et au renforcement des capacités en ce qui concerne les systèmes de détermination, d’enregistrement et de documentation du statut de réfugié dans plusieurs pays partenaires. Des liens plus étroits seront établis entre ces travaux et les dialogues et partenariats régionaux avec les principaux pays d’origine et de transit. En outre, la Commission continuera de fournir des services de protection et d’apporter des solutions durables aux personnes en situation de déplacement forcé. </w:t>
      </w:r>
    </w:p>
    <w:p w14:paraId="27D14619" w14:textId="78CB19E2" w:rsidR="00FD024C" w:rsidRPr="00EE067B" w:rsidRDefault="00FD024C">
      <w:pPr>
        <w:spacing w:line="240" w:lineRule="auto"/>
        <w:rPr>
          <w:rFonts w:eastAsia="EC Square Sans Pro"/>
          <w:b/>
          <w:bCs/>
          <w:i/>
          <w:iCs/>
          <w:noProof/>
          <w:sz w:val="24"/>
          <w:szCs w:val="24"/>
        </w:rPr>
      </w:pPr>
      <w:r>
        <w:rPr>
          <w:b/>
          <w:i/>
          <w:noProof/>
          <w:sz w:val="24"/>
        </w:rPr>
        <w:t>Promouvoir les voies d’accès à une protection</w:t>
      </w:r>
    </w:p>
    <w:p w14:paraId="7444C346" w14:textId="12A50D86" w:rsidR="007626B4" w:rsidRDefault="004272FA">
      <w:pPr>
        <w:spacing w:line="240" w:lineRule="auto"/>
        <w:rPr>
          <w:noProof/>
          <w:sz w:val="24"/>
          <w:szCs w:val="24"/>
        </w:rPr>
      </w:pPr>
      <w:r>
        <w:rPr>
          <w:noProof/>
          <w:sz w:val="24"/>
        </w:rPr>
        <w:t xml:space="preserve">En ouvrant des voies légales d’accès pour protéger les personnes qui en ont besoin, l’UE apporte la preuve concrète qu’elle assume les responsabilités qui sont les siennes à l’échelle mondiale. Parallèlement, les voies légales d’accès concourent à la réalisation de l’objectif consistant à gérer les arrivées de manière ordonnée et sûre, en supprimant les passeurs et les voyages dangereux de l’équation. Elles constituent aussi un outil stratégique susceptible de renforcer la coopération de l’UE avec les pays partenaires, dans le cadre d’une approche globale, complète et axée sur l’ensemble de la route en matière de gestion de la migration. Ces voies contribuent à alléger la pression qui pèse sur ces partenaires, en favorisant leur capacité à améliorer leurs conditions d’accueil et de protection internationale, et complètent nos politiques visant à prévenir les mouvements ultérieurs dangereux depuis les pays d’origine. Elles devraient donc s’inscrire dans le cadre plus large de la coopération avec les pays partenaires. Par conséquent, l’UE devrait revoir ses ambitions à la hausse en matière </w:t>
      </w:r>
      <w:r>
        <w:rPr>
          <w:b/>
          <w:noProof/>
          <w:sz w:val="24"/>
        </w:rPr>
        <w:t>de réinstallation et d’admission humanitaire</w:t>
      </w:r>
      <w:r>
        <w:rPr>
          <w:noProof/>
          <w:sz w:val="24"/>
        </w:rPr>
        <w:t>, en tant que partie intégrante des instruments de diplomatie migratoire à sa disposition.</w:t>
      </w:r>
    </w:p>
    <w:p w14:paraId="217CBB61" w14:textId="6B3E68D3" w:rsidR="00A7291D" w:rsidRPr="00B5212B" w:rsidRDefault="00F0442D">
      <w:pPr>
        <w:spacing w:line="240" w:lineRule="auto"/>
        <w:rPr>
          <w:noProof/>
          <w:sz w:val="24"/>
          <w:szCs w:val="24"/>
        </w:rPr>
      </w:pPr>
      <w:r>
        <w:rPr>
          <w:noProof/>
          <w:sz w:val="24"/>
        </w:rPr>
        <w:t>La saturation des systèmes d’accueil nationaux, combinée à d’autres facteurs politiques et financiers importants, a abouti à une réduction du nombre de places que les États membres de l’UE sont en mesure d’offrir pour la période 2026-2027 dans le cadre du plan de l’Union pour la réinstallation et l’admission humanitaire (</w:t>
      </w:r>
      <w:r>
        <w:rPr>
          <w:rStyle w:val="FootnoteReference"/>
          <w:noProof/>
          <w:sz w:val="24"/>
          <w:szCs w:val="24"/>
        </w:rPr>
        <w:footnoteReference w:id="24"/>
      </w:r>
      <w:r>
        <w:rPr>
          <w:noProof/>
          <w:sz w:val="24"/>
        </w:rPr>
        <w:t xml:space="preserve">). Toutefois, la gestion plus efficace de la migration découlant de la mise en œuvre du pacte devrait créer des conditions propices à des </w:t>
      </w:r>
      <w:r>
        <w:rPr>
          <w:b/>
          <w:noProof/>
          <w:sz w:val="24"/>
        </w:rPr>
        <w:t>plans de réinstallation et d’admission humanitaire plus ambitieux</w:t>
      </w:r>
      <w:r>
        <w:rPr>
          <w:noProof/>
          <w:sz w:val="24"/>
        </w:rPr>
        <w:t xml:space="preserve"> au cours des prochaines années.</w:t>
      </w:r>
    </w:p>
    <w:p w14:paraId="6B2FA86E" w14:textId="77777777" w:rsidR="00084445" w:rsidRPr="00B5212B" w:rsidRDefault="00084445" w:rsidP="00084445">
      <w:pPr>
        <w:spacing w:line="240" w:lineRule="auto"/>
        <w:rPr>
          <w:rFonts w:eastAsia="Aptos"/>
          <w:b/>
          <w:bCs/>
          <w:i/>
          <w:iCs/>
          <w:noProof/>
          <w:sz w:val="24"/>
          <w:szCs w:val="24"/>
          <w14:ligatures w14:val="standardContextual"/>
        </w:rPr>
      </w:pPr>
      <w:r>
        <w:rPr>
          <w:b/>
          <w:i/>
          <w:noProof/>
          <w:sz w:val="24"/>
        </w:rPr>
        <w:t>Soutenir les retours depuis des pays tiers</w:t>
      </w:r>
    </w:p>
    <w:p w14:paraId="1E5D7388" w14:textId="4D95D29D" w:rsidR="00084445" w:rsidRPr="00B5212B" w:rsidRDefault="00F621B0">
      <w:pPr>
        <w:spacing w:line="240" w:lineRule="auto"/>
        <w:rPr>
          <w:rFonts w:eastAsia="EC Square Sans Pro"/>
          <w:noProof/>
          <w:sz w:val="24"/>
          <w:szCs w:val="24"/>
        </w:rPr>
      </w:pPr>
      <w:r>
        <w:rPr>
          <w:noProof/>
          <w:sz w:val="24"/>
        </w:rPr>
        <w:t xml:space="preserve">Depuis 2016, l’UE a considérablement accru son soutien aux </w:t>
      </w:r>
      <w:r>
        <w:rPr>
          <w:b/>
          <w:noProof/>
          <w:sz w:val="24"/>
        </w:rPr>
        <w:t>retours volontaires durables depuis les pays de transit</w:t>
      </w:r>
      <w:r>
        <w:rPr>
          <w:noProof/>
          <w:sz w:val="24"/>
        </w:rPr>
        <w:t xml:space="preserve"> vers les pays d’origine des migrants. Cette démarche contribue à réduire la pression exercée sur les systèmes des pays tiers ainsi que le nombre d’arrivées illégales dans l’UE. Elle donne aussi une chance aux migrants bloqués sans perspective de protection ni moyen de retour par eux-mêmes, en les protégeant des agissements des passeurs. Le soutien financier fourni au titre de l’IVCDCI – Europe dans le monde dans le cadre financier pluriannuel actuel s’élève jusqu’à présent (pour la période allant de 2021 à 2025) à plus de 1 milliard d’EUR, ces fonds étant destinés à favoriser les retours depuis les pays tiers et la réintégration, ainsi qu’à renforcer la responsabilisation de ces pays en Afrique du Nord, en Afrique subsaharienne et en Asie et leurs capacités à gérer la réintégration au moyen de mécanismes nationaux d’orientation. L’un des principaux programmes de soutien au retour et à la réintégration des ressortissants de pays tiers est le programme de protection, de retour et de réintégration des migrants (MPRR). Il contribue à la protection des migrants vulnérables et bloqués, notamment par leur retour volontaire assisté depuis l’Afrique du Nord et le Sahel et leur réintégration durable en Afrique subsaharienne. Entre décembre 2022 et novembre 2025, le MPRR a soutenu le retour de plus de 127 500 personnes et la réintégration de plus de 106 600 personnes. Globalement, dans le cadre de l’actuel IVCDCI – Europe dans le monde, le MPRR en Afrique du Nord et en Afrique subsaharienne a bénéficié jusqu’à présent d’une enveloppe de plus de 650 millions d’EUR, sur un total de 1 milliard d’EUR alloués au retour et à la réintégration au titre de l’IVCDCI – Europe dans le monde entre 2021 et 2025 (</w:t>
      </w:r>
      <w:r>
        <w:rPr>
          <w:rStyle w:val="FootnoteReference"/>
          <w:rFonts w:eastAsia="EC Square Sans Pro"/>
          <w:noProof/>
          <w:sz w:val="24"/>
          <w:szCs w:val="24"/>
        </w:rPr>
        <w:footnoteReference w:id="25"/>
      </w:r>
      <w:r>
        <w:rPr>
          <w:noProof/>
          <w:sz w:val="24"/>
        </w:rPr>
        <w:t xml:space="preserve">). Le soutien aux retours volontaires vers l’Afrique subsaharienne et d’autres pays d’origine clés, ainsi que les efforts visant à mettre en place des systèmes nationaux de réintégration, resteront des éléments importants de la diplomatie migratoire de l’UE. </w:t>
      </w:r>
    </w:p>
    <w:p w14:paraId="2C6C942B" w14:textId="6B61A98F" w:rsidR="00F4749B" w:rsidRPr="00B5212B" w:rsidRDefault="00084445" w:rsidP="0370BACC">
      <w:pPr>
        <w:spacing w:line="240" w:lineRule="auto"/>
        <w:rPr>
          <w:rFonts w:eastAsia="EC Square Sans Pro"/>
          <w:noProof/>
          <w:sz w:val="24"/>
          <w:szCs w:val="24"/>
        </w:rPr>
      </w:pPr>
      <w:r>
        <w:rPr>
          <w:noProof/>
          <w:sz w:val="24"/>
        </w:rPr>
        <w:t xml:space="preserve">La Commission </w:t>
      </w:r>
      <w:r>
        <w:rPr>
          <w:b/>
          <w:noProof/>
          <w:sz w:val="24"/>
        </w:rPr>
        <w:t>continuera de promouvoir l’aide au retour volontaire et à la réintégration depuis des pays tiers</w:t>
      </w:r>
      <w:r>
        <w:rPr>
          <w:noProof/>
          <w:sz w:val="24"/>
        </w:rPr>
        <w:t xml:space="preserve"> dans le cadre de sa coopération stratégique avec ces pays, en coopération avec les États membres et les pays tiers concernés, et avec le soutien du programme européen de réintégration conçu par Frontex et d’acteurs internationaux tels que l’OIM.</w:t>
      </w:r>
      <w:r>
        <w:rPr>
          <w:i/>
          <w:noProof/>
          <w:sz w:val="24"/>
        </w:rPr>
        <w:t xml:space="preserve"> </w:t>
      </w:r>
      <w:r>
        <w:rPr>
          <w:noProof/>
          <w:sz w:val="24"/>
        </w:rPr>
        <w:t>Les actions visant à renforcer les retours volontaires depuis des pays tiers vont de pair avec les efforts déployés pour améliorer le retour et la réadmission des ressortissants de pays tiers en séjour irrégulier dans l’UE (voir le point 5).</w:t>
      </w:r>
    </w:p>
    <w:p w14:paraId="4D6591B7" w14:textId="068D5813" w:rsidR="00A7291D" w:rsidRPr="00B5212B" w:rsidRDefault="00A7291D" w:rsidP="00A7291D">
      <w:pPr>
        <w:pStyle w:val="Heading1"/>
        <w:spacing w:before="120"/>
        <w:rPr>
          <w:bCs/>
          <w:noProof/>
        </w:rPr>
      </w:pPr>
      <w:r>
        <w:rPr>
          <w:noProof/>
        </w:rPr>
        <w:t>Des frontières de l’UE solides pour renforcer les contrôles et la sécurité</w:t>
      </w:r>
    </w:p>
    <w:p w14:paraId="32FDD1EF" w14:textId="55E91558" w:rsidR="00501CD6" w:rsidRPr="00B5212B" w:rsidRDefault="550862A0" w:rsidP="00A7291D">
      <w:pPr>
        <w:spacing w:line="240" w:lineRule="auto"/>
        <w:rPr>
          <w:noProof/>
          <w:sz w:val="24"/>
          <w:szCs w:val="24"/>
        </w:rPr>
      </w:pPr>
      <w:r>
        <w:rPr>
          <w:noProof/>
          <w:sz w:val="24"/>
        </w:rPr>
        <w:t>Le maintien de l’</w:t>
      </w:r>
      <w:r>
        <w:rPr>
          <w:b/>
          <w:noProof/>
          <w:sz w:val="24"/>
        </w:rPr>
        <w:t>intégrité des frontières extérieures de l’Union et de l’espace Schengen</w:t>
      </w:r>
      <w:r>
        <w:rPr>
          <w:noProof/>
          <w:sz w:val="24"/>
        </w:rPr>
        <w:t xml:space="preserve"> en tant qu’espace sans contrôles aux frontières intérieures est un élément essentiel d’une approche intégrée et globale de la gestion de la migration. </w:t>
      </w:r>
    </w:p>
    <w:p w14:paraId="4C93FD49" w14:textId="402D11F5" w:rsidR="00A7291D" w:rsidRPr="00B5212B" w:rsidRDefault="3204C119" w:rsidP="00A7291D">
      <w:pPr>
        <w:spacing w:line="240" w:lineRule="auto"/>
        <w:rPr>
          <w:noProof/>
          <w:sz w:val="24"/>
          <w:szCs w:val="24"/>
        </w:rPr>
      </w:pPr>
      <w:r>
        <w:rPr>
          <w:noProof/>
          <w:sz w:val="24"/>
        </w:rPr>
        <w:t xml:space="preserve">Pour l’assurer, l’Union doit disposer de frontières extérieures solides permettant de garantir la sécurité et l’ordre et de </w:t>
      </w:r>
      <w:r>
        <w:rPr>
          <w:b/>
          <w:noProof/>
          <w:sz w:val="24"/>
        </w:rPr>
        <w:t>contrôler efficacement les personnes qui entrent (</w:t>
      </w:r>
      <w:r>
        <w:rPr>
          <w:rStyle w:val="FootnoteReference"/>
          <w:b/>
          <w:bCs/>
          <w:noProof/>
          <w:sz w:val="24"/>
          <w:szCs w:val="24"/>
        </w:rPr>
        <w:footnoteReference w:id="26"/>
      </w:r>
      <w:r>
        <w:rPr>
          <w:b/>
          <w:noProof/>
          <w:sz w:val="24"/>
        </w:rPr>
        <w:t>) et séjournent</w:t>
      </w:r>
      <w:r>
        <w:rPr>
          <w:noProof/>
          <w:sz w:val="24"/>
        </w:rPr>
        <w:t xml:space="preserve"> légalement sur son territoire, tout en prévenant les entrées et les séjours irréguliers. Combinée à un cadre juridique solide empêchant les abus et les mouvements secondaires irréguliers au sein de l’UE, introduit par le pacte, la protection efficace des frontières extérieures de l’UE devrait également améliorer la situation aux frontières intérieures de l’UE, faciliter le fonctionnement de l’espace Schengen et renforcer la confiance mutuelle entre les États membres.</w:t>
      </w:r>
    </w:p>
    <w:p w14:paraId="1741D408" w14:textId="7FE2A18D" w:rsidR="00923497" w:rsidRPr="00B5212B" w:rsidRDefault="009050C9" w:rsidP="3F0769EC">
      <w:pPr>
        <w:spacing w:line="240" w:lineRule="auto"/>
        <w:rPr>
          <w:noProof/>
          <w:sz w:val="24"/>
          <w:szCs w:val="24"/>
        </w:rPr>
      </w:pPr>
      <w:r>
        <w:rPr>
          <w:noProof/>
          <w:sz w:val="24"/>
        </w:rPr>
        <w:t xml:space="preserve">Parallèlement, de nouveaux problèmes apparaissent constamment aux frontières, portant atteinte à la sécurité et à l’intégrité territoriale de l’Union et de ses États membres. Depuis 2021, les menaces hybrides liées à </w:t>
      </w:r>
      <w:r>
        <w:rPr>
          <w:b/>
          <w:noProof/>
          <w:sz w:val="24"/>
        </w:rPr>
        <w:t>l’instrumentalisation des migrants et de la migration</w:t>
      </w:r>
      <w:r>
        <w:rPr>
          <w:noProof/>
          <w:sz w:val="24"/>
        </w:rPr>
        <w:t xml:space="preserve"> par la Russie et la Biélorussie se sont encore intensifiées dans le contexte de la guerre d’agression menée par la Russie contre l’Ukraine. L’Union ne saurait permettre à des acteurs hostiles de mettre à mal ses valeurs et ses principes, y compris le droit d’asile, et de saper ses démocraties. Dans le cadre des mesures prises pour s’attaquer à ce phénomène, comprenant des contacts diplomatiques et des travaux législatifs, la Commission a publié en 2024 une communication (</w:t>
      </w:r>
      <w:r>
        <w:rPr>
          <w:rStyle w:val="FootnoteReference"/>
          <w:noProof/>
          <w:sz w:val="24"/>
          <w:szCs w:val="24"/>
        </w:rPr>
        <w:footnoteReference w:id="27"/>
      </w:r>
      <w:r>
        <w:rPr>
          <w:noProof/>
          <w:sz w:val="24"/>
        </w:rPr>
        <w:t xml:space="preserve">) visant à aider les États membres de l’UE à lutter contre les menaces hybrides résultant de l’instrumentalisation de la migration et à renforcer la sécurité aux frontières extérieures de l’UE et a débloqué des fonds pour améliorer leurs capacités de surveillance des frontières. Au cours des cinq prochaines années, l’Union devra rester pleinement préparée à faire face à de nouveaux problèmes ou menaces. </w:t>
      </w:r>
    </w:p>
    <w:p w14:paraId="7DEA3DE6" w14:textId="60BB1B8B" w:rsidR="00F4141A" w:rsidRPr="00B5212B" w:rsidRDefault="000469A0" w:rsidP="00A7291D">
      <w:pPr>
        <w:spacing w:line="240" w:lineRule="auto"/>
        <w:rPr>
          <w:rFonts w:eastAsia="EC Square Sans Pro"/>
          <w:noProof/>
          <w:sz w:val="24"/>
          <w:szCs w:val="24"/>
        </w:rPr>
      </w:pPr>
      <w:r>
        <w:rPr>
          <w:noProof/>
          <w:sz w:val="24"/>
        </w:rPr>
        <w:t xml:space="preserve">L’Union entend poursuivre la mise en place d’une </w:t>
      </w:r>
      <w:r>
        <w:rPr>
          <w:b/>
          <w:noProof/>
          <w:sz w:val="24"/>
        </w:rPr>
        <w:t>gestion européenne intégrée des frontières (GEIF)</w:t>
      </w:r>
      <w:r>
        <w:rPr>
          <w:noProof/>
          <w:sz w:val="24"/>
        </w:rPr>
        <w:t xml:space="preserve"> solide et efficace, en présentant en 2028 la deuxième stratégie en la matière, qui reposera sur des technologies de l’information et des infrastructures de pointe et aura pour organes opérationnels Frontex et l’eu-LISA. La révision du règlement Frontex, prévue pour 2026, sera l’occasion d’examiner comment renforcer encore le mandat de l’Agence dans le domaine de la protection des frontières et comment consolider son contingent permanent pour lui permettre d’étendre sa présence et d’accroître son soutien opérationnel aux États membres et aux pays tiers.</w:t>
      </w:r>
    </w:p>
    <w:p w14:paraId="0664B72C" w14:textId="77777777" w:rsidR="00A7291D" w:rsidRPr="00B5212B" w:rsidRDefault="00A7291D" w:rsidP="00A7291D">
      <w:pPr>
        <w:spacing w:line="240" w:lineRule="auto"/>
        <w:rPr>
          <w:b/>
          <w:bCs/>
          <w:i/>
          <w:iCs/>
          <w:noProof/>
          <w:sz w:val="24"/>
          <w:szCs w:val="24"/>
        </w:rPr>
      </w:pPr>
      <w:r>
        <w:rPr>
          <w:b/>
          <w:i/>
          <w:noProof/>
          <w:sz w:val="24"/>
        </w:rPr>
        <w:t>Un contrôle plus efficace de l’accès au territoire de l’UE et à l’espace Schengen</w:t>
      </w:r>
    </w:p>
    <w:p w14:paraId="60D3D6B8" w14:textId="3772E377" w:rsidR="00A7291D" w:rsidRPr="00B5212B" w:rsidRDefault="550862A0" w:rsidP="00A7291D">
      <w:pPr>
        <w:spacing w:line="240" w:lineRule="auto"/>
        <w:rPr>
          <w:rFonts w:eastAsia="EC Square Sans Pro"/>
          <w:noProof/>
          <w:sz w:val="24"/>
          <w:szCs w:val="24"/>
        </w:rPr>
      </w:pPr>
      <w:r>
        <w:rPr>
          <w:noProof/>
          <w:sz w:val="24"/>
        </w:rPr>
        <w:t xml:space="preserve">Avec le déploiement progressif du </w:t>
      </w:r>
      <w:r>
        <w:rPr>
          <w:b/>
          <w:noProof/>
          <w:sz w:val="24"/>
        </w:rPr>
        <w:t>système d’entrée/de sortie (EES)</w:t>
      </w:r>
      <w:r>
        <w:rPr>
          <w:noProof/>
          <w:sz w:val="24"/>
        </w:rPr>
        <w:t>, qui a débuté en octobre 2025, l’UE met en service le système numérique de gestion des frontières le plus avancé au monde. L’EES transforme le contrôle aux frontières en dotant l’UE d’une capacité accrue de surveillance des entrées et des sorties sur son territoire, ainsi que d’identification des personnes qui dépassent la durée du séjour autorisé, et en améliorant la circulation des informations entre les systèmes et les autorités, garantissant ainsi une réaction plus efficiente et plus efficace à l’évolution des défis en matière de migration et de sécurité.</w:t>
      </w:r>
    </w:p>
    <w:p w14:paraId="39E1327A" w14:textId="776D7D63" w:rsidR="00A7291D" w:rsidRPr="00B5212B" w:rsidRDefault="550862A0" w:rsidP="00A7291D">
      <w:pPr>
        <w:spacing w:line="240" w:lineRule="auto"/>
        <w:rPr>
          <w:rFonts w:eastAsia="EC Square Sans Pro"/>
          <w:noProof/>
          <w:sz w:val="24"/>
          <w:szCs w:val="24"/>
        </w:rPr>
      </w:pPr>
      <w:r>
        <w:rPr>
          <w:noProof/>
          <w:sz w:val="24"/>
        </w:rPr>
        <w:t xml:space="preserve">Les prochaines étapes consisteront pour l’Union à lancer la nouvelle base de données de gestion de la migration (Eurodac) d’ici la mi-2026, ainsi que le système européen d’information et d’autorisation concernant les voyages (ETIAS) d’ici la fin de 2026. Il est prévu de parvenir à une </w:t>
      </w:r>
      <w:r>
        <w:rPr>
          <w:b/>
          <w:noProof/>
          <w:sz w:val="24"/>
        </w:rPr>
        <w:t>interopérabilité</w:t>
      </w:r>
      <w:r>
        <w:rPr>
          <w:noProof/>
          <w:sz w:val="24"/>
        </w:rPr>
        <w:t xml:space="preserve"> complète de tous les systèmes, y compris le système d’information sur les visas (VIS), dans les années qui viennent.</w:t>
      </w:r>
    </w:p>
    <w:p w14:paraId="35B1B336" w14:textId="259DEE3A" w:rsidR="00BE71D2" w:rsidRPr="00B5212B" w:rsidRDefault="36286717" w:rsidP="00A7291D">
      <w:pPr>
        <w:spacing w:line="240" w:lineRule="auto"/>
        <w:rPr>
          <w:rFonts w:eastAsia="EC Square Sans Pro"/>
          <w:noProof/>
          <w:sz w:val="24"/>
          <w:szCs w:val="24"/>
        </w:rPr>
      </w:pPr>
      <w:r>
        <w:rPr>
          <w:noProof/>
          <w:sz w:val="24"/>
        </w:rPr>
        <w:t>Pour mener à bien cette transformation numérique, l’</w:t>
      </w:r>
      <w:r>
        <w:rPr>
          <w:b/>
          <w:noProof/>
          <w:sz w:val="24"/>
        </w:rPr>
        <w:t>eu-LISA</w:t>
      </w:r>
      <w:r>
        <w:rPr>
          <w:noProof/>
          <w:sz w:val="24"/>
        </w:rPr>
        <w:t>, l’agence de l’UE pour la gestion des systèmes d’information à grande échelle, continuera de jouer un rôle central. La proposition relative au CFP prévoit une augmentation significative de ses ressources afin de donner à l’agence les moyens nécessaires au développement et à la mise en service de toutes les composantes des systèmes d’information à grande échelle relevant de sa compétence.</w:t>
      </w:r>
    </w:p>
    <w:p w14:paraId="0F5A3FCD" w14:textId="3591C37E" w:rsidR="00A7291D" w:rsidRPr="00B5212B" w:rsidRDefault="550862A0" w:rsidP="00A7291D">
      <w:pPr>
        <w:spacing w:line="240" w:lineRule="auto"/>
        <w:rPr>
          <w:rFonts w:eastAsia="EC Square Sans Pro"/>
          <w:noProof/>
          <w:sz w:val="24"/>
          <w:szCs w:val="24"/>
        </w:rPr>
      </w:pPr>
      <w:r>
        <w:rPr>
          <w:noProof/>
          <w:sz w:val="24"/>
        </w:rPr>
        <w:t xml:space="preserve">En outre, à partir de la mi-2026, les États membres commenceront, dans le cadre de la mise en œuvre du pacte, à procéder au </w:t>
      </w:r>
      <w:r>
        <w:rPr>
          <w:b/>
          <w:noProof/>
          <w:sz w:val="24"/>
        </w:rPr>
        <w:t>filtrage des ressortissants de pays tiers arrivant dans l’UE sans remplir les conditions d’entrée</w:t>
      </w:r>
      <w:r>
        <w:rPr>
          <w:noProof/>
          <w:sz w:val="24"/>
        </w:rPr>
        <w:t xml:space="preserve"> dans l’espace Schengen. Ainsi, les personnes arrivant illégalement aux frontières extérieures de l’UE seront soumises à des contrôles d’identité, de sécurité, sanitaires et de vulnérabilité et orientées vers la procédure appropriée. À cet égard, la refonte majeure, à la mi-2026, d’</w:t>
      </w:r>
      <w:r>
        <w:rPr>
          <w:b/>
          <w:noProof/>
          <w:sz w:val="24"/>
        </w:rPr>
        <w:t>Eurodac</w:t>
      </w:r>
      <w:r>
        <w:rPr>
          <w:noProof/>
          <w:sz w:val="24"/>
        </w:rPr>
        <w:t xml:space="preserve">, la base de données biométriques centrale de l’UE, dotera les autorités d’un système informatique de gestion de la migration leur permettant de surveiller, de gérer et de contrôler, numériquement et de manière globale, l’asile et la migration dans l’UE. Les </w:t>
      </w:r>
      <w:r>
        <w:rPr>
          <w:b/>
          <w:noProof/>
          <w:sz w:val="24"/>
        </w:rPr>
        <w:t>nouvelles procédures obligatoires en matière d’asile et de retour à la frontière</w:t>
      </w:r>
      <w:r>
        <w:rPr>
          <w:noProof/>
          <w:sz w:val="24"/>
        </w:rPr>
        <w:t xml:space="preserve"> renforceront le contrôle de nos frontières et, partant, amélioreront notre capacité à empêcher les entrées illégales et accroîtront l’efficacité de nos systèmes d’asile et de retour. Les demandeurs qui ne sont pas susceptibles d’obtenir une protection dans l’UE, qui ont été identifiés comme présentant un risque pour la sécurité intérieure de cette dernière ou qui cherchent à tromper les autorités, ne seront pas autorisés à entrer dans l’Union et feront l’objet d’un traitement rapide à la frontière. Des mécanismes de contrôle nationaux indépendants permettront de vérifier le respect des droits fondamentaux, y compris des droits de l’enfant, au cours du filtrage et de la procédure d’asile à la frontière.</w:t>
      </w:r>
    </w:p>
    <w:p w14:paraId="144E47E8" w14:textId="77777777" w:rsidR="00A7291D" w:rsidRDefault="00A7291D" w:rsidP="00A7291D">
      <w:pPr>
        <w:spacing w:line="240" w:lineRule="auto"/>
        <w:rPr>
          <w:rFonts w:eastAsia="EC Square Sans Pro"/>
          <w:b/>
          <w:bCs/>
          <w:i/>
          <w:iCs/>
          <w:noProof/>
          <w:sz w:val="24"/>
          <w:szCs w:val="24"/>
        </w:rPr>
      </w:pPr>
      <w:r>
        <w:rPr>
          <w:b/>
          <w:i/>
          <w:noProof/>
          <w:sz w:val="24"/>
        </w:rPr>
        <w:t>Tirer parti des technologies aux fins de la gestion et de la protection des frontières de l’Union</w:t>
      </w:r>
    </w:p>
    <w:p w14:paraId="2A996B61" w14:textId="4B9813FF" w:rsidR="00A50C62" w:rsidRDefault="00E92851" w:rsidP="006803AE">
      <w:pPr>
        <w:spacing w:line="240" w:lineRule="auto"/>
        <w:rPr>
          <w:rFonts w:eastAsia="EC Square Sans Pro"/>
          <w:noProof/>
          <w:sz w:val="24"/>
          <w:szCs w:val="24"/>
        </w:rPr>
      </w:pPr>
      <w:r>
        <w:rPr>
          <w:noProof/>
          <w:sz w:val="24"/>
        </w:rPr>
        <w:t xml:space="preserve">Au cours des cinq prochaines années, l’Union continuera de renforcer ses </w:t>
      </w:r>
      <w:r>
        <w:rPr>
          <w:b/>
          <w:noProof/>
          <w:sz w:val="24"/>
        </w:rPr>
        <w:t>capacités fondées sur le renseignement</w:t>
      </w:r>
      <w:r>
        <w:rPr>
          <w:noProof/>
          <w:sz w:val="24"/>
        </w:rPr>
        <w:t xml:space="preserve"> pour protéger ses frontières extérieures, veiller à une appréciation complète de la situation et faire en sorte de disposer d’une capacité de réaction appropriée. À cette fin, EUROSUR permet déjà une surveillance de pointe et renforce la capacité de l’Union à surveiller et à contrôler les frontières extérieures communes de l’espace Schengen grâce à un échange d’informations en temps quasi réel sur la migration irrégulière et la criminalité transfrontière. Il sera essentiel d’améliorer encore le fonctionnement d’EUROSUR ainsi que le recours à des technologies modernes pour la surveillance des frontières, y compris l’utilisation tactique de drones et de capacités antidrones. La Commission évaluera comment Frontex pourrait aider les États membres à acheter de tels équipements et fournir la formation nécessaire. En outre, l’environnement commun de partage de l’information (CISE), qui permet l’échange structuré et sécurisé d’informations entre les autorités maritimes de l’UE, continuera de jouer un rôle dans la sensibilisation aux activités maritimes et le soutien aux actions visant à lutter contre la migration irrégulière.</w:t>
      </w:r>
    </w:p>
    <w:p w14:paraId="38E480E8" w14:textId="27CE805F" w:rsidR="00F714BE" w:rsidRDefault="560F8224" w:rsidP="00F714BE">
      <w:pPr>
        <w:spacing w:line="240" w:lineRule="auto"/>
        <w:rPr>
          <w:rFonts w:eastAsia="EC Square Sans Pro"/>
          <w:noProof/>
          <w:sz w:val="24"/>
          <w:szCs w:val="24"/>
        </w:rPr>
      </w:pPr>
      <w:r>
        <w:rPr>
          <w:noProof/>
          <w:sz w:val="24"/>
        </w:rPr>
        <w:t xml:space="preserve">De nouvelles initiatives stimuleront encore la </w:t>
      </w:r>
      <w:r>
        <w:rPr>
          <w:b/>
          <w:noProof/>
          <w:sz w:val="24"/>
        </w:rPr>
        <w:t>numérisation de la gestion des frontières de l’UE</w:t>
      </w:r>
      <w:r>
        <w:rPr>
          <w:noProof/>
          <w:sz w:val="24"/>
        </w:rPr>
        <w:t xml:space="preserve"> et faciliteront l’entrée des voyageurs de bonne foi. La numérisation des procédures de visa, qui a été décidée en juin 2023 et doit être mise en œuvre d’ici à 2030, permettra aux voyageurs de demander plus facilement un visa Schengen et aux autorités nationales de traiter les demandes plus rapidement. Parallèlement, une fois qu’elle aura été adoptée par le Parlement européen et le Conseil, la proposition de numérisation des documents de voyage (</w:t>
      </w:r>
      <w:r>
        <w:rPr>
          <w:rStyle w:val="FootnoteReference"/>
          <w:rFonts w:eastAsia="EC Square Sans Pro"/>
          <w:noProof/>
          <w:sz w:val="24"/>
          <w:szCs w:val="24"/>
        </w:rPr>
        <w:footnoteReference w:id="28"/>
      </w:r>
      <w:r>
        <w:rPr>
          <w:noProof/>
          <w:sz w:val="24"/>
        </w:rPr>
        <w:t>), qui s’appuiera notamment sur le portefeuille européen d’identité numérique, confirmera encore la position d’acteur mondial de premier plan qu’occupe l’UE en matière de gestion des frontières sûre, efficiente et pratique pour les voyageurs. La Commission proposera également une mise à jour des règles de l’UE relatives au modèle uniforme de titre de séjour destiné aux ressortissants de pays tiers afin de combler les lacunes en matière de sécurité et de remédier à d’autres problèmes (</w:t>
      </w:r>
      <w:r>
        <w:rPr>
          <w:rStyle w:val="FootnoteReference"/>
          <w:rFonts w:eastAsia="EC Square Sans Pro"/>
          <w:noProof/>
          <w:sz w:val="24"/>
          <w:szCs w:val="24"/>
        </w:rPr>
        <w:footnoteReference w:id="29"/>
      </w:r>
      <w:r>
        <w:rPr>
          <w:noProof/>
          <w:sz w:val="24"/>
        </w:rPr>
        <w:t>).</w:t>
      </w:r>
    </w:p>
    <w:p w14:paraId="6D5DE642" w14:textId="2BC9EAE0" w:rsidR="00DE7D76" w:rsidRPr="004B6690" w:rsidRDefault="479F80F5" w:rsidP="00DE7D76">
      <w:pPr>
        <w:spacing w:line="240" w:lineRule="auto"/>
        <w:rPr>
          <w:rFonts w:eastAsia="EC Square Sans Pro"/>
          <w:noProof/>
          <w:sz w:val="24"/>
          <w:szCs w:val="24"/>
        </w:rPr>
      </w:pPr>
      <w:r>
        <w:rPr>
          <w:noProof/>
          <w:sz w:val="24"/>
        </w:rPr>
        <w:t xml:space="preserve">Au niveau de l’Union comme à l’échelon national, il convient de donner la priorité au déploiement de </w:t>
      </w:r>
      <w:r>
        <w:rPr>
          <w:b/>
          <w:noProof/>
          <w:sz w:val="24"/>
        </w:rPr>
        <w:t>nouvelles technologies</w:t>
      </w:r>
      <w:r>
        <w:rPr>
          <w:noProof/>
          <w:sz w:val="24"/>
        </w:rPr>
        <w:t xml:space="preserve">, y compris d’outils d’intelligence artificielle (IA) dignes de confiance et axés sur l’humain, afin d’anticiper les évolutions et de renforcer la préparation et la résilience des frontières extérieures de l’UE. Parmi ces nouvelles technologies figurent des modèles destinés à faciliter l’identification des avoirs ou des navires entachés d’irrégularités nécessitant des vérifications ou des enquêtes supplémentaires (parce qu’ils sont associés à des situations de détresse ou à des activités irrégulières, par exemple). Les outils concernés contribueront à soutenir les activités de lutte contre le trafic de migrants et les opérations de recherche et de sauvetage, à améliorer la reconnaissance d’objets tels que des véhicules ou des navires, à analyser rapidement de grands volumes de données hétérogènes et à utiliser la reconnaissance biométrique aux fins de contrôles sûrs et fiables et de la facilitation des déplacements, ainsi qu’à lutter contre l’usurpation d’identité. </w:t>
      </w:r>
      <w:bookmarkStart w:id="7" w:name="_Hlk219718878"/>
      <w:r>
        <w:rPr>
          <w:noProof/>
          <w:sz w:val="24"/>
        </w:rPr>
        <w:t>La mise au point de bon nombre de ces outils est en cours et se poursuivra avec le soutien des programmes de recherche et de développement de la Commission </w:t>
      </w:r>
      <w:bookmarkEnd w:id="7"/>
      <w:r>
        <w:rPr>
          <w:noProof/>
          <w:sz w:val="24"/>
        </w:rPr>
        <w:t>(</w:t>
      </w:r>
      <w:r>
        <w:rPr>
          <w:rStyle w:val="FootnoteReference"/>
          <w:rFonts w:eastAsia="EC Square Sans Pro"/>
          <w:noProof/>
          <w:sz w:val="24"/>
          <w:szCs w:val="24"/>
        </w:rPr>
        <w:footnoteReference w:id="30"/>
      </w:r>
      <w:r>
        <w:rPr>
          <w:noProof/>
          <w:sz w:val="24"/>
        </w:rPr>
        <w:t xml:space="preserve">), des solutions européennes étant privilégiées autant que possible. </w:t>
      </w:r>
    </w:p>
    <w:p w14:paraId="071F44E1" w14:textId="601FB265" w:rsidR="0064789A" w:rsidRDefault="359B00CE" w:rsidP="00DE7D76">
      <w:pPr>
        <w:spacing w:line="240" w:lineRule="auto"/>
        <w:rPr>
          <w:rFonts w:eastAsia="EC Square Sans Pro"/>
          <w:noProof/>
          <w:sz w:val="24"/>
          <w:szCs w:val="24"/>
        </w:rPr>
      </w:pPr>
      <w:r>
        <w:rPr>
          <w:noProof/>
          <w:sz w:val="24"/>
        </w:rPr>
        <w:t xml:space="preserve">La Commission </w:t>
      </w:r>
      <w:r>
        <w:rPr>
          <w:b/>
          <w:noProof/>
          <w:sz w:val="24"/>
        </w:rPr>
        <w:t>exploitera l’IA</w:t>
      </w:r>
      <w:r>
        <w:rPr>
          <w:noProof/>
          <w:sz w:val="24"/>
        </w:rPr>
        <w:t xml:space="preserve"> pour analyser les données et repérer les tendances aux frontières extérieures, ce qui aidera les autorités à échanger des informations au moyen d’outils plus avancés et à anticiper les évolutions et les risques et à y réagir, conformément au règlement de l’UE sur l’IA (</w:t>
      </w:r>
      <w:r>
        <w:rPr>
          <w:rStyle w:val="FootnoteReference"/>
          <w:rFonts w:eastAsia="EC Square Sans Pro"/>
          <w:noProof/>
          <w:sz w:val="24"/>
          <w:szCs w:val="24"/>
        </w:rPr>
        <w:footnoteReference w:id="31"/>
      </w:r>
      <w:r>
        <w:rPr>
          <w:noProof/>
          <w:sz w:val="24"/>
        </w:rPr>
        <w:t>). En collaboration avec Frontex, l’eu-LISA et les États membres, la Commission mettra au point, testera et, si cela se justifie, soutiendra le déploiement d’outils fondés sur l’IA permettant l’analyse des risques, l’appréciation de la situation et la gestion de l’identité aux frontières extérieures. Dans le cadre du volet «recherche et innovation» de la GEIF prévu par le règlement Frontex (</w:t>
      </w:r>
      <w:r>
        <w:rPr>
          <w:rStyle w:val="FootnoteReference"/>
          <w:rFonts w:eastAsia="EC Square Sans Pro"/>
          <w:noProof/>
          <w:sz w:val="24"/>
          <w:szCs w:val="24"/>
        </w:rPr>
        <w:footnoteReference w:id="32"/>
      </w:r>
      <w:r>
        <w:rPr>
          <w:noProof/>
          <w:sz w:val="24"/>
        </w:rPr>
        <w:t>), l’Agence mettra ses tâches de recherche et d’innovation à profit pour planifier et mettre en œuvre des projets pilotes, tester et valider des solutions technologiques dans des contextes opérationnels et partager les résultats, les orientations et les formations connexes avec les autorités nationales. Par ailleurs, l’UE se dotera d’une capacité européenne indépendante en matière de systèmes de reconnaissance automatique de l’identité, aux fins de la gestion de la migration et des frontières, en s’appuyant sur les systèmes d’information à grande échelle existants dans ce domaine. Tous les composants d’IA de ces systèmes seront développés et déployés dans le respect des règles applicables de l’UE, une attention particulière étant accordée à la réduction des dépendances stratégiques à l’égard de fournisseurs extérieurs à l’Union.</w:t>
      </w:r>
    </w:p>
    <w:p w14:paraId="426A70BF" w14:textId="61C7CC16" w:rsidR="00177835" w:rsidRPr="003A5268" w:rsidRDefault="00B80D9F" w:rsidP="00177835">
      <w:pPr>
        <w:pStyle w:val="Heading1"/>
        <w:spacing w:before="120"/>
        <w:rPr>
          <w:noProof/>
        </w:rPr>
      </w:pPr>
      <w:r>
        <w:rPr>
          <w:noProof/>
        </w:rPr>
        <w:t xml:space="preserve">Un système d’asile et de migration ferme, équitable et adaptable </w:t>
      </w:r>
    </w:p>
    <w:p w14:paraId="07EEE8E2" w14:textId="74FB4E06" w:rsidR="00F036DA" w:rsidRDefault="2F93C660" w:rsidP="3F0769EC">
      <w:pPr>
        <w:spacing w:line="240" w:lineRule="auto"/>
        <w:rPr>
          <w:noProof/>
          <w:sz w:val="24"/>
          <w:szCs w:val="24"/>
        </w:rPr>
      </w:pPr>
      <w:r>
        <w:rPr>
          <w:noProof/>
          <w:sz w:val="24"/>
        </w:rPr>
        <w:t xml:space="preserve">Le </w:t>
      </w:r>
      <w:r>
        <w:rPr>
          <w:b/>
          <w:noProof/>
          <w:sz w:val="24"/>
        </w:rPr>
        <w:t>pacte sur la migration et l’asile</w:t>
      </w:r>
      <w:r>
        <w:rPr>
          <w:noProof/>
          <w:sz w:val="24"/>
        </w:rPr>
        <w:t xml:space="preserve"> constitue une réforme essentielle, établissant une base juridique solide en vue d’une gestion équitable et plus efficiente de la migration. Il instaure une approche globale destinée à renforcer la politique de l’UE en matière d’asile, de migration et de gestion des frontières. Il définit des procédures d’asile rapides et efficientes, assorties de garanties solides pour les demandeurs, et améliore les processus à l’intérieur de l’Union et à ses frontières extérieures. Avec le pacte, l’UE met en place un système efficace de solidarité et de responsabilité visant à assurer collectivement la gestion de la migration, de sorte qu’aucun État membre sous pression ne soit laissé seul. Il s’agit d’un système équitable et bien géré, qui comporte des garanties contre les abus, qui protège les enfants, les personnes vulnérables et les droits fondamentaux des individus et qui doit permettre à l’Union de relever les défis dans le domaine de la migration et de l’asile. </w:t>
      </w:r>
    </w:p>
    <w:p w14:paraId="1D406563" w14:textId="7C445AA1" w:rsidR="007B0950" w:rsidRPr="00B5212B" w:rsidRDefault="203C3CE8" w:rsidP="3F0769EC">
      <w:pPr>
        <w:spacing w:line="240" w:lineRule="auto"/>
        <w:rPr>
          <w:noProof/>
          <w:sz w:val="24"/>
          <w:szCs w:val="24"/>
        </w:rPr>
      </w:pPr>
      <w:r>
        <w:rPr>
          <w:noProof/>
          <w:sz w:val="24"/>
        </w:rPr>
        <w:t xml:space="preserve">Au cours des cinq prochaines années, il faudra donc continuer à se concentrer sur </w:t>
      </w:r>
      <w:r>
        <w:rPr>
          <w:b/>
          <w:noProof/>
          <w:sz w:val="24"/>
        </w:rPr>
        <w:t>la mise en œuvre et la concrétisation</w:t>
      </w:r>
      <w:r>
        <w:rPr>
          <w:noProof/>
          <w:sz w:val="24"/>
        </w:rPr>
        <w:t xml:space="preserve"> du pacte. Sa mise en œuvre dans les États membres est désormais bien engagée et, compte tenu de l’ampleur des réformes, les années à venir seront déterminantes pour consolider les nouveaux systèmes de gestion de l’asile et de la migration dans l’ensemble de l’Union, en tenant également compte de la jurisprudence de la Cour de justice de l’Union européenne et de la Cour européenne des droits de l’homme. Le pacte constitue également le </w:t>
      </w:r>
      <w:r>
        <w:rPr>
          <w:b/>
          <w:noProof/>
          <w:sz w:val="24"/>
        </w:rPr>
        <w:t>socle nécessaire pour poursuivre la construction du système mis en place</w:t>
      </w:r>
      <w:r>
        <w:rPr>
          <w:noProof/>
          <w:sz w:val="24"/>
        </w:rPr>
        <w:t xml:space="preserve">. La Commission examinera des mesures pour introduire des aspects innovants, renforcer la coordination opérationnelle et tirer pleinement parti des possibilités offertes par le nouveau cadre juridique afin de rendre les procédures d’asile plus efficientes et plus durables. Ces travaux reposeront sur la nécessité que les politiques de l’Union restent souples et adaptables et anticipent les domaines appelant des améliorations et des initiatives complémentaires. </w:t>
      </w:r>
    </w:p>
    <w:p w14:paraId="343B6E7F" w14:textId="2A0DB3E6" w:rsidR="00D44E7A" w:rsidRDefault="16FC8069" w:rsidP="00201A5F">
      <w:pPr>
        <w:spacing w:line="240" w:lineRule="auto"/>
        <w:rPr>
          <w:noProof/>
          <w:sz w:val="24"/>
          <w:szCs w:val="24"/>
        </w:rPr>
      </w:pPr>
      <w:r>
        <w:rPr>
          <w:noProof/>
          <w:sz w:val="24"/>
        </w:rPr>
        <w:t xml:space="preserve">Une </w:t>
      </w:r>
      <w:r>
        <w:rPr>
          <w:b/>
          <w:noProof/>
          <w:sz w:val="24"/>
        </w:rPr>
        <w:t>approche interservices</w:t>
      </w:r>
      <w:r>
        <w:rPr>
          <w:noProof/>
          <w:sz w:val="24"/>
        </w:rPr>
        <w:t xml:space="preserve"> et une action coordonnée des différents services et agences publics seront nécessaires, tant au niveau de l’Union qu’à celui des États membres. L’idée est de garantir une collaboration interagences, en favorisant une mise en œuvre synergique et cohérente des politiques dans tous les secteurs et à tous les niveaux de pouvoir, y compris aux niveaux régional et local. </w:t>
      </w:r>
    </w:p>
    <w:p w14:paraId="0A5D66DC" w14:textId="21BEDEF1" w:rsidR="00DC4B8F" w:rsidRDefault="00A57F8B" w:rsidP="00201A5F">
      <w:pPr>
        <w:spacing w:line="240" w:lineRule="auto"/>
        <w:rPr>
          <w:noProof/>
          <w:sz w:val="24"/>
          <w:szCs w:val="24"/>
        </w:rPr>
      </w:pPr>
      <w:r>
        <w:rPr>
          <w:noProof/>
          <w:sz w:val="24"/>
        </w:rPr>
        <w:t xml:space="preserve">Pour que le système global de migration et d’asile fonctionne bien, le </w:t>
      </w:r>
      <w:r>
        <w:rPr>
          <w:b/>
          <w:noProof/>
          <w:sz w:val="24"/>
        </w:rPr>
        <w:t>système judiciaire</w:t>
      </w:r>
      <w:r>
        <w:rPr>
          <w:noProof/>
          <w:sz w:val="24"/>
        </w:rPr>
        <w:t xml:space="preserve"> doit disposer de ressources suffisantes et son personnel doit avoir reçu une formation adéquate concernant les réformes. Une coordination harmonieuse entre le traitement administratif des demandes d’asile et le système judiciaire sera particulièrement importante. L’intégration appropriée des structures administratives, des systèmes de contrôle judiciaire et des canaux de communication est susceptible de permettre aux entités administratives et judiciaires d’accélérer les processus et de réduire autant que possible les goulets d’étranglement. </w:t>
      </w:r>
    </w:p>
    <w:p w14:paraId="0E1CECFB" w14:textId="06E7FBFB" w:rsidR="00763ED9" w:rsidRDefault="00763ED9" w:rsidP="00763ED9">
      <w:pPr>
        <w:spacing w:line="240" w:lineRule="auto"/>
        <w:rPr>
          <w:noProof/>
          <w:sz w:val="24"/>
          <w:szCs w:val="24"/>
        </w:rPr>
      </w:pPr>
      <w:r>
        <w:rPr>
          <w:b/>
          <w:noProof/>
          <w:sz w:val="24"/>
        </w:rPr>
        <w:t>La préparation et la planification de mesures d’urgence</w:t>
      </w:r>
      <w:r>
        <w:rPr>
          <w:noProof/>
          <w:sz w:val="24"/>
        </w:rPr>
        <w:t xml:space="preserve"> sont essentielles pour gérer la migration plus efficacement en anticipant mieux les nouvelles situations. La Commission a renforcé sa capacité à produire des projections et des scénarios concernant les futures arrivées et demandes de protection internationale et elle se dote actuellement d’une capacité de prospective à l’appui de ses décisions opérationnelles et stratégiques, ainsi que de la préparation, des mesures d’urgence et de la résilience des États membres (</w:t>
      </w:r>
      <w:r>
        <w:rPr>
          <w:rStyle w:val="FootnoteReference"/>
          <w:noProof/>
          <w:sz w:val="24"/>
          <w:szCs w:val="24"/>
        </w:rPr>
        <w:footnoteReference w:id="33"/>
      </w:r>
      <w:r>
        <w:rPr>
          <w:noProof/>
          <w:sz w:val="24"/>
        </w:rPr>
        <w:t xml:space="preserve">). </w:t>
      </w:r>
    </w:p>
    <w:p w14:paraId="692C1B7F" w14:textId="5A91376C" w:rsidR="00CB47EE" w:rsidRPr="00B5212B" w:rsidRDefault="04B53961" w:rsidP="00CB47EE">
      <w:pPr>
        <w:spacing w:line="240" w:lineRule="auto"/>
        <w:rPr>
          <w:noProof/>
          <w:sz w:val="24"/>
          <w:szCs w:val="24"/>
        </w:rPr>
      </w:pPr>
      <w:r>
        <w:rPr>
          <w:noProof/>
          <w:sz w:val="24"/>
        </w:rPr>
        <w:t xml:space="preserve">Un régime d’asile moderne devrait également s’appuyer sur les </w:t>
      </w:r>
      <w:r>
        <w:rPr>
          <w:b/>
          <w:noProof/>
          <w:sz w:val="24"/>
        </w:rPr>
        <w:t>évolutions technologiques</w:t>
      </w:r>
      <w:r>
        <w:rPr>
          <w:noProof/>
          <w:sz w:val="24"/>
        </w:rPr>
        <w:t xml:space="preserve">. D’ici la fin de la période de cinq ans couverte par la présente stratégie, les États membres devraient être en mesure de mener à bien leurs procédures d’asile à l’aide de systèmes numériques de gestion des dossiers, et les nouveaux outils d’IA devraient permettre d’accélérer les procédures, conformément aux exigences du règlement de l’UE sur l’IA. </w:t>
      </w:r>
    </w:p>
    <w:p w14:paraId="4272094F" w14:textId="7DE3AEF6" w:rsidR="00177835" w:rsidRPr="00B5212B" w:rsidRDefault="00B750EA" w:rsidP="00177835">
      <w:pPr>
        <w:spacing w:line="240" w:lineRule="auto"/>
        <w:rPr>
          <w:b/>
          <w:bCs/>
          <w:i/>
          <w:iCs/>
          <w:noProof/>
          <w:sz w:val="24"/>
          <w:szCs w:val="24"/>
        </w:rPr>
      </w:pPr>
      <w:r>
        <w:rPr>
          <w:b/>
          <w:i/>
          <w:noProof/>
          <w:sz w:val="24"/>
        </w:rPr>
        <w:t>Mettre en œuvre le pacte et veiller à ce que les règles soient adaptées aux objectifs poursuivis</w:t>
      </w:r>
    </w:p>
    <w:p w14:paraId="51A7CDCB" w14:textId="38442F58" w:rsidR="00AE2AD7" w:rsidRDefault="09E5AC99" w:rsidP="00177835">
      <w:pPr>
        <w:spacing w:line="240" w:lineRule="auto"/>
        <w:rPr>
          <w:noProof/>
          <w:sz w:val="24"/>
          <w:szCs w:val="24"/>
        </w:rPr>
      </w:pPr>
      <w:r>
        <w:rPr>
          <w:noProof/>
          <w:sz w:val="24"/>
        </w:rPr>
        <w:t xml:space="preserve">La </w:t>
      </w:r>
      <w:r>
        <w:rPr>
          <w:b/>
          <w:noProof/>
          <w:sz w:val="24"/>
        </w:rPr>
        <w:t>mise en œuvre du pacte</w:t>
      </w:r>
      <w:r>
        <w:rPr>
          <w:noProof/>
          <w:sz w:val="24"/>
        </w:rPr>
        <w:t xml:space="preserve"> est un processus complexe associant de multiples acteurs qui doivent traduire le vaste ensemble d’actes législatifs en réalité opérationnelle.</w:t>
      </w:r>
      <w:r>
        <w:rPr>
          <w:noProof/>
          <w:color w:val="000000" w:themeColor="text1"/>
          <w:sz w:val="24"/>
        </w:rPr>
        <w:t xml:space="preserve"> Elle restera une priorité stratégique au cours des cinq prochaines années. </w:t>
      </w:r>
      <w:r>
        <w:rPr>
          <w:noProof/>
          <w:sz w:val="24"/>
        </w:rPr>
        <w:t>Ce processus implique de traiter toute nouvelle adaptation législative, d’allouer des ressources aux réformes nécessaires et de veiller à une mise en œuvre opérationnelle complète sur le terrain dans l’ensemble des dix éléments constitutifs décrits dans le plan commun de mise en œuvre (</w:t>
      </w:r>
      <w:r>
        <w:rPr>
          <w:rStyle w:val="FootnoteReference"/>
          <w:rFonts w:eastAsia="Aptos"/>
          <w:noProof/>
          <w:color w:val="000000" w:themeColor="text1"/>
          <w:sz w:val="24"/>
          <w:szCs w:val="24"/>
          <w:lang w:eastAsia="en-US"/>
        </w:rPr>
        <w:footnoteReference w:id="34"/>
      </w:r>
      <w:r>
        <w:rPr>
          <w:noProof/>
          <w:sz w:val="24"/>
        </w:rPr>
        <w:t xml:space="preserve">). </w:t>
      </w:r>
    </w:p>
    <w:p w14:paraId="12505966" w14:textId="10DC5480" w:rsidR="00263A15" w:rsidRDefault="433CE035" w:rsidP="00177835">
      <w:pPr>
        <w:spacing w:line="240" w:lineRule="auto"/>
        <w:rPr>
          <w:noProof/>
          <w:sz w:val="24"/>
          <w:szCs w:val="24"/>
        </w:rPr>
      </w:pPr>
      <w:r>
        <w:rPr>
          <w:noProof/>
          <w:sz w:val="24"/>
        </w:rPr>
        <w:t>La Commission a mis en place une structure de soutien solide, composée de 27 équipes-pays, pour aider les États membres et garantir la cohérence dans l’ensemble de l’UE (</w:t>
      </w:r>
      <w:r>
        <w:rPr>
          <w:rStyle w:val="FootnoteReference"/>
          <w:noProof/>
          <w:sz w:val="24"/>
          <w:szCs w:val="24"/>
        </w:rPr>
        <w:footnoteReference w:id="35"/>
      </w:r>
      <w:r>
        <w:rPr>
          <w:noProof/>
          <w:sz w:val="24"/>
        </w:rPr>
        <w:t>). Un montant supplémentaire de 3 milliards d’EUR (</w:t>
      </w:r>
      <w:r>
        <w:rPr>
          <w:rStyle w:val="FootnoteReference"/>
          <w:noProof/>
          <w:sz w:val="24"/>
          <w:szCs w:val="24"/>
        </w:rPr>
        <w:footnoteReference w:id="36"/>
      </w:r>
      <w:r>
        <w:rPr>
          <w:noProof/>
          <w:sz w:val="24"/>
        </w:rPr>
        <w:t>) a été mis à disposition pour aider les États membres à entreprendre les réformes nécessaires à la mise en œuvre du pacte. Un soutien sur mesure se poursuivra lorsque le pacte commencera à s’appliquer pleinement, après juin 2026. Tout au long de ce processus, le pacte devra être dynamique et pouvoir s’adapter aux défis nouveaux et émergents.</w:t>
      </w:r>
    </w:p>
    <w:p w14:paraId="36520944" w14:textId="25C60EF1" w:rsidR="00707608" w:rsidRPr="00B5212B" w:rsidRDefault="00C175E8" w:rsidP="009F079E">
      <w:pPr>
        <w:spacing w:line="240" w:lineRule="auto"/>
        <w:rPr>
          <w:rFonts w:eastAsia="Aptos"/>
          <w:noProof/>
          <w:sz w:val="24"/>
          <w:szCs w:val="24"/>
        </w:rPr>
      </w:pPr>
      <w:r>
        <w:rPr>
          <w:noProof/>
          <w:sz w:val="24"/>
        </w:rPr>
        <w:t>À cette fin, en décembre 2025, le Parlement européen et le Conseil sont convenus de deux nouvelles mesures visant à parachever et à compléter le pacte, l’une modifiant le concept de «pays tiers sûr» et l’autre établissant une liste de l’Union des pays d’origine sûrs (</w:t>
      </w:r>
      <w:r>
        <w:rPr>
          <w:rFonts w:eastAsia="Calibri"/>
          <w:noProof/>
          <w:sz w:val="24"/>
          <w:szCs w:val="24"/>
          <w:vertAlign w:val="superscript"/>
        </w:rPr>
        <w:footnoteReference w:id="37"/>
      </w:r>
      <w:r>
        <w:rPr>
          <w:noProof/>
          <w:sz w:val="24"/>
        </w:rPr>
        <w:t>). Le réexamen, prévu pour 2027, du règlement relatif à la gestion de l’asile et de la migration (</w:t>
      </w:r>
      <w:r>
        <w:rPr>
          <w:rStyle w:val="FootnoteReference"/>
          <w:noProof/>
          <w:sz w:val="24"/>
          <w:szCs w:val="24"/>
        </w:rPr>
        <w:footnoteReference w:id="38"/>
      </w:r>
      <w:r>
        <w:rPr>
          <w:noProof/>
          <w:sz w:val="24"/>
        </w:rPr>
        <w:t>) et du règlement relatif aux procédures d’asile (</w:t>
      </w:r>
      <w:r>
        <w:rPr>
          <w:rStyle w:val="FootnoteReference"/>
          <w:noProof/>
          <w:sz w:val="24"/>
          <w:szCs w:val="24"/>
        </w:rPr>
        <w:footnoteReference w:id="39"/>
      </w:r>
      <w:r>
        <w:rPr>
          <w:noProof/>
          <w:sz w:val="24"/>
        </w:rPr>
        <w:t xml:space="preserve">) sera l’occasion de procéder à une première évaluation de la manière dont les nouvelles règles fonctionnent dans la pratique et de déterminer si des ajustements supplémentaires sont nécessaires. Le nouveau mécanisme de surveillance de l’AUEA, qui sera lancé en 2026, contribuera aussi à recenser les divergences et les difficultés dans l’application des règles en matière d’asile et d’accueil et contribuera à ce réexamen. </w:t>
      </w:r>
    </w:p>
    <w:p w14:paraId="56459015" w14:textId="7D30B2BB" w:rsidR="00B06744" w:rsidRPr="00FB4A6F" w:rsidRDefault="00B06744" w:rsidP="00B06744">
      <w:pPr>
        <w:spacing w:line="240" w:lineRule="auto"/>
        <w:rPr>
          <w:noProof/>
          <w:sz w:val="24"/>
          <w:szCs w:val="24"/>
        </w:rPr>
      </w:pPr>
      <w:r>
        <w:rPr>
          <w:b/>
          <w:noProof/>
          <w:sz w:val="24"/>
        </w:rPr>
        <w:t>La solidarité, au même titre que la responsabilité</w:t>
      </w:r>
      <w:r>
        <w:rPr>
          <w:noProof/>
          <w:sz w:val="24"/>
        </w:rPr>
        <w:t>, compte parmi les principaux éléments du pacte. Le règlement relatif à la gestion de l’asile et de la migration apporte un soutien efficace aux États membres soumis à une pression migratoire. En novembre 2025, la Commission a lancé le premier cycle annuel de gestion de la migration, qui dresse un tableau complet de la situation en matière d’asile, de migration et d’accueil dans l’UE et recense les États membres soumis à une pression migratoire, exposés à un risque de pression migratoire ou confrontés à une situation migratoire importante (</w:t>
      </w:r>
      <w:r>
        <w:rPr>
          <w:rStyle w:val="FootnoteReference"/>
          <w:noProof/>
          <w:sz w:val="24"/>
          <w:szCs w:val="24"/>
        </w:rPr>
        <w:footnoteReference w:id="40"/>
      </w:r>
      <w:r>
        <w:rPr>
          <w:noProof/>
          <w:sz w:val="24"/>
        </w:rPr>
        <w:t xml:space="preserve">). Le Conseil a mis en place la première </w:t>
      </w:r>
      <w:r>
        <w:rPr>
          <w:b/>
          <w:noProof/>
          <w:sz w:val="24"/>
        </w:rPr>
        <w:t>réserve de solidarité</w:t>
      </w:r>
      <w:r>
        <w:rPr>
          <w:noProof/>
          <w:sz w:val="24"/>
        </w:rPr>
        <w:t xml:space="preserve"> pour 2026 (</w:t>
      </w:r>
      <w:r>
        <w:rPr>
          <w:rStyle w:val="FootnoteReference"/>
          <w:noProof/>
          <w:sz w:val="24"/>
          <w:szCs w:val="24"/>
        </w:rPr>
        <w:footnoteReference w:id="41"/>
      </w:r>
      <w:r>
        <w:rPr>
          <w:noProof/>
          <w:sz w:val="24"/>
        </w:rPr>
        <w:t xml:space="preserve">). La Commission, notamment dans le cadre des travaux du coordinateur de l’UE en matière de solidarité, aidera les États membres à mettre en œuvre cette réserve. Elle doit lancer le cycle de gestion de la migration chaque année afin d’apporter un soutien efficace aux États membres soumis à une pression migratoire, tandis que le Conseil doit mettre en place la réserve annuelle de solidarité pour l’année suivante. </w:t>
      </w:r>
    </w:p>
    <w:p w14:paraId="54654E8F" w14:textId="6555C8B9" w:rsidR="00B53972" w:rsidRPr="00B5212B" w:rsidRDefault="003A08A2" w:rsidP="00D55A97">
      <w:pPr>
        <w:spacing w:line="240" w:lineRule="auto"/>
        <w:rPr>
          <w:noProof/>
          <w:sz w:val="24"/>
          <w:szCs w:val="24"/>
        </w:rPr>
      </w:pPr>
      <w:r>
        <w:rPr>
          <w:noProof/>
          <w:sz w:val="24"/>
        </w:rPr>
        <w:t xml:space="preserve">La </w:t>
      </w:r>
      <w:r>
        <w:rPr>
          <w:b/>
          <w:noProof/>
          <w:sz w:val="24"/>
        </w:rPr>
        <w:t>mise en place d’un partage réel et stable des responsabilités</w:t>
      </w:r>
      <w:r>
        <w:rPr>
          <w:noProof/>
          <w:sz w:val="24"/>
        </w:rPr>
        <w:t xml:space="preserve"> dans l’ensemble de l’Union et la réduction des mouvements secondaires irréguliers sur son territoire resteront une priorité. Les mouvements secondaires irréguliers compromettent le bon fonctionnement du pacte dans son ensemble et ont une incidence importante sur l’espace Schengen. Il est donc primordial d’améliorer la situation et de lutter contre ce phénomène. Parmi les instruments législatifs du pacte figurent plusieurs mesures fortes à cet égard, notamment l’obligation de filtrer tous les migrants arrivant illégalement et d’enregistrer tous les demandeurs d’une protection internationale dans le système Eurodac renouvelé, des procédures à la frontière obligatoires en matière d’asile et de retour, des règles plus strictes pour lutter contre le risque de fuite, des possibilités accrues de limiter les conditions matérielles d’accueil, par exemple lorsqu’un demandeur s’est enfui de l’État membre qui en est responsable, ou dans d’autres cas de non-coopération. Des transferts effectifs sont de la plus haute importance pour veiller au bon fonctionnement et à la crédibilité du régime d’asile européen commun et pour limiter les mouvements secondaires irréguliers entre les États membres. Le pacte crée un système plus rapide et plus prévisible en matière de transfert des personnes vers l’État membre responsable. À cette fin, l’AUEA étudiera en 2026 la meilleure manière de soutenir ces réformes. Par ailleurs, la Commission prévoit d’étudier plus avant, en tant que de besoin, l’incidence potentielle des différentes politiques d’accueil dans toute l’UE sur les mouvements des migrants, tant vers l’UE qu’au sein de celle-ci. </w:t>
      </w:r>
    </w:p>
    <w:p w14:paraId="21875427" w14:textId="04CC5583" w:rsidR="001627DF" w:rsidRPr="00B5212B" w:rsidRDefault="2774D27C" w:rsidP="3F0769EC">
      <w:pPr>
        <w:spacing w:line="240" w:lineRule="auto"/>
        <w:rPr>
          <w:b/>
          <w:bCs/>
          <w:i/>
          <w:iCs/>
          <w:noProof/>
          <w:sz w:val="24"/>
          <w:szCs w:val="24"/>
        </w:rPr>
      </w:pPr>
      <w:r>
        <w:rPr>
          <w:b/>
          <w:i/>
          <w:noProof/>
          <w:sz w:val="24"/>
        </w:rPr>
        <w:t>Moderniser les procédures d’asile grâce à la numérisation et à l’utilisation de l’IA</w:t>
      </w:r>
    </w:p>
    <w:p w14:paraId="2EC3628D" w14:textId="36336406" w:rsidR="007A48DF" w:rsidRDefault="2774D27C">
      <w:pPr>
        <w:spacing w:line="240" w:lineRule="auto"/>
        <w:rPr>
          <w:noProof/>
          <w:sz w:val="24"/>
          <w:szCs w:val="24"/>
        </w:rPr>
      </w:pPr>
      <w:r>
        <w:rPr>
          <w:noProof/>
          <w:sz w:val="24"/>
        </w:rPr>
        <w:t xml:space="preserve">L’efficacité accrue des procédures est l’une des principales améliorations apportées par le pacte. Dans un domaine auquel une multitude d’acteurs de différentes structures administratives et du système judiciaire sont associés, les nouvelles solutions technologiques peuvent contribuer à surmonter les goulets d’étranglement, à réduire la charge administrative et à faciliter la coopération et l’échange d’informations entre les autorités nationales, avec les agences de l’UE et entre les États membres. </w:t>
      </w:r>
    </w:p>
    <w:p w14:paraId="43B91B88" w14:textId="3EED9BF7" w:rsidR="00E45634" w:rsidRPr="00B5212B" w:rsidRDefault="5E7CA893">
      <w:pPr>
        <w:spacing w:line="240" w:lineRule="auto"/>
        <w:rPr>
          <w:noProof/>
          <w:sz w:val="24"/>
          <w:szCs w:val="24"/>
        </w:rPr>
      </w:pPr>
      <w:r>
        <w:rPr>
          <w:noProof/>
          <w:sz w:val="24"/>
        </w:rPr>
        <w:t xml:space="preserve">Il sera donc prioritaire de doter les autorités compétentes en matière de migration de systèmes intégrés de gestion des dossiers et d’outils numériques intelligents. La Commission prévoit d’étudier, à partir de 2026, la faisabilité d’une </w:t>
      </w:r>
      <w:r>
        <w:rPr>
          <w:b/>
          <w:noProof/>
          <w:sz w:val="24"/>
        </w:rPr>
        <w:t>proposition</w:t>
      </w:r>
      <w:r>
        <w:rPr>
          <w:noProof/>
          <w:sz w:val="24"/>
        </w:rPr>
        <w:t xml:space="preserve"> </w:t>
      </w:r>
      <w:r>
        <w:rPr>
          <w:b/>
          <w:noProof/>
          <w:sz w:val="24"/>
        </w:rPr>
        <w:t>sur la numérisation dans le domaine de l’asile</w:t>
      </w:r>
      <w:r>
        <w:rPr>
          <w:noProof/>
          <w:sz w:val="24"/>
        </w:rPr>
        <w:t>, à la lumière d’une proposition similaire en cours d’élaboration dans le domaine du retour. Un groupe d’experts chargé de consulter les États membres sur la meilleure voie à suivre pour développer des systèmes numériques de gestion des dossiers de demande d’asile, intégrant les procédures de filtrage, d’asile, d’accueil et de transfert (</w:t>
      </w:r>
      <w:r>
        <w:rPr>
          <w:rStyle w:val="FootnoteReference"/>
          <w:noProof/>
          <w:sz w:val="24"/>
          <w:szCs w:val="24"/>
        </w:rPr>
        <w:footnoteReference w:id="42"/>
      </w:r>
      <w:r>
        <w:rPr>
          <w:noProof/>
          <w:sz w:val="24"/>
        </w:rPr>
        <w:t>), sera constitué à cet effet. Sur cette base, la Commission prévoit de définir les prochaines étapes du soutien à apporter aux efforts des États membres dans ce domaine. À partir de 2026, les efforts se concentreront également sur la transformation de DubliNet, le système d’échange d’informations prévu par le règlement relatif à la gestion de l’asile et de la migration, en un outil plus efficace et techniquement avancé pour aider les États membres à mener à bien les procédures au titre dudit règlement.</w:t>
      </w:r>
    </w:p>
    <w:p w14:paraId="18F0B67A" w14:textId="27704742" w:rsidR="004A6A7C" w:rsidRDefault="3CFB345D" w:rsidP="00EB508D">
      <w:pPr>
        <w:spacing w:line="240" w:lineRule="auto"/>
        <w:rPr>
          <w:noProof/>
          <w:sz w:val="24"/>
          <w:szCs w:val="24"/>
        </w:rPr>
      </w:pPr>
      <w:r>
        <w:rPr>
          <w:noProof/>
          <w:sz w:val="24"/>
        </w:rPr>
        <w:t>En outre, les nouvelles technologies offrent des possibilités nouvelles et encore inexplorées de réduire la charge administrative, de simplifier les procédures et de prendre des décisions de qualité en matière d’asile. L’</w:t>
      </w:r>
      <w:r>
        <w:rPr>
          <w:b/>
          <w:noProof/>
          <w:sz w:val="24"/>
        </w:rPr>
        <w:t>IA</w:t>
      </w:r>
      <w:r>
        <w:rPr>
          <w:noProof/>
          <w:sz w:val="24"/>
        </w:rPr>
        <w:t xml:space="preserve"> pourrait permettre de doter les autorités nationales des outils nécessaires pour tirer parti de ces possibilités, par exemple, en matière d’interprétation, de traduction et de transcription, de collecte et d’analyse d’informations sur le pays d’origine, ainsi qu’en matière d’optimisation de la gestion des dossiers et des flux de travail, ou de vérification préalable du caractère complet des demandes. Ces activités pourraient s’appuyer sur les résultats de la recherche et de l’innovation européennes financées par l’UE dans le domaine de la migration (</w:t>
      </w:r>
      <w:r>
        <w:rPr>
          <w:rStyle w:val="FootnoteReference"/>
          <w:noProof/>
          <w:sz w:val="24"/>
          <w:szCs w:val="24"/>
        </w:rPr>
        <w:footnoteReference w:id="43"/>
      </w:r>
      <w:r>
        <w:rPr>
          <w:noProof/>
          <w:sz w:val="24"/>
        </w:rPr>
        <w:t xml:space="preserve">). Afin de progresser en la matière, conformément aux exigences réglementaires applicables, la Commission mettra en place en 2026 un </w:t>
      </w:r>
      <w:r>
        <w:rPr>
          <w:b/>
          <w:noProof/>
          <w:sz w:val="24"/>
        </w:rPr>
        <w:t>forum sur l’IA dans le domaine de la migration</w:t>
      </w:r>
      <w:r>
        <w:rPr>
          <w:noProof/>
          <w:sz w:val="24"/>
        </w:rPr>
        <w:t xml:space="preserve"> afin d’étudier la meilleure manière d’utiliser les outils d’IA dans les domaines de l’asile, de la migration et de la gestion des frontières, de recenser les utilisations possibles de l’IA et d’élaborer un plan opérationnel pour le déploiement concret de ces nouveaux outils. Ces travaux s’appuieront également sur les lignes directrices que la Commission prévoit de présenter en 2026 sur la classification des systèmes d’IA à haut risque</w:t>
      </w:r>
      <w:r>
        <w:rPr>
          <w:noProof/>
        </w:rPr>
        <w:t> (</w:t>
      </w:r>
      <w:r>
        <w:rPr>
          <w:rStyle w:val="FootnoteReference"/>
          <w:noProof/>
        </w:rPr>
        <w:footnoteReference w:id="44"/>
      </w:r>
      <w:r>
        <w:rPr>
          <w:noProof/>
        </w:rPr>
        <w:t>)</w:t>
      </w:r>
      <w:r>
        <w:rPr>
          <w:noProof/>
          <w:sz w:val="24"/>
        </w:rPr>
        <w:t xml:space="preserve">. </w:t>
      </w:r>
    </w:p>
    <w:p w14:paraId="5F422833" w14:textId="17DEF116" w:rsidR="004A6A7C" w:rsidRPr="00916AA5" w:rsidRDefault="004A6A7C" w:rsidP="00EB508D">
      <w:pPr>
        <w:spacing w:line="240" w:lineRule="auto"/>
        <w:rPr>
          <w:b/>
          <w:i/>
          <w:noProof/>
          <w:sz w:val="24"/>
          <w:szCs w:val="24"/>
        </w:rPr>
      </w:pPr>
      <w:r>
        <w:rPr>
          <w:b/>
          <w:i/>
          <w:noProof/>
          <w:sz w:val="24"/>
        </w:rPr>
        <w:t>Apporter un soutien aux personnes déplacées en provenance d’Ukraine</w:t>
      </w:r>
    </w:p>
    <w:p w14:paraId="080D046C" w14:textId="1A6ED112" w:rsidR="004A6A7C" w:rsidRPr="00916AA5" w:rsidRDefault="004A6A7C" w:rsidP="004A6A7C">
      <w:pPr>
        <w:spacing w:line="240" w:lineRule="auto"/>
        <w:rPr>
          <w:noProof/>
          <w:sz w:val="24"/>
          <w:szCs w:val="24"/>
        </w:rPr>
      </w:pPr>
      <w:r>
        <w:rPr>
          <w:noProof/>
          <w:sz w:val="24"/>
        </w:rPr>
        <w:t xml:space="preserve">Fournir une </w:t>
      </w:r>
      <w:r>
        <w:rPr>
          <w:b/>
          <w:noProof/>
          <w:sz w:val="24"/>
        </w:rPr>
        <w:t>protection temporaire aux personnes fuyant la guerre d’agression menée par la Russie contre l’Ukraine</w:t>
      </w:r>
      <w:r>
        <w:rPr>
          <w:noProof/>
          <w:sz w:val="24"/>
        </w:rPr>
        <w:t xml:space="preserve"> demeure une priorité pour l’Union et ses États membres. L’avenir de l’Ukraine et celui de l’UE sont étroitement liés de par notre sécurité commune, nos liens économiques, mais aussi les liens qui se tissent entre les personnes durant cette période. L’Union reste déterminée à continuer de soutenir l’Ukraine sur la voie de son adhésion à l’UE.</w:t>
      </w:r>
    </w:p>
    <w:p w14:paraId="6E7B55A5" w14:textId="212C0093" w:rsidR="004A6A7C" w:rsidRDefault="004A6A7C" w:rsidP="004A6A7C">
      <w:pPr>
        <w:spacing w:line="240" w:lineRule="auto"/>
        <w:rPr>
          <w:noProof/>
          <w:sz w:val="24"/>
          <w:szCs w:val="24"/>
        </w:rPr>
      </w:pPr>
      <w:r>
        <w:rPr>
          <w:noProof/>
          <w:sz w:val="24"/>
        </w:rPr>
        <w:t xml:space="preserve">Pour aller de l’avant dans une </w:t>
      </w:r>
      <w:r>
        <w:rPr>
          <w:b/>
          <w:noProof/>
          <w:sz w:val="24"/>
        </w:rPr>
        <w:t>perspective à plus long terme</w:t>
      </w:r>
      <w:r>
        <w:rPr>
          <w:noProof/>
          <w:sz w:val="24"/>
        </w:rPr>
        <w:t>, tout en tenant compte de la forte volatilité de la situation, il est nécessaire de concevoir une voie vers le maintien du séjour régulier et de faciliter l’intégration des Ukrainiens dans les sociétés d’accueil, tout en soutenant ceux qui souhaitent rentrer dans leur pays lorsque les conditions le permettront. Cette transition doit être progressive et prévisible, afin de soutenir le redressement de l’Ukraine. La recommandation du Conseil relative à une approche coordonnée de la sortie progressive du régime de protection temporaire dont bénéficient les personnes déplacées en provenance d’Ukraine (</w:t>
      </w:r>
      <w:r>
        <w:rPr>
          <w:rStyle w:val="FootnoteReference"/>
          <w:noProof/>
          <w:sz w:val="24"/>
          <w:szCs w:val="24"/>
        </w:rPr>
        <w:footnoteReference w:id="45"/>
      </w:r>
      <w:r>
        <w:rPr>
          <w:noProof/>
          <w:sz w:val="24"/>
        </w:rPr>
        <w:t>), adoptée en septembre 2025, sert de fondement aux prochaines étapes. La mise en œuvre de cette recommandation se poursuit dans diverses enceintes avec les États membres, les autorités ukrainiennes et les organisations internationales (</w:t>
      </w:r>
      <w:r>
        <w:rPr>
          <w:rStyle w:val="FootnoteReference"/>
          <w:noProof/>
          <w:sz w:val="24"/>
          <w:szCs w:val="24"/>
        </w:rPr>
        <w:footnoteReference w:id="46"/>
      </w:r>
      <w:r>
        <w:rPr>
          <w:noProof/>
          <w:sz w:val="24"/>
        </w:rPr>
        <w:t xml:space="preserve">). </w:t>
      </w:r>
    </w:p>
    <w:p w14:paraId="0FCF9BF6" w14:textId="154BC894" w:rsidR="009E47F7" w:rsidRDefault="004A6A7C" w:rsidP="00383368">
      <w:pPr>
        <w:spacing w:line="240" w:lineRule="auto"/>
        <w:rPr>
          <w:noProof/>
          <w:sz w:val="24"/>
          <w:szCs w:val="24"/>
        </w:rPr>
      </w:pPr>
      <w:r>
        <w:rPr>
          <w:noProof/>
          <w:sz w:val="24"/>
        </w:rPr>
        <w:t xml:space="preserve">Étant donné que le soutien aux personnes déplacées en provenance d’Ukraine est le premier cas dans lequel la </w:t>
      </w:r>
      <w:r>
        <w:rPr>
          <w:b/>
          <w:noProof/>
          <w:sz w:val="24"/>
        </w:rPr>
        <w:t>directive relative à la protection temporaire</w:t>
      </w:r>
      <w:r>
        <w:rPr>
          <w:noProof/>
          <w:sz w:val="24"/>
        </w:rPr>
        <w:t xml:space="preserve"> de 2001 a été activée, l’UE devra tirer les enseignements de plus de quatre ans de protection temporaire pour élaborer d’éventuelles futures mesures.</w:t>
      </w:r>
    </w:p>
    <w:p w14:paraId="00C4A2F5" w14:textId="23EB3F57" w:rsidR="00A7291D" w:rsidRPr="00B5212B" w:rsidRDefault="009B571F" w:rsidP="00412446">
      <w:pPr>
        <w:pStyle w:val="Heading1"/>
        <w:spacing w:before="120"/>
        <w:rPr>
          <w:bCs/>
          <w:noProof/>
        </w:rPr>
      </w:pPr>
      <w:r>
        <w:rPr>
          <w:noProof/>
          <w:sz w:val="24"/>
        </w:rPr>
        <w:t xml:space="preserve"> </w:t>
      </w:r>
      <w:r>
        <w:rPr>
          <w:noProof/>
        </w:rPr>
        <w:t>Un retour et une réadmission plus efficaces</w:t>
      </w:r>
    </w:p>
    <w:p w14:paraId="0840CEFE" w14:textId="38042A60" w:rsidR="00392D3F" w:rsidRPr="00B5212B" w:rsidRDefault="68D804FD" w:rsidP="00A7291D">
      <w:pPr>
        <w:spacing w:line="240" w:lineRule="auto"/>
        <w:rPr>
          <w:noProof/>
          <w:sz w:val="24"/>
          <w:szCs w:val="24"/>
        </w:rPr>
      </w:pPr>
      <w:r>
        <w:rPr>
          <w:noProof/>
          <w:sz w:val="24"/>
        </w:rPr>
        <w:t xml:space="preserve">Un retour et une réadmission rapides, efficaces et dans la dignité des ressortissants de pays tiers en séjour irrégulier sont </w:t>
      </w:r>
      <w:r>
        <w:rPr>
          <w:b/>
          <w:noProof/>
          <w:sz w:val="24"/>
        </w:rPr>
        <w:t>indispensables à l’intégrité de nos systèmes de migration et d’asile</w:t>
      </w:r>
      <w:r>
        <w:rPr>
          <w:noProof/>
          <w:sz w:val="24"/>
        </w:rPr>
        <w:t>. À l’heure actuelle, seul un quart environ des migrants ayant reçu l’ordre de quitter l’Union obtempèrent, bien qu’il existe des différences entre les États membres. Il est urgent d’accroître l’efficacité des retours afin de décourager la migration irrégulière et de préserver le bon fonctionnement et l’intégrité du système de migration et d’asile.</w:t>
      </w:r>
    </w:p>
    <w:p w14:paraId="50EB4810" w14:textId="7E6E03D2" w:rsidR="00471FB9" w:rsidRPr="00B5212B" w:rsidRDefault="550862A0" w:rsidP="00471FB9">
      <w:pPr>
        <w:spacing w:line="240" w:lineRule="auto"/>
        <w:rPr>
          <w:noProof/>
          <w:sz w:val="24"/>
          <w:szCs w:val="24"/>
        </w:rPr>
      </w:pPr>
      <w:r>
        <w:rPr>
          <w:noProof/>
          <w:sz w:val="24"/>
        </w:rPr>
        <w:t xml:space="preserve">Au cours des cinq prochaines années, l’UE devra pleinement s’attacher à la mise en place d’un </w:t>
      </w:r>
      <w:r>
        <w:rPr>
          <w:b/>
          <w:noProof/>
          <w:sz w:val="24"/>
        </w:rPr>
        <w:t>système européen commun global en matière de retour</w:t>
      </w:r>
      <w:r>
        <w:rPr>
          <w:noProof/>
          <w:sz w:val="24"/>
        </w:rPr>
        <w:t>. Certains États membres ont déjà accompli des progrès significatifs pour ce qui est d’accroître l’efficacité de leurs procédures de retour. Une fois adoptée, la proposition de règlement sur le retour (</w:t>
      </w:r>
      <w:r>
        <w:rPr>
          <w:rStyle w:val="FootnoteReference"/>
          <w:noProof/>
          <w:sz w:val="24"/>
          <w:szCs w:val="24"/>
        </w:rPr>
        <w:footnoteReference w:id="47"/>
      </w:r>
      <w:r>
        <w:rPr>
          <w:noProof/>
          <w:sz w:val="24"/>
        </w:rPr>
        <w:t xml:space="preserve">) fournira un nouveau cadre juridique prévoyant des procédures de retour plus rapides, plus simples et plus efficaces dans l’ensemble de l’Union, qui respecteront les droits fondamentaux et les obligations internationales, notamment le principe de non-refoulement. </w:t>
      </w:r>
    </w:p>
    <w:p w14:paraId="0173F34E" w14:textId="5908D71F" w:rsidR="706FF100" w:rsidRDefault="680073CB" w:rsidP="27D033DD">
      <w:pPr>
        <w:spacing w:line="240" w:lineRule="auto"/>
        <w:rPr>
          <w:noProof/>
          <w:sz w:val="24"/>
          <w:szCs w:val="24"/>
        </w:rPr>
      </w:pPr>
      <w:r>
        <w:rPr>
          <w:noProof/>
          <w:sz w:val="24"/>
        </w:rPr>
        <w:t xml:space="preserve">Pour que les retours fonctionnent, </w:t>
      </w:r>
      <w:r>
        <w:rPr>
          <w:b/>
          <w:noProof/>
          <w:sz w:val="24"/>
        </w:rPr>
        <w:t>les pays tiers doivent jouer pleinement leur rôle</w:t>
      </w:r>
      <w:r>
        <w:rPr>
          <w:noProof/>
          <w:sz w:val="24"/>
        </w:rPr>
        <w:t xml:space="preserve"> et honorer l’obligation internationale qui leur incombe de réadmettre leurs propres ressortissants. </w:t>
      </w:r>
      <w:r>
        <w:rPr>
          <w:noProof/>
        </w:rPr>
        <w:t>L’UE devrait développer et utiliser tous les leviers et toutes les incitations dont elle dispose, notamment les instruments de réadmission, les outils de financement, la politique des visas et la politique commerciale, afin de favoriser une coopération plus étroite en matière de réadmission dans le cadre de ses actions de diplomatie migratoire auprès des pays tiers.</w:t>
      </w:r>
      <w:r>
        <w:rPr>
          <w:rFonts w:ascii="Aptos" w:hAnsi="Aptos"/>
          <w:noProof/>
        </w:rPr>
        <w:t xml:space="preserve"> </w:t>
      </w:r>
      <w:r>
        <w:rPr>
          <w:noProof/>
          <w:sz w:val="24"/>
        </w:rPr>
        <w:t>Dans le même temps, les États membres doivent assurer un suivi approfondi et en temps utile des décisions de retour en demandant, le cas échéant, au pays tiers concerné de confirmer la nationalité de la personne devant être renvoyée et de leur fournir des documents de voyage.</w:t>
      </w:r>
    </w:p>
    <w:p w14:paraId="4C814A0D" w14:textId="4D8FA75A" w:rsidR="00415DF1" w:rsidRPr="00B5212B" w:rsidRDefault="0073125E" w:rsidP="00E82833">
      <w:pPr>
        <w:spacing w:line="240" w:lineRule="auto"/>
        <w:rPr>
          <w:noProof/>
          <w:sz w:val="24"/>
          <w:szCs w:val="24"/>
        </w:rPr>
      </w:pPr>
      <w:r>
        <w:rPr>
          <w:b/>
          <w:i/>
          <w:noProof/>
          <w:sz w:val="24"/>
        </w:rPr>
        <w:t>Mise en place d’un système européen commun en matière de retour</w:t>
      </w:r>
    </w:p>
    <w:p w14:paraId="7DD5847A" w14:textId="1CE95EE7" w:rsidR="000D10A4" w:rsidRPr="00B5212B" w:rsidRDefault="41E9DFBE" w:rsidP="3F0769EC">
      <w:pPr>
        <w:spacing w:line="240" w:lineRule="auto"/>
        <w:rPr>
          <w:noProof/>
          <w:sz w:val="24"/>
          <w:szCs w:val="24"/>
        </w:rPr>
      </w:pPr>
      <w:r>
        <w:rPr>
          <w:noProof/>
          <w:sz w:val="24"/>
        </w:rPr>
        <w:t xml:space="preserve">Le pacte introduit plusieurs nouveautés et améliorations dans la gestion de l’asile et de la migration. En ce qui concerne le retour, le nouveau cadre juridique, introduit par le pacte, comblera les </w:t>
      </w:r>
      <w:r>
        <w:rPr>
          <w:b/>
          <w:noProof/>
          <w:sz w:val="24"/>
        </w:rPr>
        <w:t>lacunes entre les procédures d’asile et de retour</w:t>
      </w:r>
      <w:r>
        <w:rPr>
          <w:noProof/>
          <w:sz w:val="24"/>
        </w:rPr>
        <w:t xml:space="preserve">, en veillant à ce que les décisions de retour et les décisions négatives en matière d’asile soient prises de manière rapprochée. Cela accélérera considérablement les retours, tout en réduisant les possibilités de fuite et en évitant ainsi de longues périodes d’incertitude tant pour les personnes faisant l’objet d’une décision de retour que pour les autorités nationales. </w:t>
      </w:r>
    </w:p>
    <w:p w14:paraId="6EB4C059" w14:textId="6E9CC80E" w:rsidR="00415DF1" w:rsidRPr="00B5212B" w:rsidRDefault="41E9DFBE">
      <w:pPr>
        <w:spacing w:line="240" w:lineRule="auto"/>
        <w:rPr>
          <w:noProof/>
          <w:sz w:val="24"/>
          <w:szCs w:val="24"/>
        </w:rPr>
      </w:pPr>
      <w:r>
        <w:rPr>
          <w:noProof/>
          <w:sz w:val="24"/>
        </w:rPr>
        <w:t xml:space="preserve">En outre, avec la </w:t>
      </w:r>
      <w:r>
        <w:rPr>
          <w:b/>
          <w:noProof/>
          <w:sz w:val="24"/>
        </w:rPr>
        <w:t>procédure obligatoire de retour à la frontière</w:t>
      </w:r>
      <w:r>
        <w:rPr>
          <w:noProof/>
          <w:sz w:val="24"/>
        </w:rPr>
        <w:t> (</w:t>
      </w:r>
      <w:r>
        <w:rPr>
          <w:rStyle w:val="FootnoteReference"/>
          <w:noProof/>
          <w:sz w:val="24"/>
          <w:szCs w:val="24"/>
        </w:rPr>
        <w:footnoteReference w:id="48"/>
      </w:r>
      <w:r>
        <w:rPr>
          <w:noProof/>
          <w:sz w:val="24"/>
        </w:rPr>
        <w:t>), les personnes dont la demande de protection internationale a été rejetée seront renvoyées beaucoup plus rapidement, directement depuis la frontière extérieure et dans le délai de 12 semaines fixé par les nouvelles règles. La Commission mettra fortement l’accent sur la mise en œuvre effective des nouvelles procédures à la frontière et coopérera étroitement à cette fin avec les États membres, Frontex et les pays partenaires. Elle accordera aussi une attention particulière à la coopération en matière de réadmission dans le cadre de la procédure obligatoire à la frontière lors de l’élaboration des futurs rapports au titre de l’article 25 </w:t>
      </w:r>
      <w:r>
        <w:rPr>
          <w:i/>
          <w:noProof/>
          <w:sz w:val="24"/>
        </w:rPr>
        <w:t>bis</w:t>
      </w:r>
      <w:r>
        <w:rPr>
          <w:noProof/>
          <w:sz w:val="24"/>
        </w:rPr>
        <w:t xml:space="preserve"> du code des visas.</w:t>
      </w:r>
    </w:p>
    <w:p w14:paraId="18099345" w14:textId="1F436322" w:rsidR="003C59F3" w:rsidRPr="003A5268" w:rsidRDefault="57B590CC" w:rsidP="49BA89CF">
      <w:pPr>
        <w:spacing w:line="240" w:lineRule="auto"/>
        <w:rPr>
          <w:noProof/>
          <w:sz w:val="24"/>
          <w:szCs w:val="24"/>
        </w:rPr>
      </w:pPr>
      <w:r>
        <w:rPr>
          <w:noProof/>
          <w:sz w:val="24"/>
        </w:rPr>
        <w:t xml:space="preserve">Sur la base de ces améliorations, la priorité pour les cinq prochaines années est de développer pleinement un </w:t>
      </w:r>
      <w:r>
        <w:rPr>
          <w:b/>
          <w:noProof/>
          <w:sz w:val="24"/>
        </w:rPr>
        <w:t>système européen commun en matière de retour</w:t>
      </w:r>
      <w:r>
        <w:rPr>
          <w:noProof/>
          <w:sz w:val="24"/>
        </w:rPr>
        <w:t>, conformément à la proposition de la Commission de mars 2025 relative à un règlement portant création d’un tel système (</w:t>
      </w:r>
      <w:r>
        <w:rPr>
          <w:rStyle w:val="FootnoteReference"/>
          <w:noProof/>
          <w:sz w:val="24"/>
          <w:szCs w:val="24"/>
        </w:rPr>
        <w:footnoteReference w:id="49"/>
      </w:r>
      <w:r>
        <w:rPr>
          <w:noProof/>
          <w:sz w:val="24"/>
        </w:rPr>
        <w:t xml:space="preserve">). La proposition de règlement confère une dimension européenne plus tangible au retour, en introduisant une décision de retour européenne et en jetant ainsi les bases de la reconnaissance mutuelle des décisions de retour, de sorte que les règles de l’UE ne puissent plus être contournées en se déplaçant illégalement d’un État membre à un autre. Elle favorise la simplification et l’efficacité en rationalisant les processus internes, en clarifiant les droits et les obligations des personnes faisant l’objet d’une décision de retour, telles que l’obligation de coopérer dans le cadre de la procédure de retour, en réduisant le risque de fuite et de mouvements secondaires irréguliers et en comblant les lacunes entre les procédures de retour au sein de l’UE et les activités de réadmission vers des pays tiers. Le retour des personnes qui représentent une menace pour la sécurité sera également accéléré. La proposition de règlement définit aussi les règles et les garanties relatives à la mise en place de «plateformes de retour» en dehors de l’Union, qui pourraient apporter de nouvelles solutions en matière de retour des personnes qui sont tenues de quitter l’Union. Il est important de conclure rapidement les négociations relatives au règlement sur le retour pour que le système européen commun en matière de retour puisse se concrétiser dans les années à venir. </w:t>
      </w:r>
    </w:p>
    <w:p w14:paraId="1C3CABB3" w14:textId="22D9BBA7" w:rsidR="00084445" w:rsidRPr="00B5212B" w:rsidRDefault="1633F6CB" w:rsidP="00084445">
      <w:pPr>
        <w:spacing w:line="240" w:lineRule="auto"/>
        <w:rPr>
          <w:rFonts w:eastAsia="EC Square Sans Pro"/>
          <w:noProof/>
          <w:sz w:val="24"/>
          <w:szCs w:val="24"/>
        </w:rPr>
      </w:pPr>
      <w:r>
        <w:rPr>
          <w:noProof/>
          <w:sz w:val="24"/>
        </w:rPr>
        <w:t xml:space="preserve">La Commission présentera également une proposition législative sur la </w:t>
      </w:r>
      <w:r>
        <w:rPr>
          <w:b/>
          <w:noProof/>
          <w:sz w:val="24"/>
        </w:rPr>
        <w:t>numérisation des retours</w:t>
      </w:r>
      <w:r>
        <w:rPr>
          <w:noProof/>
          <w:sz w:val="24"/>
        </w:rPr>
        <w:t xml:space="preserve"> en 2026, en vue de développer des systèmes numériques de gestion des dossiers dans ce domaine. Cela contribuera aussi à réduire la charge administrative des autorités nationales, en simplifiant et en automatisant les processus. Cette proposition vise également à examiner la possibilité de confier aux agences de l’UE, telles que Frontex et l’eu-LISA, des responsabilités accrues en ce qui concerne les systèmes numériques de gestion des dossiers.</w:t>
      </w:r>
    </w:p>
    <w:p w14:paraId="23EB99DD" w14:textId="04425B07" w:rsidR="003C59F3" w:rsidRPr="00B5212B" w:rsidRDefault="003C59F3" w:rsidP="003C59F3">
      <w:pPr>
        <w:spacing w:line="240" w:lineRule="auto"/>
        <w:rPr>
          <w:noProof/>
          <w:sz w:val="24"/>
          <w:szCs w:val="24"/>
        </w:rPr>
      </w:pPr>
      <w:r>
        <w:rPr>
          <w:noProof/>
          <w:sz w:val="24"/>
        </w:rPr>
        <w:t xml:space="preserve">Parallèlement au renforcement du nouveau cadre juridique, des mesures sont nécessaires pour </w:t>
      </w:r>
      <w:r>
        <w:rPr>
          <w:b/>
          <w:noProof/>
          <w:sz w:val="24"/>
        </w:rPr>
        <w:t>améliorer les processus de retour au niveau opérationnel</w:t>
      </w:r>
      <w:r>
        <w:rPr>
          <w:noProof/>
          <w:sz w:val="24"/>
        </w:rPr>
        <w:t xml:space="preserve">. </w:t>
      </w:r>
    </w:p>
    <w:p w14:paraId="44EABC7A" w14:textId="348D15C4" w:rsidR="0086009C" w:rsidRPr="00916AA5" w:rsidRDefault="7C58DD06" w:rsidP="3F0769EC">
      <w:pPr>
        <w:spacing w:line="240" w:lineRule="auto"/>
        <w:rPr>
          <w:noProof/>
          <w:sz w:val="24"/>
          <w:szCs w:val="24"/>
        </w:rPr>
      </w:pPr>
      <w:bookmarkStart w:id="8" w:name="_Hlk215817476"/>
      <w:r>
        <w:rPr>
          <w:noProof/>
          <w:sz w:val="24"/>
        </w:rPr>
        <w:t xml:space="preserve">Le </w:t>
      </w:r>
      <w:r>
        <w:rPr>
          <w:b/>
          <w:noProof/>
          <w:sz w:val="24"/>
        </w:rPr>
        <w:t>coordinateur chargé des retours</w:t>
      </w:r>
      <w:r>
        <w:rPr>
          <w:noProof/>
          <w:sz w:val="24"/>
        </w:rPr>
        <w:t xml:space="preserve">, soutenu par le réseau de haut niveau pour les retours, étudiera de nouvelles idées et élaborera des pratiques pour répondre à des difficultés spécifiques telles que le retour des ressortissants de pays tiers faisant l’objet de la procédure de retour à la frontière, le retour de ceux qui représentent une menace pour la sécurité ou le retour de mineurs non accompagnés, conformément au droit de l’Union et à l’intérêt supérieur de l’enfant. </w:t>
      </w:r>
      <w:bookmarkEnd w:id="8"/>
      <w:r>
        <w:rPr>
          <w:noProof/>
          <w:sz w:val="24"/>
        </w:rPr>
        <w:t xml:space="preserve">À cette fin, la collaboration avec les autorités des États membres se poursuivra afin d’optimiser l’utilisation des ressources disponibles et d’exploiter tous les outils existants pour accélérer les retours. La Commission, en collaboration avec les États membres, continuera à élaborer des initiatives concrètes à cet effet avec les pays tiers et dans ces derniers. </w:t>
      </w:r>
    </w:p>
    <w:p w14:paraId="11D47E2B" w14:textId="4D7C335C" w:rsidR="003C59F3" w:rsidRPr="001A4FB0" w:rsidRDefault="146BC017" w:rsidP="49BA89CF">
      <w:pPr>
        <w:spacing w:line="240" w:lineRule="auto"/>
        <w:rPr>
          <w:noProof/>
          <w:sz w:val="24"/>
          <w:szCs w:val="24"/>
        </w:rPr>
      </w:pPr>
      <w:r>
        <w:rPr>
          <w:noProof/>
          <w:sz w:val="24"/>
        </w:rPr>
        <w:t xml:space="preserve">La prochaine révision du </w:t>
      </w:r>
      <w:r>
        <w:rPr>
          <w:b/>
          <w:noProof/>
          <w:sz w:val="24"/>
        </w:rPr>
        <w:t>règlement Frontex</w:t>
      </w:r>
      <w:r>
        <w:rPr>
          <w:noProof/>
          <w:sz w:val="24"/>
        </w:rPr>
        <w:t xml:space="preserve">, prévue en 2026, étudiera aussi la possibilité de renforcer le rôle opérationnel de l’agence en matière de retour, tant à l’intérieur qu’à l’extérieur de l’UE. Des réflexions sont en cours sur la possibilité de soutenir les retours d’un pays tiers vers un autre pays tiers, sous réserve de conditions et de garanties juridiques claires, en renforçant le retour volontaire et la réintégration, ainsi que sur les options permettant d’améliorer la gouvernance de l’agence dans ce domaine pour soutenir les priorités stratégiques de l’UE. </w:t>
      </w:r>
    </w:p>
    <w:p w14:paraId="32B9FBCD" w14:textId="63D8A7DC" w:rsidR="00A7291D" w:rsidRDefault="550862A0" w:rsidP="3F0769EC">
      <w:pPr>
        <w:spacing w:line="240" w:lineRule="auto"/>
        <w:rPr>
          <w:noProof/>
          <w:sz w:val="24"/>
          <w:szCs w:val="24"/>
        </w:rPr>
      </w:pPr>
      <w:r>
        <w:rPr>
          <w:noProof/>
          <w:sz w:val="24"/>
        </w:rPr>
        <w:t xml:space="preserve">La Commission s’emploie actuellement, en collaboration avec Frontex, à affiner et à rationaliser la collecte de données sur le retour, en vue d’améliorer le </w:t>
      </w:r>
      <w:r>
        <w:rPr>
          <w:b/>
          <w:noProof/>
          <w:sz w:val="24"/>
        </w:rPr>
        <w:t>tableau de la situation</w:t>
      </w:r>
      <w:r>
        <w:rPr>
          <w:noProof/>
          <w:sz w:val="24"/>
        </w:rPr>
        <w:t xml:space="preserve"> en matière de retour, ce qui permettra une meilleure planification des ressources et des outils.</w:t>
      </w:r>
    </w:p>
    <w:p w14:paraId="27232319" w14:textId="77777777" w:rsidR="00830AA4" w:rsidRPr="00B5212B" w:rsidRDefault="00830AA4" w:rsidP="3F0769EC">
      <w:pPr>
        <w:spacing w:line="240" w:lineRule="auto"/>
        <w:rPr>
          <w:rFonts w:eastAsia="EC Square Sans Pro"/>
          <w:noProof/>
          <w:sz w:val="24"/>
          <w:szCs w:val="24"/>
        </w:rPr>
      </w:pPr>
    </w:p>
    <w:p w14:paraId="538F4B87" w14:textId="5F171A9E" w:rsidR="00377A8B" w:rsidRPr="00B5212B" w:rsidRDefault="00377A8B" w:rsidP="00377A8B">
      <w:pPr>
        <w:spacing w:line="240" w:lineRule="auto"/>
        <w:rPr>
          <w:rFonts w:eastAsia="EC Square Sans Pro"/>
          <w:b/>
          <w:bCs/>
          <w:i/>
          <w:iCs/>
          <w:noProof/>
          <w:sz w:val="24"/>
          <w:szCs w:val="24"/>
        </w:rPr>
      </w:pPr>
      <w:r>
        <w:rPr>
          <w:b/>
          <w:i/>
          <w:noProof/>
          <w:sz w:val="24"/>
        </w:rPr>
        <w:t>Améliorer la réadmission par les pays tiers</w:t>
      </w:r>
    </w:p>
    <w:p w14:paraId="3B5161BF" w14:textId="0FD5FDCF" w:rsidR="00377A8B" w:rsidRPr="00B5212B" w:rsidRDefault="4C1896F0" w:rsidP="00377A8B">
      <w:pPr>
        <w:spacing w:line="240" w:lineRule="auto"/>
        <w:rPr>
          <w:rFonts w:eastAsia="EC Square Sans Pro"/>
          <w:noProof/>
          <w:sz w:val="24"/>
          <w:szCs w:val="24"/>
        </w:rPr>
      </w:pPr>
      <w:r>
        <w:rPr>
          <w:noProof/>
          <w:sz w:val="24"/>
        </w:rPr>
        <w:t xml:space="preserve">La </w:t>
      </w:r>
      <w:r>
        <w:rPr>
          <w:b/>
          <w:noProof/>
          <w:sz w:val="24"/>
        </w:rPr>
        <w:t>coopération en matière de réadmission</w:t>
      </w:r>
      <w:r>
        <w:rPr>
          <w:noProof/>
          <w:sz w:val="24"/>
        </w:rPr>
        <w:t xml:space="preserve"> avec les pays d’origine des migrants est nécessaire à la réussite des opérations de retour et à une gestion efficiente de la migration; elle constitue un autre volet clé du système européen commun en matière de retour. La réadmission de ses propres ressortissants constitue une obligation en vertu du droit international coutumier sur lequel reposent les accords et arrangements de réadmission et les accords de partenariat de l’UE (par exemple, les accords de partenariat et de coopération) avec les pays tiers, ainsi que les cadres juridiques multilatéraux (par exemple, l’accord de Samoa avec les pays d’Afrique, des Caraïbes et du Pacifique). </w:t>
      </w:r>
    </w:p>
    <w:p w14:paraId="5F058E82" w14:textId="2FAEA59B" w:rsidR="0070402B" w:rsidRDefault="0D54D144" w:rsidP="00377A8B">
      <w:pPr>
        <w:spacing w:line="240" w:lineRule="auto"/>
        <w:rPr>
          <w:noProof/>
          <w:sz w:val="24"/>
          <w:szCs w:val="24"/>
        </w:rPr>
      </w:pPr>
      <w:r>
        <w:rPr>
          <w:noProof/>
          <w:sz w:val="24"/>
        </w:rPr>
        <w:t>À cet égard, l’amélioration de la coopération en matière de réadmission demeure une priorité essentielle de la diplomatie migratoire de l’UE. La Commission, en étroite collaboration avec les États membres, surveille régulièrement le degré de coopération en matière de réadmission, dans le cadre des instruments de réadmission bilatéraux et multilatéraux existants et de l’évaluation annuelle de la coopération en la matière, en application de l’article 25 </w:t>
      </w:r>
      <w:r>
        <w:rPr>
          <w:i/>
          <w:noProof/>
          <w:sz w:val="24"/>
        </w:rPr>
        <w:t>bis</w:t>
      </w:r>
      <w:r>
        <w:rPr>
          <w:noProof/>
          <w:sz w:val="24"/>
        </w:rPr>
        <w:t xml:space="preserve"> du code des visas (</w:t>
      </w:r>
      <w:r>
        <w:rPr>
          <w:rStyle w:val="FootnoteReference"/>
          <w:noProof/>
          <w:sz w:val="24"/>
          <w:szCs w:val="24"/>
        </w:rPr>
        <w:footnoteReference w:id="50"/>
      </w:r>
      <w:r>
        <w:rPr>
          <w:noProof/>
          <w:sz w:val="24"/>
        </w:rPr>
        <w:t>). L’Union doit utiliser et renforcer sa boîte à outils afin de promouvoir la coopération dans ce domaine, conformément aux appels répétés des dirigeants de l’UE en faveur de l’utilisation de tous les outils et instruments stratégiques permettant d’améliorer le retour et la réadmission. La mise en œuvre effective des 24 </w:t>
      </w:r>
      <w:r>
        <w:rPr>
          <w:b/>
          <w:noProof/>
          <w:sz w:val="24"/>
        </w:rPr>
        <w:t>accords et arrangements de l’UE</w:t>
      </w:r>
      <w:r>
        <w:rPr>
          <w:noProof/>
          <w:sz w:val="24"/>
        </w:rPr>
        <w:t xml:space="preserve"> existants en matière de réadmission avec des pays tiers (</w:t>
      </w:r>
      <w:r>
        <w:rPr>
          <w:rStyle w:val="FootnoteReference"/>
          <w:noProof/>
          <w:sz w:val="24"/>
          <w:szCs w:val="24"/>
        </w:rPr>
        <w:footnoteReference w:id="51"/>
      </w:r>
      <w:r>
        <w:rPr>
          <w:noProof/>
          <w:sz w:val="24"/>
        </w:rPr>
        <w:t xml:space="preserve">) ainsi que le plein respect et la pleine exécution des obligations consacrées par les accords internationaux de l’UE doivent demeurer une priorité. </w:t>
      </w:r>
    </w:p>
    <w:p w14:paraId="7A18CED8" w14:textId="7FE247E1" w:rsidR="00E82833" w:rsidRPr="00B5212B" w:rsidRDefault="1E39B8B5">
      <w:pPr>
        <w:spacing w:line="240" w:lineRule="auto"/>
        <w:rPr>
          <w:rFonts w:eastAsia="EC Square Sans Pro"/>
          <w:noProof/>
          <w:sz w:val="24"/>
          <w:szCs w:val="24"/>
        </w:rPr>
      </w:pPr>
      <w:r>
        <w:rPr>
          <w:noProof/>
          <w:sz w:val="24"/>
        </w:rPr>
        <w:t xml:space="preserve">Afin d’optimiser la coopération de l’Union avec les pays tiers et de garantir une approche stratégique efficace des négociations, la Commission collaborera avec les États membres pour renforcer encore l’échange d’informations dans ce domaine. Ces échanges devraient inclure une réflexion sur la meilleure manière de poursuivre les mandats de négociation en cours pour les accords de réadmission. Les négociations en cours dans ce domaine doivent être menées à bien rapidement et, lorsqu’il existe une valeur ajoutée au niveau de l’UE, de nouvelles négociations devraient être lancées. L’accord de Samoa fournit également un cadre clair pour la mise en œuvre des obligations en matière de réadmission, rappelant l’obligation qu’ont toutes les parties de réadmettre leurs propres ressortissants; sa mise en œuvre fera l’objet d’un suivi et sera, s’il y a lieu, soutenue par un dialogue spécifique. Le cas échéant, la Commission conclura des arrangements avec les partenaires internationaux afin d’établir des procédures opérationnelles normalisées pour la réadmission de leurs propres ressortissants et de supprimer les obstacles qui entravent la coopération avec ces partenaires. </w:t>
      </w:r>
    </w:p>
    <w:p w14:paraId="38C2EEEC" w14:textId="03418250" w:rsidR="00377A8B" w:rsidRPr="00B5212B" w:rsidRDefault="4B46FE3E" w:rsidP="00377A8B">
      <w:pPr>
        <w:spacing w:line="240" w:lineRule="auto"/>
        <w:rPr>
          <w:rFonts w:eastAsia="EC Square Sans Pro"/>
          <w:noProof/>
          <w:sz w:val="24"/>
          <w:szCs w:val="24"/>
        </w:rPr>
      </w:pPr>
      <w:r>
        <w:rPr>
          <w:noProof/>
          <w:sz w:val="24"/>
        </w:rPr>
        <w:t xml:space="preserve">Pour faire progresser de manière concrète la coopération en matière de réadmission dans le cadre de la diplomatie migratoire, la Commission, le haut représentant et les États membres doivent mobiliser les </w:t>
      </w:r>
      <w:r>
        <w:rPr>
          <w:b/>
          <w:noProof/>
          <w:sz w:val="24"/>
        </w:rPr>
        <w:t>incitations et les leviers nécessaires</w:t>
      </w:r>
      <w:r>
        <w:rPr>
          <w:noProof/>
          <w:sz w:val="24"/>
        </w:rPr>
        <w:t xml:space="preserve"> en recourant à l’ensemble des politiques, instruments et outils pertinents de l’UE.</w:t>
      </w:r>
    </w:p>
    <w:p w14:paraId="2A63CCC4" w14:textId="3CB62A11" w:rsidR="00FC0CFA" w:rsidRPr="00273D97" w:rsidRDefault="1C25323E" w:rsidP="49BA89CF">
      <w:pPr>
        <w:spacing w:line="240" w:lineRule="auto"/>
        <w:rPr>
          <w:noProof/>
          <w:sz w:val="24"/>
          <w:szCs w:val="24"/>
        </w:rPr>
      </w:pPr>
      <w:r>
        <w:rPr>
          <w:b/>
          <w:i/>
          <w:noProof/>
          <w:sz w:val="24"/>
        </w:rPr>
        <w:t>Faire face à des contextes difficiles</w:t>
      </w:r>
    </w:p>
    <w:p w14:paraId="4AB67AFE" w14:textId="7DEF498B" w:rsidR="00B059CA" w:rsidRDefault="00377FB9">
      <w:pPr>
        <w:spacing w:line="240" w:lineRule="auto"/>
        <w:rPr>
          <w:rFonts w:eastAsia="EC Square Sans Pro"/>
          <w:noProof/>
          <w:sz w:val="24"/>
          <w:szCs w:val="24"/>
        </w:rPr>
      </w:pPr>
      <w:r>
        <w:rPr>
          <w:noProof/>
          <w:sz w:val="24"/>
        </w:rPr>
        <w:t xml:space="preserve">Plusieurs situations impliquant certains pays tiers méritent une attention accrue. À cet égard, la </w:t>
      </w:r>
      <w:r>
        <w:rPr>
          <w:b/>
          <w:noProof/>
          <w:sz w:val="24"/>
        </w:rPr>
        <w:t>Syrie</w:t>
      </w:r>
      <w:r>
        <w:rPr>
          <w:noProof/>
          <w:sz w:val="24"/>
        </w:rPr>
        <w:t xml:space="preserve"> reste confrontée à d’importants défis sur les plans politique, humanitaire, de la sécurité et du développement. L’UE soutient une transition politique pacifique et inclusive menée par les Syriens, ainsi qu’un redressement socio-économique afin de prévenir toute résurgence de la violence. La Commission collabore avec le HCR pour soutenir les retours volontaires et la réintégration durable des personnes faisant l’objet d’une décision de retour. Elle a également publié des orientations à l’intention des Syriens bénéficiant d’une protection internationale dans l’UE qui pourraient souhaiter rentrer en Syrie, concernant des visites dans le pays pour se rendre compte de la situation sur place. Frontex a également repris son soutien aux opérations de retour syriennes et à la réintégration des Syriens. </w:t>
      </w:r>
    </w:p>
    <w:p w14:paraId="11C81FFF" w14:textId="773EC9DE" w:rsidR="00C070CB" w:rsidRDefault="00367454">
      <w:pPr>
        <w:spacing w:line="240" w:lineRule="auto"/>
        <w:rPr>
          <w:rFonts w:eastAsia="EC Square Sans Pro"/>
          <w:noProof/>
          <w:sz w:val="24"/>
          <w:szCs w:val="24"/>
        </w:rPr>
      </w:pPr>
      <w:r>
        <w:rPr>
          <w:noProof/>
          <w:sz w:val="24"/>
        </w:rPr>
        <w:t>La Commission s’emploie aussi actuellement à assurer une coordination au niveau européen en ce qui concerne la situation des Afghans vivant dans l’UE. À cette fin, elle collabore au niveau technique avec les autorités de fait de l’</w:t>
      </w:r>
      <w:r>
        <w:rPr>
          <w:b/>
          <w:noProof/>
          <w:sz w:val="24"/>
        </w:rPr>
        <w:t>Afghanistan</w:t>
      </w:r>
      <w:r>
        <w:rPr>
          <w:noProof/>
          <w:sz w:val="24"/>
        </w:rPr>
        <w:t xml:space="preserve"> en vue d’un retour et d’une réadmission éventuels des ressortissants afghans en séjour irrégulier dans l’UE, en particulier de ceux qui ont commis des infractions ou qui présentent des risques pour la sécurité, dans le respect du droit de l’Union et des obligations internationales, y compris le plein respect du principe de non-refoulement. La Commission travaille en étroite collaboration avec les États membres et s’appuie également sur le soutien de Frontex en matière de retour volontaire dans le cadre du programme de réintégration de l’UE. </w:t>
      </w:r>
    </w:p>
    <w:p w14:paraId="2B9C7019" w14:textId="2369827D" w:rsidR="00A7291D" w:rsidRPr="00590037" w:rsidRDefault="1CDD8C2C" w:rsidP="49BA89CF">
      <w:pPr>
        <w:pStyle w:val="Heading1"/>
        <w:spacing w:before="0"/>
        <w:rPr>
          <w:noProof/>
        </w:rPr>
      </w:pPr>
      <w:r>
        <w:rPr>
          <w:noProof/>
        </w:rPr>
        <w:t xml:space="preserve"> Mobilité de la main-d’œuvre et des talents pour stimuler la compétitivité </w:t>
      </w:r>
    </w:p>
    <w:p w14:paraId="04E75F10" w14:textId="296B8F46" w:rsidR="0042504C" w:rsidRPr="00B5212B" w:rsidRDefault="790501EE" w:rsidP="00A7291D">
      <w:pPr>
        <w:spacing w:line="240" w:lineRule="auto"/>
        <w:rPr>
          <w:noProof/>
          <w:sz w:val="24"/>
          <w:szCs w:val="24"/>
        </w:rPr>
      </w:pPr>
      <w:r>
        <w:rPr>
          <w:noProof/>
          <w:sz w:val="24"/>
        </w:rPr>
        <w:t xml:space="preserve">Au cours des prochaines années, les déficits de compétences et les pénuries de main-d’œuvre, également dus à la dynamique démographique, sont susceptibles d’accentuer les besoins croissants de notre </w:t>
      </w:r>
      <w:r>
        <w:rPr>
          <w:b/>
          <w:noProof/>
          <w:sz w:val="24"/>
        </w:rPr>
        <w:t>marché du travail</w:t>
      </w:r>
      <w:r>
        <w:rPr>
          <w:noProof/>
          <w:sz w:val="24"/>
        </w:rPr>
        <w:t xml:space="preserve"> dans de nombreux secteurs clés et, à des degrés divers, dans l’ensemble de l’Union (</w:t>
      </w:r>
      <w:r>
        <w:rPr>
          <w:rStyle w:val="FootnoteReference"/>
          <w:noProof/>
          <w:sz w:val="24"/>
          <w:szCs w:val="24"/>
        </w:rPr>
        <w:footnoteReference w:id="52"/>
      </w:r>
      <w:r>
        <w:rPr>
          <w:noProof/>
          <w:sz w:val="24"/>
        </w:rPr>
        <w:t xml:space="preserve">). La demande dans des domaines clés essentiels à l’économie de l’UE et au bien-être des citoyens, allant de secteurs de pointe tels que l’IA à la garde des jeunes enfants et aux soins aux personnes âgées, continuera de croître. Le réservoir européen de talents récemment adopté a déjà recensé 42 professions dans lesquelles l’UE est confrontée à des pénuries de main-d’œuvre et de compétences qui limitent le potentiel économique européen, et où la mobilité de la main-d’œuvre et des talents peut apporter une contribution importante. </w:t>
      </w:r>
    </w:p>
    <w:p w14:paraId="1263D4FC" w14:textId="6919924E" w:rsidR="0042504C" w:rsidRPr="00B5212B" w:rsidRDefault="00A7291D" w:rsidP="00A7291D">
      <w:pPr>
        <w:spacing w:line="240" w:lineRule="auto"/>
        <w:rPr>
          <w:noProof/>
          <w:sz w:val="24"/>
          <w:szCs w:val="24"/>
        </w:rPr>
      </w:pPr>
      <w:r>
        <w:rPr>
          <w:noProof/>
        </w:rPr>
        <w:t>L’union des compétences (</w:t>
      </w:r>
      <w:r>
        <w:rPr>
          <w:rStyle w:val="FootnoteReference"/>
          <w:noProof/>
          <w:sz w:val="24"/>
          <w:szCs w:val="24"/>
        </w:rPr>
        <w:footnoteReference w:id="53"/>
      </w:r>
      <w:r>
        <w:rPr>
          <w:noProof/>
        </w:rPr>
        <w:t>) répond à la nécessité d’attirer et de retenir les talents de pays tiers, en complétant les mesures visant à activer et à perfectionner la main-d’œuvre nationale, y compris les ressortissants de pays tiers résidant déjà dans l’Union.</w:t>
      </w:r>
      <w:r>
        <w:rPr>
          <w:noProof/>
          <w:sz w:val="24"/>
        </w:rPr>
        <w:t xml:space="preserve"> La mobilité de la main-d’œuvre et des talents fait partie intégrante du modèle économique de l’UE; elle permet de renforcer sa </w:t>
      </w:r>
      <w:r>
        <w:rPr>
          <w:b/>
          <w:noProof/>
          <w:sz w:val="24"/>
        </w:rPr>
        <w:t>compétitivité</w:t>
      </w:r>
      <w:r>
        <w:rPr>
          <w:noProof/>
          <w:sz w:val="24"/>
        </w:rPr>
        <w:t>, de relever les défis liés à la démographie et aux compétences (</w:t>
      </w:r>
      <w:r>
        <w:rPr>
          <w:rStyle w:val="FootnoteReference"/>
          <w:noProof/>
          <w:sz w:val="24"/>
          <w:szCs w:val="24"/>
        </w:rPr>
        <w:footnoteReference w:id="54"/>
      </w:r>
      <w:r>
        <w:rPr>
          <w:noProof/>
          <w:sz w:val="24"/>
        </w:rPr>
        <w:t xml:space="preserve">) ainsi que de favoriser l’innovation. </w:t>
      </w:r>
    </w:p>
    <w:p w14:paraId="7350C4FF" w14:textId="3ED34488" w:rsidR="00752F06" w:rsidRPr="00B5212B" w:rsidRDefault="790501EE" w:rsidP="3F0769EC">
      <w:pPr>
        <w:spacing w:line="240" w:lineRule="auto"/>
        <w:rPr>
          <w:noProof/>
          <w:sz w:val="24"/>
          <w:szCs w:val="24"/>
        </w:rPr>
      </w:pPr>
      <w:r>
        <w:rPr>
          <w:noProof/>
          <w:sz w:val="24"/>
        </w:rPr>
        <w:t xml:space="preserve">Au cours des cinq prochaines années, l’UE devrait s’efforcer de devenir le site le plus attrayant dans la course mondiale aux talents, afin de se procurer une main-d’œuvre qualifiée allant des innovateurs qui stimulent le progrès technologique aux travailleurs qui fournissent des services de soins essentiels. À cette fin, nous devons </w:t>
      </w:r>
      <w:r>
        <w:rPr>
          <w:b/>
          <w:noProof/>
          <w:sz w:val="24"/>
        </w:rPr>
        <w:t>intensifier notre coopération avec les pays partenaires</w:t>
      </w:r>
      <w:r>
        <w:rPr>
          <w:noProof/>
          <w:sz w:val="24"/>
        </w:rPr>
        <w:t xml:space="preserve">, en utilisant la mobilité de la main-d’œuvre et des talents comme outil à la fois pour la diplomatie migratoire et pour les relations diplomatiques et économiques globales avec nos partenaires, et en lançant de nouvelles initiatives innovantes au niveau de l’Union, en coopération avec les États membres, afin d’attirer des travailleurs formés pour notre marché du travail et qui y sont préparés. </w:t>
      </w:r>
    </w:p>
    <w:p w14:paraId="6AB21123" w14:textId="19DB6DDB" w:rsidR="00752F06" w:rsidRPr="00B5212B" w:rsidRDefault="48465D6B" w:rsidP="00A7291D">
      <w:pPr>
        <w:spacing w:line="240" w:lineRule="auto"/>
        <w:rPr>
          <w:noProof/>
          <w:sz w:val="24"/>
          <w:szCs w:val="24"/>
        </w:rPr>
      </w:pPr>
      <w:r>
        <w:rPr>
          <w:noProof/>
          <w:sz w:val="24"/>
        </w:rPr>
        <w:t xml:space="preserve">Il nous faut donc non seulement attirer de la main-d’œuvre et des talents, mais aussi </w:t>
      </w:r>
      <w:r>
        <w:rPr>
          <w:b/>
          <w:noProof/>
          <w:sz w:val="24"/>
        </w:rPr>
        <w:t>être en mesure de les retenir</w:t>
      </w:r>
      <w:r>
        <w:rPr>
          <w:noProof/>
          <w:sz w:val="24"/>
        </w:rPr>
        <w:t>. Pour y parvenir, l’Union a besoin d’un environnement socio-économique qui puisse non seulement faciliter l’intégration des travailleurs étrangers sur le marché du travail, mais aussi leur permettre de s’intégrer à nos sociétés et d’y contribuer.</w:t>
      </w:r>
    </w:p>
    <w:p w14:paraId="17FA6C6B" w14:textId="2803A14C" w:rsidR="00A7291D" w:rsidRPr="00B5212B" w:rsidRDefault="0028167C" w:rsidP="49BA89CF">
      <w:pPr>
        <w:spacing w:line="240" w:lineRule="auto"/>
        <w:rPr>
          <w:b/>
          <w:bCs/>
          <w:i/>
          <w:iCs/>
          <w:noProof/>
          <w:sz w:val="24"/>
          <w:szCs w:val="24"/>
        </w:rPr>
      </w:pPr>
      <w:r>
        <w:rPr>
          <w:b/>
          <w:i/>
          <w:noProof/>
          <w:sz w:val="24"/>
        </w:rPr>
        <w:t>La mobilité de la main-d’œuvre et des talents en tant qu’outil de diplomatie migratoire</w:t>
      </w:r>
    </w:p>
    <w:p w14:paraId="7D1DF13A" w14:textId="5566B479" w:rsidR="00A7291D" w:rsidRPr="00B5212B" w:rsidRDefault="0028167C" w:rsidP="00A7291D">
      <w:pPr>
        <w:spacing w:line="240" w:lineRule="auto"/>
        <w:rPr>
          <w:rFonts w:eastAsia="EC Square Sans Pro"/>
          <w:noProof/>
          <w:sz w:val="24"/>
          <w:szCs w:val="24"/>
        </w:rPr>
      </w:pPr>
      <w:r>
        <w:rPr>
          <w:noProof/>
          <w:sz w:val="24"/>
        </w:rPr>
        <w:t xml:space="preserve">L’attraction et la mobilité de la main-d’œuvre et des talents, ainsi que les filières d’études, professionnelles et de formation, doivent devenir un élément stratégique de nos relations globales avec les pays partenaires. Le renforcement des </w:t>
      </w:r>
      <w:r>
        <w:rPr>
          <w:b/>
          <w:noProof/>
          <w:sz w:val="24"/>
        </w:rPr>
        <w:t>partenariats pour les talents</w:t>
      </w:r>
      <w:r>
        <w:rPr>
          <w:noProof/>
          <w:sz w:val="24"/>
        </w:rPr>
        <w:t xml:space="preserve"> existants avec le Maroc, la Tunisie, l’Égypte, le Pakistan et le Bangladesh, ainsi que le lancement de nouveaux partenariats, ne sont qu’une première étape. </w:t>
      </w:r>
    </w:p>
    <w:p w14:paraId="6F64C226" w14:textId="619BFA83" w:rsidR="001325C6" w:rsidRPr="00B5212B" w:rsidRDefault="00596CD9">
      <w:pPr>
        <w:spacing w:line="240" w:lineRule="auto"/>
        <w:rPr>
          <w:rFonts w:eastAsia="EC Square Sans Pro"/>
          <w:noProof/>
          <w:sz w:val="24"/>
          <w:szCs w:val="24"/>
        </w:rPr>
      </w:pPr>
      <w:r>
        <w:rPr>
          <w:noProof/>
          <w:sz w:val="24"/>
        </w:rPr>
        <w:t xml:space="preserve">Au-delà des partenariats pour les talents, l’UE doit rassembler les priorités en matière de compétitivité dans le cadre de sa </w:t>
      </w:r>
      <w:r>
        <w:rPr>
          <w:b/>
          <w:noProof/>
          <w:sz w:val="24"/>
        </w:rPr>
        <w:t>coopération globale avec les pays partenaires</w:t>
      </w:r>
      <w:r>
        <w:rPr>
          <w:noProof/>
          <w:sz w:val="24"/>
        </w:rPr>
        <w:t>, en suivant la voie tracée par le pacte pour la Méditerranée. À cet égard, la Commission pilotera, à partir de 2026, un guichet polyvalent d’accès légal à l’UE (European Legal Gateway Office) en Inde dans le secteur des technologies de l’information et de la communication. Il s’agira d’un guichet unique chargé d’apporter un soutien aux travailleurs indiens candidats à la mobilité vers l’UE. Sur la base des enseignements tirés de ce projet pilote, la Commission prévoit d’étendre le concept de guichet polyvalent d’accès légal à d’autres secteurs et pays partenaires, y compris les pays concernés par les partenariats pour les talents, en complément du réservoir européen de talents, et en tenant compte des intérêts stratégiques de l’UE. La poursuite de la coopération en matière de mobilité des talents devrait également être encouragée dans le cadre de la stratégie «Global Gateway».</w:t>
      </w:r>
    </w:p>
    <w:p w14:paraId="2062B26A" w14:textId="2038C060" w:rsidR="00A46F1B" w:rsidRPr="00B5212B" w:rsidRDefault="002E590B" w:rsidP="00A46F1B">
      <w:pPr>
        <w:spacing w:line="240" w:lineRule="auto"/>
        <w:rPr>
          <w:noProof/>
          <w:sz w:val="24"/>
          <w:szCs w:val="24"/>
        </w:rPr>
      </w:pPr>
      <w:r>
        <w:rPr>
          <w:noProof/>
          <w:sz w:val="24"/>
        </w:rPr>
        <w:t xml:space="preserve">L’Union et les pays partenaires ont un intérêt commun à promouvoir la mobilité de la main-d’œuvre. Toutefois, préparer les travailleurs issus de pays tiers à entrer sur le marché du travail européen et à s’intégrer dans nos sociétés est une entreprise complexe qui nécessite des investissements et des efforts de part et d’autre. Afin de renforcer le socle de compétences des personnes susceptibles de venir travailler et vivre dans l’Union, et après examen des modèles de partage des coûts et des risques avec le secteur privé, la Commission soutiendra les </w:t>
      </w:r>
      <w:r>
        <w:rPr>
          <w:b/>
          <w:noProof/>
          <w:sz w:val="24"/>
        </w:rPr>
        <w:t>activités de formation et les activités préalables au départ</w:t>
      </w:r>
      <w:r>
        <w:rPr>
          <w:noProof/>
          <w:sz w:val="24"/>
        </w:rPr>
        <w:t xml:space="preserve"> destinées aux demandeurs d’emploi de pays tiers, afin de veiller à ce qu’ils disposent des compétences techniques, professionnelles, linguistiques et culturelles requises, y compris dans le cadre de la future stratégie européenne pour l’enseignement et la formation professionnels. </w:t>
      </w:r>
    </w:p>
    <w:p w14:paraId="55D4B9F2" w14:textId="36BEF70F" w:rsidR="00A7291D" w:rsidRPr="00B5212B" w:rsidRDefault="550862A0" w:rsidP="0031456A">
      <w:pPr>
        <w:spacing w:line="240" w:lineRule="auto"/>
        <w:rPr>
          <w:rFonts w:eastAsia="EC Square Sans Pro"/>
          <w:noProof/>
          <w:sz w:val="24"/>
          <w:szCs w:val="24"/>
        </w:rPr>
      </w:pPr>
      <w:r>
        <w:rPr>
          <w:noProof/>
          <w:sz w:val="24"/>
        </w:rPr>
        <w:t xml:space="preserve">La Commission associera aussi plus étroitement </w:t>
      </w:r>
      <w:r>
        <w:rPr>
          <w:b/>
          <w:noProof/>
          <w:sz w:val="24"/>
        </w:rPr>
        <w:t>l’industrie et les partenaires sociaux de l’UE</w:t>
      </w:r>
      <w:r>
        <w:rPr>
          <w:noProof/>
          <w:sz w:val="24"/>
        </w:rPr>
        <w:t xml:space="preserve"> à la conception et à la mise en œuvre des initiatives à l’égard des pays tiers, étant donné que ces acteurs sont les mieux placés pour savoir de quelles compétences ils ont besoin et qu’ils sont les principaux bénéficiaires des politiques de mobilité des talents. Elle a l’intention d’utiliser les enceintes existantes, telles que la plateforme pour la migration de la main-d’œuvre, les comités de dialogue social sectoriel, le forum industriel et le forum de l’espace européen de la recherche, pour inciter l’industrie et les employeurs à participer aux actions visant à attirer les talents. </w:t>
      </w:r>
    </w:p>
    <w:p w14:paraId="54E21953" w14:textId="05B18250" w:rsidR="007404FB" w:rsidRPr="00B5212B" w:rsidRDefault="7129BD76" w:rsidP="0031456A">
      <w:pPr>
        <w:spacing w:line="240" w:lineRule="auto"/>
        <w:rPr>
          <w:rFonts w:eastAsia="EC Square Sans Pro"/>
          <w:noProof/>
        </w:rPr>
      </w:pPr>
      <w:r>
        <w:rPr>
          <w:noProof/>
          <w:sz w:val="24"/>
        </w:rPr>
        <w:t xml:space="preserve">Le </w:t>
      </w:r>
      <w:r>
        <w:rPr>
          <w:b/>
          <w:noProof/>
          <w:sz w:val="24"/>
        </w:rPr>
        <w:t>réservoir européen de talents</w:t>
      </w:r>
      <w:r>
        <w:rPr>
          <w:noProof/>
          <w:sz w:val="24"/>
        </w:rPr>
        <w:t> (</w:t>
      </w:r>
      <w:r>
        <w:rPr>
          <w:rStyle w:val="FootnoteReference"/>
          <w:rFonts w:eastAsia="EC Square Sans Pro"/>
          <w:noProof/>
          <w:sz w:val="24"/>
          <w:szCs w:val="24"/>
        </w:rPr>
        <w:footnoteReference w:id="55"/>
      </w:r>
      <w:r>
        <w:rPr>
          <w:noProof/>
          <w:sz w:val="24"/>
        </w:rPr>
        <w:t>) est le premier outil disponible à l’échelle de l’UE permettant de mettre en correspondance les employeurs de l’UE et les demandeurs d’emploi de pays tiers dans des secteurs spécifiques; il sera essentiel pour remédier aux pénuries de main-d’œuvre et de compétences, ainsi que pour améliorer la coopération avec les pays partenaires à long terme. La Commission donne la priorité au développement de la plateforme informatique afin que le réservoir de talents soit en place et opérationnel en 2027. L’engagement et la participation des États membres à un stade précoce seront indispensables pour exploiter pleinement le potentiel du réservoir de talents.</w:t>
      </w:r>
    </w:p>
    <w:p w14:paraId="410B83B4" w14:textId="2A262D98" w:rsidR="00A7291D" w:rsidRPr="00B5212B" w:rsidRDefault="35D49FB4" w:rsidP="49BA89CF">
      <w:pPr>
        <w:rPr>
          <w:b/>
          <w:bCs/>
          <w:i/>
          <w:iCs/>
          <w:noProof/>
          <w:sz w:val="24"/>
          <w:szCs w:val="24"/>
        </w:rPr>
      </w:pPr>
      <w:r>
        <w:rPr>
          <w:b/>
          <w:i/>
          <w:noProof/>
          <w:sz w:val="24"/>
        </w:rPr>
        <w:t>Un cadre juridique adapté à la mobilité de la main-d’œuvre et des talents</w:t>
      </w:r>
    </w:p>
    <w:p w14:paraId="04F04158" w14:textId="2655D704" w:rsidR="004A3FEC" w:rsidRDefault="75E8CE76" w:rsidP="00651E1A">
      <w:pPr>
        <w:spacing w:line="240" w:lineRule="auto"/>
        <w:rPr>
          <w:rFonts w:eastAsia="EC Square Sans Pro"/>
          <w:noProof/>
          <w:sz w:val="24"/>
          <w:szCs w:val="24"/>
        </w:rPr>
      </w:pPr>
      <w:r>
        <w:rPr>
          <w:noProof/>
          <w:sz w:val="24"/>
        </w:rPr>
        <w:t>L’initiative «Choisir l’Europe» (</w:t>
      </w:r>
      <w:r>
        <w:rPr>
          <w:rStyle w:val="FootnoteReference"/>
          <w:rFonts w:eastAsia="EC Square Sans Pro"/>
          <w:noProof/>
          <w:sz w:val="24"/>
          <w:szCs w:val="24"/>
        </w:rPr>
        <w:footnoteReference w:id="56"/>
      </w:r>
      <w:r>
        <w:rPr>
          <w:noProof/>
          <w:sz w:val="24"/>
        </w:rPr>
        <w:t xml:space="preserve">) promeut l’UE en tant que destination pour les professionnels hautement qualifiés. Elle met en évidence la manière dont l’UE offre un environnement idéal permettant aux talents du monde entier de faire progresser la recherche et l’innovation.  </w:t>
      </w:r>
    </w:p>
    <w:p w14:paraId="52290E1D" w14:textId="7133071A" w:rsidR="001325C6" w:rsidRPr="00B5212B" w:rsidRDefault="741FFDCD" w:rsidP="00651E1A">
      <w:pPr>
        <w:spacing w:line="240" w:lineRule="auto"/>
        <w:rPr>
          <w:rFonts w:eastAsia="EC Square Sans Pro"/>
          <w:noProof/>
          <w:sz w:val="24"/>
          <w:szCs w:val="24"/>
        </w:rPr>
      </w:pPr>
      <w:r>
        <w:rPr>
          <w:noProof/>
          <w:sz w:val="24"/>
        </w:rPr>
        <w:t xml:space="preserve">Dans le même temps, le </w:t>
      </w:r>
      <w:r>
        <w:rPr>
          <w:b/>
          <w:noProof/>
          <w:sz w:val="24"/>
        </w:rPr>
        <w:t>cadre juridique applicable à la mobilité de la main-d’œuvre et des talents</w:t>
      </w:r>
      <w:r>
        <w:rPr>
          <w:noProof/>
          <w:sz w:val="24"/>
        </w:rPr>
        <w:t xml:space="preserve"> vers l’UE reste fragmenté et présente une interaction complexe entre les cadres juridiques nationaux et de l’UE (</w:t>
      </w:r>
      <w:r>
        <w:rPr>
          <w:rStyle w:val="FootnoteReference"/>
          <w:rFonts w:eastAsia="EC Square Sans Pro"/>
          <w:noProof/>
          <w:sz w:val="24"/>
          <w:szCs w:val="24"/>
        </w:rPr>
        <w:footnoteReference w:id="57"/>
      </w:r>
      <w:r>
        <w:rPr>
          <w:noProof/>
          <w:sz w:val="24"/>
        </w:rPr>
        <w:t xml:space="preserve">), ce qui le rend difficile à appréhender pour les talents du monde entier. </w:t>
      </w:r>
    </w:p>
    <w:p w14:paraId="3CD29AD3" w14:textId="49F8EB0D" w:rsidR="00651E1A" w:rsidRPr="00B5212B" w:rsidRDefault="056E1017" w:rsidP="00651E1A">
      <w:pPr>
        <w:spacing w:line="240" w:lineRule="auto"/>
        <w:rPr>
          <w:rFonts w:eastAsia="EC Square Sans Pro"/>
          <w:noProof/>
          <w:sz w:val="24"/>
          <w:szCs w:val="24"/>
        </w:rPr>
      </w:pPr>
      <w:r>
        <w:rPr>
          <w:noProof/>
          <w:sz w:val="24"/>
        </w:rPr>
        <w:t xml:space="preserve">Cela n’est pas à la hauteur de l’ambition de l’UE. Il conviendra d’étudier la manière de </w:t>
      </w:r>
      <w:r>
        <w:rPr>
          <w:b/>
          <w:noProof/>
          <w:sz w:val="24"/>
        </w:rPr>
        <w:t>simplifier et d’accélérer</w:t>
      </w:r>
      <w:r>
        <w:rPr>
          <w:noProof/>
          <w:sz w:val="24"/>
        </w:rPr>
        <w:t xml:space="preserve"> les procédures visant à attirer les ressortissants de pays tiers présentant un fort potentiel d’innovation, tels que les chercheurs, les étudiants, les travailleurs qualifiés, les créateurs de start-up ou les entrepreneurs innovants, ainsi que les travailleurs nécessaires dans les métiers en tension dans des secteurs tels que les soins, la santé, le tourisme ou la construction. La stratégie en matière de visas (</w:t>
      </w:r>
      <w:r>
        <w:rPr>
          <w:rStyle w:val="FootnoteReference"/>
          <w:rFonts w:eastAsia="EC Square Sans Pro"/>
          <w:noProof/>
          <w:sz w:val="24"/>
          <w:szCs w:val="24"/>
        </w:rPr>
        <w:footnoteReference w:id="58"/>
      </w:r>
      <w:r>
        <w:rPr>
          <w:noProof/>
          <w:sz w:val="24"/>
        </w:rPr>
        <w:t>), adoptée en même temps que la présente stratégie, recense de nouvelles manières d’améliorer le fonctionnement de l’actuel cadre destiné à attirer les talents, notamment au moyen de financements et de la recommandation de la Commission intitulée «Attirer les talents pour favoriser l’innovation» (</w:t>
      </w:r>
      <w:r>
        <w:rPr>
          <w:rStyle w:val="FootnoteReference"/>
          <w:rFonts w:eastAsia="EC Square Sans Pro"/>
          <w:noProof/>
          <w:sz w:val="24"/>
          <w:szCs w:val="24"/>
        </w:rPr>
        <w:footnoteReference w:id="59"/>
      </w:r>
      <w:r>
        <w:rPr>
          <w:noProof/>
          <w:sz w:val="24"/>
        </w:rPr>
        <w:t xml:space="preserve">), et examine les possibilités de simplification et d’amélioration de la mise en œuvre du cadre juridique. </w:t>
      </w:r>
    </w:p>
    <w:p w14:paraId="6B767C68" w14:textId="2F2E948D" w:rsidR="001E7F44" w:rsidRDefault="7AF3A08C" w:rsidP="001325C6">
      <w:pPr>
        <w:spacing w:line="240" w:lineRule="auto"/>
        <w:rPr>
          <w:noProof/>
          <w:sz w:val="24"/>
          <w:szCs w:val="24"/>
        </w:rPr>
      </w:pPr>
      <w:r>
        <w:rPr>
          <w:noProof/>
          <w:sz w:val="24"/>
        </w:rPr>
        <w:t xml:space="preserve">Par ailleurs, l’un des principaux obstacles à l’attraction des talents est le goulet d’étranglement lié à </w:t>
      </w:r>
      <w:r>
        <w:rPr>
          <w:b/>
          <w:noProof/>
          <w:sz w:val="24"/>
        </w:rPr>
        <w:t>la reconnaissance et à la validation des qualifications et des compétences des ressortissants de pays tiers</w:t>
      </w:r>
      <w:r>
        <w:rPr>
          <w:noProof/>
          <w:sz w:val="24"/>
        </w:rPr>
        <w:t>. La recommandation de la Commission de 2023 sur la reconnaissance des qualifications des ressortissants de pays tiers (</w:t>
      </w:r>
      <w:r>
        <w:rPr>
          <w:rStyle w:val="FootnoteReference"/>
          <w:noProof/>
          <w:sz w:val="24"/>
          <w:szCs w:val="24"/>
        </w:rPr>
        <w:footnoteReference w:id="60"/>
      </w:r>
      <w:r>
        <w:rPr>
          <w:noProof/>
          <w:sz w:val="24"/>
        </w:rPr>
        <w:t xml:space="preserve">) visait à faciliter les processus nationaux de reconnaissance. Cependant, dans la pratique, ces processus restent souvent longs, contraignants et fragmentés au sein de l’Union et ne sont donc pas compatibles avec un environnement économique dynamique et avec la nécessité de combler rapidement les pénuries de main-d’œuvre auxquelles les entreprises européennes sont confrontées. Pour remédier à cet obstacle, la Commission lancera, dans le cadre du train de mesures de 2026 sur la mobilité équitable de la main-d’œuvre, une initiative sur la transférabilité des compétences, qui comprendra d’éventuelles nouvelles règles sur la reconnaissance et la validation des qualifications et des compétences, ce qui accélérera les procédures tout en maintenant les normes de qualité attendues sur le marché européen. </w:t>
      </w:r>
    </w:p>
    <w:p w14:paraId="7D13B5C0" w14:textId="0B8DBC88" w:rsidR="003520B5" w:rsidRPr="00916AA5" w:rsidRDefault="00DA7787" w:rsidP="001325C6">
      <w:pPr>
        <w:spacing w:line="240" w:lineRule="auto"/>
        <w:rPr>
          <w:noProof/>
          <w:sz w:val="24"/>
          <w:szCs w:val="24"/>
        </w:rPr>
      </w:pPr>
      <w:r>
        <w:rPr>
          <w:noProof/>
          <w:sz w:val="24"/>
        </w:rPr>
        <w:t xml:space="preserve">Pour exploiter le potentiel de la </w:t>
      </w:r>
      <w:r>
        <w:rPr>
          <w:b/>
          <w:noProof/>
          <w:sz w:val="24"/>
        </w:rPr>
        <w:t>veille stratégique sur les besoins en compétences</w:t>
      </w:r>
      <w:r>
        <w:rPr>
          <w:noProof/>
          <w:sz w:val="24"/>
        </w:rPr>
        <w:t xml:space="preserve">, outre le fait de disposer d’informations précises et actualisées sur l’état des compétences et la situation du marché du travail dans l’UE et ses États membres, et de s’appuyer sur l’expérience de l’Observatoire européen de veille stratégique sur les besoins en compétences, il est nécessaire de posséder des informations actualisées sur la situation du marché du travail dans les pays partenaires, notamment pour ce qui est des compétences et des cadres de certification, afin de permettre une comparaison avec les compétences et les qualifications dans l’UE. À cette fin, la Commission prévoit d’approfondir encore sa coopération avec la Fondation européenne pour la formation (ETF) en ce qui concerne la cartographie et la comparaison des compétences et des qualifications dans les pays concernés par les partenariats pour les talents et au-delà. </w:t>
      </w:r>
    </w:p>
    <w:p w14:paraId="231320E4" w14:textId="4A6EAB51" w:rsidR="00A25229" w:rsidRPr="00B5212B" w:rsidRDefault="00A25229" w:rsidP="00A25229">
      <w:pPr>
        <w:spacing w:line="240" w:lineRule="auto"/>
        <w:rPr>
          <w:noProof/>
          <w:sz w:val="24"/>
          <w:szCs w:val="24"/>
        </w:rPr>
      </w:pPr>
      <w:r>
        <w:rPr>
          <w:b/>
          <w:i/>
          <w:noProof/>
          <w:sz w:val="24"/>
        </w:rPr>
        <w:t>Lutter contre l’emploi illégal, les abus et l’exploitation</w:t>
      </w:r>
    </w:p>
    <w:p w14:paraId="0FF459F0" w14:textId="54960874" w:rsidR="00DA1A3D" w:rsidRPr="00B5212B" w:rsidRDefault="00752F06" w:rsidP="00DA1A3D">
      <w:pPr>
        <w:spacing w:line="240" w:lineRule="auto"/>
        <w:rPr>
          <w:noProof/>
          <w:sz w:val="24"/>
          <w:szCs w:val="24"/>
        </w:rPr>
      </w:pPr>
      <w:r>
        <w:rPr>
          <w:noProof/>
          <w:sz w:val="24"/>
        </w:rPr>
        <w:t xml:space="preserve">Si l’Europe doit attirer les talents, elle doit également intensifier sa lutte contre l’emploi illégal et les abus concernant des travailleurs de pays tiers dans l’UE. L’emploi illégal et le travail non autorisé, souvent associés à l’exploitation par le travail, comptent parmi les </w:t>
      </w:r>
      <w:r>
        <w:rPr>
          <w:b/>
          <w:noProof/>
          <w:sz w:val="24"/>
        </w:rPr>
        <w:t>principaux facteurs de la migration irrégulière</w:t>
      </w:r>
      <w:r>
        <w:rPr>
          <w:noProof/>
          <w:sz w:val="24"/>
        </w:rPr>
        <w:t xml:space="preserve"> et doivent être combattus plus efficacement, en particulier dans les secteurs les plus exposés à ces risques. L’ouverture de l’Union pour ce qui est d’attirer et de retenir les talents devrait aller de pair avec une tolérance zéro à l’égard de l’emploi illégal et de l’exploitation des travailleurs migrants.</w:t>
      </w:r>
    </w:p>
    <w:p w14:paraId="2FE17F6E" w14:textId="2C2B1073" w:rsidR="00A25229" w:rsidRPr="00B5212B" w:rsidRDefault="3F2FB671" w:rsidP="1D61332A">
      <w:pPr>
        <w:spacing w:line="240" w:lineRule="auto"/>
        <w:rPr>
          <w:noProof/>
          <w:sz w:val="24"/>
          <w:szCs w:val="24"/>
        </w:rPr>
      </w:pPr>
      <w:r>
        <w:rPr>
          <w:noProof/>
          <w:sz w:val="24"/>
        </w:rPr>
        <w:t xml:space="preserve">La Commission présentera en 2026 l’état d’avancement de la mise en œuvre de la </w:t>
      </w:r>
      <w:r>
        <w:rPr>
          <w:b/>
          <w:noProof/>
          <w:sz w:val="24"/>
        </w:rPr>
        <w:t>directive «sanction»</w:t>
      </w:r>
      <w:r>
        <w:rPr>
          <w:noProof/>
          <w:sz w:val="24"/>
        </w:rPr>
        <w:t> (</w:t>
      </w:r>
      <w:r>
        <w:rPr>
          <w:rStyle w:val="FootnoteReference"/>
          <w:noProof/>
          <w:sz w:val="24"/>
          <w:szCs w:val="24"/>
        </w:rPr>
        <w:footnoteReference w:id="61"/>
      </w:r>
      <w:r>
        <w:rPr>
          <w:noProof/>
          <w:sz w:val="24"/>
        </w:rPr>
        <w:t xml:space="preserve">) et, si nécessaire, proposera des modifications à apporter à cette directive pour accroître son efficacité. </w:t>
      </w:r>
    </w:p>
    <w:p w14:paraId="771F625D" w14:textId="3E02DCF4" w:rsidR="00531F31" w:rsidRPr="00B5212B" w:rsidRDefault="173B6475" w:rsidP="00A25229">
      <w:pPr>
        <w:spacing w:line="240" w:lineRule="auto"/>
        <w:rPr>
          <w:noProof/>
          <w:sz w:val="24"/>
          <w:szCs w:val="24"/>
        </w:rPr>
      </w:pPr>
      <w:r>
        <w:rPr>
          <w:noProof/>
          <w:sz w:val="24"/>
        </w:rPr>
        <w:t>Comme le souligne la feuille de route pour des emplois de qualité (</w:t>
      </w:r>
      <w:r>
        <w:rPr>
          <w:rStyle w:val="FootnoteReference"/>
          <w:noProof/>
          <w:sz w:val="24"/>
          <w:szCs w:val="24"/>
        </w:rPr>
        <w:footnoteReference w:id="62"/>
      </w:r>
      <w:r>
        <w:rPr>
          <w:noProof/>
          <w:sz w:val="24"/>
        </w:rPr>
        <w:t xml:space="preserve">), les travailleurs issus de pays tiers sont confrontés à l’exploitation, à des violations des règles en matière de sécurité et de santé et à des conditions de logement inadéquates. Les contrôles et les inspections doivent être renforcés afin de détecter et de sanctionner les employeurs imposant des conditions de travail abusives et de protéger les droits des travailleurs issus de pays tiers. Dans le cadre de la </w:t>
      </w:r>
      <w:r>
        <w:rPr>
          <w:b/>
          <w:noProof/>
          <w:sz w:val="24"/>
        </w:rPr>
        <w:t>révision du mandat de l’Autorité européenne du travail (AET)</w:t>
      </w:r>
      <w:r>
        <w:rPr>
          <w:noProof/>
          <w:sz w:val="24"/>
        </w:rPr>
        <w:t xml:space="preserve"> en 2026, la Commission examinera comment l’Autorité pourrait mieux lutter contre les abus liés aux conditions de travail des ressortissants de pays tiers. </w:t>
      </w:r>
    </w:p>
    <w:p w14:paraId="49CD3C5E" w14:textId="57BA3CFE" w:rsidR="000D0523" w:rsidRDefault="3F2FB671" w:rsidP="00A25229">
      <w:pPr>
        <w:spacing w:line="240" w:lineRule="auto"/>
        <w:rPr>
          <w:noProof/>
          <w:sz w:val="24"/>
          <w:szCs w:val="24"/>
        </w:rPr>
      </w:pPr>
      <w:r>
        <w:rPr>
          <w:noProof/>
          <w:sz w:val="24"/>
        </w:rPr>
        <w:t xml:space="preserve">Parallèlement, un meilleur </w:t>
      </w:r>
      <w:r>
        <w:rPr>
          <w:b/>
          <w:noProof/>
          <w:sz w:val="24"/>
        </w:rPr>
        <w:t>contrôle de l’application de la législation</w:t>
      </w:r>
      <w:r>
        <w:rPr>
          <w:noProof/>
          <w:sz w:val="24"/>
        </w:rPr>
        <w:t>, également avec le soutien d’un mandat renforcé de l’AET, devrait contribuer à faire en sorte que les dispositions du droit de l’Union visant à protéger les droits des travailleurs migrants, y compris la directive sur les travailleurs saisonniers (</w:t>
      </w:r>
      <w:r>
        <w:rPr>
          <w:rStyle w:val="FootnoteReference"/>
          <w:noProof/>
          <w:sz w:val="24"/>
          <w:szCs w:val="24"/>
        </w:rPr>
        <w:footnoteReference w:id="63"/>
      </w:r>
      <w:r>
        <w:rPr>
          <w:noProof/>
          <w:sz w:val="24"/>
        </w:rPr>
        <w:t>), la directive «sanction» (</w:t>
      </w:r>
      <w:r>
        <w:rPr>
          <w:rStyle w:val="FootnoteReference"/>
          <w:noProof/>
          <w:sz w:val="24"/>
          <w:szCs w:val="24"/>
        </w:rPr>
        <w:footnoteReference w:id="64"/>
      </w:r>
      <w:r>
        <w:rPr>
          <w:noProof/>
          <w:sz w:val="24"/>
        </w:rPr>
        <w:t>) et la directive révisée sur le permis unique (</w:t>
      </w:r>
      <w:r>
        <w:rPr>
          <w:rStyle w:val="FootnoteReference"/>
          <w:noProof/>
          <w:sz w:val="24"/>
          <w:szCs w:val="24"/>
        </w:rPr>
        <w:footnoteReference w:id="65"/>
      </w:r>
      <w:r>
        <w:rPr>
          <w:noProof/>
          <w:sz w:val="24"/>
        </w:rPr>
        <w:t xml:space="preserve">), soient correctement transposées et effectivement appliquées par les États membres. </w:t>
      </w:r>
    </w:p>
    <w:p w14:paraId="6AD7C43C" w14:textId="1FE2120C" w:rsidR="004A0E16" w:rsidRPr="00B5212B" w:rsidRDefault="004A0E16" w:rsidP="004A0E16">
      <w:pPr>
        <w:rPr>
          <w:b/>
          <w:bCs/>
          <w:i/>
          <w:iCs/>
          <w:noProof/>
          <w:sz w:val="24"/>
          <w:szCs w:val="24"/>
        </w:rPr>
      </w:pPr>
      <w:r>
        <w:rPr>
          <w:b/>
          <w:i/>
          <w:noProof/>
          <w:sz w:val="24"/>
        </w:rPr>
        <w:t>Améliorer l’intégration des ressortissants de pays tiers</w:t>
      </w:r>
    </w:p>
    <w:p w14:paraId="3C3EFCE7" w14:textId="3F716146" w:rsidR="00663A09" w:rsidRPr="00B5212B" w:rsidRDefault="004A0E16" w:rsidP="006C3214">
      <w:pPr>
        <w:spacing w:line="240" w:lineRule="auto"/>
        <w:rPr>
          <w:noProof/>
          <w:sz w:val="24"/>
          <w:szCs w:val="24"/>
        </w:rPr>
      </w:pPr>
      <w:r>
        <w:rPr>
          <w:noProof/>
          <w:sz w:val="24"/>
        </w:rPr>
        <w:t xml:space="preserve">L’intégration est à la fois un droit et un devoir. Il est dans l’intérêt de l’Union de veiller à ce que les migrants qui arrivent dans l’UE puissent contribuer rapidement et activement à la société qui les accueille (et qui devient aussi la leur), qu’ils aient fui un conflit, qu’ils soient arrivés en tant que travailleurs, qu’ils aient rejoint leur famille proche ou qu’ils soient arrivés par d’autres voies légales. Par conséquent, l’intégration est un domaine dans lequel il est très important d’adopter une </w:t>
      </w:r>
      <w:r>
        <w:rPr>
          <w:b/>
          <w:noProof/>
          <w:sz w:val="24"/>
        </w:rPr>
        <w:t>approche pangouvernementale</w:t>
      </w:r>
      <w:r>
        <w:rPr>
          <w:noProof/>
          <w:sz w:val="24"/>
        </w:rPr>
        <w:t xml:space="preserve"> au niveau national. Cela est essentiel non seulement à la cohésion sociale, mais aussi à la compétitivité et au dynamisme économique de l’Europe, afin de tirer pleinement parti de toutes les compétences et de tous les talents. Il est primordial que les migrants apprennent la langue de l’État membre d’accueil, comprennent la culture et l’organisation administrative, travaillent, paient des impôts et participent pleinement aux sociétés d’accueil fondées sur les valeurs européennes. Les communautés de la diaspora et les organisations dirigées par des migrants sont des acteurs importants pour soutenir le processus d’intégration, qui nécessite un engagement fort et volontaire de la part des migrants, ainsi que de la part des sociétés d’accueil. À cet égard, les migrants doivent se voir offrir une réelle possibilité d’intégration. Sur la base de l’approche globale et intersectorielle établie dans le plan d’action en faveur de l’intégration et de l’inclusion et de son examen à mi-parcours (</w:t>
      </w:r>
      <w:r>
        <w:rPr>
          <w:rStyle w:val="FootnoteReference"/>
          <w:noProof/>
          <w:sz w:val="24"/>
          <w:szCs w:val="24"/>
        </w:rPr>
        <w:footnoteReference w:id="66"/>
      </w:r>
      <w:r>
        <w:rPr>
          <w:noProof/>
          <w:sz w:val="24"/>
        </w:rPr>
        <w:t xml:space="preserve">), l’intégration devrait être encouragée à tous les niveaux de gouvernance et de la société. </w:t>
      </w:r>
    </w:p>
    <w:p w14:paraId="077D4C23" w14:textId="401A87E1" w:rsidR="00CD0239" w:rsidRDefault="3A5998BF">
      <w:pPr>
        <w:spacing w:line="240" w:lineRule="auto"/>
        <w:rPr>
          <w:noProof/>
          <w:sz w:val="24"/>
          <w:szCs w:val="24"/>
        </w:rPr>
      </w:pPr>
      <w:r>
        <w:rPr>
          <w:noProof/>
          <w:sz w:val="24"/>
        </w:rPr>
        <w:t xml:space="preserve">La Commission continuera de promouvoir une </w:t>
      </w:r>
      <w:r>
        <w:rPr>
          <w:b/>
          <w:noProof/>
          <w:sz w:val="24"/>
        </w:rPr>
        <w:t>approche globale pour conjuguer les efforts déployés dans l’ensemble des politiques de l’UE</w:t>
      </w:r>
      <w:r>
        <w:rPr>
          <w:noProof/>
          <w:sz w:val="24"/>
        </w:rPr>
        <w:t>, en particulier en matière de développement régional, par exemple avec le programme de l’UE pour les villes (</w:t>
      </w:r>
      <w:r>
        <w:rPr>
          <w:rStyle w:val="FootnoteReference"/>
          <w:noProof/>
          <w:sz w:val="24"/>
          <w:szCs w:val="24"/>
        </w:rPr>
        <w:footnoteReference w:id="67"/>
      </w:r>
      <w:r>
        <w:rPr>
          <w:noProof/>
          <w:sz w:val="24"/>
        </w:rPr>
        <w:t>), le partenariat du programme urbain sur l’inclusion des migrants et des réfugiés (</w:t>
      </w:r>
      <w:r>
        <w:rPr>
          <w:rStyle w:val="FootnoteReference"/>
          <w:noProof/>
          <w:sz w:val="24"/>
          <w:szCs w:val="24"/>
        </w:rPr>
        <w:footnoteReference w:id="68"/>
      </w:r>
      <w:r>
        <w:rPr>
          <w:noProof/>
          <w:sz w:val="24"/>
        </w:rPr>
        <w:t>) et la prochaine mise à jour du plan d’action rural (</w:t>
      </w:r>
      <w:r>
        <w:rPr>
          <w:rStyle w:val="FootnoteReference"/>
          <w:noProof/>
          <w:sz w:val="24"/>
          <w:szCs w:val="24"/>
        </w:rPr>
        <w:footnoteReference w:id="69"/>
      </w:r>
      <w:r>
        <w:rPr>
          <w:noProof/>
          <w:sz w:val="24"/>
        </w:rPr>
        <w:t xml:space="preserve">). En ce qui concerne l’emploi et l’intégration sur le marché du travail, les ressortissants de pays tiers continuent de contribuer à stimuler la croissance dans l’UE. Or leur potentiel n’est toujours pas exploité pleinement sur le marché du travail de l’Union. En conséquence, il est essentiel d’associer davantage les services de l’emploi, les partenaires économiques et sociaux et d’autres acteurs du marché du travail aux actions menées. Pour ce faire, un dialogue et une coopération continus avec ces différents acteurs soutiendront tout effort substantiel visant à aligner plus étroitement les politiques en matière de migration et les politiques du marché du travail ainsi qu’à renforcer l’inclusion des migrants sur le marché du travail. </w:t>
      </w:r>
    </w:p>
    <w:p w14:paraId="6D7981A5" w14:textId="6ABCB9CD" w:rsidR="00463C7E" w:rsidRPr="00B5212B" w:rsidRDefault="00CD0239" w:rsidP="00463C7E">
      <w:pPr>
        <w:spacing w:line="240" w:lineRule="auto"/>
        <w:rPr>
          <w:noProof/>
          <w:sz w:val="24"/>
          <w:szCs w:val="24"/>
        </w:rPr>
      </w:pPr>
      <w:r>
        <w:rPr>
          <w:noProof/>
          <w:sz w:val="24"/>
        </w:rPr>
        <w:t xml:space="preserve">Cette intégration des actions visant à soutenir l’intégration et l’inclusion des ressortissants de pays tiers devrait s’inscrire davantage dans une approche plus large et à plus long terme, qui contribue également à gérer de manière adéquate les systèmes nationaux en matière d’éducation, de santé et de logement. Les </w:t>
      </w:r>
      <w:r>
        <w:rPr>
          <w:b/>
          <w:noProof/>
          <w:sz w:val="24"/>
        </w:rPr>
        <w:t>fonds de l’Union</w:t>
      </w:r>
      <w:r>
        <w:rPr>
          <w:noProof/>
          <w:sz w:val="24"/>
        </w:rPr>
        <w:t xml:space="preserve"> devraient soutenir la mise en œuvre de l’approche pangouvernementale dans les États membres en matière d’intégration, en offrant des possibilités de financement aux collectivités locales et régionales, aux organisations de la société civile et aux organisations dirigées par des migrants. Dans l’ensemble, cette approche à plus long terme de l’intégration des ressortissants de pays tiers devrait s’appuyer sur les échanges qui ont lieu au sein des différents réseaux liés à l’intégration (</w:t>
      </w:r>
      <w:r>
        <w:rPr>
          <w:rStyle w:val="FootnoteReference"/>
          <w:noProof/>
          <w:sz w:val="24"/>
          <w:szCs w:val="24"/>
        </w:rPr>
        <w:footnoteReference w:id="70"/>
      </w:r>
      <w:r>
        <w:rPr>
          <w:noProof/>
          <w:sz w:val="24"/>
        </w:rPr>
        <w:t>), et les travaux se poursuivent dans le cadre des stratégies pertinentes (</w:t>
      </w:r>
      <w:r>
        <w:rPr>
          <w:rStyle w:val="FootnoteReference"/>
          <w:noProof/>
          <w:sz w:val="24"/>
          <w:szCs w:val="24"/>
        </w:rPr>
        <w:footnoteReference w:id="71"/>
      </w:r>
      <w:r>
        <w:rPr>
          <w:noProof/>
          <w:sz w:val="24"/>
        </w:rPr>
        <w:t>).</w:t>
      </w:r>
    </w:p>
    <w:p w14:paraId="656D4120" w14:textId="78B68935" w:rsidR="00DB4EE4" w:rsidRPr="0092730C" w:rsidRDefault="00DB4EE4" w:rsidP="00B36B0F">
      <w:pPr>
        <w:pStyle w:val="Heading1"/>
        <w:spacing w:before="0" w:line="240" w:lineRule="auto"/>
        <w:rPr>
          <w:noProof/>
        </w:rPr>
      </w:pPr>
      <w:r>
        <w:rPr>
          <w:noProof/>
        </w:rPr>
        <w:t>Utilisation stratégique des ressources financières et renforcement du soutien opérationnel</w:t>
      </w:r>
    </w:p>
    <w:p w14:paraId="03CFE005" w14:textId="4430F813" w:rsidR="00BC6A1D" w:rsidRDefault="00DB2B52" w:rsidP="00DB4EE4">
      <w:pPr>
        <w:spacing w:line="240" w:lineRule="auto"/>
        <w:rPr>
          <w:rFonts w:eastAsia="EC Square Sans Pro"/>
          <w:noProof/>
          <w:sz w:val="24"/>
          <w:szCs w:val="24"/>
        </w:rPr>
      </w:pPr>
      <w:r>
        <w:rPr>
          <w:noProof/>
          <w:sz w:val="24"/>
        </w:rPr>
        <w:t xml:space="preserve">La proposition de la Commission relative au </w:t>
      </w:r>
      <w:r>
        <w:rPr>
          <w:b/>
          <w:noProof/>
          <w:sz w:val="24"/>
        </w:rPr>
        <w:t>cadre financier pluriannuel</w:t>
      </w:r>
      <w:r>
        <w:rPr>
          <w:noProof/>
          <w:sz w:val="24"/>
        </w:rPr>
        <w:t xml:space="preserve"> (CFP) 2028-2034 prévoit une augmentation importante des ressources consacrées à la migration et à l’asile ainsi qu’à la coopération internationale, tout en renforçant l’effet de levier de l’Union en ce qui concerne la coopération en matière de migration. </w:t>
      </w:r>
    </w:p>
    <w:p w14:paraId="602349FD" w14:textId="00B60817" w:rsidR="00D4564A" w:rsidRDefault="00BC6A1D" w:rsidP="00DB4EE4">
      <w:pPr>
        <w:spacing w:line="240" w:lineRule="auto"/>
        <w:rPr>
          <w:rFonts w:eastAsia="EC Square Sans Pro"/>
          <w:noProof/>
          <w:sz w:val="24"/>
          <w:szCs w:val="24"/>
        </w:rPr>
      </w:pPr>
      <w:r>
        <w:rPr>
          <w:noProof/>
          <w:sz w:val="24"/>
        </w:rPr>
        <w:t xml:space="preserve">La proposition relative au CFP vise à fournir les </w:t>
      </w:r>
      <w:r>
        <w:rPr>
          <w:b/>
          <w:noProof/>
          <w:sz w:val="24"/>
        </w:rPr>
        <w:t>ressources financières nécessaires</w:t>
      </w:r>
      <w:r>
        <w:rPr>
          <w:noProof/>
          <w:sz w:val="24"/>
        </w:rPr>
        <w:t xml:space="preserve"> pour soutenir également les priorités énoncées dans la présente stratégie. Au total, il est proposé d’allouer un montant d’au moins 81 milliards d’EUR aux politiques en matière d’affaires intérieures, afin de soutenir la gestion de la migration et de l’asile, d’améliorer la sécurité intérieure ainsi que de renforcer les frontières et la politique des visas. </w:t>
      </w:r>
    </w:p>
    <w:p w14:paraId="218F499E" w14:textId="53C27045" w:rsidR="00D4564A" w:rsidRDefault="00D4564A" w:rsidP="00D4564A">
      <w:pPr>
        <w:spacing w:line="240" w:lineRule="auto"/>
        <w:rPr>
          <w:rFonts w:eastAsia="EC Square Sans Pro"/>
          <w:noProof/>
          <w:sz w:val="24"/>
          <w:szCs w:val="24"/>
        </w:rPr>
      </w:pPr>
      <w:r>
        <w:rPr>
          <w:noProof/>
          <w:sz w:val="24"/>
        </w:rPr>
        <w:t xml:space="preserve">Pour </w:t>
      </w:r>
      <w:r>
        <w:rPr>
          <w:b/>
          <w:noProof/>
          <w:sz w:val="24"/>
        </w:rPr>
        <w:t>contrôler et gérer</w:t>
      </w:r>
      <w:r>
        <w:rPr>
          <w:noProof/>
          <w:sz w:val="24"/>
        </w:rPr>
        <w:t xml:space="preserve"> efficacement </w:t>
      </w:r>
      <w:r>
        <w:rPr>
          <w:b/>
          <w:noProof/>
          <w:sz w:val="24"/>
        </w:rPr>
        <w:t>les frontières extérieures</w:t>
      </w:r>
      <w:r>
        <w:rPr>
          <w:noProof/>
          <w:sz w:val="24"/>
        </w:rPr>
        <w:t xml:space="preserve"> et garantir la sécurité, la proposition relative au soutien de l’Union en faveur de l’espace Schengen, de la gestion européenne intégrée des frontières et de la politique commune en matière de visas fixe l’enveloppe financière à 15,4 milliards d’EUR. L’instrument de soutien financier à la gestion des frontières et à la politique des visas (IGFV) pour la période de programmation 2021-2027 finance actuellement à hauteur de 5,97 milliards d’EUR au total le soutien à la gestion européenne intégrée des frontières dans les États membres (</w:t>
      </w:r>
      <w:r>
        <w:rPr>
          <w:rStyle w:val="FootnoteReference"/>
          <w:rFonts w:eastAsia="EC Square Sans Pro"/>
          <w:noProof/>
          <w:sz w:val="24"/>
          <w:szCs w:val="24"/>
        </w:rPr>
        <w:footnoteReference w:id="72"/>
      </w:r>
      <w:r>
        <w:rPr>
          <w:noProof/>
          <w:sz w:val="24"/>
        </w:rPr>
        <w:t xml:space="preserve">). L’augmentation significative des ressources permettrait de soutenir les priorités énoncées dans la présente stratégie, notamment la numérisation de la gestion des frontières, l’intégration de nouvelles solutions technologiques, ainsi que les équipements et les infrastructures. </w:t>
      </w:r>
    </w:p>
    <w:p w14:paraId="44A761C5" w14:textId="00D5AAD2" w:rsidR="000B715D" w:rsidRPr="000B715D" w:rsidRDefault="1BC6C2A8">
      <w:pPr>
        <w:spacing w:line="240" w:lineRule="auto"/>
        <w:rPr>
          <w:rFonts w:eastAsia="EC Square Sans Pro"/>
          <w:noProof/>
          <w:sz w:val="24"/>
          <w:szCs w:val="24"/>
        </w:rPr>
      </w:pPr>
      <w:r>
        <w:rPr>
          <w:noProof/>
          <w:sz w:val="24"/>
        </w:rPr>
        <w:t xml:space="preserve">En ce qui concerne le soutien de l’Union en faveur de </w:t>
      </w:r>
      <w:r>
        <w:rPr>
          <w:b/>
          <w:noProof/>
          <w:sz w:val="24"/>
        </w:rPr>
        <w:t>l’asile, de la migration et de l’intégration</w:t>
      </w:r>
      <w:r>
        <w:rPr>
          <w:noProof/>
          <w:sz w:val="24"/>
        </w:rPr>
        <w:t>, la Commission a proposé un montant d’environ 12 milliards d’EUR, contre quelque 7,84 milliards d’EUR actuellement à la disposition des États membres pour la période de programmation 2021-2027 (</w:t>
      </w:r>
      <w:r>
        <w:rPr>
          <w:rStyle w:val="FootnoteReference"/>
          <w:rFonts w:eastAsia="EC Square Sans Pro"/>
          <w:noProof/>
          <w:sz w:val="24"/>
          <w:szCs w:val="24"/>
        </w:rPr>
        <w:footnoteReference w:id="73"/>
      </w:r>
      <w:r>
        <w:rPr>
          <w:noProof/>
          <w:sz w:val="24"/>
        </w:rPr>
        <w:t>) pour le Fonds «Asile, migration et intégration», et près de 3 milliards d’EUR pour le Fonds européen de développement régional en vue de l’intégration des communautés marginalisées, y compris des personnes issues de l’immigration. Ce budget vise à favoriser la solidarité et le partage équitable des responsabilités entre les États membres et à soutenir, en particulier, un traitement plus rapide des demandes de protection internationale, y compris aux frontières extérieures, des retours plus efficaces, ainsi que l’attraction des talents et l’intégration précoce des ressortissants de pays tiers. Dans le cadre des plans de partenariat national et régional, le Fonds social européen contribuera à soutenir l’inclusion sociale et l’intégration socio-économique des ressortissants de pays tiers. </w:t>
      </w:r>
    </w:p>
    <w:p w14:paraId="462DC524" w14:textId="0A2FF485" w:rsidR="00D4564A" w:rsidRPr="00B5212B" w:rsidRDefault="009950FF" w:rsidP="00D4564A">
      <w:pPr>
        <w:spacing w:line="240" w:lineRule="auto"/>
        <w:rPr>
          <w:rFonts w:eastAsia="EC Square Sans Pro"/>
          <w:noProof/>
          <w:sz w:val="24"/>
          <w:szCs w:val="24"/>
        </w:rPr>
      </w:pPr>
      <w:r>
        <w:rPr>
          <w:noProof/>
          <w:sz w:val="24"/>
        </w:rPr>
        <w:t xml:space="preserve">Pour le prochain CFP, le soutien aux États membres sera mis en œuvre au moyen d’une </w:t>
      </w:r>
      <w:r>
        <w:rPr>
          <w:b/>
          <w:noProof/>
          <w:sz w:val="24"/>
        </w:rPr>
        <w:t>approche fondée sur les performances</w:t>
      </w:r>
      <w:r>
        <w:rPr>
          <w:noProof/>
          <w:sz w:val="24"/>
        </w:rPr>
        <w:t xml:space="preserve"> dans le cadre des plans de partenariat national et régional. Lors de l’élaboration de leur plan de partenariat national et régional, les États membres devraient veiller à ce que le financement réponde aux défis stratégiques recensés, notamment dans le domaine de la gestion de l’asile et de la migration, du retour et de la mobilité de la main-d’œuvre.</w:t>
      </w:r>
    </w:p>
    <w:p w14:paraId="0A462899" w14:textId="3B7346E6" w:rsidR="008806BD" w:rsidRDefault="51C59E54" w:rsidP="000C7B4E">
      <w:pPr>
        <w:spacing w:line="240" w:lineRule="auto"/>
        <w:rPr>
          <w:rFonts w:eastAsia="EC Square Sans Pro"/>
          <w:noProof/>
          <w:sz w:val="24"/>
          <w:szCs w:val="24"/>
        </w:rPr>
      </w:pPr>
      <w:r>
        <w:rPr>
          <w:noProof/>
          <w:sz w:val="24"/>
        </w:rPr>
        <w:t xml:space="preserve">En outre, la proposition relative au CFP 2028-2034 renforce la cohérence, l’homogénéité et la complémentarité entre les aspects de politique intérieure et de politique extérieure. La proposition de </w:t>
      </w:r>
      <w:r>
        <w:rPr>
          <w:b/>
          <w:noProof/>
          <w:sz w:val="24"/>
        </w:rPr>
        <w:t>règlement «Europe dans le monde»</w:t>
      </w:r>
      <w:r>
        <w:rPr>
          <w:noProof/>
          <w:sz w:val="24"/>
        </w:rPr>
        <w:t> (</w:t>
      </w:r>
      <w:r>
        <w:rPr>
          <w:rStyle w:val="FootnoteReference"/>
          <w:rFonts w:eastAsia="EC Square Sans Pro"/>
          <w:noProof/>
          <w:sz w:val="24"/>
          <w:szCs w:val="24"/>
        </w:rPr>
        <w:footnoteReference w:id="74"/>
      </w:r>
      <w:r>
        <w:rPr>
          <w:noProof/>
          <w:sz w:val="24"/>
        </w:rPr>
        <w:t>), pour lequel une enveloppe de 200 milliards d’EUR est proposée, a été conçue pour correspondre à une approche de l’élargissement et des partenariats internationaux plus stratégique, davantage axée sur les valeurs et plus efficace, conformément aux intérêts stratégiques de l’UE, y compris ses objectifs en matière de migration. Cette approche plus stratégique de l’utilisation des fonds devrait aussi se refléter dans les modalités de programmation et dans la mise en œuvre de cet instrument afin de renforcer la cohérence et l’efficacité. Par ailleurs, la proposition de la Commission renforce l’approche stratégique de l’octroi de financements afin d’encourager une coopération accrue en matière de migration et de réadmission.</w:t>
      </w:r>
    </w:p>
    <w:p w14:paraId="27A8A84A" w14:textId="477262D4" w:rsidR="0006025A" w:rsidRPr="002D287F" w:rsidRDefault="00A37FF8" w:rsidP="000C7B4E">
      <w:pPr>
        <w:spacing w:line="240" w:lineRule="auto"/>
        <w:rPr>
          <w:noProof/>
          <w:sz w:val="24"/>
          <w:szCs w:val="24"/>
        </w:rPr>
      </w:pPr>
      <w:r>
        <w:rPr>
          <w:noProof/>
          <w:sz w:val="24"/>
        </w:rPr>
        <w:t xml:space="preserve">Les </w:t>
      </w:r>
      <w:r>
        <w:rPr>
          <w:b/>
          <w:noProof/>
          <w:sz w:val="24"/>
        </w:rPr>
        <w:t>agences</w:t>
      </w:r>
      <w:r>
        <w:rPr>
          <w:noProof/>
          <w:sz w:val="24"/>
        </w:rPr>
        <w:t xml:space="preserve"> compétentes </w:t>
      </w:r>
      <w:r>
        <w:rPr>
          <w:b/>
          <w:noProof/>
          <w:sz w:val="24"/>
        </w:rPr>
        <w:t>de l’UE</w:t>
      </w:r>
      <w:r>
        <w:rPr>
          <w:noProof/>
          <w:sz w:val="24"/>
        </w:rPr>
        <w:t>, notamment Frontex, l’AUEA, l’eu-LISA, Europol, Eurojust et la FRA, fournissent une assistance aux États membres. Cette assistance comprend un soutien opérationnel et judiciaire, des orientations, des formations ou la gestion opérationnelle des systèmes d’information à grande échelle. Ce volet est complété par un soutien opérationnel direct aux États membres afin de développer et de renforcer leurs capacités nationales. Si les agences apportent déjà un soutien essentiel aux États membres en matière de gestion de la migration, les cinq prochaines années seront l’occasion de renforcer les outils à leur disposition et le soutien qu’elles apportent aux États membres sur demande, notamment en vue de la mise en œuvre du pacte sur la migration et l’asile.</w:t>
      </w:r>
    </w:p>
    <w:p w14:paraId="48D0F03F" w14:textId="7186F7B8" w:rsidR="005C508A" w:rsidRDefault="005C508A" w:rsidP="005C508A">
      <w:pPr>
        <w:spacing w:line="240" w:lineRule="auto"/>
        <w:rPr>
          <w:rFonts w:eastAsia="EC Square Sans Pro"/>
          <w:noProof/>
          <w:sz w:val="24"/>
          <w:szCs w:val="24"/>
        </w:rPr>
      </w:pPr>
      <w:r>
        <w:rPr>
          <w:noProof/>
          <w:sz w:val="24"/>
        </w:rPr>
        <w:t xml:space="preserve">En ce qui concerne </w:t>
      </w:r>
      <w:r>
        <w:rPr>
          <w:b/>
          <w:noProof/>
          <w:sz w:val="24"/>
        </w:rPr>
        <w:t>Frontex</w:t>
      </w:r>
      <w:r>
        <w:rPr>
          <w:noProof/>
          <w:sz w:val="24"/>
        </w:rPr>
        <w:t xml:space="preserve">, la Commission prévoit de présenter en 2026, sur la base d’une analyse d’impact et à la suite de consultations auprès des États membres et d’autres parties prenantes, une révision de son règlement fondateur. Lors de l’élaboration de cette proposition, la Commission étudiera la manière de compléter au mieux les ressources des États membres, sur le plan non seulement de la quantité, mais aussi de la qualité des tâches, afin de contribuer au renforcement des frontières communes conformément à une approche de gestion intégrée des frontières. Cette proposition pourrait aussi renforcer les règles relatives aux tâches et aux déploiements de Frontex, à la coopération avec les pays tiers ainsi qu’à la structure et à la gouvernance de l’agence. </w:t>
      </w:r>
    </w:p>
    <w:p w14:paraId="62CA823D" w14:textId="393F076F" w:rsidR="00342268" w:rsidRDefault="00342268" w:rsidP="00342268">
      <w:pPr>
        <w:spacing w:line="240" w:lineRule="auto"/>
        <w:rPr>
          <w:rFonts w:eastAsia="EC Square Sans Pro"/>
          <w:noProof/>
          <w:sz w:val="24"/>
          <w:szCs w:val="24"/>
        </w:rPr>
      </w:pPr>
      <w:r>
        <w:rPr>
          <w:noProof/>
          <w:sz w:val="24"/>
        </w:rPr>
        <w:t>L’</w:t>
      </w:r>
      <w:r>
        <w:rPr>
          <w:b/>
          <w:noProof/>
          <w:sz w:val="24"/>
        </w:rPr>
        <w:t>AUEA</w:t>
      </w:r>
      <w:r>
        <w:rPr>
          <w:noProof/>
          <w:sz w:val="24"/>
        </w:rPr>
        <w:t xml:space="preserve"> continuera de jouer un rôle important pour soutenir les États membres dans la mise en œuvre du pacte, notamment en favorisant la convergence des pratiques en matière d’asile et en fournissant un soutien opérationnel et technique. La mise en œuvre du mécanisme de surveillance dans le courant de l’année 2026 constituera également une avancée importante pour soutenir l’application opérationnelle et technique des règles en matière d’asile par les États membres. Afin de veiller à ce que l’agence soit bien équipée pour accomplir ses tâches, la Commission examinera, à la suite de l’évaluation du mandat de l’AUEA, la nécessité éventuelle de modifier son règlement fondateur, notamment à l’appui des politiques extérieures. </w:t>
      </w:r>
    </w:p>
    <w:p w14:paraId="1161D81E" w14:textId="1D3CFA3F" w:rsidR="00DE06D9" w:rsidRDefault="00DE06D9" w:rsidP="15B99718">
      <w:pPr>
        <w:spacing w:line="240" w:lineRule="auto"/>
        <w:rPr>
          <w:rFonts w:eastAsia="EC Square Sans Pro"/>
          <w:noProof/>
          <w:sz w:val="24"/>
          <w:szCs w:val="24"/>
        </w:rPr>
      </w:pPr>
      <w:r>
        <w:rPr>
          <w:noProof/>
          <w:sz w:val="24"/>
        </w:rPr>
        <w:t>Pour mener à bien cette transformation numérique, l’</w:t>
      </w:r>
      <w:r>
        <w:rPr>
          <w:b/>
          <w:noProof/>
          <w:sz w:val="24"/>
        </w:rPr>
        <w:t>eu-LISA</w:t>
      </w:r>
      <w:r>
        <w:rPr>
          <w:noProof/>
          <w:sz w:val="24"/>
        </w:rPr>
        <w:t>, l’agence de l’UE pour la gestion des systèmes d’information à grande échelle, continuera de jouer un rôle central. La proposition relative au CFP prévoit donc une augmentation significative de ses ressources afin de donner à l’agence les moyens nécessaires au développement et à la mise en service de toutes les composantes des systèmes d’information à grande échelle relevant de sa compétence.</w:t>
      </w:r>
    </w:p>
    <w:p w14:paraId="1CC73064" w14:textId="6C12D296" w:rsidR="00205022" w:rsidRDefault="005C508A" w:rsidP="15B99718">
      <w:pPr>
        <w:spacing w:line="240" w:lineRule="auto"/>
        <w:rPr>
          <w:rFonts w:eastAsia="EC Square Sans Pro"/>
          <w:noProof/>
          <w:sz w:val="24"/>
          <w:szCs w:val="24"/>
        </w:rPr>
      </w:pPr>
      <w:r>
        <w:rPr>
          <w:noProof/>
          <w:sz w:val="24"/>
        </w:rPr>
        <w:t>La révision du mandat d’</w:t>
      </w:r>
      <w:r>
        <w:rPr>
          <w:b/>
          <w:noProof/>
          <w:sz w:val="24"/>
        </w:rPr>
        <w:t>Europol</w:t>
      </w:r>
      <w:r>
        <w:rPr>
          <w:noProof/>
          <w:sz w:val="24"/>
        </w:rPr>
        <w:t xml:space="preserve"> en 2026, sur la base d’une évaluation et d’une analyse d’impact ainsi que de consultations auprès des États membres et des parties prenantes concernées, permettra aussi d’examiner la manière de renforcer les capacités de soutien opérationnel, analytique et technologique de l’agence aux fins d’une coopération opérationnelle efficace tant en interne qu’avec les pays partenaires. Avec l’adoption du règlement Europol modifié, créant le Centre européen chargé de lutter contre le trafic de migrants, Europol jouera un rôle encore plus important dans l’identification et la perturbation des réseaux criminels à l’origine du trafic de migrants.</w:t>
      </w:r>
    </w:p>
    <w:p w14:paraId="79821249" w14:textId="1C4EEB30" w:rsidR="00205022" w:rsidRPr="008D7DEE" w:rsidRDefault="63155DCA" w:rsidP="008D7DEE">
      <w:pPr>
        <w:spacing w:line="240" w:lineRule="auto"/>
        <w:rPr>
          <w:rFonts w:eastAsia="EC Square Sans Pro"/>
          <w:noProof/>
          <w:sz w:val="24"/>
          <w:szCs w:val="24"/>
        </w:rPr>
      </w:pPr>
      <w:r>
        <w:rPr>
          <w:b/>
          <w:noProof/>
          <w:sz w:val="24"/>
        </w:rPr>
        <w:t>Eurojust</w:t>
      </w:r>
      <w:r>
        <w:rPr>
          <w:noProof/>
          <w:sz w:val="24"/>
        </w:rPr>
        <w:t xml:space="preserve"> renforce actuellement sa capacité à coopérer avec les pays et territoires du monde entier afin de mieux lutter contre les organisations criminelles impliquées dans le trafic de migrants et d’autres formes de criminalité. Les accords de coopération judiciaire en matière pénale signés en 2025 avec le Liban et l’Égypte constituent un exemple à suivre avec d’autres pays partenaires.</w:t>
      </w:r>
    </w:p>
    <w:p w14:paraId="1A03D8A9" w14:textId="4689FF20" w:rsidR="00621246" w:rsidRPr="00DD3098" w:rsidRDefault="0006025A" w:rsidP="3F0769EC">
      <w:pPr>
        <w:spacing w:line="240" w:lineRule="auto"/>
        <w:rPr>
          <w:rFonts w:eastAsia="EC Square Sans Pro"/>
          <w:noProof/>
          <w:sz w:val="24"/>
          <w:szCs w:val="24"/>
        </w:rPr>
      </w:pPr>
      <w:r>
        <w:rPr>
          <w:noProof/>
          <w:sz w:val="24"/>
        </w:rPr>
        <w:t xml:space="preserve">En outre, afin de tirer le meilleur parti de l’approche globale de la diplomatie migratoire, le </w:t>
      </w:r>
      <w:r>
        <w:rPr>
          <w:b/>
          <w:noProof/>
          <w:sz w:val="24"/>
        </w:rPr>
        <w:t>soutien opérationnel que les agences de l’UE</w:t>
      </w:r>
      <w:r>
        <w:rPr>
          <w:noProof/>
          <w:sz w:val="24"/>
        </w:rPr>
        <w:t xml:space="preserve"> peuvent proposer aux pays partenaires, conformément à leurs mandats actuels ou futurs, devrait être utilisé de manière plus stratégique. Afin d’offrir un ensemble complet de mesures de soutien aux pays partenaires et de garantir la cohésion de l’engagement de l’Union, les agences de l’UE, en étroite coopération avec la Commission, devraient mieux coordonner leurs actions de sensibilisation auprès des pays partenaires ainsi que les accords et arrangements de travail connexes. La promotion et le renforcement de la coopération opérationnelle des agences de l’UE avec les autorités nationales compétentes devraient être intégrés dans les actions opérationnelles et les échanges dans le cadre de la diplomatie migratoire de l’UE. </w:t>
      </w:r>
    </w:p>
    <w:p w14:paraId="4C851D09" w14:textId="3F370565" w:rsidR="00A7291D" w:rsidRPr="00B5212B" w:rsidRDefault="00677697" w:rsidP="00A7291D">
      <w:pPr>
        <w:pStyle w:val="Heading1"/>
        <w:spacing w:before="0" w:line="240" w:lineRule="auto"/>
        <w:rPr>
          <w:noProof/>
        </w:rPr>
      </w:pPr>
      <w:r>
        <w:rPr>
          <w:noProof/>
        </w:rPr>
        <w:t>Conclusion</w:t>
      </w:r>
    </w:p>
    <w:bookmarkEnd w:id="5"/>
    <w:p w14:paraId="0C73705C" w14:textId="4471F0DF" w:rsidR="00E11493" w:rsidRDefault="00DD0884" w:rsidP="00DD3098">
      <w:pPr>
        <w:spacing w:line="240" w:lineRule="auto"/>
        <w:rPr>
          <w:noProof/>
          <w:sz w:val="24"/>
          <w:szCs w:val="24"/>
        </w:rPr>
      </w:pPr>
      <w:r>
        <w:rPr>
          <w:noProof/>
          <w:sz w:val="24"/>
        </w:rPr>
        <w:t xml:space="preserve">Cette première stratégie européenne de gestion de l’asile et de la migration réaffirme la détermination de l’Union à élaborer et à mettre en place un cadre en matière de migration qui soit efficace, fondé sur les droits, équitable et adaptable, et qui réponde aux attentes des citoyens quant à une politique bien gérée et à l’épreuve du temps. Cette stratégie promeut une Union européenne résiliente et qui s’affirme sur la scène internationale, et elle pourra être adaptée en fonction de l’évolution de la situation sur notre continent et au-delà. Elle sert de boussole à l’action de l’UE, est assortie d’objectifs clairs et de priorités d’action et utilise de manière stratégique les ressources disponibles et le soutien opérationnel. </w:t>
      </w:r>
    </w:p>
    <w:p w14:paraId="032D4661" w14:textId="0BB30857" w:rsidR="00E622ED" w:rsidRPr="009C6A48" w:rsidRDefault="492C33A3" w:rsidP="49BA89CF">
      <w:pPr>
        <w:spacing w:line="240" w:lineRule="auto"/>
        <w:rPr>
          <w:noProof/>
          <w:sz w:val="24"/>
          <w:szCs w:val="24"/>
        </w:rPr>
      </w:pPr>
      <w:r>
        <w:rPr>
          <w:noProof/>
          <w:sz w:val="24"/>
        </w:rPr>
        <w:t xml:space="preserve">Une politique en matière de migration et d’asile qui soit équitable, ferme et fidèle aux valeurs européennes est une responsabilité partagée. La mise en œuvre de la présente stratégie nécessitera un engagement politique et une coopération étroite entre le Parlement européen et le Conseil, les États membres, les agences de l’UE, les partenaires internationaux et les autres parties prenantes concernées. La Commission compte sur le soutien et la bonne coopération de l’ensemble des acteurs pour réaliser les objectifs de la présente stratégie: prévenir la migration irrégulière et les pertes humaines lors de voyages dangereux, protéger les personnes qui fuient la guerre et les persécutions et encourager les talents à venir dans l’UE afin de stimuler la compétitivité de son économie. </w:t>
      </w:r>
    </w:p>
    <w:sectPr w:rsidR="00E622ED" w:rsidRPr="009C6A48" w:rsidSect="006049C0">
      <w:headerReference w:type="even" r:id="rId23"/>
      <w:headerReference w:type="default" r:id="rId24"/>
      <w:footerReference w:type="even" r:id="rId25"/>
      <w:footerReference w:type="default" r:id="rId26"/>
      <w:headerReference w:type="first" r:id="rId27"/>
      <w:footerReference w:type="first" r:id="rId28"/>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A7031A" w14:textId="77777777" w:rsidR="006658D5" w:rsidRDefault="006658D5">
      <w:pPr>
        <w:spacing w:after="0" w:line="240" w:lineRule="auto"/>
      </w:pPr>
      <w:r>
        <w:separator/>
      </w:r>
    </w:p>
  </w:endnote>
  <w:endnote w:type="continuationSeparator" w:id="0">
    <w:p w14:paraId="723EB2F1" w14:textId="77777777" w:rsidR="006658D5" w:rsidRDefault="006658D5">
      <w:pPr>
        <w:spacing w:after="0" w:line="240" w:lineRule="auto"/>
      </w:pPr>
      <w:r>
        <w:continuationSeparator/>
      </w:r>
    </w:p>
  </w:endnote>
  <w:endnote w:type="continuationNotice" w:id="1">
    <w:p w14:paraId="0E7205A1" w14:textId="77777777" w:rsidR="006658D5" w:rsidRDefault="006658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EC Square Sans Pro">
    <w:altName w:val="Calibri"/>
    <w:panose1 w:val="00000000000000000000"/>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CCA48" w14:textId="6AA78246" w:rsidR="00802821" w:rsidRPr="00802821" w:rsidRDefault="00802821" w:rsidP="00802821">
    <w:pPr>
      <w:pStyle w:val="FooterCoverPage"/>
      <w:rPr>
        <w:rFonts w:ascii="Arial" w:hAnsi="Arial" w:cs="Arial"/>
        <w:b/>
        <w:sz w:val="48"/>
      </w:rPr>
    </w:pPr>
    <w:r w:rsidRPr="00802821">
      <w:rPr>
        <w:rFonts w:ascii="Arial" w:hAnsi="Arial" w:cs="Arial"/>
        <w:b/>
        <w:sz w:val="48"/>
      </w:rPr>
      <w:t>FR</w:t>
    </w:r>
    <w:r w:rsidRPr="00802821">
      <w:rPr>
        <w:rFonts w:ascii="Arial" w:hAnsi="Arial" w:cs="Arial"/>
        <w:b/>
        <w:sz w:val="48"/>
      </w:rPr>
      <w:tab/>
    </w:r>
    <w:r w:rsidRPr="00802821">
      <w:rPr>
        <w:rFonts w:ascii="Arial" w:hAnsi="Arial" w:cs="Arial"/>
        <w:b/>
        <w:sz w:val="48"/>
      </w:rPr>
      <w:tab/>
    </w:r>
    <w:r w:rsidRPr="00802821">
      <w:tab/>
    </w:r>
    <w:r w:rsidRPr="0080282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57A11" w14:textId="21145251" w:rsidR="00802821" w:rsidRPr="00802821" w:rsidRDefault="00802821" w:rsidP="00802821">
    <w:pPr>
      <w:pStyle w:val="FooterCoverPage"/>
      <w:rPr>
        <w:rFonts w:ascii="Arial" w:hAnsi="Arial" w:cs="Arial"/>
        <w:b/>
        <w:sz w:val="48"/>
      </w:rPr>
    </w:pPr>
    <w:r w:rsidRPr="00802821">
      <w:rPr>
        <w:rFonts w:ascii="Arial" w:hAnsi="Arial" w:cs="Arial"/>
        <w:b/>
        <w:sz w:val="48"/>
      </w:rPr>
      <w:t>FR</w:t>
    </w:r>
    <w:r w:rsidRPr="00802821">
      <w:rPr>
        <w:rFonts w:ascii="Arial" w:hAnsi="Arial" w:cs="Arial"/>
        <w:b/>
        <w:sz w:val="48"/>
      </w:rPr>
      <w:tab/>
    </w:r>
    <w:r w:rsidRPr="00802821">
      <w:rPr>
        <w:rFonts w:ascii="Arial" w:hAnsi="Arial" w:cs="Arial"/>
        <w:b/>
        <w:sz w:val="48"/>
      </w:rPr>
      <w:tab/>
    </w:r>
    <w:r w:rsidRPr="00802821">
      <w:tab/>
    </w:r>
    <w:r w:rsidRPr="0080282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71E389" w14:textId="77777777" w:rsidR="00802821" w:rsidRPr="00802821" w:rsidRDefault="00802821" w:rsidP="0080282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0DBDC" w14:textId="77777777" w:rsidR="006049C0" w:rsidRDefault="006049C0">
    <w:pPr>
      <w:pStyle w:val="FooterLine"/>
    </w:pPr>
    <w:r>
      <w:t xml:space="preserve"> - </w:t>
    </w:r>
    <w:r>
      <w:tab/>
      <w:t xml:space="preserve">Page </w:t>
    </w:r>
    <w:r>
      <w:fldChar w:fldCharType="begin"/>
    </w:r>
    <w:r>
      <w:instrText>PAGE</w:instrText>
    </w:r>
    <w:r>
      <w:fldChar w:fldCharType="separate"/>
    </w:r>
    <w:r>
      <w:t>1</w:t>
    </w:r>
    <w:r>
      <w:fldChar w:fldCharType="end"/>
    </w:r>
    <w:r>
      <w:t xml:space="preserve"> / </w:t>
    </w:r>
    <w:r>
      <w:fldChar w:fldCharType="begin"/>
    </w:r>
    <w:r>
      <w:instrText>NUMPAGES</w:instrText>
    </w:r>
    <w:r>
      <w:fldChar w:fldCharType="separate"/>
    </w:r>
    <w:r>
      <w:t>3</w:t>
    </w:r>
    <w:r>
      <w:fldChar w:fldCharType="end"/>
    </w:r>
  </w:p>
  <w:p w14:paraId="568F699A" w14:textId="77777777" w:rsidR="006049C0" w:rsidRDefault="00802821">
    <w:pPr>
      <w:pStyle w:val="Footer"/>
    </w:pPr>
    <w:sdt>
      <w:sdtPr>
        <w:id w:val="-608277440"/>
        <w:dataBinding w:xpath="/Texts/TechFooterVersion" w:storeItemID="{4EF90DE6-88B6-4264-9629-4D8DFDFE87D2}"/>
        <w:text w:multiLine="1"/>
      </w:sdtPr>
      <w:sdtEndPr/>
      <w:sdtContent>
        <w:r w:rsidR="00717CAF">
          <w:t>Version</w:t>
        </w:r>
      </w:sdtContent>
    </w:sdt>
    <w:r w:rsidR="00717CAF">
      <w:t xml:space="preserve"> </w:t>
    </w:r>
    <w:sdt>
      <w:sdtPr>
        <w:alias w:val="Version"/>
        <w:id w:val="978657438"/>
        <w:dataBinding w:xpath="/EurolookProperties/DocumentVersion" w:storeItemID="{D3EA5527-7367-4268-9D83-5125C98D0ED2}"/>
        <w:text w:multiLine="1"/>
      </w:sdtPr>
      <w:sdtEndPr/>
      <w:sdtContent>
        <w:r w:rsidR="00717CAF">
          <w:t>0.1</w:t>
        </w:r>
      </w:sdtContent>
    </w:sdt>
    <w:r w:rsidR="00717CAF">
      <w:t xml:space="preserve"> </w:t>
    </w:r>
    <w:sdt>
      <w:sdtPr>
        <w:id w:val="-1620840983"/>
        <w:dataBinding w:xpath="/Texts/TechFooterDated" w:storeItemID="{4EF90DE6-88B6-4264-9629-4D8DFDFE87D2}"/>
        <w:text w:multiLine="1"/>
      </w:sdtPr>
      <w:sdtEndPr/>
      <w:sdtContent>
        <w:r w:rsidR="00717CAF">
          <w:t>en date du</w:t>
        </w:r>
      </w:sdtContent>
    </w:sdt>
    <w:r w:rsidR="00717CAF">
      <w:t xml:space="preserve"> </w:t>
    </w:r>
    <w:sdt>
      <w:sdtPr>
        <w:alias w:val=""/>
        <w:id w:val="1906723283"/>
        <w:dataBinding w:xpath="/EurolookProperties/DocumentDate" w:storeItemID="{D3EA5527-7367-4268-9D83-5125C98D0ED2}"/>
        <w:date w:fullDate="2025-10-31T22:34:00Z">
          <w:dateFormat w:val="dd/MM/yyyy"/>
          <w:lid w:val="fr-FR"/>
          <w:storeMappedDataAs w:val="dateTime"/>
          <w:calendar w:val="gregorian"/>
        </w:date>
      </w:sdtPr>
      <w:sdtEndPr/>
      <w:sdtContent>
        <w:r w:rsidR="00717CAF">
          <w:t>31/10/2025</w:t>
        </w:r>
      </w:sdtContent>
    </w:sdt>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4321349"/>
      <w:docPartObj>
        <w:docPartGallery w:val="Page Numbers (Bottom of Page)"/>
        <w:docPartUnique/>
      </w:docPartObj>
    </w:sdtPr>
    <w:sdtEndPr>
      <w:rPr>
        <w:noProof/>
      </w:rPr>
    </w:sdtEndPr>
    <w:sdtContent>
      <w:p w14:paraId="122F3540" w14:textId="5E9F0ED3" w:rsidR="006049C0" w:rsidRDefault="006049C0">
        <w:pPr>
          <w:pStyle w:val="Footer"/>
          <w:jc w:val="center"/>
        </w:pPr>
        <w:r>
          <w:fldChar w:fldCharType="begin"/>
        </w:r>
        <w:r>
          <w:instrText xml:space="preserve"> PAGE   \* MERGEFORMAT </w:instrText>
        </w:r>
        <w:r>
          <w:fldChar w:fldCharType="separate"/>
        </w:r>
        <w:r w:rsidR="00802821">
          <w:rPr>
            <w:noProof/>
          </w:rPr>
          <w:t>3</w:t>
        </w:r>
        <w:r>
          <w:fldChar w:fldCharType="end"/>
        </w:r>
      </w:p>
    </w:sdtContent>
  </w:sdt>
  <w:p w14:paraId="381A90AC" w14:textId="77777777" w:rsidR="006049C0" w:rsidRPr="005A3FBE" w:rsidRDefault="006049C0">
    <w:pPr>
      <w:pStyle w:val="Footer"/>
      <w:rPr>
        <w:lang w:val="fr-BE"/>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40E87" w14:textId="77777777" w:rsidR="006049C0" w:rsidRDefault="00604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747EE" w14:textId="77777777" w:rsidR="006658D5" w:rsidRDefault="006658D5">
      <w:pPr>
        <w:spacing w:after="0" w:line="240" w:lineRule="auto"/>
      </w:pPr>
      <w:r>
        <w:separator/>
      </w:r>
    </w:p>
  </w:footnote>
  <w:footnote w:type="continuationSeparator" w:id="0">
    <w:p w14:paraId="7A08701F" w14:textId="77777777" w:rsidR="006658D5" w:rsidRDefault="006658D5">
      <w:pPr>
        <w:spacing w:after="0" w:line="240" w:lineRule="auto"/>
      </w:pPr>
      <w:r>
        <w:continuationSeparator/>
      </w:r>
    </w:p>
  </w:footnote>
  <w:footnote w:type="continuationNotice" w:id="1">
    <w:p w14:paraId="283EE009" w14:textId="77777777" w:rsidR="006658D5" w:rsidRDefault="006658D5">
      <w:pPr>
        <w:spacing w:after="0" w:line="240" w:lineRule="auto"/>
      </w:pPr>
    </w:p>
  </w:footnote>
  <w:footnote w:id="2">
    <w:p w14:paraId="6C960386" w14:textId="77777777" w:rsidR="00413162" w:rsidRPr="00A563A0" w:rsidRDefault="00413162" w:rsidP="00413162">
      <w:pPr>
        <w:pStyle w:val="FootnoteText"/>
        <w:spacing w:after="0" w:line="240" w:lineRule="auto"/>
      </w:pPr>
      <w:r>
        <w:t>(</w:t>
      </w:r>
      <w:r>
        <w:rPr>
          <w:rStyle w:val="FootnoteReference"/>
          <w:rFonts w:eastAsia="Yu Gothic"/>
        </w:rPr>
        <w:footnoteRef/>
      </w:r>
      <w:r>
        <w:t>)</w:t>
      </w:r>
      <w:r>
        <w:tab/>
        <w:t>Les franchissements illégaux des frontières extérieures de l’UE sont en régression constante, les chiffres globaux ayant diminué de 26 % en 2025, après un recul de 38 % en 2024 sur toutes les grandes routes migratoires vers l’Union. Les demandes de protection internationale suivent une tendance à la baisse similaire (- 21 %).</w:t>
      </w:r>
    </w:p>
  </w:footnote>
  <w:footnote w:id="3">
    <w:p w14:paraId="52120EF5" w14:textId="77777777" w:rsidR="00413162" w:rsidRPr="00063573" w:rsidRDefault="00413162" w:rsidP="00413162">
      <w:pPr>
        <w:pStyle w:val="FootnoteText"/>
        <w:spacing w:after="0" w:line="240" w:lineRule="auto"/>
      </w:pPr>
      <w:r>
        <w:t>(</w:t>
      </w:r>
      <w:r>
        <w:rPr>
          <w:rStyle w:val="FootnoteReference"/>
          <w:rFonts w:eastAsia="Yu Gothic"/>
        </w:rPr>
        <w:footnoteRef/>
      </w:r>
      <w:r>
        <w:t>)</w:t>
      </w:r>
      <w:r>
        <w:tab/>
        <w:t xml:space="preserve">Selon les données d’Eurostat, le taux de décisions positives relatives aux demandes d’asile, qui s’élevait à 51,4 % en 2024, est tombé à un peu plus de 33 % au premier semestre de 2025, pour remonter à 42,8 % au troisième trimestre de 2025. </w:t>
      </w:r>
    </w:p>
  </w:footnote>
  <w:footnote w:id="4">
    <w:p w14:paraId="19D4C0C5" w14:textId="215B6B83" w:rsidR="00413162" w:rsidRPr="00063573" w:rsidRDefault="00413162" w:rsidP="00413162">
      <w:pPr>
        <w:pStyle w:val="FootnoteText"/>
        <w:spacing w:after="0" w:line="240" w:lineRule="auto"/>
      </w:pPr>
      <w:r>
        <w:t>(</w:t>
      </w:r>
      <w:r>
        <w:rPr>
          <w:rStyle w:val="FootnoteReference"/>
          <w:rFonts w:eastAsia="Yu Gothic"/>
        </w:rPr>
        <w:footnoteRef/>
      </w:r>
      <w:r>
        <w:t>)</w:t>
      </w:r>
      <w:r>
        <w:tab/>
        <w:t>Rapport européen annuel sur l’asile et la migration (2025), sur la base des données d’Eurostat pour la période allant du 1</w:t>
      </w:r>
      <w:r>
        <w:rPr>
          <w:vertAlign w:val="superscript"/>
        </w:rPr>
        <w:t>er</w:t>
      </w:r>
      <w:r>
        <w:t xml:space="preserve"> juillet 2024 au 30 juin 2025, </w:t>
      </w:r>
      <w:hyperlink r:id="rId1" w:history="1">
        <w:r>
          <w:rPr>
            <w:rStyle w:val="Hyperlink"/>
          </w:rPr>
          <w:t>https://eur-lex.europa.eu/legal-content/FR/ALL/?uri=CELEX:52025DC0795</w:t>
        </w:r>
      </w:hyperlink>
      <w:r>
        <w:t xml:space="preserve">. </w:t>
      </w:r>
    </w:p>
  </w:footnote>
  <w:footnote w:id="5">
    <w:p w14:paraId="11F41166" w14:textId="6D3609C1" w:rsidR="00413162" w:rsidRPr="00376276" w:rsidRDefault="00413162" w:rsidP="00413162">
      <w:pPr>
        <w:pStyle w:val="FootnoteText"/>
      </w:pPr>
      <w:r>
        <w:t>(</w:t>
      </w:r>
      <w:r>
        <w:rPr>
          <w:rStyle w:val="FootnoteReference"/>
        </w:rPr>
        <w:footnoteRef/>
      </w:r>
      <w:r>
        <w:t>)</w:t>
      </w:r>
      <w:r>
        <w:tab/>
      </w:r>
      <w:hyperlink r:id="rId2" w:history="1">
        <w:r>
          <w:rPr>
            <w:rStyle w:val="Hyperlink"/>
          </w:rPr>
          <w:t>https://www.europol.europa.eu/crime-areas/migrant-smuggling</w:t>
        </w:r>
      </w:hyperlink>
      <w:r>
        <w:t>.</w:t>
      </w:r>
    </w:p>
  </w:footnote>
  <w:footnote w:id="6">
    <w:p w14:paraId="5B4C22A3" w14:textId="34A70E3E" w:rsidR="00413162" w:rsidRPr="00B57867" w:rsidRDefault="00413162" w:rsidP="00413162">
      <w:pPr>
        <w:pStyle w:val="FootnoteText"/>
        <w:spacing w:after="0" w:line="240" w:lineRule="auto"/>
      </w:pPr>
      <w:r>
        <w:t>(</w:t>
      </w:r>
      <w:r>
        <w:rPr>
          <w:rStyle w:val="FootnoteReference"/>
        </w:rPr>
        <w:footnoteRef/>
      </w:r>
      <w:r>
        <w:t>)</w:t>
      </w:r>
      <w:r>
        <w:tab/>
      </w:r>
      <w:hyperlink r:id="rId3" w:history="1">
        <w:r>
          <w:rPr>
            <w:rStyle w:val="Hyperlink"/>
          </w:rPr>
          <w:t>Protection temporaire des personnes fuyant l’Ukraine – Statistiques mensuelles – Statistiques expliquées – Eurostat</w:t>
        </w:r>
      </w:hyperlink>
      <w:r>
        <w:t xml:space="preserve">. </w:t>
      </w:r>
    </w:p>
  </w:footnote>
  <w:footnote w:id="7">
    <w:p w14:paraId="12D9A3FB" w14:textId="515B3FAF" w:rsidR="00413162" w:rsidRPr="00B57867" w:rsidRDefault="00413162" w:rsidP="00413162">
      <w:pPr>
        <w:pStyle w:val="FootnoteText"/>
        <w:spacing w:after="0" w:line="240" w:lineRule="auto"/>
      </w:pPr>
      <w:r>
        <w:t>(</w:t>
      </w:r>
      <w:r>
        <w:rPr>
          <w:rStyle w:val="FootnoteReference"/>
        </w:rPr>
        <w:footnoteRef/>
      </w:r>
      <w:r>
        <w:t>)</w:t>
      </w:r>
      <w:r>
        <w:tab/>
      </w:r>
      <w:hyperlink r:id="rId4" w:anchor=" " w:history="1">
        <w:r>
          <w:rPr>
            <w:rStyle w:val="Hyperlink"/>
          </w:rPr>
          <w:t>https://ec.europa.eu/eurostat/web/interactive-publications/migration-2025#international-protection</w:t>
        </w:r>
      </w:hyperlink>
      <w:r>
        <w:t>; les trois principaux pays d’origine sont la Syrie, l’Afghanistan et le Venezuela.</w:t>
      </w:r>
    </w:p>
  </w:footnote>
  <w:footnote w:id="8">
    <w:p w14:paraId="427482B7" w14:textId="57017017" w:rsidR="00413162" w:rsidRPr="00BF11C8" w:rsidRDefault="00413162" w:rsidP="00413162">
      <w:pPr>
        <w:pStyle w:val="FootnoteText"/>
        <w:spacing w:after="0" w:line="240" w:lineRule="auto"/>
      </w:pPr>
      <w:r>
        <w:t>(</w:t>
      </w:r>
      <w:r>
        <w:rPr>
          <w:rStyle w:val="FootnoteReference"/>
        </w:rPr>
        <w:footnoteRef/>
      </w:r>
      <w:r>
        <w:t>)</w:t>
      </w:r>
      <w:r>
        <w:tab/>
      </w:r>
      <w:hyperlink r:id="rId5" w:history="1">
        <w:r>
          <w:rPr>
            <w:rStyle w:val="Hyperlink"/>
          </w:rPr>
          <w:t>https://ec.europa.eu/eurostat/statistics-explained/index.php?title=Residence_permits_%E2%80%93_statistics_on_authorisations_to_reside_and_work</w:t>
        </w:r>
      </w:hyperlink>
      <w:r>
        <w:t>.</w:t>
      </w:r>
    </w:p>
  </w:footnote>
  <w:footnote w:id="9">
    <w:p w14:paraId="0AC7789B" w14:textId="77777777" w:rsidR="00413162" w:rsidRDefault="00413162" w:rsidP="00413162">
      <w:pPr>
        <w:pStyle w:val="FootnoteText"/>
        <w:spacing w:after="0" w:line="240" w:lineRule="auto"/>
      </w:pPr>
      <w:r>
        <w:t>(</w:t>
      </w:r>
      <w:r>
        <w:rPr>
          <w:rStyle w:val="FootnoteReference"/>
        </w:rPr>
        <w:footnoteRef/>
      </w:r>
      <w:r>
        <w:t>)</w:t>
      </w:r>
      <w:r>
        <w:tab/>
        <w:t xml:space="preserve">Article 8 du règlement (UE) 2024/1351 du Parlement européen et du Conseil du 14 mai 2024 relatif à la gestion de l’asile et de la migration, modifiant les règlements (UE) 2021/1147 et (UE) 2021/1060 et abrogeant le règlement (UE) nº 604/2013; ELI: </w:t>
      </w:r>
      <w:hyperlink r:id="rId6" w:history="1">
        <w:r>
          <w:rPr>
            <w:rStyle w:val="Hyperlink"/>
          </w:rPr>
          <w:t>http://data.europa.eu/eli/reg/2024/1351/oj</w:t>
        </w:r>
      </w:hyperlink>
      <w:r>
        <w:t xml:space="preserve">. </w:t>
      </w:r>
    </w:p>
  </w:footnote>
  <w:footnote w:id="10">
    <w:p w14:paraId="216A88C9" w14:textId="77777777" w:rsidR="00413162" w:rsidRDefault="00413162" w:rsidP="00413162">
      <w:pPr>
        <w:pStyle w:val="FootnoteText"/>
        <w:spacing w:after="0" w:line="240" w:lineRule="auto"/>
      </w:pPr>
      <w:r>
        <w:t>(</w:t>
      </w:r>
      <w:r>
        <w:rPr>
          <w:rStyle w:val="FootnoteReference"/>
        </w:rPr>
        <w:footnoteRef/>
      </w:r>
      <w:r>
        <w:t>)</w:t>
      </w:r>
      <w:r>
        <w:tab/>
        <w:t>Vingt-cinq États membres ont présenté leur stratégie nationale à la Commission; le Danemark n’est pas soumis à l’obligation de présenter une stratégie nationale, tandis que la Hongrie a indiqué qu’elle n’en présenterait pas.</w:t>
      </w:r>
    </w:p>
  </w:footnote>
  <w:footnote w:id="11">
    <w:p w14:paraId="0F0E3C86" w14:textId="77777777" w:rsidR="00413162" w:rsidRDefault="00413162" w:rsidP="00413162">
      <w:pPr>
        <w:pStyle w:val="FootnoteText"/>
        <w:spacing w:after="0" w:line="240" w:lineRule="auto"/>
      </w:pPr>
      <w:r>
        <w:t>(</w:t>
      </w:r>
      <w:r>
        <w:rPr>
          <w:rStyle w:val="FootnoteReference"/>
        </w:rPr>
        <w:footnoteRef/>
      </w:r>
      <w:r>
        <w:t>)</w:t>
      </w:r>
      <w:r>
        <w:tab/>
        <w:t>Article 7 du règlement relatif à la gestion de l’asile et de la migration.</w:t>
      </w:r>
    </w:p>
  </w:footnote>
  <w:footnote w:id="12">
    <w:p w14:paraId="30348851" w14:textId="77777777" w:rsidR="00413162" w:rsidRDefault="00413162" w:rsidP="00413162">
      <w:pPr>
        <w:pStyle w:val="FootnoteText"/>
        <w:spacing w:after="0" w:line="240" w:lineRule="auto"/>
      </w:pPr>
      <w:r>
        <w:t>(</w:t>
      </w:r>
      <w:r>
        <w:rPr>
          <w:rStyle w:val="FootnoteReference"/>
        </w:rPr>
        <w:footnoteRef/>
      </w:r>
      <w:r>
        <w:t>)</w:t>
      </w:r>
      <w:r>
        <w:tab/>
        <w:t>Audition de la commission LIBE du 4 décembre 2025.</w:t>
      </w:r>
    </w:p>
  </w:footnote>
  <w:footnote w:id="13">
    <w:p w14:paraId="1A7C0BA1" w14:textId="619CF10E" w:rsidR="00DE4B9B" w:rsidRPr="00A75CA1" w:rsidRDefault="00DE4B9B" w:rsidP="00DE4B9B">
      <w:pPr>
        <w:pStyle w:val="FootnoteText"/>
        <w:spacing w:after="0" w:line="240" w:lineRule="auto"/>
      </w:pPr>
      <w:r>
        <w:t>(</w:t>
      </w:r>
      <w:r>
        <w:rPr>
          <w:rStyle w:val="FootnoteReference"/>
        </w:rPr>
        <w:footnoteRef/>
      </w:r>
      <w:r>
        <w:t>)</w:t>
      </w:r>
      <w:r>
        <w:tab/>
        <w:t xml:space="preserve">Communication conjointe au Parlement européen, au Conseil, au Comité économique et social européen et au Comité des régions – Le pacte pour la Méditerranée – Une mer, un pacte, un avenir, </w:t>
      </w:r>
      <w:hyperlink r:id="rId7" w:history="1">
        <w:r>
          <w:rPr>
            <w:rStyle w:val="Hyperlink"/>
          </w:rPr>
          <w:t>https://eur-lex.europa.eu/legal-content/FR/TXT/HTML/?uri=CELEX:52025JC0026</w:t>
        </w:r>
      </w:hyperlink>
      <w:r>
        <w:t xml:space="preserve">. </w:t>
      </w:r>
    </w:p>
  </w:footnote>
  <w:footnote w:id="14">
    <w:p w14:paraId="58FCF33D" w14:textId="7A3706E3" w:rsidR="00012E67" w:rsidRPr="00064DBE" w:rsidRDefault="00012E67" w:rsidP="00334171">
      <w:pPr>
        <w:pStyle w:val="FootnoteText"/>
        <w:spacing w:after="0" w:line="240" w:lineRule="auto"/>
      </w:pPr>
      <w:r>
        <w:t>(</w:t>
      </w:r>
      <w:r>
        <w:rPr>
          <w:rStyle w:val="FootnoteReference"/>
        </w:rPr>
        <w:footnoteRef/>
      </w:r>
      <w:r>
        <w:t>)</w:t>
      </w:r>
      <w:r>
        <w:tab/>
        <w:t>Conseil européen, 20 mars 2025, Conclusions, point 25, EUCO 1/25.</w:t>
      </w:r>
    </w:p>
  </w:footnote>
  <w:footnote w:id="15">
    <w:p w14:paraId="3794C2D4" w14:textId="4D21246D" w:rsidR="00753E60" w:rsidRDefault="00753E60" w:rsidP="00546E18">
      <w:pPr>
        <w:pStyle w:val="FootnoteText"/>
        <w:spacing w:after="0" w:line="240" w:lineRule="auto"/>
      </w:pPr>
      <w:r>
        <w:t>(</w:t>
      </w:r>
      <w:r>
        <w:rPr>
          <w:rStyle w:val="FootnoteReference"/>
        </w:rPr>
        <w:footnoteRef/>
      </w:r>
      <w:r>
        <w:t>)</w:t>
      </w:r>
      <w:r>
        <w:tab/>
      </w:r>
      <w:hyperlink r:id="rId8" w:history="1">
        <w:r>
          <w:rPr>
            <w:rStyle w:val="Hyperlink"/>
          </w:rPr>
          <w:t>Défis migratoires:</w:t>
        </w:r>
      </w:hyperlink>
      <w:hyperlink r:id="rId9" w:history="1">
        <w:r>
          <w:rPr>
            <w:rStyle w:val="Hyperlink"/>
          </w:rPr>
          <w:t xml:space="preserve"> les ministres du Conseil de l’Europe demandent une déclaration politique sur les droits - Portail</w:t>
        </w:r>
      </w:hyperlink>
      <w:r>
        <w:t>.</w:t>
      </w:r>
    </w:p>
  </w:footnote>
  <w:footnote w:id="16">
    <w:p w14:paraId="6A6A86A9" w14:textId="05087726" w:rsidR="00900EAF" w:rsidRPr="00C95EFC" w:rsidRDefault="00900EAF" w:rsidP="00546E18">
      <w:pPr>
        <w:pStyle w:val="FootnoteText"/>
        <w:spacing w:after="0" w:line="240" w:lineRule="auto"/>
      </w:pPr>
      <w:r>
        <w:t>(</w:t>
      </w:r>
      <w:r>
        <w:rPr>
          <w:rStyle w:val="FootnoteReference"/>
        </w:rPr>
        <w:footnoteRef/>
      </w:r>
      <w:r>
        <w:t>)</w:t>
      </w:r>
      <w:r>
        <w:tab/>
        <w:t xml:space="preserve">Par exemple, dans le cadre du programme de protection, de retour et de réintégration des migrants en Afrique subsaharienne (MPRR-SSA), </w:t>
      </w:r>
      <w:hyperlink r:id="rId10" w:history="1">
        <w:r>
          <w:rPr>
            <w:rStyle w:val="Hyperlink"/>
          </w:rPr>
          <w:t>https://international-partnerships.ec.europa.eu/policies/programming/projects/migrant-protection-return-and-reintegration-programme-sub-saharan-africa-mprr-ssa_fr</w:t>
        </w:r>
      </w:hyperlink>
      <w:r>
        <w:t xml:space="preserve">. </w:t>
      </w:r>
    </w:p>
  </w:footnote>
  <w:footnote w:id="17">
    <w:p w14:paraId="56B4AE20" w14:textId="0B7F586C" w:rsidR="00385AED" w:rsidRPr="00327B2B" w:rsidRDefault="00385AED" w:rsidP="00385AED">
      <w:pPr>
        <w:pStyle w:val="FootnoteText"/>
        <w:spacing w:after="0" w:line="240" w:lineRule="auto"/>
      </w:pPr>
      <w:r>
        <w:t>(</w:t>
      </w:r>
      <w:r>
        <w:rPr>
          <w:rStyle w:val="FootnoteReference"/>
        </w:rPr>
        <w:footnoteRef/>
      </w:r>
      <w:r>
        <w:t>)</w:t>
      </w:r>
      <w:r>
        <w:tab/>
      </w:r>
      <w:hyperlink r:id="rId11" w:history="1">
        <w:r>
          <w:rPr>
            <w:rStyle w:val="Hyperlink"/>
          </w:rPr>
          <w:t>https://home-affairs.ec.europa.eu/document/download/54b4208d-d928-4177-aac3-c70c4f6b2745_en?filename=Global%20Alliance%20Joint%20Declaration_final.pdf</w:t>
        </w:r>
      </w:hyperlink>
      <w:r>
        <w:t>.</w:t>
      </w:r>
    </w:p>
  </w:footnote>
  <w:footnote w:id="18">
    <w:p w14:paraId="5DB5DF4F" w14:textId="11EFC005" w:rsidR="00F4539A" w:rsidRPr="00327B2B" w:rsidRDefault="00F4539A" w:rsidP="007C6278">
      <w:pPr>
        <w:pStyle w:val="FootnoteText"/>
        <w:spacing w:after="0" w:line="240" w:lineRule="auto"/>
      </w:pPr>
      <w:r>
        <w:t>(</w:t>
      </w:r>
      <w:r>
        <w:rPr>
          <w:rStyle w:val="FootnoteReference"/>
        </w:rPr>
        <w:footnoteRef/>
      </w:r>
      <w:r>
        <w:t xml:space="preserve">) </w:t>
      </w:r>
      <w:hyperlink r:id="rId12" w:history="1">
        <w:r>
          <w:rPr>
            <w:rStyle w:val="Hyperlink"/>
          </w:rPr>
          <w:t>IP_25_2229_FR.pdf</w:t>
        </w:r>
      </w:hyperlink>
      <w:r>
        <w:t>.</w:t>
      </w:r>
    </w:p>
  </w:footnote>
  <w:footnote w:id="19">
    <w:p w14:paraId="565FBEA1" w14:textId="31902663" w:rsidR="00CC6340" w:rsidRPr="00327B2B" w:rsidRDefault="00CC6340" w:rsidP="00CC54E0">
      <w:pPr>
        <w:pStyle w:val="FootnoteText"/>
        <w:spacing w:after="0" w:line="240" w:lineRule="auto"/>
        <w:jc w:val="left"/>
      </w:pPr>
      <w:r>
        <w:t>(</w:t>
      </w:r>
      <w:r>
        <w:rPr>
          <w:rStyle w:val="FootnoteReference"/>
        </w:rPr>
        <w:footnoteRef/>
      </w:r>
      <w:r>
        <w:t>)</w:t>
      </w:r>
      <w:r>
        <w:tab/>
        <w:t>Boîte à outils visant à lutter contre l’utilisation de moyens de transport commerciaux pour faciliter la migration irrégulière vers l’UE, https://home-affairs.ec.europa.eu/toolbox-addressing-use-commercial-means-transport-facilitate-irregular-migration-eu_fr.</w:t>
      </w:r>
    </w:p>
  </w:footnote>
  <w:footnote w:id="20">
    <w:p w14:paraId="40F9CA51" w14:textId="2F6FCD26" w:rsidR="002946F6" w:rsidRPr="00B31F51" w:rsidRDefault="002946F6" w:rsidP="004B7017">
      <w:pPr>
        <w:pStyle w:val="FootnoteText"/>
        <w:spacing w:after="0" w:line="240" w:lineRule="auto"/>
      </w:pPr>
      <w:r>
        <w:t>(</w:t>
      </w:r>
      <w:r>
        <w:rPr>
          <w:rStyle w:val="FootnoteReference"/>
        </w:rPr>
        <w:footnoteRef/>
      </w:r>
      <w:r>
        <w:t>)</w:t>
      </w:r>
      <w:r>
        <w:tab/>
      </w:r>
      <w:hyperlink r:id="rId13" w:history="1">
        <w:r>
          <w:rPr>
            <w:rStyle w:val="Hyperlink"/>
          </w:rPr>
          <w:t>https://www.icao.int/sites/default/files/Meetings/a42/Documents/WP/wp_449_fr.pdf</w:t>
        </w:r>
      </w:hyperlink>
      <w:r>
        <w:t>.</w:t>
      </w:r>
    </w:p>
  </w:footnote>
  <w:footnote w:id="21">
    <w:p w14:paraId="23464F18" w14:textId="083D783C" w:rsidR="00DA5D54" w:rsidRPr="00CB40CB" w:rsidRDefault="00DA5D54" w:rsidP="00DA5D54">
      <w:pPr>
        <w:pStyle w:val="FootnoteText"/>
        <w:spacing w:after="0" w:line="240" w:lineRule="auto"/>
      </w:pPr>
      <w:r>
        <w:t>(</w:t>
      </w:r>
      <w:r>
        <w:rPr>
          <w:rStyle w:val="FootnoteReference"/>
        </w:rPr>
        <w:footnoteRef/>
      </w:r>
      <w:r>
        <w:t>)</w:t>
      </w:r>
      <w:r>
        <w:tab/>
        <w:t xml:space="preserve">Proposition de directive du Parlement européen et du Conseil établissant des règles minimales pour prévenir et combattre l’aide à l’entrée, au transit et au séjour non autorisés dans l’Union, et remplaçant la directive 2002/90/CE du Conseil et la décision-cadre 2002/946/JAI du Conseil, </w:t>
      </w:r>
      <w:hyperlink r:id="rId14" w:history="1">
        <w:r>
          <w:rPr>
            <w:rStyle w:val="Hyperlink"/>
          </w:rPr>
          <w:t>EUR-Lex - 52023PC0755 - FR - EUR-Lex</w:t>
        </w:r>
      </w:hyperlink>
      <w:r>
        <w:t>.</w:t>
      </w:r>
    </w:p>
  </w:footnote>
  <w:footnote w:id="22">
    <w:p w14:paraId="0A09E770" w14:textId="239C32E7" w:rsidR="00F10FD2" w:rsidRPr="00D62DC7" w:rsidRDefault="00F10FD2" w:rsidP="000B7691">
      <w:pPr>
        <w:pStyle w:val="FootnoteText"/>
        <w:spacing w:after="0" w:line="240" w:lineRule="auto"/>
      </w:pPr>
      <w:r>
        <w:t>(</w:t>
      </w:r>
      <w:r>
        <w:rPr>
          <w:rStyle w:val="FootnoteReference"/>
        </w:rPr>
        <w:footnoteRef/>
      </w:r>
      <w:r>
        <w:t>)</w:t>
      </w:r>
      <w:r>
        <w:tab/>
        <w:t>Rapport européen annuel sur l’asile et la migration (2025); sur la base des données de Frontex, entre le 1</w:t>
      </w:r>
      <w:r>
        <w:rPr>
          <w:vertAlign w:val="superscript"/>
        </w:rPr>
        <w:t>er</w:t>
      </w:r>
      <w:r>
        <w:t xml:space="preserve"> juillet 2024 et le 30 juin 2025, les arrivées le long de la route de la Méditerranée centrale, de la route de l’Atlantique et de la route de la Méditerranée orientale ont diminué respectivement de 40 %, de 25 % et de 11 % par rapport à la période de référence précédente. </w:t>
      </w:r>
    </w:p>
  </w:footnote>
  <w:footnote w:id="23">
    <w:p w14:paraId="40BAF9D2" w14:textId="4579EB30" w:rsidR="33FF167A" w:rsidRDefault="33FF167A" w:rsidP="008102BB">
      <w:pPr>
        <w:pStyle w:val="FootnoteText"/>
        <w:spacing w:after="0" w:line="240" w:lineRule="auto"/>
        <w:contextualSpacing/>
      </w:pPr>
      <w:r>
        <w:t>(</w:t>
      </w:r>
      <w:r>
        <w:rPr>
          <w:rStyle w:val="FootnoteReference"/>
        </w:rPr>
        <w:footnoteRef/>
      </w:r>
      <w:r>
        <w:t>)</w:t>
      </w:r>
      <w:r>
        <w:tab/>
        <w:t>HCR - Données sur les réfugiés - Indicateurs clés, https://www.unhcr.org/refugee-statistics.</w:t>
      </w:r>
    </w:p>
  </w:footnote>
  <w:footnote w:id="24">
    <w:p w14:paraId="0A78A896" w14:textId="6A17C613" w:rsidR="00A7291D" w:rsidRPr="00DE687F" w:rsidRDefault="00A7291D" w:rsidP="00A7291D">
      <w:pPr>
        <w:pStyle w:val="FootnoteText"/>
        <w:spacing w:after="0" w:line="240" w:lineRule="auto"/>
      </w:pPr>
      <w:r>
        <w:t>(</w:t>
      </w:r>
      <w:r>
        <w:rPr>
          <w:rStyle w:val="FootnoteReference"/>
        </w:rPr>
        <w:footnoteRef/>
      </w:r>
      <w:r>
        <w:t>)</w:t>
      </w:r>
      <w:r>
        <w:tab/>
        <w:t>Décision (UE) 2025/702 du Conseil du 17 mars 2025 autorisant la Commission européenne à participer, au nom de l’Union, aux négociations relatives à un instrument international instituant une commission internationale des demandes d’indemnisation pour l’Ukraine; ELI: </w:t>
      </w:r>
      <w:hyperlink r:id="rId15" w:tooltip="Permet d’accéder à ce document par l’intermédiaire de son URI ELI." w:history="1">
        <w:r>
          <w:rPr>
            <w:rStyle w:val="Hyperlink"/>
          </w:rPr>
          <w:t>http://data.europa.eu/eli/dec/2025/702/oj</w:t>
        </w:r>
      </w:hyperlink>
      <w:r>
        <w:t>.</w:t>
      </w:r>
    </w:p>
  </w:footnote>
  <w:footnote w:id="25">
    <w:p w14:paraId="21136A68" w14:textId="021D6575" w:rsidR="0089288B" w:rsidRPr="00C41CF6" w:rsidRDefault="0089288B" w:rsidP="00CC54E0">
      <w:pPr>
        <w:pStyle w:val="FootnoteText"/>
        <w:spacing w:after="0" w:line="240" w:lineRule="auto"/>
        <w:jc w:val="left"/>
      </w:pPr>
      <w:r>
        <w:t>(</w:t>
      </w:r>
      <w:r>
        <w:rPr>
          <w:rStyle w:val="FootnoteReference"/>
        </w:rPr>
        <w:footnoteRef/>
      </w:r>
      <w:r>
        <w:t>)</w:t>
      </w:r>
      <w:r>
        <w:tab/>
        <w:t>Programme de protection, de retour et de réintégration des migrants en Afrique subsaharienne (MPRR-SSA) - Partenariats internationaux, https://international-partnerships.ec.europa.eu/policies/programming/projects/migrant-protection-return-and-reintegration-programme-sub-saharan-africa-mprr-ssa_fr.</w:t>
      </w:r>
    </w:p>
  </w:footnote>
  <w:footnote w:id="26">
    <w:p w14:paraId="615B89E3" w14:textId="77777777" w:rsidR="00501CD6" w:rsidRDefault="00501CD6" w:rsidP="00A65340">
      <w:pPr>
        <w:pStyle w:val="FootnoteText"/>
        <w:spacing w:after="0" w:line="240" w:lineRule="auto"/>
      </w:pPr>
      <w:r>
        <w:t>(</w:t>
      </w:r>
      <w:r>
        <w:rPr>
          <w:rStyle w:val="FootnoteReference"/>
        </w:rPr>
        <w:footnoteRef/>
      </w:r>
      <w:r>
        <w:t>)</w:t>
      </w:r>
      <w:r>
        <w:tab/>
        <w:t>La règle sous-jacente, fixée par le code frontières Schengen (article 5, paragraphe 3), reste que les frontières extérieures ne doivent être franchies qu’aux points de passage frontaliers, sous peine de sanctions.</w:t>
      </w:r>
    </w:p>
  </w:footnote>
  <w:footnote w:id="27">
    <w:p w14:paraId="528F133F" w14:textId="5C62D9AE" w:rsidR="006227DF" w:rsidRDefault="006227DF" w:rsidP="00A65340">
      <w:pPr>
        <w:pStyle w:val="FootnoteText"/>
        <w:spacing w:after="0" w:line="240" w:lineRule="auto"/>
      </w:pPr>
      <w:r>
        <w:t>(</w:t>
      </w:r>
      <w:r>
        <w:rPr>
          <w:rStyle w:val="FootnoteReference"/>
        </w:rPr>
        <w:footnoteRef/>
      </w:r>
      <w:r>
        <w:t>)</w:t>
      </w:r>
      <w:r>
        <w:tab/>
        <w:t xml:space="preserve">Communication de la Commission au Parlement européen et au Conseil relative à la lutte contre les menaces hybrides résultant de l’instrumentalisation de la migration ainsi qu’au renforcement de la sécurité aux frontières extérieures de l’UE, </w:t>
      </w:r>
      <w:hyperlink r:id="rId16" w:history="1">
        <w:r>
          <w:rPr>
            <w:rStyle w:val="Hyperlink"/>
          </w:rPr>
          <w:t>https://eur-lex.europa.eu/legal-content/FR/TXT/HTML/?uri=CELEX:52024DC0570</w:t>
        </w:r>
      </w:hyperlink>
      <w:r>
        <w:t xml:space="preserve">. </w:t>
      </w:r>
    </w:p>
  </w:footnote>
  <w:footnote w:id="28">
    <w:p w14:paraId="01B4B09E" w14:textId="4A2F8F98" w:rsidR="00F714BE" w:rsidRPr="00A170C9" w:rsidRDefault="00F714BE" w:rsidP="00F714BE">
      <w:pPr>
        <w:pStyle w:val="FootnoteText"/>
        <w:spacing w:after="0" w:line="240" w:lineRule="auto"/>
      </w:pPr>
      <w:r>
        <w:t>(</w:t>
      </w:r>
      <w:r>
        <w:rPr>
          <w:rStyle w:val="FootnoteReference"/>
        </w:rPr>
        <w:footnoteRef/>
      </w:r>
      <w:r>
        <w:t>)</w:t>
      </w:r>
      <w:r>
        <w:tab/>
        <w:t xml:space="preserve">Proposition de règlement du Parlement européen et du Conseil portant création d’une application pour la transmission électronique des données de voyage («application de voyage numérique de l’UE») et modifiant les règlements (UE) 2016/399 et (UE) 2018/1726 du Parlement européen et du Conseil et le règlement (CE) nº 2252/2004 du Conseil, en ce qui concerne l’utilisation d’authentifiants de voyage numériques, </w:t>
      </w:r>
      <w:hyperlink r:id="rId17" w:history="1">
        <w:r>
          <w:rPr>
            <w:rStyle w:val="Hyperlink"/>
          </w:rPr>
          <w:t>https://eur-lex.europa.eu/legal-content/FR/TXT/?uri=celex:52024PC0670</w:t>
        </w:r>
      </w:hyperlink>
      <w:r>
        <w:t xml:space="preserve">. </w:t>
      </w:r>
    </w:p>
  </w:footnote>
  <w:footnote w:id="29">
    <w:p w14:paraId="5DB9C59C" w14:textId="5E8C0DE4" w:rsidR="000E7ABB" w:rsidRPr="002424E6" w:rsidRDefault="000E7ABB" w:rsidP="000E7ABB">
      <w:pPr>
        <w:pStyle w:val="FootnoteText"/>
        <w:spacing w:after="0" w:line="240" w:lineRule="auto"/>
      </w:pPr>
      <w:r>
        <w:t>(</w:t>
      </w:r>
      <w:r>
        <w:rPr>
          <w:rStyle w:val="FootnoteReference"/>
        </w:rPr>
        <w:footnoteRef/>
      </w:r>
      <w:r>
        <w:t>)</w:t>
      </w:r>
      <w:r>
        <w:tab/>
        <w:t>Parmi les problèmes auxquels les États membres sont confrontés figurent les augmentations soudaines des flux migratoires (entraînant la nécessité de délivrer un grand nombre de cartes en peu de temps, ainsi que des coûts élevés), les fluctuations des chaînes d’approvisionnement mondiales pour la production des cartes vierges et les pénuries de certains composants nécessaires à la production. Ces problèmes ont pris de l’ampleur pendant la pandémie de COVID-19 et après l’invasion à grande échelle de l’Ukraine par la Russie.</w:t>
      </w:r>
    </w:p>
  </w:footnote>
  <w:footnote w:id="30">
    <w:p w14:paraId="01F65FEF" w14:textId="1EF25096" w:rsidR="00971230" w:rsidRPr="000E7ABB" w:rsidRDefault="00971230" w:rsidP="000E7ABB">
      <w:pPr>
        <w:pStyle w:val="FootnoteText"/>
        <w:spacing w:after="0" w:line="240" w:lineRule="auto"/>
      </w:pPr>
      <w:r>
        <w:t>(</w:t>
      </w:r>
      <w:r>
        <w:rPr>
          <w:rStyle w:val="FootnoteReference"/>
        </w:rPr>
        <w:footnoteRef/>
      </w:r>
      <w:r>
        <w:t>)</w:t>
      </w:r>
      <w:r>
        <w:tab/>
        <w:t xml:space="preserve">Étude sur le renforcement de la recherche et de l’innovation en matière de sécurité financées par l’UE – 20 ans de recherche et d’innovation en matière de sécurité civile financées par l’UE – Rapport final, </w:t>
      </w:r>
      <w:hyperlink r:id="rId18" w:tgtFrame="_blank" w:history="1">
        <w:r>
          <w:rPr>
            <w:rStyle w:val="Hyperlink"/>
          </w:rPr>
          <w:t>https://data.europa.eu/doi/10.2837/0004501</w:t>
        </w:r>
      </w:hyperlink>
      <w:r>
        <w:t>.</w:t>
      </w:r>
    </w:p>
  </w:footnote>
  <w:footnote w:id="31">
    <w:p w14:paraId="6ECEE6D0" w14:textId="78B154B3" w:rsidR="000E0D38" w:rsidRPr="00352ABC" w:rsidRDefault="000E0D38" w:rsidP="000E0D38">
      <w:pPr>
        <w:pStyle w:val="FootnoteText"/>
        <w:spacing w:after="0" w:line="240" w:lineRule="auto"/>
      </w:pPr>
      <w:r>
        <w:t>(</w:t>
      </w:r>
      <w:r>
        <w:rPr>
          <w:rStyle w:val="FootnoteReference"/>
        </w:rPr>
        <w:footnoteRef/>
      </w:r>
      <w:r>
        <w:t>)</w:t>
      </w:r>
      <w:r>
        <w:tab/>
        <w:t>Règlement (UE) 2024/1689 du Parlement européen et du Conseil du 13 juin 2024 établissant des règles harmonisées concernant l’intelligence artificielle et modifiant les règlements (CE) nº 300/2008, (UE) nº 167/2013, (UE) nº 168/2013, (UE) 2018/858, (UE) 2018/1139 et (UE) 2019/2144 et les directives 2014/90/UE, (UE) 2016/797 et (UE) 2020/1828 (règlement sur l’intelligence artificielle); ELI: </w:t>
      </w:r>
      <w:hyperlink r:id="rId19" w:tooltip="Permet d’accéder à ce document par l’intermédiaire de son URI ELI." w:history="1">
        <w:r>
          <w:rPr>
            <w:rStyle w:val="Hyperlink"/>
          </w:rPr>
          <w:t>http://data.europa.eu/eli/reg/2024/1689/oj</w:t>
        </w:r>
      </w:hyperlink>
      <w:r>
        <w:t xml:space="preserve">. </w:t>
      </w:r>
    </w:p>
  </w:footnote>
  <w:footnote w:id="32">
    <w:p w14:paraId="5282F653" w14:textId="5A50B585" w:rsidR="004952E0" w:rsidRDefault="004952E0" w:rsidP="007C6278">
      <w:pPr>
        <w:pStyle w:val="FootnoteText"/>
        <w:spacing w:after="0" w:line="240" w:lineRule="auto"/>
      </w:pPr>
      <w:r>
        <w:t>(</w:t>
      </w:r>
      <w:r>
        <w:rPr>
          <w:rStyle w:val="FootnoteReference"/>
        </w:rPr>
        <w:footnoteRef/>
      </w:r>
      <w:r>
        <w:t>)</w:t>
      </w:r>
      <w:r>
        <w:tab/>
        <w:t>Conformément, en particulier, à l’article 10, paragraphe 1, point x), et à l’article 66 du règlement Frontex.</w:t>
      </w:r>
    </w:p>
  </w:footnote>
  <w:footnote w:id="33">
    <w:p w14:paraId="7832D612" w14:textId="77777777" w:rsidR="00763ED9" w:rsidRPr="00334756" w:rsidRDefault="00763ED9" w:rsidP="00763ED9">
      <w:pPr>
        <w:pStyle w:val="FootnoteText"/>
        <w:spacing w:after="0" w:line="240" w:lineRule="auto"/>
      </w:pPr>
      <w:r>
        <w:t>(</w:t>
      </w:r>
      <w:r>
        <w:rPr>
          <w:rStyle w:val="FootnoteReference"/>
        </w:rPr>
        <w:footnoteRef/>
      </w:r>
      <w:r>
        <w:t>)</w:t>
      </w:r>
      <w:r>
        <w:tab/>
        <w:t xml:space="preserve">Elle s’appuiera à cet effet sur l’étude prospective mondiale du Centre commun de recherche de la Commission, qui sera publiée en 2026. </w:t>
      </w:r>
    </w:p>
  </w:footnote>
  <w:footnote w:id="34">
    <w:p w14:paraId="59D77D9C" w14:textId="7F5C6EAA" w:rsidR="00BF1AC4" w:rsidRPr="00573998" w:rsidRDefault="00BF1AC4" w:rsidP="00CC54E0">
      <w:pPr>
        <w:pStyle w:val="FootnoteText"/>
        <w:spacing w:after="0" w:line="240" w:lineRule="auto"/>
      </w:pPr>
      <w:r>
        <w:t>(</w:t>
      </w:r>
      <w:r>
        <w:rPr>
          <w:rStyle w:val="FootnoteReference"/>
        </w:rPr>
        <w:footnoteRef/>
      </w:r>
      <w:r>
        <w:t>)</w:t>
      </w:r>
      <w:r>
        <w:tab/>
        <w:t xml:space="preserve">Communication de la Commission au Parlement européen, au Conseil, au Comité économique et social européen et au Comité des régions intitulée «Plan commun de mise en œuvre du pacte sur la migration et l’asile»; </w:t>
      </w:r>
      <w:hyperlink r:id="rId20" w:history="1">
        <w:r>
          <w:rPr>
            <w:rStyle w:val="Hyperlink"/>
          </w:rPr>
          <w:t>EUR-Lex - 52024DC0251 - FR - EUR-Lex</w:t>
        </w:r>
      </w:hyperlink>
      <w:r>
        <w:t>.</w:t>
      </w:r>
    </w:p>
  </w:footnote>
  <w:footnote w:id="35">
    <w:p w14:paraId="357B970C" w14:textId="6EF5EC49" w:rsidR="00DF0CBE" w:rsidRDefault="00DF0CBE" w:rsidP="00AD09E4">
      <w:pPr>
        <w:pStyle w:val="FootnoteText"/>
        <w:spacing w:after="0" w:line="240" w:lineRule="auto"/>
      </w:pPr>
      <w:r>
        <w:t>(</w:t>
      </w:r>
      <w:r>
        <w:rPr>
          <w:rStyle w:val="FootnoteReference"/>
        </w:rPr>
        <w:footnoteRef/>
      </w:r>
      <w:r>
        <w:t>)</w:t>
      </w:r>
      <w:r>
        <w:tab/>
        <w:t xml:space="preserve">En outre, la Commission soutient dix États membres par l’intermédiaire de l’instrument d’appui technique pour la mise en œuvre du pacte. Les États membres bénéficient également de l’apprentissage par les pairs et des échanges de bonnes pratiques mis en place dans le cadre de l’instrument d’appui technique; </w:t>
      </w:r>
      <w:hyperlink r:id="rId21" w:anchor=":~:text=This%20Flagship%20aims%20to%20provide%20tailor%20made%20expertise,Profile%20Tool%20for%20Third%20Country%20Nationals%20and%20others." w:history="1">
        <w:r>
          <w:rPr>
            <w:rStyle w:val="Hyperlink"/>
          </w:rPr>
          <w:t>Initiative phare relevant de l’instrument d’appui technique pour 2025 - Soutenir les États membres dans la mise en œuvre du nouveau pacte sur la migration et l’asile - Commission européenne</w:t>
        </w:r>
      </w:hyperlink>
      <w:r>
        <w:t>.</w:t>
      </w:r>
    </w:p>
  </w:footnote>
  <w:footnote w:id="36">
    <w:p w14:paraId="09EE6ED1" w14:textId="66804440" w:rsidR="008F0F7F" w:rsidRPr="00AD09E4" w:rsidRDefault="008F0F7F" w:rsidP="00AD09E4">
      <w:pPr>
        <w:pStyle w:val="FootnoteText"/>
        <w:spacing w:after="0" w:line="240" w:lineRule="auto"/>
      </w:pPr>
      <w:r>
        <w:t>(</w:t>
      </w:r>
      <w:r>
        <w:rPr>
          <w:rStyle w:val="FootnoteReference"/>
        </w:rPr>
        <w:footnoteRef/>
      </w:r>
      <w:r>
        <w:t>)</w:t>
      </w:r>
      <w:r>
        <w:tab/>
        <w:t>Ce montant vient s’ajouter aux ressources financières qu’il était initialement prévu d’allouer aux États membres au titre des instruments financiers relevant des affaires intérieures pour la période 2021-2027.</w:t>
      </w:r>
    </w:p>
  </w:footnote>
  <w:footnote w:id="37">
    <w:p w14:paraId="4A087EB1" w14:textId="71022825" w:rsidR="0062424B" w:rsidRPr="00482E92" w:rsidRDefault="0089288B" w:rsidP="00CC54E0">
      <w:pPr>
        <w:pStyle w:val="FootnoteText"/>
        <w:spacing w:after="0" w:line="240" w:lineRule="auto"/>
      </w:pPr>
      <w:r>
        <w:t>(</w:t>
      </w:r>
      <w:r>
        <w:rPr>
          <w:rStyle w:val="FootnoteReference"/>
        </w:rPr>
        <w:footnoteRef/>
      </w:r>
      <w:r>
        <w:t>)</w:t>
      </w:r>
      <w:r>
        <w:tab/>
        <w:t xml:space="preserve">Proposition de règlement du Parlement européen et du Conseil modifiant le règlement (UE) 2024/1348 en ce qui concerne l’établissement d’une liste des pays d’origine sûrs au niveau de l’Union et proposition de règlement du Parlement européen et du Conseil modifiant le règlement (UE) 2024/1348 en ce qui concerne l’application du concept de «pays tiers sûr»; </w:t>
      </w:r>
      <w:hyperlink r:id="rId22" w:history="1">
        <w:r>
          <w:rPr>
            <w:rStyle w:val="Hyperlink"/>
          </w:rPr>
          <w:t>https://eur-lex.europa.eu/legal-content/FR/TXT/?uri=celex:52025PC0186</w:t>
        </w:r>
      </w:hyperlink>
      <w:r>
        <w:t xml:space="preserve">; </w:t>
      </w:r>
      <w:hyperlink r:id="rId23" w:history="1">
        <w:r>
          <w:rPr>
            <w:rStyle w:val="Hyperlink"/>
          </w:rPr>
          <w:t>https://eur-lex.europa.eu/legal-content/FR/TXT/?uri=celex:52025PC0259</w:t>
        </w:r>
      </w:hyperlink>
      <w:r>
        <w:t xml:space="preserve">. </w:t>
      </w:r>
    </w:p>
  </w:footnote>
  <w:footnote w:id="38">
    <w:p w14:paraId="362E9D80" w14:textId="3CC9E38A" w:rsidR="00177835" w:rsidRPr="00870D2E" w:rsidRDefault="00177835" w:rsidP="00177835">
      <w:pPr>
        <w:pStyle w:val="FootnoteText"/>
        <w:spacing w:after="0" w:line="240" w:lineRule="auto"/>
      </w:pPr>
      <w:r>
        <w:t>(</w:t>
      </w:r>
      <w:r>
        <w:rPr>
          <w:rStyle w:val="FootnoteReference"/>
        </w:rPr>
        <w:footnoteRef/>
      </w:r>
      <w:r>
        <w:t>)</w:t>
      </w:r>
      <w:r>
        <w:tab/>
        <w:t>Règlement du Parlement européen et du Conseil du 14 mai 2024 relatif à la gestion de l’asile et de la migration, modifiant les règlements (UE) 2021/1147 et (UE) 2021/1060 et abrogeant le règlement (UE) nº 604/2013; https://eur-lex.europa.eu/legal-content/FR/TXT/PDF/?uri=OJ:L_202401351</w:t>
      </w:r>
    </w:p>
  </w:footnote>
  <w:footnote w:id="39">
    <w:p w14:paraId="355CFF35" w14:textId="36D8C939" w:rsidR="00177835" w:rsidRPr="00870D2E" w:rsidRDefault="00177835" w:rsidP="00177835">
      <w:pPr>
        <w:pStyle w:val="FootnoteText"/>
        <w:spacing w:after="0" w:line="240" w:lineRule="auto"/>
      </w:pPr>
      <w:r>
        <w:t>(</w:t>
      </w:r>
      <w:r>
        <w:rPr>
          <w:rStyle w:val="FootnoteReference"/>
        </w:rPr>
        <w:footnoteRef/>
      </w:r>
      <w:r>
        <w:t>)</w:t>
      </w:r>
      <w:r>
        <w:tab/>
        <w:t>Règlement (UE) 2024/1348 du Parlement européen et du Conseil du 14 mai 2024 instituant une procédure commune en matière de protection internationale dans l’Union et abrogeant la directive 2013/32/UE.</w:t>
      </w:r>
    </w:p>
  </w:footnote>
  <w:footnote w:id="40">
    <w:p w14:paraId="33C953DB" w14:textId="108EFCFA" w:rsidR="00DF5222" w:rsidRDefault="00DF5222" w:rsidP="00AD09E4">
      <w:pPr>
        <w:pStyle w:val="FootnoteText"/>
        <w:spacing w:after="0" w:line="240" w:lineRule="auto"/>
      </w:pPr>
      <w:r>
        <w:t>(</w:t>
      </w:r>
      <w:r>
        <w:rPr>
          <w:rStyle w:val="FootnoteReference"/>
        </w:rPr>
        <w:footnoteRef/>
      </w:r>
      <w:r>
        <w:t>)</w:t>
      </w:r>
      <w:r>
        <w:tab/>
        <w:t>Décision d’exécution (UE) 2025/2323 de la Commission du 11 novembre 2025 au titre de l’article 11 du règlement (UE) 2024/1351 du Parlement européen et du Conseil; ELI: http://data.europa.eu/eli/dec_impl/2025/2323/oj.</w:t>
      </w:r>
    </w:p>
  </w:footnote>
  <w:footnote w:id="41">
    <w:p w14:paraId="470FB360" w14:textId="3125D317" w:rsidR="00D130D8" w:rsidRPr="00297A8D" w:rsidRDefault="00D130D8" w:rsidP="00CC54E0">
      <w:pPr>
        <w:pStyle w:val="FootnoteText"/>
        <w:spacing w:after="0" w:line="240" w:lineRule="auto"/>
      </w:pPr>
      <w:r>
        <w:t>(</w:t>
      </w:r>
      <w:r>
        <w:rPr>
          <w:rStyle w:val="FootnoteReference"/>
        </w:rPr>
        <w:footnoteRef/>
      </w:r>
      <w:r>
        <w:t>)</w:t>
      </w:r>
      <w:r>
        <w:tab/>
        <w:t xml:space="preserve">Décision d’exécution (UE) 2025/2642 du Conseil du 19 décembre 2025 établissant la réserve annuelle de solidarité pour 2026, JO L, 2025/2642, 23.12.2025, ELI: </w:t>
      </w:r>
      <w:hyperlink r:id="rId24" w:history="1">
        <w:r>
          <w:rPr>
            <w:rStyle w:val="Hyperlink"/>
          </w:rPr>
          <w:t>http://data.europa.eu/eli/dec_impl/2025/2642/oj</w:t>
        </w:r>
      </w:hyperlink>
      <w:r>
        <w:t xml:space="preserve">. </w:t>
      </w:r>
    </w:p>
  </w:footnote>
  <w:footnote w:id="42">
    <w:p w14:paraId="7E3DACE0" w14:textId="77777777" w:rsidR="00E45634" w:rsidRPr="001F221C" w:rsidRDefault="00E45634" w:rsidP="00C60F49">
      <w:pPr>
        <w:pStyle w:val="FootnoteText"/>
        <w:spacing w:after="0" w:line="240" w:lineRule="auto"/>
      </w:pPr>
      <w:r>
        <w:t>(</w:t>
      </w:r>
      <w:r>
        <w:rPr>
          <w:rStyle w:val="FootnoteReference"/>
        </w:rPr>
        <w:footnoteRef/>
      </w:r>
      <w:r>
        <w:t>)</w:t>
      </w:r>
      <w:r>
        <w:tab/>
        <w:t>La Commission a déjà lancé une étude externe sur la numérisation et l’intégration opérationnelle des systèmes de gestion des dossiers dans les domaines de l’asile, de l’accueil, de Dublin et du retour, afin d’évaluer la situation actuelle dans les États membres et la valeur ajoutée de l’action de l’Union à cet égard.</w:t>
      </w:r>
    </w:p>
  </w:footnote>
  <w:footnote w:id="43">
    <w:p w14:paraId="61EF3F8B" w14:textId="7C094002" w:rsidR="000515E2" w:rsidRPr="00120C14" w:rsidRDefault="000515E2" w:rsidP="00C60F49">
      <w:pPr>
        <w:pStyle w:val="FootnoteText"/>
        <w:spacing w:after="0" w:line="240" w:lineRule="auto"/>
      </w:pPr>
      <w:r>
        <w:t>(</w:t>
      </w:r>
      <w:r>
        <w:rPr>
          <w:rStyle w:val="FootnoteReference"/>
        </w:rPr>
        <w:footnoteRef/>
      </w:r>
      <w:r>
        <w:t>)</w:t>
      </w:r>
      <w:r>
        <w:tab/>
        <w:t xml:space="preserve">Recherche et innovation financées par l’UE dans le domaine de la migration: </w:t>
      </w:r>
      <w:hyperlink r:id="rId25" w:history="1">
        <w:r>
          <w:rPr>
            <w:rStyle w:val="Hyperlink"/>
          </w:rPr>
          <w:t>https://research-and-innovation.ec.europa.eu/research-area/social-sciences-and-humanities/migration-and-mobility_en?prefLang=fr</w:t>
        </w:r>
      </w:hyperlink>
      <w:r>
        <w:t xml:space="preserve">. </w:t>
      </w:r>
    </w:p>
  </w:footnote>
  <w:footnote w:id="44">
    <w:p w14:paraId="0581D1A1" w14:textId="282AFB28" w:rsidR="00DA07D4" w:rsidRPr="00397622" w:rsidRDefault="00DA07D4" w:rsidP="00C60F49">
      <w:pPr>
        <w:pStyle w:val="FootnoteText"/>
        <w:spacing w:after="0" w:line="240" w:lineRule="auto"/>
      </w:pPr>
      <w:r>
        <w:t>(</w:t>
      </w:r>
      <w:r>
        <w:rPr>
          <w:rStyle w:val="FootnoteReference"/>
        </w:rPr>
        <w:footnoteRef/>
      </w:r>
      <w:r>
        <w:t>)</w:t>
      </w:r>
      <w:r>
        <w:tab/>
        <w:t>Article 6 du règlement (UE) 2024/1689; https://eur-lex.europa.eu/eli/reg/2024/1689/oj/fra.</w:t>
      </w:r>
    </w:p>
  </w:footnote>
  <w:footnote w:id="45">
    <w:p w14:paraId="35E1D20A" w14:textId="77777777" w:rsidR="006C010F" w:rsidRDefault="006C010F" w:rsidP="006C010F">
      <w:pPr>
        <w:pStyle w:val="FootnoteText"/>
        <w:spacing w:after="0" w:line="240" w:lineRule="auto"/>
      </w:pPr>
      <w:r>
        <w:t>(</w:t>
      </w:r>
      <w:r>
        <w:rPr>
          <w:rStyle w:val="FootnoteReference"/>
        </w:rPr>
        <w:footnoteRef/>
      </w:r>
      <w:r>
        <w:t>)</w:t>
      </w:r>
      <w:r>
        <w:tab/>
        <w:t>Recommandation du Conseil du 16 septembre 2025 relative à une approche coordonnée de la sortie progressive du régime de protection temporaire dont bénéficient les personnes déplacées en provenance d’Ukraine, ELI: </w:t>
      </w:r>
      <w:hyperlink r:id="rId26" w:tooltip="Permet d’accéder à ce document par l’intermédiaire de son URI ELI." w:history="1">
        <w:r>
          <w:rPr>
            <w:rStyle w:val="Hyperlink"/>
          </w:rPr>
          <w:t>http://data.europa.eu/eli/C/2025/5129/oj</w:t>
        </w:r>
      </w:hyperlink>
      <w:r>
        <w:t>.</w:t>
      </w:r>
    </w:p>
  </w:footnote>
  <w:footnote w:id="46">
    <w:p w14:paraId="36F048C6" w14:textId="788BC574" w:rsidR="0017065F" w:rsidRPr="00036AE3" w:rsidRDefault="0017065F" w:rsidP="00E30D48">
      <w:pPr>
        <w:pStyle w:val="FootnoteText"/>
        <w:spacing w:after="0" w:line="240" w:lineRule="auto"/>
      </w:pPr>
      <w:r>
        <w:t>(</w:t>
      </w:r>
      <w:r>
        <w:rPr>
          <w:rStyle w:val="FootnoteReference"/>
        </w:rPr>
        <w:footnoteRef/>
      </w:r>
      <w:r>
        <w:t>)</w:t>
      </w:r>
      <w:r>
        <w:tab/>
        <w:t>Y compris avec le soutien de l’envoyé spécial pour les Ukrainiens dans l’UE, qui a également dialogué avec les États membres et l’Ukraine.</w:t>
      </w:r>
    </w:p>
  </w:footnote>
  <w:footnote w:id="47">
    <w:p w14:paraId="07E81B58" w14:textId="78A7F17D" w:rsidR="000872B0" w:rsidRDefault="000872B0" w:rsidP="00923154">
      <w:pPr>
        <w:pStyle w:val="FootnoteText"/>
        <w:spacing w:after="0" w:line="240" w:lineRule="auto"/>
      </w:pPr>
      <w:r>
        <w:t>(</w:t>
      </w:r>
      <w:r>
        <w:rPr>
          <w:rStyle w:val="FootnoteReference"/>
        </w:rPr>
        <w:footnoteRef/>
      </w:r>
      <w:r>
        <w:t>)</w:t>
      </w:r>
      <w:r>
        <w:tab/>
        <w:t xml:space="preserve">Proposition de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 </w:t>
      </w:r>
      <w:hyperlink r:id="rId27" w:history="1">
        <w:r>
          <w:rPr>
            <w:rStyle w:val="Hyperlink"/>
          </w:rPr>
          <w:t>https://eur-lex.europa.eu/legal-content/FR/TXT/?uri=celex:52025PC0101</w:t>
        </w:r>
      </w:hyperlink>
      <w:r>
        <w:t xml:space="preserve">. </w:t>
      </w:r>
    </w:p>
  </w:footnote>
  <w:footnote w:id="48">
    <w:p w14:paraId="3FF58B0C" w14:textId="3744515F" w:rsidR="002757C3" w:rsidRDefault="002757C3" w:rsidP="0039211E">
      <w:pPr>
        <w:pStyle w:val="FootnoteText"/>
        <w:spacing w:after="0" w:line="240" w:lineRule="auto"/>
      </w:pPr>
      <w:r>
        <w:t>(</w:t>
      </w:r>
      <w:r>
        <w:rPr>
          <w:rStyle w:val="FootnoteReference"/>
        </w:rPr>
        <w:footnoteRef/>
      </w:r>
      <w:r>
        <w:t>)</w:t>
      </w:r>
      <w:r>
        <w:tab/>
        <w:t xml:space="preserve">Règlement du Parlement européen et du Conseil du 14 mai 2024 instituant une procédure de retour à la frontière et modifiant le règlement (UE) 2021/1148; ELI: </w:t>
      </w:r>
      <w:hyperlink r:id="rId28" w:history="1">
        <w:r>
          <w:rPr>
            <w:rStyle w:val="Hyperlink"/>
          </w:rPr>
          <w:t>http://data.europa.eu/eli/reg/2024/1349/oj</w:t>
        </w:r>
      </w:hyperlink>
      <w:r>
        <w:t>.</w:t>
      </w:r>
    </w:p>
  </w:footnote>
  <w:footnote w:id="49">
    <w:p w14:paraId="6272D586" w14:textId="4C15895E" w:rsidR="00A7291D" w:rsidRPr="00E72DAD" w:rsidRDefault="00A7291D" w:rsidP="00A7291D">
      <w:pPr>
        <w:pStyle w:val="FootnoteText"/>
        <w:spacing w:after="0" w:line="240" w:lineRule="auto"/>
      </w:pPr>
      <w:r>
        <w:t>(</w:t>
      </w:r>
      <w:r>
        <w:rPr>
          <w:rStyle w:val="FootnoteReference"/>
        </w:rPr>
        <w:footnoteRef/>
      </w:r>
      <w:r>
        <w:t>)</w:t>
      </w:r>
      <w:r>
        <w:tab/>
        <w:t xml:space="preserve">Proposition de règlement du Parlement européen et du Conseil établissant un système commun en matière de retour des ressortissants de pays tiers en séjour irrégulier dans l’Union, et abrogeant la directive 2008/115/CE du Parlement européen et du Conseil, la directive 2001/40/CE du Conseil et la décision 2004/191/CE du Conseil; </w:t>
      </w:r>
      <w:hyperlink r:id="rId29" w:history="1">
        <w:r>
          <w:rPr>
            <w:rStyle w:val="Hyperlink"/>
          </w:rPr>
          <w:t>EUR-Lex - 52025PC0101 - FR - EUR-Lex</w:t>
        </w:r>
      </w:hyperlink>
      <w:r>
        <w:t>.</w:t>
      </w:r>
    </w:p>
  </w:footnote>
  <w:footnote w:id="50">
    <w:p w14:paraId="26379C5C" w14:textId="13F1E5BB" w:rsidR="00CC2D23" w:rsidRPr="00870D2E" w:rsidRDefault="00CC2D23" w:rsidP="00CC2D23">
      <w:pPr>
        <w:pStyle w:val="FootnoteText"/>
        <w:spacing w:after="0" w:line="240" w:lineRule="auto"/>
      </w:pPr>
      <w:r>
        <w:t>(</w:t>
      </w:r>
      <w:r>
        <w:rPr>
          <w:rStyle w:val="FootnoteReference"/>
        </w:rPr>
        <w:footnoteRef/>
      </w:r>
      <w:r>
        <w:t>)</w:t>
      </w:r>
      <w:r>
        <w:tab/>
        <w:t>Règlement (CE) nº 810/2009 du Parlement européen et du Conseil du 13 juillet 2009 établissant un code communautaire des visas (code des visas); https://eur-lex.europa.eu/eli/reg/2009/810/oj/fra.</w:t>
      </w:r>
    </w:p>
  </w:footnote>
  <w:footnote w:id="51">
    <w:p w14:paraId="0514E806" w14:textId="4206F340" w:rsidR="001A6F6A" w:rsidRPr="00242B69" w:rsidRDefault="001A6F6A" w:rsidP="001A6F6A">
      <w:pPr>
        <w:pStyle w:val="FootnoteText"/>
        <w:spacing w:after="0" w:line="240" w:lineRule="auto"/>
      </w:pPr>
      <w:r>
        <w:t>(</w:t>
      </w:r>
      <w:r>
        <w:rPr>
          <w:rStyle w:val="FootnoteReference"/>
        </w:rPr>
        <w:footnoteRef/>
      </w:r>
      <w:r>
        <w:t>)</w:t>
      </w:r>
      <w:r>
        <w:tab/>
        <w:t>L’UE a conclu des accords de réadmission avec Hong Kong, Macao, le Sri Lanka, l’Albanie, la Russie, l’Ukraine, la Macédoine du Nord, la Bosnie-Herzégovine, le Monténégro, la Serbie, la Moldavie, le Pakistan, la Géorgie, l’Arménie, l’Azerbaïdjan, la Turquie, Cabo Verde et la Biélorussie, ainsi que des arrangements de réadmission avec l’Afghanistan, la Gambie, la Guinée, le Bangladesh, l’Éthiopie et la Côte d’Ivoire. L’obligation de réadmettre ses propres ressortissants fait également partie d’autres instruments internationaux, notamment les accords de partenariat et de coopération (APC) et l’accord de Samoa conclu avec 77 pays d’Afrique, des Caraïbes et du Pacifique.</w:t>
      </w:r>
    </w:p>
  </w:footnote>
  <w:footnote w:id="52">
    <w:p w14:paraId="4817BD32" w14:textId="6943668F" w:rsidR="00E22963" w:rsidRDefault="00E22963" w:rsidP="004A7C77">
      <w:pPr>
        <w:pStyle w:val="FootnoteText"/>
        <w:spacing w:after="0" w:line="240" w:lineRule="auto"/>
      </w:pPr>
      <w:r>
        <w:t>(</w:t>
      </w:r>
      <w:r>
        <w:rPr>
          <w:rStyle w:val="FootnoteReference"/>
        </w:rPr>
        <w:footnoteRef/>
      </w:r>
      <w:r>
        <w:t>)</w:t>
      </w:r>
      <w:r>
        <w:tab/>
        <w:t xml:space="preserve">Communication de la Commission au Parlement européen, au Conseil, au Comité économique et social européen et au Comité des régions intitulée «Mettre à profit les talents dans les régions européennes»; </w:t>
      </w:r>
      <w:hyperlink r:id="rId30" w:history="1">
        <w:r>
          <w:rPr>
            <w:rStyle w:val="Hyperlink"/>
          </w:rPr>
          <w:t>EUR-Lex - 52023DC0032 - FR - EUR-Lex</w:t>
        </w:r>
      </w:hyperlink>
      <w:r>
        <w:t>.</w:t>
      </w:r>
    </w:p>
  </w:footnote>
  <w:footnote w:id="53">
    <w:p w14:paraId="3DDA93F0" w14:textId="60817924" w:rsidR="00A7291D" w:rsidRPr="008E1B1E" w:rsidRDefault="00A7291D" w:rsidP="000D016D">
      <w:pPr>
        <w:pStyle w:val="FootnoteText"/>
        <w:spacing w:after="0" w:line="240" w:lineRule="auto"/>
      </w:pPr>
      <w:r>
        <w:t>(</w:t>
      </w:r>
      <w:r>
        <w:rPr>
          <w:rStyle w:val="FootnoteReference"/>
        </w:rPr>
        <w:footnoteRef/>
      </w:r>
      <w:r>
        <w:t>)</w:t>
      </w:r>
      <w:r>
        <w:tab/>
        <w:t xml:space="preserve">Communication de la Commission au Parlement européen, au Conseil, au Comité économique et social européen et au Comité des régions intitulée «L’union des compétences»; </w:t>
      </w:r>
      <w:hyperlink r:id="rId31" w:history="1">
        <w:r>
          <w:rPr>
            <w:rStyle w:val="Hyperlink"/>
          </w:rPr>
          <w:t>EUR-Lex - 52025DC0090 - FR - EUR-Lex</w:t>
        </w:r>
      </w:hyperlink>
      <w:r>
        <w:t>.</w:t>
      </w:r>
    </w:p>
  </w:footnote>
  <w:footnote w:id="54">
    <w:p w14:paraId="358255F2" w14:textId="5B75A7DC" w:rsidR="00E27C7F" w:rsidRPr="00E27C7F" w:rsidRDefault="00E27C7F">
      <w:pPr>
        <w:pStyle w:val="FootnoteText"/>
      </w:pPr>
      <w:r>
        <w:t>(</w:t>
      </w:r>
      <w:r>
        <w:rPr>
          <w:rStyle w:val="FootnoteReference"/>
        </w:rPr>
        <w:footnoteRef/>
      </w:r>
      <w:r>
        <w:t>)</w:t>
      </w:r>
      <w:r>
        <w:tab/>
        <w:t xml:space="preserve">Communication de la Commission au Parlement européen, au Conseil, au Comité économique et social européen et au Comité des régions intitulée «L’évolution démographique en Europe: une panoplie d’instruments d’action; </w:t>
      </w:r>
      <w:hyperlink r:id="rId32" w:history="1">
        <w:r>
          <w:rPr>
            <w:rStyle w:val="Hyperlink"/>
          </w:rPr>
          <w:t>EUR-Lex - 52023DC0577 - FR - EUR-Lex</w:t>
        </w:r>
      </w:hyperlink>
      <w:r>
        <w:t>.</w:t>
      </w:r>
    </w:p>
  </w:footnote>
  <w:footnote w:id="55">
    <w:p w14:paraId="3C6ED1D9" w14:textId="1FAEC08F" w:rsidR="008B1944" w:rsidRPr="00E67140" w:rsidRDefault="00F1306F" w:rsidP="00CC54E0">
      <w:pPr>
        <w:pStyle w:val="FootnoteText"/>
        <w:spacing w:after="0" w:line="240" w:lineRule="auto"/>
      </w:pPr>
      <w:r>
        <w:t>(</w:t>
      </w:r>
      <w:r>
        <w:rPr>
          <w:rStyle w:val="FootnoteReference"/>
        </w:rPr>
        <w:footnoteRef/>
      </w:r>
      <w:r>
        <w:t xml:space="preserve">) </w:t>
      </w:r>
      <w:r>
        <w:tab/>
        <w:t>Choisir l’Europe: faire progresser sa carrière de chercheur dans l’UE; https://commission.europa.eu/topics/research-and-innovation/choose-europe_en?prefLang=fr</w:t>
      </w:r>
    </w:p>
  </w:footnote>
  <w:footnote w:id="56">
    <w:p w14:paraId="635C9142" w14:textId="73192316" w:rsidR="0075083E" w:rsidRDefault="0075083E" w:rsidP="00AE5F1E">
      <w:pPr>
        <w:pStyle w:val="FootnoteText"/>
        <w:spacing w:after="0" w:line="240" w:lineRule="auto"/>
        <w:ind w:left="0" w:firstLine="0"/>
      </w:pPr>
    </w:p>
  </w:footnote>
  <w:footnote w:id="57">
    <w:p w14:paraId="320E0CBB" w14:textId="41705951" w:rsidR="00792BF3" w:rsidRPr="0031456A" w:rsidRDefault="00792BF3" w:rsidP="00B15A10">
      <w:pPr>
        <w:pStyle w:val="FootnoteText"/>
        <w:spacing w:after="0" w:line="240" w:lineRule="auto"/>
      </w:pPr>
      <w:r>
        <w:t>(</w:t>
      </w:r>
      <w:r>
        <w:rPr>
          <w:rStyle w:val="FootnoteReference"/>
        </w:rPr>
        <w:footnoteRef/>
      </w:r>
      <w:r>
        <w:t>)</w:t>
      </w:r>
      <w:r>
        <w:tab/>
        <w:t>Les règles de l’UE couvrent les conditions d’entrée et de séjour de certaines catégories de travailleurs (travailleurs hautement qualifiés, travailleurs saisonniers et personnes faisant l’objet d’un transfert temporaire intragroupe), des étudiants et des chercheurs, le droit au regroupement familial et le «séjour de longue durée». Le droit de l’Union instaure aussi une procédure unique – et un permis unique – pour les travailleurs originaires de pays tiers admis dans le cadre des systèmes nationaux des États membres. À l’heure actuelle, les règles de l’Union ne concernent pas d’autres catégories de travailleurs migrants ni les travailleurs indépendants.</w:t>
      </w:r>
    </w:p>
  </w:footnote>
  <w:footnote w:id="58">
    <w:p w14:paraId="4F3B0A89" w14:textId="2A3AC99B" w:rsidR="008276C4" w:rsidRPr="001E16F4" w:rsidRDefault="008276C4" w:rsidP="00EF3C3B">
      <w:pPr>
        <w:pStyle w:val="FootnoteText"/>
        <w:spacing w:after="0" w:line="240" w:lineRule="auto"/>
        <w:rPr>
          <w:highlight w:val="yellow"/>
        </w:rPr>
      </w:pPr>
      <w:r>
        <w:t>(</w:t>
      </w:r>
      <w:r>
        <w:rPr>
          <w:rStyle w:val="FootnoteReference"/>
        </w:rPr>
        <w:footnoteRef/>
      </w:r>
      <w:r>
        <w:t>)</w:t>
      </w:r>
      <w:r>
        <w:tab/>
        <w:t>COM(2026) 43.</w:t>
      </w:r>
    </w:p>
  </w:footnote>
  <w:footnote w:id="59">
    <w:p w14:paraId="562A3AC2" w14:textId="2EFB5809" w:rsidR="00EF3C3B" w:rsidRPr="00B73CE1" w:rsidRDefault="00EF3C3B" w:rsidP="00EF3C3B">
      <w:pPr>
        <w:pStyle w:val="FootnoteText"/>
        <w:spacing w:after="0" w:line="240" w:lineRule="auto"/>
      </w:pPr>
      <w:r>
        <w:t>(</w:t>
      </w:r>
      <w:r>
        <w:rPr>
          <w:rStyle w:val="FootnoteReference"/>
        </w:rPr>
        <w:footnoteRef/>
      </w:r>
      <w:r>
        <w:t>)</w:t>
      </w:r>
      <w:r>
        <w:tab/>
        <w:t>C(2026) 462.</w:t>
      </w:r>
    </w:p>
  </w:footnote>
  <w:footnote w:id="60">
    <w:p w14:paraId="15C2AF21" w14:textId="0661FD36" w:rsidR="00864B83" w:rsidRPr="00E67140" w:rsidRDefault="00864B83" w:rsidP="00EF3C3B">
      <w:pPr>
        <w:pStyle w:val="FootnoteText"/>
        <w:spacing w:after="0" w:line="240" w:lineRule="auto"/>
      </w:pPr>
      <w:r>
        <w:t>(</w:t>
      </w:r>
      <w:r>
        <w:rPr>
          <w:rStyle w:val="FootnoteReference"/>
        </w:rPr>
        <w:footnoteRef/>
      </w:r>
      <w:r>
        <w:t>)</w:t>
      </w:r>
      <w:r>
        <w:tab/>
        <w:t xml:space="preserve">Recommandation (UE) 2023/2611 de la Commission du 15 novembre 2023 sur la reconnaissance des qualifications des ressortissants de pays tiers, C/2023/7700, JO L, 2023/2611, 24.11.2023, ELI: </w:t>
      </w:r>
      <w:hyperlink r:id="rId33" w:history="1">
        <w:r>
          <w:rPr>
            <w:rStyle w:val="Hyperlink"/>
          </w:rPr>
          <w:t>http://data.europa.eu/eli/reco/2023/2611/oj</w:t>
        </w:r>
      </w:hyperlink>
      <w:r>
        <w:t xml:space="preserve">. </w:t>
      </w:r>
    </w:p>
  </w:footnote>
  <w:footnote w:id="61">
    <w:p w14:paraId="6404562A" w14:textId="2303323E" w:rsidR="00A25229" w:rsidRPr="00FF5736" w:rsidRDefault="00A25229" w:rsidP="00B15A10">
      <w:pPr>
        <w:pStyle w:val="FootnoteText"/>
        <w:spacing w:after="0" w:line="240" w:lineRule="auto"/>
      </w:pPr>
      <w:r>
        <w:t>(</w:t>
      </w:r>
      <w:r>
        <w:rPr>
          <w:rStyle w:val="FootnoteReference"/>
        </w:rPr>
        <w:footnoteRef/>
      </w:r>
      <w:r>
        <w:t>)</w:t>
      </w:r>
      <w:r>
        <w:tab/>
        <w:t xml:space="preserve">Directive 2009/52/CE du Parlement européen et du Conseil du 18 juin 2009 prévoyant des normes minimales concernant les sanctions et les mesures à l’encontre des employeurs de ressortissants de pays tiers en séjour irrégulier; https://eur-lex.europa.eu/eli/dir/2009/52/oj/fra </w:t>
      </w:r>
    </w:p>
  </w:footnote>
  <w:footnote w:id="62">
    <w:p w14:paraId="75F6CA80" w14:textId="24399D20" w:rsidR="00516372" w:rsidRPr="00C51349" w:rsidRDefault="00516372" w:rsidP="00C51349">
      <w:pPr>
        <w:pStyle w:val="FootnoteText"/>
        <w:spacing w:after="0" w:line="240" w:lineRule="auto"/>
      </w:pPr>
      <w:r>
        <w:t>(</w:t>
      </w:r>
      <w:r>
        <w:rPr>
          <w:rStyle w:val="FootnoteReference"/>
        </w:rPr>
        <w:footnoteRef/>
      </w:r>
      <w:r>
        <w:t>)</w:t>
      </w:r>
      <w:r>
        <w:tab/>
        <w:t>Communication de la Commission au Parlement européen, au Conseil, au Comité économique et social européen et au Comité des régions intitulée «Feuille de route pour des emplois de qualité», COM(2025) 944 final.</w:t>
      </w:r>
    </w:p>
  </w:footnote>
  <w:footnote w:id="63">
    <w:p w14:paraId="66E731D0" w14:textId="2D5ADF80" w:rsidR="00DE6A82" w:rsidRPr="00CC0646" w:rsidRDefault="00DE6A82" w:rsidP="00DE6A82">
      <w:pPr>
        <w:pStyle w:val="FootnoteText"/>
        <w:spacing w:after="0" w:line="240" w:lineRule="auto"/>
      </w:pPr>
      <w:r>
        <w:t>(</w:t>
      </w:r>
      <w:r>
        <w:rPr>
          <w:rStyle w:val="FootnoteReference"/>
        </w:rPr>
        <w:footnoteRef/>
      </w:r>
      <w:r>
        <w:t>)</w:t>
      </w:r>
      <w:r>
        <w:tab/>
        <w:t>Directive 2014/36/UE du Parlement européen et du Conseil du 26 février 2014 établissant les conditions d’entrée et de séjour des ressortissants de pays tiers aux fins d’un emploi en tant que travailleur saisonnier.</w:t>
      </w:r>
    </w:p>
  </w:footnote>
  <w:footnote w:id="64">
    <w:p w14:paraId="144CD857" w14:textId="6B2EE75E" w:rsidR="00C93698" w:rsidRPr="00C51349" w:rsidRDefault="00C93698" w:rsidP="00C51349">
      <w:pPr>
        <w:pStyle w:val="FootnoteText"/>
        <w:spacing w:after="0" w:line="240" w:lineRule="auto"/>
      </w:pPr>
      <w:r>
        <w:t>(</w:t>
      </w:r>
      <w:r>
        <w:rPr>
          <w:rStyle w:val="FootnoteReference"/>
        </w:rPr>
        <w:footnoteRef/>
      </w:r>
      <w:r>
        <w:t>)</w:t>
      </w:r>
      <w:r>
        <w:tab/>
        <w:t>Directive 2009/52/CE du Parlement européen et du Conseil du 18 juin 2009 prévoyant des normes minimales concernant les sanctions et les mesures à l’encontre des employeurs de ressortissants de pays tiers en séjour irrégulier, JO L 168 du 30.6.2009, p. 24.</w:t>
      </w:r>
    </w:p>
  </w:footnote>
  <w:footnote w:id="65">
    <w:p w14:paraId="7F5B3C19" w14:textId="70869AC3" w:rsidR="00C93698" w:rsidRPr="00C51349" w:rsidRDefault="00C93698" w:rsidP="00C51349">
      <w:pPr>
        <w:pStyle w:val="FootnoteText"/>
        <w:spacing w:after="0" w:line="240" w:lineRule="auto"/>
      </w:pPr>
      <w:r>
        <w:t>(</w:t>
      </w:r>
      <w:r>
        <w:rPr>
          <w:rStyle w:val="FootnoteReference"/>
        </w:rPr>
        <w:footnoteRef/>
      </w:r>
      <w:r>
        <w:t>)</w:t>
      </w:r>
      <w:r>
        <w:tab/>
        <w:t xml:space="preserve">Directive (UE) 2024/1233 du Parlement européen et du Conseil du 24 avril 2024 établissant une procédure de demande unique en vue de la délivrance d’un permis unique autorisant les ressortissants de pays tiers à résider et à travailler sur le territoire d’un État membre et établissant un socle commun de droits pour les travailleurs issus de pays tiers qui résident légalement dans un État membre (refonte), PE/93/2023/REV/1, JO L, 2024/1233, 30.4.2024, ELI: </w:t>
      </w:r>
      <w:hyperlink r:id="rId34" w:history="1">
        <w:r>
          <w:rPr>
            <w:rStyle w:val="Hyperlink"/>
          </w:rPr>
          <w:t>http://data.europa.eu/eli/dir/2024/1233/oj</w:t>
        </w:r>
      </w:hyperlink>
      <w:r>
        <w:t xml:space="preserve"> </w:t>
      </w:r>
    </w:p>
  </w:footnote>
  <w:footnote w:id="66">
    <w:p w14:paraId="68D4A19B" w14:textId="00DFAF37" w:rsidR="00112500" w:rsidRPr="008B33DF" w:rsidRDefault="00112500" w:rsidP="007C6278">
      <w:pPr>
        <w:pStyle w:val="FootnoteText"/>
        <w:spacing w:after="0" w:line="240" w:lineRule="auto"/>
      </w:pPr>
      <w:r>
        <w:t>(</w:t>
      </w:r>
      <w:r>
        <w:rPr>
          <w:rStyle w:val="FootnoteReference"/>
        </w:rPr>
        <w:footnoteRef/>
      </w:r>
      <w:r>
        <w:t>)</w:t>
      </w:r>
      <w:r>
        <w:tab/>
        <w:t xml:space="preserve">Communication de la Commission au Parlement européen, au Conseil, au Comité économique et social européen et au Comité des régions intitulée «Plan d’action en faveur de l’intégration et de l’inclusion pour la période 2021-2027»; </w:t>
      </w:r>
      <w:hyperlink r:id="rId35" w:history="1">
        <w:r>
          <w:rPr>
            <w:rStyle w:val="Hyperlink"/>
          </w:rPr>
          <w:t>https://eur-lex.europa.eu/legal-content/FR/TXT/?uri=CELEX%3A52020DC0758</w:t>
        </w:r>
      </w:hyperlink>
      <w:r>
        <w:t xml:space="preserve">, et document de travail des services de la Commission consistant dans l’examen à mi-parcours du plan d’action de la Commission en faveur de l’intégration et de l’inclusion pour la période 2021-2027; </w:t>
      </w:r>
      <w:hyperlink r:id="rId36" w:history="1">
        <w:r>
          <w:rPr>
            <w:rStyle w:val="Hyperlink"/>
          </w:rPr>
          <w:t>https://eur-lex.europa.eu/legal-content/EN/TXT/?uri=CELEX%3A52025SC0162</w:t>
        </w:r>
      </w:hyperlink>
      <w:r>
        <w:t>.</w:t>
      </w:r>
    </w:p>
  </w:footnote>
  <w:footnote w:id="67">
    <w:p w14:paraId="740A649E" w14:textId="45E2074B" w:rsidR="00114E88" w:rsidRDefault="00114E88" w:rsidP="000079F3">
      <w:pPr>
        <w:pStyle w:val="FootnoteText"/>
        <w:spacing w:after="0" w:line="240" w:lineRule="auto"/>
      </w:pPr>
      <w:r>
        <w:t>(</w:t>
      </w:r>
      <w:r>
        <w:rPr>
          <w:rStyle w:val="FootnoteReference"/>
        </w:rPr>
        <w:footnoteRef/>
      </w:r>
      <w:r>
        <w:t>)</w:t>
      </w:r>
      <w:r>
        <w:tab/>
      </w:r>
      <w:hyperlink r:id="rId37" w:history="1">
        <w:r>
          <w:rPr>
            <w:rStyle w:val="Hyperlink"/>
          </w:rPr>
          <w:t>https://ec.europa.eu/regional_policy/information-sources/publications/communications/2025/eu-agenda-for-cities-2025_fr</w:t>
        </w:r>
      </w:hyperlink>
      <w:r>
        <w:t xml:space="preserve"> </w:t>
      </w:r>
    </w:p>
  </w:footnote>
  <w:footnote w:id="68">
    <w:p w14:paraId="4A97E875" w14:textId="0B3E9258" w:rsidR="00C56A17" w:rsidRDefault="00C56A17" w:rsidP="000079F3">
      <w:pPr>
        <w:pStyle w:val="FootnoteText"/>
        <w:spacing w:after="0" w:line="240" w:lineRule="auto"/>
      </w:pPr>
      <w:r>
        <w:t>(</w:t>
      </w:r>
      <w:r>
        <w:rPr>
          <w:rStyle w:val="FootnoteReference"/>
        </w:rPr>
        <w:footnoteRef/>
      </w:r>
      <w:r>
        <w:t>)</w:t>
      </w:r>
      <w:r>
        <w:tab/>
      </w:r>
      <w:hyperlink r:id="rId38" w:history="1">
        <w:r>
          <w:rPr>
            <w:rStyle w:val="Hyperlink"/>
          </w:rPr>
          <w:t>https://www.urbanagenda.urban-initiative.eu/</w:t>
        </w:r>
      </w:hyperlink>
      <w:r>
        <w:t xml:space="preserve"> </w:t>
      </w:r>
    </w:p>
  </w:footnote>
  <w:footnote w:id="69">
    <w:p w14:paraId="5B0F24DF" w14:textId="40894FEC" w:rsidR="009222E5" w:rsidRDefault="009222E5" w:rsidP="000079F3">
      <w:pPr>
        <w:pStyle w:val="FootnoteText"/>
        <w:spacing w:after="0" w:line="240" w:lineRule="auto"/>
      </w:pPr>
      <w:r>
        <w:t>(</w:t>
      </w:r>
      <w:r>
        <w:rPr>
          <w:rStyle w:val="FootnoteReference"/>
        </w:rPr>
        <w:footnoteRef/>
      </w:r>
      <w:r>
        <w:t>)</w:t>
      </w:r>
      <w:r>
        <w:tab/>
      </w:r>
      <w:hyperlink r:id="rId39" w:history="1">
        <w:r>
          <w:rPr>
            <w:rStyle w:val="Hyperlink"/>
          </w:rPr>
          <w:t>https://rural-vision.europa.eu/action-plan_fr</w:t>
        </w:r>
      </w:hyperlink>
    </w:p>
  </w:footnote>
  <w:footnote w:id="70">
    <w:p w14:paraId="37C69BB9" w14:textId="77777777" w:rsidR="00F83982" w:rsidRPr="00676E46" w:rsidRDefault="00F83982" w:rsidP="007C6278">
      <w:pPr>
        <w:pStyle w:val="FootnoteText"/>
        <w:spacing w:after="0" w:line="240" w:lineRule="auto"/>
      </w:pPr>
      <w:r>
        <w:t>(</w:t>
      </w:r>
      <w:r>
        <w:rPr>
          <w:rStyle w:val="FootnoteReference"/>
        </w:rPr>
        <w:footnoteRef/>
      </w:r>
      <w:r>
        <w:t>)</w:t>
      </w:r>
      <w:r>
        <w:tab/>
        <w:t>Réseau européen d’intégration, groupe d’experts sur le point de vue des migrants dans le domaine de la migration, de l’asile et de l’intégration, Forum européen sur la migration.</w:t>
      </w:r>
    </w:p>
  </w:footnote>
  <w:footnote w:id="71">
    <w:p w14:paraId="5A98272A" w14:textId="7BA0AC70" w:rsidR="00844A07" w:rsidRPr="00F62F8A" w:rsidRDefault="00844A07" w:rsidP="003E18BB">
      <w:pPr>
        <w:pStyle w:val="FootnoteText"/>
        <w:spacing w:after="0" w:line="240" w:lineRule="auto"/>
      </w:pPr>
      <w:r>
        <w:t>(</w:t>
      </w:r>
      <w:r>
        <w:rPr>
          <w:rStyle w:val="FootnoteReference"/>
        </w:rPr>
        <w:footnoteRef/>
      </w:r>
      <w:r>
        <w:t>)</w:t>
      </w:r>
      <w:r>
        <w:tab/>
        <w:t>La stratégie en faveur de l’égalité entre les hommes et les femmes 2020-2025, la stratégie 2026-2030 en faveur de l’égalité de traitement à l’égard des personnes LGBTIQ+ et la stratégie de lutte contre le racisme 2026-2030.</w:t>
      </w:r>
    </w:p>
  </w:footnote>
  <w:footnote w:id="72">
    <w:p w14:paraId="647D4A4E" w14:textId="23663322" w:rsidR="000A72F1" w:rsidRPr="000079F3" w:rsidRDefault="000A72F1" w:rsidP="00E40844">
      <w:pPr>
        <w:pStyle w:val="FootnoteText"/>
        <w:spacing w:after="0" w:line="240" w:lineRule="auto"/>
      </w:pPr>
      <w:r>
        <w:t>(</w:t>
      </w:r>
      <w:r>
        <w:rPr>
          <w:rStyle w:val="FootnoteReference"/>
        </w:rPr>
        <w:footnoteRef/>
      </w:r>
      <w:r>
        <w:t>)</w:t>
      </w:r>
      <w:r>
        <w:tab/>
        <w:t>Ce montant comprend les dotations aux États membres initialement convenues, les transferts effectués par les États membres à partir d’autres fonds et les compléments apportés aux États membres au titre du mécanisme thématique de l’IGFV.</w:t>
      </w:r>
    </w:p>
  </w:footnote>
  <w:footnote w:id="73">
    <w:p w14:paraId="4FC396A2" w14:textId="182C5CAC" w:rsidR="00A23D99" w:rsidRPr="00E40844" w:rsidRDefault="00A23D99" w:rsidP="00E40844">
      <w:pPr>
        <w:pStyle w:val="FootnoteText"/>
        <w:spacing w:after="0" w:line="240" w:lineRule="auto"/>
      </w:pPr>
      <w:r>
        <w:t>(</w:t>
      </w:r>
      <w:r>
        <w:rPr>
          <w:rStyle w:val="FootnoteReference"/>
        </w:rPr>
        <w:footnoteRef/>
      </w:r>
      <w:r>
        <w:t>)</w:t>
      </w:r>
      <w:r>
        <w:tab/>
        <w:t>Ce montant comprend les dotations aux États membres initialement convenues, les transferts effectués par les États membres à partir d’autres fonds et les compléments apportés aux États membres au titre du mécanisme thématique du Fonds «Asile, migration et intégration».</w:t>
      </w:r>
    </w:p>
  </w:footnote>
  <w:footnote w:id="74">
    <w:p w14:paraId="2F449366" w14:textId="526BFCA5" w:rsidR="005E2C50" w:rsidRDefault="005E2C50">
      <w:pPr>
        <w:pStyle w:val="FootnoteText"/>
      </w:pPr>
      <w:r>
        <w:t>(</w:t>
      </w:r>
      <w:r>
        <w:rPr>
          <w:rStyle w:val="FootnoteReference"/>
        </w:rPr>
        <w:footnoteRef/>
      </w:r>
      <w:r>
        <w:t>)</w:t>
      </w:r>
      <w:r>
        <w:tab/>
        <w:t xml:space="preserve">Proposition de règlement du Parlement européen et du Conseil établissant «Europe dans le monde»; </w:t>
      </w:r>
      <w:hyperlink r:id="rId40" w:history="1">
        <w:r>
          <w:rPr>
            <w:rStyle w:val="Hyperlink"/>
          </w:rPr>
          <w:t>EUR-Lex - 52025PC0551 - FR - EUR-Lex</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E2A66" w14:textId="77777777" w:rsidR="00802821" w:rsidRPr="00802821" w:rsidRDefault="00802821" w:rsidP="0080282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0C399" w14:textId="77777777" w:rsidR="00802821" w:rsidRPr="00802821" w:rsidRDefault="00802821" w:rsidP="0080282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EA49B" w14:textId="77777777" w:rsidR="00802821" w:rsidRPr="00802821" w:rsidRDefault="00802821" w:rsidP="0080282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311DB" w14:textId="77777777" w:rsidR="006049C0" w:rsidRDefault="006049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C8686" w14:textId="77777777" w:rsidR="006049C0" w:rsidRDefault="006049C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282D6" w14:textId="77777777" w:rsidR="006049C0" w:rsidRDefault="00604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04DE372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4272DEF"/>
    <w:multiLevelType w:val="hybridMultilevel"/>
    <w:tmpl w:val="FFFFFFFF"/>
    <w:lvl w:ilvl="0" w:tplc="681EB0A0">
      <w:start w:val="1"/>
      <w:numFmt w:val="lowerRoman"/>
      <w:lvlText w:val="%1."/>
      <w:lvlJc w:val="right"/>
      <w:pPr>
        <w:ind w:left="720" w:hanging="360"/>
      </w:pPr>
    </w:lvl>
    <w:lvl w:ilvl="1" w:tplc="8DB013F6">
      <w:start w:val="1"/>
      <w:numFmt w:val="lowerLetter"/>
      <w:lvlText w:val="%2."/>
      <w:lvlJc w:val="left"/>
      <w:pPr>
        <w:ind w:left="1440" w:hanging="360"/>
      </w:pPr>
    </w:lvl>
    <w:lvl w:ilvl="2" w:tplc="188AEF22">
      <w:start w:val="1"/>
      <w:numFmt w:val="lowerRoman"/>
      <w:lvlText w:val="%3."/>
      <w:lvlJc w:val="right"/>
      <w:pPr>
        <w:ind w:left="2160" w:hanging="180"/>
      </w:pPr>
    </w:lvl>
    <w:lvl w:ilvl="3" w:tplc="8C3C7394">
      <w:start w:val="1"/>
      <w:numFmt w:val="decimal"/>
      <w:lvlText w:val="%4."/>
      <w:lvlJc w:val="left"/>
      <w:pPr>
        <w:ind w:left="2880" w:hanging="360"/>
      </w:pPr>
    </w:lvl>
    <w:lvl w:ilvl="4" w:tplc="8836F238">
      <w:start w:val="1"/>
      <w:numFmt w:val="lowerLetter"/>
      <w:lvlText w:val="%5."/>
      <w:lvlJc w:val="left"/>
      <w:pPr>
        <w:ind w:left="3600" w:hanging="360"/>
      </w:pPr>
    </w:lvl>
    <w:lvl w:ilvl="5" w:tplc="18E08C38">
      <w:start w:val="1"/>
      <w:numFmt w:val="lowerRoman"/>
      <w:lvlText w:val="%6."/>
      <w:lvlJc w:val="right"/>
      <w:pPr>
        <w:ind w:left="4320" w:hanging="180"/>
      </w:pPr>
    </w:lvl>
    <w:lvl w:ilvl="6" w:tplc="B142E8D4">
      <w:start w:val="1"/>
      <w:numFmt w:val="decimal"/>
      <w:lvlText w:val="%7."/>
      <w:lvlJc w:val="left"/>
      <w:pPr>
        <w:ind w:left="5040" w:hanging="360"/>
      </w:pPr>
    </w:lvl>
    <w:lvl w:ilvl="7" w:tplc="B8341DF0">
      <w:start w:val="1"/>
      <w:numFmt w:val="lowerLetter"/>
      <w:lvlText w:val="%8."/>
      <w:lvlJc w:val="left"/>
      <w:pPr>
        <w:ind w:left="5760" w:hanging="360"/>
      </w:pPr>
    </w:lvl>
    <w:lvl w:ilvl="8" w:tplc="D86E71E0">
      <w:start w:val="1"/>
      <w:numFmt w:val="lowerRoman"/>
      <w:lvlText w:val="%9."/>
      <w:lvlJc w:val="right"/>
      <w:pPr>
        <w:ind w:left="6480" w:hanging="180"/>
      </w:pPr>
    </w:lvl>
  </w:abstractNum>
  <w:abstractNum w:abstractNumId="2" w15:restartNumberingAfterBreak="0">
    <w:nsid w:val="05469794"/>
    <w:multiLevelType w:val="hybridMultilevel"/>
    <w:tmpl w:val="4EF0CB6A"/>
    <w:lvl w:ilvl="0" w:tplc="04090017">
      <w:start w:val="1"/>
      <w:numFmt w:val="lowerLetter"/>
      <w:lvlText w:val="%1)"/>
      <w:lvlJc w:val="left"/>
      <w:pPr>
        <w:ind w:left="720" w:hanging="360"/>
      </w:pPr>
    </w:lvl>
    <w:lvl w:ilvl="1" w:tplc="74322528">
      <w:start w:val="1"/>
      <w:numFmt w:val="lowerLetter"/>
      <w:lvlText w:val="%2."/>
      <w:lvlJc w:val="left"/>
      <w:pPr>
        <w:ind w:left="1440" w:hanging="360"/>
      </w:pPr>
    </w:lvl>
    <w:lvl w:ilvl="2" w:tplc="E808FD94">
      <w:start w:val="1"/>
      <w:numFmt w:val="lowerRoman"/>
      <w:lvlText w:val="%3."/>
      <w:lvlJc w:val="right"/>
      <w:pPr>
        <w:ind w:left="2160" w:hanging="180"/>
      </w:pPr>
    </w:lvl>
    <w:lvl w:ilvl="3" w:tplc="DF1608EC">
      <w:start w:val="1"/>
      <w:numFmt w:val="decimal"/>
      <w:lvlText w:val="%4."/>
      <w:lvlJc w:val="left"/>
      <w:pPr>
        <w:ind w:left="2880" w:hanging="360"/>
      </w:pPr>
    </w:lvl>
    <w:lvl w:ilvl="4" w:tplc="C25A7FCA">
      <w:start w:val="1"/>
      <w:numFmt w:val="lowerLetter"/>
      <w:lvlText w:val="%5."/>
      <w:lvlJc w:val="left"/>
      <w:pPr>
        <w:ind w:left="3600" w:hanging="360"/>
      </w:pPr>
    </w:lvl>
    <w:lvl w:ilvl="5" w:tplc="E474D8D6">
      <w:start w:val="1"/>
      <w:numFmt w:val="lowerRoman"/>
      <w:lvlText w:val="%6."/>
      <w:lvlJc w:val="right"/>
      <w:pPr>
        <w:ind w:left="4320" w:hanging="180"/>
      </w:pPr>
    </w:lvl>
    <w:lvl w:ilvl="6" w:tplc="05583DF0">
      <w:start w:val="1"/>
      <w:numFmt w:val="decimal"/>
      <w:lvlText w:val="%7."/>
      <w:lvlJc w:val="left"/>
      <w:pPr>
        <w:ind w:left="5040" w:hanging="360"/>
      </w:pPr>
    </w:lvl>
    <w:lvl w:ilvl="7" w:tplc="7CFAE662">
      <w:start w:val="1"/>
      <w:numFmt w:val="lowerLetter"/>
      <w:lvlText w:val="%8."/>
      <w:lvlJc w:val="left"/>
      <w:pPr>
        <w:ind w:left="5760" w:hanging="360"/>
      </w:pPr>
    </w:lvl>
    <w:lvl w:ilvl="8" w:tplc="CDEEC44C">
      <w:start w:val="1"/>
      <w:numFmt w:val="lowerRoman"/>
      <w:lvlText w:val="%9."/>
      <w:lvlJc w:val="right"/>
      <w:pPr>
        <w:ind w:left="6480" w:hanging="180"/>
      </w:pPr>
    </w:lvl>
  </w:abstractNum>
  <w:abstractNum w:abstractNumId="3" w15:restartNumberingAfterBreak="0">
    <w:nsid w:val="088911ED"/>
    <w:multiLevelType w:val="hybridMultilevel"/>
    <w:tmpl w:val="D6609A8C"/>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0B7201"/>
    <w:multiLevelType w:val="multilevel"/>
    <w:tmpl w:val="B41888F0"/>
    <w:name w:val="ListNumberNumbering"/>
    <w:lvl w:ilvl="0">
      <w:start w:val="1"/>
      <w:numFmt w:val="decimal"/>
      <w:pStyle w:val="ListNumber"/>
      <w:lvlText w:val="(%1)"/>
      <w:lvlJc w:val="left"/>
      <w:pPr>
        <w:tabs>
          <w:tab w:val="num" w:pos="454"/>
        </w:tabs>
        <w:ind w:left="454" w:hanging="454"/>
      </w:pPr>
    </w:lvl>
    <w:lvl w:ilvl="1">
      <w:start w:val="1"/>
      <w:numFmt w:val="lowerLetter"/>
      <w:pStyle w:val="ListNumberLevel2"/>
      <w:lvlText w:val="(%2)"/>
      <w:lvlJc w:val="left"/>
      <w:pPr>
        <w:tabs>
          <w:tab w:val="num" w:pos="907"/>
        </w:tabs>
        <w:ind w:left="907" w:hanging="453"/>
      </w:pPr>
    </w:lvl>
    <w:lvl w:ilvl="2">
      <w:start w:val="1"/>
      <w:numFmt w:val="bullet"/>
      <w:pStyle w:val="ListNumberLevel3"/>
      <w:lvlText w:val="–"/>
      <w:lvlJc w:val="left"/>
      <w:pPr>
        <w:tabs>
          <w:tab w:val="num" w:pos="1361"/>
        </w:tabs>
        <w:ind w:left="1361" w:hanging="454"/>
      </w:pPr>
      <w:rPr>
        <w:rFonts w:ascii="Times New Roman" w:hAnsi="Times New Roman"/>
      </w:rPr>
    </w:lvl>
    <w:lvl w:ilvl="3">
      <w:start w:val="1"/>
      <w:numFmt w:val="bullet"/>
      <w:pStyle w:val="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FACE5510"/>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34A3F50"/>
    <w:multiLevelType w:val="hybridMultilevel"/>
    <w:tmpl w:val="AC1AE58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C57CE4"/>
    <w:multiLevelType w:val="hybridMultilevel"/>
    <w:tmpl w:val="016622D8"/>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53B394A"/>
    <w:multiLevelType w:val="hybridMultilevel"/>
    <w:tmpl w:val="34F4C672"/>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A50B3B"/>
    <w:multiLevelType w:val="hybridMultilevel"/>
    <w:tmpl w:val="309A068E"/>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E7360B"/>
    <w:multiLevelType w:val="hybridMultilevel"/>
    <w:tmpl w:val="4ACABABC"/>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DA44231"/>
    <w:multiLevelType w:val="hybridMultilevel"/>
    <w:tmpl w:val="099CEAA2"/>
    <w:lvl w:ilvl="0" w:tplc="0CE60F88">
      <w:start w:val="1"/>
      <w:numFmt w:val="bullet"/>
      <w:lvlText w:val="•"/>
      <w:lvlJc w:val="left"/>
      <w:pPr>
        <w:tabs>
          <w:tab w:val="num" w:pos="720"/>
        </w:tabs>
        <w:ind w:left="720" w:hanging="360"/>
      </w:pPr>
      <w:rPr>
        <w:rFonts w:ascii="Times New Roman" w:hAnsi="Times New Roman" w:hint="default"/>
      </w:rPr>
    </w:lvl>
    <w:lvl w:ilvl="1" w:tplc="5704B2EA" w:tentative="1">
      <w:start w:val="1"/>
      <w:numFmt w:val="bullet"/>
      <w:lvlText w:val="•"/>
      <w:lvlJc w:val="left"/>
      <w:pPr>
        <w:tabs>
          <w:tab w:val="num" w:pos="1440"/>
        </w:tabs>
        <w:ind w:left="1440" w:hanging="360"/>
      </w:pPr>
      <w:rPr>
        <w:rFonts w:ascii="Times New Roman" w:hAnsi="Times New Roman" w:hint="default"/>
      </w:rPr>
    </w:lvl>
    <w:lvl w:ilvl="2" w:tplc="39107D12" w:tentative="1">
      <w:start w:val="1"/>
      <w:numFmt w:val="bullet"/>
      <w:lvlText w:val="•"/>
      <w:lvlJc w:val="left"/>
      <w:pPr>
        <w:tabs>
          <w:tab w:val="num" w:pos="2160"/>
        </w:tabs>
        <w:ind w:left="2160" w:hanging="360"/>
      </w:pPr>
      <w:rPr>
        <w:rFonts w:ascii="Times New Roman" w:hAnsi="Times New Roman" w:hint="default"/>
      </w:rPr>
    </w:lvl>
    <w:lvl w:ilvl="3" w:tplc="7DF46C62" w:tentative="1">
      <w:start w:val="1"/>
      <w:numFmt w:val="bullet"/>
      <w:lvlText w:val="•"/>
      <w:lvlJc w:val="left"/>
      <w:pPr>
        <w:tabs>
          <w:tab w:val="num" w:pos="2880"/>
        </w:tabs>
        <w:ind w:left="2880" w:hanging="360"/>
      </w:pPr>
      <w:rPr>
        <w:rFonts w:ascii="Times New Roman" w:hAnsi="Times New Roman" w:hint="default"/>
      </w:rPr>
    </w:lvl>
    <w:lvl w:ilvl="4" w:tplc="4A3A04AC" w:tentative="1">
      <w:start w:val="1"/>
      <w:numFmt w:val="bullet"/>
      <w:lvlText w:val="•"/>
      <w:lvlJc w:val="left"/>
      <w:pPr>
        <w:tabs>
          <w:tab w:val="num" w:pos="3600"/>
        </w:tabs>
        <w:ind w:left="3600" w:hanging="360"/>
      </w:pPr>
      <w:rPr>
        <w:rFonts w:ascii="Times New Roman" w:hAnsi="Times New Roman" w:hint="default"/>
      </w:rPr>
    </w:lvl>
    <w:lvl w:ilvl="5" w:tplc="902A08C2" w:tentative="1">
      <w:start w:val="1"/>
      <w:numFmt w:val="bullet"/>
      <w:lvlText w:val="•"/>
      <w:lvlJc w:val="left"/>
      <w:pPr>
        <w:tabs>
          <w:tab w:val="num" w:pos="4320"/>
        </w:tabs>
        <w:ind w:left="4320" w:hanging="360"/>
      </w:pPr>
      <w:rPr>
        <w:rFonts w:ascii="Times New Roman" w:hAnsi="Times New Roman" w:hint="default"/>
      </w:rPr>
    </w:lvl>
    <w:lvl w:ilvl="6" w:tplc="585C1FCC" w:tentative="1">
      <w:start w:val="1"/>
      <w:numFmt w:val="bullet"/>
      <w:lvlText w:val="•"/>
      <w:lvlJc w:val="left"/>
      <w:pPr>
        <w:tabs>
          <w:tab w:val="num" w:pos="5040"/>
        </w:tabs>
        <w:ind w:left="5040" w:hanging="360"/>
      </w:pPr>
      <w:rPr>
        <w:rFonts w:ascii="Times New Roman" w:hAnsi="Times New Roman" w:hint="default"/>
      </w:rPr>
    </w:lvl>
    <w:lvl w:ilvl="7" w:tplc="533816C2" w:tentative="1">
      <w:start w:val="1"/>
      <w:numFmt w:val="bullet"/>
      <w:lvlText w:val="•"/>
      <w:lvlJc w:val="left"/>
      <w:pPr>
        <w:tabs>
          <w:tab w:val="num" w:pos="5760"/>
        </w:tabs>
        <w:ind w:left="5760" w:hanging="360"/>
      </w:pPr>
      <w:rPr>
        <w:rFonts w:ascii="Times New Roman" w:hAnsi="Times New Roman" w:hint="default"/>
      </w:rPr>
    </w:lvl>
    <w:lvl w:ilvl="8" w:tplc="8F0EB460"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1F3D19AE"/>
    <w:multiLevelType w:val="hybridMultilevel"/>
    <w:tmpl w:val="7910BB5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35D5955"/>
    <w:multiLevelType w:val="hybridMultilevel"/>
    <w:tmpl w:val="AF0AC24E"/>
    <w:lvl w:ilvl="0" w:tplc="E4DAFBF2">
      <w:start w:val="1"/>
      <w:numFmt w:val="bullet"/>
      <w:lvlText w:val="•"/>
      <w:lvlJc w:val="left"/>
      <w:pPr>
        <w:tabs>
          <w:tab w:val="num" w:pos="720"/>
        </w:tabs>
        <w:ind w:left="720" w:hanging="360"/>
      </w:pPr>
      <w:rPr>
        <w:rFonts w:ascii="Times New Roman" w:hAnsi="Times New Roman" w:hint="default"/>
      </w:rPr>
    </w:lvl>
    <w:lvl w:ilvl="1" w:tplc="0936BAE0" w:tentative="1">
      <w:start w:val="1"/>
      <w:numFmt w:val="bullet"/>
      <w:lvlText w:val="•"/>
      <w:lvlJc w:val="left"/>
      <w:pPr>
        <w:tabs>
          <w:tab w:val="num" w:pos="1440"/>
        </w:tabs>
        <w:ind w:left="1440" w:hanging="360"/>
      </w:pPr>
      <w:rPr>
        <w:rFonts w:ascii="Times New Roman" w:hAnsi="Times New Roman" w:hint="default"/>
      </w:rPr>
    </w:lvl>
    <w:lvl w:ilvl="2" w:tplc="BBA06EEE" w:tentative="1">
      <w:start w:val="1"/>
      <w:numFmt w:val="bullet"/>
      <w:lvlText w:val="•"/>
      <w:lvlJc w:val="left"/>
      <w:pPr>
        <w:tabs>
          <w:tab w:val="num" w:pos="2160"/>
        </w:tabs>
        <w:ind w:left="2160" w:hanging="360"/>
      </w:pPr>
      <w:rPr>
        <w:rFonts w:ascii="Times New Roman" w:hAnsi="Times New Roman" w:hint="default"/>
      </w:rPr>
    </w:lvl>
    <w:lvl w:ilvl="3" w:tplc="247CF2C2" w:tentative="1">
      <w:start w:val="1"/>
      <w:numFmt w:val="bullet"/>
      <w:lvlText w:val="•"/>
      <w:lvlJc w:val="left"/>
      <w:pPr>
        <w:tabs>
          <w:tab w:val="num" w:pos="2880"/>
        </w:tabs>
        <w:ind w:left="2880" w:hanging="360"/>
      </w:pPr>
      <w:rPr>
        <w:rFonts w:ascii="Times New Roman" w:hAnsi="Times New Roman" w:hint="default"/>
      </w:rPr>
    </w:lvl>
    <w:lvl w:ilvl="4" w:tplc="B67AF472" w:tentative="1">
      <w:start w:val="1"/>
      <w:numFmt w:val="bullet"/>
      <w:lvlText w:val="•"/>
      <w:lvlJc w:val="left"/>
      <w:pPr>
        <w:tabs>
          <w:tab w:val="num" w:pos="3600"/>
        </w:tabs>
        <w:ind w:left="3600" w:hanging="360"/>
      </w:pPr>
      <w:rPr>
        <w:rFonts w:ascii="Times New Roman" w:hAnsi="Times New Roman" w:hint="default"/>
      </w:rPr>
    </w:lvl>
    <w:lvl w:ilvl="5" w:tplc="3E70AED8" w:tentative="1">
      <w:start w:val="1"/>
      <w:numFmt w:val="bullet"/>
      <w:lvlText w:val="•"/>
      <w:lvlJc w:val="left"/>
      <w:pPr>
        <w:tabs>
          <w:tab w:val="num" w:pos="4320"/>
        </w:tabs>
        <w:ind w:left="4320" w:hanging="360"/>
      </w:pPr>
      <w:rPr>
        <w:rFonts w:ascii="Times New Roman" w:hAnsi="Times New Roman" w:hint="default"/>
      </w:rPr>
    </w:lvl>
    <w:lvl w:ilvl="6" w:tplc="0700D206" w:tentative="1">
      <w:start w:val="1"/>
      <w:numFmt w:val="bullet"/>
      <w:lvlText w:val="•"/>
      <w:lvlJc w:val="left"/>
      <w:pPr>
        <w:tabs>
          <w:tab w:val="num" w:pos="5040"/>
        </w:tabs>
        <w:ind w:left="5040" w:hanging="360"/>
      </w:pPr>
      <w:rPr>
        <w:rFonts w:ascii="Times New Roman" w:hAnsi="Times New Roman" w:hint="default"/>
      </w:rPr>
    </w:lvl>
    <w:lvl w:ilvl="7" w:tplc="C8BA3BAA" w:tentative="1">
      <w:start w:val="1"/>
      <w:numFmt w:val="bullet"/>
      <w:lvlText w:val="•"/>
      <w:lvlJc w:val="left"/>
      <w:pPr>
        <w:tabs>
          <w:tab w:val="num" w:pos="5760"/>
        </w:tabs>
        <w:ind w:left="5760" w:hanging="360"/>
      </w:pPr>
      <w:rPr>
        <w:rFonts w:ascii="Times New Roman" w:hAnsi="Times New Roman" w:hint="default"/>
      </w:rPr>
    </w:lvl>
    <w:lvl w:ilvl="8" w:tplc="62E0847A"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58D5B30"/>
    <w:multiLevelType w:val="hybridMultilevel"/>
    <w:tmpl w:val="FB9EA0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9DA59D5"/>
    <w:multiLevelType w:val="hybridMultilevel"/>
    <w:tmpl w:val="30A821FA"/>
    <w:lvl w:ilvl="0" w:tplc="FC2CB1C0">
      <w:start w:val="1"/>
      <w:numFmt w:val="bullet"/>
      <w:lvlText w:val=""/>
      <w:lvlJc w:val="left"/>
      <w:pPr>
        <w:ind w:left="1080" w:hanging="360"/>
      </w:pPr>
      <w:rPr>
        <w:rFonts w:ascii="Symbol" w:hAnsi="Symbol"/>
      </w:rPr>
    </w:lvl>
    <w:lvl w:ilvl="1" w:tplc="C48496BC">
      <w:start w:val="1"/>
      <w:numFmt w:val="bullet"/>
      <w:lvlText w:val=""/>
      <w:lvlJc w:val="left"/>
      <w:pPr>
        <w:ind w:left="1080" w:hanging="360"/>
      </w:pPr>
      <w:rPr>
        <w:rFonts w:ascii="Symbol" w:hAnsi="Symbol"/>
      </w:rPr>
    </w:lvl>
    <w:lvl w:ilvl="2" w:tplc="58B20B1A">
      <w:start w:val="1"/>
      <w:numFmt w:val="bullet"/>
      <w:lvlText w:val=""/>
      <w:lvlJc w:val="left"/>
      <w:pPr>
        <w:ind w:left="1080" w:hanging="360"/>
      </w:pPr>
      <w:rPr>
        <w:rFonts w:ascii="Symbol" w:hAnsi="Symbol"/>
      </w:rPr>
    </w:lvl>
    <w:lvl w:ilvl="3" w:tplc="3934E158">
      <w:start w:val="1"/>
      <w:numFmt w:val="bullet"/>
      <w:lvlText w:val=""/>
      <w:lvlJc w:val="left"/>
      <w:pPr>
        <w:ind w:left="1080" w:hanging="360"/>
      </w:pPr>
      <w:rPr>
        <w:rFonts w:ascii="Symbol" w:hAnsi="Symbol"/>
      </w:rPr>
    </w:lvl>
    <w:lvl w:ilvl="4" w:tplc="8940D6B8">
      <w:start w:val="1"/>
      <w:numFmt w:val="bullet"/>
      <w:lvlText w:val=""/>
      <w:lvlJc w:val="left"/>
      <w:pPr>
        <w:ind w:left="1080" w:hanging="360"/>
      </w:pPr>
      <w:rPr>
        <w:rFonts w:ascii="Symbol" w:hAnsi="Symbol"/>
      </w:rPr>
    </w:lvl>
    <w:lvl w:ilvl="5" w:tplc="D624C44A">
      <w:start w:val="1"/>
      <w:numFmt w:val="bullet"/>
      <w:lvlText w:val=""/>
      <w:lvlJc w:val="left"/>
      <w:pPr>
        <w:ind w:left="1080" w:hanging="360"/>
      </w:pPr>
      <w:rPr>
        <w:rFonts w:ascii="Symbol" w:hAnsi="Symbol"/>
      </w:rPr>
    </w:lvl>
    <w:lvl w:ilvl="6" w:tplc="DA42CF2E">
      <w:start w:val="1"/>
      <w:numFmt w:val="bullet"/>
      <w:lvlText w:val=""/>
      <w:lvlJc w:val="left"/>
      <w:pPr>
        <w:ind w:left="1080" w:hanging="360"/>
      </w:pPr>
      <w:rPr>
        <w:rFonts w:ascii="Symbol" w:hAnsi="Symbol"/>
      </w:rPr>
    </w:lvl>
    <w:lvl w:ilvl="7" w:tplc="D1623A5E">
      <w:start w:val="1"/>
      <w:numFmt w:val="bullet"/>
      <w:lvlText w:val=""/>
      <w:lvlJc w:val="left"/>
      <w:pPr>
        <w:ind w:left="1080" w:hanging="360"/>
      </w:pPr>
      <w:rPr>
        <w:rFonts w:ascii="Symbol" w:hAnsi="Symbol"/>
      </w:rPr>
    </w:lvl>
    <w:lvl w:ilvl="8" w:tplc="74C89F66">
      <w:start w:val="1"/>
      <w:numFmt w:val="bullet"/>
      <w:lvlText w:val=""/>
      <w:lvlJc w:val="left"/>
      <w:pPr>
        <w:ind w:left="1080" w:hanging="360"/>
      </w:pPr>
      <w:rPr>
        <w:rFonts w:ascii="Symbol" w:hAnsi="Symbol"/>
      </w:rPr>
    </w:lvl>
  </w:abstractNum>
  <w:abstractNum w:abstractNumId="16" w15:restartNumberingAfterBreak="0">
    <w:nsid w:val="2D293CE3"/>
    <w:multiLevelType w:val="multilevel"/>
    <w:tmpl w:val="FB04793C"/>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7" w15:restartNumberingAfterBreak="0">
    <w:nsid w:val="2D293CF4"/>
    <w:multiLevelType w:val="multilevel"/>
    <w:tmpl w:val="A6884A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start w:val="1"/>
      <w:numFmt w:val="decimal"/>
      <w:lvlText w:val="%4."/>
      <w:lvlJc w:val="left"/>
      <w:pPr>
        <w:tabs>
          <w:tab w:val="num" w:pos="1905"/>
        </w:tabs>
        <w:ind w:left="1905" w:hanging="476"/>
      </w:pPr>
      <w:rPr>
        <w:rFonts w:hint="default"/>
      </w:rPr>
    </w:lvl>
    <w:lvl w:ilvl="4">
      <w:start w:val="1"/>
      <w:numFmt w:val="lowerLetter"/>
      <w:lvlText w:val="%5."/>
      <w:lvlJc w:val="left"/>
      <w:pPr>
        <w:tabs>
          <w:tab w:val="num" w:pos="2381"/>
        </w:tabs>
        <w:ind w:left="2381" w:hanging="476"/>
      </w:pPr>
      <w:rPr>
        <w:rFonts w:hint="default"/>
      </w:rPr>
    </w:lvl>
    <w:lvl w:ilvl="5">
      <w:start w:val="1"/>
      <w:numFmt w:val="lowerRoman"/>
      <w:lvlText w:val="%6."/>
      <w:lvlJc w:val="left"/>
      <w:pPr>
        <w:tabs>
          <w:tab w:val="num" w:pos="2857"/>
        </w:tabs>
        <w:ind w:left="2857" w:hanging="476"/>
      </w:pPr>
      <w:rPr>
        <w:rFonts w:hint="default"/>
      </w:rPr>
    </w:lvl>
    <w:lvl w:ilvl="6">
      <w:start w:val="1"/>
      <w:numFmt w:val="decimal"/>
      <w:lvlText w:val="%7."/>
      <w:lvlJc w:val="left"/>
      <w:pPr>
        <w:tabs>
          <w:tab w:val="num" w:pos="3334"/>
        </w:tabs>
        <w:ind w:left="3334" w:hanging="477"/>
      </w:pPr>
      <w:rPr>
        <w:rFonts w:hint="default"/>
      </w:rPr>
    </w:lvl>
    <w:lvl w:ilvl="7">
      <w:start w:val="1"/>
      <w:numFmt w:val="lowerLetter"/>
      <w:lvlText w:val="%8."/>
      <w:lvlJc w:val="left"/>
      <w:pPr>
        <w:tabs>
          <w:tab w:val="num" w:pos="3810"/>
        </w:tabs>
        <w:ind w:left="3810" w:hanging="476"/>
      </w:pPr>
      <w:rPr>
        <w:rFonts w:hint="default"/>
      </w:rPr>
    </w:lvl>
    <w:lvl w:ilvl="8">
      <w:start w:val="1"/>
      <w:numFmt w:val="lowerRoman"/>
      <w:lvlText w:val="%9."/>
      <w:lvlJc w:val="left"/>
      <w:pPr>
        <w:tabs>
          <w:tab w:val="num" w:pos="4286"/>
        </w:tabs>
        <w:ind w:left="4286" w:hanging="476"/>
      </w:pPr>
      <w:rPr>
        <w:rFonts w:hint="default"/>
      </w:rPr>
    </w:lvl>
  </w:abstractNum>
  <w:abstractNum w:abstractNumId="18" w15:restartNumberingAfterBreak="0">
    <w:nsid w:val="2D682900"/>
    <w:multiLevelType w:val="hybridMultilevel"/>
    <w:tmpl w:val="D94AA6B4"/>
    <w:lvl w:ilvl="0" w:tplc="0409000D">
      <w:start w:val="1"/>
      <w:numFmt w:val="bullet"/>
      <w:lvlText w:val=""/>
      <w:lvlJc w:val="left"/>
      <w:pPr>
        <w:ind w:left="720" w:hanging="360"/>
      </w:pPr>
      <w:rPr>
        <w:rFonts w:ascii="Wingdings" w:hAnsi="Wingdings" w:hint="default"/>
      </w:rPr>
    </w:lvl>
    <w:lvl w:ilvl="1" w:tplc="C376FBB0">
      <w:numFmt w:val="bullet"/>
      <w:lvlText w:val="-"/>
      <w:lvlJc w:val="left"/>
      <w:pPr>
        <w:ind w:left="1440" w:hanging="360"/>
      </w:pPr>
      <w:rPr>
        <w:rFonts w:ascii="Times New Roman" w:eastAsiaTheme="minorHAns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D06E6B"/>
    <w:multiLevelType w:val="hybridMultilevel"/>
    <w:tmpl w:val="80E2F1E0"/>
    <w:lvl w:ilvl="0" w:tplc="BB543788">
      <w:start w:val="1"/>
      <w:numFmt w:val="bullet"/>
      <w:lvlText w:val="•"/>
      <w:lvlJc w:val="left"/>
      <w:pPr>
        <w:tabs>
          <w:tab w:val="num" w:pos="720"/>
        </w:tabs>
        <w:ind w:left="720" w:hanging="360"/>
      </w:pPr>
      <w:rPr>
        <w:rFonts w:ascii="Times New Roman" w:hAnsi="Times New Roman" w:hint="default"/>
      </w:rPr>
    </w:lvl>
    <w:lvl w:ilvl="1" w:tplc="C9F073D0" w:tentative="1">
      <w:start w:val="1"/>
      <w:numFmt w:val="bullet"/>
      <w:lvlText w:val="•"/>
      <w:lvlJc w:val="left"/>
      <w:pPr>
        <w:tabs>
          <w:tab w:val="num" w:pos="1440"/>
        </w:tabs>
        <w:ind w:left="1440" w:hanging="360"/>
      </w:pPr>
      <w:rPr>
        <w:rFonts w:ascii="Times New Roman" w:hAnsi="Times New Roman" w:hint="default"/>
      </w:rPr>
    </w:lvl>
    <w:lvl w:ilvl="2" w:tplc="8E78F98C" w:tentative="1">
      <w:start w:val="1"/>
      <w:numFmt w:val="bullet"/>
      <w:lvlText w:val="•"/>
      <w:lvlJc w:val="left"/>
      <w:pPr>
        <w:tabs>
          <w:tab w:val="num" w:pos="2160"/>
        </w:tabs>
        <w:ind w:left="2160" w:hanging="360"/>
      </w:pPr>
      <w:rPr>
        <w:rFonts w:ascii="Times New Roman" w:hAnsi="Times New Roman" w:hint="default"/>
      </w:rPr>
    </w:lvl>
    <w:lvl w:ilvl="3" w:tplc="395CEBD2" w:tentative="1">
      <w:start w:val="1"/>
      <w:numFmt w:val="bullet"/>
      <w:lvlText w:val="•"/>
      <w:lvlJc w:val="left"/>
      <w:pPr>
        <w:tabs>
          <w:tab w:val="num" w:pos="2880"/>
        </w:tabs>
        <w:ind w:left="2880" w:hanging="360"/>
      </w:pPr>
      <w:rPr>
        <w:rFonts w:ascii="Times New Roman" w:hAnsi="Times New Roman" w:hint="default"/>
      </w:rPr>
    </w:lvl>
    <w:lvl w:ilvl="4" w:tplc="8B441A76" w:tentative="1">
      <w:start w:val="1"/>
      <w:numFmt w:val="bullet"/>
      <w:lvlText w:val="•"/>
      <w:lvlJc w:val="left"/>
      <w:pPr>
        <w:tabs>
          <w:tab w:val="num" w:pos="3600"/>
        </w:tabs>
        <w:ind w:left="3600" w:hanging="360"/>
      </w:pPr>
      <w:rPr>
        <w:rFonts w:ascii="Times New Roman" w:hAnsi="Times New Roman" w:hint="default"/>
      </w:rPr>
    </w:lvl>
    <w:lvl w:ilvl="5" w:tplc="6F50C7E2" w:tentative="1">
      <w:start w:val="1"/>
      <w:numFmt w:val="bullet"/>
      <w:lvlText w:val="•"/>
      <w:lvlJc w:val="left"/>
      <w:pPr>
        <w:tabs>
          <w:tab w:val="num" w:pos="4320"/>
        </w:tabs>
        <w:ind w:left="4320" w:hanging="360"/>
      </w:pPr>
      <w:rPr>
        <w:rFonts w:ascii="Times New Roman" w:hAnsi="Times New Roman" w:hint="default"/>
      </w:rPr>
    </w:lvl>
    <w:lvl w:ilvl="6" w:tplc="D6B801D0" w:tentative="1">
      <w:start w:val="1"/>
      <w:numFmt w:val="bullet"/>
      <w:lvlText w:val="•"/>
      <w:lvlJc w:val="left"/>
      <w:pPr>
        <w:tabs>
          <w:tab w:val="num" w:pos="5040"/>
        </w:tabs>
        <w:ind w:left="5040" w:hanging="360"/>
      </w:pPr>
      <w:rPr>
        <w:rFonts w:ascii="Times New Roman" w:hAnsi="Times New Roman" w:hint="default"/>
      </w:rPr>
    </w:lvl>
    <w:lvl w:ilvl="7" w:tplc="075A774E" w:tentative="1">
      <w:start w:val="1"/>
      <w:numFmt w:val="bullet"/>
      <w:lvlText w:val="•"/>
      <w:lvlJc w:val="left"/>
      <w:pPr>
        <w:tabs>
          <w:tab w:val="num" w:pos="5760"/>
        </w:tabs>
        <w:ind w:left="5760" w:hanging="360"/>
      </w:pPr>
      <w:rPr>
        <w:rFonts w:ascii="Times New Roman" w:hAnsi="Times New Roman" w:hint="default"/>
      </w:rPr>
    </w:lvl>
    <w:lvl w:ilvl="8" w:tplc="53F8DB2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35D30DAE"/>
    <w:multiLevelType w:val="multilevel"/>
    <w:tmpl w:val="802A48FC"/>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81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36F46275"/>
    <w:multiLevelType w:val="hybridMultilevel"/>
    <w:tmpl w:val="F97E2332"/>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98D059C"/>
    <w:multiLevelType w:val="multilevel"/>
    <w:tmpl w:val="3084C15A"/>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81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39959DBB"/>
    <w:multiLevelType w:val="hybridMultilevel"/>
    <w:tmpl w:val="FFFFFFFF"/>
    <w:lvl w:ilvl="0" w:tplc="12886B14">
      <w:start w:val="1"/>
      <w:numFmt w:val="bullet"/>
      <w:lvlText w:val=""/>
      <w:lvlJc w:val="left"/>
      <w:pPr>
        <w:ind w:left="720" w:hanging="360"/>
      </w:pPr>
      <w:rPr>
        <w:rFonts w:ascii="Symbol" w:hAnsi="Symbol" w:hint="default"/>
      </w:rPr>
    </w:lvl>
    <w:lvl w:ilvl="1" w:tplc="676E64F2">
      <w:start w:val="1"/>
      <w:numFmt w:val="bullet"/>
      <w:lvlText w:val="o"/>
      <w:lvlJc w:val="left"/>
      <w:pPr>
        <w:ind w:left="1440" w:hanging="360"/>
      </w:pPr>
      <w:rPr>
        <w:rFonts w:ascii="Courier New" w:hAnsi="Courier New" w:hint="default"/>
      </w:rPr>
    </w:lvl>
    <w:lvl w:ilvl="2" w:tplc="012A1464">
      <w:start w:val="1"/>
      <w:numFmt w:val="bullet"/>
      <w:lvlText w:val=""/>
      <w:lvlJc w:val="left"/>
      <w:pPr>
        <w:ind w:left="2160" w:hanging="360"/>
      </w:pPr>
      <w:rPr>
        <w:rFonts w:ascii="Wingdings" w:hAnsi="Wingdings" w:hint="default"/>
      </w:rPr>
    </w:lvl>
    <w:lvl w:ilvl="3" w:tplc="A11428E0">
      <w:start w:val="1"/>
      <w:numFmt w:val="bullet"/>
      <w:lvlText w:val=""/>
      <w:lvlJc w:val="left"/>
      <w:pPr>
        <w:ind w:left="2880" w:hanging="360"/>
      </w:pPr>
      <w:rPr>
        <w:rFonts w:ascii="Symbol" w:hAnsi="Symbol" w:hint="default"/>
      </w:rPr>
    </w:lvl>
    <w:lvl w:ilvl="4" w:tplc="8B940EFE">
      <w:start w:val="1"/>
      <w:numFmt w:val="bullet"/>
      <w:lvlText w:val="o"/>
      <w:lvlJc w:val="left"/>
      <w:pPr>
        <w:ind w:left="3600" w:hanging="360"/>
      </w:pPr>
      <w:rPr>
        <w:rFonts w:ascii="Courier New" w:hAnsi="Courier New" w:hint="default"/>
      </w:rPr>
    </w:lvl>
    <w:lvl w:ilvl="5" w:tplc="A26EE19E">
      <w:start w:val="1"/>
      <w:numFmt w:val="bullet"/>
      <w:lvlText w:val=""/>
      <w:lvlJc w:val="left"/>
      <w:pPr>
        <w:ind w:left="4320" w:hanging="360"/>
      </w:pPr>
      <w:rPr>
        <w:rFonts w:ascii="Wingdings" w:hAnsi="Wingdings" w:hint="default"/>
      </w:rPr>
    </w:lvl>
    <w:lvl w:ilvl="6" w:tplc="2B9A0496">
      <w:start w:val="1"/>
      <w:numFmt w:val="bullet"/>
      <w:lvlText w:val=""/>
      <w:lvlJc w:val="left"/>
      <w:pPr>
        <w:ind w:left="5040" w:hanging="360"/>
      </w:pPr>
      <w:rPr>
        <w:rFonts w:ascii="Symbol" w:hAnsi="Symbol" w:hint="default"/>
      </w:rPr>
    </w:lvl>
    <w:lvl w:ilvl="7" w:tplc="4C9EABEA">
      <w:start w:val="1"/>
      <w:numFmt w:val="bullet"/>
      <w:lvlText w:val="o"/>
      <w:lvlJc w:val="left"/>
      <w:pPr>
        <w:ind w:left="5760" w:hanging="360"/>
      </w:pPr>
      <w:rPr>
        <w:rFonts w:ascii="Courier New" w:hAnsi="Courier New" w:hint="default"/>
      </w:rPr>
    </w:lvl>
    <w:lvl w:ilvl="8" w:tplc="B01CCBB2">
      <w:start w:val="1"/>
      <w:numFmt w:val="bullet"/>
      <w:lvlText w:val=""/>
      <w:lvlJc w:val="left"/>
      <w:pPr>
        <w:ind w:left="6480" w:hanging="360"/>
      </w:pPr>
      <w:rPr>
        <w:rFonts w:ascii="Wingdings" w:hAnsi="Wingdings" w:hint="default"/>
      </w:rPr>
    </w:lvl>
  </w:abstractNum>
  <w:abstractNum w:abstractNumId="24" w15:restartNumberingAfterBreak="0">
    <w:nsid w:val="3A156529"/>
    <w:multiLevelType w:val="hybridMultilevel"/>
    <w:tmpl w:val="695A2E9E"/>
    <w:lvl w:ilvl="0" w:tplc="C0027D2E">
      <w:start w:val="1"/>
      <w:numFmt w:val="bullet"/>
      <w:lvlText w:val=""/>
      <w:lvlJc w:val="left"/>
      <w:pPr>
        <w:ind w:left="1080" w:hanging="360"/>
      </w:pPr>
      <w:rPr>
        <w:rFonts w:ascii="Symbol" w:hAnsi="Symbol"/>
      </w:rPr>
    </w:lvl>
    <w:lvl w:ilvl="1" w:tplc="A9BACB4A">
      <w:start w:val="1"/>
      <w:numFmt w:val="bullet"/>
      <w:lvlText w:val=""/>
      <w:lvlJc w:val="left"/>
      <w:pPr>
        <w:ind w:left="1080" w:hanging="360"/>
      </w:pPr>
      <w:rPr>
        <w:rFonts w:ascii="Symbol" w:hAnsi="Symbol"/>
      </w:rPr>
    </w:lvl>
    <w:lvl w:ilvl="2" w:tplc="527CE06A">
      <w:start w:val="1"/>
      <w:numFmt w:val="bullet"/>
      <w:lvlText w:val=""/>
      <w:lvlJc w:val="left"/>
      <w:pPr>
        <w:ind w:left="1080" w:hanging="360"/>
      </w:pPr>
      <w:rPr>
        <w:rFonts w:ascii="Symbol" w:hAnsi="Symbol"/>
      </w:rPr>
    </w:lvl>
    <w:lvl w:ilvl="3" w:tplc="F82C6CAA">
      <w:start w:val="1"/>
      <w:numFmt w:val="bullet"/>
      <w:lvlText w:val=""/>
      <w:lvlJc w:val="left"/>
      <w:pPr>
        <w:ind w:left="1080" w:hanging="360"/>
      </w:pPr>
      <w:rPr>
        <w:rFonts w:ascii="Symbol" w:hAnsi="Symbol"/>
      </w:rPr>
    </w:lvl>
    <w:lvl w:ilvl="4" w:tplc="57F02350">
      <w:start w:val="1"/>
      <w:numFmt w:val="bullet"/>
      <w:lvlText w:val=""/>
      <w:lvlJc w:val="left"/>
      <w:pPr>
        <w:ind w:left="1080" w:hanging="360"/>
      </w:pPr>
      <w:rPr>
        <w:rFonts w:ascii="Symbol" w:hAnsi="Symbol"/>
      </w:rPr>
    </w:lvl>
    <w:lvl w:ilvl="5" w:tplc="1BB8E89E">
      <w:start w:val="1"/>
      <w:numFmt w:val="bullet"/>
      <w:lvlText w:val=""/>
      <w:lvlJc w:val="left"/>
      <w:pPr>
        <w:ind w:left="1080" w:hanging="360"/>
      </w:pPr>
      <w:rPr>
        <w:rFonts w:ascii="Symbol" w:hAnsi="Symbol"/>
      </w:rPr>
    </w:lvl>
    <w:lvl w:ilvl="6" w:tplc="7CCC2354">
      <w:start w:val="1"/>
      <w:numFmt w:val="bullet"/>
      <w:lvlText w:val=""/>
      <w:lvlJc w:val="left"/>
      <w:pPr>
        <w:ind w:left="1080" w:hanging="360"/>
      </w:pPr>
      <w:rPr>
        <w:rFonts w:ascii="Symbol" w:hAnsi="Symbol"/>
      </w:rPr>
    </w:lvl>
    <w:lvl w:ilvl="7" w:tplc="DA00B5F6">
      <w:start w:val="1"/>
      <w:numFmt w:val="bullet"/>
      <w:lvlText w:val=""/>
      <w:lvlJc w:val="left"/>
      <w:pPr>
        <w:ind w:left="1080" w:hanging="360"/>
      </w:pPr>
      <w:rPr>
        <w:rFonts w:ascii="Symbol" w:hAnsi="Symbol"/>
      </w:rPr>
    </w:lvl>
    <w:lvl w:ilvl="8" w:tplc="53845D80">
      <w:start w:val="1"/>
      <w:numFmt w:val="bullet"/>
      <w:lvlText w:val=""/>
      <w:lvlJc w:val="left"/>
      <w:pPr>
        <w:ind w:left="1080" w:hanging="360"/>
      </w:pPr>
      <w:rPr>
        <w:rFonts w:ascii="Symbol" w:hAnsi="Symbol"/>
      </w:rPr>
    </w:lvl>
  </w:abstractNum>
  <w:abstractNum w:abstractNumId="25" w15:restartNumberingAfterBreak="0">
    <w:nsid w:val="40217AF8"/>
    <w:multiLevelType w:val="hybridMultilevel"/>
    <w:tmpl w:val="89B8F1E8"/>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176642"/>
    <w:multiLevelType w:val="hybridMultilevel"/>
    <w:tmpl w:val="7988F040"/>
    <w:lvl w:ilvl="0" w:tplc="0409000D">
      <w:start w:val="1"/>
      <w:numFmt w:val="bullet"/>
      <w:lvlText w:val=""/>
      <w:lvlJc w:val="left"/>
      <w:pPr>
        <w:ind w:left="1174" w:hanging="360"/>
      </w:pPr>
      <w:rPr>
        <w:rFonts w:ascii="Wingdings" w:hAnsi="Wingdings"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27" w15:restartNumberingAfterBreak="0">
    <w:nsid w:val="4A502C4B"/>
    <w:multiLevelType w:val="hybridMultilevel"/>
    <w:tmpl w:val="FF9EF176"/>
    <w:lvl w:ilvl="0" w:tplc="04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787B17"/>
    <w:multiLevelType w:val="hybridMultilevel"/>
    <w:tmpl w:val="EFEE2046"/>
    <w:lvl w:ilvl="0" w:tplc="99E0C0A6">
      <w:start w:val="1"/>
      <w:numFmt w:val="bullet"/>
      <w:lvlText w:val=""/>
      <w:lvlJc w:val="left"/>
      <w:pPr>
        <w:ind w:left="1080" w:hanging="360"/>
      </w:pPr>
      <w:rPr>
        <w:rFonts w:ascii="Symbol" w:hAnsi="Symbol"/>
      </w:rPr>
    </w:lvl>
    <w:lvl w:ilvl="1" w:tplc="494A1A36">
      <w:start w:val="1"/>
      <w:numFmt w:val="bullet"/>
      <w:lvlText w:val=""/>
      <w:lvlJc w:val="left"/>
      <w:pPr>
        <w:ind w:left="1080" w:hanging="360"/>
      </w:pPr>
      <w:rPr>
        <w:rFonts w:ascii="Symbol" w:hAnsi="Symbol"/>
      </w:rPr>
    </w:lvl>
    <w:lvl w:ilvl="2" w:tplc="0AAA7650">
      <w:start w:val="1"/>
      <w:numFmt w:val="bullet"/>
      <w:lvlText w:val=""/>
      <w:lvlJc w:val="left"/>
      <w:pPr>
        <w:ind w:left="1080" w:hanging="360"/>
      </w:pPr>
      <w:rPr>
        <w:rFonts w:ascii="Symbol" w:hAnsi="Symbol"/>
      </w:rPr>
    </w:lvl>
    <w:lvl w:ilvl="3" w:tplc="500C5210">
      <w:start w:val="1"/>
      <w:numFmt w:val="bullet"/>
      <w:lvlText w:val=""/>
      <w:lvlJc w:val="left"/>
      <w:pPr>
        <w:ind w:left="1080" w:hanging="360"/>
      </w:pPr>
      <w:rPr>
        <w:rFonts w:ascii="Symbol" w:hAnsi="Symbol"/>
      </w:rPr>
    </w:lvl>
    <w:lvl w:ilvl="4" w:tplc="AAA06E10">
      <w:start w:val="1"/>
      <w:numFmt w:val="bullet"/>
      <w:lvlText w:val=""/>
      <w:lvlJc w:val="left"/>
      <w:pPr>
        <w:ind w:left="1080" w:hanging="360"/>
      </w:pPr>
      <w:rPr>
        <w:rFonts w:ascii="Symbol" w:hAnsi="Symbol"/>
      </w:rPr>
    </w:lvl>
    <w:lvl w:ilvl="5" w:tplc="C77A2BB4">
      <w:start w:val="1"/>
      <w:numFmt w:val="bullet"/>
      <w:lvlText w:val=""/>
      <w:lvlJc w:val="left"/>
      <w:pPr>
        <w:ind w:left="1080" w:hanging="360"/>
      </w:pPr>
      <w:rPr>
        <w:rFonts w:ascii="Symbol" w:hAnsi="Symbol"/>
      </w:rPr>
    </w:lvl>
    <w:lvl w:ilvl="6" w:tplc="0658CA8E">
      <w:start w:val="1"/>
      <w:numFmt w:val="bullet"/>
      <w:lvlText w:val=""/>
      <w:lvlJc w:val="left"/>
      <w:pPr>
        <w:ind w:left="1080" w:hanging="360"/>
      </w:pPr>
      <w:rPr>
        <w:rFonts w:ascii="Symbol" w:hAnsi="Symbol"/>
      </w:rPr>
    </w:lvl>
    <w:lvl w:ilvl="7" w:tplc="65AE2AD2">
      <w:start w:val="1"/>
      <w:numFmt w:val="bullet"/>
      <w:lvlText w:val=""/>
      <w:lvlJc w:val="left"/>
      <w:pPr>
        <w:ind w:left="1080" w:hanging="360"/>
      </w:pPr>
      <w:rPr>
        <w:rFonts w:ascii="Symbol" w:hAnsi="Symbol"/>
      </w:rPr>
    </w:lvl>
    <w:lvl w:ilvl="8" w:tplc="089E0DB2">
      <w:start w:val="1"/>
      <w:numFmt w:val="bullet"/>
      <w:lvlText w:val=""/>
      <w:lvlJc w:val="left"/>
      <w:pPr>
        <w:ind w:left="1080" w:hanging="360"/>
      </w:pPr>
      <w:rPr>
        <w:rFonts w:ascii="Symbol" w:hAnsi="Symbol"/>
      </w:rPr>
    </w:lvl>
  </w:abstractNum>
  <w:abstractNum w:abstractNumId="29" w15:restartNumberingAfterBreak="0">
    <w:nsid w:val="4C673F54"/>
    <w:multiLevelType w:val="hybridMultilevel"/>
    <w:tmpl w:val="85848C74"/>
    <w:lvl w:ilvl="0" w:tplc="E4648C20">
      <w:start w:val="1"/>
      <w:numFmt w:val="bullet"/>
      <w:lvlText w:val=""/>
      <w:lvlJc w:val="left"/>
      <w:pPr>
        <w:ind w:left="1080" w:hanging="360"/>
      </w:pPr>
      <w:rPr>
        <w:rFonts w:ascii="Symbol" w:hAnsi="Symbol"/>
      </w:rPr>
    </w:lvl>
    <w:lvl w:ilvl="1" w:tplc="1C728A42">
      <w:start w:val="1"/>
      <w:numFmt w:val="bullet"/>
      <w:lvlText w:val=""/>
      <w:lvlJc w:val="left"/>
      <w:pPr>
        <w:ind w:left="1080" w:hanging="360"/>
      </w:pPr>
      <w:rPr>
        <w:rFonts w:ascii="Symbol" w:hAnsi="Symbol"/>
      </w:rPr>
    </w:lvl>
    <w:lvl w:ilvl="2" w:tplc="A78AC1AE">
      <w:start w:val="1"/>
      <w:numFmt w:val="bullet"/>
      <w:lvlText w:val=""/>
      <w:lvlJc w:val="left"/>
      <w:pPr>
        <w:ind w:left="1080" w:hanging="360"/>
      </w:pPr>
      <w:rPr>
        <w:rFonts w:ascii="Symbol" w:hAnsi="Symbol"/>
      </w:rPr>
    </w:lvl>
    <w:lvl w:ilvl="3" w:tplc="E5D60818">
      <w:start w:val="1"/>
      <w:numFmt w:val="bullet"/>
      <w:lvlText w:val=""/>
      <w:lvlJc w:val="left"/>
      <w:pPr>
        <w:ind w:left="1080" w:hanging="360"/>
      </w:pPr>
      <w:rPr>
        <w:rFonts w:ascii="Symbol" w:hAnsi="Symbol"/>
      </w:rPr>
    </w:lvl>
    <w:lvl w:ilvl="4" w:tplc="01242F24">
      <w:start w:val="1"/>
      <w:numFmt w:val="bullet"/>
      <w:lvlText w:val=""/>
      <w:lvlJc w:val="left"/>
      <w:pPr>
        <w:ind w:left="1080" w:hanging="360"/>
      </w:pPr>
      <w:rPr>
        <w:rFonts w:ascii="Symbol" w:hAnsi="Symbol"/>
      </w:rPr>
    </w:lvl>
    <w:lvl w:ilvl="5" w:tplc="D33A0358">
      <w:start w:val="1"/>
      <w:numFmt w:val="bullet"/>
      <w:lvlText w:val=""/>
      <w:lvlJc w:val="left"/>
      <w:pPr>
        <w:ind w:left="1080" w:hanging="360"/>
      </w:pPr>
      <w:rPr>
        <w:rFonts w:ascii="Symbol" w:hAnsi="Symbol"/>
      </w:rPr>
    </w:lvl>
    <w:lvl w:ilvl="6" w:tplc="AB429B88">
      <w:start w:val="1"/>
      <w:numFmt w:val="bullet"/>
      <w:lvlText w:val=""/>
      <w:lvlJc w:val="left"/>
      <w:pPr>
        <w:ind w:left="1080" w:hanging="360"/>
      </w:pPr>
      <w:rPr>
        <w:rFonts w:ascii="Symbol" w:hAnsi="Symbol"/>
      </w:rPr>
    </w:lvl>
    <w:lvl w:ilvl="7" w:tplc="2E864132">
      <w:start w:val="1"/>
      <w:numFmt w:val="bullet"/>
      <w:lvlText w:val=""/>
      <w:lvlJc w:val="left"/>
      <w:pPr>
        <w:ind w:left="1080" w:hanging="360"/>
      </w:pPr>
      <w:rPr>
        <w:rFonts w:ascii="Symbol" w:hAnsi="Symbol"/>
      </w:rPr>
    </w:lvl>
    <w:lvl w:ilvl="8" w:tplc="994C6B02">
      <w:start w:val="1"/>
      <w:numFmt w:val="bullet"/>
      <w:lvlText w:val=""/>
      <w:lvlJc w:val="left"/>
      <w:pPr>
        <w:ind w:left="1080" w:hanging="360"/>
      </w:pPr>
      <w:rPr>
        <w:rFonts w:ascii="Symbol" w:hAnsi="Symbol"/>
      </w:rPr>
    </w:lvl>
  </w:abstractNum>
  <w:abstractNum w:abstractNumId="30" w15:restartNumberingAfterBreak="0">
    <w:nsid w:val="4E1A63DF"/>
    <w:multiLevelType w:val="multilevel"/>
    <w:tmpl w:val="E5F6ABEE"/>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4E1A982C"/>
    <w:multiLevelType w:val="multilevel"/>
    <w:tmpl w:val="F29AC2FC"/>
    <w:name w:val="ListBulletNumbering"/>
    <w:lvl w:ilvl="0">
      <w:start w:val="1"/>
      <w:numFmt w:val="bullet"/>
      <w:pStyle w:val="ListBullet"/>
      <w:lvlText w:val=""/>
      <w:lvlJc w:val="left"/>
      <w:pPr>
        <w:tabs>
          <w:tab w:val="num" w:pos="454"/>
        </w:tabs>
        <w:ind w:left="454" w:hanging="454"/>
      </w:pPr>
      <w:rPr>
        <w:rFonts w:ascii="Symbol" w:hAnsi="Symbol"/>
      </w:rPr>
    </w:lvl>
    <w:lvl w:ilvl="1">
      <w:start w:val="1"/>
      <w:numFmt w:val="bullet"/>
      <w:pStyle w:val="ListBulletLevel2"/>
      <w:lvlText w:val=""/>
      <w:lvlJc w:val="left"/>
      <w:pPr>
        <w:tabs>
          <w:tab w:val="num" w:pos="907"/>
        </w:tabs>
        <w:ind w:left="907" w:hanging="453"/>
      </w:pPr>
      <w:rPr>
        <w:rFonts w:ascii="Symbol" w:hAnsi="Symbol"/>
      </w:rPr>
    </w:lvl>
    <w:lvl w:ilvl="2">
      <w:start w:val="1"/>
      <w:numFmt w:val="bullet"/>
      <w:pStyle w:val="ListBulletLevel3"/>
      <w:lvlText w:val=""/>
      <w:lvlJc w:val="left"/>
      <w:pPr>
        <w:tabs>
          <w:tab w:val="num" w:pos="1361"/>
        </w:tabs>
        <w:ind w:left="1361" w:hanging="454"/>
      </w:pPr>
      <w:rPr>
        <w:rFonts w:ascii="Symbol" w:hAnsi="Symbol"/>
      </w:rPr>
    </w:lvl>
    <w:lvl w:ilvl="3">
      <w:start w:val="1"/>
      <w:numFmt w:val="bullet"/>
      <w:pStyle w:val="ListBullet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2" w15:restartNumberingAfterBreak="0">
    <w:nsid w:val="5072619B"/>
    <w:multiLevelType w:val="multilevel"/>
    <w:tmpl w:val="F2EE37D2"/>
    <w:name w:val="ListDashNumbering"/>
    <w:lvl w:ilvl="0">
      <w:start w:val="1"/>
      <w:numFmt w:val="bullet"/>
      <w:pStyle w:val="ListDash"/>
      <w:lvlText w:val="–"/>
      <w:lvlJc w:val="left"/>
      <w:pPr>
        <w:tabs>
          <w:tab w:val="num" w:pos="454"/>
        </w:tabs>
        <w:ind w:left="454" w:hanging="454"/>
      </w:pPr>
      <w:rPr>
        <w:rFonts w:ascii="Times New Roman" w:hAnsi="Times New Roman"/>
      </w:rPr>
    </w:lvl>
    <w:lvl w:ilvl="1">
      <w:start w:val="1"/>
      <w:numFmt w:val="bullet"/>
      <w:pStyle w:val="ListDashLevel2"/>
      <w:lvlText w:val="–"/>
      <w:lvlJc w:val="left"/>
      <w:pPr>
        <w:tabs>
          <w:tab w:val="num" w:pos="907"/>
        </w:tabs>
        <w:ind w:left="907" w:hanging="453"/>
      </w:pPr>
      <w:rPr>
        <w:rFonts w:ascii="Times New Roman" w:hAnsi="Times New Roman"/>
      </w:rPr>
    </w:lvl>
    <w:lvl w:ilvl="2">
      <w:start w:val="1"/>
      <w:numFmt w:val="bullet"/>
      <w:pStyle w:val="ListDashLevel3"/>
      <w:lvlText w:val="–"/>
      <w:lvlJc w:val="left"/>
      <w:pPr>
        <w:tabs>
          <w:tab w:val="num" w:pos="1361"/>
        </w:tabs>
        <w:ind w:left="1361" w:hanging="454"/>
      </w:pPr>
      <w:rPr>
        <w:rFonts w:ascii="Times New Roman" w:hAnsi="Times New Roman"/>
      </w:rPr>
    </w:lvl>
    <w:lvl w:ilvl="3">
      <w:start w:val="1"/>
      <w:numFmt w:val="bullet"/>
      <w:pStyle w:val="ListDashLevel4"/>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3" w15:restartNumberingAfterBreak="0">
    <w:nsid w:val="50729B52"/>
    <w:multiLevelType w:val="multilevel"/>
    <w:tmpl w:val="8A9E6E7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4" w15:restartNumberingAfterBreak="0">
    <w:nsid w:val="519B739B"/>
    <w:multiLevelType w:val="hybridMultilevel"/>
    <w:tmpl w:val="804203FC"/>
    <w:lvl w:ilvl="0" w:tplc="56FC7F9C">
      <w:start w:val="1"/>
      <w:numFmt w:val="decimal"/>
      <w:lvlText w:val="%1."/>
      <w:lvlJc w:val="left"/>
      <w:pPr>
        <w:ind w:left="1020" w:hanging="360"/>
      </w:pPr>
    </w:lvl>
    <w:lvl w:ilvl="1" w:tplc="0534DAA8">
      <w:start w:val="1"/>
      <w:numFmt w:val="decimal"/>
      <w:lvlText w:val="%2."/>
      <w:lvlJc w:val="left"/>
      <w:pPr>
        <w:ind w:left="1020" w:hanging="360"/>
      </w:pPr>
    </w:lvl>
    <w:lvl w:ilvl="2" w:tplc="031456C8">
      <w:start w:val="1"/>
      <w:numFmt w:val="decimal"/>
      <w:lvlText w:val="%3."/>
      <w:lvlJc w:val="left"/>
      <w:pPr>
        <w:ind w:left="1020" w:hanging="360"/>
      </w:pPr>
    </w:lvl>
    <w:lvl w:ilvl="3" w:tplc="A914E764">
      <w:start w:val="1"/>
      <w:numFmt w:val="decimal"/>
      <w:lvlText w:val="%4."/>
      <w:lvlJc w:val="left"/>
      <w:pPr>
        <w:ind w:left="1020" w:hanging="360"/>
      </w:pPr>
    </w:lvl>
    <w:lvl w:ilvl="4" w:tplc="9B42A328">
      <w:start w:val="1"/>
      <w:numFmt w:val="decimal"/>
      <w:lvlText w:val="%5."/>
      <w:lvlJc w:val="left"/>
      <w:pPr>
        <w:ind w:left="1020" w:hanging="360"/>
      </w:pPr>
    </w:lvl>
    <w:lvl w:ilvl="5" w:tplc="A9103536">
      <w:start w:val="1"/>
      <w:numFmt w:val="decimal"/>
      <w:lvlText w:val="%6."/>
      <w:lvlJc w:val="left"/>
      <w:pPr>
        <w:ind w:left="1020" w:hanging="360"/>
      </w:pPr>
    </w:lvl>
    <w:lvl w:ilvl="6" w:tplc="E00CC01A">
      <w:start w:val="1"/>
      <w:numFmt w:val="decimal"/>
      <w:lvlText w:val="%7."/>
      <w:lvlJc w:val="left"/>
      <w:pPr>
        <w:ind w:left="1020" w:hanging="360"/>
      </w:pPr>
    </w:lvl>
    <w:lvl w:ilvl="7" w:tplc="16A054E8">
      <w:start w:val="1"/>
      <w:numFmt w:val="decimal"/>
      <w:lvlText w:val="%8."/>
      <w:lvlJc w:val="left"/>
      <w:pPr>
        <w:ind w:left="1020" w:hanging="360"/>
      </w:pPr>
    </w:lvl>
    <w:lvl w:ilvl="8" w:tplc="DF820C90">
      <w:start w:val="1"/>
      <w:numFmt w:val="decimal"/>
      <w:lvlText w:val="%9."/>
      <w:lvlJc w:val="left"/>
      <w:pPr>
        <w:ind w:left="1020" w:hanging="360"/>
      </w:pPr>
    </w:lvl>
  </w:abstractNum>
  <w:abstractNum w:abstractNumId="35" w15:restartNumberingAfterBreak="0">
    <w:nsid w:val="5366386D"/>
    <w:multiLevelType w:val="multilevel"/>
    <w:tmpl w:val="F5A2E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6E60627"/>
    <w:multiLevelType w:val="hybridMultilevel"/>
    <w:tmpl w:val="648CB6F4"/>
    <w:lvl w:ilvl="0" w:tplc="3E5228B2">
      <w:start w:val="1"/>
      <w:numFmt w:val="bullet"/>
      <w:lvlText w:val=""/>
      <w:lvlJc w:val="left"/>
      <w:pPr>
        <w:ind w:left="1080" w:hanging="360"/>
      </w:pPr>
      <w:rPr>
        <w:rFonts w:ascii="Symbol" w:hAnsi="Symbol"/>
      </w:rPr>
    </w:lvl>
    <w:lvl w:ilvl="1" w:tplc="9FE48C26">
      <w:start w:val="1"/>
      <w:numFmt w:val="bullet"/>
      <w:lvlText w:val=""/>
      <w:lvlJc w:val="left"/>
      <w:pPr>
        <w:ind w:left="1080" w:hanging="360"/>
      </w:pPr>
      <w:rPr>
        <w:rFonts w:ascii="Symbol" w:hAnsi="Symbol"/>
      </w:rPr>
    </w:lvl>
    <w:lvl w:ilvl="2" w:tplc="2D684854">
      <w:start w:val="1"/>
      <w:numFmt w:val="bullet"/>
      <w:lvlText w:val=""/>
      <w:lvlJc w:val="left"/>
      <w:pPr>
        <w:ind w:left="1080" w:hanging="360"/>
      </w:pPr>
      <w:rPr>
        <w:rFonts w:ascii="Symbol" w:hAnsi="Symbol"/>
      </w:rPr>
    </w:lvl>
    <w:lvl w:ilvl="3" w:tplc="22A0AF98">
      <w:start w:val="1"/>
      <w:numFmt w:val="bullet"/>
      <w:lvlText w:val=""/>
      <w:lvlJc w:val="left"/>
      <w:pPr>
        <w:ind w:left="1080" w:hanging="360"/>
      </w:pPr>
      <w:rPr>
        <w:rFonts w:ascii="Symbol" w:hAnsi="Symbol"/>
      </w:rPr>
    </w:lvl>
    <w:lvl w:ilvl="4" w:tplc="CAAE13FC">
      <w:start w:val="1"/>
      <w:numFmt w:val="bullet"/>
      <w:lvlText w:val=""/>
      <w:lvlJc w:val="left"/>
      <w:pPr>
        <w:ind w:left="1080" w:hanging="360"/>
      </w:pPr>
      <w:rPr>
        <w:rFonts w:ascii="Symbol" w:hAnsi="Symbol"/>
      </w:rPr>
    </w:lvl>
    <w:lvl w:ilvl="5" w:tplc="EFD8E50C">
      <w:start w:val="1"/>
      <w:numFmt w:val="bullet"/>
      <w:lvlText w:val=""/>
      <w:lvlJc w:val="left"/>
      <w:pPr>
        <w:ind w:left="1080" w:hanging="360"/>
      </w:pPr>
      <w:rPr>
        <w:rFonts w:ascii="Symbol" w:hAnsi="Symbol"/>
      </w:rPr>
    </w:lvl>
    <w:lvl w:ilvl="6" w:tplc="AE86FE20">
      <w:start w:val="1"/>
      <w:numFmt w:val="bullet"/>
      <w:lvlText w:val=""/>
      <w:lvlJc w:val="left"/>
      <w:pPr>
        <w:ind w:left="1080" w:hanging="360"/>
      </w:pPr>
      <w:rPr>
        <w:rFonts w:ascii="Symbol" w:hAnsi="Symbol"/>
      </w:rPr>
    </w:lvl>
    <w:lvl w:ilvl="7" w:tplc="B44A14DA">
      <w:start w:val="1"/>
      <w:numFmt w:val="bullet"/>
      <w:lvlText w:val=""/>
      <w:lvlJc w:val="left"/>
      <w:pPr>
        <w:ind w:left="1080" w:hanging="360"/>
      </w:pPr>
      <w:rPr>
        <w:rFonts w:ascii="Symbol" w:hAnsi="Symbol"/>
      </w:rPr>
    </w:lvl>
    <w:lvl w:ilvl="8" w:tplc="505415E6">
      <w:start w:val="1"/>
      <w:numFmt w:val="bullet"/>
      <w:lvlText w:val=""/>
      <w:lvlJc w:val="left"/>
      <w:pPr>
        <w:ind w:left="1080" w:hanging="360"/>
      </w:pPr>
      <w:rPr>
        <w:rFonts w:ascii="Symbol" w:hAnsi="Symbol"/>
      </w:rPr>
    </w:lvl>
  </w:abstractNum>
  <w:abstractNum w:abstractNumId="37" w15:restartNumberingAfterBreak="0">
    <w:nsid w:val="58446B11"/>
    <w:multiLevelType w:val="hybridMultilevel"/>
    <w:tmpl w:val="D40A0E30"/>
    <w:lvl w:ilvl="0" w:tplc="BF2697D0">
      <w:start w:val="1"/>
      <w:numFmt w:val="bullet"/>
      <w:lvlText w:val="·"/>
      <w:lvlJc w:val="left"/>
      <w:pPr>
        <w:ind w:left="720" w:hanging="360"/>
      </w:pPr>
      <w:rPr>
        <w:rFonts w:ascii="Symbol" w:hAnsi="Symbol" w:hint="default"/>
      </w:rPr>
    </w:lvl>
    <w:lvl w:ilvl="1" w:tplc="87647F52">
      <w:start w:val="1"/>
      <w:numFmt w:val="bullet"/>
      <w:lvlText w:val="o"/>
      <w:lvlJc w:val="left"/>
      <w:pPr>
        <w:ind w:left="1440" w:hanging="360"/>
      </w:pPr>
      <w:rPr>
        <w:rFonts w:ascii="Symbol" w:hAnsi="Symbol" w:hint="default"/>
      </w:rPr>
    </w:lvl>
    <w:lvl w:ilvl="2" w:tplc="DB4CA928">
      <w:start w:val="1"/>
      <w:numFmt w:val="bullet"/>
      <w:lvlText w:val=""/>
      <w:lvlJc w:val="left"/>
      <w:pPr>
        <w:ind w:left="2160" w:hanging="360"/>
      </w:pPr>
      <w:rPr>
        <w:rFonts w:ascii="Wingdings" w:hAnsi="Wingdings" w:hint="default"/>
      </w:rPr>
    </w:lvl>
    <w:lvl w:ilvl="3" w:tplc="0F8E3D26">
      <w:start w:val="1"/>
      <w:numFmt w:val="bullet"/>
      <w:lvlText w:val=""/>
      <w:lvlJc w:val="left"/>
      <w:pPr>
        <w:ind w:left="2880" w:hanging="360"/>
      </w:pPr>
      <w:rPr>
        <w:rFonts w:ascii="Symbol" w:hAnsi="Symbol" w:hint="default"/>
      </w:rPr>
    </w:lvl>
    <w:lvl w:ilvl="4" w:tplc="481A77B6">
      <w:start w:val="1"/>
      <w:numFmt w:val="bullet"/>
      <w:lvlText w:val="o"/>
      <w:lvlJc w:val="left"/>
      <w:pPr>
        <w:ind w:left="3600" w:hanging="360"/>
      </w:pPr>
      <w:rPr>
        <w:rFonts w:ascii="Courier New" w:hAnsi="Courier New" w:hint="default"/>
      </w:rPr>
    </w:lvl>
    <w:lvl w:ilvl="5" w:tplc="066CCBBE">
      <w:start w:val="1"/>
      <w:numFmt w:val="bullet"/>
      <w:lvlText w:val=""/>
      <w:lvlJc w:val="left"/>
      <w:pPr>
        <w:ind w:left="4320" w:hanging="360"/>
      </w:pPr>
      <w:rPr>
        <w:rFonts w:ascii="Wingdings" w:hAnsi="Wingdings" w:hint="default"/>
      </w:rPr>
    </w:lvl>
    <w:lvl w:ilvl="6" w:tplc="F0CC4D86">
      <w:start w:val="1"/>
      <w:numFmt w:val="bullet"/>
      <w:lvlText w:val=""/>
      <w:lvlJc w:val="left"/>
      <w:pPr>
        <w:ind w:left="5040" w:hanging="360"/>
      </w:pPr>
      <w:rPr>
        <w:rFonts w:ascii="Symbol" w:hAnsi="Symbol" w:hint="default"/>
      </w:rPr>
    </w:lvl>
    <w:lvl w:ilvl="7" w:tplc="933E5760">
      <w:start w:val="1"/>
      <w:numFmt w:val="bullet"/>
      <w:lvlText w:val="o"/>
      <w:lvlJc w:val="left"/>
      <w:pPr>
        <w:ind w:left="5760" w:hanging="360"/>
      </w:pPr>
      <w:rPr>
        <w:rFonts w:ascii="Courier New" w:hAnsi="Courier New" w:hint="default"/>
      </w:rPr>
    </w:lvl>
    <w:lvl w:ilvl="8" w:tplc="80BC2574">
      <w:start w:val="1"/>
      <w:numFmt w:val="bullet"/>
      <w:lvlText w:val=""/>
      <w:lvlJc w:val="left"/>
      <w:pPr>
        <w:ind w:left="6480" w:hanging="360"/>
      </w:pPr>
      <w:rPr>
        <w:rFonts w:ascii="Wingdings" w:hAnsi="Wingdings" w:hint="default"/>
      </w:rPr>
    </w:lvl>
  </w:abstractNum>
  <w:abstractNum w:abstractNumId="38" w15:restartNumberingAfterBreak="0">
    <w:nsid w:val="5C8A8C06"/>
    <w:multiLevelType w:val="hybridMultilevel"/>
    <w:tmpl w:val="FFFFFFFF"/>
    <w:lvl w:ilvl="0" w:tplc="BC2686CC">
      <w:start w:val="1"/>
      <w:numFmt w:val="bullet"/>
      <w:lvlText w:val=""/>
      <w:lvlJc w:val="left"/>
      <w:pPr>
        <w:ind w:left="720" w:hanging="360"/>
      </w:pPr>
      <w:rPr>
        <w:rFonts w:ascii="Symbol" w:hAnsi="Symbol" w:hint="default"/>
      </w:rPr>
    </w:lvl>
    <w:lvl w:ilvl="1" w:tplc="C65410F0">
      <w:start w:val="1"/>
      <w:numFmt w:val="bullet"/>
      <w:lvlText w:val="o"/>
      <w:lvlJc w:val="left"/>
      <w:pPr>
        <w:ind w:left="1440" w:hanging="360"/>
      </w:pPr>
      <w:rPr>
        <w:rFonts w:ascii="Courier New" w:hAnsi="Courier New" w:hint="default"/>
      </w:rPr>
    </w:lvl>
    <w:lvl w:ilvl="2" w:tplc="3DA8B3D6">
      <w:start w:val="1"/>
      <w:numFmt w:val="bullet"/>
      <w:lvlText w:val=""/>
      <w:lvlJc w:val="left"/>
      <w:pPr>
        <w:ind w:left="2160" w:hanging="360"/>
      </w:pPr>
      <w:rPr>
        <w:rFonts w:ascii="Wingdings" w:hAnsi="Wingdings" w:hint="default"/>
      </w:rPr>
    </w:lvl>
    <w:lvl w:ilvl="3" w:tplc="AE4AFC62">
      <w:start w:val="1"/>
      <w:numFmt w:val="bullet"/>
      <w:lvlText w:val=""/>
      <w:lvlJc w:val="left"/>
      <w:pPr>
        <w:ind w:left="2880" w:hanging="360"/>
      </w:pPr>
      <w:rPr>
        <w:rFonts w:ascii="Symbol" w:hAnsi="Symbol" w:hint="default"/>
      </w:rPr>
    </w:lvl>
    <w:lvl w:ilvl="4" w:tplc="C9B26F54">
      <w:start w:val="1"/>
      <w:numFmt w:val="bullet"/>
      <w:lvlText w:val="o"/>
      <w:lvlJc w:val="left"/>
      <w:pPr>
        <w:ind w:left="3600" w:hanging="360"/>
      </w:pPr>
      <w:rPr>
        <w:rFonts w:ascii="Courier New" w:hAnsi="Courier New" w:hint="default"/>
      </w:rPr>
    </w:lvl>
    <w:lvl w:ilvl="5" w:tplc="7A0229E2">
      <w:start w:val="1"/>
      <w:numFmt w:val="bullet"/>
      <w:lvlText w:val=""/>
      <w:lvlJc w:val="left"/>
      <w:pPr>
        <w:ind w:left="4320" w:hanging="360"/>
      </w:pPr>
      <w:rPr>
        <w:rFonts w:ascii="Wingdings" w:hAnsi="Wingdings" w:hint="default"/>
      </w:rPr>
    </w:lvl>
    <w:lvl w:ilvl="6" w:tplc="2410D552">
      <w:start w:val="1"/>
      <w:numFmt w:val="bullet"/>
      <w:lvlText w:val=""/>
      <w:lvlJc w:val="left"/>
      <w:pPr>
        <w:ind w:left="5040" w:hanging="360"/>
      </w:pPr>
      <w:rPr>
        <w:rFonts w:ascii="Symbol" w:hAnsi="Symbol" w:hint="default"/>
      </w:rPr>
    </w:lvl>
    <w:lvl w:ilvl="7" w:tplc="4762E998">
      <w:start w:val="1"/>
      <w:numFmt w:val="bullet"/>
      <w:lvlText w:val="o"/>
      <w:lvlJc w:val="left"/>
      <w:pPr>
        <w:ind w:left="5760" w:hanging="360"/>
      </w:pPr>
      <w:rPr>
        <w:rFonts w:ascii="Courier New" w:hAnsi="Courier New" w:hint="default"/>
      </w:rPr>
    </w:lvl>
    <w:lvl w:ilvl="8" w:tplc="F8A8D8EE">
      <w:start w:val="1"/>
      <w:numFmt w:val="bullet"/>
      <w:lvlText w:val=""/>
      <w:lvlJc w:val="left"/>
      <w:pPr>
        <w:ind w:left="6480" w:hanging="360"/>
      </w:pPr>
      <w:rPr>
        <w:rFonts w:ascii="Wingdings" w:hAnsi="Wingdings" w:hint="default"/>
      </w:rPr>
    </w:lvl>
  </w:abstractNum>
  <w:abstractNum w:abstractNumId="39" w15:restartNumberingAfterBreak="0">
    <w:nsid w:val="5CAB6771"/>
    <w:multiLevelType w:val="hybridMultilevel"/>
    <w:tmpl w:val="66904300"/>
    <w:lvl w:ilvl="0" w:tplc="A5C640A2">
      <w:start w:val="1"/>
      <w:numFmt w:val="bullet"/>
      <w:lvlText w:val=""/>
      <w:lvlJc w:val="left"/>
      <w:pPr>
        <w:ind w:left="720" w:hanging="360"/>
      </w:pPr>
      <w:rPr>
        <w:rFonts w:ascii="Symbol" w:hAnsi="Symbol"/>
      </w:rPr>
    </w:lvl>
    <w:lvl w:ilvl="1" w:tplc="F2F66004">
      <w:start w:val="1"/>
      <w:numFmt w:val="bullet"/>
      <w:lvlText w:val=""/>
      <w:lvlJc w:val="left"/>
      <w:pPr>
        <w:ind w:left="720" w:hanging="360"/>
      </w:pPr>
      <w:rPr>
        <w:rFonts w:ascii="Symbol" w:hAnsi="Symbol"/>
      </w:rPr>
    </w:lvl>
    <w:lvl w:ilvl="2" w:tplc="DCD6A80C">
      <w:start w:val="1"/>
      <w:numFmt w:val="bullet"/>
      <w:lvlText w:val=""/>
      <w:lvlJc w:val="left"/>
      <w:pPr>
        <w:ind w:left="720" w:hanging="360"/>
      </w:pPr>
      <w:rPr>
        <w:rFonts w:ascii="Symbol" w:hAnsi="Symbol"/>
      </w:rPr>
    </w:lvl>
    <w:lvl w:ilvl="3" w:tplc="877E93C0">
      <w:start w:val="1"/>
      <w:numFmt w:val="bullet"/>
      <w:lvlText w:val=""/>
      <w:lvlJc w:val="left"/>
      <w:pPr>
        <w:ind w:left="720" w:hanging="360"/>
      </w:pPr>
      <w:rPr>
        <w:rFonts w:ascii="Symbol" w:hAnsi="Symbol"/>
      </w:rPr>
    </w:lvl>
    <w:lvl w:ilvl="4" w:tplc="C2548C66">
      <w:start w:val="1"/>
      <w:numFmt w:val="bullet"/>
      <w:lvlText w:val=""/>
      <w:lvlJc w:val="left"/>
      <w:pPr>
        <w:ind w:left="720" w:hanging="360"/>
      </w:pPr>
      <w:rPr>
        <w:rFonts w:ascii="Symbol" w:hAnsi="Symbol"/>
      </w:rPr>
    </w:lvl>
    <w:lvl w:ilvl="5" w:tplc="C6E24CF2">
      <w:start w:val="1"/>
      <w:numFmt w:val="bullet"/>
      <w:lvlText w:val=""/>
      <w:lvlJc w:val="left"/>
      <w:pPr>
        <w:ind w:left="720" w:hanging="360"/>
      </w:pPr>
      <w:rPr>
        <w:rFonts w:ascii="Symbol" w:hAnsi="Symbol"/>
      </w:rPr>
    </w:lvl>
    <w:lvl w:ilvl="6" w:tplc="4A564544">
      <w:start w:val="1"/>
      <w:numFmt w:val="bullet"/>
      <w:lvlText w:val=""/>
      <w:lvlJc w:val="left"/>
      <w:pPr>
        <w:ind w:left="720" w:hanging="360"/>
      </w:pPr>
      <w:rPr>
        <w:rFonts w:ascii="Symbol" w:hAnsi="Symbol"/>
      </w:rPr>
    </w:lvl>
    <w:lvl w:ilvl="7" w:tplc="D4926A68">
      <w:start w:val="1"/>
      <w:numFmt w:val="bullet"/>
      <w:lvlText w:val=""/>
      <w:lvlJc w:val="left"/>
      <w:pPr>
        <w:ind w:left="720" w:hanging="360"/>
      </w:pPr>
      <w:rPr>
        <w:rFonts w:ascii="Symbol" w:hAnsi="Symbol"/>
      </w:rPr>
    </w:lvl>
    <w:lvl w:ilvl="8" w:tplc="B6509948">
      <w:start w:val="1"/>
      <w:numFmt w:val="bullet"/>
      <w:lvlText w:val=""/>
      <w:lvlJc w:val="left"/>
      <w:pPr>
        <w:ind w:left="720" w:hanging="360"/>
      </w:pPr>
      <w:rPr>
        <w:rFonts w:ascii="Symbol" w:hAnsi="Symbol"/>
      </w:rPr>
    </w:lvl>
  </w:abstractNum>
  <w:abstractNum w:abstractNumId="40" w15:restartNumberingAfterBreak="0">
    <w:nsid w:val="5EF809F6"/>
    <w:multiLevelType w:val="multilevel"/>
    <w:tmpl w:val="8B560812"/>
    <w:lvl w:ilvl="0">
      <w:start w:val="1"/>
      <w:numFmt w:val="bullet"/>
      <w:lvlText w:val="–"/>
      <w:lvlJc w:val="left"/>
      <w:pPr>
        <w:tabs>
          <w:tab w:val="num" w:pos="454"/>
        </w:tabs>
        <w:ind w:left="454" w:hanging="454"/>
      </w:pPr>
      <w:rPr>
        <w:rFonts w:ascii="Times New Roman" w:hAnsi="Times New Roman"/>
      </w:rPr>
    </w:lvl>
    <w:lvl w:ilvl="1">
      <w:start w:val="1"/>
      <w:numFmt w:val="bullet"/>
      <w:lvlText w:val=""/>
      <w:lvlJc w:val="left"/>
      <w:pPr>
        <w:ind w:left="1174" w:hanging="360"/>
      </w:pPr>
      <w:rPr>
        <w:rFonts w:ascii="Wingdings" w:hAnsi="Wingdings" w:hint="default"/>
      </w:rPr>
    </w:lvl>
    <w:lvl w:ilvl="2">
      <w:start w:val="1"/>
      <w:numFmt w:val="bullet"/>
      <w:lvlText w:val="–"/>
      <w:lvlJc w:val="left"/>
      <w:pPr>
        <w:tabs>
          <w:tab w:val="num" w:pos="1361"/>
        </w:tabs>
        <w:ind w:left="1361" w:hanging="454"/>
      </w:pPr>
      <w:rPr>
        <w:rFonts w:ascii="Times New Roman" w:hAnsi="Times New Roman"/>
      </w:rPr>
    </w:lvl>
    <w:lvl w:ilvl="3">
      <w:start w:val="1"/>
      <w:numFmt w:val="bullet"/>
      <w:lvlText w:val="–"/>
      <w:lvlJc w:val="left"/>
      <w:pPr>
        <w:tabs>
          <w:tab w:val="num" w:pos="1814"/>
        </w:tabs>
        <w:ind w:left="1814" w:hanging="45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5F0929A3"/>
    <w:multiLevelType w:val="hybridMultilevel"/>
    <w:tmpl w:val="047E9EEA"/>
    <w:lvl w:ilvl="0" w:tplc="0409000D">
      <w:start w:val="1"/>
      <w:numFmt w:val="bullet"/>
      <w:lvlText w:val=""/>
      <w:lvlJc w:val="left"/>
      <w:pPr>
        <w:ind w:left="1174" w:hanging="360"/>
      </w:pPr>
      <w:rPr>
        <w:rFonts w:ascii="Wingdings" w:hAnsi="Wingdings" w:hint="default"/>
      </w:rPr>
    </w:lvl>
    <w:lvl w:ilvl="1" w:tplc="08090003" w:tentative="1">
      <w:start w:val="1"/>
      <w:numFmt w:val="bullet"/>
      <w:lvlText w:val="o"/>
      <w:lvlJc w:val="left"/>
      <w:pPr>
        <w:ind w:left="1894" w:hanging="360"/>
      </w:pPr>
      <w:rPr>
        <w:rFonts w:ascii="Courier New" w:hAnsi="Courier New" w:cs="Courier New" w:hint="default"/>
      </w:rPr>
    </w:lvl>
    <w:lvl w:ilvl="2" w:tplc="08090005" w:tentative="1">
      <w:start w:val="1"/>
      <w:numFmt w:val="bullet"/>
      <w:lvlText w:val=""/>
      <w:lvlJc w:val="left"/>
      <w:pPr>
        <w:ind w:left="2614" w:hanging="360"/>
      </w:pPr>
      <w:rPr>
        <w:rFonts w:ascii="Wingdings" w:hAnsi="Wingdings" w:hint="default"/>
      </w:rPr>
    </w:lvl>
    <w:lvl w:ilvl="3" w:tplc="08090001" w:tentative="1">
      <w:start w:val="1"/>
      <w:numFmt w:val="bullet"/>
      <w:lvlText w:val=""/>
      <w:lvlJc w:val="left"/>
      <w:pPr>
        <w:ind w:left="3334" w:hanging="360"/>
      </w:pPr>
      <w:rPr>
        <w:rFonts w:ascii="Symbol" w:hAnsi="Symbol" w:hint="default"/>
      </w:rPr>
    </w:lvl>
    <w:lvl w:ilvl="4" w:tplc="08090003" w:tentative="1">
      <w:start w:val="1"/>
      <w:numFmt w:val="bullet"/>
      <w:lvlText w:val="o"/>
      <w:lvlJc w:val="left"/>
      <w:pPr>
        <w:ind w:left="4054" w:hanging="360"/>
      </w:pPr>
      <w:rPr>
        <w:rFonts w:ascii="Courier New" w:hAnsi="Courier New" w:cs="Courier New" w:hint="default"/>
      </w:rPr>
    </w:lvl>
    <w:lvl w:ilvl="5" w:tplc="08090005" w:tentative="1">
      <w:start w:val="1"/>
      <w:numFmt w:val="bullet"/>
      <w:lvlText w:val=""/>
      <w:lvlJc w:val="left"/>
      <w:pPr>
        <w:ind w:left="4774" w:hanging="360"/>
      </w:pPr>
      <w:rPr>
        <w:rFonts w:ascii="Wingdings" w:hAnsi="Wingdings" w:hint="default"/>
      </w:rPr>
    </w:lvl>
    <w:lvl w:ilvl="6" w:tplc="08090001" w:tentative="1">
      <w:start w:val="1"/>
      <w:numFmt w:val="bullet"/>
      <w:lvlText w:val=""/>
      <w:lvlJc w:val="left"/>
      <w:pPr>
        <w:ind w:left="5494" w:hanging="360"/>
      </w:pPr>
      <w:rPr>
        <w:rFonts w:ascii="Symbol" w:hAnsi="Symbol" w:hint="default"/>
      </w:rPr>
    </w:lvl>
    <w:lvl w:ilvl="7" w:tplc="08090003" w:tentative="1">
      <w:start w:val="1"/>
      <w:numFmt w:val="bullet"/>
      <w:lvlText w:val="o"/>
      <w:lvlJc w:val="left"/>
      <w:pPr>
        <w:ind w:left="6214" w:hanging="360"/>
      </w:pPr>
      <w:rPr>
        <w:rFonts w:ascii="Courier New" w:hAnsi="Courier New" w:cs="Courier New" w:hint="default"/>
      </w:rPr>
    </w:lvl>
    <w:lvl w:ilvl="8" w:tplc="08090005" w:tentative="1">
      <w:start w:val="1"/>
      <w:numFmt w:val="bullet"/>
      <w:lvlText w:val=""/>
      <w:lvlJc w:val="left"/>
      <w:pPr>
        <w:ind w:left="6934" w:hanging="360"/>
      </w:pPr>
      <w:rPr>
        <w:rFonts w:ascii="Wingdings" w:hAnsi="Wingdings" w:hint="default"/>
      </w:rPr>
    </w:lvl>
  </w:abstractNum>
  <w:abstractNum w:abstractNumId="42" w15:restartNumberingAfterBreak="0">
    <w:nsid w:val="66191948"/>
    <w:multiLevelType w:val="multilevel"/>
    <w:tmpl w:val="35F69A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682A6099"/>
    <w:multiLevelType w:val="hybridMultilevel"/>
    <w:tmpl w:val="3E141786"/>
    <w:lvl w:ilvl="0" w:tplc="04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9D60C44"/>
    <w:multiLevelType w:val="hybridMultilevel"/>
    <w:tmpl w:val="96441C36"/>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027026F"/>
    <w:multiLevelType w:val="hybridMultilevel"/>
    <w:tmpl w:val="FFFFFFFF"/>
    <w:lvl w:ilvl="0" w:tplc="71544400">
      <w:start w:val="1"/>
      <w:numFmt w:val="bullet"/>
      <w:lvlText w:val=""/>
      <w:lvlJc w:val="left"/>
      <w:pPr>
        <w:ind w:left="720" w:hanging="360"/>
      </w:pPr>
      <w:rPr>
        <w:rFonts w:ascii="Symbol" w:hAnsi="Symbol" w:hint="default"/>
      </w:rPr>
    </w:lvl>
    <w:lvl w:ilvl="1" w:tplc="49F0DEAE">
      <w:start w:val="1"/>
      <w:numFmt w:val="bullet"/>
      <w:lvlText w:val="o"/>
      <w:lvlJc w:val="left"/>
      <w:pPr>
        <w:ind w:left="1440" w:hanging="360"/>
      </w:pPr>
      <w:rPr>
        <w:rFonts w:ascii="Courier New" w:hAnsi="Courier New" w:hint="default"/>
      </w:rPr>
    </w:lvl>
    <w:lvl w:ilvl="2" w:tplc="5EE859B2">
      <w:start w:val="1"/>
      <w:numFmt w:val="bullet"/>
      <w:lvlText w:val=""/>
      <w:lvlJc w:val="left"/>
      <w:pPr>
        <w:ind w:left="2160" w:hanging="360"/>
      </w:pPr>
      <w:rPr>
        <w:rFonts w:ascii="Wingdings" w:hAnsi="Wingdings" w:hint="default"/>
      </w:rPr>
    </w:lvl>
    <w:lvl w:ilvl="3" w:tplc="645EFCE6">
      <w:start w:val="1"/>
      <w:numFmt w:val="bullet"/>
      <w:lvlText w:val=""/>
      <w:lvlJc w:val="left"/>
      <w:pPr>
        <w:ind w:left="2880" w:hanging="360"/>
      </w:pPr>
      <w:rPr>
        <w:rFonts w:ascii="Symbol" w:hAnsi="Symbol" w:hint="default"/>
      </w:rPr>
    </w:lvl>
    <w:lvl w:ilvl="4" w:tplc="CEF87D32">
      <w:start w:val="1"/>
      <w:numFmt w:val="bullet"/>
      <w:lvlText w:val="o"/>
      <w:lvlJc w:val="left"/>
      <w:pPr>
        <w:ind w:left="3600" w:hanging="360"/>
      </w:pPr>
      <w:rPr>
        <w:rFonts w:ascii="Courier New" w:hAnsi="Courier New" w:hint="default"/>
      </w:rPr>
    </w:lvl>
    <w:lvl w:ilvl="5" w:tplc="508689E8">
      <w:start w:val="1"/>
      <w:numFmt w:val="bullet"/>
      <w:lvlText w:val=""/>
      <w:lvlJc w:val="left"/>
      <w:pPr>
        <w:ind w:left="4320" w:hanging="360"/>
      </w:pPr>
      <w:rPr>
        <w:rFonts w:ascii="Wingdings" w:hAnsi="Wingdings" w:hint="default"/>
      </w:rPr>
    </w:lvl>
    <w:lvl w:ilvl="6" w:tplc="0626416A">
      <w:start w:val="1"/>
      <w:numFmt w:val="bullet"/>
      <w:lvlText w:val=""/>
      <w:lvlJc w:val="left"/>
      <w:pPr>
        <w:ind w:left="5040" w:hanging="360"/>
      </w:pPr>
      <w:rPr>
        <w:rFonts w:ascii="Symbol" w:hAnsi="Symbol" w:hint="default"/>
      </w:rPr>
    </w:lvl>
    <w:lvl w:ilvl="7" w:tplc="FDFC4F56">
      <w:start w:val="1"/>
      <w:numFmt w:val="bullet"/>
      <w:lvlText w:val="o"/>
      <w:lvlJc w:val="left"/>
      <w:pPr>
        <w:ind w:left="5760" w:hanging="360"/>
      </w:pPr>
      <w:rPr>
        <w:rFonts w:ascii="Courier New" w:hAnsi="Courier New" w:hint="default"/>
      </w:rPr>
    </w:lvl>
    <w:lvl w:ilvl="8" w:tplc="06D0994E">
      <w:start w:val="1"/>
      <w:numFmt w:val="bullet"/>
      <w:lvlText w:val=""/>
      <w:lvlJc w:val="left"/>
      <w:pPr>
        <w:ind w:left="6480" w:hanging="360"/>
      </w:pPr>
      <w:rPr>
        <w:rFonts w:ascii="Wingdings" w:hAnsi="Wingdings" w:hint="default"/>
      </w:rPr>
    </w:lvl>
  </w:abstractNum>
  <w:abstractNum w:abstractNumId="46" w15:restartNumberingAfterBreak="0">
    <w:nsid w:val="71AE743F"/>
    <w:multiLevelType w:val="hybridMultilevel"/>
    <w:tmpl w:val="E1F4ECA0"/>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39FDA27"/>
    <w:multiLevelType w:val="hybridMultilevel"/>
    <w:tmpl w:val="FFFFFFFF"/>
    <w:lvl w:ilvl="0" w:tplc="716A8664">
      <w:start w:val="1"/>
      <w:numFmt w:val="bullet"/>
      <w:lvlText w:val=""/>
      <w:lvlJc w:val="left"/>
      <w:pPr>
        <w:ind w:left="720" w:hanging="360"/>
      </w:pPr>
      <w:rPr>
        <w:rFonts w:ascii="Symbol" w:hAnsi="Symbol" w:hint="default"/>
      </w:rPr>
    </w:lvl>
    <w:lvl w:ilvl="1" w:tplc="4808C30A">
      <w:start w:val="1"/>
      <w:numFmt w:val="bullet"/>
      <w:lvlText w:val="o"/>
      <w:lvlJc w:val="left"/>
      <w:pPr>
        <w:ind w:left="1440" w:hanging="360"/>
      </w:pPr>
      <w:rPr>
        <w:rFonts w:ascii="Courier New" w:hAnsi="Courier New" w:hint="default"/>
      </w:rPr>
    </w:lvl>
    <w:lvl w:ilvl="2" w:tplc="0E448A3A">
      <w:start w:val="1"/>
      <w:numFmt w:val="bullet"/>
      <w:lvlText w:val=""/>
      <w:lvlJc w:val="left"/>
      <w:pPr>
        <w:ind w:left="2160" w:hanging="360"/>
      </w:pPr>
      <w:rPr>
        <w:rFonts w:ascii="Wingdings" w:hAnsi="Wingdings" w:hint="default"/>
      </w:rPr>
    </w:lvl>
    <w:lvl w:ilvl="3" w:tplc="3D9CF36A">
      <w:start w:val="1"/>
      <w:numFmt w:val="bullet"/>
      <w:lvlText w:val=""/>
      <w:lvlJc w:val="left"/>
      <w:pPr>
        <w:ind w:left="2880" w:hanging="360"/>
      </w:pPr>
      <w:rPr>
        <w:rFonts w:ascii="Symbol" w:hAnsi="Symbol" w:hint="default"/>
      </w:rPr>
    </w:lvl>
    <w:lvl w:ilvl="4" w:tplc="E1AE5B4C">
      <w:start w:val="1"/>
      <w:numFmt w:val="bullet"/>
      <w:lvlText w:val="o"/>
      <w:lvlJc w:val="left"/>
      <w:pPr>
        <w:ind w:left="3600" w:hanging="360"/>
      </w:pPr>
      <w:rPr>
        <w:rFonts w:ascii="Courier New" w:hAnsi="Courier New" w:hint="default"/>
      </w:rPr>
    </w:lvl>
    <w:lvl w:ilvl="5" w:tplc="CD887C80">
      <w:start w:val="1"/>
      <w:numFmt w:val="bullet"/>
      <w:lvlText w:val=""/>
      <w:lvlJc w:val="left"/>
      <w:pPr>
        <w:ind w:left="4320" w:hanging="360"/>
      </w:pPr>
      <w:rPr>
        <w:rFonts w:ascii="Wingdings" w:hAnsi="Wingdings" w:hint="default"/>
      </w:rPr>
    </w:lvl>
    <w:lvl w:ilvl="6" w:tplc="C27E0210">
      <w:start w:val="1"/>
      <w:numFmt w:val="bullet"/>
      <w:lvlText w:val=""/>
      <w:lvlJc w:val="left"/>
      <w:pPr>
        <w:ind w:left="5040" w:hanging="360"/>
      </w:pPr>
      <w:rPr>
        <w:rFonts w:ascii="Symbol" w:hAnsi="Symbol" w:hint="default"/>
      </w:rPr>
    </w:lvl>
    <w:lvl w:ilvl="7" w:tplc="78E8FE62">
      <w:start w:val="1"/>
      <w:numFmt w:val="bullet"/>
      <w:lvlText w:val="o"/>
      <w:lvlJc w:val="left"/>
      <w:pPr>
        <w:ind w:left="5760" w:hanging="360"/>
      </w:pPr>
      <w:rPr>
        <w:rFonts w:ascii="Courier New" w:hAnsi="Courier New" w:hint="default"/>
      </w:rPr>
    </w:lvl>
    <w:lvl w:ilvl="8" w:tplc="9AF63514">
      <w:start w:val="1"/>
      <w:numFmt w:val="bullet"/>
      <w:lvlText w:val=""/>
      <w:lvlJc w:val="left"/>
      <w:pPr>
        <w:ind w:left="6480" w:hanging="360"/>
      </w:pPr>
      <w:rPr>
        <w:rFonts w:ascii="Wingdings" w:hAnsi="Wingdings" w:hint="default"/>
      </w:rPr>
    </w:lvl>
  </w:abstractNum>
  <w:abstractNum w:abstractNumId="48" w15:restartNumberingAfterBreak="0">
    <w:nsid w:val="7546427B"/>
    <w:multiLevelType w:val="hybridMultilevel"/>
    <w:tmpl w:val="59601252"/>
    <w:lvl w:ilvl="0" w:tplc="40626D2E">
      <w:start w:val="1"/>
      <w:numFmt w:val="bullet"/>
      <w:lvlText w:val="•"/>
      <w:lvlJc w:val="left"/>
      <w:pPr>
        <w:tabs>
          <w:tab w:val="num" w:pos="720"/>
        </w:tabs>
        <w:ind w:left="720" w:hanging="360"/>
      </w:pPr>
      <w:rPr>
        <w:rFonts w:ascii="Times New Roman" w:hAnsi="Times New Roman" w:hint="default"/>
      </w:rPr>
    </w:lvl>
    <w:lvl w:ilvl="1" w:tplc="0EEAAE38" w:tentative="1">
      <w:start w:val="1"/>
      <w:numFmt w:val="bullet"/>
      <w:lvlText w:val="•"/>
      <w:lvlJc w:val="left"/>
      <w:pPr>
        <w:tabs>
          <w:tab w:val="num" w:pos="1440"/>
        </w:tabs>
        <w:ind w:left="1440" w:hanging="360"/>
      </w:pPr>
      <w:rPr>
        <w:rFonts w:ascii="Times New Roman" w:hAnsi="Times New Roman" w:hint="default"/>
      </w:rPr>
    </w:lvl>
    <w:lvl w:ilvl="2" w:tplc="06AC4FC2" w:tentative="1">
      <w:start w:val="1"/>
      <w:numFmt w:val="bullet"/>
      <w:lvlText w:val="•"/>
      <w:lvlJc w:val="left"/>
      <w:pPr>
        <w:tabs>
          <w:tab w:val="num" w:pos="2160"/>
        </w:tabs>
        <w:ind w:left="2160" w:hanging="360"/>
      </w:pPr>
      <w:rPr>
        <w:rFonts w:ascii="Times New Roman" w:hAnsi="Times New Roman" w:hint="default"/>
      </w:rPr>
    </w:lvl>
    <w:lvl w:ilvl="3" w:tplc="5346FF4C" w:tentative="1">
      <w:start w:val="1"/>
      <w:numFmt w:val="bullet"/>
      <w:lvlText w:val="•"/>
      <w:lvlJc w:val="left"/>
      <w:pPr>
        <w:tabs>
          <w:tab w:val="num" w:pos="2880"/>
        </w:tabs>
        <w:ind w:left="2880" w:hanging="360"/>
      </w:pPr>
      <w:rPr>
        <w:rFonts w:ascii="Times New Roman" w:hAnsi="Times New Roman" w:hint="default"/>
      </w:rPr>
    </w:lvl>
    <w:lvl w:ilvl="4" w:tplc="C2105F1A" w:tentative="1">
      <w:start w:val="1"/>
      <w:numFmt w:val="bullet"/>
      <w:lvlText w:val="•"/>
      <w:lvlJc w:val="left"/>
      <w:pPr>
        <w:tabs>
          <w:tab w:val="num" w:pos="3600"/>
        </w:tabs>
        <w:ind w:left="3600" w:hanging="360"/>
      </w:pPr>
      <w:rPr>
        <w:rFonts w:ascii="Times New Roman" w:hAnsi="Times New Roman" w:hint="default"/>
      </w:rPr>
    </w:lvl>
    <w:lvl w:ilvl="5" w:tplc="E7A08262" w:tentative="1">
      <w:start w:val="1"/>
      <w:numFmt w:val="bullet"/>
      <w:lvlText w:val="•"/>
      <w:lvlJc w:val="left"/>
      <w:pPr>
        <w:tabs>
          <w:tab w:val="num" w:pos="4320"/>
        </w:tabs>
        <w:ind w:left="4320" w:hanging="360"/>
      </w:pPr>
      <w:rPr>
        <w:rFonts w:ascii="Times New Roman" w:hAnsi="Times New Roman" w:hint="default"/>
      </w:rPr>
    </w:lvl>
    <w:lvl w:ilvl="6" w:tplc="8F7AD5A6" w:tentative="1">
      <w:start w:val="1"/>
      <w:numFmt w:val="bullet"/>
      <w:lvlText w:val="•"/>
      <w:lvlJc w:val="left"/>
      <w:pPr>
        <w:tabs>
          <w:tab w:val="num" w:pos="5040"/>
        </w:tabs>
        <w:ind w:left="5040" w:hanging="360"/>
      </w:pPr>
      <w:rPr>
        <w:rFonts w:ascii="Times New Roman" w:hAnsi="Times New Roman" w:hint="default"/>
      </w:rPr>
    </w:lvl>
    <w:lvl w:ilvl="7" w:tplc="DA9C1298" w:tentative="1">
      <w:start w:val="1"/>
      <w:numFmt w:val="bullet"/>
      <w:lvlText w:val="•"/>
      <w:lvlJc w:val="left"/>
      <w:pPr>
        <w:tabs>
          <w:tab w:val="num" w:pos="5760"/>
        </w:tabs>
        <w:ind w:left="5760" w:hanging="360"/>
      </w:pPr>
      <w:rPr>
        <w:rFonts w:ascii="Times New Roman" w:hAnsi="Times New Roman" w:hint="default"/>
      </w:rPr>
    </w:lvl>
    <w:lvl w:ilvl="8" w:tplc="C1EC198E" w:tentative="1">
      <w:start w:val="1"/>
      <w:numFmt w:val="bullet"/>
      <w:lvlText w:val="•"/>
      <w:lvlJc w:val="left"/>
      <w:pPr>
        <w:tabs>
          <w:tab w:val="num" w:pos="6480"/>
        </w:tabs>
        <w:ind w:left="6480" w:hanging="360"/>
      </w:pPr>
      <w:rPr>
        <w:rFonts w:ascii="Times New Roman" w:hAnsi="Times New Roman" w:hint="default"/>
      </w:rPr>
    </w:lvl>
  </w:abstractNum>
  <w:abstractNum w:abstractNumId="49" w15:restartNumberingAfterBreak="0">
    <w:nsid w:val="780B0DDC"/>
    <w:multiLevelType w:val="hybridMultilevel"/>
    <w:tmpl w:val="E2160E4A"/>
    <w:lvl w:ilvl="0" w:tplc="A4109B62">
      <w:start w:val="1"/>
      <w:numFmt w:val="bullet"/>
      <w:lvlText w:val=""/>
      <w:lvlJc w:val="left"/>
      <w:pPr>
        <w:ind w:left="1080" w:hanging="360"/>
      </w:pPr>
      <w:rPr>
        <w:rFonts w:ascii="Symbol" w:hAnsi="Symbol"/>
      </w:rPr>
    </w:lvl>
    <w:lvl w:ilvl="1" w:tplc="66E4D3FA">
      <w:start w:val="1"/>
      <w:numFmt w:val="bullet"/>
      <w:lvlText w:val=""/>
      <w:lvlJc w:val="left"/>
      <w:pPr>
        <w:ind w:left="1080" w:hanging="360"/>
      </w:pPr>
      <w:rPr>
        <w:rFonts w:ascii="Symbol" w:hAnsi="Symbol"/>
      </w:rPr>
    </w:lvl>
    <w:lvl w:ilvl="2" w:tplc="B7547F7A">
      <w:start w:val="1"/>
      <w:numFmt w:val="bullet"/>
      <w:lvlText w:val=""/>
      <w:lvlJc w:val="left"/>
      <w:pPr>
        <w:ind w:left="1080" w:hanging="360"/>
      </w:pPr>
      <w:rPr>
        <w:rFonts w:ascii="Symbol" w:hAnsi="Symbol"/>
      </w:rPr>
    </w:lvl>
    <w:lvl w:ilvl="3" w:tplc="0486F006">
      <w:start w:val="1"/>
      <w:numFmt w:val="bullet"/>
      <w:lvlText w:val=""/>
      <w:lvlJc w:val="left"/>
      <w:pPr>
        <w:ind w:left="1080" w:hanging="360"/>
      </w:pPr>
      <w:rPr>
        <w:rFonts w:ascii="Symbol" w:hAnsi="Symbol"/>
      </w:rPr>
    </w:lvl>
    <w:lvl w:ilvl="4" w:tplc="BFB28E1C">
      <w:start w:val="1"/>
      <w:numFmt w:val="bullet"/>
      <w:lvlText w:val=""/>
      <w:lvlJc w:val="left"/>
      <w:pPr>
        <w:ind w:left="1080" w:hanging="360"/>
      </w:pPr>
      <w:rPr>
        <w:rFonts w:ascii="Symbol" w:hAnsi="Symbol"/>
      </w:rPr>
    </w:lvl>
    <w:lvl w:ilvl="5" w:tplc="46E2A98A">
      <w:start w:val="1"/>
      <w:numFmt w:val="bullet"/>
      <w:lvlText w:val=""/>
      <w:lvlJc w:val="left"/>
      <w:pPr>
        <w:ind w:left="1080" w:hanging="360"/>
      </w:pPr>
      <w:rPr>
        <w:rFonts w:ascii="Symbol" w:hAnsi="Symbol"/>
      </w:rPr>
    </w:lvl>
    <w:lvl w:ilvl="6" w:tplc="A57AC7BE">
      <w:start w:val="1"/>
      <w:numFmt w:val="bullet"/>
      <w:lvlText w:val=""/>
      <w:lvlJc w:val="left"/>
      <w:pPr>
        <w:ind w:left="1080" w:hanging="360"/>
      </w:pPr>
      <w:rPr>
        <w:rFonts w:ascii="Symbol" w:hAnsi="Symbol"/>
      </w:rPr>
    </w:lvl>
    <w:lvl w:ilvl="7" w:tplc="6764C5EA">
      <w:start w:val="1"/>
      <w:numFmt w:val="bullet"/>
      <w:lvlText w:val=""/>
      <w:lvlJc w:val="left"/>
      <w:pPr>
        <w:ind w:left="1080" w:hanging="360"/>
      </w:pPr>
      <w:rPr>
        <w:rFonts w:ascii="Symbol" w:hAnsi="Symbol"/>
      </w:rPr>
    </w:lvl>
    <w:lvl w:ilvl="8" w:tplc="3C586BA0">
      <w:start w:val="1"/>
      <w:numFmt w:val="bullet"/>
      <w:lvlText w:val=""/>
      <w:lvlJc w:val="left"/>
      <w:pPr>
        <w:ind w:left="1080" w:hanging="360"/>
      </w:pPr>
      <w:rPr>
        <w:rFonts w:ascii="Symbol" w:hAnsi="Symbol"/>
      </w:rPr>
    </w:lvl>
  </w:abstractNum>
  <w:abstractNum w:abstractNumId="50" w15:restartNumberingAfterBreak="0">
    <w:nsid w:val="7B147FD9"/>
    <w:multiLevelType w:val="hybridMultilevel"/>
    <w:tmpl w:val="EC9A8504"/>
    <w:lvl w:ilvl="0" w:tplc="FDE28920">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C65145E"/>
    <w:multiLevelType w:val="multilevel"/>
    <w:tmpl w:val="B4442412"/>
    <w:name w:val="EurolookHeading"/>
    <w:lvl w:ilvl="0">
      <w:start w:val="1"/>
      <w:numFmt w:val="decimal"/>
      <w:pStyle w:val="Heading1"/>
      <w:lvlText w:val="%1."/>
      <w:lvlJc w:val="left"/>
      <w:pPr>
        <w:tabs>
          <w:tab w:val="num" w:pos="397"/>
        </w:tabs>
        <w:ind w:left="397" w:hanging="397"/>
      </w:pPr>
      <w:rPr>
        <w:rFonts w:hint="default"/>
      </w:rPr>
    </w:lvl>
    <w:lvl w:ilvl="1">
      <w:start w:val="1"/>
      <w:numFmt w:val="decimal"/>
      <w:pStyle w:val="Heading2"/>
      <w:lvlText w:val="%1.%2."/>
      <w:lvlJc w:val="left"/>
      <w:pPr>
        <w:tabs>
          <w:tab w:val="num" w:pos="1729"/>
        </w:tabs>
        <w:ind w:left="1729" w:hanging="595"/>
      </w:pPr>
      <w:rPr>
        <w:rFonts w:hint="default"/>
      </w:rPr>
    </w:lvl>
    <w:lvl w:ilvl="2">
      <w:start w:val="1"/>
      <w:numFmt w:val="decimal"/>
      <w:pStyle w:val="Heading3"/>
      <w:lvlText w:val="%1.%2.%3."/>
      <w:lvlJc w:val="left"/>
      <w:pPr>
        <w:tabs>
          <w:tab w:val="num" w:pos="737"/>
        </w:tabs>
        <w:ind w:left="737" w:hanging="737"/>
      </w:pPr>
      <w:rPr>
        <w:rFonts w:hint="default"/>
        <w:u w:val="none"/>
      </w:rPr>
    </w:lvl>
    <w:lvl w:ilvl="3">
      <w:start w:val="1"/>
      <w:numFmt w:val="decimal"/>
      <w:pStyle w:val="Heading4"/>
      <w:lvlText w:val="%1.%2.%3.%4."/>
      <w:lvlJc w:val="left"/>
      <w:pPr>
        <w:tabs>
          <w:tab w:val="num" w:pos="850"/>
        </w:tabs>
        <w:ind w:left="850" w:hanging="850"/>
      </w:pPr>
      <w:rPr>
        <w:rFonts w:hint="default"/>
      </w:rPr>
    </w:lvl>
    <w:lvl w:ilvl="4">
      <w:start w:val="1"/>
      <w:numFmt w:val="decimal"/>
      <w:pStyle w:val="Heading5"/>
      <w:lvlText w:val="%1.%2.%3.%4.%5."/>
      <w:lvlJc w:val="left"/>
      <w:pPr>
        <w:tabs>
          <w:tab w:val="num" w:pos="1049"/>
        </w:tabs>
        <w:ind w:left="1049" w:hanging="1049"/>
      </w:pPr>
      <w:rPr>
        <w:rFonts w:hint="default"/>
      </w:rPr>
    </w:lvl>
    <w:lvl w:ilvl="5">
      <w:start w:val="1"/>
      <w:numFmt w:val="decimal"/>
      <w:pStyle w:val="Heading6"/>
      <w:suff w:val="space"/>
      <w:lvlText w:val="%1.%2.%3.%4.%5.%6."/>
      <w:lvlJc w:val="left"/>
      <w:pPr>
        <w:ind w:firstLine="0"/>
      </w:pPr>
      <w:rPr>
        <w:rFonts w:hint="default"/>
      </w:rPr>
    </w:lvl>
    <w:lvl w:ilvl="6">
      <w:start w:val="1"/>
      <w:numFmt w:val="decimal"/>
      <w:pStyle w:val="Heading7"/>
      <w:suff w:val="space"/>
      <w:lvlText w:val="%1.%2.%3.%4.%5.%6.%7."/>
      <w:lvlJc w:val="left"/>
      <w:pPr>
        <w:ind w:firstLine="0"/>
      </w:pPr>
      <w:rPr>
        <w:rFonts w:hint="default"/>
      </w:rPr>
    </w:lvl>
    <w:lvl w:ilvl="7">
      <w:start w:val="1"/>
      <w:numFmt w:val="decimal"/>
      <w:pStyle w:val="Heading8"/>
      <w:suff w:val="space"/>
      <w:lvlText w:val="%1.%2.%3.%4.%5.%6.%7.%8."/>
      <w:lvlJc w:val="left"/>
      <w:pPr>
        <w:ind w:firstLine="0"/>
      </w:pPr>
      <w:rPr>
        <w:rFonts w:hint="default"/>
      </w:rPr>
    </w:lvl>
    <w:lvl w:ilvl="8">
      <w:start w:val="1"/>
      <w:numFmt w:val="decimal"/>
      <w:pStyle w:val="Heading9"/>
      <w:suff w:val="space"/>
      <w:lvlText w:val="%1.%2.%3.%4.%5.%6.%7.%8.%9."/>
      <w:lvlJc w:val="left"/>
      <w:pPr>
        <w:ind w:firstLine="0"/>
      </w:pPr>
      <w:rPr>
        <w:rFonts w:hint="default"/>
      </w:rPr>
    </w:lvl>
  </w:abstractNum>
  <w:abstractNum w:abstractNumId="52"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53" w15:restartNumberingAfterBreak="0">
    <w:nsid w:val="7F0D5F2D"/>
    <w:multiLevelType w:val="hybridMultilevel"/>
    <w:tmpl w:val="2DD224B8"/>
    <w:lvl w:ilvl="0" w:tplc="F198F4B6">
      <w:start w:val="1"/>
      <w:numFmt w:val="bullet"/>
      <w:lvlText w:val="•"/>
      <w:lvlJc w:val="left"/>
      <w:pPr>
        <w:tabs>
          <w:tab w:val="num" w:pos="720"/>
        </w:tabs>
        <w:ind w:left="720" w:hanging="360"/>
      </w:pPr>
      <w:rPr>
        <w:rFonts w:ascii="Times New Roman" w:hAnsi="Times New Roman" w:hint="default"/>
      </w:rPr>
    </w:lvl>
    <w:lvl w:ilvl="1" w:tplc="7980C318" w:tentative="1">
      <w:start w:val="1"/>
      <w:numFmt w:val="bullet"/>
      <w:lvlText w:val="•"/>
      <w:lvlJc w:val="left"/>
      <w:pPr>
        <w:tabs>
          <w:tab w:val="num" w:pos="1440"/>
        </w:tabs>
        <w:ind w:left="1440" w:hanging="360"/>
      </w:pPr>
      <w:rPr>
        <w:rFonts w:ascii="Times New Roman" w:hAnsi="Times New Roman" w:hint="default"/>
      </w:rPr>
    </w:lvl>
    <w:lvl w:ilvl="2" w:tplc="F78EB7FC" w:tentative="1">
      <w:start w:val="1"/>
      <w:numFmt w:val="bullet"/>
      <w:lvlText w:val="•"/>
      <w:lvlJc w:val="left"/>
      <w:pPr>
        <w:tabs>
          <w:tab w:val="num" w:pos="2160"/>
        </w:tabs>
        <w:ind w:left="2160" w:hanging="360"/>
      </w:pPr>
      <w:rPr>
        <w:rFonts w:ascii="Times New Roman" w:hAnsi="Times New Roman" w:hint="default"/>
      </w:rPr>
    </w:lvl>
    <w:lvl w:ilvl="3" w:tplc="C238745E" w:tentative="1">
      <w:start w:val="1"/>
      <w:numFmt w:val="bullet"/>
      <w:lvlText w:val="•"/>
      <w:lvlJc w:val="left"/>
      <w:pPr>
        <w:tabs>
          <w:tab w:val="num" w:pos="2880"/>
        </w:tabs>
        <w:ind w:left="2880" w:hanging="360"/>
      </w:pPr>
      <w:rPr>
        <w:rFonts w:ascii="Times New Roman" w:hAnsi="Times New Roman" w:hint="default"/>
      </w:rPr>
    </w:lvl>
    <w:lvl w:ilvl="4" w:tplc="D3C8472A" w:tentative="1">
      <w:start w:val="1"/>
      <w:numFmt w:val="bullet"/>
      <w:lvlText w:val="•"/>
      <w:lvlJc w:val="left"/>
      <w:pPr>
        <w:tabs>
          <w:tab w:val="num" w:pos="3600"/>
        </w:tabs>
        <w:ind w:left="3600" w:hanging="360"/>
      </w:pPr>
      <w:rPr>
        <w:rFonts w:ascii="Times New Roman" w:hAnsi="Times New Roman" w:hint="default"/>
      </w:rPr>
    </w:lvl>
    <w:lvl w:ilvl="5" w:tplc="8FF8ACDC" w:tentative="1">
      <w:start w:val="1"/>
      <w:numFmt w:val="bullet"/>
      <w:lvlText w:val="•"/>
      <w:lvlJc w:val="left"/>
      <w:pPr>
        <w:tabs>
          <w:tab w:val="num" w:pos="4320"/>
        </w:tabs>
        <w:ind w:left="4320" w:hanging="360"/>
      </w:pPr>
      <w:rPr>
        <w:rFonts w:ascii="Times New Roman" w:hAnsi="Times New Roman" w:hint="default"/>
      </w:rPr>
    </w:lvl>
    <w:lvl w:ilvl="6" w:tplc="2368D048" w:tentative="1">
      <w:start w:val="1"/>
      <w:numFmt w:val="bullet"/>
      <w:lvlText w:val="•"/>
      <w:lvlJc w:val="left"/>
      <w:pPr>
        <w:tabs>
          <w:tab w:val="num" w:pos="5040"/>
        </w:tabs>
        <w:ind w:left="5040" w:hanging="360"/>
      </w:pPr>
      <w:rPr>
        <w:rFonts w:ascii="Times New Roman" w:hAnsi="Times New Roman" w:hint="default"/>
      </w:rPr>
    </w:lvl>
    <w:lvl w:ilvl="7" w:tplc="09A8D3F4" w:tentative="1">
      <w:start w:val="1"/>
      <w:numFmt w:val="bullet"/>
      <w:lvlText w:val="•"/>
      <w:lvlJc w:val="left"/>
      <w:pPr>
        <w:tabs>
          <w:tab w:val="num" w:pos="5760"/>
        </w:tabs>
        <w:ind w:left="5760" w:hanging="360"/>
      </w:pPr>
      <w:rPr>
        <w:rFonts w:ascii="Times New Roman" w:hAnsi="Times New Roman" w:hint="default"/>
      </w:rPr>
    </w:lvl>
    <w:lvl w:ilvl="8" w:tplc="EB3ABDA2" w:tentative="1">
      <w:start w:val="1"/>
      <w:numFmt w:val="bullet"/>
      <w:lvlText w:val="•"/>
      <w:lvlJc w:val="left"/>
      <w:pPr>
        <w:tabs>
          <w:tab w:val="num" w:pos="6480"/>
        </w:tabs>
        <w:ind w:left="6480" w:hanging="360"/>
      </w:pPr>
      <w:rPr>
        <w:rFonts w:ascii="Times New Roman" w:hAnsi="Times New Roman" w:hint="default"/>
      </w:rPr>
    </w:lvl>
  </w:abstractNum>
  <w:num w:numId="1">
    <w:abstractNumId w:val="12"/>
  </w:num>
  <w:num w:numId="2">
    <w:abstractNumId w:val="6"/>
  </w:num>
  <w:num w:numId="3">
    <w:abstractNumId w:val="2"/>
  </w:num>
  <w:num w:numId="4">
    <w:abstractNumId w:val="52"/>
  </w:num>
  <w:num w:numId="5">
    <w:abstractNumId w:val="17"/>
  </w:num>
  <w:num w:numId="6">
    <w:abstractNumId w:val="16"/>
  </w:num>
  <w:num w:numId="7">
    <w:abstractNumId w:val="5"/>
  </w:num>
  <w:num w:numId="8">
    <w:abstractNumId w:val="33"/>
  </w:num>
  <w:num w:numId="9">
    <w:abstractNumId w:val="30"/>
  </w:num>
  <w:num w:numId="10">
    <w:abstractNumId w:val="32"/>
  </w:num>
  <w:num w:numId="11">
    <w:abstractNumId w:val="4"/>
  </w:num>
  <w:num w:numId="12">
    <w:abstractNumId w:val="31"/>
  </w:num>
  <w:num w:numId="13">
    <w:abstractNumId w:val="51"/>
  </w:num>
  <w:num w:numId="14">
    <w:abstractNumId w:val="0"/>
  </w:num>
  <w:num w:numId="15">
    <w:abstractNumId w:val="3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abstractNumId w:val="43"/>
  </w:num>
  <w:num w:numId="17">
    <w:abstractNumId w:val="22"/>
  </w:num>
  <w:num w:numId="18">
    <w:abstractNumId w:val="32"/>
  </w:num>
  <w:num w:numId="19">
    <w:abstractNumId w:val="20"/>
  </w:num>
  <w:num w:numId="20">
    <w:abstractNumId w:val="41"/>
  </w:num>
  <w:num w:numId="21">
    <w:abstractNumId w:val="26"/>
  </w:num>
  <w:num w:numId="22">
    <w:abstractNumId w:val="40"/>
  </w:num>
  <w:num w:numId="23">
    <w:abstractNumId w:val="25"/>
  </w:num>
  <w:num w:numId="24">
    <w:abstractNumId w:val="32"/>
  </w:num>
  <w:num w:numId="25">
    <w:abstractNumId w:val="8"/>
  </w:num>
  <w:num w:numId="26">
    <w:abstractNumId w:val="18"/>
  </w:num>
  <w:num w:numId="27">
    <w:abstractNumId w:val="9"/>
  </w:num>
  <w:num w:numId="28">
    <w:abstractNumId w:val="27"/>
  </w:num>
  <w:num w:numId="29">
    <w:abstractNumId w:val="3"/>
  </w:num>
  <w:num w:numId="30">
    <w:abstractNumId w:val="51"/>
  </w:num>
  <w:num w:numId="31">
    <w:abstractNumId w:val="51"/>
  </w:num>
  <w:num w:numId="32">
    <w:abstractNumId w:val="51"/>
  </w:num>
  <w:num w:numId="33">
    <w:abstractNumId w:val="1"/>
  </w:num>
  <w:num w:numId="34">
    <w:abstractNumId w:val="50"/>
  </w:num>
  <w:num w:numId="35">
    <w:abstractNumId w:val="44"/>
  </w:num>
  <w:num w:numId="36">
    <w:abstractNumId w:val="46"/>
  </w:num>
  <w:num w:numId="37">
    <w:abstractNumId w:val="21"/>
  </w:num>
  <w:num w:numId="38">
    <w:abstractNumId w:val="7"/>
  </w:num>
  <w:num w:numId="39">
    <w:abstractNumId w:val="13"/>
  </w:num>
  <w:num w:numId="40">
    <w:abstractNumId w:val="48"/>
  </w:num>
  <w:num w:numId="41">
    <w:abstractNumId w:val="53"/>
  </w:num>
  <w:num w:numId="42">
    <w:abstractNumId w:val="19"/>
  </w:num>
  <w:num w:numId="43">
    <w:abstractNumId w:val="11"/>
  </w:num>
  <w:num w:numId="44">
    <w:abstractNumId w:val="45"/>
  </w:num>
  <w:num w:numId="45">
    <w:abstractNumId w:val="47"/>
  </w:num>
  <w:num w:numId="46">
    <w:abstractNumId w:val="38"/>
  </w:num>
  <w:num w:numId="47">
    <w:abstractNumId w:val="37"/>
  </w:num>
  <w:num w:numId="48">
    <w:abstractNumId w:val="34"/>
  </w:num>
  <w:num w:numId="49">
    <w:abstractNumId w:val="14"/>
  </w:num>
  <w:num w:numId="50">
    <w:abstractNumId w:val="10"/>
  </w:num>
  <w:num w:numId="51">
    <w:abstractNumId w:val="51"/>
  </w:num>
  <w:num w:numId="52">
    <w:abstractNumId w:val="29"/>
  </w:num>
  <w:num w:numId="53">
    <w:abstractNumId w:val="28"/>
  </w:num>
  <w:num w:numId="54">
    <w:abstractNumId w:val="24"/>
  </w:num>
  <w:num w:numId="55">
    <w:abstractNumId w:val="49"/>
  </w:num>
  <w:num w:numId="56">
    <w:abstractNumId w:val="15"/>
  </w:num>
  <w:num w:numId="57">
    <w:abstractNumId w:val="36"/>
  </w:num>
  <w:num w:numId="58">
    <w:abstractNumId w:val="23"/>
  </w:num>
  <w:num w:numId="59">
    <w:abstractNumId w:val="51"/>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9"/>
  </w:num>
  <w:num w:numId="62">
    <w:abstractNumId w:val="35"/>
  </w:num>
  <w:num w:numId="63">
    <w:abstractNumId w:val="5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37A083A-4B6D-46A5-9D04-F7E0E1E9E167"/>
    <w:docVar w:name="LW_COVERPAGE_TYPE" w:val="1"/>
    <w:docVar w:name="LW_CROSSREFERENCE" w:val="&lt;UNUSED&gt;"/>
    <w:docVar w:name="LW_DocType" w:val="5C76697F12724B489A9F102A1A011785"/>
    <w:docVar w:name="LW_EMISSION" w:val="29.1.2026"/>
    <w:docVar w:name="LW_EMISSION_ISODATE" w:val="2026-01-29"/>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tratégie européenne de gestion de l'asile et de la migration"/>
    <w:docVar w:name="LW_TYPE.DOC.CP" w:val="COMMUNICATION DE LA COMMISSION AU PARLEMENT EUROPÉEN ET AU CONSEIL"/>
    <w:docVar w:name="LW_TYPE.DOC.CP.USERTEXT" w:val="&lt;EMPTY&gt;"/>
    <w:docVar w:name="LwApiVersions" w:val="LW4CoDe 1.24.5.0; LW 9.2, Build 20251112"/>
  </w:docVars>
  <w:rsids>
    <w:rsidRoot w:val="00506262"/>
    <w:rsid w:val="00000081"/>
    <w:rsid w:val="0000012B"/>
    <w:rsid w:val="000001CC"/>
    <w:rsid w:val="0000067B"/>
    <w:rsid w:val="00000760"/>
    <w:rsid w:val="0000082E"/>
    <w:rsid w:val="000008D4"/>
    <w:rsid w:val="00000942"/>
    <w:rsid w:val="00000B7A"/>
    <w:rsid w:val="00000BBE"/>
    <w:rsid w:val="00000C93"/>
    <w:rsid w:val="00000D54"/>
    <w:rsid w:val="00000F33"/>
    <w:rsid w:val="00001059"/>
    <w:rsid w:val="00001086"/>
    <w:rsid w:val="00001303"/>
    <w:rsid w:val="00001452"/>
    <w:rsid w:val="00001570"/>
    <w:rsid w:val="000018B2"/>
    <w:rsid w:val="00001AB7"/>
    <w:rsid w:val="00001AE8"/>
    <w:rsid w:val="00001C36"/>
    <w:rsid w:val="00001CDA"/>
    <w:rsid w:val="00001DA9"/>
    <w:rsid w:val="00001E83"/>
    <w:rsid w:val="00002076"/>
    <w:rsid w:val="000020A0"/>
    <w:rsid w:val="00002381"/>
    <w:rsid w:val="000024FE"/>
    <w:rsid w:val="00002593"/>
    <w:rsid w:val="00002919"/>
    <w:rsid w:val="0000296C"/>
    <w:rsid w:val="00002A4A"/>
    <w:rsid w:val="00002B6D"/>
    <w:rsid w:val="00002D34"/>
    <w:rsid w:val="00002EB4"/>
    <w:rsid w:val="00002FAC"/>
    <w:rsid w:val="00002FB4"/>
    <w:rsid w:val="00003265"/>
    <w:rsid w:val="000032B0"/>
    <w:rsid w:val="000033E8"/>
    <w:rsid w:val="00003434"/>
    <w:rsid w:val="00003463"/>
    <w:rsid w:val="00003495"/>
    <w:rsid w:val="00003534"/>
    <w:rsid w:val="00003590"/>
    <w:rsid w:val="000036D9"/>
    <w:rsid w:val="0000379A"/>
    <w:rsid w:val="000037F1"/>
    <w:rsid w:val="00003983"/>
    <w:rsid w:val="00003A12"/>
    <w:rsid w:val="00003A3B"/>
    <w:rsid w:val="00003A5F"/>
    <w:rsid w:val="00003BC9"/>
    <w:rsid w:val="00003C50"/>
    <w:rsid w:val="00003FE1"/>
    <w:rsid w:val="00004026"/>
    <w:rsid w:val="00004147"/>
    <w:rsid w:val="00004230"/>
    <w:rsid w:val="000043D0"/>
    <w:rsid w:val="0000450E"/>
    <w:rsid w:val="0000456D"/>
    <w:rsid w:val="000048AE"/>
    <w:rsid w:val="00004A4A"/>
    <w:rsid w:val="00004B8C"/>
    <w:rsid w:val="00004CE6"/>
    <w:rsid w:val="00004D3F"/>
    <w:rsid w:val="00004E8E"/>
    <w:rsid w:val="000051A0"/>
    <w:rsid w:val="000053DC"/>
    <w:rsid w:val="000054F2"/>
    <w:rsid w:val="0000564B"/>
    <w:rsid w:val="000056AF"/>
    <w:rsid w:val="000056C3"/>
    <w:rsid w:val="000057FE"/>
    <w:rsid w:val="00005A23"/>
    <w:rsid w:val="00005A99"/>
    <w:rsid w:val="00005B4D"/>
    <w:rsid w:val="00005E00"/>
    <w:rsid w:val="00005E16"/>
    <w:rsid w:val="00005EFF"/>
    <w:rsid w:val="00005F09"/>
    <w:rsid w:val="00006087"/>
    <w:rsid w:val="000061E9"/>
    <w:rsid w:val="000062AE"/>
    <w:rsid w:val="00006378"/>
    <w:rsid w:val="000063A1"/>
    <w:rsid w:val="0000642A"/>
    <w:rsid w:val="00006717"/>
    <w:rsid w:val="00006919"/>
    <w:rsid w:val="00006AC6"/>
    <w:rsid w:val="00006ADC"/>
    <w:rsid w:val="00006BF6"/>
    <w:rsid w:val="00006E56"/>
    <w:rsid w:val="000070C0"/>
    <w:rsid w:val="0000724D"/>
    <w:rsid w:val="000072EA"/>
    <w:rsid w:val="00007332"/>
    <w:rsid w:val="00007334"/>
    <w:rsid w:val="0000736D"/>
    <w:rsid w:val="0000768F"/>
    <w:rsid w:val="0000778C"/>
    <w:rsid w:val="00007908"/>
    <w:rsid w:val="000079F3"/>
    <w:rsid w:val="00007D8E"/>
    <w:rsid w:val="00007F14"/>
    <w:rsid w:val="00010152"/>
    <w:rsid w:val="0001023D"/>
    <w:rsid w:val="000109CB"/>
    <w:rsid w:val="000109DE"/>
    <w:rsid w:val="00010BE9"/>
    <w:rsid w:val="00010C69"/>
    <w:rsid w:val="00010D12"/>
    <w:rsid w:val="00010DB5"/>
    <w:rsid w:val="00010E09"/>
    <w:rsid w:val="00010FAD"/>
    <w:rsid w:val="00010FDF"/>
    <w:rsid w:val="0001105B"/>
    <w:rsid w:val="00011107"/>
    <w:rsid w:val="00011109"/>
    <w:rsid w:val="00011123"/>
    <w:rsid w:val="00011438"/>
    <w:rsid w:val="000114AA"/>
    <w:rsid w:val="000114E3"/>
    <w:rsid w:val="00011574"/>
    <w:rsid w:val="00011737"/>
    <w:rsid w:val="000117B0"/>
    <w:rsid w:val="000119BB"/>
    <w:rsid w:val="00011C14"/>
    <w:rsid w:val="00011D24"/>
    <w:rsid w:val="000120E0"/>
    <w:rsid w:val="0001215F"/>
    <w:rsid w:val="000123B8"/>
    <w:rsid w:val="0001252C"/>
    <w:rsid w:val="00012736"/>
    <w:rsid w:val="00012E67"/>
    <w:rsid w:val="00012FD0"/>
    <w:rsid w:val="000130D0"/>
    <w:rsid w:val="000132E6"/>
    <w:rsid w:val="00013460"/>
    <w:rsid w:val="000135CD"/>
    <w:rsid w:val="0001362A"/>
    <w:rsid w:val="00013655"/>
    <w:rsid w:val="0001379D"/>
    <w:rsid w:val="000137C2"/>
    <w:rsid w:val="00013ABC"/>
    <w:rsid w:val="00013B9D"/>
    <w:rsid w:val="00013D35"/>
    <w:rsid w:val="00013FD3"/>
    <w:rsid w:val="000140C8"/>
    <w:rsid w:val="0001413A"/>
    <w:rsid w:val="000142C0"/>
    <w:rsid w:val="000143FC"/>
    <w:rsid w:val="0001466B"/>
    <w:rsid w:val="000146B4"/>
    <w:rsid w:val="000146E5"/>
    <w:rsid w:val="000146EF"/>
    <w:rsid w:val="00014CE6"/>
    <w:rsid w:val="00014D18"/>
    <w:rsid w:val="00014D3C"/>
    <w:rsid w:val="00014D81"/>
    <w:rsid w:val="00015217"/>
    <w:rsid w:val="00015337"/>
    <w:rsid w:val="00015467"/>
    <w:rsid w:val="00015872"/>
    <w:rsid w:val="00015989"/>
    <w:rsid w:val="0001598A"/>
    <w:rsid w:val="000159FD"/>
    <w:rsid w:val="00015AD3"/>
    <w:rsid w:val="00015ADD"/>
    <w:rsid w:val="00015BAD"/>
    <w:rsid w:val="00015C09"/>
    <w:rsid w:val="00015CC9"/>
    <w:rsid w:val="00015D8F"/>
    <w:rsid w:val="00015D9E"/>
    <w:rsid w:val="00015E92"/>
    <w:rsid w:val="00015FAF"/>
    <w:rsid w:val="0001604B"/>
    <w:rsid w:val="0001605D"/>
    <w:rsid w:val="000161FB"/>
    <w:rsid w:val="00016426"/>
    <w:rsid w:val="0001666F"/>
    <w:rsid w:val="000166B5"/>
    <w:rsid w:val="000167EB"/>
    <w:rsid w:val="00016977"/>
    <w:rsid w:val="00016A88"/>
    <w:rsid w:val="00016AA1"/>
    <w:rsid w:val="00016BDA"/>
    <w:rsid w:val="00016E32"/>
    <w:rsid w:val="00016E42"/>
    <w:rsid w:val="00016FC9"/>
    <w:rsid w:val="00017164"/>
    <w:rsid w:val="00017338"/>
    <w:rsid w:val="000177A5"/>
    <w:rsid w:val="00017926"/>
    <w:rsid w:val="00017B03"/>
    <w:rsid w:val="00017BA6"/>
    <w:rsid w:val="00017C58"/>
    <w:rsid w:val="00017C6C"/>
    <w:rsid w:val="00017DBB"/>
    <w:rsid w:val="00017F7F"/>
    <w:rsid w:val="00017FB5"/>
    <w:rsid w:val="00017FC9"/>
    <w:rsid w:val="00020078"/>
    <w:rsid w:val="000201B6"/>
    <w:rsid w:val="00020246"/>
    <w:rsid w:val="000203BE"/>
    <w:rsid w:val="0002058A"/>
    <w:rsid w:val="00020640"/>
    <w:rsid w:val="00020C46"/>
    <w:rsid w:val="00020E2E"/>
    <w:rsid w:val="0002128E"/>
    <w:rsid w:val="000212D8"/>
    <w:rsid w:val="000213C2"/>
    <w:rsid w:val="00021432"/>
    <w:rsid w:val="00021600"/>
    <w:rsid w:val="00021683"/>
    <w:rsid w:val="00021817"/>
    <w:rsid w:val="000218A5"/>
    <w:rsid w:val="00021910"/>
    <w:rsid w:val="00021A1B"/>
    <w:rsid w:val="00021BE1"/>
    <w:rsid w:val="00021BF5"/>
    <w:rsid w:val="00021E0C"/>
    <w:rsid w:val="00022165"/>
    <w:rsid w:val="00022208"/>
    <w:rsid w:val="00022380"/>
    <w:rsid w:val="00022464"/>
    <w:rsid w:val="00022731"/>
    <w:rsid w:val="00022B21"/>
    <w:rsid w:val="00022B3A"/>
    <w:rsid w:val="00022C00"/>
    <w:rsid w:val="00022F5D"/>
    <w:rsid w:val="000230B9"/>
    <w:rsid w:val="000232C8"/>
    <w:rsid w:val="0002341B"/>
    <w:rsid w:val="000234D1"/>
    <w:rsid w:val="00023533"/>
    <w:rsid w:val="00023762"/>
    <w:rsid w:val="00023767"/>
    <w:rsid w:val="00023792"/>
    <w:rsid w:val="000237DB"/>
    <w:rsid w:val="00023975"/>
    <w:rsid w:val="00023C3A"/>
    <w:rsid w:val="00023C3E"/>
    <w:rsid w:val="00023F10"/>
    <w:rsid w:val="00023F96"/>
    <w:rsid w:val="000243AA"/>
    <w:rsid w:val="000243C5"/>
    <w:rsid w:val="00024739"/>
    <w:rsid w:val="0002476F"/>
    <w:rsid w:val="00024AAB"/>
    <w:rsid w:val="00024AD7"/>
    <w:rsid w:val="00024C5D"/>
    <w:rsid w:val="00024D7D"/>
    <w:rsid w:val="00024E49"/>
    <w:rsid w:val="0002506C"/>
    <w:rsid w:val="000251E6"/>
    <w:rsid w:val="000253F1"/>
    <w:rsid w:val="0002569A"/>
    <w:rsid w:val="0002582A"/>
    <w:rsid w:val="000258C3"/>
    <w:rsid w:val="000259E3"/>
    <w:rsid w:val="000259F3"/>
    <w:rsid w:val="00025B7E"/>
    <w:rsid w:val="00025CC3"/>
    <w:rsid w:val="00025EEA"/>
    <w:rsid w:val="00026020"/>
    <w:rsid w:val="0002602C"/>
    <w:rsid w:val="00026318"/>
    <w:rsid w:val="000263CA"/>
    <w:rsid w:val="00026421"/>
    <w:rsid w:val="00026A82"/>
    <w:rsid w:val="00026B30"/>
    <w:rsid w:val="00026BB5"/>
    <w:rsid w:val="00026BD0"/>
    <w:rsid w:val="00026F2D"/>
    <w:rsid w:val="000271B4"/>
    <w:rsid w:val="00027250"/>
    <w:rsid w:val="000273EC"/>
    <w:rsid w:val="000279A2"/>
    <w:rsid w:val="00027A68"/>
    <w:rsid w:val="00027B9A"/>
    <w:rsid w:val="00027F01"/>
    <w:rsid w:val="0002BDC0"/>
    <w:rsid w:val="000301A8"/>
    <w:rsid w:val="000301DB"/>
    <w:rsid w:val="0003032F"/>
    <w:rsid w:val="0003038A"/>
    <w:rsid w:val="00030399"/>
    <w:rsid w:val="000305D1"/>
    <w:rsid w:val="0003098B"/>
    <w:rsid w:val="00030B69"/>
    <w:rsid w:val="00030CF8"/>
    <w:rsid w:val="00030DE8"/>
    <w:rsid w:val="00030F0B"/>
    <w:rsid w:val="00030F3D"/>
    <w:rsid w:val="00030F45"/>
    <w:rsid w:val="0003101F"/>
    <w:rsid w:val="00031023"/>
    <w:rsid w:val="00031292"/>
    <w:rsid w:val="0003133D"/>
    <w:rsid w:val="000313B2"/>
    <w:rsid w:val="0003147D"/>
    <w:rsid w:val="000314A0"/>
    <w:rsid w:val="000316B2"/>
    <w:rsid w:val="00031985"/>
    <w:rsid w:val="00031B1A"/>
    <w:rsid w:val="00031BE8"/>
    <w:rsid w:val="00031D85"/>
    <w:rsid w:val="0003204F"/>
    <w:rsid w:val="00032364"/>
    <w:rsid w:val="00032710"/>
    <w:rsid w:val="00032733"/>
    <w:rsid w:val="00032984"/>
    <w:rsid w:val="00032A60"/>
    <w:rsid w:val="00032B28"/>
    <w:rsid w:val="00032D7E"/>
    <w:rsid w:val="00032E16"/>
    <w:rsid w:val="00033033"/>
    <w:rsid w:val="00033248"/>
    <w:rsid w:val="00033321"/>
    <w:rsid w:val="000337CC"/>
    <w:rsid w:val="0003392E"/>
    <w:rsid w:val="000339C7"/>
    <w:rsid w:val="00033AB9"/>
    <w:rsid w:val="00033C97"/>
    <w:rsid w:val="00033D5B"/>
    <w:rsid w:val="00033DDA"/>
    <w:rsid w:val="00033FBE"/>
    <w:rsid w:val="000341F1"/>
    <w:rsid w:val="0003441E"/>
    <w:rsid w:val="0003444B"/>
    <w:rsid w:val="0003459E"/>
    <w:rsid w:val="000347D0"/>
    <w:rsid w:val="00034877"/>
    <w:rsid w:val="00034987"/>
    <w:rsid w:val="00034A03"/>
    <w:rsid w:val="00034A35"/>
    <w:rsid w:val="00034D3E"/>
    <w:rsid w:val="00034DB2"/>
    <w:rsid w:val="00035307"/>
    <w:rsid w:val="000355A7"/>
    <w:rsid w:val="000357A4"/>
    <w:rsid w:val="000358A9"/>
    <w:rsid w:val="00035AF5"/>
    <w:rsid w:val="00035DC5"/>
    <w:rsid w:val="00035E6E"/>
    <w:rsid w:val="00035EB2"/>
    <w:rsid w:val="00035F98"/>
    <w:rsid w:val="00036023"/>
    <w:rsid w:val="000361AB"/>
    <w:rsid w:val="00036261"/>
    <w:rsid w:val="00036278"/>
    <w:rsid w:val="00036291"/>
    <w:rsid w:val="00036438"/>
    <w:rsid w:val="00036455"/>
    <w:rsid w:val="000364BF"/>
    <w:rsid w:val="0003658B"/>
    <w:rsid w:val="000365E3"/>
    <w:rsid w:val="000365EA"/>
    <w:rsid w:val="00036720"/>
    <w:rsid w:val="00036966"/>
    <w:rsid w:val="00036A45"/>
    <w:rsid w:val="00036A9D"/>
    <w:rsid w:val="00036AE3"/>
    <w:rsid w:val="00036B5C"/>
    <w:rsid w:val="00036C16"/>
    <w:rsid w:val="00036C22"/>
    <w:rsid w:val="00036C29"/>
    <w:rsid w:val="00036C7E"/>
    <w:rsid w:val="00036E39"/>
    <w:rsid w:val="00036E56"/>
    <w:rsid w:val="00036FF5"/>
    <w:rsid w:val="000371B0"/>
    <w:rsid w:val="000371DA"/>
    <w:rsid w:val="000372CE"/>
    <w:rsid w:val="0003735D"/>
    <w:rsid w:val="000374B0"/>
    <w:rsid w:val="000377BC"/>
    <w:rsid w:val="00037894"/>
    <w:rsid w:val="00037981"/>
    <w:rsid w:val="00037CC8"/>
    <w:rsid w:val="00037DBD"/>
    <w:rsid w:val="00037DCC"/>
    <w:rsid w:val="00037E0C"/>
    <w:rsid w:val="00037E95"/>
    <w:rsid w:val="00037EBB"/>
    <w:rsid w:val="00037F97"/>
    <w:rsid w:val="00037FCD"/>
    <w:rsid w:val="0004010C"/>
    <w:rsid w:val="0004013E"/>
    <w:rsid w:val="000402C9"/>
    <w:rsid w:val="00040344"/>
    <w:rsid w:val="000403FC"/>
    <w:rsid w:val="00040477"/>
    <w:rsid w:val="00040565"/>
    <w:rsid w:val="00040621"/>
    <w:rsid w:val="0004064E"/>
    <w:rsid w:val="000408AB"/>
    <w:rsid w:val="000408BE"/>
    <w:rsid w:val="00040970"/>
    <w:rsid w:val="00040BD1"/>
    <w:rsid w:val="00040CC1"/>
    <w:rsid w:val="00040F0D"/>
    <w:rsid w:val="00040F37"/>
    <w:rsid w:val="00040FF9"/>
    <w:rsid w:val="00041349"/>
    <w:rsid w:val="000414A9"/>
    <w:rsid w:val="0004170E"/>
    <w:rsid w:val="0004185E"/>
    <w:rsid w:val="00041926"/>
    <w:rsid w:val="00041C01"/>
    <w:rsid w:val="00041C11"/>
    <w:rsid w:val="00041CAD"/>
    <w:rsid w:val="00041D7D"/>
    <w:rsid w:val="00041DA3"/>
    <w:rsid w:val="00041E5A"/>
    <w:rsid w:val="00041F7B"/>
    <w:rsid w:val="000421DD"/>
    <w:rsid w:val="000425AC"/>
    <w:rsid w:val="00042612"/>
    <w:rsid w:val="000426F8"/>
    <w:rsid w:val="00042735"/>
    <w:rsid w:val="00042A4F"/>
    <w:rsid w:val="00042B71"/>
    <w:rsid w:val="00042C74"/>
    <w:rsid w:val="00042D85"/>
    <w:rsid w:val="00042E20"/>
    <w:rsid w:val="00043039"/>
    <w:rsid w:val="000430D6"/>
    <w:rsid w:val="00043130"/>
    <w:rsid w:val="000431A0"/>
    <w:rsid w:val="000431A1"/>
    <w:rsid w:val="00043225"/>
    <w:rsid w:val="00043299"/>
    <w:rsid w:val="0004334F"/>
    <w:rsid w:val="00043416"/>
    <w:rsid w:val="00043430"/>
    <w:rsid w:val="000434BF"/>
    <w:rsid w:val="00043588"/>
    <w:rsid w:val="000436B1"/>
    <w:rsid w:val="000439C5"/>
    <w:rsid w:val="00043B4D"/>
    <w:rsid w:val="00043BD4"/>
    <w:rsid w:val="00043D7F"/>
    <w:rsid w:val="00043EA9"/>
    <w:rsid w:val="00044020"/>
    <w:rsid w:val="0004411D"/>
    <w:rsid w:val="0004431A"/>
    <w:rsid w:val="00044914"/>
    <w:rsid w:val="0004495F"/>
    <w:rsid w:val="00044967"/>
    <w:rsid w:val="000449C4"/>
    <w:rsid w:val="00044A13"/>
    <w:rsid w:val="00044AFC"/>
    <w:rsid w:val="00044B1B"/>
    <w:rsid w:val="00044BA5"/>
    <w:rsid w:val="00044C44"/>
    <w:rsid w:val="00044C5F"/>
    <w:rsid w:val="00044D44"/>
    <w:rsid w:val="00044DC7"/>
    <w:rsid w:val="00044E56"/>
    <w:rsid w:val="00044E58"/>
    <w:rsid w:val="000450EF"/>
    <w:rsid w:val="00045269"/>
    <w:rsid w:val="00045359"/>
    <w:rsid w:val="000453DB"/>
    <w:rsid w:val="000454D9"/>
    <w:rsid w:val="00045629"/>
    <w:rsid w:val="00045678"/>
    <w:rsid w:val="00045865"/>
    <w:rsid w:val="00045968"/>
    <w:rsid w:val="00045A89"/>
    <w:rsid w:val="00045BF6"/>
    <w:rsid w:val="00045CAF"/>
    <w:rsid w:val="00045CEF"/>
    <w:rsid w:val="0004612F"/>
    <w:rsid w:val="00046215"/>
    <w:rsid w:val="00046499"/>
    <w:rsid w:val="000465EA"/>
    <w:rsid w:val="00046919"/>
    <w:rsid w:val="000469A0"/>
    <w:rsid w:val="00046F93"/>
    <w:rsid w:val="000470C8"/>
    <w:rsid w:val="00047117"/>
    <w:rsid w:val="00047131"/>
    <w:rsid w:val="00047258"/>
    <w:rsid w:val="0004743D"/>
    <w:rsid w:val="000474E7"/>
    <w:rsid w:val="0004774B"/>
    <w:rsid w:val="000477F0"/>
    <w:rsid w:val="000477F5"/>
    <w:rsid w:val="00047894"/>
    <w:rsid w:val="000478F3"/>
    <w:rsid w:val="00047929"/>
    <w:rsid w:val="000479D6"/>
    <w:rsid w:val="00047BDE"/>
    <w:rsid w:val="00047D14"/>
    <w:rsid w:val="00047D27"/>
    <w:rsid w:val="00047E06"/>
    <w:rsid w:val="00047E44"/>
    <w:rsid w:val="00047E4D"/>
    <w:rsid w:val="000502C2"/>
    <w:rsid w:val="000502DA"/>
    <w:rsid w:val="00050386"/>
    <w:rsid w:val="000504CB"/>
    <w:rsid w:val="00050641"/>
    <w:rsid w:val="0005083A"/>
    <w:rsid w:val="00050C5F"/>
    <w:rsid w:val="00050C80"/>
    <w:rsid w:val="00050D7A"/>
    <w:rsid w:val="00050F9A"/>
    <w:rsid w:val="000512C9"/>
    <w:rsid w:val="000512E1"/>
    <w:rsid w:val="00051349"/>
    <w:rsid w:val="0005157D"/>
    <w:rsid w:val="000515E2"/>
    <w:rsid w:val="000517F7"/>
    <w:rsid w:val="00051A2E"/>
    <w:rsid w:val="00051BEB"/>
    <w:rsid w:val="00051CE1"/>
    <w:rsid w:val="00051ED3"/>
    <w:rsid w:val="00051EF4"/>
    <w:rsid w:val="00051FA5"/>
    <w:rsid w:val="000520DE"/>
    <w:rsid w:val="0005210F"/>
    <w:rsid w:val="0005217C"/>
    <w:rsid w:val="000522FE"/>
    <w:rsid w:val="00052645"/>
    <w:rsid w:val="0005269C"/>
    <w:rsid w:val="000527E8"/>
    <w:rsid w:val="0005284A"/>
    <w:rsid w:val="000528EE"/>
    <w:rsid w:val="00052E2A"/>
    <w:rsid w:val="000530B3"/>
    <w:rsid w:val="000530D9"/>
    <w:rsid w:val="0005339A"/>
    <w:rsid w:val="00053595"/>
    <w:rsid w:val="000536ED"/>
    <w:rsid w:val="00053ABE"/>
    <w:rsid w:val="00053B6C"/>
    <w:rsid w:val="00053C7A"/>
    <w:rsid w:val="00053D06"/>
    <w:rsid w:val="00053D4A"/>
    <w:rsid w:val="00053DA5"/>
    <w:rsid w:val="00054043"/>
    <w:rsid w:val="000543B8"/>
    <w:rsid w:val="00054525"/>
    <w:rsid w:val="00054546"/>
    <w:rsid w:val="000548D3"/>
    <w:rsid w:val="000549E8"/>
    <w:rsid w:val="00054CE3"/>
    <w:rsid w:val="00054D4A"/>
    <w:rsid w:val="00054DD7"/>
    <w:rsid w:val="00054F7F"/>
    <w:rsid w:val="000552BA"/>
    <w:rsid w:val="000552C3"/>
    <w:rsid w:val="00055421"/>
    <w:rsid w:val="000554F5"/>
    <w:rsid w:val="00055562"/>
    <w:rsid w:val="000556B1"/>
    <w:rsid w:val="00055A27"/>
    <w:rsid w:val="00055B4D"/>
    <w:rsid w:val="00056248"/>
    <w:rsid w:val="000562C5"/>
    <w:rsid w:val="00056624"/>
    <w:rsid w:val="000568E0"/>
    <w:rsid w:val="00056C04"/>
    <w:rsid w:val="00056E45"/>
    <w:rsid w:val="0005722F"/>
    <w:rsid w:val="0005731E"/>
    <w:rsid w:val="000575BB"/>
    <w:rsid w:val="000577C9"/>
    <w:rsid w:val="00057905"/>
    <w:rsid w:val="00057B8F"/>
    <w:rsid w:val="00057D6A"/>
    <w:rsid w:val="00057E13"/>
    <w:rsid w:val="00057F3F"/>
    <w:rsid w:val="00057FBC"/>
    <w:rsid w:val="0006025A"/>
    <w:rsid w:val="0006027B"/>
    <w:rsid w:val="000602F9"/>
    <w:rsid w:val="000602FC"/>
    <w:rsid w:val="00060505"/>
    <w:rsid w:val="00060545"/>
    <w:rsid w:val="00060610"/>
    <w:rsid w:val="00060710"/>
    <w:rsid w:val="0006089E"/>
    <w:rsid w:val="0006098B"/>
    <w:rsid w:val="00060A4A"/>
    <w:rsid w:val="00060BDC"/>
    <w:rsid w:val="00060E0B"/>
    <w:rsid w:val="0006102B"/>
    <w:rsid w:val="000610AB"/>
    <w:rsid w:val="000610F3"/>
    <w:rsid w:val="0006117D"/>
    <w:rsid w:val="00061193"/>
    <w:rsid w:val="000611B9"/>
    <w:rsid w:val="0006123A"/>
    <w:rsid w:val="0006130E"/>
    <w:rsid w:val="00061379"/>
    <w:rsid w:val="000614B8"/>
    <w:rsid w:val="0006155A"/>
    <w:rsid w:val="0006184F"/>
    <w:rsid w:val="00061AC2"/>
    <w:rsid w:val="00061AF9"/>
    <w:rsid w:val="00061BC2"/>
    <w:rsid w:val="00061BD2"/>
    <w:rsid w:val="00061BF3"/>
    <w:rsid w:val="00061C46"/>
    <w:rsid w:val="00061DDA"/>
    <w:rsid w:val="00061F27"/>
    <w:rsid w:val="00061FD9"/>
    <w:rsid w:val="00062351"/>
    <w:rsid w:val="00062398"/>
    <w:rsid w:val="00062528"/>
    <w:rsid w:val="000628DC"/>
    <w:rsid w:val="000628E1"/>
    <w:rsid w:val="00062913"/>
    <w:rsid w:val="000629A9"/>
    <w:rsid w:val="00062AA8"/>
    <w:rsid w:val="00062CB4"/>
    <w:rsid w:val="00062ED1"/>
    <w:rsid w:val="00062F25"/>
    <w:rsid w:val="00062F82"/>
    <w:rsid w:val="00062F84"/>
    <w:rsid w:val="000630FA"/>
    <w:rsid w:val="00063408"/>
    <w:rsid w:val="00063443"/>
    <w:rsid w:val="0006345D"/>
    <w:rsid w:val="00063573"/>
    <w:rsid w:val="000639B9"/>
    <w:rsid w:val="00063E7C"/>
    <w:rsid w:val="0006411B"/>
    <w:rsid w:val="000642BD"/>
    <w:rsid w:val="0006448E"/>
    <w:rsid w:val="000644A4"/>
    <w:rsid w:val="000645DE"/>
    <w:rsid w:val="00064605"/>
    <w:rsid w:val="00064610"/>
    <w:rsid w:val="0006468B"/>
    <w:rsid w:val="00064767"/>
    <w:rsid w:val="0006495C"/>
    <w:rsid w:val="000649DB"/>
    <w:rsid w:val="00064A2D"/>
    <w:rsid w:val="00064DBE"/>
    <w:rsid w:val="00064EA6"/>
    <w:rsid w:val="00064F25"/>
    <w:rsid w:val="00064FB5"/>
    <w:rsid w:val="00064FED"/>
    <w:rsid w:val="0006504C"/>
    <w:rsid w:val="000650E7"/>
    <w:rsid w:val="000651C8"/>
    <w:rsid w:val="0006531F"/>
    <w:rsid w:val="00065326"/>
    <w:rsid w:val="0006532B"/>
    <w:rsid w:val="00065416"/>
    <w:rsid w:val="0006549E"/>
    <w:rsid w:val="00065900"/>
    <w:rsid w:val="00065E2D"/>
    <w:rsid w:val="00065E4E"/>
    <w:rsid w:val="000661A9"/>
    <w:rsid w:val="0006629A"/>
    <w:rsid w:val="00066580"/>
    <w:rsid w:val="00066AFC"/>
    <w:rsid w:val="00066B18"/>
    <w:rsid w:val="00066D2C"/>
    <w:rsid w:val="00066E0B"/>
    <w:rsid w:val="00066EDF"/>
    <w:rsid w:val="00066FE9"/>
    <w:rsid w:val="000670E8"/>
    <w:rsid w:val="00067302"/>
    <w:rsid w:val="0006790D"/>
    <w:rsid w:val="00067A5F"/>
    <w:rsid w:val="00067C21"/>
    <w:rsid w:val="00067D96"/>
    <w:rsid w:val="00067E78"/>
    <w:rsid w:val="00067FF3"/>
    <w:rsid w:val="000700AB"/>
    <w:rsid w:val="000700D8"/>
    <w:rsid w:val="00070162"/>
    <w:rsid w:val="00070180"/>
    <w:rsid w:val="000703E0"/>
    <w:rsid w:val="000705AA"/>
    <w:rsid w:val="00070936"/>
    <w:rsid w:val="00070964"/>
    <w:rsid w:val="00070A8A"/>
    <w:rsid w:val="00070BCC"/>
    <w:rsid w:val="00070D4B"/>
    <w:rsid w:val="00070DC3"/>
    <w:rsid w:val="00071114"/>
    <w:rsid w:val="00071193"/>
    <w:rsid w:val="0007123F"/>
    <w:rsid w:val="00071314"/>
    <w:rsid w:val="000713FA"/>
    <w:rsid w:val="00071471"/>
    <w:rsid w:val="000715FA"/>
    <w:rsid w:val="000716EC"/>
    <w:rsid w:val="000717B2"/>
    <w:rsid w:val="00071827"/>
    <w:rsid w:val="0007182A"/>
    <w:rsid w:val="00071ACD"/>
    <w:rsid w:val="00071BCD"/>
    <w:rsid w:val="00071C01"/>
    <w:rsid w:val="00071D81"/>
    <w:rsid w:val="00071D90"/>
    <w:rsid w:val="00072094"/>
    <w:rsid w:val="00072293"/>
    <w:rsid w:val="000722ED"/>
    <w:rsid w:val="000723A4"/>
    <w:rsid w:val="000726A8"/>
    <w:rsid w:val="00072760"/>
    <w:rsid w:val="00072813"/>
    <w:rsid w:val="0007296E"/>
    <w:rsid w:val="00072A26"/>
    <w:rsid w:val="00072B46"/>
    <w:rsid w:val="00072B4D"/>
    <w:rsid w:val="00073381"/>
    <w:rsid w:val="00073529"/>
    <w:rsid w:val="0007376A"/>
    <w:rsid w:val="000738FC"/>
    <w:rsid w:val="000739C2"/>
    <w:rsid w:val="00073A03"/>
    <w:rsid w:val="00073A1D"/>
    <w:rsid w:val="00073A65"/>
    <w:rsid w:val="00073F9B"/>
    <w:rsid w:val="00074094"/>
    <w:rsid w:val="00074109"/>
    <w:rsid w:val="0007414B"/>
    <w:rsid w:val="0007416C"/>
    <w:rsid w:val="000743D6"/>
    <w:rsid w:val="00074481"/>
    <w:rsid w:val="00074A40"/>
    <w:rsid w:val="00074CC3"/>
    <w:rsid w:val="00074F17"/>
    <w:rsid w:val="00074FAF"/>
    <w:rsid w:val="0007552C"/>
    <w:rsid w:val="000755E4"/>
    <w:rsid w:val="0007577C"/>
    <w:rsid w:val="0007592B"/>
    <w:rsid w:val="000759B8"/>
    <w:rsid w:val="000759D5"/>
    <w:rsid w:val="00075C02"/>
    <w:rsid w:val="00075D50"/>
    <w:rsid w:val="00075E2A"/>
    <w:rsid w:val="00075E6B"/>
    <w:rsid w:val="0007602B"/>
    <w:rsid w:val="00076252"/>
    <w:rsid w:val="000762F8"/>
    <w:rsid w:val="000764CE"/>
    <w:rsid w:val="00076571"/>
    <w:rsid w:val="0007657E"/>
    <w:rsid w:val="000765F0"/>
    <w:rsid w:val="00076915"/>
    <w:rsid w:val="00076EA0"/>
    <w:rsid w:val="00076EF9"/>
    <w:rsid w:val="00076F26"/>
    <w:rsid w:val="00077440"/>
    <w:rsid w:val="000774E8"/>
    <w:rsid w:val="000779A7"/>
    <w:rsid w:val="00077CE3"/>
    <w:rsid w:val="00077FC7"/>
    <w:rsid w:val="00080063"/>
    <w:rsid w:val="0008021E"/>
    <w:rsid w:val="0008024E"/>
    <w:rsid w:val="000802FE"/>
    <w:rsid w:val="000803C3"/>
    <w:rsid w:val="00080403"/>
    <w:rsid w:val="0008044E"/>
    <w:rsid w:val="0008051B"/>
    <w:rsid w:val="000806EC"/>
    <w:rsid w:val="00080B7C"/>
    <w:rsid w:val="00080D59"/>
    <w:rsid w:val="00080DC9"/>
    <w:rsid w:val="00080EB8"/>
    <w:rsid w:val="000810B2"/>
    <w:rsid w:val="000812AD"/>
    <w:rsid w:val="000814B6"/>
    <w:rsid w:val="000815EA"/>
    <w:rsid w:val="00081638"/>
    <w:rsid w:val="00081991"/>
    <w:rsid w:val="00081B2B"/>
    <w:rsid w:val="00081D23"/>
    <w:rsid w:val="00081D39"/>
    <w:rsid w:val="00081E23"/>
    <w:rsid w:val="0008204E"/>
    <w:rsid w:val="000820DC"/>
    <w:rsid w:val="00082260"/>
    <w:rsid w:val="00082284"/>
    <w:rsid w:val="000822FC"/>
    <w:rsid w:val="000823FA"/>
    <w:rsid w:val="00082556"/>
    <w:rsid w:val="000825A2"/>
    <w:rsid w:val="000826EB"/>
    <w:rsid w:val="0008279B"/>
    <w:rsid w:val="00082A08"/>
    <w:rsid w:val="00082B45"/>
    <w:rsid w:val="00082CBD"/>
    <w:rsid w:val="00082D00"/>
    <w:rsid w:val="00082DA0"/>
    <w:rsid w:val="00082E4E"/>
    <w:rsid w:val="00083060"/>
    <w:rsid w:val="00083096"/>
    <w:rsid w:val="00083277"/>
    <w:rsid w:val="000832F7"/>
    <w:rsid w:val="000834F7"/>
    <w:rsid w:val="000835A0"/>
    <w:rsid w:val="000837AF"/>
    <w:rsid w:val="000837D4"/>
    <w:rsid w:val="00083935"/>
    <w:rsid w:val="00083A4D"/>
    <w:rsid w:val="00083C00"/>
    <w:rsid w:val="00083DFE"/>
    <w:rsid w:val="00084073"/>
    <w:rsid w:val="000842F9"/>
    <w:rsid w:val="00084445"/>
    <w:rsid w:val="000845C3"/>
    <w:rsid w:val="000845E7"/>
    <w:rsid w:val="000845FB"/>
    <w:rsid w:val="00084634"/>
    <w:rsid w:val="000846AA"/>
    <w:rsid w:val="000849DD"/>
    <w:rsid w:val="00084B57"/>
    <w:rsid w:val="00084C2B"/>
    <w:rsid w:val="00084D8F"/>
    <w:rsid w:val="00084DF7"/>
    <w:rsid w:val="00084E4B"/>
    <w:rsid w:val="00085042"/>
    <w:rsid w:val="0008506D"/>
    <w:rsid w:val="000853A6"/>
    <w:rsid w:val="0008544B"/>
    <w:rsid w:val="00085583"/>
    <w:rsid w:val="0008563C"/>
    <w:rsid w:val="0008568E"/>
    <w:rsid w:val="000858C6"/>
    <w:rsid w:val="0008599A"/>
    <w:rsid w:val="00085BBF"/>
    <w:rsid w:val="00085C65"/>
    <w:rsid w:val="00085D4F"/>
    <w:rsid w:val="00085E9B"/>
    <w:rsid w:val="000861DE"/>
    <w:rsid w:val="00086273"/>
    <w:rsid w:val="0008629B"/>
    <w:rsid w:val="00086458"/>
    <w:rsid w:val="000864BE"/>
    <w:rsid w:val="0008677F"/>
    <w:rsid w:val="000867D3"/>
    <w:rsid w:val="00086967"/>
    <w:rsid w:val="00086A4A"/>
    <w:rsid w:val="00086B5D"/>
    <w:rsid w:val="00086BE4"/>
    <w:rsid w:val="00086CE8"/>
    <w:rsid w:val="00086FD1"/>
    <w:rsid w:val="0008705A"/>
    <w:rsid w:val="00087297"/>
    <w:rsid w:val="000872B0"/>
    <w:rsid w:val="000874BF"/>
    <w:rsid w:val="00087529"/>
    <w:rsid w:val="00087582"/>
    <w:rsid w:val="00087705"/>
    <w:rsid w:val="000877AD"/>
    <w:rsid w:val="00087CB2"/>
    <w:rsid w:val="00087D1A"/>
    <w:rsid w:val="00087E69"/>
    <w:rsid w:val="00087EDA"/>
    <w:rsid w:val="00087F16"/>
    <w:rsid w:val="00087F26"/>
    <w:rsid w:val="00087F41"/>
    <w:rsid w:val="0009003B"/>
    <w:rsid w:val="00090252"/>
    <w:rsid w:val="0009026E"/>
    <w:rsid w:val="000902EB"/>
    <w:rsid w:val="0009047E"/>
    <w:rsid w:val="00090923"/>
    <w:rsid w:val="00090BB9"/>
    <w:rsid w:val="00090BBD"/>
    <w:rsid w:val="00090DAE"/>
    <w:rsid w:val="00091173"/>
    <w:rsid w:val="00091303"/>
    <w:rsid w:val="000913AE"/>
    <w:rsid w:val="000913D4"/>
    <w:rsid w:val="00091473"/>
    <w:rsid w:val="0009148B"/>
    <w:rsid w:val="00091544"/>
    <w:rsid w:val="000915C9"/>
    <w:rsid w:val="000916AC"/>
    <w:rsid w:val="000916E9"/>
    <w:rsid w:val="00091974"/>
    <w:rsid w:val="00091A74"/>
    <w:rsid w:val="00091E96"/>
    <w:rsid w:val="00091EFE"/>
    <w:rsid w:val="0009202F"/>
    <w:rsid w:val="00092225"/>
    <w:rsid w:val="0009233C"/>
    <w:rsid w:val="0009234E"/>
    <w:rsid w:val="000923A6"/>
    <w:rsid w:val="00092464"/>
    <w:rsid w:val="00092512"/>
    <w:rsid w:val="00092714"/>
    <w:rsid w:val="00092787"/>
    <w:rsid w:val="000927C4"/>
    <w:rsid w:val="0009297D"/>
    <w:rsid w:val="000929BA"/>
    <w:rsid w:val="00092CE9"/>
    <w:rsid w:val="00092D35"/>
    <w:rsid w:val="00092D70"/>
    <w:rsid w:val="00092DF2"/>
    <w:rsid w:val="00092E77"/>
    <w:rsid w:val="00092F11"/>
    <w:rsid w:val="00092F7F"/>
    <w:rsid w:val="000930B1"/>
    <w:rsid w:val="000930F8"/>
    <w:rsid w:val="00093121"/>
    <w:rsid w:val="000932A4"/>
    <w:rsid w:val="00093444"/>
    <w:rsid w:val="000934E2"/>
    <w:rsid w:val="00093532"/>
    <w:rsid w:val="0009360F"/>
    <w:rsid w:val="000936C7"/>
    <w:rsid w:val="000938AC"/>
    <w:rsid w:val="000939AE"/>
    <w:rsid w:val="000939B1"/>
    <w:rsid w:val="00093E4D"/>
    <w:rsid w:val="00093EE3"/>
    <w:rsid w:val="00094045"/>
    <w:rsid w:val="0009407B"/>
    <w:rsid w:val="0009421B"/>
    <w:rsid w:val="000943B8"/>
    <w:rsid w:val="00094409"/>
    <w:rsid w:val="000945DC"/>
    <w:rsid w:val="000947BF"/>
    <w:rsid w:val="000948E5"/>
    <w:rsid w:val="00094DA4"/>
    <w:rsid w:val="00094DA7"/>
    <w:rsid w:val="00094E8D"/>
    <w:rsid w:val="00095014"/>
    <w:rsid w:val="000950EF"/>
    <w:rsid w:val="00095198"/>
    <w:rsid w:val="000952B1"/>
    <w:rsid w:val="000952C9"/>
    <w:rsid w:val="000954BE"/>
    <w:rsid w:val="00095554"/>
    <w:rsid w:val="00095660"/>
    <w:rsid w:val="00095852"/>
    <w:rsid w:val="00095AB0"/>
    <w:rsid w:val="00095D75"/>
    <w:rsid w:val="00095EFD"/>
    <w:rsid w:val="00095F10"/>
    <w:rsid w:val="00096027"/>
    <w:rsid w:val="000960DC"/>
    <w:rsid w:val="00096125"/>
    <w:rsid w:val="00096199"/>
    <w:rsid w:val="00096228"/>
    <w:rsid w:val="000963F6"/>
    <w:rsid w:val="000964A4"/>
    <w:rsid w:val="00096707"/>
    <w:rsid w:val="0009683A"/>
    <w:rsid w:val="00096D7B"/>
    <w:rsid w:val="00096F7F"/>
    <w:rsid w:val="00097003"/>
    <w:rsid w:val="00097170"/>
    <w:rsid w:val="0009730A"/>
    <w:rsid w:val="0009738F"/>
    <w:rsid w:val="00097494"/>
    <w:rsid w:val="000974FD"/>
    <w:rsid w:val="0009753C"/>
    <w:rsid w:val="00097681"/>
    <w:rsid w:val="0009772E"/>
    <w:rsid w:val="0009777B"/>
    <w:rsid w:val="000977C8"/>
    <w:rsid w:val="00097B9F"/>
    <w:rsid w:val="00097BB8"/>
    <w:rsid w:val="00097C5A"/>
    <w:rsid w:val="00097D3C"/>
    <w:rsid w:val="00097FE1"/>
    <w:rsid w:val="000A00B5"/>
    <w:rsid w:val="000A0118"/>
    <w:rsid w:val="000A01C6"/>
    <w:rsid w:val="000A038F"/>
    <w:rsid w:val="000A042E"/>
    <w:rsid w:val="000A0440"/>
    <w:rsid w:val="000A079C"/>
    <w:rsid w:val="000A07F5"/>
    <w:rsid w:val="000A084B"/>
    <w:rsid w:val="000A09ED"/>
    <w:rsid w:val="000A0A5C"/>
    <w:rsid w:val="000A0DD4"/>
    <w:rsid w:val="000A0E58"/>
    <w:rsid w:val="000A0F48"/>
    <w:rsid w:val="000A0F94"/>
    <w:rsid w:val="000A10B2"/>
    <w:rsid w:val="000A144F"/>
    <w:rsid w:val="000A14B3"/>
    <w:rsid w:val="000A1690"/>
    <w:rsid w:val="000A173E"/>
    <w:rsid w:val="000A1958"/>
    <w:rsid w:val="000A1E36"/>
    <w:rsid w:val="000A2074"/>
    <w:rsid w:val="000A20A9"/>
    <w:rsid w:val="000A20F7"/>
    <w:rsid w:val="000A21BF"/>
    <w:rsid w:val="000A226D"/>
    <w:rsid w:val="000A251F"/>
    <w:rsid w:val="000A2B20"/>
    <w:rsid w:val="000A2D8E"/>
    <w:rsid w:val="000A2DA7"/>
    <w:rsid w:val="000A2DF9"/>
    <w:rsid w:val="000A2EC7"/>
    <w:rsid w:val="000A2FD6"/>
    <w:rsid w:val="000A30C2"/>
    <w:rsid w:val="000A32C6"/>
    <w:rsid w:val="000A3392"/>
    <w:rsid w:val="000A36EA"/>
    <w:rsid w:val="000A375E"/>
    <w:rsid w:val="000A3916"/>
    <w:rsid w:val="000A398F"/>
    <w:rsid w:val="000A3CF2"/>
    <w:rsid w:val="000A3D71"/>
    <w:rsid w:val="000A3E60"/>
    <w:rsid w:val="000A3E7C"/>
    <w:rsid w:val="000A3EA9"/>
    <w:rsid w:val="000A410C"/>
    <w:rsid w:val="000A41D3"/>
    <w:rsid w:val="000A4367"/>
    <w:rsid w:val="000A4452"/>
    <w:rsid w:val="000A4646"/>
    <w:rsid w:val="000A478C"/>
    <w:rsid w:val="000A47AB"/>
    <w:rsid w:val="000A480B"/>
    <w:rsid w:val="000A496F"/>
    <w:rsid w:val="000A4A08"/>
    <w:rsid w:val="000A4A31"/>
    <w:rsid w:val="000A4BB4"/>
    <w:rsid w:val="000A4C83"/>
    <w:rsid w:val="000A4CEE"/>
    <w:rsid w:val="000A4D7A"/>
    <w:rsid w:val="000A4E4C"/>
    <w:rsid w:val="000A4ED1"/>
    <w:rsid w:val="000A4F99"/>
    <w:rsid w:val="000A4FD6"/>
    <w:rsid w:val="000A5304"/>
    <w:rsid w:val="000A55A3"/>
    <w:rsid w:val="000A55CD"/>
    <w:rsid w:val="000A55E6"/>
    <w:rsid w:val="000A56C7"/>
    <w:rsid w:val="000A56F3"/>
    <w:rsid w:val="000A5737"/>
    <w:rsid w:val="000A574D"/>
    <w:rsid w:val="000A5890"/>
    <w:rsid w:val="000A5A77"/>
    <w:rsid w:val="000A5E28"/>
    <w:rsid w:val="000A5EAC"/>
    <w:rsid w:val="000A5F0F"/>
    <w:rsid w:val="000A60BC"/>
    <w:rsid w:val="000A6204"/>
    <w:rsid w:val="000A62A9"/>
    <w:rsid w:val="000A6354"/>
    <w:rsid w:val="000A6431"/>
    <w:rsid w:val="000A64CD"/>
    <w:rsid w:val="000A6526"/>
    <w:rsid w:val="000A654E"/>
    <w:rsid w:val="000A66DB"/>
    <w:rsid w:val="000A6730"/>
    <w:rsid w:val="000A68A5"/>
    <w:rsid w:val="000A6A73"/>
    <w:rsid w:val="000A6AEC"/>
    <w:rsid w:val="000A6B79"/>
    <w:rsid w:val="000A6C52"/>
    <w:rsid w:val="000A6CB9"/>
    <w:rsid w:val="000A6CED"/>
    <w:rsid w:val="000A6D45"/>
    <w:rsid w:val="000A6E09"/>
    <w:rsid w:val="000A6F27"/>
    <w:rsid w:val="000A72F1"/>
    <w:rsid w:val="000A731C"/>
    <w:rsid w:val="000A73BA"/>
    <w:rsid w:val="000A752C"/>
    <w:rsid w:val="000A76F2"/>
    <w:rsid w:val="000A7814"/>
    <w:rsid w:val="000A7B40"/>
    <w:rsid w:val="000A7B65"/>
    <w:rsid w:val="000A7EED"/>
    <w:rsid w:val="000A7F69"/>
    <w:rsid w:val="000B0143"/>
    <w:rsid w:val="000B0222"/>
    <w:rsid w:val="000B0519"/>
    <w:rsid w:val="000B051C"/>
    <w:rsid w:val="000B086B"/>
    <w:rsid w:val="000B0A93"/>
    <w:rsid w:val="000B0ADD"/>
    <w:rsid w:val="000B0BE7"/>
    <w:rsid w:val="000B0C66"/>
    <w:rsid w:val="000B0CEF"/>
    <w:rsid w:val="000B0FD5"/>
    <w:rsid w:val="000B101D"/>
    <w:rsid w:val="000B110F"/>
    <w:rsid w:val="000B1280"/>
    <w:rsid w:val="000B1332"/>
    <w:rsid w:val="000B1339"/>
    <w:rsid w:val="000B1405"/>
    <w:rsid w:val="000B1473"/>
    <w:rsid w:val="000B16D9"/>
    <w:rsid w:val="000B177D"/>
    <w:rsid w:val="000B1944"/>
    <w:rsid w:val="000B1B91"/>
    <w:rsid w:val="000B21D9"/>
    <w:rsid w:val="000B22F7"/>
    <w:rsid w:val="000B2499"/>
    <w:rsid w:val="000B270A"/>
    <w:rsid w:val="000B27E3"/>
    <w:rsid w:val="000B2967"/>
    <w:rsid w:val="000B2A8D"/>
    <w:rsid w:val="000B2B70"/>
    <w:rsid w:val="000B2C04"/>
    <w:rsid w:val="000B2C3E"/>
    <w:rsid w:val="000B2CEC"/>
    <w:rsid w:val="000B2E28"/>
    <w:rsid w:val="000B2E3A"/>
    <w:rsid w:val="000B2EBB"/>
    <w:rsid w:val="000B2F02"/>
    <w:rsid w:val="000B2F99"/>
    <w:rsid w:val="000B2FA2"/>
    <w:rsid w:val="000B305C"/>
    <w:rsid w:val="000B313E"/>
    <w:rsid w:val="000B31EE"/>
    <w:rsid w:val="000B32E9"/>
    <w:rsid w:val="000B332A"/>
    <w:rsid w:val="000B36BD"/>
    <w:rsid w:val="000B3752"/>
    <w:rsid w:val="000B3830"/>
    <w:rsid w:val="000B39F8"/>
    <w:rsid w:val="000B3A0B"/>
    <w:rsid w:val="000B3C3A"/>
    <w:rsid w:val="000B3F48"/>
    <w:rsid w:val="000B3F74"/>
    <w:rsid w:val="000B403F"/>
    <w:rsid w:val="000B4125"/>
    <w:rsid w:val="000B41D2"/>
    <w:rsid w:val="000B423B"/>
    <w:rsid w:val="000B435E"/>
    <w:rsid w:val="000B46B6"/>
    <w:rsid w:val="000B46DC"/>
    <w:rsid w:val="000B4775"/>
    <w:rsid w:val="000B4934"/>
    <w:rsid w:val="000B496A"/>
    <w:rsid w:val="000B4D76"/>
    <w:rsid w:val="000B4D7C"/>
    <w:rsid w:val="000B4D87"/>
    <w:rsid w:val="000B4F93"/>
    <w:rsid w:val="000B5509"/>
    <w:rsid w:val="000B5566"/>
    <w:rsid w:val="000B568D"/>
    <w:rsid w:val="000B5843"/>
    <w:rsid w:val="000B5A02"/>
    <w:rsid w:val="000B5A55"/>
    <w:rsid w:val="000B5D3B"/>
    <w:rsid w:val="000B5E4E"/>
    <w:rsid w:val="000B5ECD"/>
    <w:rsid w:val="000B5EEE"/>
    <w:rsid w:val="000B6005"/>
    <w:rsid w:val="000B6035"/>
    <w:rsid w:val="000B6205"/>
    <w:rsid w:val="000B62A3"/>
    <w:rsid w:val="000B6402"/>
    <w:rsid w:val="000B6544"/>
    <w:rsid w:val="000B654E"/>
    <w:rsid w:val="000B6571"/>
    <w:rsid w:val="000B6586"/>
    <w:rsid w:val="000B65ED"/>
    <w:rsid w:val="000B6792"/>
    <w:rsid w:val="000B67B0"/>
    <w:rsid w:val="000B6865"/>
    <w:rsid w:val="000B68FE"/>
    <w:rsid w:val="000B6A13"/>
    <w:rsid w:val="000B6AA5"/>
    <w:rsid w:val="000B6BEE"/>
    <w:rsid w:val="000B6F3C"/>
    <w:rsid w:val="000B6F42"/>
    <w:rsid w:val="000B708D"/>
    <w:rsid w:val="000B709F"/>
    <w:rsid w:val="000B70BC"/>
    <w:rsid w:val="000B7107"/>
    <w:rsid w:val="000B715D"/>
    <w:rsid w:val="000B7260"/>
    <w:rsid w:val="000B72B8"/>
    <w:rsid w:val="000B75BA"/>
    <w:rsid w:val="000B7691"/>
    <w:rsid w:val="000B7A2A"/>
    <w:rsid w:val="000B7A34"/>
    <w:rsid w:val="000B7C4D"/>
    <w:rsid w:val="000B7CD9"/>
    <w:rsid w:val="000B7CEE"/>
    <w:rsid w:val="000B7CF0"/>
    <w:rsid w:val="000B7F7C"/>
    <w:rsid w:val="000C0025"/>
    <w:rsid w:val="000C011B"/>
    <w:rsid w:val="000C029D"/>
    <w:rsid w:val="000C0339"/>
    <w:rsid w:val="000C0469"/>
    <w:rsid w:val="000C0562"/>
    <w:rsid w:val="000C064F"/>
    <w:rsid w:val="000C075E"/>
    <w:rsid w:val="000C08BC"/>
    <w:rsid w:val="000C09BA"/>
    <w:rsid w:val="000C0CDE"/>
    <w:rsid w:val="000C0DD9"/>
    <w:rsid w:val="000C151C"/>
    <w:rsid w:val="000C15A8"/>
    <w:rsid w:val="000C15F6"/>
    <w:rsid w:val="000C1792"/>
    <w:rsid w:val="000C1A57"/>
    <w:rsid w:val="000C1AB4"/>
    <w:rsid w:val="000C1B9B"/>
    <w:rsid w:val="000C1BFB"/>
    <w:rsid w:val="000C1C22"/>
    <w:rsid w:val="000C1D50"/>
    <w:rsid w:val="000C1D8F"/>
    <w:rsid w:val="000C1EC8"/>
    <w:rsid w:val="000C1F3C"/>
    <w:rsid w:val="000C1F65"/>
    <w:rsid w:val="000C2494"/>
    <w:rsid w:val="000C2616"/>
    <w:rsid w:val="000C286B"/>
    <w:rsid w:val="000C287B"/>
    <w:rsid w:val="000C2883"/>
    <w:rsid w:val="000C2A05"/>
    <w:rsid w:val="000C2C6E"/>
    <w:rsid w:val="000C2CEA"/>
    <w:rsid w:val="000C2D08"/>
    <w:rsid w:val="000C2DD4"/>
    <w:rsid w:val="000C2E92"/>
    <w:rsid w:val="000C2F64"/>
    <w:rsid w:val="000C3134"/>
    <w:rsid w:val="000C3246"/>
    <w:rsid w:val="000C34DB"/>
    <w:rsid w:val="000C3683"/>
    <w:rsid w:val="000C36A8"/>
    <w:rsid w:val="000C371C"/>
    <w:rsid w:val="000C3836"/>
    <w:rsid w:val="000C3A0E"/>
    <w:rsid w:val="000C3B01"/>
    <w:rsid w:val="000C3CA9"/>
    <w:rsid w:val="000C3D94"/>
    <w:rsid w:val="000C402B"/>
    <w:rsid w:val="000C40FE"/>
    <w:rsid w:val="000C42F9"/>
    <w:rsid w:val="000C430D"/>
    <w:rsid w:val="000C4327"/>
    <w:rsid w:val="000C4584"/>
    <w:rsid w:val="000C4742"/>
    <w:rsid w:val="000C4768"/>
    <w:rsid w:val="000C4785"/>
    <w:rsid w:val="000C483A"/>
    <w:rsid w:val="000C48EC"/>
    <w:rsid w:val="000C4A02"/>
    <w:rsid w:val="000C4A7B"/>
    <w:rsid w:val="000C4B8D"/>
    <w:rsid w:val="000C4BD4"/>
    <w:rsid w:val="000C4F9B"/>
    <w:rsid w:val="000C511F"/>
    <w:rsid w:val="000C52BE"/>
    <w:rsid w:val="000C5456"/>
    <w:rsid w:val="000C5458"/>
    <w:rsid w:val="000C592A"/>
    <w:rsid w:val="000C5D0D"/>
    <w:rsid w:val="000C608F"/>
    <w:rsid w:val="000C60B1"/>
    <w:rsid w:val="000C61C3"/>
    <w:rsid w:val="000C6222"/>
    <w:rsid w:val="000C6631"/>
    <w:rsid w:val="000C6709"/>
    <w:rsid w:val="000C69CB"/>
    <w:rsid w:val="000C6A56"/>
    <w:rsid w:val="000C6D37"/>
    <w:rsid w:val="000C6D8B"/>
    <w:rsid w:val="000C6DB9"/>
    <w:rsid w:val="000C6FFC"/>
    <w:rsid w:val="000C7055"/>
    <w:rsid w:val="000C7084"/>
    <w:rsid w:val="000C7115"/>
    <w:rsid w:val="000C7397"/>
    <w:rsid w:val="000C7533"/>
    <w:rsid w:val="000C7785"/>
    <w:rsid w:val="000C7B4E"/>
    <w:rsid w:val="000C7DBE"/>
    <w:rsid w:val="000C7E8E"/>
    <w:rsid w:val="000C7EC2"/>
    <w:rsid w:val="000C7F72"/>
    <w:rsid w:val="000D016D"/>
    <w:rsid w:val="000D01C7"/>
    <w:rsid w:val="000D03AA"/>
    <w:rsid w:val="000D0462"/>
    <w:rsid w:val="000D047B"/>
    <w:rsid w:val="000D0523"/>
    <w:rsid w:val="000D066A"/>
    <w:rsid w:val="000D0800"/>
    <w:rsid w:val="000D0813"/>
    <w:rsid w:val="000D0817"/>
    <w:rsid w:val="000D089C"/>
    <w:rsid w:val="000D0951"/>
    <w:rsid w:val="000D0A49"/>
    <w:rsid w:val="000D0AC8"/>
    <w:rsid w:val="000D0BC1"/>
    <w:rsid w:val="000D0BFD"/>
    <w:rsid w:val="000D0C51"/>
    <w:rsid w:val="000D0D8D"/>
    <w:rsid w:val="000D0DE9"/>
    <w:rsid w:val="000D0E7A"/>
    <w:rsid w:val="000D0F4E"/>
    <w:rsid w:val="000D0FD1"/>
    <w:rsid w:val="000D104C"/>
    <w:rsid w:val="000D10A4"/>
    <w:rsid w:val="000D1123"/>
    <w:rsid w:val="000D1164"/>
    <w:rsid w:val="000D139D"/>
    <w:rsid w:val="000D13B4"/>
    <w:rsid w:val="000D1512"/>
    <w:rsid w:val="000D17B7"/>
    <w:rsid w:val="000D1954"/>
    <w:rsid w:val="000D1CA4"/>
    <w:rsid w:val="000D1D03"/>
    <w:rsid w:val="000D1D3B"/>
    <w:rsid w:val="000D1DF1"/>
    <w:rsid w:val="000D1E02"/>
    <w:rsid w:val="000D1E32"/>
    <w:rsid w:val="000D1E6A"/>
    <w:rsid w:val="000D1F80"/>
    <w:rsid w:val="000D2367"/>
    <w:rsid w:val="000D236D"/>
    <w:rsid w:val="000D245C"/>
    <w:rsid w:val="000D2571"/>
    <w:rsid w:val="000D2620"/>
    <w:rsid w:val="000D2776"/>
    <w:rsid w:val="000D283B"/>
    <w:rsid w:val="000D2920"/>
    <w:rsid w:val="000D2A98"/>
    <w:rsid w:val="000D2AC9"/>
    <w:rsid w:val="000D2C91"/>
    <w:rsid w:val="000D2E42"/>
    <w:rsid w:val="000D33C9"/>
    <w:rsid w:val="000D349A"/>
    <w:rsid w:val="000D35AB"/>
    <w:rsid w:val="000D3618"/>
    <w:rsid w:val="000D396F"/>
    <w:rsid w:val="000D3B62"/>
    <w:rsid w:val="000D3C32"/>
    <w:rsid w:val="000D3D71"/>
    <w:rsid w:val="000D4212"/>
    <w:rsid w:val="000D42FB"/>
    <w:rsid w:val="000D447E"/>
    <w:rsid w:val="000D44DB"/>
    <w:rsid w:val="000D46D5"/>
    <w:rsid w:val="000D4806"/>
    <w:rsid w:val="000D4934"/>
    <w:rsid w:val="000D4AFB"/>
    <w:rsid w:val="000D4B2B"/>
    <w:rsid w:val="000D4CF4"/>
    <w:rsid w:val="000D4D10"/>
    <w:rsid w:val="000D4E04"/>
    <w:rsid w:val="000D4EEF"/>
    <w:rsid w:val="000D501A"/>
    <w:rsid w:val="000D513E"/>
    <w:rsid w:val="000D53D5"/>
    <w:rsid w:val="000D54D8"/>
    <w:rsid w:val="000D551F"/>
    <w:rsid w:val="000D555C"/>
    <w:rsid w:val="000D558B"/>
    <w:rsid w:val="000D563D"/>
    <w:rsid w:val="000D5857"/>
    <w:rsid w:val="000D5A60"/>
    <w:rsid w:val="000D5C81"/>
    <w:rsid w:val="000D5D2B"/>
    <w:rsid w:val="000D5D54"/>
    <w:rsid w:val="000D5D69"/>
    <w:rsid w:val="000D61B7"/>
    <w:rsid w:val="000D61F9"/>
    <w:rsid w:val="000D6216"/>
    <w:rsid w:val="000D62EE"/>
    <w:rsid w:val="000D6357"/>
    <w:rsid w:val="000D6418"/>
    <w:rsid w:val="000D6504"/>
    <w:rsid w:val="000D6AD7"/>
    <w:rsid w:val="000D6AE9"/>
    <w:rsid w:val="000D6BF2"/>
    <w:rsid w:val="000D6C72"/>
    <w:rsid w:val="000D6C7A"/>
    <w:rsid w:val="000D6CB0"/>
    <w:rsid w:val="000D6E08"/>
    <w:rsid w:val="000D7167"/>
    <w:rsid w:val="000D7276"/>
    <w:rsid w:val="000D72DC"/>
    <w:rsid w:val="000D73B0"/>
    <w:rsid w:val="000D747F"/>
    <w:rsid w:val="000D74DF"/>
    <w:rsid w:val="000D74E5"/>
    <w:rsid w:val="000D75A2"/>
    <w:rsid w:val="000D7934"/>
    <w:rsid w:val="000D7A5C"/>
    <w:rsid w:val="000D7B6F"/>
    <w:rsid w:val="000D7BD1"/>
    <w:rsid w:val="000D7DA4"/>
    <w:rsid w:val="000D7DBE"/>
    <w:rsid w:val="000D7E32"/>
    <w:rsid w:val="000D7E8B"/>
    <w:rsid w:val="000E01A2"/>
    <w:rsid w:val="000E0221"/>
    <w:rsid w:val="000E024D"/>
    <w:rsid w:val="000E0431"/>
    <w:rsid w:val="000E0542"/>
    <w:rsid w:val="000E076D"/>
    <w:rsid w:val="000E0802"/>
    <w:rsid w:val="000E0804"/>
    <w:rsid w:val="000E0819"/>
    <w:rsid w:val="000E08CD"/>
    <w:rsid w:val="000E0955"/>
    <w:rsid w:val="000E0A68"/>
    <w:rsid w:val="000E0AAB"/>
    <w:rsid w:val="000E0AEF"/>
    <w:rsid w:val="000E0BF5"/>
    <w:rsid w:val="000E0D38"/>
    <w:rsid w:val="000E0E22"/>
    <w:rsid w:val="000E0E25"/>
    <w:rsid w:val="000E0ED2"/>
    <w:rsid w:val="000E0FF6"/>
    <w:rsid w:val="000E1111"/>
    <w:rsid w:val="000E1164"/>
    <w:rsid w:val="000E11A1"/>
    <w:rsid w:val="000E11DD"/>
    <w:rsid w:val="000E14AE"/>
    <w:rsid w:val="000E164F"/>
    <w:rsid w:val="000E1707"/>
    <w:rsid w:val="000E1976"/>
    <w:rsid w:val="000E197A"/>
    <w:rsid w:val="000E197D"/>
    <w:rsid w:val="000E1B12"/>
    <w:rsid w:val="000E1B74"/>
    <w:rsid w:val="000E1E64"/>
    <w:rsid w:val="000E1F79"/>
    <w:rsid w:val="000E1FAD"/>
    <w:rsid w:val="000E20CD"/>
    <w:rsid w:val="000E218F"/>
    <w:rsid w:val="000E2246"/>
    <w:rsid w:val="000E251C"/>
    <w:rsid w:val="000E25E2"/>
    <w:rsid w:val="000E270C"/>
    <w:rsid w:val="000E27C1"/>
    <w:rsid w:val="000E2968"/>
    <w:rsid w:val="000E2A15"/>
    <w:rsid w:val="000E2A6F"/>
    <w:rsid w:val="000E2CB4"/>
    <w:rsid w:val="000E2D81"/>
    <w:rsid w:val="000E32ED"/>
    <w:rsid w:val="000E3421"/>
    <w:rsid w:val="000E347B"/>
    <w:rsid w:val="000E37F4"/>
    <w:rsid w:val="000E3B22"/>
    <w:rsid w:val="000E3CAE"/>
    <w:rsid w:val="000E3D43"/>
    <w:rsid w:val="000E3DE8"/>
    <w:rsid w:val="000E3E8A"/>
    <w:rsid w:val="000E41F1"/>
    <w:rsid w:val="000E4323"/>
    <w:rsid w:val="000E43CB"/>
    <w:rsid w:val="000E4531"/>
    <w:rsid w:val="000E453D"/>
    <w:rsid w:val="000E45BB"/>
    <w:rsid w:val="000E477F"/>
    <w:rsid w:val="000E497A"/>
    <w:rsid w:val="000E4AFB"/>
    <w:rsid w:val="000E4BE4"/>
    <w:rsid w:val="000E4D51"/>
    <w:rsid w:val="000E4EDA"/>
    <w:rsid w:val="000E5030"/>
    <w:rsid w:val="000E503A"/>
    <w:rsid w:val="000E50AC"/>
    <w:rsid w:val="000E50B3"/>
    <w:rsid w:val="000E5272"/>
    <w:rsid w:val="000E52FD"/>
    <w:rsid w:val="000E54C9"/>
    <w:rsid w:val="000E573A"/>
    <w:rsid w:val="000E57FC"/>
    <w:rsid w:val="000E5806"/>
    <w:rsid w:val="000E5846"/>
    <w:rsid w:val="000E58A9"/>
    <w:rsid w:val="000E5965"/>
    <w:rsid w:val="000E599D"/>
    <w:rsid w:val="000E5A3B"/>
    <w:rsid w:val="000E5BBF"/>
    <w:rsid w:val="000E5BFE"/>
    <w:rsid w:val="000E605F"/>
    <w:rsid w:val="000E652C"/>
    <w:rsid w:val="000E6604"/>
    <w:rsid w:val="000E661E"/>
    <w:rsid w:val="000E6632"/>
    <w:rsid w:val="000E665D"/>
    <w:rsid w:val="000E69E3"/>
    <w:rsid w:val="000E69EC"/>
    <w:rsid w:val="000E6A73"/>
    <w:rsid w:val="000E6D28"/>
    <w:rsid w:val="000E6E2B"/>
    <w:rsid w:val="000E6FAC"/>
    <w:rsid w:val="000E7011"/>
    <w:rsid w:val="000E70AD"/>
    <w:rsid w:val="000E73E7"/>
    <w:rsid w:val="000E7459"/>
    <w:rsid w:val="000E7468"/>
    <w:rsid w:val="000E752F"/>
    <w:rsid w:val="000E756D"/>
    <w:rsid w:val="000E77CD"/>
    <w:rsid w:val="000E7838"/>
    <w:rsid w:val="000E7A7A"/>
    <w:rsid w:val="000E7ABB"/>
    <w:rsid w:val="000E7ADB"/>
    <w:rsid w:val="000E7B3C"/>
    <w:rsid w:val="000E7D0B"/>
    <w:rsid w:val="000E7ED7"/>
    <w:rsid w:val="000E7FD3"/>
    <w:rsid w:val="000F0058"/>
    <w:rsid w:val="000F01B7"/>
    <w:rsid w:val="000F01EB"/>
    <w:rsid w:val="000F02F3"/>
    <w:rsid w:val="000F02F6"/>
    <w:rsid w:val="000F066B"/>
    <w:rsid w:val="000F081D"/>
    <w:rsid w:val="000F0843"/>
    <w:rsid w:val="000F099D"/>
    <w:rsid w:val="000F0F08"/>
    <w:rsid w:val="000F0F1D"/>
    <w:rsid w:val="000F0F2B"/>
    <w:rsid w:val="000F0F45"/>
    <w:rsid w:val="000F1077"/>
    <w:rsid w:val="000F133C"/>
    <w:rsid w:val="000F133E"/>
    <w:rsid w:val="000F13C4"/>
    <w:rsid w:val="000F13E1"/>
    <w:rsid w:val="000F158F"/>
    <w:rsid w:val="000F1879"/>
    <w:rsid w:val="000F1E90"/>
    <w:rsid w:val="000F1FBB"/>
    <w:rsid w:val="000F1FC3"/>
    <w:rsid w:val="000F1FDD"/>
    <w:rsid w:val="000F1FEE"/>
    <w:rsid w:val="000F202A"/>
    <w:rsid w:val="000F2111"/>
    <w:rsid w:val="000F2195"/>
    <w:rsid w:val="000F21C4"/>
    <w:rsid w:val="000F21DB"/>
    <w:rsid w:val="000F222F"/>
    <w:rsid w:val="000F2309"/>
    <w:rsid w:val="000F23A1"/>
    <w:rsid w:val="000F23EE"/>
    <w:rsid w:val="000F246D"/>
    <w:rsid w:val="000F26D7"/>
    <w:rsid w:val="000F2812"/>
    <w:rsid w:val="000F295A"/>
    <w:rsid w:val="000F2B94"/>
    <w:rsid w:val="000F2CFA"/>
    <w:rsid w:val="000F2D17"/>
    <w:rsid w:val="000F2D55"/>
    <w:rsid w:val="000F2F4F"/>
    <w:rsid w:val="000F30D7"/>
    <w:rsid w:val="000F3242"/>
    <w:rsid w:val="000F340C"/>
    <w:rsid w:val="000F3491"/>
    <w:rsid w:val="000F351C"/>
    <w:rsid w:val="000F3538"/>
    <w:rsid w:val="000F3817"/>
    <w:rsid w:val="000F39FF"/>
    <w:rsid w:val="000F3A25"/>
    <w:rsid w:val="000F3B8E"/>
    <w:rsid w:val="000F3C64"/>
    <w:rsid w:val="000F3DA0"/>
    <w:rsid w:val="000F3E6F"/>
    <w:rsid w:val="000F3F4F"/>
    <w:rsid w:val="000F4018"/>
    <w:rsid w:val="000F410E"/>
    <w:rsid w:val="000F419C"/>
    <w:rsid w:val="000F4282"/>
    <w:rsid w:val="000F4827"/>
    <w:rsid w:val="000F4947"/>
    <w:rsid w:val="000F4974"/>
    <w:rsid w:val="000F49E6"/>
    <w:rsid w:val="000F49E7"/>
    <w:rsid w:val="000F4AEA"/>
    <w:rsid w:val="000F4CA6"/>
    <w:rsid w:val="000F4E4A"/>
    <w:rsid w:val="000F4EED"/>
    <w:rsid w:val="000F51B2"/>
    <w:rsid w:val="000F5557"/>
    <w:rsid w:val="000F57FC"/>
    <w:rsid w:val="000F582B"/>
    <w:rsid w:val="000F5948"/>
    <w:rsid w:val="000F5A15"/>
    <w:rsid w:val="000F5A1B"/>
    <w:rsid w:val="000F5ADB"/>
    <w:rsid w:val="000F5BB1"/>
    <w:rsid w:val="000F5C67"/>
    <w:rsid w:val="000F5D8E"/>
    <w:rsid w:val="000F5DE7"/>
    <w:rsid w:val="000F5F0F"/>
    <w:rsid w:val="000F5FE4"/>
    <w:rsid w:val="000F6076"/>
    <w:rsid w:val="000F626B"/>
    <w:rsid w:val="000F63E1"/>
    <w:rsid w:val="000F6457"/>
    <w:rsid w:val="000F65EE"/>
    <w:rsid w:val="000F6737"/>
    <w:rsid w:val="000F68EB"/>
    <w:rsid w:val="000F6926"/>
    <w:rsid w:val="000F6991"/>
    <w:rsid w:val="000F6A10"/>
    <w:rsid w:val="000F6C91"/>
    <w:rsid w:val="000F6D16"/>
    <w:rsid w:val="000F6F3D"/>
    <w:rsid w:val="000F6F82"/>
    <w:rsid w:val="000F7225"/>
    <w:rsid w:val="000F728F"/>
    <w:rsid w:val="000F72C2"/>
    <w:rsid w:val="000F7353"/>
    <w:rsid w:val="000F7399"/>
    <w:rsid w:val="000F7648"/>
    <w:rsid w:val="000F77B9"/>
    <w:rsid w:val="000F7895"/>
    <w:rsid w:val="000F78EC"/>
    <w:rsid w:val="000F7A04"/>
    <w:rsid w:val="000F7A2E"/>
    <w:rsid w:val="000F7CCB"/>
    <w:rsid w:val="000F7F46"/>
    <w:rsid w:val="000F7F6A"/>
    <w:rsid w:val="000F7FAE"/>
    <w:rsid w:val="000F7FE9"/>
    <w:rsid w:val="00100028"/>
    <w:rsid w:val="0010006C"/>
    <w:rsid w:val="001001A8"/>
    <w:rsid w:val="001003AF"/>
    <w:rsid w:val="0010049A"/>
    <w:rsid w:val="001004F6"/>
    <w:rsid w:val="001004F7"/>
    <w:rsid w:val="00100848"/>
    <w:rsid w:val="0010087D"/>
    <w:rsid w:val="00100951"/>
    <w:rsid w:val="00100CB2"/>
    <w:rsid w:val="00100E18"/>
    <w:rsid w:val="001012DD"/>
    <w:rsid w:val="0010134E"/>
    <w:rsid w:val="00101520"/>
    <w:rsid w:val="00101546"/>
    <w:rsid w:val="00101672"/>
    <w:rsid w:val="00101676"/>
    <w:rsid w:val="00101777"/>
    <w:rsid w:val="001018B1"/>
    <w:rsid w:val="00101921"/>
    <w:rsid w:val="00101958"/>
    <w:rsid w:val="00101A46"/>
    <w:rsid w:val="00101B17"/>
    <w:rsid w:val="00101DE1"/>
    <w:rsid w:val="00101E67"/>
    <w:rsid w:val="00101EDC"/>
    <w:rsid w:val="001022B4"/>
    <w:rsid w:val="001024B6"/>
    <w:rsid w:val="00102697"/>
    <w:rsid w:val="001027E9"/>
    <w:rsid w:val="001027EE"/>
    <w:rsid w:val="00102842"/>
    <w:rsid w:val="00102867"/>
    <w:rsid w:val="00102BE3"/>
    <w:rsid w:val="00102C89"/>
    <w:rsid w:val="00102F31"/>
    <w:rsid w:val="001030B7"/>
    <w:rsid w:val="0010339F"/>
    <w:rsid w:val="001036F5"/>
    <w:rsid w:val="0010371F"/>
    <w:rsid w:val="0010382C"/>
    <w:rsid w:val="00103842"/>
    <w:rsid w:val="00103BB8"/>
    <w:rsid w:val="00103CE4"/>
    <w:rsid w:val="00103D86"/>
    <w:rsid w:val="00103DBD"/>
    <w:rsid w:val="00103E87"/>
    <w:rsid w:val="00104030"/>
    <w:rsid w:val="00104031"/>
    <w:rsid w:val="00104045"/>
    <w:rsid w:val="0010406C"/>
    <w:rsid w:val="001040B4"/>
    <w:rsid w:val="00104467"/>
    <w:rsid w:val="001046DC"/>
    <w:rsid w:val="00104752"/>
    <w:rsid w:val="00104879"/>
    <w:rsid w:val="00104D00"/>
    <w:rsid w:val="00104F2C"/>
    <w:rsid w:val="00105189"/>
    <w:rsid w:val="0010528F"/>
    <w:rsid w:val="001052EA"/>
    <w:rsid w:val="0010538C"/>
    <w:rsid w:val="0010548F"/>
    <w:rsid w:val="00105505"/>
    <w:rsid w:val="00105C15"/>
    <w:rsid w:val="00105D5D"/>
    <w:rsid w:val="00105F0E"/>
    <w:rsid w:val="00105F92"/>
    <w:rsid w:val="00105FE3"/>
    <w:rsid w:val="00106159"/>
    <w:rsid w:val="001063AF"/>
    <w:rsid w:val="0010667B"/>
    <w:rsid w:val="0010668A"/>
    <w:rsid w:val="001068BB"/>
    <w:rsid w:val="001068EE"/>
    <w:rsid w:val="00106955"/>
    <w:rsid w:val="0010696C"/>
    <w:rsid w:val="00106A88"/>
    <w:rsid w:val="00106B8C"/>
    <w:rsid w:val="00106B96"/>
    <w:rsid w:val="00106D81"/>
    <w:rsid w:val="00106DBF"/>
    <w:rsid w:val="00106E16"/>
    <w:rsid w:val="00106E51"/>
    <w:rsid w:val="00106EEA"/>
    <w:rsid w:val="00106F50"/>
    <w:rsid w:val="00106FBB"/>
    <w:rsid w:val="001072A4"/>
    <w:rsid w:val="0010730A"/>
    <w:rsid w:val="0010747F"/>
    <w:rsid w:val="001075C3"/>
    <w:rsid w:val="00107650"/>
    <w:rsid w:val="0010768F"/>
    <w:rsid w:val="00107704"/>
    <w:rsid w:val="0010773A"/>
    <w:rsid w:val="001077CE"/>
    <w:rsid w:val="00107A0D"/>
    <w:rsid w:val="00107A6E"/>
    <w:rsid w:val="00107B24"/>
    <w:rsid w:val="00107DC7"/>
    <w:rsid w:val="00110137"/>
    <w:rsid w:val="0011017D"/>
    <w:rsid w:val="00110231"/>
    <w:rsid w:val="0011035E"/>
    <w:rsid w:val="0011073D"/>
    <w:rsid w:val="001107C7"/>
    <w:rsid w:val="001107F5"/>
    <w:rsid w:val="00110BE4"/>
    <w:rsid w:val="00110CF1"/>
    <w:rsid w:val="00110D53"/>
    <w:rsid w:val="00110EEA"/>
    <w:rsid w:val="00110F07"/>
    <w:rsid w:val="00110F3B"/>
    <w:rsid w:val="00111165"/>
    <w:rsid w:val="001111CF"/>
    <w:rsid w:val="00111246"/>
    <w:rsid w:val="00111275"/>
    <w:rsid w:val="001112D8"/>
    <w:rsid w:val="001113AE"/>
    <w:rsid w:val="00111792"/>
    <w:rsid w:val="00111815"/>
    <w:rsid w:val="00111AF8"/>
    <w:rsid w:val="00111BEE"/>
    <w:rsid w:val="00111C4E"/>
    <w:rsid w:val="00111CB7"/>
    <w:rsid w:val="00111D56"/>
    <w:rsid w:val="00111DE0"/>
    <w:rsid w:val="0011222D"/>
    <w:rsid w:val="001122BC"/>
    <w:rsid w:val="001123A7"/>
    <w:rsid w:val="0011244E"/>
    <w:rsid w:val="00112485"/>
    <w:rsid w:val="0011249B"/>
    <w:rsid w:val="00112500"/>
    <w:rsid w:val="00112598"/>
    <w:rsid w:val="001127D5"/>
    <w:rsid w:val="00112806"/>
    <w:rsid w:val="00112831"/>
    <w:rsid w:val="0011291C"/>
    <w:rsid w:val="001129E4"/>
    <w:rsid w:val="00112A8F"/>
    <w:rsid w:val="00112AEF"/>
    <w:rsid w:val="00112B89"/>
    <w:rsid w:val="00112BDA"/>
    <w:rsid w:val="00112F9C"/>
    <w:rsid w:val="00112FA2"/>
    <w:rsid w:val="00112FD4"/>
    <w:rsid w:val="001130D4"/>
    <w:rsid w:val="00113434"/>
    <w:rsid w:val="00113564"/>
    <w:rsid w:val="001136C6"/>
    <w:rsid w:val="001138DA"/>
    <w:rsid w:val="00113902"/>
    <w:rsid w:val="00113A88"/>
    <w:rsid w:val="00113B61"/>
    <w:rsid w:val="00113C04"/>
    <w:rsid w:val="00113CDF"/>
    <w:rsid w:val="00114164"/>
    <w:rsid w:val="0011445D"/>
    <w:rsid w:val="0011454B"/>
    <w:rsid w:val="001146B6"/>
    <w:rsid w:val="00114952"/>
    <w:rsid w:val="0011497F"/>
    <w:rsid w:val="00114C5B"/>
    <w:rsid w:val="00114D76"/>
    <w:rsid w:val="00114DA9"/>
    <w:rsid w:val="00114DE8"/>
    <w:rsid w:val="00114E88"/>
    <w:rsid w:val="0011503E"/>
    <w:rsid w:val="0011510C"/>
    <w:rsid w:val="00115213"/>
    <w:rsid w:val="00115385"/>
    <w:rsid w:val="00115389"/>
    <w:rsid w:val="00115649"/>
    <w:rsid w:val="0011576A"/>
    <w:rsid w:val="00115813"/>
    <w:rsid w:val="0011583C"/>
    <w:rsid w:val="001158E2"/>
    <w:rsid w:val="00115A9B"/>
    <w:rsid w:val="00115B87"/>
    <w:rsid w:val="00115D7A"/>
    <w:rsid w:val="00115FDF"/>
    <w:rsid w:val="001161E5"/>
    <w:rsid w:val="001161F0"/>
    <w:rsid w:val="0011624A"/>
    <w:rsid w:val="00116329"/>
    <w:rsid w:val="00116447"/>
    <w:rsid w:val="00116489"/>
    <w:rsid w:val="001164FF"/>
    <w:rsid w:val="00116676"/>
    <w:rsid w:val="0011669C"/>
    <w:rsid w:val="00116805"/>
    <w:rsid w:val="00116A9E"/>
    <w:rsid w:val="00116BCD"/>
    <w:rsid w:val="00116D12"/>
    <w:rsid w:val="00116D62"/>
    <w:rsid w:val="00116DBE"/>
    <w:rsid w:val="001170D7"/>
    <w:rsid w:val="001171D9"/>
    <w:rsid w:val="001171DF"/>
    <w:rsid w:val="001172C0"/>
    <w:rsid w:val="00117393"/>
    <w:rsid w:val="0011775B"/>
    <w:rsid w:val="001177AC"/>
    <w:rsid w:val="00117824"/>
    <w:rsid w:val="0011793D"/>
    <w:rsid w:val="00117BF6"/>
    <w:rsid w:val="0012013A"/>
    <w:rsid w:val="0012026B"/>
    <w:rsid w:val="0012028B"/>
    <w:rsid w:val="00120320"/>
    <w:rsid w:val="0012042F"/>
    <w:rsid w:val="00120487"/>
    <w:rsid w:val="001204B4"/>
    <w:rsid w:val="0012052D"/>
    <w:rsid w:val="001205DA"/>
    <w:rsid w:val="001205F7"/>
    <w:rsid w:val="0012073F"/>
    <w:rsid w:val="00120801"/>
    <w:rsid w:val="00120CF5"/>
    <w:rsid w:val="00120E27"/>
    <w:rsid w:val="00120E30"/>
    <w:rsid w:val="00120F67"/>
    <w:rsid w:val="001210D4"/>
    <w:rsid w:val="00121227"/>
    <w:rsid w:val="00121357"/>
    <w:rsid w:val="0012148E"/>
    <w:rsid w:val="001214F3"/>
    <w:rsid w:val="00121517"/>
    <w:rsid w:val="001216A7"/>
    <w:rsid w:val="0012180E"/>
    <w:rsid w:val="0012189C"/>
    <w:rsid w:val="001219F3"/>
    <w:rsid w:val="00121B70"/>
    <w:rsid w:val="00121CB8"/>
    <w:rsid w:val="00121DA3"/>
    <w:rsid w:val="00121DFC"/>
    <w:rsid w:val="00121EFA"/>
    <w:rsid w:val="00121F1F"/>
    <w:rsid w:val="0012207F"/>
    <w:rsid w:val="00122257"/>
    <w:rsid w:val="00122360"/>
    <w:rsid w:val="001223CF"/>
    <w:rsid w:val="00122492"/>
    <w:rsid w:val="00122576"/>
    <w:rsid w:val="00122781"/>
    <w:rsid w:val="001227A3"/>
    <w:rsid w:val="001227F7"/>
    <w:rsid w:val="0012282F"/>
    <w:rsid w:val="0012286E"/>
    <w:rsid w:val="001228BF"/>
    <w:rsid w:val="00122C42"/>
    <w:rsid w:val="00122C4E"/>
    <w:rsid w:val="00122C4F"/>
    <w:rsid w:val="00122C6E"/>
    <w:rsid w:val="00122D12"/>
    <w:rsid w:val="00122D34"/>
    <w:rsid w:val="00122E79"/>
    <w:rsid w:val="00122FFC"/>
    <w:rsid w:val="00123105"/>
    <w:rsid w:val="001231FE"/>
    <w:rsid w:val="001234BB"/>
    <w:rsid w:val="001234CD"/>
    <w:rsid w:val="0012368E"/>
    <w:rsid w:val="00123753"/>
    <w:rsid w:val="00123913"/>
    <w:rsid w:val="0012392F"/>
    <w:rsid w:val="00123953"/>
    <w:rsid w:val="001239A8"/>
    <w:rsid w:val="001239F1"/>
    <w:rsid w:val="00123A9D"/>
    <w:rsid w:val="00123CAA"/>
    <w:rsid w:val="00123F24"/>
    <w:rsid w:val="00123F34"/>
    <w:rsid w:val="00123F50"/>
    <w:rsid w:val="00123F7B"/>
    <w:rsid w:val="00124103"/>
    <w:rsid w:val="00124139"/>
    <w:rsid w:val="00124297"/>
    <w:rsid w:val="001243F4"/>
    <w:rsid w:val="001246C4"/>
    <w:rsid w:val="0012480C"/>
    <w:rsid w:val="00124824"/>
    <w:rsid w:val="0012485B"/>
    <w:rsid w:val="00124A8D"/>
    <w:rsid w:val="00124B25"/>
    <w:rsid w:val="00124CB2"/>
    <w:rsid w:val="00124E2B"/>
    <w:rsid w:val="00124F4E"/>
    <w:rsid w:val="001250B7"/>
    <w:rsid w:val="001252BD"/>
    <w:rsid w:val="00125408"/>
    <w:rsid w:val="0012540D"/>
    <w:rsid w:val="001256EA"/>
    <w:rsid w:val="001256FC"/>
    <w:rsid w:val="0012586D"/>
    <w:rsid w:val="00125A6C"/>
    <w:rsid w:val="00125DF4"/>
    <w:rsid w:val="00125E49"/>
    <w:rsid w:val="00125E84"/>
    <w:rsid w:val="00125EFD"/>
    <w:rsid w:val="00126054"/>
    <w:rsid w:val="0012636D"/>
    <w:rsid w:val="00126451"/>
    <w:rsid w:val="0012648F"/>
    <w:rsid w:val="001264C9"/>
    <w:rsid w:val="00126724"/>
    <w:rsid w:val="0012680E"/>
    <w:rsid w:val="001268BF"/>
    <w:rsid w:val="00126919"/>
    <w:rsid w:val="00126928"/>
    <w:rsid w:val="00126988"/>
    <w:rsid w:val="00126B1E"/>
    <w:rsid w:val="00126B7F"/>
    <w:rsid w:val="00126F83"/>
    <w:rsid w:val="00127102"/>
    <w:rsid w:val="00127189"/>
    <w:rsid w:val="001271BD"/>
    <w:rsid w:val="001271E5"/>
    <w:rsid w:val="00127288"/>
    <w:rsid w:val="0012730D"/>
    <w:rsid w:val="001276D9"/>
    <w:rsid w:val="00127999"/>
    <w:rsid w:val="00127A68"/>
    <w:rsid w:val="00127AFB"/>
    <w:rsid w:val="00127B83"/>
    <w:rsid w:val="00127BA7"/>
    <w:rsid w:val="001301CF"/>
    <w:rsid w:val="00130363"/>
    <w:rsid w:val="00130425"/>
    <w:rsid w:val="00130638"/>
    <w:rsid w:val="0013078D"/>
    <w:rsid w:val="00130823"/>
    <w:rsid w:val="00130984"/>
    <w:rsid w:val="00130A2C"/>
    <w:rsid w:val="00130A57"/>
    <w:rsid w:val="00130B96"/>
    <w:rsid w:val="00130BEA"/>
    <w:rsid w:val="00130C22"/>
    <w:rsid w:val="00130C56"/>
    <w:rsid w:val="00130C57"/>
    <w:rsid w:val="00130F90"/>
    <w:rsid w:val="00130FDE"/>
    <w:rsid w:val="001310EA"/>
    <w:rsid w:val="001311E2"/>
    <w:rsid w:val="0013135D"/>
    <w:rsid w:val="001314E1"/>
    <w:rsid w:val="0013153C"/>
    <w:rsid w:val="00131603"/>
    <w:rsid w:val="00131996"/>
    <w:rsid w:val="001319A5"/>
    <w:rsid w:val="001319D2"/>
    <w:rsid w:val="00131AC4"/>
    <w:rsid w:val="00131C75"/>
    <w:rsid w:val="00131ECF"/>
    <w:rsid w:val="001321CB"/>
    <w:rsid w:val="001322F5"/>
    <w:rsid w:val="00132507"/>
    <w:rsid w:val="0013251E"/>
    <w:rsid w:val="0013255B"/>
    <w:rsid w:val="00132596"/>
    <w:rsid w:val="001325C6"/>
    <w:rsid w:val="001326BF"/>
    <w:rsid w:val="0013277D"/>
    <w:rsid w:val="00132864"/>
    <w:rsid w:val="001329EE"/>
    <w:rsid w:val="00132B1C"/>
    <w:rsid w:val="00132B43"/>
    <w:rsid w:val="00132F12"/>
    <w:rsid w:val="00132FF0"/>
    <w:rsid w:val="001331D4"/>
    <w:rsid w:val="00133210"/>
    <w:rsid w:val="00133215"/>
    <w:rsid w:val="001333D4"/>
    <w:rsid w:val="00133428"/>
    <w:rsid w:val="00133632"/>
    <w:rsid w:val="00133815"/>
    <w:rsid w:val="00133BCE"/>
    <w:rsid w:val="00133D24"/>
    <w:rsid w:val="00133D61"/>
    <w:rsid w:val="00133DC7"/>
    <w:rsid w:val="00134029"/>
    <w:rsid w:val="0013402A"/>
    <w:rsid w:val="00134033"/>
    <w:rsid w:val="00134048"/>
    <w:rsid w:val="001341AB"/>
    <w:rsid w:val="00134350"/>
    <w:rsid w:val="001343D8"/>
    <w:rsid w:val="0013444C"/>
    <w:rsid w:val="001344B8"/>
    <w:rsid w:val="001344CD"/>
    <w:rsid w:val="00134754"/>
    <w:rsid w:val="001347FB"/>
    <w:rsid w:val="00134950"/>
    <w:rsid w:val="001349E4"/>
    <w:rsid w:val="00134A6F"/>
    <w:rsid w:val="00134A94"/>
    <w:rsid w:val="00134B51"/>
    <w:rsid w:val="00134BEF"/>
    <w:rsid w:val="00134DA0"/>
    <w:rsid w:val="00134EF0"/>
    <w:rsid w:val="00134F31"/>
    <w:rsid w:val="00134FC4"/>
    <w:rsid w:val="00135215"/>
    <w:rsid w:val="001352F3"/>
    <w:rsid w:val="00135399"/>
    <w:rsid w:val="001353EA"/>
    <w:rsid w:val="00135438"/>
    <w:rsid w:val="001354CD"/>
    <w:rsid w:val="00135687"/>
    <w:rsid w:val="001356BE"/>
    <w:rsid w:val="00135C49"/>
    <w:rsid w:val="00135CDD"/>
    <w:rsid w:val="00135F5D"/>
    <w:rsid w:val="00136079"/>
    <w:rsid w:val="001361CE"/>
    <w:rsid w:val="0013626A"/>
    <w:rsid w:val="001365F9"/>
    <w:rsid w:val="001366DB"/>
    <w:rsid w:val="0013699C"/>
    <w:rsid w:val="00136DA0"/>
    <w:rsid w:val="00136DF0"/>
    <w:rsid w:val="00136EE6"/>
    <w:rsid w:val="00136F46"/>
    <w:rsid w:val="00137302"/>
    <w:rsid w:val="00137335"/>
    <w:rsid w:val="00137365"/>
    <w:rsid w:val="0013750E"/>
    <w:rsid w:val="00137A99"/>
    <w:rsid w:val="00137B84"/>
    <w:rsid w:val="00137BBE"/>
    <w:rsid w:val="00137C02"/>
    <w:rsid w:val="00137D98"/>
    <w:rsid w:val="00137DE9"/>
    <w:rsid w:val="00137E0F"/>
    <w:rsid w:val="00137E32"/>
    <w:rsid w:val="00137E58"/>
    <w:rsid w:val="00137ED6"/>
    <w:rsid w:val="00137FA8"/>
    <w:rsid w:val="00137FCF"/>
    <w:rsid w:val="0014000E"/>
    <w:rsid w:val="00140123"/>
    <w:rsid w:val="00140238"/>
    <w:rsid w:val="0014064E"/>
    <w:rsid w:val="0014074A"/>
    <w:rsid w:val="00140876"/>
    <w:rsid w:val="00140978"/>
    <w:rsid w:val="001409B9"/>
    <w:rsid w:val="00140A22"/>
    <w:rsid w:val="00140A2E"/>
    <w:rsid w:val="00140A79"/>
    <w:rsid w:val="00140D62"/>
    <w:rsid w:val="00140DC7"/>
    <w:rsid w:val="00140EEB"/>
    <w:rsid w:val="001411C6"/>
    <w:rsid w:val="00141296"/>
    <w:rsid w:val="00141392"/>
    <w:rsid w:val="00141514"/>
    <w:rsid w:val="0014156F"/>
    <w:rsid w:val="00141570"/>
    <w:rsid w:val="00141598"/>
    <w:rsid w:val="001416C3"/>
    <w:rsid w:val="001416FC"/>
    <w:rsid w:val="0014196B"/>
    <w:rsid w:val="00141A53"/>
    <w:rsid w:val="00141A60"/>
    <w:rsid w:val="00141BBD"/>
    <w:rsid w:val="00141E79"/>
    <w:rsid w:val="00141E8D"/>
    <w:rsid w:val="00142030"/>
    <w:rsid w:val="001420A8"/>
    <w:rsid w:val="00142166"/>
    <w:rsid w:val="00142238"/>
    <w:rsid w:val="0014224C"/>
    <w:rsid w:val="00142346"/>
    <w:rsid w:val="0014239A"/>
    <w:rsid w:val="00142461"/>
    <w:rsid w:val="00142691"/>
    <w:rsid w:val="001427F4"/>
    <w:rsid w:val="00142836"/>
    <w:rsid w:val="00142895"/>
    <w:rsid w:val="00142945"/>
    <w:rsid w:val="00142BD5"/>
    <w:rsid w:val="00142D60"/>
    <w:rsid w:val="00143039"/>
    <w:rsid w:val="00143044"/>
    <w:rsid w:val="0014306C"/>
    <w:rsid w:val="001430CF"/>
    <w:rsid w:val="001431AB"/>
    <w:rsid w:val="001431D9"/>
    <w:rsid w:val="001433AD"/>
    <w:rsid w:val="0014346D"/>
    <w:rsid w:val="001434C5"/>
    <w:rsid w:val="001435DE"/>
    <w:rsid w:val="00143646"/>
    <w:rsid w:val="00143760"/>
    <w:rsid w:val="0014399A"/>
    <w:rsid w:val="00143C8A"/>
    <w:rsid w:val="00143D79"/>
    <w:rsid w:val="00143F83"/>
    <w:rsid w:val="00144394"/>
    <w:rsid w:val="001443A8"/>
    <w:rsid w:val="001443DE"/>
    <w:rsid w:val="0014456F"/>
    <w:rsid w:val="001445D0"/>
    <w:rsid w:val="00144745"/>
    <w:rsid w:val="00144747"/>
    <w:rsid w:val="00144770"/>
    <w:rsid w:val="0014478B"/>
    <w:rsid w:val="001448C3"/>
    <w:rsid w:val="00144BF7"/>
    <w:rsid w:val="00144C88"/>
    <w:rsid w:val="00144DEE"/>
    <w:rsid w:val="00144EB0"/>
    <w:rsid w:val="00145346"/>
    <w:rsid w:val="00145387"/>
    <w:rsid w:val="0014546F"/>
    <w:rsid w:val="00145471"/>
    <w:rsid w:val="00145514"/>
    <w:rsid w:val="00145A26"/>
    <w:rsid w:val="00145B5C"/>
    <w:rsid w:val="00145DE7"/>
    <w:rsid w:val="00145DEE"/>
    <w:rsid w:val="00146069"/>
    <w:rsid w:val="00146194"/>
    <w:rsid w:val="001461EF"/>
    <w:rsid w:val="00146431"/>
    <w:rsid w:val="001465AD"/>
    <w:rsid w:val="00146968"/>
    <w:rsid w:val="00146ED0"/>
    <w:rsid w:val="001470F5"/>
    <w:rsid w:val="00147162"/>
    <w:rsid w:val="0014718E"/>
    <w:rsid w:val="001472D8"/>
    <w:rsid w:val="00147368"/>
    <w:rsid w:val="0014736E"/>
    <w:rsid w:val="0014770D"/>
    <w:rsid w:val="00147715"/>
    <w:rsid w:val="00147FB4"/>
    <w:rsid w:val="00147FC8"/>
    <w:rsid w:val="0015017E"/>
    <w:rsid w:val="0015041A"/>
    <w:rsid w:val="00150972"/>
    <w:rsid w:val="00150A3F"/>
    <w:rsid w:val="00150A81"/>
    <w:rsid w:val="00150A9B"/>
    <w:rsid w:val="00150AA2"/>
    <w:rsid w:val="00150ACE"/>
    <w:rsid w:val="00150D86"/>
    <w:rsid w:val="00150EBA"/>
    <w:rsid w:val="00150F7E"/>
    <w:rsid w:val="0015103E"/>
    <w:rsid w:val="001510A3"/>
    <w:rsid w:val="001510E3"/>
    <w:rsid w:val="0015128F"/>
    <w:rsid w:val="001515A2"/>
    <w:rsid w:val="0015164F"/>
    <w:rsid w:val="0015184B"/>
    <w:rsid w:val="001518AC"/>
    <w:rsid w:val="00151D33"/>
    <w:rsid w:val="00151D62"/>
    <w:rsid w:val="00151DD3"/>
    <w:rsid w:val="00151E46"/>
    <w:rsid w:val="00152042"/>
    <w:rsid w:val="0015210A"/>
    <w:rsid w:val="001521D1"/>
    <w:rsid w:val="00152228"/>
    <w:rsid w:val="00152342"/>
    <w:rsid w:val="0015244B"/>
    <w:rsid w:val="001524E3"/>
    <w:rsid w:val="00152646"/>
    <w:rsid w:val="001527B9"/>
    <w:rsid w:val="001528AA"/>
    <w:rsid w:val="00152A67"/>
    <w:rsid w:val="00152AB8"/>
    <w:rsid w:val="00152B2C"/>
    <w:rsid w:val="00152B99"/>
    <w:rsid w:val="00152BCB"/>
    <w:rsid w:val="00152DBA"/>
    <w:rsid w:val="00152F12"/>
    <w:rsid w:val="00152FE3"/>
    <w:rsid w:val="00152FFB"/>
    <w:rsid w:val="00153206"/>
    <w:rsid w:val="0015334C"/>
    <w:rsid w:val="00153485"/>
    <w:rsid w:val="001534BE"/>
    <w:rsid w:val="001534FE"/>
    <w:rsid w:val="00153619"/>
    <w:rsid w:val="00153813"/>
    <w:rsid w:val="00153986"/>
    <w:rsid w:val="00153B5E"/>
    <w:rsid w:val="00153BF4"/>
    <w:rsid w:val="00153D21"/>
    <w:rsid w:val="00154214"/>
    <w:rsid w:val="00154220"/>
    <w:rsid w:val="001543DF"/>
    <w:rsid w:val="001544E1"/>
    <w:rsid w:val="00154545"/>
    <w:rsid w:val="001545A0"/>
    <w:rsid w:val="001545AE"/>
    <w:rsid w:val="001545BB"/>
    <w:rsid w:val="00154688"/>
    <w:rsid w:val="00154793"/>
    <w:rsid w:val="0015485D"/>
    <w:rsid w:val="001548BF"/>
    <w:rsid w:val="00154951"/>
    <w:rsid w:val="00154979"/>
    <w:rsid w:val="00154A61"/>
    <w:rsid w:val="00154BBF"/>
    <w:rsid w:val="00154CB8"/>
    <w:rsid w:val="00154E4D"/>
    <w:rsid w:val="00154E92"/>
    <w:rsid w:val="00154F8B"/>
    <w:rsid w:val="00154FF8"/>
    <w:rsid w:val="00154FFE"/>
    <w:rsid w:val="00155104"/>
    <w:rsid w:val="0015518F"/>
    <w:rsid w:val="00155373"/>
    <w:rsid w:val="001553EC"/>
    <w:rsid w:val="00155410"/>
    <w:rsid w:val="00155571"/>
    <w:rsid w:val="00155618"/>
    <w:rsid w:val="00155627"/>
    <w:rsid w:val="00155698"/>
    <w:rsid w:val="001559F3"/>
    <w:rsid w:val="00155E24"/>
    <w:rsid w:val="00155FC2"/>
    <w:rsid w:val="00156008"/>
    <w:rsid w:val="00156269"/>
    <w:rsid w:val="00156390"/>
    <w:rsid w:val="00156584"/>
    <w:rsid w:val="001565D9"/>
    <w:rsid w:val="00156ACA"/>
    <w:rsid w:val="00156AEF"/>
    <w:rsid w:val="00156CDF"/>
    <w:rsid w:val="00156E97"/>
    <w:rsid w:val="00156FF2"/>
    <w:rsid w:val="00157077"/>
    <w:rsid w:val="001573B3"/>
    <w:rsid w:val="00157483"/>
    <w:rsid w:val="0015748F"/>
    <w:rsid w:val="0015765C"/>
    <w:rsid w:val="00157BD0"/>
    <w:rsid w:val="00157BD6"/>
    <w:rsid w:val="00157F4C"/>
    <w:rsid w:val="00157FDB"/>
    <w:rsid w:val="00157FFB"/>
    <w:rsid w:val="0016002E"/>
    <w:rsid w:val="00160048"/>
    <w:rsid w:val="001602F7"/>
    <w:rsid w:val="001603B2"/>
    <w:rsid w:val="00160544"/>
    <w:rsid w:val="0016065E"/>
    <w:rsid w:val="00160746"/>
    <w:rsid w:val="00160874"/>
    <w:rsid w:val="00160955"/>
    <w:rsid w:val="00160998"/>
    <w:rsid w:val="00160C79"/>
    <w:rsid w:val="00160CD4"/>
    <w:rsid w:val="00160D89"/>
    <w:rsid w:val="00160F38"/>
    <w:rsid w:val="00160F5A"/>
    <w:rsid w:val="00161135"/>
    <w:rsid w:val="0016129F"/>
    <w:rsid w:val="001613A0"/>
    <w:rsid w:val="001615B0"/>
    <w:rsid w:val="00161808"/>
    <w:rsid w:val="00161A61"/>
    <w:rsid w:val="00161AD8"/>
    <w:rsid w:val="00161B2C"/>
    <w:rsid w:val="00161B7C"/>
    <w:rsid w:val="00161C0D"/>
    <w:rsid w:val="00161C69"/>
    <w:rsid w:val="00161ECE"/>
    <w:rsid w:val="00161EF7"/>
    <w:rsid w:val="00161FC5"/>
    <w:rsid w:val="0016219D"/>
    <w:rsid w:val="001624B2"/>
    <w:rsid w:val="0016260F"/>
    <w:rsid w:val="0016268B"/>
    <w:rsid w:val="001627DF"/>
    <w:rsid w:val="001629A2"/>
    <w:rsid w:val="001629B4"/>
    <w:rsid w:val="00162A2C"/>
    <w:rsid w:val="00162BCA"/>
    <w:rsid w:val="00162C61"/>
    <w:rsid w:val="00162CB3"/>
    <w:rsid w:val="00162EF1"/>
    <w:rsid w:val="00163143"/>
    <w:rsid w:val="001631FC"/>
    <w:rsid w:val="001632B9"/>
    <w:rsid w:val="001634E4"/>
    <w:rsid w:val="001635B8"/>
    <w:rsid w:val="001635FD"/>
    <w:rsid w:val="001636F8"/>
    <w:rsid w:val="0016377C"/>
    <w:rsid w:val="00163855"/>
    <w:rsid w:val="001638FA"/>
    <w:rsid w:val="00163A37"/>
    <w:rsid w:val="00163B53"/>
    <w:rsid w:val="00163BE2"/>
    <w:rsid w:val="00163C73"/>
    <w:rsid w:val="00163DD9"/>
    <w:rsid w:val="00163EA6"/>
    <w:rsid w:val="00163F10"/>
    <w:rsid w:val="00163F2A"/>
    <w:rsid w:val="00163FC2"/>
    <w:rsid w:val="00164235"/>
    <w:rsid w:val="00164309"/>
    <w:rsid w:val="00164924"/>
    <w:rsid w:val="00164A97"/>
    <w:rsid w:val="00164B3E"/>
    <w:rsid w:val="00164DD4"/>
    <w:rsid w:val="0016500E"/>
    <w:rsid w:val="0016508D"/>
    <w:rsid w:val="001651B0"/>
    <w:rsid w:val="001652F2"/>
    <w:rsid w:val="00165301"/>
    <w:rsid w:val="001653ED"/>
    <w:rsid w:val="0016561B"/>
    <w:rsid w:val="001656AD"/>
    <w:rsid w:val="00165703"/>
    <w:rsid w:val="00165734"/>
    <w:rsid w:val="001657ED"/>
    <w:rsid w:val="0016592E"/>
    <w:rsid w:val="00165B0B"/>
    <w:rsid w:val="00165DA0"/>
    <w:rsid w:val="00165DEA"/>
    <w:rsid w:val="00165FEA"/>
    <w:rsid w:val="001661BD"/>
    <w:rsid w:val="001662CD"/>
    <w:rsid w:val="0016648B"/>
    <w:rsid w:val="00166583"/>
    <w:rsid w:val="001665B7"/>
    <w:rsid w:val="00166621"/>
    <w:rsid w:val="0016662D"/>
    <w:rsid w:val="00166884"/>
    <w:rsid w:val="00166C99"/>
    <w:rsid w:val="00166CAC"/>
    <w:rsid w:val="00166D5D"/>
    <w:rsid w:val="00166E1F"/>
    <w:rsid w:val="00166F6D"/>
    <w:rsid w:val="00166F7E"/>
    <w:rsid w:val="00167078"/>
    <w:rsid w:val="00167289"/>
    <w:rsid w:val="00167488"/>
    <w:rsid w:val="00167650"/>
    <w:rsid w:val="00167761"/>
    <w:rsid w:val="001677AF"/>
    <w:rsid w:val="00167A32"/>
    <w:rsid w:val="00167A4F"/>
    <w:rsid w:val="00167A74"/>
    <w:rsid w:val="00167B1A"/>
    <w:rsid w:val="00167C03"/>
    <w:rsid w:val="00167ED1"/>
    <w:rsid w:val="00167ED9"/>
    <w:rsid w:val="001700FB"/>
    <w:rsid w:val="0017025E"/>
    <w:rsid w:val="00170262"/>
    <w:rsid w:val="00170345"/>
    <w:rsid w:val="00170499"/>
    <w:rsid w:val="001705DB"/>
    <w:rsid w:val="00170624"/>
    <w:rsid w:val="0017065F"/>
    <w:rsid w:val="00170678"/>
    <w:rsid w:val="001706DE"/>
    <w:rsid w:val="00170939"/>
    <w:rsid w:val="00170C79"/>
    <w:rsid w:val="00170DA9"/>
    <w:rsid w:val="001710B6"/>
    <w:rsid w:val="00171132"/>
    <w:rsid w:val="001712D0"/>
    <w:rsid w:val="00171469"/>
    <w:rsid w:val="001715BD"/>
    <w:rsid w:val="0017160C"/>
    <w:rsid w:val="00171737"/>
    <w:rsid w:val="0017177B"/>
    <w:rsid w:val="00171789"/>
    <w:rsid w:val="001717F8"/>
    <w:rsid w:val="00171963"/>
    <w:rsid w:val="00171A14"/>
    <w:rsid w:val="00171C09"/>
    <w:rsid w:val="00171EFD"/>
    <w:rsid w:val="00171FEE"/>
    <w:rsid w:val="001720B9"/>
    <w:rsid w:val="00172185"/>
    <w:rsid w:val="001725C8"/>
    <w:rsid w:val="00172607"/>
    <w:rsid w:val="001726C2"/>
    <w:rsid w:val="00172739"/>
    <w:rsid w:val="00172906"/>
    <w:rsid w:val="00172967"/>
    <w:rsid w:val="001729E9"/>
    <w:rsid w:val="001729F8"/>
    <w:rsid w:val="00172CA4"/>
    <w:rsid w:val="00172DC9"/>
    <w:rsid w:val="00172E91"/>
    <w:rsid w:val="00173052"/>
    <w:rsid w:val="001730DE"/>
    <w:rsid w:val="00173101"/>
    <w:rsid w:val="00173121"/>
    <w:rsid w:val="00173173"/>
    <w:rsid w:val="001731C6"/>
    <w:rsid w:val="001732B0"/>
    <w:rsid w:val="001733A4"/>
    <w:rsid w:val="00173452"/>
    <w:rsid w:val="0017360B"/>
    <w:rsid w:val="001736AC"/>
    <w:rsid w:val="001737AB"/>
    <w:rsid w:val="001737F8"/>
    <w:rsid w:val="00173AD5"/>
    <w:rsid w:val="00173ADC"/>
    <w:rsid w:val="00173D5D"/>
    <w:rsid w:val="00173DE6"/>
    <w:rsid w:val="00173FD4"/>
    <w:rsid w:val="00174122"/>
    <w:rsid w:val="0017417C"/>
    <w:rsid w:val="00174381"/>
    <w:rsid w:val="001744A4"/>
    <w:rsid w:val="001744D4"/>
    <w:rsid w:val="001748F7"/>
    <w:rsid w:val="0017490C"/>
    <w:rsid w:val="0017495B"/>
    <w:rsid w:val="00174B98"/>
    <w:rsid w:val="00174BD2"/>
    <w:rsid w:val="00174CAD"/>
    <w:rsid w:val="00174D8A"/>
    <w:rsid w:val="00174DAD"/>
    <w:rsid w:val="00174EF1"/>
    <w:rsid w:val="00174F62"/>
    <w:rsid w:val="00174FD5"/>
    <w:rsid w:val="00175047"/>
    <w:rsid w:val="001750CA"/>
    <w:rsid w:val="0017515D"/>
    <w:rsid w:val="001751D6"/>
    <w:rsid w:val="00175524"/>
    <w:rsid w:val="00175528"/>
    <w:rsid w:val="00175567"/>
    <w:rsid w:val="0017561B"/>
    <w:rsid w:val="0017572D"/>
    <w:rsid w:val="00175743"/>
    <w:rsid w:val="001757C2"/>
    <w:rsid w:val="00175897"/>
    <w:rsid w:val="00175AD3"/>
    <w:rsid w:val="00175AFB"/>
    <w:rsid w:val="00175B0E"/>
    <w:rsid w:val="00175D83"/>
    <w:rsid w:val="00175EE9"/>
    <w:rsid w:val="00176089"/>
    <w:rsid w:val="001761FA"/>
    <w:rsid w:val="00176281"/>
    <w:rsid w:val="001762DF"/>
    <w:rsid w:val="001763DE"/>
    <w:rsid w:val="00176404"/>
    <w:rsid w:val="001765BB"/>
    <w:rsid w:val="001765FD"/>
    <w:rsid w:val="0017672E"/>
    <w:rsid w:val="00176856"/>
    <w:rsid w:val="00176A4A"/>
    <w:rsid w:val="00176A5D"/>
    <w:rsid w:val="00176A78"/>
    <w:rsid w:val="00176A97"/>
    <w:rsid w:val="00176AF6"/>
    <w:rsid w:val="00176B72"/>
    <w:rsid w:val="00176B8A"/>
    <w:rsid w:val="00176C52"/>
    <w:rsid w:val="00176C58"/>
    <w:rsid w:val="00176C67"/>
    <w:rsid w:val="00176D43"/>
    <w:rsid w:val="00176D48"/>
    <w:rsid w:val="00176E69"/>
    <w:rsid w:val="00176EAB"/>
    <w:rsid w:val="00177031"/>
    <w:rsid w:val="001770B0"/>
    <w:rsid w:val="001775B5"/>
    <w:rsid w:val="0017763C"/>
    <w:rsid w:val="001777A5"/>
    <w:rsid w:val="00177835"/>
    <w:rsid w:val="001778A3"/>
    <w:rsid w:val="001778AB"/>
    <w:rsid w:val="00177A29"/>
    <w:rsid w:val="00177AAB"/>
    <w:rsid w:val="00177B9E"/>
    <w:rsid w:val="00177BA5"/>
    <w:rsid w:val="00177C86"/>
    <w:rsid w:val="00177CF5"/>
    <w:rsid w:val="00177D99"/>
    <w:rsid w:val="00177E05"/>
    <w:rsid w:val="00177E58"/>
    <w:rsid w:val="00177E9E"/>
    <w:rsid w:val="00177FDB"/>
    <w:rsid w:val="001800AD"/>
    <w:rsid w:val="00180217"/>
    <w:rsid w:val="0018026C"/>
    <w:rsid w:val="00180303"/>
    <w:rsid w:val="00180409"/>
    <w:rsid w:val="00180416"/>
    <w:rsid w:val="0018045B"/>
    <w:rsid w:val="001804BB"/>
    <w:rsid w:val="001806DF"/>
    <w:rsid w:val="001807B5"/>
    <w:rsid w:val="001807B8"/>
    <w:rsid w:val="001807C1"/>
    <w:rsid w:val="001807F8"/>
    <w:rsid w:val="00180A47"/>
    <w:rsid w:val="00180BB4"/>
    <w:rsid w:val="00180D03"/>
    <w:rsid w:val="00180D09"/>
    <w:rsid w:val="00180ED1"/>
    <w:rsid w:val="00180ED5"/>
    <w:rsid w:val="001810BB"/>
    <w:rsid w:val="00181213"/>
    <w:rsid w:val="00181482"/>
    <w:rsid w:val="001815D3"/>
    <w:rsid w:val="001816A7"/>
    <w:rsid w:val="0018181B"/>
    <w:rsid w:val="00181950"/>
    <w:rsid w:val="001819E2"/>
    <w:rsid w:val="00181A25"/>
    <w:rsid w:val="00181D07"/>
    <w:rsid w:val="00181D3E"/>
    <w:rsid w:val="00181EB2"/>
    <w:rsid w:val="00181ED7"/>
    <w:rsid w:val="00182046"/>
    <w:rsid w:val="0018216A"/>
    <w:rsid w:val="001821E4"/>
    <w:rsid w:val="00182504"/>
    <w:rsid w:val="001825C3"/>
    <w:rsid w:val="001825CF"/>
    <w:rsid w:val="001826B4"/>
    <w:rsid w:val="00182AC9"/>
    <w:rsid w:val="00182AF5"/>
    <w:rsid w:val="00182B3D"/>
    <w:rsid w:val="00182BB9"/>
    <w:rsid w:val="00182F27"/>
    <w:rsid w:val="00182F57"/>
    <w:rsid w:val="001830C5"/>
    <w:rsid w:val="001833A2"/>
    <w:rsid w:val="001833FB"/>
    <w:rsid w:val="0018343D"/>
    <w:rsid w:val="00183545"/>
    <w:rsid w:val="00183613"/>
    <w:rsid w:val="001839DD"/>
    <w:rsid w:val="00183B0C"/>
    <w:rsid w:val="00183C90"/>
    <w:rsid w:val="00183C9F"/>
    <w:rsid w:val="00183DC0"/>
    <w:rsid w:val="00183E5A"/>
    <w:rsid w:val="00183E82"/>
    <w:rsid w:val="00183E91"/>
    <w:rsid w:val="00183FCA"/>
    <w:rsid w:val="00184082"/>
    <w:rsid w:val="00184368"/>
    <w:rsid w:val="0018453E"/>
    <w:rsid w:val="001846E2"/>
    <w:rsid w:val="00184734"/>
    <w:rsid w:val="00184881"/>
    <w:rsid w:val="001849A0"/>
    <w:rsid w:val="00184AD2"/>
    <w:rsid w:val="00184CE1"/>
    <w:rsid w:val="00184D8E"/>
    <w:rsid w:val="00184F18"/>
    <w:rsid w:val="00184F70"/>
    <w:rsid w:val="001850A5"/>
    <w:rsid w:val="001853DA"/>
    <w:rsid w:val="0018567B"/>
    <w:rsid w:val="001856C7"/>
    <w:rsid w:val="00185720"/>
    <w:rsid w:val="001857E4"/>
    <w:rsid w:val="00185A7F"/>
    <w:rsid w:val="00185B51"/>
    <w:rsid w:val="00185E35"/>
    <w:rsid w:val="00185F7F"/>
    <w:rsid w:val="00185FC3"/>
    <w:rsid w:val="00186082"/>
    <w:rsid w:val="00186139"/>
    <w:rsid w:val="001861E5"/>
    <w:rsid w:val="0018630D"/>
    <w:rsid w:val="001863CF"/>
    <w:rsid w:val="0018661C"/>
    <w:rsid w:val="00186628"/>
    <w:rsid w:val="00186816"/>
    <w:rsid w:val="00186A48"/>
    <w:rsid w:val="00186AC5"/>
    <w:rsid w:val="00186B71"/>
    <w:rsid w:val="00186BAB"/>
    <w:rsid w:val="00186D7A"/>
    <w:rsid w:val="00186DF7"/>
    <w:rsid w:val="00186E38"/>
    <w:rsid w:val="00186EE3"/>
    <w:rsid w:val="001871A4"/>
    <w:rsid w:val="0018745E"/>
    <w:rsid w:val="00187504"/>
    <w:rsid w:val="001877AC"/>
    <w:rsid w:val="001878AF"/>
    <w:rsid w:val="001878DB"/>
    <w:rsid w:val="0018790A"/>
    <w:rsid w:val="00187A80"/>
    <w:rsid w:val="00187AE1"/>
    <w:rsid w:val="00187B8B"/>
    <w:rsid w:val="00187C91"/>
    <w:rsid w:val="00187CA6"/>
    <w:rsid w:val="00187CF7"/>
    <w:rsid w:val="00187E18"/>
    <w:rsid w:val="00190023"/>
    <w:rsid w:val="001904C8"/>
    <w:rsid w:val="001905CA"/>
    <w:rsid w:val="00190621"/>
    <w:rsid w:val="00190630"/>
    <w:rsid w:val="001906C1"/>
    <w:rsid w:val="0019095C"/>
    <w:rsid w:val="00190992"/>
    <w:rsid w:val="001909AF"/>
    <w:rsid w:val="00190AF7"/>
    <w:rsid w:val="00190B00"/>
    <w:rsid w:val="00190B34"/>
    <w:rsid w:val="00190BCB"/>
    <w:rsid w:val="00190D5D"/>
    <w:rsid w:val="00190E07"/>
    <w:rsid w:val="0019129B"/>
    <w:rsid w:val="001912AE"/>
    <w:rsid w:val="00191657"/>
    <w:rsid w:val="001917DD"/>
    <w:rsid w:val="0019181F"/>
    <w:rsid w:val="001918C1"/>
    <w:rsid w:val="00191D15"/>
    <w:rsid w:val="00191E0A"/>
    <w:rsid w:val="001928A0"/>
    <w:rsid w:val="001929D5"/>
    <w:rsid w:val="00192A34"/>
    <w:rsid w:val="00192AAC"/>
    <w:rsid w:val="00192B4B"/>
    <w:rsid w:val="00192C54"/>
    <w:rsid w:val="00192DDC"/>
    <w:rsid w:val="00192E39"/>
    <w:rsid w:val="00192E4F"/>
    <w:rsid w:val="00192E83"/>
    <w:rsid w:val="00193057"/>
    <w:rsid w:val="00193496"/>
    <w:rsid w:val="00193792"/>
    <w:rsid w:val="00193917"/>
    <w:rsid w:val="001939C3"/>
    <w:rsid w:val="00193A87"/>
    <w:rsid w:val="00193A95"/>
    <w:rsid w:val="00193B4F"/>
    <w:rsid w:val="00193BB0"/>
    <w:rsid w:val="00193BD6"/>
    <w:rsid w:val="00193C8B"/>
    <w:rsid w:val="00193D43"/>
    <w:rsid w:val="00193D6C"/>
    <w:rsid w:val="00193EA8"/>
    <w:rsid w:val="00193ED5"/>
    <w:rsid w:val="00193F8D"/>
    <w:rsid w:val="00194231"/>
    <w:rsid w:val="001944B2"/>
    <w:rsid w:val="0019468B"/>
    <w:rsid w:val="001947EC"/>
    <w:rsid w:val="00194897"/>
    <w:rsid w:val="00194978"/>
    <w:rsid w:val="00194A92"/>
    <w:rsid w:val="00194B7D"/>
    <w:rsid w:val="00194C33"/>
    <w:rsid w:val="00194CD0"/>
    <w:rsid w:val="00194E53"/>
    <w:rsid w:val="00194EA2"/>
    <w:rsid w:val="00194FDF"/>
    <w:rsid w:val="00194FE2"/>
    <w:rsid w:val="00195057"/>
    <w:rsid w:val="00195078"/>
    <w:rsid w:val="0019515A"/>
    <w:rsid w:val="00195419"/>
    <w:rsid w:val="0019542E"/>
    <w:rsid w:val="0019546B"/>
    <w:rsid w:val="001956CE"/>
    <w:rsid w:val="00195823"/>
    <w:rsid w:val="00195958"/>
    <w:rsid w:val="00195974"/>
    <w:rsid w:val="00195DDD"/>
    <w:rsid w:val="00195E73"/>
    <w:rsid w:val="00195F82"/>
    <w:rsid w:val="00196087"/>
    <w:rsid w:val="00196199"/>
    <w:rsid w:val="0019624B"/>
    <w:rsid w:val="001962E8"/>
    <w:rsid w:val="00196394"/>
    <w:rsid w:val="0019644B"/>
    <w:rsid w:val="001964BA"/>
    <w:rsid w:val="0019652C"/>
    <w:rsid w:val="001968F1"/>
    <w:rsid w:val="00196923"/>
    <w:rsid w:val="00196A92"/>
    <w:rsid w:val="00196FA9"/>
    <w:rsid w:val="00196FAC"/>
    <w:rsid w:val="00197018"/>
    <w:rsid w:val="001970B2"/>
    <w:rsid w:val="001971D9"/>
    <w:rsid w:val="001972A5"/>
    <w:rsid w:val="0019773E"/>
    <w:rsid w:val="00197C4F"/>
    <w:rsid w:val="00197CBE"/>
    <w:rsid w:val="00197CC9"/>
    <w:rsid w:val="00197DB2"/>
    <w:rsid w:val="00197E49"/>
    <w:rsid w:val="00197F3F"/>
    <w:rsid w:val="001A01B8"/>
    <w:rsid w:val="001A0324"/>
    <w:rsid w:val="001A034B"/>
    <w:rsid w:val="001A051D"/>
    <w:rsid w:val="001A0649"/>
    <w:rsid w:val="001A06A4"/>
    <w:rsid w:val="001A07B6"/>
    <w:rsid w:val="001A0811"/>
    <w:rsid w:val="001A084F"/>
    <w:rsid w:val="001A08D4"/>
    <w:rsid w:val="001A0AD2"/>
    <w:rsid w:val="001A0AE6"/>
    <w:rsid w:val="001A0BC2"/>
    <w:rsid w:val="001A0C02"/>
    <w:rsid w:val="001A0D35"/>
    <w:rsid w:val="001A0E91"/>
    <w:rsid w:val="001A0F85"/>
    <w:rsid w:val="001A0FCD"/>
    <w:rsid w:val="001A15A2"/>
    <w:rsid w:val="001A18FA"/>
    <w:rsid w:val="001A1944"/>
    <w:rsid w:val="001A1976"/>
    <w:rsid w:val="001A1B49"/>
    <w:rsid w:val="001A1BB7"/>
    <w:rsid w:val="001A1D45"/>
    <w:rsid w:val="001A1EEE"/>
    <w:rsid w:val="001A1F65"/>
    <w:rsid w:val="001A21F9"/>
    <w:rsid w:val="001A225D"/>
    <w:rsid w:val="001A2443"/>
    <w:rsid w:val="001A24E7"/>
    <w:rsid w:val="001A25FF"/>
    <w:rsid w:val="001A26D6"/>
    <w:rsid w:val="001A26ED"/>
    <w:rsid w:val="001A2A71"/>
    <w:rsid w:val="001A2A7C"/>
    <w:rsid w:val="001A2ADA"/>
    <w:rsid w:val="001A2B92"/>
    <w:rsid w:val="001A2BFE"/>
    <w:rsid w:val="001A2CA7"/>
    <w:rsid w:val="001A2CC1"/>
    <w:rsid w:val="001A2EA4"/>
    <w:rsid w:val="001A2F39"/>
    <w:rsid w:val="001A31AB"/>
    <w:rsid w:val="001A3231"/>
    <w:rsid w:val="001A3317"/>
    <w:rsid w:val="001A3748"/>
    <w:rsid w:val="001A37B9"/>
    <w:rsid w:val="001A3E6C"/>
    <w:rsid w:val="001A42EE"/>
    <w:rsid w:val="001A4328"/>
    <w:rsid w:val="001A44DF"/>
    <w:rsid w:val="001A456A"/>
    <w:rsid w:val="001A481D"/>
    <w:rsid w:val="001A489E"/>
    <w:rsid w:val="001A4918"/>
    <w:rsid w:val="001A49BD"/>
    <w:rsid w:val="001A4A9A"/>
    <w:rsid w:val="001A4EC6"/>
    <w:rsid w:val="001A4EF0"/>
    <w:rsid w:val="001A4F72"/>
    <w:rsid w:val="001A4F8B"/>
    <w:rsid w:val="001A4FB0"/>
    <w:rsid w:val="001A4FEB"/>
    <w:rsid w:val="001A5031"/>
    <w:rsid w:val="001A505E"/>
    <w:rsid w:val="001A52AF"/>
    <w:rsid w:val="001A5361"/>
    <w:rsid w:val="001A5587"/>
    <w:rsid w:val="001A5634"/>
    <w:rsid w:val="001A5BA0"/>
    <w:rsid w:val="001A5BBF"/>
    <w:rsid w:val="001A5BEE"/>
    <w:rsid w:val="001A5CEA"/>
    <w:rsid w:val="001A5E1F"/>
    <w:rsid w:val="001A5E6B"/>
    <w:rsid w:val="001A5E8C"/>
    <w:rsid w:val="001A621F"/>
    <w:rsid w:val="001A6231"/>
    <w:rsid w:val="001A6246"/>
    <w:rsid w:val="001A6262"/>
    <w:rsid w:val="001A6754"/>
    <w:rsid w:val="001A69FB"/>
    <w:rsid w:val="001A6B38"/>
    <w:rsid w:val="001A6B61"/>
    <w:rsid w:val="001A6D3C"/>
    <w:rsid w:val="001A6D55"/>
    <w:rsid w:val="001A6D6C"/>
    <w:rsid w:val="001A6E06"/>
    <w:rsid w:val="001A6E19"/>
    <w:rsid w:val="001A6E94"/>
    <w:rsid w:val="001A6E9A"/>
    <w:rsid w:val="001A6F33"/>
    <w:rsid w:val="001A6F58"/>
    <w:rsid w:val="001A6F6A"/>
    <w:rsid w:val="001A6FE3"/>
    <w:rsid w:val="001A7132"/>
    <w:rsid w:val="001A7150"/>
    <w:rsid w:val="001A7164"/>
    <w:rsid w:val="001A729B"/>
    <w:rsid w:val="001A742A"/>
    <w:rsid w:val="001A7471"/>
    <w:rsid w:val="001A763C"/>
    <w:rsid w:val="001A7770"/>
    <w:rsid w:val="001A7819"/>
    <w:rsid w:val="001A7C16"/>
    <w:rsid w:val="001A7C4D"/>
    <w:rsid w:val="001A7C89"/>
    <w:rsid w:val="001A7CA5"/>
    <w:rsid w:val="001A7D79"/>
    <w:rsid w:val="001A7D9F"/>
    <w:rsid w:val="001A7DD4"/>
    <w:rsid w:val="001A7E96"/>
    <w:rsid w:val="001A7FC7"/>
    <w:rsid w:val="001B00ED"/>
    <w:rsid w:val="001B0361"/>
    <w:rsid w:val="001B0474"/>
    <w:rsid w:val="001B05FB"/>
    <w:rsid w:val="001B078A"/>
    <w:rsid w:val="001B0852"/>
    <w:rsid w:val="001B0A77"/>
    <w:rsid w:val="001B0C5D"/>
    <w:rsid w:val="001B0C88"/>
    <w:rsid w:val="001B0DE7"/>
    <w:rsid w:val="001B0FAD"/>
    <w:rsid w:val="001B0FC1"/>
    <w:rsid w:val="001B10CD"/>
    <w:rsid w:val="001B1355"/>
    <w:rsid w:val="001B13CB"/>
    <w:rsid w:val="001B1475"/>
    <w:rsid w:val="001B147A"/>
    <w:rsid w:val="001B1774"/>
    <w:rsid w:val="001B1866"/>
    <w:rsid w:val="001B18EE"/>
    <w:rsid w:val="001B19DE"/>
    <w:rsid w:val="001B1A1C"/>
    <w:rsid w:val="001B1BC2"/>
    <w:rsid w:val="001B1CF4"/>
    <w:rsid w:val="001B1D7E"/>
    <w:rsid w:val="001B20D0"/>
    <w:rsid w:val="001B238B"/>
    <w:rsid w:val="001B248C"/>
    <w:rsid w:val="001B255C"/>
    <w:rsid w:val="001B289E"/>
    <w:rsid w:val="001B2924"/>
    <w:rsid w:val="001B2B02"/>
    <w:rsid w:val="001B2BFA"/>
    <w:rsid w:val="001B2C80"/>
    <w:rsid w:val="001B2E51"/>
    <w:rsid w:val="001B2ED7"/>
    <w:rsid w:val="001B3115"/>
    <w:rsid w:val="001B324A"/>
    <w:rsid w:val="001B339F"/>
    <w:rsid w:val="001B34EB"/>
    <w:rsid w:val="001B35BD"/>
    <w:rsid w:val="001B3612"/>
    <w:rsid w:val="001B3629"/>
    <w:rsid w:val="001B3913"/>
    <w:rsid w:val="001B3A02"/>
    <w:rsid w:val="001B3BCB"/>
    <w:rsid w:val="001B3CD0"/>
    <w:rsid w:val="001B3E1B"/>
    <w:rsid w:val="001B3ED1"/>
    <w:rsid w:val="001B3F18"/>
    <w:rsid w:val="001B3FD6"/>
    <w:rsid w:val="001B4035"/>
    <w:rsid w:val="001B4062"/>
    <w:rsid w:val="001B42BD"/>
    <w:rsid w:val="001B46F3"/>
    <w:rsid w:val="001B476A"/>
    <w:rsid w:val="001B47FA"/>
    <w:rsid w:val="001B49AA"/>
    <w:rsid w:val="001B49BA"/>
    <w:rsid w:val="001B4A1A"/>
    <w:rsid w:val="001B4BA9"/>
    <w:rsid w:val="001B4BB1"/>
    <w:rsid w:val="001B4C7E"/>
    <w:rsid w:val="001B4CDA"/>
    <w:rsid w:val="001B4D4A"/>
    <w:rsid w:val="001B4D55"/>
    <w:rsid w:val="001B4DE6"/>
    <w:rsid w:val="001B50F6"/>
    <w:rsid w:val="001B551E"/>
    <w:rsid w:val="001B56A8"/>
    <w:rsid w:val="001B5AB4"/>
    <w:rsid w:val="001B5B69"/>
    <w:rsid w:val="001B5B6A"/>
    <w:rsid w:val="001B5C30"/>
    <w:rsid w:val="001B5C40"/>
    <w:rsid w:val="001B61D3"/>
    <w:rsid w:val="001B6277"/>
    <w:rsid w:val="001B630C"/>
    <w:rsid w:val="001B6463"/>
    <w:rsid w:val="001B64F2"/>
    <w:rsid w:val="001B67FD"/>
    <w:rsid w:val="001B6877"/>
    <w:rsid w:val="001B6A98"/>
    <w:rsid w:val="001B6B03"/>
    <w:rsid w:val="001B6ED0"/>
    <w:rsid w:val="001B704F"/>
    <w:rsid w:val="001B7081"/>
    <w:rsid w:val="001B7164"/>
    <w:rsid w:val="001B716E"/>
    <w:rsid w:val="001B71BB"/>
    <w:rsid w:val="001B723A"/>
    <w:rsid w:val="001B7333"/>
    <w:rsid w:val="001B7416"/>
    <w:rsid w:val="001B750B"/>
    <w:rsid w:val="001B7560"/>
    <w:rsid w:val="001B75DD"/>
    <w:rsid w:val="001B7734"/>
    <w:rsid w:val="001B794E"/>
    <w:rsid w:val="001B7B77"/>
    <w:rsid w:val="001B7BF7"/>
    <w:rsid w:val="001B7C1A"/>
    <w:rsid w:val="001B7CAD"/>
    <w:rsid w:val="001B7D51"/>
    <w:rsid w:val="001B7E83"/>
    <w:rsid w:val="001B7EC3"/>
    <w:rsid w:val="001C0379"/>
    <w:rsid w:val="001C078C"/>
    <w:rsid w:val="001C07FB"/>
    <w:rsid w:val="001C0973"/>
    <w:rsid w:val="001C09BD"/>
    <w:rsid w:val="001C09C0"/>
    <w:rsid w:val="001C0A1F"/>
    <w:rsid w:val="001C0AB9"/>
    <w:rsid w:val="001C0BBF"/>
    <w:rsid w:val="001C0C47"/>
    <w:rsid w:val="001C0D62"/>
    <w:rsid w:val="001C0E6E"/>
    <w:rsid w:val="001C0EA5"/>
    <w:rsid w:val="001C0F71"/>
    <w:rsid w:val="001C102E"/>
    <w:rsid w:val="001C12F1"/>
    <w:rsid w:val="001C1504"/>
    <w:rsid w:val="001C16B5"/>
    <w:rsid w:val="001C16FA"/>
    <w:rsid w:val="001C1986"/>
    <w:rsid w:val="001C1A0C"/>
    <w:rsid w:val="001C1B04"/>
    <w:rsid w:val="001C1BEF"/>
    <w:rsid w:val="001C1E2F"/>
    <w:rsid w:val="001C1FB1"/>
    <w:rsid w:val="001C1FF4"/>
    <w:rsid w:val="001C2331"/>
    <w:rsid w:val="001C271B"/>
    <w:rsid w:val="001C29F1"/>
    <w:rsid w:val="001C2C02"/>
    <w:rsid w:val="001C2D6D"/>
    <w:rsid w:val="001C2E78"/>
    <w:rsid w:val="001C2EAF"/>
    <w:rsid w:val="001C31EF"/>
    <w:rsid w:val="001C323E"/>
    <w:rsid w:val="001C32D2"/>
    <w:rsid w:val="001C3317"/>
    <w:rsid w:val="001C34B8"/>
    <w:rsid w:val="001C34FC"/>
    <w:rsid w:val="001C35BE"/>
    <w:rsid w:val="001C3731"/>
    <w:rsid w:val="001C37E2"/>
    <w:rsid w:val="001C392E"/>
    <w:rsid w:val="001C39CE"/>
    <w:rsid w:val="001C3ACF"/>
    <w:rsid w:val="001C3ADB"/>
    <w:rsid w:val="001C3AE8"/>
    <w:rsid w:val="001C3C31"/>
    <w:rsid w:val="001C3C55"/>
    <w:rsid w:val="001C3E38"/>
    <w:rsid w:val="001C3F26"/>
    <w:rsid w:val="001C3FE0"/>
    <w:rsid w:val="001C41B7"/>
    <w:rsid w:val="001C4305"/>
    <w:rsid w:val="001C4346"/>
    <w:rsid w:val="001C4461"/>
    <w:rsid w:val="001C44F7"/>
    <w:rsid w:val="001C458A"/>
    <w:rsid w:val="001C4645"/>
    <w:rsid w:val="001C479D"/>
    <w:rsid w:val="001C4918"/>
    <w:rsid w:val="001C4947"/>
    <w:rsid w:val="001C4CC6"/>
    <w:rsid w:val="001C4CCF"/>
    <w:rsid w:val="001C4EF8"/>
    <w:rsid w:val="001C4FA8"/>
    <w:rsid w:val="001C4FE8"/>
    <w:rsid w:val="001C5044"/>
    <w:rsid w:val="001C5067"/>
    <w:rsid w:val="001C5150"/>
    <w:rsid w:val="001C5238"/>
    <w:rsid w:val="001C52DF"/>
    <w:rsid w:val="001C532E"/>
    <w:rsid w:val="001C53C1"/>
    <w:rsid w:val="001C53F3"/>
    <w:rsid w:val="001C5431"/>
    <w:rsid w:val="001C5497"/>
    <w:rsid w:val="001C5747"/>
    <w:rsid w:val="001C577D"/>
    <w:rsid w:val="001C582D"/>
    <w:rsid w:val="001C5849"/>
    <w:rsid w:val="001C5A76"/>
    <w:rsid w:val="001C5E6F"/>
    <w:rsid w:val="001C5F41"/>
    <w:rsid w:val="001C6032"/>
    <w:rsid w:val="001C60DE"/>
    <w:rsid w:val="001C622B"/>
    <w:rsid w:val="001C625E"/>
    <w:rsid w:val="001C6278"/>
    <w:rsid w:val="001C652F"/>
    <w:rsid w:val="001C66CA"/>
    <w:rsid w:val="001C681C"/>
    <w:rsid w:val="001C68A9"/>
    <w:rsid w:val="001C6952"/>
    <w:rsid w:val="001C6977"/>
    <w:rsid w:val="001C6986"/>
    <w:rsid w:val="001C6B5C"/>
    <w:rsid w:val="001C6C8A"/>
    <w:rsid w:val="001C6CE9"/>
    <w:rsid w:val="001C6D64"/>
    <w:rsid w:val="001C702A"/>
    <w:rsid w:val="001C70B1"/>
    <w:rsid w:val="001C719D"/>
    <w:rsid w:val="001C7273"/>
    <w:rsid w:val="001C729B"/>
    <w:rsid w:val="001C7432"/>
    <w:rsid w:val="001C744A"/>
    <w:rsid w:val="001C76BE"/>
    <w:rsid w:val="001C773D"/>
    <w:rsid w:val="001C77F1"/>
    <w:rsid w:val="001C78C7"/>
    <w:rsid w:val="001C7927"/>
    <w:rsid w:val="001C7BE6"/>
    <w:rsid w:val="001C7C42"/>
    <w:rsid w:val="001C7CCB"/>
    <w:rsid w:val="001C7DCF"/>
    <w:rsid w:val="001C7E9B"/>
    <w:rsid w:val="001D0455"/>
    <w:rsid w:val="001D0603"/>
    <w:rsid w:val="001D06F2"/>
    <w:rsid w:val="001D07B7"/>
    <w:rsid w:val="001D0D50"/>
    <w:rsid w:val="001D10E9"/>
    <w:rsid w:val="001D11D5"/>
    <w:rsid w:val="001D127E"/>
    <w:rsid w:val="001D12D4"/>
    <w:rsid w:val="001D1336"/>
    <w:rsid w:val="001D1580"/>
    <w:rsid w:val="001D19EE"/>
    <w:rsid w:val="001D1B82"/>
    <w:rsid w:val="001D1C12"/>
    <w:rsid w:val="001D1D46"/>
    <w:rsid w:val="001D1D60"/>
    <w:rsid w:val="001D1E1B"/>
    <w:rsid w:val="001D215B"/>
    <w:rsid w:val="001D218B"/>
    <w:rsid w:val="001D21AD"/>
    <w:rsid w:val="001D21B8"/>
    <w:rsid w:val="001D21DB"/>
    <w:rsid w:val="001D21F7"/>
    <w:rsid w:val="001D223E"/>
    <w:rsid w:val="001D2308"/>
    <w:rsid w:val="001D2343"/>
    <w:rsid w:val="001D25BF"/>
    <w:rsid w:val="001D2774"/>
    <w:rsid w:val="001D2864"/>
    <w:rsid w:val="001D2BA3"/>
    <w:rsid w:val="001D2CE1"/>
    <w:rsid w:val="001D2EF3"/>
    <w:rsid w:val="001D2EF4"/>
    <w:rsid w:val="001D2FB2"/>
    <w:rsid w:val="001D31FD"/>
    <w:rsid w:val="001D3263"/>
    <w:rsid w:val="001D32C6"/>
    <w:rsid w:val="001D3441"/>
    <w:rsid w:val="001D34BB"/>
    <w:rsid w:val="001D358A"/>
    <w:rsid w:val="001D359F"/>
    <w:rsid w:val="001D35DE"/>
    <w:rsid w:val="001D364E"/>
    <w:rsid w:val="001D3763"/>
    <w:rsid w:val="001D37C1"/>
    <w:rsid w:val="001D38A7"/>
    <w:rsid w:val="001D3B0A"/>
    <w:rsid w:val="001D3CC7"/>
    <w:rsid w:val="001D3D04"/>
    <w:rsid w:val="001D3FDB"/>
    <w:rsid w:val="001D4171"/>
    <w:rsid w:val="001D440D"/>
    <w:rsid w:val="001D4586"/>
    <w:rsid w:val="001D4702"/>
    <w:rsid w:val="001D48F3"/>
    <w:rsid w:val="001D4967"/>
    <w:rsid w:val="001D4B17"/>
    <w:rsid w:val="001D4B6E"/>
    <w:rsid w:val="001D4CC6"/>
    <w:rsid w:val="001D4CFB"/>
    <w:rsid w:val="001D4DF7"/>
    <w:rsid w:val="001D4E17"/>
    <w:rsid w:val="001D51C5"/>
    <w:rsid w:val="001D51EA"/>
    <w:rsid w:val="001D52D5"/>
    <w:rsid w:val="001D53DC"/>
    <w:rsid w:val="001D5504"/>
    <w:rsid w:val="001D553E"/>
    <w:rsid w:val="001D554E"/>
    <w:rsid w:val="001D56C8"/>
    <w:rsid w:val="001D5B07"/>
    <w:rsid w:val="001D5B1E"/>
    <w:rsid w:val="001D5C04"/>
    <w:rsid w:val="001D5C87"/>
    <w:rsid w:val="001D5D5D"/>
    <w:rsid w:val="001D5D6B"/>
    <w:rsid w:val="001D5DC8"/>
    <w:rsid w:val="001D5F71"/>
    <w:rsid w:val="001D5F7A"/>
    <w:rsid w:val="001D6176"/>
    <w:rsid w:val="001D61A5"/>
    <w:rsid w:val="001D61EA"/>
    <w:rsid w:val="001D6334"/>
    <w:rsid w:val="001D633A"/>
    <w:rsid w:val="001D6466"/>
    <w:rsid w:val="001D6534"/>
    <w:rsid w:val="001D663F"/>
    <w:rsid w:val="001D679B"/>
    <w:rsid w:val="001D6995"/>
    <w:rsid w:val="001D6C45"/>
    <w:rsid w:val="001D7354"/>
    <w:rsid w:val="001D73FB"/>
    <w:rsid w:val="001D7732"/>
    <w:rsid w:val="001D7916"/>
    <w:rsid w:val="001D79B5"/>
    <w:rsid w:val="001D7AF2"/>
    <w:rsid w:val="001D7AF6"/>
    <w:rsid w:val="001D7BDF"/>
    <w:rsid w:val="001D7CBA"/>
    <w:rsid w:val="001D7DB3"/>
    <w:rsid w:val="001D7F5C"/>
    <w:rsid w:val="001E0270"/>
    <w:rsid w:val="001E0584"/>
    <w:rsid w:val="001E071D"/>
    <w:rsid w:val="001E07B6"/>
    <w:rsid w:val="001E0B73"/>
    <w:rsid w:val="001E0DB9"/>
    <w:rsid w:val="001E0DFE"/>
    <w:rsid w:val="001E0DFF"/>
    <w:rsid w:val="001E0EEE"/>
    <w:rsid w:val="001E0F99"/>
    <w:rsid w:val="001E0FD0"/>
    <w:rsid w:val="001E0FED"/>
    <w:rsid w:val="001E10D0"/>
    <w:rsid w:val="001E12C3"/>
    <w:rsid w:val="001E12CB"/>
    <w:rsid w:val="001E1395"/>
    <w:rsid w:val="001E159E"/>
    <w:rsid w:val="001E15BC"/>
    <w:rsid w:val="001E16A7"/>
    <w:rsid w:val="001E16F4"/>
    <w:rsid w:val="001E174E"/>
    <w:rsid w:val="001E17E9"/>
    <w:rsid w:val="001E1827"/>
    <w:rsid w:val="001E184B"/>
    <w:rsid w:val="001E184F"/>
    <w:rsid w:val="001E19EE"/>
    <w:rsid w:val="001E1AAB"/>
    <w:rsid w:val="001E1B81"/>
    <w:rsid w:val="001E1D5C"/>
    <w:rsid w:val="001E1D86"/>
    <w:rsid w:val="001E1DEC"/>
    <w:rsid w:val="001E1E69"/>
    <w:rsid w:val="001E1F3F"/>
    <w:rsid w:val="001E1F6E"/>
    <w:rsid w:val="001E211A"/>
    <w:rsid w:val="001E21EE"/>
    <w:rsid w:val="001E22DF"/>
    <w:rsid w:val="001E2322"/>
    <w:rsid w:val="001E2418"/>
    <w:rsid w:val="001E2477"/>
    <w:rsid w:val="001E26D7"/>
    <w:rsid w:val="001E290E"/>
    <w:rsid w:val="001E2A30"/>
    <w:rsid w:val="001E2BC0"/>
    <w:rsid w:val="001E2C5A"/>
    <w:rsid w:val="001E2D3B"/>
    <w:rsid w:val="001E2D78"/>
    <w:rsid w:val="001E2E13"/>
    <w:rsid w:val="001E30FD"/>
    <w:rsid w:val="001E314B"/>
    <w:rsid w:val="001E3910"/>
    <w:rsid w:val="001E3BC3"/>
    <w:rsid w:val="001E3C15"/>
    <w:rsid w:val="001E3EA3"/>
    <w:rsid w:val="001E420F"/>
    <w:rsid w:val="001E4263"/>
    <w:rsid w:val="001E4272"/>
    <w:rsid w:val="001E432B"/>
    <w:rsid w:val="001E4454"/>
    <w:rsid w:val="001E44B3"/>
    <w:rsid w:val="001E460A"/>
    <w:rsid w:val="001E4834"/>
    <w:rsid w:val="001E4874"/>
    <w:rsid w:val="001E497B"/>
    <w:rsid w:val="001E4987"/>
    <w:rsid w:val="001E49DE"/>
    <w:rsid w:val="001E49FE"/>
    <w:rsid w:val="001E4A4D"/>
    <w:rsid w:val="001E4B74"/>
    <w:rsid w:val="001E4EA4"/>
    <w:rsid w:val="001E4FB9"/>
    <w:rsid w:val="001E4FDD"/>
    <w:rsid w:val="001E5168"/>
    <w:rsid w:val="001E519D"/>
    <w:rsid w:val="001E52C4"/>
    <w:rsid w:val="001E536B"/>
    <w:rsid w:val="001E53DD"/>
    <w:rsid w:val="001E5421"/>
    <w:rsid w:val="001E56C3"/>
    <w:rsid w:val="001E5872"/>
    <w:rsid w:val="001E58A6"/>
    <w:rsid w:val="001E5C44"/>
    <w:rsid w:val="001E5C65"/>
    <w:rsid w:val="001E5D5C"/>
    <w:rsid w:val="001E5FC1"/>
    <w:rsid w:val="001E60B1"/>
    <w:rsid w:val="001E61AF"/>
    <w:rsid w:val="001E636C"/>
    <w:rsid w:val="001E65B6"/>
    <w:rsid w:val="001E665D"/>
    <w:rsid w:val="001E666D"/>
    <w:rsid w:val="001E66A3"/>
    <w:rsid w:val="001E6751"/>
    <w:rsid w:val="001E67CA"/>
    <w:rsid w:val="001E6818"/>
    <w:rsid w:val="001E69CE"/>
    <w:rsid w:val="001E6B03"/>
    <w:rsid w:val="001E6C80"/>
    <w:rsid w:val="001E6D4B"/>
    <w:rsid w:val="001E6DE2"/>
    <w:rsid w:val="001E6EEE"/>
    <w:rsid w:val="001E6F4D"/>
    <w:rsid w:val="001E6F85"/>
    <w:rsid w:val="001E72BD"/>
    <w:rsid w:val="001E73B3"/>
    <w:rsid w:val="001E748A"/>
    <w:rsid w:val="001E74C8"/>
    <w:rsid w:val="001E7732"/>
    <w:rsid w:val="001E780D"/>
    <w:rsid w:val="001E78C1"/>
    <w:rsid w:val="001E7C34"/>
    <w:rsid w:val="001E7C5E"/>
    <w:rsid w:val="001E7E03"/>
    <w:rsid w:val="001E7E2B"/>
    <w:rsid w:val="001E7F44"/>
    <w:rsid w:val="001E7FF7"/>
    <w:rsid w:val="001F01BE"/>
    <w:rsid w:val="001F024D"/>
    <w:rsid w:val="001F02BC"/>
    <w:rsid w:val="001F048B"/>
    <w:rsid w:val="001F053D"/>
    <w:rsid w:val="001F0751"/>
    <w:rsid w:val="001F0763"/>
    <w:rsid w:val="001F08DF"/>
    <w:rsid w:val="001F0B51"/>
    <w:rsid w:val="001F0C00"/>
    <w:rsid w:val="001F0CEE"/>
    <w:rsid w:val="001F0CF4"/>
    <w:rsid w:val="001F0EDA"/>
    <w:rsid w:val="001F0F46"/>
    <w:rsid w:val="001F10EE"/>
    <w:rsid w:val="001F11EF"/>
    <w:rsid w:val="001F134F"/>
    <w:rsid w:val="001F136B"/>
    <w:rsid w:val="001F13DC"/>
    <w:rsid w:val="001F154D"/>
    <w:rsid w:val="001F1589"/>
    <w:rsid w:val="001F190B"/>
    <w:rsid w:val="001F1A10"/>
    <w:rsid w:val="001F1AD5"/>
    <w:rsid w:val="001F1B29"/>
    <w:rsid w:val="001F1E44"/>
    <w:rsid w:val="001F1ED7"/>
    <w:rsid w:val="001F1F4C"/>
    <w:rsid w:val="001F1FD3"/>
    <w:rsid w:val="001F1FF8"/>
    <w:rsid w:val="001F221C"/>
    <w:rsid w:val="001F2257"/>
    <w:rsid w:val="001F234B"/>
    <w:rsid w:val="001F248D"/>
    <w:rsid w:val="001F2573"/>
    <w:rsid w:val="001F263A"/>
    <w:rsid w:val="001F272A"/>
    <w:rsid w:val="001F28F1"/>
    <w:rsid w:val="001F2A51"/>
    <w:rsid w:val="001F2A6C"/>
    <w:rsid w:val="001F2AF1"/>
    <w:rsid w:val="001F2E0F"/>
    <w:rsid w:val="001F2F1B"/>
    <w:rsid w:val="001F2F2C"/>
    <w:rsid w:val="001F2F93"/>
    <w:rsid w:val="001F323F"/>
    <w:rsid w:val="001F3383"/>
    <w:rsid w:val="001F3388"/>
    <w:rsid w:val="001F3676"/>
    <w:rsid w:val="001F38DC"/>
    <w:rsid w:val="001F39BD"/>
    <w:rsid w:val="001F3B1D"/>
    <w:rsid w:val="001F3B55"/>
    <w:rsid w:val="001F3CB7"/>
    <w:rsid w:val="001F3CC0"/>
    <w:rsid w:val="001F3EF9"/>
    <w:rsid w:val="001F3F5F"/>
    <w:rsid w:val="001F3F8B"/>
    <w:rsid w:val="001F41CC"/>
    <w:rsid w:val="001F41D6"/>
    <w:rsid w:val="001F470D"/>
    <w:rsid w:val="001F4797"/>
    <w:rsid w:val="001F491B"/>
    <w:rsid w:val="001F497F"/>
    <w:rsid w:val="001F4BF2"/>
    <w:rsid w:val="001F4CDC"/>
    <w:rsid w:val="001F4E50"/>
    <w:rsid w:val="001F5026"/>
    <w:rsid w:val="001F5165"/>
    <w:rsid w:val="001F528B"/>
    <w:rsid w:val="001F5A64"/>
    <w:rsid w:val="001F5A9C"/>
    <w:rsid w:val="001F5B0A"/>
    <w:rsid w:val="001F5BFB"/>
    <w:rsid w:val="001F5D95"/>
    <w:rsid w:val="001F5E2E"/>
    <w:rsid w:val="001F5EAC"/>
    <w:rsid w:val="001F6092"/>
    <w:rsid w:val="001F6156"/>
    <w:rsid w:val="001F6235"/>
    <w:rsid w:val="001F631A"/>
    <w:rsid w:val="001F6383"/>
    <w:rsid w:val="001F64CD"/>
    <w:rsid w:val="001F66C5"/>
    <w:rsid w:val="001F6753"/>
    <w:rsid w:val="001F691D"/>
    <w:rsid w:val="001F6A5E"/>
    <w:rsid w:val="001F6B16"/>
    <w:rsid w:val="001F6BA7"/>
    <w:rsid w:val="001F6C97"/>
    <w:rsid w:val="001F6F2F"/>
    <w:rsid w:val="001F704E"/>
    <w:rsid w:val="001F70AE"/>
    <w:rsid w:val="001F71BC"/>
    <w:rsid w:val="001F71F6"/>
    <w:rsid w:val="001F73F6"/>
    <w:rsid w:val="001F76F2"/>
    <w:rsid w:val="001F77C7"/>
    <w:rsid w:val="001F79CC"/>
    <w:rsid w:val="001F7A6B"/>
    <w:rsid w:val="001F7A93"/>
    <w:rsid w:val="001F7AC7"/>
    <w:rsid w:val="001F7AE1"/>
    <w:rsid w:val="001F7B0E"/>
    <w:rsid w:val="001F7BC3"/>
    <w:rsid w:val="001F7D6A"/>
    <w:rsid w:val="001F7DDB"/>
    <w:rsid w:val="001F7EEF"/>
    <w:rsid w:val="001F7EF0"/>
    <w:rsid w:val="001F7F70"/>
    <w:rsid w:val="002000C9"/>
    <w:rsid w:val="002002CF"/>
    <w:rsid w:val="002004CB"/>
    <w:rsid w:val="0020050D"/>
    <w:rsid w:val="00200591"/>
    <w:rsid w:val="00200694"/>
    <w:rsid w:val="002007D4"/>
    <w:rsid w:val="002007D7"/>
    <w:rsid w:val="002007E9"/>
    <w:rsid w:val="0020084F"/>
    <w:rsid w:val="0020095C"/>
    <w:rsid w:val="002009A9"/>
    <w:rsid w:val="002009E7"/>
    <w:rsid w:val="00200A24"/>
    <w:rsid w:val="00200AE5"/>
    <w:rsid w:val="00200B55"/>
    <w:rsid w:val="00200EA9"/>
    <w:rsid w:val="00200F0E"/>
    <w:rsid w:val="0020120D"/>
    <w:rsid w:val="00201294"/>
    <w:rsid w:val="002012A9"/>
    <w:rsid w:val="00201378"/>
    <w:rsid w:val="002013F8"/>
    <w:rsid w:val="00201400"/>
    <w:rsid w:val="0020152F"/>
    <w:rsid w:val="0020166A"/>
    <w:rsid w:val="00201721"/>
    <w:rsid w:val="0020173A"/>
    <w:rsid w:val="00201776"/>
    <w:rsid w:val="00201A5F"/>
    <w:rsid w:val="00201B4D"/>
    <w:rsid w:val="00201D22"/>
    <w:rsid w:val="00201DF0"/>
    <w:rsid w:val="00201E6A"/>
    <w:rsid w:val="00201E94"/>
    <w:rsid w:val="0020204B"/>
    <w:rsid w:val="00202084"/>
    <w:rsid w:val="002022EF"/>
    <w:rsid w:val="00202423"/>
    <w:rsid w:val="00202504"/>
    <w:rsid w:val="00202506"/>
    <w:rsid w:val="002025B0"/>
    <w:rsid w:val="00202630"/>
    <w:rsid w:val="002026C7"/>
    <w:rsid w:val="002027BA"/>
    <w:rsid w:val="002029A5"/>
    <w:rsid w:val="00202B8C"/>
    <w:rsid w:val="0020318F"/>
    <w:rsid w:val="002031C7"/>
    <w:rsid w:val="00203298"/>
    <w:rsid w:val="002034CC"/>
    <w:rsid w:val="00203662"/>
    <w:rsid w:val="0020379F"/>
    <w:rsid w:val="002037BF"/>
    <w:rsid w:val="002038A4"/>
    <w:rsid w:val="002039C8"/>
    <w:rsid w:val="00203ACC"/>
    <w:rsid w:val="00203C89"/>
    <w:rsid w:val="00203D80"/>
    <w:rsid w:val="00203E67"/>
    <w:rsid w:val="00203F2B"/>
    <w:rsid w:val="002040AE"/>
    <w:rsid w:val="002041C3"/>
    <w:rsid w:val="0020424C"/>
    <w:rsid w:val="002042D3"/>
    <w:rsid w:val="002043E9"/>
    <w:rsid w:val="0020441F"/>
    <w:rsid w:val="00204464"/>
    <w:rsid w:val="00204683"/>
    <w:rsid w:val="002046CE"/>
    <w:rsid w:val="0020483F"/>
    <w:rsid w:val="002048BD"/>
    <w:rsid w:val="002048F1"/>
    <w:rsid w:val="0020499C"/>
    <w:rsid w:val="00204AE6"/>
    <w:rsid w:val="00204B60"/>
    <w:rsid w:val="00204CAD"/>
    <w:rsid w:val="00204CD7"/>
    <w:rsid w:val="00204D1D"/>
    <w:rsid w:val="00204DC3"/>
    <w:rsid w:val="00204DD4"/>
    <w:rsid w:val="00204EFE"/>
    <w:rsid w:val="00205022"/>
    <w:rsid w:val="002051E3"/>
    <w:rsid w:val="00205316"/>
    <w:rsid w:val="0020553B"/>
    <w:rsid w:val="00205806"/>
    <w:rsid w:val="00205B44"/>
    <w:rsid w:val="00205BF8"/>
    <w:rsid w:val="00205D2A"/>
    <w:rsid w:val="00205DA8"/>
    <w:rsid w:val="00205E5C"/>
    <w:rsid w:val="002060A5"/>
    <w:rsid w:val="002061AA"/>
    <w:rsid w:val="0020630F"/>
    <w:rsid w:val="00206402"/>
    <w:rsid w:val="00206487"/>
    <w:rsid w:val="002066E0"/>
    <w:rsid w:val="0020688F"/>
    <w:rsid w:val="002069EF"/>
    <w:rsid w:val="00206B6E"/>
    <w:rsid w:val="00206E4B"/>
    <w:rsid w:val="00206E80"/>
    <w:rsid w:val="00206E8D"/>
    <w:rsid w:val="0020713D"/>
    <w:rsid w:val="00207297"/>
    <w:rsid w:val="002072DF"/>
    <w:rsid w:val="0020744D"/>
    <w:rsid w:val="002074D9"/>
    <w:rsid w:val="00207669"/>
    <w:rsid w:val="002078F8"/>
    <w:rsid w:val="00207975"/>
    <w:rsid w:val="00207980"/>
    <w:rsid w:val="00207A76"/>
    <w:rsid w:val="00207BD9"/>
    <w:rsid w:val="00207D42"/>
    <w:rsid w:val="00207E83"/>
    <w:rsid w:val="002105D6"/>
    <w:rsid w:val="00210987"/>
    <w:rsid w:val="00210A89"/>
    <w:rsid w:val="00210BAE"/>
    <w:rsid w:val="00210C03"/>
    <w:rsid w:val="00210F15"/>
    <w:rsid w:val="00210FBB"/>
    <w:rsid w:val="0021111A"/>
    <w:rsid w:val="002112EB"/>
    <w:rsid w:val="00211436"/>
    <w:rsid w:val="00211498"/>
    <w:rsid w:val="00211A17"/>
    <w:rsid w:val="00211C17"/>
    <w:rsid w:val="00211C57"/>
    <w:rsid w:val="00211CE2"/>
    <w:rsid w:val="00211DA3"/>
    <w:rsid w:val="002120AA"/>
    <w:rsid w:val="0021210A"/>
    <w:rsid w:val="002121DC"/>
    <w:rsid w:val="00212202"/>
    <w:rsid w:val="0021234A"/>
    <w:rsid w:val="0021242C"/>
    <w:rsid w:val="0021243B"/>
    <w:rsid w:val="0021265E"/>
    <w:rsid w:val="00212CA4"/>
    <w:rsid w:val="00212CF3"/>
    <w:rsid w:val="00212DEC"/>
    <w:rsid w:val="00212EB0"/>
    <w:rsid w:val="00212EC9"/>
    <w:rsid w:val="00212F82"/>
    <w:rsid w:val="00213319"/>
    <w:rsid w:val="0021332E"/>
    <w:rsid w:val="00213330"/>
    <w:rsid w:val="0021351B"/>
    <w:rsid w:val="0021368D"/>
    <w:rsid w:val="002136A6"/>
    <w:rsid w:val="002136DC"/>
    <w:rsid w:val="002137FA"/>
    <w:rsid w:val="00213CD6"/>
    <w:rsid w:val="00213E5D"/>
    <w:rsid w:val="002141EF"/>
    <w:rsid w:val="0021428A"/>
    <w:rsid w:val="002144AE"/>
    <w:rsid w:val="00214509"/>
    <w:rsid w:val="00214526"/>
    <w:rsid w:val="00214949"/>
    <w:rsid w:val="002149C9"/>
    <w:rsid w:val="00214A69"/>
    <w:rsid w:val="00214B0B"/>
    <w:rsid w:val="00214B71"/>
    <w:rsid w:val="00214BCC"/>
    <w:rsid w:val="00214DD1"/>
    <w:rsid w:val="00214EDC"/>
    <w:rsid w:val="00214FC3"/>
    <w:rsid w:val="00214FEF"/>
    <w:rsid w:val="0021516C"/>
    <w:rsid w:val="00215177"/>
    <w:rsid w:val="00215197"/>
    <w:rsid w:val="002153EB"/>
    <w:rsid w:val="002154B4"/>
    <w:rsid w:val="00215663"/>
    <w:rsid w:val="00215825"/>
    <w:rsid w:val="00215980"/>
    <w:rsid w:val="002159FC"/>
    <w:rsid w:val="00215B62"/>
    <w:rsid w:val="00215C1A"/>
    <w:rsid w:val="00215CA0"/>
    <w:rsid w:val="00215D68"/>
    <w:rsid w:val="00215E10"/>
    <w:rsid w:val="00215E86"/>
    <w:rsid w:val="00215FC8"/>
    <w:rsid w:val="00215FFA"/>
    <w:rsid w:val="00216218"/>
    <w:rsid w:val="00216242"/>
    <w:rsid w:val="0021633B"/>
    <w:rsid w:val="00216350"/>
    <w:rsid w:val="002163DC"/>
    <w:rsid w:val="002164E2"/>
    <w:rsid w:val="00216510"/>
    <w:rsid w:val="00216522"/>
    <w:rsid w:val="00216551"/>
    <w:rsid w:val="0021656E"/>
    <w:rsid w:val="0021674D"/>
    <w:rsid w:val="00216773"/>
    <w:rsid w:val="0021686D"/>
    <w:rsid w:val="00216966"/>
    <w:rsid w:val="002169C6"/>
    <w:rsid w:val="00216A0D"/>
    <w:rsid w:val="00216AD5"/>
    <w:rsid w:val="00216B34"/>
    <w:rsid w:val="00216C35"/>
    <w:rsid w:val="00216CDE"/>
    <w:rsid w:val="00216E0A"/>
    <w:rsid w:val="00216F47"/>
    <w:rsid w:val="00217038"/>
    <w:rsid w:val="0021711F"/>
    <w:rsid w:val="002171BD"/>
    <w:rsid w:val="002174A9"/>
    <w:rsid w:val="002174DE"/>
    <w:rsid w:val="002177D5"/>
    <w:rsid w:val="00217BC2"/>
    <w:rsid w:val="00217C9D"/>
    <w:rsid w:val="00217E12"/>
    <w:rsid w:val="00217EFB"/>
    <w:rsid w:val="00217FE4"/>
    <w:rsid w:val="00220368"/>
    <w:rsid w:val="00220386"/>
    <w:rsid w:val="0022042F"/>
    <w:rsid w:val="002204E7"/>
    <w:rsid w:val="002205BC"/>
    <w:rsid w:val="00220658"/>
    <w:rsid w:val="0022088F"/>
    <w:rsid w:val="0022098F"/>
    <w:rsid w:val="00220B59"/>
    <w:rsid w:val="00220BCA"/>
    <w:rsid w:val="00220C94"/>
    <w:rsid w:val="00220CD8"/>
    <w:rsid w:val="00220DD5"/>
    <w:rsid w:val="00220F02"/>
    <w:rsid w:val="002210F3"/>
    <w:rsid w:val="002212ED"/>
    <w:rsid w:val="002213C5"/>
    <w:rsid w:val="00221555"/>
    <w:rsid w:val="00221774"/>
    <w:rsid w:val="00221942"/>
    <w:rsid w:val="00221BAF"/>
    <w:rsid w:val="00221C31"/>
    <w:rsid w:val="00221DAF"/>
    <w:rsid w:val="00221E41"/>
    <w:rsid w:val="00222018"/>
    <w:rsid w:val="00222238"/>
    <w:rsid w:val="00222258"/>
    <w:rsid w:val="002222A0"/>
    <w:rsid w:val="002222F3"/>
    <w:rsid w:val="002223C4"/>
    <w:rsid w:val="002223E4"/>
    <w:rsid w:val="00222442"/>
    <w:rsid w:val="00222634"/>
    <w:rsid w:val="002227E7"/>
    <w:rsid w:val="0022281B"/>
    <w:rsid w:val="00222AE8"/>
    <w:rsid w:val="00222AF2"/>
    <w:rsid w:val="00222B05"/>
    <w:rsid w:val="00222B64"/>
    <w:rsid w:val="00222B95"/>
    <w:rsid w:val="00222EBA"/>
    <w:rsid w:val="00222F46"/>
    <w:rsid w:val="002231D0"/>
    <w:rsid w:val="002232D6"/>
    <w:rsid w:val="00223360"/>
    <w:rsid w:val="00223659"/>
    <w:rsid w:val="00223785"/>
    <w:rsid w:val="0022383B"/>
    <w:rsid w:val="002238BB"/>
    <w:rsid w:val="00223934"/>
    <w:rsid w:val="00223A86"/>
    <w:rsid w:val="00223B1A"/>
    <w:rsid w:val="00223BA5"/>
    <w:rsid w:val="00223CC3"/>
    <w:rsid w:val="00223D3E"/>
    <w:rsid w:val="00223D90"/>
    <w:rsid w:val="00223ED1"/>
    <w:rsid w:val="0022414D"/>
    <w:rsid w:val="00224169"/>
    <w:rsid w:val="00224319"/>
    <w:rsid w:val="00224330"/>
    <w:rsid w:val="00224361"/>
    <w:rsid w:val="00224382"/>
    <w:rsid w:val="002246B0"/>
    <w:rsid w:val="00224893"/>
    <w:rsid w:val="0022490F"/>
    <w:rsid w:val="00224D33"/>
    <w:rsid w:val="00225197"/>
    <w:rsid w:val="002251FF"/>
    <w:rsid w:val="00225287"/>
    <w:rsid w:val="00225377"/>
    <w:rsid w:val="0022537D"/>
    <w:rsid w:val="002255A9"/>
    <w:rsid w:val="0022565A"/>
    <w:rsid w:val="002256BB"/>
    <w:rsid w:val="00225862"/>
    <w:rsid w:val="00225A30"/>
    <w:rsid w:val="00225A7E"/>
    <w:rsid w:val="00225AAB"/>
    <w:rsid w:val="00225C01"/>
    <w:rsid w:val="00225C02"/>
    <w:rsid w:val="00225CC7"/>
    <w:rsid w:val="00225CFC"/>
    <w:rsid w:val="00225DDA"/>
    <w:rsid w:val="00225F21"/>
    <w:rsid w:val="00225F29"/>
    <w:rsid w:val="00225F42"/>
    <w:rsid w:val="00225F4B"/>
    <w:rsid w:val="00226153"/>
    <w:rsid w:val="00226314"/>
    <w:rsid w:val="002266BE"/>
    <w:rsid w:val="002267A4"/>
    <w:rsid w:val="002267C8"/>
    <w:rsid w:val="002269B1"/>
    <w:rsid w:val="00226A63"/>
    <w:rsid w:val="00226ACA"/>
    <w:rsid w:val="00226F13"/>
    <w:rsid w:val="00226F46"/>
    <w:rsid w:val="00226FFB"/>
    <w:rsid w:val="002270F2"/>
    <w:rsid w:val="00227178"/>
    <w:rsid w:val="002271C9"/>
    <w:rsid w:val="00227234"/>
    <w:rsid w:val="002273AE"/>
    <w:rsid w:val="00227497"/>
    <w:rsid w:val="002274D5"/>
    <w:rsid w:val="00227587"/>
    <w:rsid w:val="002275CC"/>
    <w:rsid w:val="00227841"/>
    <w:rsid w:val="002278AD"/>
    <w:rsid w:val="002278D2"/>
    <w:rsid w:val="00227A85"/>
    <w:rsid w:val="00227B54"/>
    <w:rsid w:val="00227D1B"/>
    <w:rsid w:val="00227DBE"/>
    <w:rsid w:val="00227EEB"/>
    <w:rsid w:val="00227F1E"/>
    <w:rsid w:val="0023034D"/>
    <w:rsid w:val="002303CB"/>
    <w:rsid w:val="00230443"/>
    <w:rsid w:val="002304F9"/>
    <w:rsid w:val="002306E2"/>
    <w:rsid w:val="002308B0"/>
    <w:rsid w:val="00230ABC"/>
    <w:rsid w:val="00230B08"/>
    <w:rsid w:val="00230B0C"/>
    <w:rsid w:val="00230B4C"/>
    <w:rsid w:val="00230BAB"/>
    <w:rsid w:val="00230C13"/>
    <w:rsid w:val="00230C60"/>
    <w:rsid w:val="00230E7E"/>
    <w:rsid w:val="00230EF6"/>
    <w:rsid w:val="00231071"/>
    <w:rsid w:val="002311EA"/>
    <w:rsid w:val="002311EF"/>
    <w:rsid w:val="0023124C"/>
    <w:rsid w:val="00231654"/>
    <w:rsid w:val="0023182F"/>
    <w:rsid w:val="0023186A"/>
    <w:rsid w:val="00231AB0"/>
    <w:rsid w:val="00231B24"/>
    <w:rsid w:val="00231D2D"/>
    <w:rsid w:val="00231E2A"/>
    <w:rsid w:val="0023209F"/>
    <w:rsid w:val="002320FD"/>
    <w:rsid w:val="0023212C"/>
    <w:rsid w:val="0023213A"/>
    <w:rsid w:val="0023219D"/>
    <w:rsid w:val="0023242C"/>
    <w:rsid w:val="00232571"/>
    <w:rsid w:val="002325A9"/>
    <w:rsid w:val="0023286A"/>
    <w:rsid w:val="00232ADF"/>
    <w:rsid w:val="00232B8E"/>
    <w:rsid w:val="00232BD3"/>
    <w:rsid w:val="00232BF5"/>
    <w:rsid w:val="00232D48"/>
    <w:rsid w:val="00232D7E"/>
    <w:rsid w:val="00232EB8"/>
    <w:rsid w:val="00232EFB"/>
    <w:rsid w:val="00232F9F"/>
    <w:rsid w:val="00233279"/>
    <w:rsid w:val="00233307"/>
    <w:rsid w:val="002333B3"/>
    <w:rsid w:val="002333D9"/>
    <w:rsid w:val="0023342E"/>
    <w:rsid w:val="00233468"/>
    <w:rsid w:val="002337B3"/>
    <w:rsid w:val="00233938"/>
    <w:rsid w:val="0023393B"/>
    <w:rsid w:val="00233C07"/>
    <w:rsid w:val="00233C2D"/>
    <w:rsid w:val="00233CF0"/>
    <w:rsid w:val="00233EDA"/>
    <w:rsid w:val="00233FF0"/>
    <w:rsid w:val="00234729"/>
    <w:rsid w:val="00234B3B"/>
    <w:rsid w:val="00234C5B"/>
    <w:rsid w:val="00234C7C"/>
    <w:rsid w:val="00234FE8"/>
    <w:rsid w:val="002350C4"/>
    <w:rsid w:val="00235201"/>
    <w:rsid w:val="00235407"/>
    <w:rsid w:val="00235417"/>
    <w:rsid w:val="002357EB"/>
    <w:rsid w:val="00235941"/>
    <w:rsid w:val="0023598A"/>
    <w:rsid w:val="002359E9"/>
    <w:rsid w:val="00235A80"/>
    <w:rsid w:val="00235E42"/>
    <w:rsid w:val="002361B0"/>
    <w:rsid w:val="00236271"/>
    <w:rsid w:val="002362A1"/>
    <w:rsid w:val="002362C0"/>
    <w:rsid w:val="0023631A"/>
    <w:rsid w:val="002365C2"/>
    <w:rsid w:val="0023661E"/>
    <w:rsid w:val="0023666D"/>
    <w:rsid w:val="0023670C"/>
    <w:rsid w:val="00236999"/>
    <w:rsid w:val="002369D1"/>
    <w:rsid w:val="002369FB"/>
    <w:rsid w:val="00236A95"/>
    <w:rsid w:val="00236ADF"/>
    <w:rsid w:val="00236BBF"/>
    <w:rsid w:val="00236BC5"/>
    <w:rsid w:val="00236DDA"/>
    <w:rsid w:val="00236E94"/>
    <w:rsid w:val="00236FC0"/>
    <w:rsid w:val="00236FCC"/>
    <w:rsid w:val="002371DD"/>
    <w:rsid w:val="002374A7"/>
    <w:rsid w:val="00237668"/>
    <w:rsid w:val="0023772F"/>
    <w:rsid w:val="002378B0"/>
    <w:rsid w:val="002378B1"/>
    <w:rsid w:val="00237A56"/>
    <w:rsid w:val="00237A64"/>
    <w:rsid w:val="00237E02"/>
    <w:rsid w:val="00240363"/>
    <w:rsid w:val="00240474"/>
    <w:rsid w:val="00240493"/>
    <w:rsid w:val="00240544"/>
    <w:rsid w:val="00240612"/>
    <w:rsid w:val="00240817"/>
    <w:rsid w:val="00240BD3"/>
    <w:rsid w:val="00240E27"/>
    <w:rsid w:val="00240ED6"/>
    <w:rsid w:val="00241145"/>
    <w:rsid w:val="00241206"/>
    <w:rsid w:val="002412B5"/>
    <w:rsid w:val="002414BB"/>
    <w:rsid w:val="00241584"/>
    <w:rsid w:val="002416E8"/>
    <w:rsid w:val="002416FD"/>
    <w:rsid w:val="002417EB"/>
    <w:rsid w:val="0024181B"/>
    <w:rsid w:val="00241B6F"/>
    <w:rsid w:val="00241C49"/>
    <w:rsid w:val="00241C5B"/>
    <w:rsid w:val="00241CCD"/>
    <w:rsid w:val="0024217D"/>
    <w:rsid w:val="0024219D"/>
    <w:rsid w:val="0024241F"/>
    <w:rsid w:val="002424E6"/>
    <w:rsid w:val="002426A1"/>
    <w:rsid w:val="00242854"/>
    <w:rsid w:val="002428CF"/>
    <w:rsid w:val="00242965"/>
    <w:rsid w:val="00242B16"/>
    <w:rsid w:val="00242B3B"/>
    <w:rsid w:val="00242B69"/>
    <w:rsid w:val="00242C0C"/>
    <w:rsid w:val="00242C9E"/>
    <w:rsid w:val="00242CBD"/>
    <w:rsid w:val="00242E26"/>
    <w:rsid w:val="00242FD1"/>
    <w:rsid w:val="00242FFE"/>
    <w:rsid w:val="0024313E"/>
    <w:rsid w:val="00243208"/>
    <w:rsid w:val="0024327E"/>
    <w:rsid w:val="00243831"/>
    <w:rsid w:val="002439AF"/>
    <w:rsid w:val="00243AA5"/>
    <w:rsid w:val="00243BEC"/>
    <w:rsid w:val="00243D71"/>
    <w:rsid w:val="00243DAC"/>
    <w:rsid w:val="00243F99"/>
    <w:rsid w:val="0024474F"/>
    <w:rsid w:val="002447C2"/>
    <w:rsid w:val="002449C7"/>
    <w:rsid w:val="00244A38"/>
    <w:rsid w:val="00244A8A"/>
    <w:rsid w:val="00244AE0"/>
    <w:rsid w:val="00244F2A"/>
    <w:rsid w:val="002452EB"/>
    <w:rsid w:val="0024578A"/>
    <w:rsid w:val="002458A9"/>
    <w:rsid w:val="0024596A"/>
    <w:rsid w:val="00245A57"/>
    <w:rsid w:val="00245B5A"/>
    <w:rsid w:val="00245D4F"/>
    <w:rsid w:val="00245DBE"/>
    <w:rsid w:val="00245DD1"/>
    <w:rsid w:val="00245E3C"/>
    <w:rsid w:val="00245E88"/>
    <w:rsid w:val="00245EB7"/>
    <w:rsid w:val="00245EBA"/>
    <w:rsid w:val="00246148"/>
    <w:rsid w:val="00246192"/>
    <w:rsid w:val="002468A9"/>
    <w:rsid w:val="00246C0E"/>
    <w:rsid w:val="00246C1B"/>
    <w:rsid w:val="00246E0D"/>
    <w:rsid w:val="00246F2B"/>
    <w:rsid w:val="00247117"/>
    <w:rsid w:val="00247120"/>
    <w:rsid w:val="00247203"/>
    <w:rsid w:val="00247232"/>
    <w:rsid w:val="00247298"/>
    <w:rsid w:val="002472DA"/>
    <w:rsid w:val="0024738D"/>
    <w:rsid w:val="00247427"/>
    <w:rsid w:val="002475B4"/>
    <w:rsid w:val="0024762A"/>
    <w:rsid w:val="002476C2"/>
    <w:rsid w:val="0024774C"/>
    <w:rsid w:val="00247A19"/>
    <w:rsid w:val="00247B24"/>
    <w:rsid w:val="00247D28"/>
    <w:rsid w:val="00247F97"/>
    <w:rsid w:val="00250099"/>
    <w:rsid w:val="00250104"/>
    <w:rsid w:val="00250515"/>
    <w:rsid w:val="002506DC"/>
    <w:rsid w:val="0025072A"/>
    <w:rsid w:val="002507D9"/>
    <w:rsid w:val="002507FB"/>
    <w:rsid w:val="0025086E"/>
    <w:rsid w:val="00250975"/>
    <w:rsid w:val="002509FC"/>
    <w:rsid w:val="00250BA0"/>
    <w:rsid w:val="002510D7"/>
    <w:rsid w:val="00251218"/>
    <w:rsid w:val="00251430"/>
    <w:rsid w:val="00251628"/>
    <w:rsid w:val="00251A94"/>
    <w:rsid w:val="00251B2B"/>
    <w:rsid w:val="00251B5C"/>
    <w:rsid w:val="00251D88"/>
    <w:rsid w:val="00251E41"/>
    <w:rsid w:val="00251EA5"/>
    <w:rsid w:val="00251FDF"/>
    <w:rsid w:val="00251FEF"/>
    <w:rsid w:val="002523EB"/>
    <w:rsid w:val="002525E1"/>
    <w:rsid w:val="002526E8"/>
    <w:rsid w:val="002527AA"/>
    <w:rsid w:val="00252853"/>
    <w:rsid w:val="002528A0"/>
    <w:rsid w:val="0025292D"/>
    <w:rsid w:val="00252989"/>
    <w:rsid w:val="002529B1"/>
    <w:rsid w:val="00252A33"/>
    <w:rsid w:val="00252A52"/>
    <w:rsid w:val="00252AD1"/>
    <w:rsid w:val="00252C57"/>
    <w:rsid w:val="00252D20"/>
    <w:rsid w:val="00252D8D"/>
    <w:rsid w:val="00252DFA"/>
    <w:rsid w:val="00252EDC"/>
    <w:rsid w:val="00252EF6"/>
    <w:rsid w:val="00252F8E"/>
    <w:rsid w:val="00252FBE"/>
    <w:rsid w:val="00252FF4"/>
    <w:rsid w:val="00253161"/>
    <w:rsid w:val="00253185"/>
    <w:rsid w:val="002531D3"/>
    <w:rsid w:val="002531D8"/>
    <w:rsid w:val="002534C1"/>
    <w:rsid w:val="002535DE"/>
    <w:rsid w:val="0025384D"/>
    <w:rsid w:val="002538D1"/>
    <w:rsid w:val="00253D82"/>
    <w:rsid w:val="00253E27"/>
    <w:rsid w:val="00253F7B"/>
    <w:rsid w:val="00253FF3"/>
    <w:rsid w:val="00254022"/>
    <w:rsid w:val="0025423C"/>
    <w:rsid w:val="00254251"/>
    <w:rsid w:val="002543B7"/>
    <w:rsid w:val="00254697"/>
    <w:rsid w:val="002546C7"/>
    <w:rsid w:val="002546E2"/>
    <w:rsid w:val="002547A2"/>
    <w:rsid w:val="00254868"/>
    <w:rsid w:val="00254A85"/>
    <w:rsid w:val="00254B8D"/>
    <w:rsid w:val="00254BA7"/>
    <w:rsid w:val="00254C2B"/>
    <w:rsid w:val="00254CB2"/>
    <w:rsid w:val="00254F90"/>
    <w:rsid w:val="00255199"/>
    <w:rsid w:val="002551DE"/>
    <w:rsid w:val="002552DC"/>
    <w:rsid w:val="00255529"/>
    <w:rsid w:val="0025588F"/>
    <w:rsid w:val="00255A36"/>
    <w:rsid w:val="00255B38"/>
    <w:rsid w:val="00255B41"/>
    <w:rsid w:val="00255B9E"/>
    <w:rsid w:val="00255EEA"/>
    <w:rsid w:val="00255F29"/>
    <w:rsid w:val="00255FBA"/>
    <w:rsid w:val="00256188"/>
    <w:rsid w:val="002563A5"/>
    <w:rsid w:val="002563D4"/>
    <w:rsid w:val="00256464"/>
    <w:rsid w:val="002565C3"/>
    <w:rsid w:val="0025689B"/>
    <w:rsid w:val="002569D2"/>
    <w:rsid w:val="00256A31"/>
    <w:rsid w:val="00256A46"/>
    <w:rsid w:val="00256B75"/>
    <w:rsid w:val="00256BB8"/>
    <w:rsid w:val="00256DE5"/>
    <w:rsid w:val="0025719A"/>
    <w:rsid w:val="0025732F"/>
    <w:rsid w:val="0025738F"/>
    <w:rsid w:val="00257479"/>
    <w:rsid w:val="002574BC"/>
    <w:rsid w:val="00257583"/>
    <w:rsid w:val="002575BA"/>
    <w:rsid w:val="002575D6"/>
    <w:rsid w:val="00257643"/>
    <w:rsid w:val="0025798B"/>
    <w:rsid w:val="00257E48"/>
    <w:rsid w:val="00257F09"/>
    <w:rsid w:val="00257F84"/>
    <w:rsid w:val="00257FBA"/>
    <w:rsid w:val="002602A8"/>
    <w:rsid w:val="00260314"/>
    <w:rsid w:val="002604A3"/>
    <w:rsid w:val="00260543"/>
    <w:rsid w:val="0026078A"/>
    <w:rsid w:val="002609CD"/>
    <w:rsid w:val="00260CD6"/>
    <w:rsid w:val="00260DCC"/>
    <w:rsid w:val="00261307"/>
    <w:rsid w:val="0026135C"/>
    <w:rsid w:val="00261364"/>
    <w:rsid w:val="00261438"/>
    <w:rsid w:val="002617F4"/>
    <w:rsid w:val="0026189E"/>
    <w:rsid w:val="00261937"/>
    <w:rsid w:val="00261B75"/>
    <w:rsid w:val="00261BDB"/>
    <w:rsid w:val="00261CCD"/>
    <w:rsid w:val="00261D0D"/>
    <w:rsid w:val="0026202F"/>
    <w:rsid w:val="0026214B"/>
    <w:rsid w:val="0026225A"/>
    <w:rsid w:val="002622C3"/>
    <w:rsid w:val="002626A2"/>
    <w:rsid w:val="0026270A"/>
    <w:rsid w:val="0026299D"/>
    <w:rsid w:val="00262B76"/>
    <w:rsid w:val="00262B8A"/>
    <w:rsid w:val="00262F49"/>
    <w:rsid w:val="00263097"/>
    <w:rsid w:val="002631A5"/>
    <w:rsid w:val="002634C9"/>
    <w:rsid w:val="002635A0"/>
    <w:rsid w:val="00263655"/>
    <w:rsid w:val="002638E4"/>
    <w:rsid w:val="002638E5"/>
    <w:rsid w:val="00263A15"/>
    <w:rsid w:val="00263BA9"/>
    <w:rsid w:val="00263CEF"/>
    <w:rsid w:val="00263D7F"/>
    <w:rsid w:val="00263E0D"/>
    <w:rsid w:val="00263F08"/>
    <w:rsid w:val="00264057"/>
    <w:rsid w:val="00264088"/>
    <w:rsid w:val="00264164"/>
    <w:rsid w:val="0026424E"/>
    <w:rsid w:val="0026437C"/>
    <w:rsid w:val="00264683"/>
    <w:rsid w:val="00264890"/>
    <w:rsid w:val="00264986"/>
    <w:rsid w:val="00264A00"/>
    <w:rsid w:val="00264AB3"/>
    <w:rsid w:val="00264BCF"/>
    <w:rsid w:val="00264C2A"/>
    <w:rsid w:val="00264E02"/>
    <w:rsid w:val="00264E64"/>
    <w:rsid w:val="0026513A"/>
    <w:rsid w:val="002651D8"/>
    <w:rsid w:val="00265466"/>
    <w:rsid w:val="00265517"/>
    <w:rsid w:val="00265569"/>
    <w:rsid w:val="002656C7"/>
    <w:rsid w:val="002658A4"/>
    <w:rsid w:val="00265AC0"/>
    <w:rsid w:val="00265BDC"/>
    <w:rsid w:val="00265C19"/>
    <w:rsid w:val="00265C65"/>
    <w:rsid w:val="00265D67"/>
    <w:rsid w:val="00265DCE"/>
    <w:rsid w:val="00265FA3"/>
    <w:rsid w:val="00266007"/>
    <w:rsid w:val="00266017"/>
    <w:rsid w:val="00266594"/>
    <w:rsid w:val="00266636"/>
    <w:rsid w:val="00266642"/>
    <w:rsid w:val="00266652"/>
    <w:rsid w:val="002666D0"/>
    <w:rsid w:val="00266701"/>
    <w:rsid w:val="00266775"/>
    <w:rsid w:val="0026677C"/>
    <w:rsid w:val="00266B30"/>
    <w:rsid w:val="00266C07"/>
    <w:rsid w:val="002670F4"/>
    <w:rsid w:val="00267142"/>
    <w:rsid w:val="002671E4"/>
    <w:rsid w:val="00267225"/>
    <w:rsid w:val="00267626"/>
    <w:rsid w:val="00267772"/>
    <w:rsid w:val="00267832"/>
    <w:rsid w:val="00267B9D"/>
    <w:rsid w:val="00267C73"/>
    <w:rsid w:val="00267CDD"/>
    <w:rsid w:val="00267DE6"/>
    <w:rsid w:val="00267E9A"/>
    <w:rsid w:val="002701CB"/>
    <w:rsid w:val="002701FD"/>
    <w:rsid w:val="00270303"/>
    <w:rsid w:val="0027039D"/>
    <w:rsid w:val="00270842"/>
    <w:rsid w:val="002708D7"/>
    <w:rsid w:val="00270B0F"/>
    <w:rsid w:val="00270B5B"/>
    <w:rsid w:val="00270C4B"/>
    <w:rsid w:val="00270D12"/>
    <w:rsid w:val="00270E44"/>
    <w:rsid w:val="0027156B"/>
    <w:rsid w:val="00271648"/>
    <w:rsid w:val="00271674"/>
    <w:rsid w:val="002716B4"/>
    <w:rsid w:val="00271826"/>
    <w:rsid w:val="00271AC3"/>
    <w:rsid w:val="00271BB7"/>
    <w:rsid w:val="00271C32"/>
    <w:rsid w:val="00271D96"/>
    <w:rsid w:val="00271F56"/>
    <w:rsid w:val="0027223B"/>
    <w:rsid w:val="002722E8"/>
    <w:rsid w:val="0027236E"/>
    <w:rsid w:val="002724B2"/>
    <w:rsid w:val="002728E1"/>
    <w:rsid w:val="00272974"/>
    <w:rsid w:val="00272B24"/>
    <w:rsid w:val="00272B88"/>
    <w:rsid w:val="00272C7E"/>
    <w:rsid w:val="00272D0E"/>
    <w:rsid w:val="00272E7D"/>
    <w:rsid w:val="00273016"/>
    <w:rsid w:val="002733E4"/>
    <w:rsid w:val="002734FE"/>
    <w:rsid w:val="00273569"/>
    <w:rsid w:val="002736A2"/>
    <w:rsid w:val="00273713"/>
    <w:rsid w:val="0027383F"/>
    <w:rsid w:val="002739C7"/>
    <w:rsid w:val="00273A59"/>
    <w:rsid w:val="00273B2D"/>
    <w:rsid w:val="00273C63"/>
    <w:rsid w:val="00273D8A"/>
    <w:rsid w:val="00273D97"/>
    <w:rsid w:val="00273E1D"/>
    <w:rsid w:val="00273E9F"/>
    <w:rsid w:val="00273F10"/>
    <w:rsid w:val="0027402C"/>
    <w:rsid w:val="002740E5"/>
    <w:rsid w:val="00274120"/>
    <w:rsid w:val="00274294"/>
    <w:rsid w:val="00274380"/>
    <w:rsid w:val="002743CE"/>
    <w:rsid w:val="002743D3"/>
    <w:rsid w:val="002744B7"/>
    <w:rsid w:val="00274587"/>
    <w:rsid w:val="002747A8"/>
    <w:rsid w:val="002747FD"/>
    <w:rsid w:val="00274926"/>
    <w:rsid w:val="0027492A"/>
    <w:rsid w:val="00274A7C"/>
    <w:rsid w:val="00274A9E"/>
    <w:rsid w:val="00274BC1"/>
    <w:rsid w:val="00274D07"/>
    <w:rsid w:val="00274DD7"/>
    <w:rsid w:val="00274EAC"/>
    <w:rsid w:val="00274EC6"/>
    <w:rsid w:val="00274F38"/>
    <w:rsid w:val="00275005"/>
    <w:rsid w:val="002751CD"/>
    <w:rsid w:val="002753A2"/>
    <w:rsid w:val="0027544C"/>
    <w:rsid w:val="00275558"/>
    <w:rsid w:val="00275605"/>
    <w:rsid w:val="0027570D"/>
    <w:rsid w:val="002757C3"/>
    <w:rsid w:val="002758E1"/>
    <w:rsid w:val="00275AFB"/>
    <w:rsid w:val="00275BDD"/>
    <w:rsid w:val="00275BF4"/>
    <w:rsid w:val="00275D35"/>
    <w:rsid w:val="00275D65"/>
    <w:rsid w:val="00275E58"/>
    <w:rsid w:val="00275EBA"/>
    <w:rsid w:val="0027600C"/>
    <w:rsid w:val="0027616C"/>
    <w:rsid w:val="0027617C"/>
    <w:rsid w:val="0027618F"/>
    <w:rsid w:val="00276281"/>
    <w:rsid w:val="0027629C"/>
    <w:rsid w:val="002766AA"/>
    <w:rsid w:val="00276B84"/>
    <w:rsid w:val="00276BD1"/>
    <w:rsid w:val="00276E09"/>
    <w:rsid w:val="00276E83"/>
    <w:rsid w:val="00276F5C"/>
    <w:rsid w:val="00276FCB"/>
    <w:rsid w:val="002772E2"/>
    <w:rsid w:val="002773A7"/>
    <w:rsid w:val="0027744C"/>
    <w:rsid w:val="00277531"/>
    <w:rsid w:val="00277574"/>
    <w:rsid w:val="002776A7"/>
    <w:rsid w:val="0027799A"/>
    <w:rsid w:val="00277C8F"/>
    <w:rsid w:val="00277D10"/>
    <w:rsid w:val="00277FAD"/>
    <w:rsid w:val="00280030"/>
    <w:rsid w:val="00280101"/>
    <w:rsid w:val="002801A6"/>
    <w:rsid w:val="002801D4"/>
    <w:rsid w:val="00280375"/>
    <w:rsid w:val="002808EA"/>
    <w:rsid w:val="00280A58"/>
    <w:rsid w:val="00280B17"/>
    <w:rsid w:val="00280B49"/>
    <w:rsid w:val="00280BC5"/>
    <w:rsid w:val="00280CA6"/>
    <w:rsid w:val="00280F30"/>
    <w:rsid w:val="00281035"/>
    <w:rsid w:val="0028107C"/>
    <w:rsid w:val="002810F7"/>
    <w:rsid w:val="00281144"/>
    <w:rsid w:val="0028136B"/>
    <w:rsid w:val="002815D9"/>
    <w:rsid w:val="0028165A"/>
    <w:rsid w:val="0028167C"/>
    <w:rsid w:val="0028172E"/>
    <w:rsid w:val="00281749"/>
    <w:rsid w:val="002817CC"/>
    <w:rsid w:val="0028193E"/>
    <w:rsid w:val="002819BC"/>
    <w:rsid w:val="00281A29"/>
    <w:rsid w:val="00281A7A"/>
    <w:rsid w:val="00281AD9"/>
    <w:rsid w:val="00281CA6"/>
    <w:rsid w:val="00281F54"/>
    <w:rsid w:val="00281F73"/>
    <w:rsid w:val="00281F82"/>
    <w:rsid w:val="00282325"/>
    <w:rsid w:val="0028241C"/>
    <w:rsid w:val="002825A7"/>
    <w:rsid w:val="0028261D"/>
    <w:rsid w:val="00282705"/>
    <w:rsid w:val="0028276D"/>
    <w:rsid w:val="00282782"/>
    <w:rsid w:val="0028285B"/>
    <w:rsid w:val="002829F1"/>
    <w:rsid w:val="00282A19"/>
    <w:rsid w:val="00282D9E"/>
    <w:rsid w:val="00282DFF"/>
    <w:rsid w:val="00282E25"/>
    <w:rsid w:val="002831E1"/>
    <w:rsid w:val="00283545"/>
    <w:rsid w:val="002835B8"/>
    <w:rsid w:val="002836BD"/>
    <w:rsid w:val="002836EF"/>
    <w:rsid w:val="002838B2"/>
    <w:rsid w:val="00283925"/>
    <w:rsid w:val="00283AC8"/>
    <w:rsid w:val="00283D81"/>
    <w:rsid w:val="00283E22"/>
    <w:rsid w:val="00283F9A"/>
    <w:rsid w:val="0028412B"/>
    <w:rsid w:val="0028415F"/>
    <w:rsid w:val="00284266"/>
    <w:rsid w:val="00284272"/>
    <w:rsid w:val="00284350"/>
    <w:rsid w:val="002846AD"/>
    <w:rsid w:val="002846B8"/>
    <w:rsid w:val="00284717"/>
    <w:rsid w:val="0028473A"/>
    <w:rsid w:val="00284766"/>
    <w:rsid w:val="002849E8"/>
    <w:rsid w:val="00284A83"/>
    <w:rsid w:val="00284B4B"/>
    <w:rsid w:val="00284DA1"/>
    <w:rsid w:val="00284EDB"/>
    <w:rsid w:val="002852C7"/>
    <w:rsid w:val="002854BD"/>
    <w:rsid w:val="0028554E"/>
    <w:rsid w:val="002855FB"/>
    <w:rsid w:val="002857E6"/>
    <w:rsid w:val="00285864"/>
    <w:rsid w:val="00285971"/>
    <w:rsid w:val="002859D3"/>
    <w:rsid w:val="00285A6D"/>
    <w:rsid w:val="00285B03"/>
    <w:rsid w:val="00285CF3"/>
    <w:rsid w:val="00285D11"/>
    <w:rsid w:val="00285DAA"/>
    <w:rsid w:val="0028603C"/>
    <w:rsid w:val="00286049"/>
    <w:rsid w:val="00286078"/>
    <w:rsid w:val="00286114"/>
    <w:rsid w:val="00286685"/>
    <w:rsid w:val="0028683D"/>
    <w:rsid w:val="00286913"/>
    <w:rsid w:val="0028699F"/>
    <w:rsid w:val="00286C45"/>
    <w:rsid w:val="00286E55"/>
    <w:rsid w:val="00286E59"/>
    <w:rsid w:val="00286F09"/>
    <w:rsid w:val="002870E4"/>
    <w:rsid w:val="00287330"/>
    <w:rsid w:val="002877E1"/>
    <w:rsid w:val="00287DBA"/>
    <w:rsid w:val="00287ED3"/>
    <w:rsid w:val="00287F65"/>
    <w:rsid w:val="0029015B"/>
    <w:rsid w:val="0029063F"/>
    <w:rsid w:val="002907D0"/>
    <w:rsid w:val="002907E4"/>
    <w:rsid w:val="0029087C"/>
    <w:rsid w:val="00290947"/>
    <w:rsid w:val="00290AE3"/>
    <w:rsid w:val="00290BF0"/>
    <w:rsid w:val="00290D21"/>
    <w:rsid w:val="00290DA9"/>
    <w:rsid w:val="00290E65"/>
    <w:rsid w:val="00290FC5"/>
    <w:rsid w:val="00291048"/>
    <w:rsid w:val="0029104B"/>
    <w:rsid w:val="00291327"/>
    <w:rsid w:val="002913BA"/>
    <w:rsid w:val="002914FC"/>
    <w:rsid w:val="002915DC"/>
    <w:rsid w:val="002917A1"/>
    <w:rsid w:val="00291886"/>
    <w:rsid w:val="00291976"/>
    <w:rsid w:val="002919FC"/>
    <w:rsid w:val="00291B0A"/>
    <w:rsid w:val="00291B7E"/>
    <w:rsid w:val="00291D2B"/>
    <w:rsid w:val="00292437"/>
    <w:rsid w:val="002924E6"/>
    <w:rsid w:val="0029254B"/>
    <w:rsid w:val="0029257F"/>
    <w:rsid w:val="00292588"/>
    <w:rsid w:val="002925FD"/>
    <w:rsid w:val="002928EE"/>
    <w:rsid w:val="00292CA0"/>
    <w:rsid w:val="00292CBE"/>
    <w:rsid w:val="00292D1C"/>
    <w:rsid w:val="00292D2A"/>
    <w:rsid w:val="00292FF8"/>
    <w:rsid w:val="0029329D"/>
    <w:rsid w:val="0029348E"/>
    <w:rsid w:val="0029359F"/>
    <w:rsid w:val="0029369D"/>
    <w:rsid w:val="00293784"/>
    <w:rsid w:val="002937C9"/>
    <w:rsid w:val="00293868"/>
    <w:rsid w:val="00293E31"/>
    <w:rsid w:val="00293ECA"/>
    <w:rsid w:val="00293EDE"/>
    <w:rsid w:val="00293F70"/>
    <w:rsid w:val="00293FC0"/>
    <w:rsid w:val="00293FC4"/>
    <w:rsid w:val="002942A9"/>
    <w:rsid w:val="002943CB"/>
    <w:rsid w:val="0029442B"/>
    <w:rsid w:val="002946D2"/>
    <w:rsid w:val="002946F6"/>
    <w:rsid w:val="00294A71"/>
    <w:rsid w:val="00294B37"/>
    <w:rsid w:val="00294B6B"/>
    <w:rsid w:val="00294B9F"/>
    <w:rsid w:val="00294D6C"/>
    <w:rsid w:val="00294EE1"/>
    <w:rsid w:val="0029517C"/>
    <w:rsid w:val="0029548B"/>
    <w:rsid w:val="00295608"/>
    <w:rsid w:val="0029571D"/>
    <w:rsid w:val="002957A7"/>
    <w:rsid w:val="00295869"/>
    <w:rsid w:val="002958C3"/>
    <w:rsid w:val="002958EB"/>
    <w:rsid w:val="00295A93"/>
    <w:rsid w:val="00295AD0"/>
    <w:rsid w:val="00295B07"/>
    <w:rsid w:val="00295B9D"/>
    <w:rsid w:val="00295D41"/>
    <w:rsid w:val="00295E39"/>
    <w:rsid w:val="00295F29"/>
    <w:rsid w:val="00295F30"/>
    <w:rsid w:val="00295FE4"/>
    <w:rsid w:val="002960EC"/>
    <w:rsid w:val="00296100"/>
    <w:rsid w:val="00296164"/>
    <w:rsid w:val="0029618B"/>
    <w:rsid w:val="002961B6"/>
    <w:rsid w:val="00296292"/>
    <w:rsid w:val="00296682"/>
    <w:rsid w:val="002966CF"/>
    <w:rsid w:val="002966E0"/>
    <w:rsid w:val="002967A2"/>
    <w:rsid w:val="00296818"/>
    <w:rsid w:val="00296839"/>
    <w:rsid w:val="00296A81"/>
    <w:rsid w:val="00296AFB"/>
    <w:rsid w:val="00296BF7"/>
    <w:rsid w:val="00296C15"/>
    <w:rsid w:val="00296EAF"/>
    <w:rsid w:val="00297024"/>
    <w:rsid w:val="00297327"/>
    <w:rsid w:val="002975A4"/>
    <w:rsid w:val="0029763F"/>
    <w:rsid w:val="0029796D"/>
    <w:rsid w:val="002979BB"/>
    <w:rsid w:val="00297A8D"/>
    <w:rsid w:val="00297BA0"/>
    <w:rsid w:val="00297CA3"/>
    <w:rsid w:val="00297D58"/>
    <w:rsid w:val="00297DAF"/>
    <w:rsid w:val="00297F2F"/>
    <w:rsid w:val="0029D194"/>
    <w:rsid w:val="002A0235"/>
    <w:rsid w:val="002A0260"/>
    <w:rsid w:val="002A039C"/>
    <w:rsid w:val="002A0565"/>
    <w:rsid w:val="002A0671"/>
    <w:rsid w:val="002A078A"/>
    <w:rsid w:val="002A0827"/>
    <w:rsid w:val="002A0887"/>
    <w:rsid w:val="002A0AF0"/>
    <w:rsid w:val="002A0C41"/>
    <w:rsid w:val="002A0C83"/>
    <w:rsid w:val="002A0CC5"/>
    <w:rsid w:val="002A0D7B"/>
    <w:rsid w:val="002A0E6A"/>
    <w:rsid w:val="002A0F06"/>
    <w:rsid w:val="002A0F22"/>
    <w:rsid w:val="002A1397"/>
    <w:rsid w:val="002A148F"/>
    <w:rsid w:val="002A14C3"/>
    <w:rsid w:val="002A1540"/>
    <w:rsid w:val="002A154C"/>
    <w:rsid w:val="002A163F"/>
    <w:rsid w:val="002A1907"/>
    <w:rsid w:val="002A1A51"/>
    <w:rsid w:val="002A1A7C"/>
    <w:rsid w:val="002A1C8E"/>
    <w:rsid w:val="002A1CBB"/>
    <w:rsid w:val="002A1E44"/>
    <w:rsid w:val="002A1EDA"/>
    <w:rsid w:val="002A1F6E"/>
    <w:rsid w:val="002A210A"/>
    <w:rsid w:val="002A21F8"/>
    <w:rsid w:val="002A2377"/>
    <w:rsid w:val="002A263A"/>
    <w:rsid w:val="002A27E1"/>
    <w:rsid w:val="002A2BC6"/>
    <w:rsid w:val="002A2D51"/>
    <w:rsid w:val="002A2E30"/>
    <w:rsid w:val="002A3188"/>
    <w:rsid w:val="002A3379"/>
    <w:rsid w:val="002A33FF"/>
    <w:rsid w:val="002A3883"/>
    <w:rsid w:val="002A38A1"/>
    <w:rsid w:val="002A38BA"/>
    <w:rsid w:val="002A394B"/>
    <w:rsid w:val="002A3972"/>
    <w:rsid w:val="002A3B02"/>
    <w:rsid w:val="002A3D6A"/>
    <w:rsid w:val="002A40AC"/>
    <w:rsid w:val="002A4101"/>
    <w:rsid w:val="002A4148"/>
    <w:rsid w:val="002A4179"/>
    <w:rsid w:val="002A418A"/>
    <w:rsid w:val="002A4287"/>
    <w:rsid w:val="002A44CD"/>
    <w:rsid w:val="002A453D"/>
    <w:rsid w:val="002A457C"/>
    <w:rsid w:val="002A46AD"/>
    <w:rsid w:val="002A49E8"/>
    <w:rsid w:val="002A4A29"/>
    <w:rsid w:val="002A4B93"/>
    <w:rsid w:val="002A4E5D"/>
    <w:rsid w:val="002A4F72"/>
    <w:rsid w:val="002A505E"/>
    <w:rsid w:val="002A5098"/>
    <w:rsid w:val="002A5182"/>
    <w:rsid w:val="002A5226"/>
    <w:rsid w:val="002A5318"/>
    <w:rsid w:val="002A547F"/>
    <w:rsid w:val="002A549B"/>
    <w:rsid w:val="002A560C"/>
    <w:rsid w:val="002A59EC"/>
    <w:rsid w:val="002A5A2F"/>
    <w:rsid w:val="002A5AAC"/>
    <w:rsid w:val="002A5C76"/>
    <w:rsid w:val="002A5D4C"/>
    <w:rsid w:val="002A5EAD"/>
    <w:rsid w:val="002A647C"/>
    <w:rsid w:val="002A647D"/>
    <w:rsid w:val="002A64F1"/>
    <w:rsid w:val="002A6514"/>
    <w:rsid w:val="002A66B3"/>
    <w:rsid w:val="002A67EB"/>
    <w:rsid w:val="002A689F"/>
    <w:rsid w:val="002A6ABE"/>
    <w:rsid w:val="002A6B14"/>
    <w:rsid w:val="002A6B66"/>
    <w:rsid w:val="002A6BF6"/>
    <w:rsid w:val="002A6C74"/>
    <w:rsid w:val="002A6F40"/>
    <w:rsid w:val="002A6F8E"/>
    <w:rsid w:val="002A6F99"/>
    <w:rsid w:val="002A7177"/>
    <w:rsid w:val="002A7194"/>
    <w:rsid w:val="002A7208"/>
    <w:rsid w:val="002A7274"/>
    <w:rsid w:val="002A7373"/>
    <w:rsid w:val="002A749A"/>
    <w:rsid w:val="002A74E5"/>
    <w:rsid w:val="002A7505"/>
    <w:rsid w:val="002A75E9"/>
    <w:rsid w:val="002A7704"/>
    <w:rsid w:val="002A77C0"/>
    <w:rsid w:val="002A77DC"/>
    <w:rsid w:val="002A796F"/>
    <w:rsid w:val="002A7A1F"/>
    <w:rsid w:val="002A7CA3"/>
    <w:rsid w:val="002A7CDC"/>
    <w:rsid w:val="002A7CF2"/>
    <w:rsid w:val="002A7D6A"/>
    <w:rsid w:val="002B004A"/>
    <w:rsid w:val="002B00DE"/>
    <w:rsid w:val="002B015E"/>
    <w:rsid w:val="002B01A0"/>
    <w:rsid w:val="002B032A"/>
    <w:rsid w:val="002B0377"/>
    <w:rsid w:val="002B0657"/>
    <w:rsid w:val="002B0A5D"/>
    <w:rsid w:val="002B0B03"/>
    <w:rsid w:val="002B0C9D"/>
    <w:rsid w:val="002B0CDB"/>
    <w:rsid w:val="002B1064"/>
    <w:rsid w:val="002B10CE"/>
    <w:rsid w:val="002B1152"/>
    <w:rsid w:val="002B1246"/>
    <w:rsid w:val="002B1301"/>
    <w:rsid w:val="002B1335"/>
    <w:rsid w:val="002B1356"/>
    <w:rsid w:val="002B1604"/>
    <w:rsid w:val="002B16D8"/>
    <w:rsid w:val="002B16EC"/>
    <w:rsid w:val="002B1846"/>
    <w:rsid w:val="002B198D"/>
    <w:rsid w:val="002B1C7B"/>
    <w:rsid w:val="002B1DBD"/>
    <w:rsid w:val="002B2099"/>
    <w:rsid w:val="002B21D6"/>
    <w:rsid w:val="002B2258"/>
    <w:rsid w:val="002B237F"/>
    <w:rsid w:val="002B2423"/>
    <w:rsid w:val="002B271B"/>
    <w:rsid w:val="002B2887"/>
    <w:rsid w:val="002B2899"/>
    <w:rsid w:val="002B28E5"/>
    <w:rsid w:val="002B28FA"/>
    <w:rsid w:val="002B2AC4"/>
    <w:rsid w:val="002B2AEE"/>
    <w:rsid w:val="002B2D99"/>
    <w:rsid w:val="002B2FD2"/>
    <w:rsid w:val="002B31A2"/>
    <w:rsid w:val="002B31FC"/>
    <w:rsid w:val="002B323E"/>
    <w:rsid w:val="002B3468"/>
    <w:rsid w:val="002B3475"/>
    <w:rsid w:val="002B3486"/>
    <w:rsid w:val="002B3494"/>
    <w:rsid w:val="002B3507"/>
    <w:rsid w:val="002B3537"/>
    <w:rsid w:val="002B3762"/>
    <w:rsid w:val="002B3764"/>
    <w:rsid w:val="002B37A1"/>
    <w:rsid w:val="002B3974"/>
    <w:rsid w:val="002B3A53"/>
    <w:rsid w:val="002B3AE3"/>
    <w:rsid w:val="002B3BA5"/>
    <w:rsid w:val="002B3D55"/>
    <w:rsid w:val="002B3DE8"/>
    <w:rsid w:val="002B3E77"/>
    <w:rsid w:val="002B3EC3"/>
    <w:rsid w:val="002B3F0B"/>
    <w:rsid w:val="002B4231"/>
    <w:rsid w:val="002B42BC"/>
    <w:rsid w:val="002B443D"/>
    <w:rsid w:val="002B44F3"/>
    <w:rsid w:val="002B4685"/>
    <w:rsid w:val="002B471A"/>
    <w:rsid w:val="002B4867"/>
    <w:rsid w:val="002B48CF"/>
    <w:rsid w:val="002B490B"/>
    <w:rsid w:val="002B4910"/>
    <w:rsid w:val="002B4AC4"/>
    <w:rsid w:val="002B4C24"/>
    <w:rsid w:val="002B4D3A"/>
    <w:rsid w:val="002B4E4C"/>
    <w:rsid w:val="002B4ED7"/>
    <w:rsid w:val="002B5265"/>
    <w:rsid w:val="002B5274"/>
    <w:rsid w:val="002B53D8"/>
    <w:rsid w:val="002B53DD"/>
    <w:rsid w:val="002B543B"/>
    <w:rsid w:val="002B545B"/>
    <w:rsid w:val="002B54E4"/>
    <w:rsid w:val="002B556E"/>
    <w:rsid w:val="002B55A0"/>
    <w:rsid w:val="002B55E2"/>
    <w:rsid w:val="002B5996"/>
    <w:rsid w:val="002B59AB"/>
    <w:rsid w:val="002B5A2A"/>
    <w:rsid w:val="002B5B95"/>
    <w:rsid w:val="002B5BD0"/>
    <w:rsid w:val="002B5C4C"/>
    <w:rsid w:val="002B6071"/>
    <w:rsid w:val="002B621F"/>
    <w:rsid w:val="002B6353"/>
    <w:rsid w:val="002B63CD"/>
    <w:rsid w:val="002B6408"/>
    <w:rsid w:val="002B6475"/>
    <w:rsid w:val="002B6528"/>
    <w:rsid w:val="002B66AD"/>
    <w:rsid w:val="002B66D6"/>
    <w:rsid w:val="002B6821"/>
    <w:rsid w:val="002B688B"/>
    <w:rsid w:val="002B68B3"/>
    <w:rsid w:val="002B68FC"/>
    <w:rsid w:val="002B69C2"/>
    <w:rsid w:val="002B6A98"/>
    <w:rsid w:val="002B6B42"/>
    <w:rsid w:val="002B6C86"/>
    <w:rsid w:val="002B6E80"/>
    <w:rsid w:val="002B7097"/>
    <w:rsid w:val="002B73EF"/>
    <w:rsid w:val="002B7452"/>
    <w:rsid w:val="002B75A0"/>
    <w:rsid w:val="002B7631"/>
    <w:rsid w:val="002B769B"/>
    <w:rsid w:val="002B76C6"/>
    <w:rsid w:val="002B76DB"/>
    <w:rsid w:val="002B7883"/>
    <w:rsid w:val="002B7A1C"/>
    <w:rsid w:val="002B7A53"/>
    <w:rsid w:val="002B7C01"/>
    <w:rsid w:val="002B7EF0"/>
    <w:rsid w:val="002C001C"/>
    <w:rsid w:val="002C043B"/>
    <w:rsid w:val="002C071C"/>
    <w:rsid w:val="002C07A0"/>
    <w:rsid w:val="002C07DF"/>
    <w:rsid w:val="002C0AD0"/>
    <w:rsid w:val="002C0B11"/>
    <w:rsid w:val="002C0B70"/>
    <w:rsid w:val="002C0C72"/>
    <w:rsid w:val="002C0C9C"/>
    <w:rsid w:val="002C0EC3"/>
    <w:rsid w:val="002C0FE3"/>
    <w:rsid w:val="002C114D"/>
    <w:rsid w:val="002C114E"/>
    <w:rsid w:val="002C11F1"/>
    <w:rsid w:val="002C12D5"/>
    <w:rsid w:val="002C1493"/>
    <w:rsid w:val="002C14A7"/>
    <w:rsid w:val="002C152E"/>
    <w:rsid w:val="002C155F"/>
    <w:rsid w:val="002C160A"/>
    <w:rsid w:val="002C17BD"/>
    <w:rsid w:val="002C1BD2"/>
    <w:rsid w:val="002C1CB5"/>
    <w:rsid w:val="002C1DC0"/>
    <w:rsid w:val="002C1DC6"/>
    <w:rsid w:val="002C1E4C"/>
    <w:rsid w:val="002C1EA7"/>
    <w:rsid w:val="002C1F0D"/>
    <w:rsid w:val="002C1FA7"/>
    <w:rsid w:val="002C1FCB"/>
    <w:rsid w:val="002C21E0"/>
    <w:rsid w:val="002C2249"/>
    <w:rsid w:val="002C232F"/>
    <w:rsid w:val="002C23CC"/>
    <w:rsid w:val="002C242B"/>
    <w:rsid w:val="002C253D"/>
    <w:rsid w:val="002C254E"/>
    <w:rsid w:val="002C264C"/>
    <w:rsid w:val="002C2719"/>
    <w:rsid w:val="002C277E"/>
    <w:rsid w:val="002C2802"/>
    <w:rsid w:val="002C2878"/>
    <w:rsid w:val="002C28E2"/>
    <w:rsid w:val="002C2A0D"/>
    <w:rsid w:val="002C2BBE"/>
    <w:rsid w:val="002C2BF2"/>
    <w:rsid w:val="002C2E02"/>
    <w:rsid w:val="002C2E1D"/>
    <w:rsid w:val="002C2E6A"/>
    <w:rsid w:val="002C2F50"/>
    <w:rsid w:val="002C3015"/>
    <w:rsid w:val="002C326F"/>
    <w:rsid w:val="002C32C1"/>
    <w:rsid w:val="002C340B"/>
    <w:rsid w:val="002C3420"/>
    <w:rsid w:val="002C365C"/>
    <w:rsid w:val="002C37FB"/>
    <w:rsid w:val="002C38A5"/>
    <w:rsid w:val="002C38C3"/>
    <w:rsid w:val="002C397E"/>
    <w:rsid w:val="002C3A16"/>
    <w:rsid w:val="002C3AF5"/>
    <w:rsid w:val="002C3B0F"/>
    <w:rsid w:val="002C3B8B"/>
    <w:rsid w:val="002C3D35"/>
    <w:rsid w:val="002C3E6C"/>
    <w:rsid w:val="002C3F09"/>
    <w:rsid w:val="002C3F71"/>
    <w:rsid w:val="002C405C"/>
    <w:rsid w:val="002C42F2"/>
    <w:rsid w:val="002C43FD"/>
    <w:rsid w:val="002C479B"/>
    <w:rsid w:val="002C4ABF"/>
    <w:rsid w:val="002C4BE6"/>
    <w:rsid w:val="002C4E9C"/>
    <w:rsid w:val="002C4ED5"/>
    <w:rsid w:val="002C4F6A"/>
    <w:rsid w:val="002C5037"/>
    <w:rsid w:val="002C514A"/>
    <w:rsid w:val="002C5608"/>
    <w:rsid w:val="002C56D3"/>
    <w:rsid w:val="002C57AD"/>
    <w:rsid w:val="002C57D4"/>
    <w:rsid w:val="002C5804"/>
    <w:rsid w:val="002C58CC"/>
    <w:rsid w:val="002C5B2C"/>
    <w:rsid w:val="002C5B5C"/>
    <w:rsid w:val="002C5DD3"/>
    <w:rsid w:val="002C5EBF"/>
    <w:rsid w:val="002C5EEC"/>
    <w:rsid w:val="002C5F27"/>
    <w:rsid w:val="002C5F96"/>
    <w:rsid w:val="002C613E"/>
    <w:rsid w:val="002C6173"/>
    <w:rsid w:val="002C6287"/>
    <w:rsid w:val="002C64A6"/>
    <w:rsid w:val="002C64BB"/>
    <w:rsid w:val="002C64C4"/>
    <w:rsid w:val="002C68B6"/>
    <w:rsid w:val="002C69A0"/>
    <w:rsid w:val="002C6C27"/>
    <w:rsid w:val="002C6DCC"/>
    <w:rsid w:val="002C6F3D"/>
    <w:rsid w:val="002C70E0"/>
    <w:rsid w:val="002C721A"/>
    <w:rsid w:val="002C7723"/>
    <w:rsid w:val="002C79AA"/>
    <w:rsid w:val="002C79FA"/>
    <w:rsid w:val="002C7AF0"/>
    <w:rsid w:val="002C7BC4"/>
    <w:rsid w:val="002C7BDC"/>
    <w:rsid w:val="002C7C2B"/>
    <w:rsid w:val="002C7CFA"/>
    <w:rsid w:val="002C7D52"/>
    <w:rsid w:val="002C7E5C"/>
    <w:rsid w:val="002C7E79"/>
    <w:rsid w:val="002C7EDA"/>
    <w:rsid w:val="002C7F00"/>
    <w:rsid w:val="002D0251"/>
    <w:rsid w:val="002D03B8"/>
    <w:rsid w:val="002D03EC"/>
    <w:rsid w:val="002D0484"/>
    <w:rsid w:val="002D04E6"/>
    <w:rsid w:val="002D0533"/>
    <w:rsid w:val="002D05C9"/>
    <w:rsid w:val="002D0662"/>
    <w:rsid w:val="002D0669"/>
    <w:rsid w:val="002D06D1"/>
    <w:rsid w:val="002D07C6"/>
    <w:rsid w:val="002D094C"/>
    <w:rsid w:val="002D0B52"/>
    <w:rsid w:val="002D0CAF"/>
    <w:rsid w:val="002D0CDB"/>
    <w:rsid w:val="002D0DBF"/>
    <w:rsid w:val="002D0E7C"/>
    <w:rsid w:val="002D1226"/>
    <w:rsid w:val="002D13F5"/>
    <w:rsid w:val="002D1649"/>
    <w:rsid w:val="002D165B"/>
    <w:rsid w:val="002D16FD"/>
    <w:rsid w:val="002D1981"/>
    <w:rsid w:val="002D19CD"/>
    <w:rsid w:val="002D1CBF"/>
    <w:rsid w:val="002D1FAF"/>
    <w:rsid w:val="002D2396"/>
    <w:rsid w:val="002D242C"/>
    <w:rsid w:val="002D24C5"/>
    <w:rsid w:val="002D24D5"/>
    <w:rsid w:val="002D251D"/>
    <w:rsid w:val="002D25C6"/>
    <w:rsid w:val="002D2659"/>
    <w:rsid w:val="002D2761"/>
    <w:rsid w:val="002D2787"/>
    <w:rsid w:val="002D287F"/>
    <w:rsid w:val="002D28F7"/>
    <w:rsid w:val="002D2AB1"/>
    <w:rsid w:val="002D2AE1"/>
    <w:rsid w:val="002D2BF2"/>
    <w:rsid w:val="002D2D17"/>
    <w:rsid w:val="002D2D68"/>
    <w:rsid w:val="002D2DC7"/>
    <w:rsid w:val="002D2E64"/>
    <w:rsid w:val="002D2E72"/>
    <w:rsid w:val="002D3088"/>
    <w:rsid w:val="002D31DD"/>
    <w:rsid w:val="002D3238"/>
    <w:rsid w:val="002D333B"/>
    <w:rsid w:val="002D3623"/>
    <w:rsid w:val="002D36DE"/>
    <w:rsid w:val="002D3721"/>
    <w:rsid w:val="002D3821"/>
    <w:rsid w:val="002D3965"/>
    <w:rsid w:val="002D3AB0"/>
    <w:rsid w:val="002D3BB0"/>
    <w:rsid w:val="002D3CE9"/>
    <w:rsid w:val="002D424B"/>
    <w:rsid w:val="002D42C4"/>
    <w:rsid w:val="002D42FC"/>
    <w:rsid w:val="002D4960"/>
    <w:rsid w:val="002D49C2"/>
    <w:rsid w:val="002D4ACA"/>
    <w:rsid w:val="002D4AFF"/>
    <w:rsid w:val="002D4B2E"/>
    <w:rsid w:val="002D4D92"/>
    <w:rsid w:val="002D4F53"/>
    <w:rsid w:val="002D4F55"/>
    <w:rsid w:val="002D50E5"/>
    <w:rsid w:val="002D51DB"/>
    <w:rsid w:val="002D5269"/>
    <w:rsid w:val="002D559B"/>
    <w:rsid w:val="002D5650"/>
    <w:rsid w:val="002D578C"/>
    <w:rsid w:val="002D57A4"/>
    <w:rsid w:val="002D59B6"/>
    <w:rsid w:val="002D5A28"/>
    <w:rsid w:val="002D5B86"/>
    <w:rsid w:val="002D5F9C"/>
    <w:rsid w:val="002D6225"/>
    <w:rsid w:val="002D6286"/>
    <w:rsid w:val="002D6352"/>
    <w:rsid w:val="002D637B"/>
    <w:rsid w:val="002D6529"/>
    <w:rsid w:val="002D656F"/>
    <w:rsid w:val="002D65C2"/>
    <w:rsid w:val="002D6791"/>
    <w:rsid w:val="002D6B14"/>
    <w:rsid w:val="002D6C99"/>
    <w:rsid w:val="002D7031"/>
    <w:rsid w:val="002D721F"/>
    <w:rsid w:val="002D7451"/>
    <w:rsid w:val="002D758F"/>
    <w:rsid w:val="002D76C0"/>
    <w:rsid w:val="002D77AF"/>
    <w:rsid w:val="002D77B3"/>
    <w:rsid w:val="002D79C4"/>
    <w:rsid w:val="002D7BE4"/>
    <w:rsid w:val="002D7BE9"/>
    <w:rsid w:val="002D7BFE"/>
    <w:rsid w:val="002D7C1F"/>
    <w:rsid w:val="002D7C55"/>
    <w:rsid w:val="002D7C80"/>
    <w:rsid w:val="002D7F09"/>
    <w:rsid w:val="002E0142"/>
    <w:rsid w:val="002E017C"/>
    <w:rsid w:val="002E024A"/>
    <w:rsid w:val="002E02B3"/>
    <w:rsid w:val="002E02E6"/>
    <w:rsid w:val="002E04DC"/>
    <w:rsid w:val="002E05C9"/>
    <w:rsid w:val="002E0784"/>
    <w:rsid w:val="002E07FA"/>
    <w:rsid w:val="002E094C"/>
    <w:rsid w:val="002E0A94"/>
    <w:rsid w:val="002E0A9A"/>
    <w:rsid w:val="002E0ACF"/>
    <w:rsid w:val="002E0B27"/>
    <w:rsid w:val="002E0BF0"/>
    <w:rsid w:val="002E0C49"/>
    <w:rsid w:val="002E0D86"/>
    <w:rsid w:val="002E15DD"/>
    <w:rsid w:val="002E16B9"/>
    <w:rsid w:val="002E181E"/>
    <w:rsid w:val="002E1AFA"/>
    <w:rsid w:val="002E1C35"/>
    <w:rsid w:val="002E1E47"/>
    <w:rsid w:val="002E1E63"/>
    <w:rsid w:val="002E1F60"/>
    <w:rsid w:val="002E2272"/>
    <w:rsid w:val="002E24B9"/>
    <w:rsid w:val="002E2635"/>
    <w:rsid w:val="002E299C"/>
    <w:rsid w:val="002E2D6F"/>
    <w:rsid w:val="002E2E35"/>
    <w:rsid w:val="002E2FAB"/>
    <w:rsid w:val="002E3002"/>
    <w:rsid w:val="002E3070"/>
    <w:rsid w:val="002E311B"/>
    <w:rsid w:val="002E321A"/>
    <w:rsid w:val="002E3298"/>
    <w:rsid w:val="002E357E"/>
    <w:rsid w:val="002E35BA"/>
    <w:rsid w:val="002E3618"/>
    <w:rsid w:val="002E3644"/>
    <w:rsid w:val="002E367F"/>
    <w:rsid w:val="002E36C1"/>
    <w:rsid w:val="002E383F"/>
    <w:rsid w:val="002E3876"/>
    <w:rsid w:val="002E3B7E"/>
    <w:rsid w:val="002E3C7C"/>
    <w:rsid w:val="002E3C92"/>
    <w:rsid w:val="002E3D1E"/>
    <w:rsid w:val="002E3D3D"/>
    <w:rsid w:val="002E3F05"/>
    <w:rsid w:val="002E3F93"/>
    <w:rsid w:val="002E4079"/>
    <w:rsid w:val="002E435D"/>
    <w:rsid w:val="002E438D"/>
    <w:rsid w:val="002E481D"/>
    <w:rsid w:val="002E4BB5"/>
    <w:rsid w:val="002E4BF3"/>
    <w:rsid w:val="002E4E6B"/>
    <w:rsid w:val="002E4FC9"/>
    <w:rsid w:val="002E51C0"/>
    <w:rsid w:val="002E51C3"/>
    <w:rsid w:val="002E52EB"/>
    <w:rsid w:val="002E535D"/>
    <w:rsid w:val="002E545D"/>
    <w:rsid w:val="002E5541"/>
    <w:rsid w:val="002E5588"/>
    <w:rsid w:val="002E5638"/>
    <w:rsid w:val="002E5769"/>
    <w:rsid w:val="002E590B"/>
    <w:rsid w:val="002E5C7A"/>
    <w:rsid w:val="002E5FE8"/>
    <w:rsid w:val="002E6184"/>
    <w:rsid w:val="002E6662"/>
    <w:rsid w:val="002E676C"/>
    <w:rsid w:val="002E685F"/>
    <w:rsid w:val="002E6865"/>
    <w:rsid w:val="002E68EA"/>
    <w:rsid w:val="002E6B90"/>
    <w:rsid w:val="002E6BB9"/>
    <w:rsid w:val="002E6C81"/>
    <w:rsid w:val="002E6D34"/>
    <w:rsid w:val="002E7090"/>
    <w:rsid w:val="002E7147"/>
    <w:rsid w:val="002E7464"/>
    <w:rsid w:val="002E7473"/>
    <w:rsid w:val="002E7668"/>
    <w:rsid w:val="002E773B"/>
    <w:rsid w:val="002E7794"/>
    <w:rsid w:val="002E7979"/>
    <w:rsid w:val="002E7AD9"/>
    <w:rsid w:val="002E7C5C"/>
    <w:rsid w:val="002E7D0D"/>
    <w:rsid w:val="002E7DC0"/>
    <w:rsid w:val="002F00D0"/>
    <w:rsid w:val="002F037E"/>
    <w:rsid w:val="002F07A2"/>
    <w:rsid w:val="002F07C8"/>
    <w:rsid w:val="002F095B"/>
    <w:rsid w:val="002F0AC3"/>
    <w:rsid w:val="002F164A"/>
    <w:rsid w:val="002F16FA"/>
    <w:rsid w:val="002F1754"/>
    <w:rsid w:val="002F196E"/>
    <w:rsid w:val="002F1A08"/>
    <w:rsid w:val="002F1AAC"/>
    <w:rsid w:val="002F1C51"/>
    <w:rsid w:val="002F1E09"/>
    <w:rsid w:val="002F1FE2"/>
    <w:rsid w:val="002F2042"/>
    <w:rsid w:val="002F20AA"/>
    <w:rsid w:val="002F22E0"/>
    <w:rsid w:val="002F2346"/>
    <w:rsid w:val="002F239A"/>
    <w:rsid w:val="002F23D4"/>
    <w:rsid w:val="002F25D1"/>
    <w:rsid w:val="002F272B"/>
    <w:rsid w:val="002F27CF"/>
    <w:rsid w:val="002F2950"/>
    <w:rsid w:val="002F2973"/>
    <w:rsid w:val="002F29C8"/>
    <w:rsid w:val="002F2C18"/>
    <w:rsid w:val="002F2EC8"/>
    <w:rsid w:val="002F2F5F"/>
    <w:rsid w:val="002F303C"/>
    <w:rsid w:val="002F30C0"/>
    <w:rsid w:val="002F31B2"/>
    <w:rsid w:val="002F3382"/>
    <w:rsid w:val="002F3469"/>
    <w:rsid w:val="002F36C1"/>
    <w:rsid w:val="002F3860"/>
    <w:rsid w:val="002F3B30"/>
    <w:rsid w:val="002F3B77"/>
    <w:rsid w:val="002F3D86"/>
    <w:rsid w:val="002F3F64"/>
    <w:rsid w:val="002F40BF"/>
    <w:rsid w:val="002F4710"/>
    <w:rsid w:val="002F47DB"/>
    <w:rsid w:val="002F4908"/>
    <w:rsid w:val="002F4981"/>
    <w:rsid w:val="002F4A38"/>
    <w:rsid w:val="002F4C97"/>
    <w:rsid w:val="002F4D25"/>
    <w:rsid w:val="002F4E58"/>
    <w:rsid w:val="002F5030"/>
    <w:rsid w:val="002F505E"/>
    <w:rsid w:val="002F5408"/>
    <w:rsid w:val="002F5539"/>
    <w:rsid w:val="002F5DFB"/>
    <w:rsid w:val="002F5E6B"/>
    <w:rsid w:val="002F5F3A"/>
    <w:rsid w:val="002F6055"/>
    <w:rsid w:val="002F610F"/>
    <w:rsid w:val="002F6682"/>
    <w:rsid w:val="002F67B9"/>
    <w:rsid w:val="002F6A48"/>
    <w:rsid w:val="002F6A75"/>
    <w:rsid w:val="002F6A79"/>
    <w:rsid w:val="002F6AA5"/>
    <w:rsid w:val="002F6B2A"/>
    <w:rsid w:val="002F6E5C"/>
    <w:rsid w:val="002F6E99"/>
    <w:rsid w:val="002F6F31"/>
    <w:rsid w:val="002F6F4D"/>
    <w:rsid w:val="002F7225"/>
    <w:rsid w:val="002F7317"/>
    <w:rsid w:val="002F7522"/>
    <w:rsid w:val="002F7808"/>
    <w:rsid w:val="002F78E8"/>
    <w:rsid w:val="002F78ED"/>
    <w:rsid w:val="002F79E0"/>
    <w:rsid w:val="002F7A43"/>
    <w:rsid w:val="002F7BAE"/>
    <w:rsid w:val="002F7BB7"/>
    <w:rsid w:val="002F7ED9"/>
    <w:rsid w:val="00300049"/>
    <w:rsid w:val="003001E0"/>
    <w:rsid w:val="00300315"/>
    <w:rsid w:val="00300318"/>
    <w:rsid w:val="0030043E"/>
    <w:rsid w:val="003004FA"/>
    <w:rsid w:val="003008BB"/>
    <w:rsid w:val="003008BD"/>
    <w:rsid w:val="00300A5E"/>
    <w:rsid w:val="00300B7A"/>
    <w:rsid w:val="00300CB9"/>
    <w:rsid w:val="00300CD8"/>
    <w:rsid w:val="00300EE5"/>
    <w:rsid w:val="00301071"/>
    <w:rsid w:val="00301189"/>
    <w:rsid w:val="0030130A"/>
    <w:rsid w:val="00301369"/>
    <w:rsid w:val="00301724"/>
    <w:rsid w:val="003018B9"/>
    <w:rsid w:val="00301A6E"/>
    <w:rsid w:val="00301B06"/>
    <w:rsid w:val="00301DB6"/>
    <w:rsid w:val="00301E02"/>
    <w:rsid w:val="00301F1A"/>
    <w:rsid w:val="00301F2F"/>
    <w:rsid w:val="00301FCA"/>
    <w:rsid w:val="00301FCF"/>
    <w:rsid w:val="00302070"/>
    <w:rsid w:val="0030219F"/>
    <w:rsid w:val="003024EC"/>
    <w:rsid w:val="00302908"/>
    <w:rsid w:val="00302B1B"/>
    <w:rsid w:val="00302B8B"/>
    <w:rsid w:val="00302E46"/>
    <w:rsid w:val="00302FB9"/>
    <w:rsid w:val="0030327E"/>
    <w:rsid w:val="003032CC"/>
    <w:rsid w:val="0030333D"/>
    <w:rsid w:val="0030359D"/>
    <w:rsid w:val="00303674"/>
    <w:rsid w:val="00303987"/>
    <w:rsid w:val="00303E6A"/>
    <w:rsid w:val="00303F0E"/>
    <w:rsid w:val="00303F56"/>
    <w:rsid w:val="003042E9"/>
    <w:rsid w:val="003043AF"/>
    <w:rsid w:val="0030443A"/>
    <w:rsid w:val="003046CE"/>
    <w:rsid w:val="0030484C"/>
    <w:rsid w:val="003048E9"/>
    <w:rsid w:val="003049F8"/>
    <w:rsid w:val="00304A74"/>
    <w:rsid w:val="00304A88"/>
    <w:rsid w:val="00304C82"/>
    <w:rsid w:val="00304DF4"/>
    <w:rsid w:val="00305078"/>
    <w:rsid w:val="003050E9"/>
    <w:rsid w:val="003051C4"/>
    <w:rsid w:val="00305312"/>
    <w:rsid w:val="0030536F"/>
    <w:rsid w:val="003054C1"/>
    <w:rsid w:val="003055DF"/>
    <w:rsid w:val="003056C8"/>
    <w:rsid w:val="00305A42"/>
    <w:rsid w:val="00305A53"/>
    <w:rsid w:val="00305B18"/>
    <w:rsid w:val="00305BA0"/>
    <w:rsid w:val="00305C0D"/>
    <w:rsid w:val="00305E4B"/>
    <w:rsid w:val="00305E6D"/>
    <w:rsid w:val="0030605A"/>
    <w:rsid w:val="0030607C"/>
    <w:rsid w:val="0030633F"/>
    <w:rsid w:val="00306442"/>
    <w:rsid w:val="00306609"/>
    <w:rsid w:val="00306739"/>
    <w:rsid w:val="003068C6"/>
    <w:rsid w:val="00306983"/>
    <w:rsid w:val="003069ED"/>
    <w:rsid w:val="00306AE1"/>
    <w:rsid w:val="00306E39"/>
    <w:rsid w:val="00306E5C"/>
    <w:rsid w:val="00306FE1"/>
    <w:rsid w:val="0030706B"/>
    <w:rsid w:val="0030714C"/>
    <w:rsid w:val="0030726E"/>
    <w:rsid w:val="00307484"/>
    <w:rsid w:val="003076A4"/>
    <w:rsid w:val="003076C1"/>
    <w:rsid w:val="003077E1"/>
    <w:rsid w:val="0030780A"/>
    <w:rsid w:val="00307811"/>
    <w:rsid w:val="00307930"/>
    <w:rsid w:val="00307A5F"/>
    <w:rsid w:val="00307EDB"/>
    <w:rsid w:val="00307EE8"/>
    <w:rsid w:val="0030B8F9"/>
    <w:rsid w:val="003100F3"/>
    <w:rsid w:val="0031015C"/>
    <w:rsid w:val="003101F3"/>
    <w:rsid w:val="00310460"/>
    <w:rsid w:val="0031087E"/>
    <w:rsid w:val="00310B72"/>
    <w:rsid w:val="00310B7B"/>
    <w:rsid w:val="00310B8D"/>
    <w:rsid w:val="00310BC9"/>
    <w:rsid w:val="00310DFB"/>
    <w:rsid w:val="00310E3E"/>
    <w:rsid w:val="00310E69"/>
    <w:rsid w:val="00310F82"/>
    <w:rsid w:val="00311113"/>
    <w:rsid w:val="0031139F"/>
    <w:rsid w:val="00311578"/>
    <w:rsid w:val="0031176A"/>
    <w:rsid w:val="003118F0"/>
    <w:rsid w:val="003119EB"/>
    <w:rsid w:val="00311A4D"/>
    <w:rsid w:val="00311ABB"/>
    <w:rsid w:val="00311BE7"/>
    <w:rsid w:val="00311C52"/>
    <w:rsid w:val="00311E19"/>
    <w:rsid w:val="00311FA1"/>
    <w:rsid w:val="00312032"/>
    <w:rsid w:val="0031214F"/>
    <w:rsid w:val="003124A7"/>
    <w:rsid w:val="00312905"/>
    <w:rsid w:val="00312A8C"/>
    <w:rsid w:val="00312B0F"/>
    <w:rsid w:val="00312C93"/>
    <w:rsid w:val="00312CE1"/>
    <w:rsid w:val="00312D46"/>
    <w:rsid w:val="00312FFB"/>
    <w:rsid w:val="00312FFE"/>
    <w:rsid w:val="00313050"/>
    <w:rsid w:val="00313067"/>
    <w:rsid w:val="00313135"/>
    <w:rsid w:val="003135A1"/>
    <w:rsid w:val="0031373D"/>
    <w:rsid w:val="00313745"/>
    <w:rsid w:val="00313749"/>
    <w:rsid w:val="00313894"/>
    <w:rsid w:val="0031391F"/>
    <w:rsid w:val="00313993"/>
    <w:rsid w:val="00313DEE"/>
    <w:rsid w:val="00313EF9"/>
    <w:rsid w:val="00314136"/>
    <w:rsid w:val="003141BC"/>
    <w:rsid w:val="00314368"/>
    <w:rsid w:val="00314537"/>
    <w:rsid w:val="0031456A"/>
    <w:rsid w:val="00314584"/>
    <w:rsid w:val="0031487C"/>
    <w:rsid w:val="00314A73"/>
    <w:rsid w:val="00314B82"/>
    <w:rsid w:val="00314E01"/>
    <w:rsid w:val="00314F0A"/>
    <w:rsid w:val="003151AD"/>
    <w:rsid w:val="003152B2"/>
    <w:rsid w:val="003153AF"/>
    <w:rsid w:val="003153B1"/>
    <w:rsid w:val="0031564E"/>
    <w:rsid w:val="0031588F"/>
    <w:rsid w:val="00315B26"/>
    <w:rsid w:val="00315BDE"/>
    <w:rsid w:val="00315D46"/>
    <w:rsid w:val="00315FF9"/>
    <w:rsid w:val="0031601B"/>
    <w:rsid w:val="0031620B"/>
    <w:rsid w:val="003162A8"/>
    <w:rsid w:val="0031655C"/>
    <w:rsid w:val="003166B8"/>
    <w:rsid w:val="003166C3"/>
    <w:rsid w:val="0031678D"/>
    <w:rsid w:val="00316A00"/>
    <w:rsid w:val="00316B83"/>
    <w:rsid w:val="00316C95"/>
    <w:rsid w:val="00316DD7"/>
    <w:rsid w:val="00316E4B"/>
    <w:rsid w:val="00316F04"/>
    <w:rsid w:val="00316F9C"/>
    <w:rsid w:val="00317029"/>
    <w:rsid w:val="00317075"/>
    <w:rsid w:val="00317675"/>
    <w:rsid w:val="003176E2"/>
    <w:rsid w:val="003177E4"/>
    <w:rsid w:val="00317892"/>
    <w:rsid w:val="003179FB"/>
    <w:rsid w:val="00317BC9"/>
    <w:rsid w:val="0032012B"/>
    <w:rsid w:val="003201BF"/>
    <w:rsid w:val="003203AC"/>
    <w:rsid w:val="003204E3"/>
    <w:rsid w:val="003204FE"/>
    <w:rsid w:val="0032055F"/>
    <w:rsid w:val="00320573"/>
    <w:rsid w:val="00320623"/>
    <w:rsid w:val="0032068C"/>
    <w:rsid w:val="00320699"/>
    <w:rsid w:val="00320853"/>
    <w:rsid w:val="003208AE"/>
    <w:rsid w:val="003209BE"/>
    <w:rsid w:val="00320AD9"/>
    <w:rsid w:val="00320BA1"/>
    <w:rsid w:val="00320DC4"/>
    <w:rsid w:val="00320DFE"/>
    <w:rsid w:val="00320E06"/>
    <w:rsid w:val="003211D6"/>
    <w:rsid w:val="00321421"/>
    <w:rsid w:val="00321607"/>
    <w:rsid w:val="00321614"/>
    <w:rsid w:val="003216E5"/>
    <w:rsid w:val="003218EE"/>
    <w:rsid w:val="00321E22"/>
    <w:rsid w:val="00321FBD"/>
    <w:rsid w:val="00322015"/>
    <w:rsid w:val="0032202F"/>
    <w:rsid w:val="00322030"/>
    <w:rsid w:val="003221D4"/>
    <w:rsid w:val="003221E8"/>
    <w:rsid w:val="003224F0"/>
    <w:rsid w:val="003225E3"/>
    <w:rsid w:val="003225FA"/>
    <w:rsid w:val="00322901"/>
    <w:rsid w:val="00322D44"/>
    <w:rsid w:val="00322F89"/>
    <w:rsid w:val="0032321A"/>
    <w:rsid w:val="0032321D"/>
    <w:rsid w:val="003232A3"/>
    <w:rsid w:val="003233FF"/>
    <w:rsid w:val="00323580"/>
    <w:rsid w:val="00323633"/>
    <w:rsid w:val="0032379D"/>
    <w:rsid w:val="003238EE"/>
    <w:rsid w:val="00323A06"/>
    <w:rsid w:val="00323A18"/>
    <w:rsid w:val="00323B1C"/>
    <w:rsid w:val="00323CCD"/>
    <w:rsid w:val="00323D0A"/>
    <w:rsid w:val="00323DBE"/>
    <w:rsid w:val="00323EE7"/>
    <w:rsid w:val="0032416D"/>
    <w:rsid w:val="00324224"/>
    <w:rsid w:val="0032427E"/>
    <w:rsid w:val="0032428C"/>
    <w:rsid w:val="00324488"/>
    <w:rsid w:val="00324706"/>
    <w:rsid w:val="003247FA"/>
    <w:rsid w:val="00324824"/>
    <w:rsid w:val="00324866"/>
    <w:rsid w:val="00324A1E"/>
    <w:rsid w:val="00324C2E"/>
    <w:rsid w:val="0032520F"/>
    <w:rsid w:val="003252EF"/>
    <w:rsid w:val="00325320"/>
    <w:rsid w:val="003255D8"/>
    <w:rsid w:val="00325640"/>
    <w:rsid w:val="0032569E"/>
    <w:rsid w:val="0032587E"/>
    <w:rsid w:val="003258AE"/>
    <w:rsid w:val="003259D2"/>
    <w:rsid w:val="00325C32"/>
    <w:rsid w:val="00325D15"/>
    <w:rsid w:val="00325D1F"/>
    <w:rsid w:val="00325EEB"/>
    <w:rsid w:val="00325F0C"/>
    <w:rsid w:val="0032605D"/>
    <w:rsid w:val="00326145"/>
    <w:rsid w:val="0032617F"/>
    <w:rsid w:val="0032618D"/>
    <w:rsid w:val="003262AB"/>
    <w:rsid w:val="003262E3"/>
    <w:rsid w:val="0032640A"/>
    <w:rsid w:val="003265C9"/>
    <w:rsid w:val="00326715"/>
    <w:rsid w:val="00326878"/>
    <w:rsid w:val="00326C85"/>
    <w:rsid w:val="00326CC2"/>
    <w:rsid w:val="00326FC9"/>
    <w:rsid w:val="0032710B"/>
    <w:rsid w:val="00327300"/>
    <w:rsid w:val="003274B5"/>
    <w:rsid w:val="003275B4"/>
    <w:rsid w:val="003276D0"/>
    <w:rsid w:val="0032776C"/>
    <w:rsid w:val="003277BB"/>
    <w:rsid w:val="00327A53"/>
    <w:rsid w:val="00327B2B"/>
    <w:rsid w:val="00327D92"/>
    <w:rsid w:val="00330292"/>
    <w:rsid w:val="003304C1"/>
    <w:rsid w:val="0033050B"/>
    <w:rsid w:val="00330510"/>
    <w:rsid w:val="00330566"/>
    <w:rsid w:val="003305DF"/>
    <w:rsid w:val="003305E0"/>
    <w:rsid w:val="0033088A"/>
    <w:rsid w:val="003309B7"/>
    <w:rsid w:val="00330AB8"/>
    <w:rsid w:val="00330BDA"/>
    <w:rsid w:val="00330D6C"/>
    <w:rsid w:val="00330F62"/>
    <w:rsid w:val="003311A9"/>
    <w:rsid w:val="003313D0"/>
    <w:rsid w:val="003314A4"/>
    <w:rsid w:val="00331655"/>
    <w:rsid w:val="00331746"/>
    <w:rsid w:val="00331A50"/>
    <w:rsid w:val="00331AE1"/>
    <w:rsid w:val="00331B4D"/>
    <w:rsid w:val="00331B91"/>
    <w:rsid w:val="00331B93"/>
    <w:rsid w:val="00331D27"/>
    <w:rsid w:val="00331D4C"/>
    <w:rsid w:val="00331E7A"/>
    <w:rsid w:val="0033204B"/>
    <w:rsid w:val="00332064"/>
    <w:rsid w:val="003320EF"/>
    <w:rsid w:val="00332128"/>
    <w:rsid w:val="003321C0"/>
    <w:rsid w:val="00332243"/>
    <w:rsid w:val="003322BE"/>
    <w:rsid w:val="0033232B"/>
    <w:rsid w:val="003324DD"/>
    <w:rsid w:val="00332528"/>
    <w:rsid w:val="0033255C"/>
    <w:rsid w:val="00332796"/>
    <w:rsid w:val="003328D5"/>
    <w:rsid w:val="00332ECA"/>
    <w:rsid w:val="00332FC0"/>
    <w:rsid w:val="00333160"/>
    <w:rsid w:val="00333565"/>
    <w:rsid w:val="00333604"/>
    <w:rsid w:val="00333801"/>
    <w:rsid w:val="00333D8F"/>
    <w:rsid w:val="00334091"/>
    <w:rsid w:val="003340BA"/>
    <w:rsid w:val="00334171"/>
    <w:rsid w:val="003341B8"/>
    <w:rsid w:val="0033421A"/>
    <w:rsid w:val="00334306"/>
    <w:rsid w:val="00334453"/>
    <w:rsid w:val="0033446A"/>
    <w:rsid w:val="00334586"/>
    <w:rsid w:val="0033469E"/>
    <w:rsid w:val="00334756"/>
    <w:rsid w:val="00334762"/>
    <w:rsid w:val="00334AC5"/>
    <w:rsid w:val="00334AD8"/>
    <w:rsid w:val="00334D78"/>
    <w:rsid w:val="00334DA6"/>
    <w:rsid w:val="00334F36"/>
    <w:rsid w:val="003350C6"/>
    <w:rsid w:val="0033532E"/>
    <w:rsid w:val="0033543B"/>
    <w:rsid w:val="00335621"/>
    <w:rsid w:val="0033593C"/>
    <w:rsid w:val="00335A01"/>
    <w:rsid w:val="00335A90"/>
    <w:rsid w:val="00335B61"/>
    <w:rsid w:val="00335B67"/>
    <w:rsid w:val="00335C33"/>
    <w:rsid w:val="00335CED"/>
    <w:rsid w:val="00335D28"/>
    <w:rsid w:val="00335EA8"/>
    <w:rsid w:val="00335F16"/>
    <w:rsid w:val="00335F76"/>
    <w:rsid w:val="00336042"/>
    <w:rsid w:val="0033604A"/>
    <w:rsid w:val="00336067"/>
    <w:rsid w:val="00336095"/>
    <w:rsid w:val="00336145"/>
    <w:rsid w:val="003361B8"/>
    <w:rsid w:val="0033621F"/>
    <w:rsid w:val="00336389"/>
    <w:rsid w:val="003363A7"/>
    <w:rsid w:val="0033648B"/>
    <w:rsid w:val="0033673C"/>
    <w:rsid w:val="0033690E"/>
    <w:rsid w:val="00336B74"/>
    <w:rsid w:val="00336B8B"/>
    <w:rsid w:val="00336C6B"/>
    <w:rsid w:val="00336E4F"/>
    <w:rsid w:val="0033701D"/>
    <w:rsid w:val="003370C4"/>
    <w:rsid w:val="00337317"/>
    <w:rsid w:val="00337504"/>
    <w:rsid w:val="003375E8"/>
    <w:rsid w:val="003379EA"/>
    <w:rsid w:val="003379F4"/>
    <w:rsid w:val="00337BBE"/>
    <w:rsid w:val="00337BF6"/>
    <w:rsid w:val="00337EDE"/>
    <w:rsid w:val="00337FA3"/>
    <w:rsid w:val="0034000E"/>
    <w:rsid w:val="003400DD"/>
    <w:rsid w:val="00340137"/>
    <w:rsid w:val="003404D1"/>
    <w:rsid w:val="0034056F"/>
    <w:rsid w:val="00340585"/>
    <w:rsid w:val="003405F2"/>
    <w:rsid w:val="0034070B"/>
    <w:rsid w:val="003407BD"/>
    <w:rsid w:val="003407E9"/>
    <w:rsid w:val="003409A5"/>
    <w:rsid w:val="00340A1B"/>
    <w:rsid w:val="0034118E"/>
    <w:rsid w:val="00341293"/>
    <w:rsid w:val="00341299"/>
    <w:rsid w:val="003412B8"/>
    <w:rsid w:val="00341346"/>
    <w:rsid w:val="00341354"/>
    <w:rsid w:val="00341360"/>
    <w:rsid w:val="003413DC"/>
    <w:rsid w:val="0034162A"/>
    <w:rsid w:val="0034179D"/>
    <w:rsid w:val="003417C6"/>
    <w:rsid w:val="003418EB"/>
    <w:rsid w:val="00341A15"/>
    <w:rsid w:val="00341A6A"/>
    <w:rsid w:val="00341BB0"/>
    <w:rsid w:val="00341D07"/>
    <w:rsid w:val="00341D17"/>
    <w:rsid w:val="00341DB6"/>
    <w:rsid w:val="00341F5F"/>
    <w:rsid w:val="00342268"/>
    <w:rsid w:val="003422C4"/>
    <w:rsid w:val="00342567"/>
    <w:rsid w:val="00342632"/>
    <w:rsid w:val="00342676"/>
    <w:rsid w:val="00342713"/>
    <w:rsid w:val="00342A50"/>
    <w:rsid w:val="00342BAD"/>
    <w:rsid w:val="00342C38"/>
    <w:rsid w:val="00342CF0"/>
    <w:rsid w:val="00342F64"/>
    <w:rsid w:val="00343194"/>
    <w:rsid w:val="003432A9"/>
    <w:rsid w:val="003433E1"/>
    <w:rsid w:val="003434D5"/>
    <w:rsid w:val="0034379D"/>
    <w:rsid w:val="003437B3"/>
    <w:rsid w:val="00343964"/>
    <w:rsid w:val="003439C3"/>
    <w:rsid w:val="00343AD2"/>
    <w:rsid w:val="00343B73"/>
    <w:rsid w:val="00343B8B"/>
    <w:rsid w:val="00343D0C"/>
    <w:rsid w:val="00344277"/>
    <w:rsid w:val="003443A4"/>
    <w:rsid w:val="003443FE"/>
    <w:rsid w:val="0034452E"/>
    <w:rsid w:val="00344549"/>
    <w:rsid w:val="003448DE"/>
    <w:rsid w:val="00344903"/>
    <w:rsid w:val="003449F0"/>
    <w:rsid w:val="00344BEA"/>
    <w:rsid w:val="00344DE0"/>
    <w:rsid w:val="00344E5B"/>
    <w:rsid w:val="00344E9E"/>
    <w:rsid w:val="00344EFB"/>
    <w:rsid w:val="003452DE"/>
    <w:rsid w:val="00345339"/>
    <w:rsid w:val="00345356"/>
    <w:rsid w:val="0034552D"/>
    <w:rsid w:val="00345783"/>
    <w:rsid w:val="00345B6C"/>
    <w:rsid w:val="00345C66"/>
    <w:rsid w:val="00345E4C"/>
    <w:rsid w:val="00345E86"/>
    <w:rsid w:val="00345FCE"/>
    <w:rsid w:val="00346128"/>
    <w:rsid w:val="00346228"/>
    <w:rsid w:val="00346377"/>
    <w:rsid w:val="00346588"/>
    <w:rsid w:val="003465F9"/>
    <w:rsid w:val="00346622"/>
    <w:rsid w:val="00346730"/>
    <w:rsid w:val="00346970"/>
    <w:rsid w:val="00346A09"/>
    <w:rsid w:val="00346B60"/>
    <w:rsid w:val="00346C49"/>
    <w:rsid w:val="00346DD2"/>
    <w:rsid w:val="00346E0C"/>
    <w:rsid w:val="00346F04"/>
    <w:rsid w:val="00346F87"/>
    <w:rsid w:val="00347242"/>
    <w:rsid w:val="0034727F"/>
    <w:rsid w:val="00347301"/>
    <w:rsid w:val="00347325"/>
    <w:rsid w:val="0034739C"/>
    <w:rsid w:val="00347583"/>
    <w:rsid w:val="003478B2"/>
    <w:rsid w:val="0034790A"/>
    <w:rsid w:val="00347B43"/>
    <w:rsid w:val="00347BC0"/>
    <w:rsid w:val="00347F64"/>
    <w:rsid w:val="0035013A"/>
    <w:rsid w:val="00350149"/>
    <w:rsid w:val="003501D6"/>
    <w:rsid w:val="003501F4"/>
    <w:rsid w:val="0035028B"/>
    <w:rsid w:val="003502AD"/>
    <w:rsid w:val="003503A8"/>
    <w:rsid w:val="0035045F"/>
    <w:rsid w:val="00350736"/>
    <w:rsid w:val="00350800"/>
    <w:rsid w:val="0035088C"/>
    <w:rsid w:val="00350C18"/>
    <w:rsid w:val="00350E6F"/>
    <w:rsid w:val="00350FD8"/>
    <w:rsid w:val="0035142E"/>
    <w:rsid w:val="003515AF"/>
    <w:rsid w:val="00351616"/>
    <w:rsid w:val="00351839"/>
    <w:rsid w:val="00351860"/>
    <w:rsid w:val="003519C6"/>
    <w:rsid w:val="00351DE1"/>
    <w:rsid w:val="00351EF8"/>
    <w:rsid w:val="0035207E"/>
    <w:rsid w:val="003520B5"/>
    <w:rsid w:val="003520E8"/>
    <w:rsid w:val="003520F9"/>
    <w:rsid w:val="00352472"/>
    <w:rsid w:val="0035252D"/>
    <w:rsid w:val="0035256D"/>
    <w:rsid w:val="003525BA"/>
    <w:rsid w:val="00352ABC"/>
    <w:rsid w:val="00352D67"/>
    <w:rsid w:val="00352DBD"/>
    <w:rsid w:val="00352ECD"/>
    <w:rsid w:val="003531E5"/>
    <w:rsid w:val="003533D2"/>
    <w:rsid w:val="0035340B"/>
    <w:rsid w:val="00353479"/>
    <w:rsid w:val="00353500"/>
    <w:rsid w:val="00353638"/>
    <w:rsid w:val="00353689"/>
    <w:rsid w:val="00353AE7"/>
    <w:rsid w:val="00353C8E"/>
    <w:rsid w:val="00353FB7"/>
    <w:rsid w:val="0035403B"/>
    <w:rsid w:val="00354138"/>
    <w:rsid w:val="003541D1"/>
    <w:rsid w:val="003542DD"/>
    <w:rsid w:val="003544D0"/>
    <w:rsid w:val="00354711"/>
    <w:rsid w:val="00354731"/>
    <w:rsid w:val="003547B4"/>
    <w:rsid w:val="00354945"/>
    <w:rsid w:val="00354992"/>
    <w:rsid w:val="00354AA0"/>
    <w:rsid w:val="00354BB0"/>
    <w:rsid w:val="00354D62"/>
    <w:rsid w:val="00354DCD"/>
    <w:rsid w:val="00354E20"/>
    <w:rsid w:val="00354E55"/>
    <w:rsid w:val="00354E91"/>
    <w:rsid w:val="00354EB9"/>
    <w:rsid w:val="00354EF4"/>
    <w:rsid w:val="00354FD4"/>
    <w:rsid w:val="00355052"/>
    <w:rsid w:val="003555C1"/>
    <w:rsid w:val="0035569F"/>
    <w:rsid w:val="0035581E"/>
    <w:rsid w:val="00355946"/>
    <w:rsid w:val="00355D26"/>
    <w:rsid w:val="00355DE7"/>
    <w:rsid w:val="00355E56"/>
    <w:rsid w:val="00355FBF"/>
    <w:rsid w:val="003560C0"/>
    <w:rsid w:val="003561D4"/>
    <w:rsid w:val="00356275"/>
    <w:rsid w:val="003562A1"/>
    <w:rsid w:val="00356317"/>
    <w:rsid w:val="0035636D"/>
    <w:rsid w:val="00356371"/>
    <w:rsid w:val="003564C0"/>
    <w:rsid w:val="00356561"/>
    <w:rsid w:val="00356618"/>
    <w:rsid w:val="003568BC"/>
    <w:rsid w:val="00356C88"/>
    <w:rsid w:val="00356D07"/>
    <w:rsid w:val="003570C2"/>
    <w:rsid w:val="0035714C"/>
    <w:rsid w:val="003573B3"/>
    <w:rsid w:val="00357530"/>
    <w:rsid w:val="0035774A"/>
    <w:rsid w:val="00357864"/>
    <w:rsid w:val="003579A1"/>
    <w:rsid w:val="00357AA4"/>
    <w:rsid w:val="00357AC2"/>
    <w:rsid w:val="00357C60"/>
    <w:rsid w:val="00357DF1"/>
    <w:rsid w:val="00357EA7"/>
    <w:rsid w:val="00360027"/>
    <w:rsid w:val="0036029E"/>
    <w:rsid w:val="0036033E"/>
    <w:rsid w:val="003604F3"/>
    <w:rsid w:val="0036056A"/>
    <w:rsid w:val="00360572"/>
    <w:rsid w:val="0036070D"/>
    <w:rsid w:val="00360758"/>
    <w:rsid w:val="003607AE"/>
    <w:rsid w:val="003608D5"/>
    <w:rsid w:val="003609B6"/>
    <w:rsid w:val="00360A31"/>
    <w:rsid w:val="00360A5D"/>
    <w:rsid w:val="00360A78"/>
    <w:rsid w:val="00360E6B"/>
    <w:rsid w:val="00360F32"/>
    <w:rsid w:val="003610C5"/>
    <w:rsid w:val="0036115B"/>
    <w:rsid w:val="00361222"/>
    <w:rsid w:val="0036136F"/>
    <w:rsid w:val="00361417"/>
    <w:rsid w:val="0036156E"/>
    <w:rsid w:val="00361746"/>
    <w:rsid w:val="003618A5"/>
    <w:rsid w:val="00361963"/>
    <w:rsid w:val="00361989"/>
    <w:rsid w:val="00361BF3"/>
    <w:rsid w:val="00361DF6"/>
    <w:rsid w:val="00361E8D"/>
    <w:rsid w:val="00361ED2"/>
    <w:rsid w:val="003622C6"/>
    <w:rsid w:val="003624BB"/>
    <w:rsid w:val="003627BF"/>
    <w:rsid w:val="0036281C"/>
    <w:rsid w:val="00362B08"/>
    <w:rsid w:val="00362B49"/>
    <w:rsid w:val="00362C8B"/>
    <w:rsid w:val="0036304D"/>
    <w:rsid w:val="00363071"/>
    <w:rsid w:val="003634AF"/>
    <w:rsid w:val="00363651"/>
    <w:rsid w:val="0036365B"/>
    <w:rsid w:val="00363765"/>
    <w:rsid w:val="0036378F"/>
    <w:rsid w:val="0036399B"/>
    <w:rsid w:val="00363A6D"/>
    <w:rsid w:val="00363C2E"/>
    <w:rsid w:val="00363C80"/>
    <w:rsid w:val="00363D17"/>
    <w:rsid w:val="00363F28"/>
    <w:rsid w:val="00363FC1"/>
    <w:rsid w:val="00364294"/>
    <w:rsid w:val="0036434D"/>
    <w:rsid w:val="00364617"/>
    <w:rsid w:val="00364658"/>
    <w:rsid w:val="00364878"/>
    <w:rsid w:val="003649E4"/>
    <w:rsid w:val="00364A3B"/>
    <w:rsid w:val="00364B25"/>
    <w:rsid w:val="00364B60"/>
    <w:rsid w:val="00364BC8"/>
    <w:rsid w:val="00364C6A"/>
    <w:rsid w:val="00364E2A"/>
    <w:rsid w:val="00364E2E"/>
    <w:rsid w:val="00364E95"/>
    <w:rsid w:val="00364F74"/>
    <w:rsid w:val="0036506C"/>
    <w:rsid w:val="003650F2"/>
    <w:rsid w:val="0036523C"/>
    <w:rsid w:val="00365293"/>
    <w:rsid w:val="003653DD"/>
    <w:rsid w:val="00365435"/>
    <w:rsid w:val="0036550F"/>
    <w:rsid w:val="003655B5"/>
    <w:rsid w:val="00365707"/>
    <w:rsid w:val="0036573E"/>
    <w:rsid w:val="00365AF3"/>
    <w:rsid w:val="00365B27"/>
    <w:rsid w:val="00365CF9"/>
    <w:rsid w:val="00365F2F"/>
    <w:rsid w:val="0036612E"/>
    <w:rsid w:val="003661B5"/>
    <w:rsid w:val="003662BA"/>
    <w:rsid w:val="003662E7"/>
    <w:rsid w:val="0036632F"/>
    <w:rsid w:val="00366340"/>
    <w:rsid w:val="003664EE"/>
    <w:rsid w:val="00366519"/>
    <w:rsid w:val="0036674C"/>
    <w:rsid w:val="00366788"/>
    <w:rsid w:val="00366949"/>
    <w:rsid w:val="0036697B"/>
    <w:rsid w:val="00366BCB"/>
    <w:rsid w:val="00366E28"/>
    <w:rsid w:val="0036703D"/>
    <w:rsid w:val="00367145"/>
    <w:rsid w:val="00367444"/>
    <w:rsid w:val="00367454"/>
    <w:rsid w:val="003676AF"/>
    <w:rsid w:val="00367756"/>
    <w:rsid w:val="00367952"/>
    <w:rsid w:val="00367A0A"/>
    <w:rsid w:val="00367C44"/>
    <w:rsid w:val="00367D15"/>
    <w:rsid w:val="00367DAB"/>
    <w:rsid w:val="00367DFB"/>
    <w:rsid w:val="00367E0D"/>
    <w:rsid w:val="00367E94"/>
    <w:rsid w:val="00367EA8"/>
    <w:rsid w:val="00367EEF"/>
    <w:rsid w:val="0037001F"/>
    <w:rsid w:val="00370065"/>
    <w:rsid w:val="0037014B"/>
    <w:rsid w:val="003701DE"/>
    <w:rsid w:val="0037033E"/>
    <w:rsid w:val="003706DF"/>
    <w:rsid w:val="003706FE"/>
    <w:rsid w:val="00370710"/>
    <w:rsid w:val="00370848"/>
    <w:rsid w:val="0037095D"/>
    <w:rsid w:val="00370A78"/>
    <w:rsid w:val="00370B20"/>
    <w:rsid w:val="00371063"/>
    <w:rsid w:val="0037131A"/>
    <w:rsid w:val="0037167C"/>
    <w:rsid w:val="0037169E"/>
    <w:rsid w:val="003716F0"/>
    <w:rsid w:val="0037193D"/>
    <w:rsid w:val="00371A09"/>
    <w:rsid w:val="00371A3D"/>
    <w:rsid w:val="00371B7B"/>
    <w:rsid w:val="00371D50"/>
    <w:rsid w:val="00371DAA"/>
    <w:rsid w:val="00371DEA"/>
    <w:rsid w:val="00371F3D"/>
    <w:rsid w:val="00371F70"/>
    <w:rsid w:val="0037203F"/>
    <w:rsid w:val="003721D1"/>
    <w:rsid w:val="003722C9"/>
    <w:rsid w:val="003723E2"/>
    <w:rsid w:val="0037249B"/>
    <w:rsid w:val="003724F2"/>
    <w:rsid w:val="003725E6"/>
    <w:rsid w:val="003726AD"/>
    <w:rsid w:val="00372A1E"/>
    <w:rsid w:val="00372AF7"/>
    <w:rsid w:val="00372C75"/>
    <w:rsid w:val="00372D48"/>
    <w:rsid w:val="00372E7C"/>
    <w:rsid w:val="003733F0"/>
    <w:rsid w:val="003734F0"/>
    <w:rsid w:val="00373735"/>
    <w:rsid w:val="00373769"/>
    <w:rsid w:val="0037379C"/>
    <w:rsid w:val="003737A2"/>
    <w:rsid w:val="00373B68"/>
    <w:rsid w:val="00373B96"/>
    <w:rsid w:val="00373C0D"/>
    <w:rsid w:val="00373C96"/>
    <w:rsid w:val="00373CDF"/>
    <w:rsid w:val="00373CF7"/>
    <w:rsid w:val="00373D35"/>
    <w:rsid w:val="00373D49"/>
    <w:rsid w:val="00373DAD"/>
    <w:rsid w:val="00373F69"/>
    <w:rsid w:val="0037411A"/>
    <w:rsid w:val="003745CB"/>
    <w:rsid w:val="003746A3"/>
    <w:rsid w:val="003747A0"/>
    <w:rsid w:val="00374820"/>
    <w:rsid w:val="0037487A"/>
    <w:rsid w:val="003748A6"/>
    <w:rsid w:val="003749C1"/>
    <w:rsid w:val="003749F5"/>
    <w:rsid w:val="00374AAC"/>
    <w:rsid w:val="00374C1D"/>
    <w:rsid w:val="00374F67"/>
    <w:rsid w:val="00375188"/>
    <w:rsid w:val="0037527A"/>
    <w:rsid w:val="0037543B"/>
    <w:rsid w:val="0037566F"/>
    <w:rsid w:val="00375728"/>
    <w:rsid w:val="003759DC"/>
    <w:rsid w:val="00375A7E"/>
    <w:rsid w:val="00375DD7"/>
    <w:rsid w:val="00376108"/>
    <w:rsid w:val="003761EB"/>
    <w:rsid w:val="003762A8"/>
    <w:rsid w:val="003762CA"/>
    <w:rsid w:val="003764C8"/>
    <w:rsid w:val="003765DD"/>
    <w:rsid w:val="0037666D"/>
    <w:rsid w:val="003766DC"/>
    <w:rsid w:val="00376A2E"/>
    <w:rsid w:val="00376B34"/>
    <w:rsid w:val="00376C28"/>
    <w:rsid w:val="00376E6D"/>
    <w:rsid w:val="00376FD9"/>
    <w:rsid w:val="003770EA"/>
    <w:rsid w:val="00377191"/>
    <w:rsid w:val="003771B8"/>
    <w:rsid w:val="003771D8"/>
    <w:rsid w:val="003771FB"/>
    <w:rsid w:val="003772AA"/>
    <w:rsid w:val="00377358"/>
    <w:rsid w:val="0037737F"/>
    <w:rsid w:val="003774CC"/>
    <w:rsid w:val="00377534"/>
    <w:rsid w:val="003777D9"/>
    <w:rsid w:val="0037787D"/>
    <w:rsid w:val="00377A35"/>
    <w:rsid w:val="00377A8B"/>
    <w:rsid w:val="00377C35"/>
    <w:rsid w:val="00377C90"/>
    <w:rsid w:val="00377FB9"/>
    <w:rsid w:val="00377FC7"/>
    <w:rsid w:val="00380029"/>
    <w:rsid w:val="0038003B"/>
    <w:rsid w:val="003804CE"/>
    <w:rsid w:val="003805DA"/>
    <w:rsid w:val="003806E4"/>
    <w:rsid w:val="003807CC"/>
    <w:rsid w:val="00380B60"/>
    <w:rsid w:val="00380C4A"/>
    <w:rsid w:val="00380EDC"/>
    <w:rsid w:val="003810E3"/>
    <w:rsid w:val="003811F6"/>
    <w:rsid w:val="003812CB"/>
    <w:rsid w:val="003812CF"/>
    <w:rsid w:val="003815FB"/>
    <w:rsid w:val="00381655"/>
    <w:rsid w:val="0038167C"/>
    <w:rsid w:val="00381903"/>
    <w:rsid w:val="0038197E"/>
    <w:rsid w:val="0038199B"/>
    <w:rsid w:val="00381AA2"/>
    <w:rsid w:val="00381B24"/>
    <w:rsid w:val="00381BB9"/>
    <w:rsid w:val="00381CC0"/>
    <w:rsid w:val="00381E2A"/>
    <w:rsid w:val="00381E55"/>
    <w:rsid w:val="00381E59"/>
    <w:rsid w:val="00381F96"/>
    <w:rsid w:val="00381FB7"/>
    <w:rsid w:val="003821CA"/>
    <w:rsid w:val="00382207"/>
    <w:rsid w:val="0038227F"/>
    <w:rsid w:val="0038238F"/>
    <w:rsid w:val="00382537"/>
    <w:rsid w:val="00382681"/>
    <w:rsid w:val="003828B1"/>
    <w:rsid w:val="00382971"/>
    <w:rsid w:val="00382C18"/>
    <w:rsid w:val="00382CFE"/>
    <w:rsid w:val="00382F40"/>
    <w:rsid w:val="00383123"/>
    <w:rsid w:val="00383216"/>
    <w:rsid w:val="0038331A"/>
    <w:rsid w:val="00383368"/>
    <w:rsid w:val="00383498"/>
    <w:rsid w:val="00383622"/>
    <w:rsid w:val="00383682"/>
    <w:rsid w:val="0038383F"/>
    <w:rsid w:val="0038385F"/>
    <w:rsid w:val="00383995"/>
    <w:rsid w:val="003839D2"/>
    <w:rsid w:val="00383AD3"/>
    <w:rsid w:val="00383AE8"/>
    <w:rsid w:val="00383C65"/>
    <w:rsid w:val="00383D0D"/>
    <w:rsid w:val="00383E06"/>
    <w:rsid w:val="00383F55"/>
    <w:rsid w:val="00383F74"/>
    <w:rsid w:val="0038400B"/>
    <w:rsid w:val="00384302"/>
    <w:rsid w:val="0038433B"/>
    <w:rsid w:val="0038457C"/>
    <w:rsid w:val="0038458A"/>
    <w:rsid w:val="003845EC"/>
    <w:rsid w:val="00384799"/>
    <w:rsid w:val="003848B2"/>
    <w:rsid w:val="00384954"/>
    <w:rsid w:val="00384AD8"/>
    <w:rsid w:val="00384AE6"/>
    <w:rsid w:val="00384DAC"/>
    <w:rsid w:val="00384E44"/>
    <w:rsid w:val="00384E4F"/>
    <w:rsid w:val="0038503F"/>
    <w:rsid w:val="00385124"/>
    <w:rsid w:val="0038515D"/>
    <w:rsid w:val="00385169"/>
    <w:rsid w:val="0038528E"/>
    <w:rsid w:val="00385546"/>
    <w:rsid w:val="00385758"/>
    <w:rsid w:val="003857F8"/>
    <w:rsid w:val="00385843"/>
    <w:rsid w:val="00385AED"/>
    <w:rsid w:val="00385B32"/>
    <w:rsid w:val="00385C1D"/>
    <w:rsid w:val="00385CB6"/>
    <w:rsid w:val="00385DAA"/>
    <w:rsid w:val="003860E1"/>
    <w:rsid w:val="00386152"/>
    <w:rsid w:val="00386A7E"/>
    <w:rsid w:val="00386B2B"/>
    <w:rsid w:val="00386B60"/>
    <w:rsid w:val="00386B63"/>
    <w:rsid w:val="00386CBE"/>
    <w:rsid w:val="00386D8A"/>
    <w:rsid w:val="00386DBC"/>
    <w:rsid w:val="0038702B"/>
    <w:rsid w:val="003870B8"/>
    <w:rsid w:val="003873A9"/>
    <w:rsid w:val="003875CA"/>
    <w:rsid w:val="003877CA"/>
    <w:rsid w:val="00387813"/>
    <w:rsid w:val="0038782B"/>
    <w:rsid w:val="003878CF"/>
    <w:rsid w:val="00387900"/>
    <w:rsid w:val="00387991"/>
    <w:rsid w:val="00387B14"/>
    <w:rsid w:val="00387C18"/>
    <w:rsid w:val="00387DCD"/>
    <w:rsid w:val="00387E20"/>
    <w:rsid w:val="00387EF3"/>
    <w:rsid w:val="00387F1F"/>
    <w:rsid w:val="003900FF"/>
    <w:rsid w:val="00390443"/>
    <w:rsid w:val="003906F3"/>
    <w:rsid w:val="0039072F"/>
    <w:rsid w:val="003908FC"/>
    <w:rsid w:val="0039090A"/>
    <w:rsid w:val="00390B79"/>
    <w:rsid w:val="00390BD2"/>
    <w:rsid w:val="00390CB4"/>
    <w:rsid w:val="00390CF7"/>
    <w:rsid w:val="00390D66"/>
    <w:rsid w:val="00390DCD"/>
    <w:rsid w:val="00390E29"/>
    <w:rsid w:val="00391287"/>
    <w:rsid w:val="003912C5"/>
    <w:rsid w:val="003913FD"/>
    <w:rsid w:val="00391485"/>
    <w:rsid w:val="0039156F"/>
    <w:rsid w:val="003916A4"/>
    <w:rsid w:val="003918CF"/>
    <w:rsid w:val="003919AF"/>
    <w:rsid w:val="00391BC6"/>
    <w:rsid w:val="00391EB6"/>
    <w:rsid w:val="00391ECA"/>
    <w:rsid w:val="00392016"/>
    <w:rsid w:val="00392047"/>
    <w:rsid w:val="00392077"/>
    <w:rsid w:val="0039211E"/>
    <w:rsid w:val="00392283"/>
    <w:rsid w:val="0039228E"/>
    <w:rsid w:val="00392348"/>
    <w:rsid w:val="003923E5"/>
    <w:rsid w:val="0039260B"/>
    <w:rsid w:val="0039275B"/>
    <w:rsid w:val="00392771"/>
    <w:rsid w:val="003927AD"/>
    <w:rsid w:val="00392977"/>
    <w:rsid w:val="003929D0"/>
    <w:rsid w:val="003929DD"/>
    <w:rsid w:val="00392C70"/>
    <w:rsid w:val="00392C89"/>
    <w:rsid w:val="00392D3F"/>
    <w:rsid w:val="00392DCA"/>
    <w:rsid w:val="00392EFD"/>
    <w:rsid w:val="00392F3D"/>
    <w:rsid w:val="0039306F"/>
    <w:rsid w:val="003931E0"/>
    <w:rsid w:val="00393324"/>
    <w:rsid w:val="00393357"/>
    <w:rsid w:val="00393469"/>
    <w:rsid w:val="003934DA"/>
    <w:rsid w:val="00393535"/>
    <w:rsid w:val="00393537"/>
    <w:rsid w:val="0039363D"/>
    <w:rsid w:val="00393665"/>
    <w:rsid w:val="00393788"/>
    <w:rsid w:val="00393A6B"/>
    <w:rsid w:val="00393BEF"/>
    <w:rsid w:val="00393C58"/>
    <w:rsid w:val="00393CEC"/>
    <w:rsid w:val="00393D4B"/>
    <w:rsid w:val="003941F5"/>
    <w:rsid w:val="0039477A"/>
    <w:rsid w:val="0039487F"/>
    <w:rsid w:val="00394957"/>
    <w:rsid w:val="00394B0A"/>
    <w:rsid w:val="00394C85"/>
    <w:rsid w:val="00394EDA"/>
    <w:rsid w:val="00394F57"/>
    <w:rsid w:val="00394F8A"/>
    <w:rsid w:val="00394FEE"/>
    <w:rsid w:val="003954C1"/>
    <w:rsid w:val="00395740"/>
    <w:rsid w:val="003958B1"/>
    <w:rsid w:val="0039593B"/>
    <w:rsid w:val="003959BA"/>
    <w:rsid w:val="00395A71"/>
    <w:rsid w:val="00395B0F"/>
    <w:rsid w:val="00395BB6"/>
    <w:rsid w:val="00395BD1"/>
    <w:rsid w:val="00395D7B"/>
    <w:rsid w:val="00395DB2"/>
    <w:rsid w:val="0039608A"/>
    <w:rsid w:val="0039614D"/>
    <w:rsid w:val="003961B1"/>
    <w:rsid w:val="003961D8"/>
    <w:rsid w:val="0039630F"/>
    <w:rsid w:val="00396418"/>
    <w:rsid w:val="00396557"/>
    <w:rsid w:val="0039658E"/>
    <w:rsid w:val="00396780"/>
    <w:rsid w:val="0039697E"/>
    <w:rsid w:val="0039698C"/>
    <w:rsid w:val="00396B87"/>
    <w:rsid w:val="00396BBE"/>
    <w:rsid w:val="00396CF0"/>
    <w:rsid w:val="00396E5B"/>
    <w:rsid w:val="00396EEE"/>
    <w:rsid w:val="00396EF5"/>
    <w:rsid w:val="00396F47"/>
    <w:rsid w:val="00397102"/>
    <w:rsid w:val="003972B8"/>
    <w:rsid w:val="0039731C"/>
    <w:rsid w:val="003974C2"/>
    <w:rsid w:val="003974EB"/>
    <w:rsid w:val="00397544"/>
    <w:rsid w:val="0039760D"/>
    <w:rsid w:val="00397622"/>
    <w:rsid w:val="003976B5"/>
    <w:rsid w:val="00397770"/>
    <w:rsid w:val="00397940"/>
    <w:rsid w:val="00397950"/>
    <w:rsid w:val="00397BA8"/>
    <w:rsid w:val="00397D2B"/>
    <w:rsid w:val="00397E0B"/>
    <w:rsid w:val="003A0025"/>
    <w:rsid w:val="003A0062"/>
    <w:rsid w:val="003A01D8"/>
    <w:rsid w:val="003A03FC"/>
    <w:rsid w:val="003A0529"/>
    <w:rsid w:val="003A055D"/>
    <w:rsid w:val="003A05A0"/>
    <w:rsid w:val="003A06BB"/>
    <w:rsid w:val="003A07B3"/>
    <w:rsid w:val="003A0859"/>
    <w:rsid w:val="003A08A2"/>
    <w:rsid w:val="003A08E8"/>
    <w:rsid w:val="003A0906"/>
    <w:rsid w:val="003A09DF"/>
    <w:rsid w:val="003A0A1B"/>
    <w:rsid w:val="003A0AFC"/>
    <w:rsid w:val="003A0D92"/>
    <w:rsid w:val="003A0E07"/>
    <w:rsid w:val="003A0FDF"/>
    <w:rsid w:val="003A0FF3"/>
    <w:rsid w:val="003A14D5"/>
    <w:rsid w:val="003A1554"/>
    <w:rsid w:val="003A165D"/>
    <w:rsid w:val="003A1700"/>
    <w:rsid w:val="003A175C"/>
    <w:rsid w:val="003A191E"/>
    <w:rsid w:val="003A194D"/>
    <w:rsid w:val="003A1EBA"/>
    <w:rsid w:val="003A2028"/>
    <w:rsid w:val="003A22C7"/>
    <w:rsid w:val="003A235D"/>
    <w:rsid w:val="003A2617"/>
    <w:rsid w:val="003A26EE"/>
    <w:rsid w:val="003A29DF"/>
    <w:rsid w:val="003A2CEA"/>
    <w:rsid w:val="003A2E3A"/>
    <w:rsid w:val="003A2FB2"/>
    <w:rsid w:val="003A3199"/>
    <w:rsid w:val="003A31F1"/>
    <w:rsid w:val="003A32C3"/>
    <w:rsid w:val="003A3712"/>
    <w:rsid w:val="003A38C5"/>
    <w:rsid w:val="003A390F"/>
    <w:rsid w:val="003A395C"/>
    <w:rsid w:val="003A3AF0"/>
    <w:rsid w:val="003A3FB8"/>
    <w:rsid w:val="003A3FC6"/>
    <w:rsid w:val="003A4064"/>
    <w:rsid w:val="003A4128"/>
    <w:rsid w:val="003A4225"/>
    <w:rsid w:val="003A42BD"/>
    <w:rsid w:val="003A44AF"/>
    <w:rsid w:val="003A45F5"/>
    <w:rsid w:val="003A4853"/>
    <w:rsid w:val="003A4DD8"/>
    <w:rsid w:val="003A4F02"/>
    <w:rsid w:val="003A4FDC"/>
    <w:rsid w:val="003A50B2"/>
    <w:rsid w:val="003A5132"/>
    <w:rsid w:val="003A51C1"/>
    <w:rsid w:val="003A5268"/>
    <w:rsid w:val="003A5279"/>
    <w:rsid w:val="003A54C2"/>
    <w:rsid w:val="003A5672"/>
    <w:rsid w:val="003A58E7"/>
    <w:rsid w:val="003A5A83"/>
    <w:rsid w:val="003A5B0E"/>
    <w:rsid w:val="003A5BAF"/>
    <w:rsid w:val="003A5D65"/>
    <w:rsid w:val="003A5E16"/>
    <w:rsid w:val="003A5ED4"/>
    <w:rsid w:val="003A6262"/>
    <w:rsid w:val="003A660D"/>
    <w:rsid w:val="003A6695"/>
    <w:rsid w:val="003A669F"/>
    <w:rsid w:val="003A6761"/>
    <w:rsid w:val="003A6819"/>
    <w:rsid w:val="003A6DBC"/>
    <w:rsid w:val="003A7009"/>
    <w:rsid w:val="003A726E"/>
    <w:rsid w:val="003A75F5"/>
    <w:rsid w:val="003A765F"/>
    <w:rsid w:val="003A79AD"/>
    <w:rsid w:val="003A7BCC"/>
    <w:rsid w:val="003A7CCB"/>
    <w:rsid w:val="003A7E6F"/>
    <w:rsid w:val="003A7F0E"/>
    <w:rsid w:val="003B0015"/>
    <w:rsid w:val="003B0038"/>
    <w:rsid w:val="003B017B"/>
    <w:rsid w:val="003B018F"/>
    <w:rsid w:val="003B01C2"/>
    <w:rsid w:val="003B06C0"/>
    <w:rsid w:val="003B078B"/>
    <w:rsid w:val="003B07B2"/>
    <w:rsid w:val="003B0BA1"/>
    <w:rsid w:val="003B0D27"/>
    <w:rsid w:val="003B0D4C"/>
    <w:rsid w:val="003B0EA6"/>
    <w:rsid w:val="003B1064"/>
    <w:rsid w:val="003B1403"/>
    <w:rsid w:val="003B1535"/>
    <w:rsid w:val="003B1624"/>
    <w:rsid w:val="003B1743"/>
    <w:rsid w:val="003B1988"/>
    <w:rsid w:val="003B1D3C"/>
    <w:rsid w:val="003B1E46"/>
    <w:rsid w:val="003B1EE2"/>
    <w:rsid w:val="003B207F"/>
    <w:rsid w:val="003B20FD"/>
    <w:rsid w:val="003B21D9"/>
    <w:rsid w:val="003B228D"/>
    <w:rsid w:val="003B2474"/>
    <w:rsid w:val="003B2508"/>
    <w:rsid w:val="003B2653"/>
    <w:rsid w:val="003B2837"/>
    <w:rsid w:val="003B2958"/>
    <w:rsid w:val="003B2AD5"/>
    <w:rsid w:val="003B2B6D"/>
    <w:rsid w:val="003B2C38"/>
    <w:rsid w:val="003B2C66"/>
    <w:rsid w:val="003B2D35"/>
    <w:rsid w:val="003B2DE7"/>
    <w:rsid w:val="003B2E46"/>
    <w:rsid w:val="003B2E93"/>
    <w:rsid w:val="003B2EE1"/>
    <w:rsid w:val="003B2F10"/>
    <w:rsid w:val="003B2FC7"/>
    <w:rsid w:val="003B306D"/>
    <w:rsid w:val="003B30D5"/>
    <w:rsid w:val="003B3124"/>
    <w:rsid w:val="003B3485"/>
    <w:rsid w:val="003B3573"/>
    <w:rsid w:val="003B3774"/>
    <w:rsid w:val="003B386D"/>
    <w:rsid w:val="003B390C"/>
    <w:rsid w:val="003B3A10"/>
    <w:rsid w:val="003B3B03"/>
    <w:rsid w:val="003B3C6D"/>
    <w:rsid w:val="003B3E45"/>
    <w:rsid w:val="003B3F77"/>
    <w:rsid w:val="003B4019"/>
    <w:rsid w:val="003B407F"/>
    <w:rsid w:val="003B4251"/>
    <w:rsid w:val="003B4298"/>
    <w:rsid w:val="003B42FA"/>
    <w:rsid w:val="003B4303"/>
    <w:rsid w:val="003B4586"/>
    <w:rsid w:val="003B45D4"/>
    <w:rsid w:val="003B45DB"/>
    <w:rsid w:val="003B47BC"/>
    <w:rsid w:val="003B47FC"/>
    <w:rsid w:val="003B49B1"/>
    <w:rsid w:val="003B4A54"/>
    <w:rsid w:val="003B4A69"/>
    <w:rsid w:val="003B4A87"/>
    <w:rsid w:val="003B4CB5"/>
    <w:rsid w:val="003B4D47"/>
    <w:rsid w:val="003B4F5E"/>
    <w:rsid w:val="003B4FDB"/>
    <w:rsid w:val="003B5039"/>
    <w:rsid w:val="003B53DE"/>
    <w:rsid w:val="003B5405"/>
    <w:rsid w:val="003B54DE"/>
    <w:rsid w:val="003B5A8D"/>
    <w:rsid w:val="003B5AD3"/>
    <w:rsid w:val="003B5C1B"/>
    <w:rsid w:val="003B5C2C"/>
    <w:rsid w:val="003B5C39"/>
    <w:rsid w:val="003B6064"/>
    <w:rsid w:val="003B6069"/>
    <w:rsid w:val="003B60D9"/>
    <w:rsid w:val="003B6114"/>
    <w:rsid w:val="003B622B"/>
    <w:rsid w:val="003B630B"/>
    <w:rsid w:val="003B6334"/>
    <w:rsid w:val="003B6394"/>
    <w:rsid w:val="003B63A6"/>
    <w:rsid w:val="003B651A"/>
    <w:rsid w:val="003B6542"/>
    <w:rsid w:val="003B6577"/>
    <w:rsid w:val="003B67FA"/>
    <w:rsid w:val="003B6892"/>
    <w:rsid w:val="003B693E"/>
    <w:rsid w:val="003B696C"/>
    <w:rsid w:val="003B6A58"/>
    <w:rsid w:val="003B6B2E"/>
    <w:rsid w:val="003B6BB7"/>
    <w:rsid w:val="003B6C8F"/>
    <w:rsid w:val="003B6CF4"/>
    <w:rsid w:val="003B6D46"/>
    <w:rsid w:val="003B6D8C"/>
    <w:rsid w:val="003B6ED8"/>
    <w:rsid w:val="003B6FCA"/>
    <w:rsid w:val="003B70E3"/>
    <w:rsid w:val="003B72AE"/>
    <w:rsid w:val="003B7429"/>
    <w:rsid w:val="003B7479"/>
    <w:rsid w:val="003B75D0"/>
    <w:rsid w:val="003B7638"/>
    <w:rsid w:val="003B76F9"/>
    <w:rsid w:val="003B79AF"/>
    <w:rsid w:val="003B79C3"/>
    <w:rsid w:val="003B7A97"/>
    <w:rsid w:val="003B7C8F"/>
    <w:rsid w:val="003B7D52"/>
    <w:rsid w:val="003B7E5F"/>
    <w:rsid w:val="003B7ED6"/>
    <w:rsid w:val="003C0533"/>
    <w:rsid w:val="003C05C1"/>
    <w:rsid w:val="003C084E"/>
    <w:rsid w:val="003C08C4"/>
    <w:rsid w:val="003C08CC"/>
    <w:rsid w:val="003C09FB"/>
    <w:rsid w:val="003C0BDB"/>
    <w:rsid w:val="003C0C3E"/>
    <w:rsid w:val="003C0D86"/>
    <w:rsid w:val="003C0DDF"/>
    <w:rsid w:val="003C11A4"/>
    <w:rsid w:val="003C13EE"/>
    <w:rsid w:val="003C15C0"/>
    <w:rsid w:val="003C1753"/>
    <w:rsid w:val="003C182B"/>
    <w:rsid w:val="003C18C8"/>
    <w:rsid w:val="003C18E9"/>
    <w:rsid w:val="003C1942"/>
    <w:rsid w:val="003C194A"/>
    <w:rsid w:val="003C197E"/>
    <w:rsid w:val="003C1B93"/>
    <w:rsid w:val="003C1B95"/>
    <w:rsid w:val="003C1C0B"/>
    <w:rsid w:val="003C1E3E"/>
    <w:rsid w:val="003C1E7A"/>
    <w:rsid w:val="003C213D"/>
    <w:rsid w:val="003C2372"/>
    <w:rsid w:val="003C2456"/>
    <w:rsid w:val="003C2577"/>
    <w:rsid w:val="003C25AE"/>
    <w:rsid w:val="003C261F"/>
    <w:rsid w:val="003C28F9"/>
    <w:rsid w:val="003C2A34"/>
    <w:rsid w:val="003C2B35"/>
    <w:rsid w:val="003C2BE8"/>
    <w:rsid w:val="003C2C99"/>
    <w:rsid w:val="003C2D21"/>
    <w:rsid w:val="003C2E9B"/>
    <w:rsid w:val="003C314F"/>
    <w:rsid w:val="003C315C"/>
    <w:rsid w:val="003C3233"/>
    <w:rsid w:val="003C3287"/>
    <w:rsid w:val="003C340A"/>
    <w:rsid w:val="003C3437"/>
    <w:rsid w:val="003C3465"/>
    <w:rsid w:val="003C34BC"/>
    <w:rsid w:val="003C3762"/>
    <w:rsid w:val="003C3986"/>
    <w:rsid w:val="003C39E1"/>
    <w:rsid w:val="003C3A4A"/>
    <w:rsid w:val="003C3B78"/>
    <w:rsid w:val="003C3E2F"/>
    <w:rsid w:val="003C3E34"/>
    <w:rsid w:val="003C3F2C"/>
    <w:rsid w:val="003C3F98"/>
    <w:rsid w:val="003C417E"/>
    <w:rsid w:val="003C4269"/>
    <w:rsid w:val="003C42EC"/>
    <w:rsid w:val="003C4311"/>
    <w:rsid w:val="003C45DF"/>
    <w:rsid w:val="003C4615"/>
    <w:rsid w:val="003C4692"/>
    <w:rsid w:val="003C4741"/>
    <w:rsid w:val="003C4A9A"/>
    <w:rsid w:val="003C4F73"/>
    <w:rsid w:val="003C4FD3"/>
    <w:rsid w:val="003C50F1"/>
    <w:rsid w:val="003C52DC"/>
    <w:rsid w:val="003C52F6"/>
    <w:rsid w:val="003C5462"/>
    <w:rsid w:val="003C546B"/>
    <w:rsid w:val="003C54F3"/>
    <w:rsid w:val="003C54FB"/>
    <w:rsid w:val="003C5645"/>
    <w:rsid w:val="003C5702"/>
    <w:rsid w:val="003C586C"/>
    <w:rsid w:val="003C597C"/>
    <w:rsid w:val="003C59F3"/>
    <w:rsid w:val="003C5DAD"/>
    <w:rsid w:val="003C60D4"/>
    <w:rsid w:val="003C638C"/>
    <w:rsid w:val="003C6391"/>
    <w:rsid w:val="003C6616"/>
    <w:rsid w:val="003C6640"/>
    <w:rsid w:val="003C6718"/>
    <w:rsid w:val="003C67D4"/>
    <w:rsid w:val="003C67EA"/>
    <w:rsid w:val="003C6902"/>
    <w:rsid w:val="003C6A5C"/>
    <w:rsid w:val="003C6E44"/>
    <w:rsid w:val="003C7160"/>
    <w:rsid w:val="003C72D0"/>
    <w:rsid w:val="003C72F9"/>
    <w:rsid w:val="003C7535"/>
    <w:rsid w:val="003C768D"/>
    <w:rsid w:val="003C7A2B"/>
    <w:rsid w:val="003C7A51"/>
    <w:rsid w:val="003C7AF3"/>
    <w:rsid w:val="003C7BA0"/>
    <w:rsid w:val="003C7BF3"/>
    <w:rsid w:val="003C7C83"/>
    <w:rsid w:val="003C7E56"/>
    <w:rsid w:val="003C7E8A"/>
    <w:rsid w:val="003D02ED"/>
    <w:rsid w:val="003D0315"/>
    <w:rsid w:val="003D031D"/>
    <w:rsid w:val="003D04F1"/>
    <w:rsid w:val="003D0702"/>
    <w:rsid w:val="003D0733"/>
    <w:rsid w:val="003D0982"/>
    <w:rsid w:val="003D0A1E"/>
    <w:rsid w:val="003D0CCD"/>
    <w:rsid w:val="003D0CE3"/>
    <w:rsid w:val="003D0CFF"/>
    <w:rsid w:val="003D0E20"/>
    <w:rsid w:val="003D0E76"/>
    <w:rsid w:val="003D0F96"/>
    <w:rsid w:val="003D137F"/>
    <w:rsid w:val="003D13CD"/>
    <w:rsid w:val="003D16D4"/>
    <w:rsid w:val="003D1B55"/>
    <w:rsid w:val="003D1C09"/>
    <w:rsid w:val="003D1EE7"/>
    <w:rsid w:val="003D21E4"/>
    <w:rsid w:val="003D228F"/>
    <w:rsid w:val="003D231A"/>
    <w:rsid w:val="003D2590"/>
    <w:rsid w:val="003D26B6"/>
    <w:rsid w:val="003D2736"/>
    <w:rsid w:val="003D278F"/>
    <w:rsid w:val="003D2797"/>
    <w:rsid w:val="003D28AF"/>
    <w:rsid w:val="003D28CB"/>
    <w:rsid w:val="003D2B4C"/>
    <w:rsid w:val="003D2CE4"/>
    <w:rsid w:val="003D2D19"/>
    <w:rsid w:val="003D2FF5"/>
    <w:rsid w:val="003D305A"/>
    <w:rsid w:val="003D30B4"/>
    <w:rsid w:val="003D30CB"/>
    <w:rsid w:val="003D316C"/>
    <w:rsid w:val="003D3700"/>
    <w:rsid w:val="003D3BE0"/>
    <w:rsid w:val="003D4203"/>
    <w:rsid w:val="003D430B"/>
    <w:rsid w:val="003D437F"/>
    <w:rsid w:val="003D44CE"/>
    <w:rsid w:val="003D45BF"/>
    <w:rsid w:val="003D45E3"/>
    <w:rsid w:val="003D4682"/>
    <w:rsid w:val="003D46FD"/>
    <w:rsid w:val="003D48A1"/>
    <w:rsid w:val="003D49B2"/>
    <w:rsid w:val="003D4C70"/>
    <w:rsid w:val="003D4D47"/>
    <w:rsid w:val="003D4DD1"/>
    <w:rsid w:val="003D4F85"/>
    <w:rsid w:val="003D5205"/>
    <w:rsid w:val="003D524A"/>
    <w:rsid w:val="003D526A"/>
    <w:rsid w:val="003D5384"/>
    <w:rsid w:val="003D541F"/>
    <w:rsid w:val="003D548B"/>
    <w:rsid w:val="003D5666"/>
    <w:rsid w:val="003D575C"/>
    <w:rsid w:val="003D582D"/>
    <w:rsid w:val="003D5871"/>
    <w:rsid w:val="003D595D"/>
    <w:rsid w:val="003D5963"/>
    <w:rsid w:val="003D59D7"/>
    <w:rsid w:val="003D5A29"/>
    <w:rsid w:val="003D5C08"/>
    <w:rsid w:val="003D5D75"/>
    <w:rsid w:val="003D5E07"/>
    <w:rsid w:val="003D5E1D"/>
    <w:rsid w:val="003D5E20"/>
    <w:rsid w:val="003D5E79"/>
    <w:rsid w:val="003D5EB2"/>
    <w:rsid w:val="003D5EF3"/>
    <w:rsid w:val="003D6088"/>
    <w:rsid w:val="003D60AA"/>
    <w:rsid w:val="003D623A"/>
    <w:rsid w:val="003D6318"/>
    <w:rsid w:val="003D631D"/>
    <w:rsid w:val="003D636C"/>
    <w:rsid w:val="003D63DB"/>
    <w:rsid w:val="003D6413"/>
    <w:rsid w:val="003D6499"/>
    <w:rsid w:val="003D64F2"/>
    <w:rsid w:val="003D659A"/>
    <w:rsid w:val="003D65EB"/>
    <w:rsid w:val="003D6693"/>
    <w:rsid w:val="003D67E0"/>
    <w:rsid w:val="003D697E"/>
    <w:rsid w:val="003D6B87"/>
    <w:rsid w:val="003D6EA7"/>
    <w:rsid w:val="003D6FEE"/>
    <w:rsid w:val="003D704A"/>
    <w:rsid w:val="003D709E"/>
    <w:rsid w:val="003D731C"/>
    <w:rsid w:val="003D7608"/>
    <w:rsid w:val="003D7611"/>
    <w:rsid w:val="003D7658"/>
    <w:rsid w:val="003D76EC"/>
    <w:rsid w:val="003D7B20"/>
    <w:rsid w:val="003D7B6B"/>
    <w:rsid w:val="003D7E59"/>
    <w:rsid w:val="003E003D"/>
    <w:rsid w:val="003E0338"/>
    <w:rsid w:val="003E073B"/>
    <w:rsid w:val="003E0752"/>
    <w:rsid w:val="003E084C"/>
    <w:rsid w:val="003E08B3"/>
    <w:rsid w:val="003E093F"/>
    <w:rsid w:val="003E0960"/>
    <w:rsid w:val="003E0969"/>
    <w:rsid w:val="003E0992"/>
    <w:rsid w:val="003E0A1E"/>
    <w:rsid w:val="003E0A43"/>
    <w:rsid w:val="003E0AB9"/>
    <w:rsid w:val="003E0D26"/>
    <w:rsid w:val="003E0D32"/>
    <w:rsid w:val="003E135E"/>
    <w:rsid w:val="003E13E1"/>
    <w:rsid w:val="003E1508"/>
    <w:rsid w:val="003E161E"/>
    <w:rsid w:val="003E16AE"/>
    <w:rsid w:val="003E18BB"/>
    <w:rsid w:val="003E19E9"/>
    <w:rsid w:val="003E1B7D"/>
    <w:rsid w:val="003E1C86"/>
    <w:rsid w:val="003E1C89"/>
    <w:rsid w:val="003E1EC2"/>
    <w:rsid w:val="003E1EF7"/>
    <w:rsid w:val="003E1F5B"/>
    <w:rsid w:val="003E22FB"/>
    <w:rsid w:val="003E24A0"/>
    <w:rsid w:val="003E26E5"/>
    <w:rsid w:val="003E27E0"/>
    <w:rsid w:val="003E287F"/>
    <w:rsid w:val="003E28D2"/>
    <w:rsid w:val="003E2990"/>
    <w:rsid w:val="003E29B2"/>
    <w:rsid w:val="003E2C20"/>
    <w:rsid w:val="003E2C5B"/>
    <w:rsid w:val="003E2CAF"/>
    <w:rsid w:val="003E2F3F"/>
    <w:rsid w:val="003E321D"/>
    <w:rsid w:val="003E3241"/>
    <w:rsid w:val="003E32D0"/>
    <w:rsid w:val="003E3328"/>
    <w:rsid w:val="003E336C"/>
    <w:rsid w:val="003E34D2"/>
    <w:rsid w:val="003E3507"/>
    <w:rsid w:val="003E35D2"/>
    <w:rsid w:val="003E36E3"/>
    <w:rsid w:val="003E3987"/>
    <w:rsid w:val="003E3997"/>
    <w:rsid w:val="003E3A5A"/>
    <w:rsid w:val="003E3BD7"/>
    <w:rsid w:val="003E3C40"/>
    <w:rsid w:val="003E3CDB"/>
    <w:rsid w:val="003E3E9A"/>
    <w:rsid w:val="003E3EFB"/>
    <w:rsid w:val="003E3F3F"/>
    <w:rsid w:val="003E4000"/>
    <w:rsid w:val="003E44CA"/>
    <w:rsid w:val="003E453F"/>
    <w:rsid w:val="003E4591"/>
    <w:rsid w:val="003E4923"/>
    <w:rsid w:val="003E4B1B"/>
    <w:rsid w:val="003E4B1F"/>
    <w:rsid w:val="003E4B22"/>
    <w:rsid w:val="003E4CEA"/>
    <w:rsid w:val="003E4E0C"/>
    <w:rsid w:val="003E4F18"/>
    <w:rsid w:val="003E51C6"/>
    <w:rsid w:val="003E52FE"/>
    <w:rsid w:val="003E53E3"/>
    <w:rsid w:val="003E5495"/>
    <w:rsid w:val="003E57AA"/>
    <w:rsid w:val="003E5978"/>
    <w:rsid w:val="003E59A8"/>
    <w:rsid w:val="003E59D3"/>
    <w:rsid w:val="003E5C2B"/>
    <w:rsid w:val="003E5C50"/>
    <w:rsid w:val="003E5CBF"/>
    <w:rsid w:val="003E5D36"/>
    <w:rsid w:val="003E6206"/>
    <w:rsid w:val="003E631D"/>
    <w:rsid w:val="003E63E0"/>
    <w:rsid w:val="003E64E3"/>
    <w:rsid w:val="003E64EF"/>
    <w:rsid w:val="003E679D"/>
    <w:rsid w:val="003E69BC"/>
    <w:rsid w:val="003E6A00"/>
    <w:rsid w:val="003E6B9E"/>
    <w:rsid w:val="003E6C28"/>
    <w:rsid w:val="003E6D63"/>
    <w:rsid w:val="003E6EAE"/>
    <w:rsid w:val="003E701B"/>
    <w:rsid w:val="003E718F"/>
    <w:rsid w:val="003E71C8"/>
    <w:rsid w:val="003E7616"/>
    <w:rsid w:val="003E769D"/>
    <w:rsid w:val="003E77C1"/>
    <w:rsid w:val="003E77F0"/>
    <w:rsid w:val="003E77FF"/>
    <w:rsid w:val="003E7A2C"/>
    <w:rsid w:val="003E7A7F"/>
    <w:rsid w:val="003E7AE1"/>
    <w:rsid w:val="003E7B27"/>
    <w:rsid w:val="003E7BB7"/>
    <w:rsid w:val="003E7E55"/>
    <w:rsid w:val="003E7EA9"/>
    <w:rsid w:val="003E7EAB"/>
    <w:rsid w:val="003E7F5E"/>
    <w:rsid w:val="003F0103"/>
    <w:rsid w:val="003F019F"/>
    <w:rsid w:val="003F0297"/>
    <w:rsid w:val="003F029D"/>
    <w:rsid w:val="003F079D"/>
    <w:rsid w:val="003F0A0E"/>
    <w:rsid w:val="003F0A79"/>
    <w:rsid w:val="003F0E1F"/>
    <w:rsid w:val="003F0E3E"/>
    <w:rsid w:val="003F0EB2"/>
    <w:rsid w:val="003F1114"/>
    <w:rsid w:val="003F1163"/>
    <w:rsid w:val="003F1227"/>
    <w:rsid w:val="003F13E6"/>
    <w:rsid w:val="003F146E"/>
    <w:rsid w:val="003F16C2"/>
    <w:rsid w:val="003F1738"/>
    <w:rsid w:val="003F1A09"/>
    <w:rsid w:val="003F1A5D"/>
    <w:rsid w:val="003F1A8E"/>
    <w:rsid w:val="003F1BC1"/>
    <w:rsid w:val="003F1DF2"/>
    <w:rsid w:val="003F1E38"/>
    <w:rsid w:val="003F1E99"/>
    <w:rsid w:val="003F1EC9"/>
    <w:rsid w:val="003F1F56"/>
    <w:rsid w:val="003F1F7C"/>
    <w:rsid w:val="003F2185"/>
    <w:rsid w:val="003F22E4"/>
    <w:rsid w:val="003F23EC"/>
    <w:rsid w:val="003F25BC"/>
    <w:rsid w:val="003F2733"/>
    <w:rsid w:val="003F27CA"/>
    <w:rsid w:val="003F287C"/>
    <w:rsid w:val="003F2916"/>
    <w:rsid w:val="003F2B3A"/>
    <w:rsid w:val="003F2B60"/>
    <w:rsid w:val="003F2C36"/>
    <w:rsid w:val="003F2FE5"/>
    <w:rsid w:val="003F30DB"/>
    <w:rsid w:val="003F31B5"/>
    <w:rsid w:val="003F31DC"/>
    <w:rsid w:val="003F3768"/>
    <w:rsid w:val="003F3862"/>
    <w:rsid w:val="003F3926"/>
    <w:rsid w:val="003F39B1"/>
    <w:rsid w:val="003F3A27"/>
    <w:rsid w:val="003F3AAA"/>
    <w:rsid w:val="003F3B0D"/>
    <w:rsid w:val="003F405F"/>
    <w:rsid w:val="003F40F5"/>
    <w:rsid w:val="003F41EF"/>
    <w:rsid w:val="003F4202"/>
    <w:rsid w:val="003F4289"/>
    <w:rsid w:val="003F4578"/>
    <w:rsid w:val="003F46D0"/>
    <w:rsid w:val="003F47B3"/>
    <w:rsid w:val="003F4C51"/>
    <w:rsid w:val="003F4C69"/>
    <w:rsid w:val="003F4FFF"/>
    <w:rsid w:val="003F520B"/>
    <w:rsid w:val="003F52EC"/>
    <w:rsid w:val="003F5317"/>
    <w:rsid w:val="003F542A"/>
    <w:rsid w:val="003F5491"/>
    <w:rsid w:val="003F5531"/>
    <w:rsid w:val="003F5622"/>
    <w:rsid w:val="003F5890"/>
    <w:rsid w:val="003F58E2"/>
    <w:rsid w:val="003F591E"/>
    <w:rsid w:val="003F5998"/>
    <w:rsid w:val="003F5A78"/>
    <w:rsid w:val="003F5B2C"/>
    <w:rsid w:val="003F5C0B"/>
    <w:rsid w:val="003F5D82"/>
    <w:rsid w:val="003F5DC9"/>
    <w:rsid w:val="003F5F1B"/>
    <w:rsid w:val="003F6036"/>
    <w:rsid w:val="003F631F"/>
    <w:rsid w:val="003F63D2"/>
    <w:rsid w:val="003F63F2"/>
    <w:rsid w:val="003F6475"/>
    <w:rsid w:val="003F6482"/>
    <w:rsid w:val="003F6815"/>
    <w:rsid w:val="003F68EF"/>
    <w:rsid w:val="003F6979"/>
    <w:rsid w:val="003F6ACD"/>
    <w:rsid w:val="003F6DBC"/>
    <w:rsid w:val="003F6E11"/>
    <w:rsid w:val="003F6E34"/>
    <w:rsid w:val="003F7131"/>
    <w:rsid w:val="003F74F1"/>
    <w:rsid w:val="003F75B4"/>
    <w:rsid w:val="003F7651"/>
    <w:rsid w:val="003F774D"/>
    <w:rsid w:val="003F77D9"/>
    <w:rsid w:val="003F7901"/>
    <w:rsid w:val="003F7C1A"/>
    <w:rsid w:val="003F7C9F"/>
    <w:rsid w:val="003F7F75"/>
    <w:rsid w:val="003F7F9B"/>
    <w:rsid w:val="00400036"/>
    <w:rsid w:val="00400043"/>
    <w:rsid w:val="004000C7"/>
    <w:rsid w:val="00400234"/>
    <w:rsid w:val="00400277"/>
    <w:rsid w:val="004003BA"/>
    <w:rsid w:val="004004AE"/>
    <w:rsid w:val="004004ED"/>
    <w:rsid w:val="00400548"/>
    <w:rsid w:val="004005B9"/>
    <w:rsid w:val="004005F4"/>
    <w:rsid w:val="0040063E"/>
    <w:rsid w:val="00400725"/>
    <w:rsid w:val="004008A9"/>
    <w:rsid w:val="0040096A"/>
    <w:rsid w:val="00400B87"/>
    <w:rsid w:val="00400D69"/>
    <w:rsid w:val="00400E4B"/>
    <w:rsid w:val="00400E8E"/>
    <w:rsid w:val="00401359"/>
    <w:rsid w:val="004013AF"/>
    <w:rsid w:val="0040157C"/>
    <w:rsid w:val="004016E9"/>
    <w:rsid w:val="00401758"/>
    <w:rsid w:val="0040182D"/>
    <w:rsid w:val="00401885"/>
    <w:rsid w:val="00401A3E"/>
    <w:rsid w:val="00401A9D"/>
    <w:rsid w:val="00401AC3"/>
    <w:rsid w:val="00401D9B"/>
    <w:rsid w:val="00401E8D"/>
    <w:rsid w:val="00402098"/>
    <w:rsid w:val="004021DA"/>
    <w:rsid w:val="004021E2"/>
    <w:rsid w:val="00402309"/>
    <w:rsid w:val="00402620"/>
    <w:rsid w:val="00402671"/>
    <w:rsid w:val="00402679"/>
    <w:rsid w:val="004028A4"/>
    <w:rsid w:val="004028EE"/>
    <w:rsid w:val="00402944"/>
    <w:rsid w:val="00402A02"/>
    <w:rsid w:val="00402D85"/>
    <w:rsid w:val="00402E8B"/>
    <w:rsid w:val="004030D7"/>
    <w:rsid w:val="004030F6"/>
    <w:rsid w:val="00403340"/>
    <w:rsid w:val="00403351"/>
    <w:rsid w:val="0040339A"/>
    <w:rsid w:val="00403733"/>
    <w:rsid w:val="0040388E"/>
    <w:rsid w:val="00403B1A"/>
    <w:rsid w:val="00403BB8"/>
    <w:rsid w:val="00403BE8"/>
    <w:rsid w:val="00403C1A"/>
    <w:rsid w:val="00403E6D"/>
    <w:rsid w:val="00403F3C"/>
    <w:rsid w:val="00404128"/>
    <w:rsid w:val="00404157"/>
    <w:rsid w:val="00404177"/>
    <w:rsid w:val="004042B8"/>
    <w:rsid w:val="0040431C"/>
    <w:rsid w:val="00404367"/>
    <w:rsid w:val="004043F4"/>
    <w:rsid w:val="0040454C"/>
    <w:rsid w:val="004046F6"/>
    <w:rsid w:val="004047C6"/>
    <w:rsid w:val="004047F4"/>
    <w:rsid w:val="0040495E"/>
    <w:rsid w:val="00404A37"/>
    <w:rsid w:val="00404AB6"/>
    <w:rsid w:val="00404C1B"/>
    <w:rsid w:val="00404CD1"/>
    <w:rsid w:val="00404D1F"/>
    <w:rsid w:val="00404EE1"/>
    <w:rsid w:val="00404EFD"/>
    <w:rsid w:val="004050E5"/>
    <w:rsid w:val="004051FE"/>
    <w:rsid w:val="004052E7"/>
    <w:rsid w:val="00405303"/>
    <w:rsid w:val="004053E7"/>
    <w:rsid w:val="004055A9"/>
    <w:rsid w:val="0040566E"/>
    <w:rsid w:val="0040568F"/>
    <w:rsid w:val="00405729"/>
    <w:rsid w:val="0040574A"/>
    <w:rsid w:val="004058E3"/>
    <w:rsid w:val="00405C03"/>
    <w:rsid w:val="00405C23"/>
    <w:rsid w:val="00405D2E"/>
    <w:rsid w:val="00405DB1"/>
    <w:rsid w:val="00405E56"/>
    <w:rsid w:val="00405E92"/>
    <w:rsid w:val="00405F60"/>
    <w:rsid w:val="00406298"/>
    <w:rsid w:val="00406696"/>
    <w:rsid w:val="00406745"/>
    <w:rsid w:val="00406A61"/>
    <w:rsid w:val="00406ABA"/>
    <w:rsid w:val="00406B24"/>
    <w:rsid w:val="00406D99"/>
    <w:rsid w:val="00406E94"/>
    <w:rsid w:val="00406FB6"/>
    <w:rsid w:val="0040704C"/>
    <w:rsid w:val="004072A7"/>
    <w:rsid w:val="004074D0"/>
    <w:rsid w:val="0040759F"/>
    <w:rsid w:val="004075DC"/>
    <w:rsid w:val="0040766D"/>
    <w:rsid w:val="004079BE"/>
    <w:rsid w:val="00407AFD"/>
    <w:rsid w:val="00407BBF"/>
    <w:rsid w:val="00407D27"/>
    <w:rsid w:val="00407E38"/>
    <w:rsid w:val="00407F6A"/>
    <w:rsid w:val="00407F85"/>
    <w:rsid w:val="004101AD"/>
    <w:rsid w:val="004102AA"/>
    <w:rsid w:val="004104E4"/>
    <w:rsid w:val="0041077B"/>
    <w:rsid w:val="004107A9"/>
    <w:rsid w:val="00410818"/>
    <w:rsid w:val="0041086C"/>
    <w:rsid w:val="00410A7F"/>
    <w:rsid w:val="00410B32"/>
    <w:rsid w:val="00410D8F"/>
    <w:rsid w:val="00410DC9"/>
    <w:rsid w:val="00410E17"/>
    <w:rsid w:val="00410E5C"/>
    <w:rsid w:val="00410F44"/>
    <w:rsid w:val="00410F5B"/>
    <w:rsid w:val="00410FBC"/>
    <w:rsid w:val="00411045"/>
    <w:rsid w:val="004112F1"/>
    <w:rsid w:val="0041142E"/>
    <w:rsid w:val="004115A2"/>
    <w:rsid w:val="00411676"/>
    <w:rsid w:val="00411750"/>
    <w:rsid w:val="0041196C"/>
    <w:rsid w:val="00411BEC"/>
    <w:rsid w:val="00411C4D"/>
    <w:rsid w:val="00411E74"/>
    <w:rsid w:val="00411E8A"/>
    <w:rsid w:val="00411EF7"/>
    <w:rsid w:val="00411EF8"/>
    <w:rsid w:val="00411F1A"/>
    <w:rsid w:val="00412270"/>
    <w:rsid w:val="00412446"/>
    <w:rsid w:val="004126D4"/>
    <w:rsid w:val="004129AD"/>
    <w:rsid w:val="00412B25"/>
    <w:rsid w:val="00412B28"/>
    <w:rsid w:val="00412BF5"/>
    <w:rsid w:val="00412C6C"/>
    <w:rsid w:val="00412DF2"/>
    <w:rsid w:val="00412E63"/>
    <w:rsid w:val="00412E9B"/>
    <w:rsid w:val="00412EB3"/>
    <w:rsid w:val="00412ECD"/>
    <w:rsid w:val="00412EF3"/>
    <w:rsid w:val="00413047"/>
    <w:rsid w:val="004130B5"/>
    <w:rsid w:val="00413162"/>
    <w:rsid w:val="004133FB"/>
    <w:rsid w:val="0041350A"/>
    <w:rsid w:val="0041352F"/>
    <w:rsid w:val="00413538"/>
    <w:rsid w:val="0041355C"/>
    <w:rsid w:val="0041365A"/>
    <w:rsid w:val="00413A28"/>
    <w:rsid w:val="00413A75"/>
    <w:rsid w:val="00413A7F"/>
    <w:rsid w:val="00413B6C"/>
    <w:rsid w:val="00413B82"/>
    <w:rsid w:val="00413C0E"/>
    <w:rsid w:val="00413DA6"/>
    <w:rsid w:val="00413DE3"/>
    <w:rsid w:val="00413E17"/>
    <w:rsid w:val="00413E62"/>
    <w:rsid w:val="00413E69"/>
    <w:rsid w:val="00413F15"/>
    <w:rsid w:val="00413F46"/>
    <w:rsid w:val="00414007"/>
    <w:rsid w:val="004140C2"/>
    <w:rsid w:val="0041418A"/>
    <w:rsid w:val="0041431D"/>
    <w:rsid w:val="00414458"/>
    <w:rsid w:val="0041451F"/>
    <w:rsid w:val="0041466B"/>
    <w:rsid w:val="0041473E"/>
    <w:rsid w:val="0041487F"/>
    <w:rsid w:val="00414A37"/>
    <w:rsid w:val="00414A81"/>
    <w:rsid w:val="00414B2D"/>
    <w:rsid w:val="00414D7F"/>
    <w:rsid w:val="00415090"/>
    <w:rsid w:val="004152D6"/>
    <w:rsid w:val="004153EC"/>
    <w:rsid w:val="00415495"/>
    <w:rsid w:val="004156F2"/>
    <w:rsid w:val="0041570F"/>
    <w:rsid w:val="0041590E"/>
    <w:rsid w:val="0041596C"/>
    <w:rsid w:val="00415C40"/>
    <w:rsid w:val="00415D0F"/>
    <w:rsid w:val="00415DF1"/>
    <w:rsid w:val="00416044"/>
    <w:rsid w:val="00416244"/>
    <w:rsid w:val="00416751"/>
    <w:rsid w:val="00416838"/>
    <w:rsid w:val="00416A7D"/>
    <w:rsid w:val="00416B29"/>
    <w:rsid w:val="00416C8F"/>
    <w:rsid w:val="00416CD3"/>
    <w:rsid w:val="00416CF7"/>
    <w:rsid w:val="004170FC"/>
    <w:rsid w:val="00417246"/>
    <w:rsid w:val="004172EA"/>
    <w:rsid w:val="0041737B"/>
    <w:rsid w:val="004173EF"/>
    <w:rsid w:val="004174E6"/>
    <w:rsid w:val="00417625"/>
    <w:rsid w:val="004179CB"/>
    <w:rsid w:val="00417A8F"/>
    <w:rsid w:val="00417BC2"/>
    <w:rsid w:val="00417D62"/>
    <w:rsid w:val="00417E7C"/>
    <w:rsid w:val="00420207"/>
    <w:rsid w:val="00420305"/>
    <w:rsid w:val="00420317"/>
    <w:rsid w:val="0042040A"/>
    <w:rsid w:val="004206BE"/>
    <w:rsid w:val="004208D3"/>
    <w:rsid w:val="004209C3"/>
    <w:rsid w:val="00420A8C"/>
    <w:rsid w:val="00420AB6"/>
    <w:rsid w:val="00420B00"/>
    <w:rsid w:val="00420B9B"/>
    <w:rsid w:val="00420C1B"/>
    <w:rsid w:val="00420C24"/>
    <w:rsid w:val="00420D54"/>
    <w:rsid w:val="00420DC2"/>
    <w:rsid w:val="00420E80"/>
    <w:rsid w:val="00420F86"/>
    <w:rsid w:val="0042101F"/>
    <w:rsid w:val="004211C4"/>
    <w:rsid w:val="004211DE"/>
    <w:rsid w:val="004212B4"/>
    <w:rsid w:val="00421348"/>
    <w:rsid w:val="0042146D"/>
    <w:rsid w:val="00421732"/>
    <w:rsid w:val="004217EB"/>
    <w:rsid w:val="00421C55"/>
    <w:rsid w:val="00421CAB"/>
    <w:rsid w:val="00421CE5"/>
    <w:rsid w:val="0042201E"/>
    <w:rsid w:val="0042202E"/>
    <w:rsid w:val="0042225F"/>
    <w:rsid w:val="004222FF"/>
    <w:rsid w:val="0042242D"/>
    <w:rsid w:val="00422543"/>
    <w:rsid w:val="00422669"/>
    <w:rsid w:val="00422790"/>
    <w:rsid w:val="00422967"/>
    <w:rsid w:val="0042299F"/>
    <w:rsid w:val="00422A72"/>
    <w:rsid w:val="00422A80"/>
    <w:rsid w:val="00422B62"/>
    <w:rsid w:val="00422D9C"/>
    <w:rsid w:val="00422DC9"/>
    <w:rsid w:val="00422E96"/>
    <w:rsid w:val="00423494"/>
    <w:rsid w:val="004236D7"/>
    <w:rsid w:val="004237C9"/>
    <w:rsid w:val="0042392E"/>
    <w:rsid w:val="00423AE2"/>
    <w:rsid w:val="00423D6F"/>
    <w:rsid w:val="00423D82"/>
    <w:rsid w:val="00423DBC"/>
    <w:rsid w:val="00424150"/>
    <w:rsid w:val="0042422B"/>
    <w:rsid w:val="004243E7"/>
    <w:rsid w:val="00424406"/>
    <w:rsid w:val="00424467"/>
    <w:rsid w:val="004244F2"/>
    <w:rsid w:val="0042487D"/>
    <w:rsid w:val="004248AF"/>
    <w:rsid w:val="00424AFE"/>
    <w:rsid w:val="00424DA4"/>
    <w:rsid w:val="00424E9C"/>
    <w:rsid w:val="00424EB4"/>
    <w:rsid w:val="00424FCB"/>
    <w:rsid w:val="0042504C"/>
    <w:rsid w:val="00425095"/>
    <w:rsid w:val="00425173"/>
    <w:rsid w:val="00425305"/>
    <w:rsid w:val="00425327"/>
    <w:rsid w:val="004253E5"/>
    <w:rsid w:val="00425438"/>
    <w:rsid w:val="00425467"/>
    <w:rsid w:val="004254AA"/>
    <w:rsid w:val="004255F7"/>
    <w:rsid w:val="004258B8"/>
    <w:rsid w:val="00425C03"/>
    <w:rsid w:val="00425C65"/>
    <w:rsid w:val="00425FE6"/>
    <w:rsid w:val="004265E4"/>
    <w:rsid w:val="00426706"/>
    <w:rsid w:val="0042676C"/>
    <w:rsid w:val="004267F5"/>
    <w:rsid w:val="004267F6"/>
    <w:rsid w:val="00426890"/>
    <w:rsid w:val="00426A84"/>
    <w:rsid w:val="00426B59"/>
    <w:rsid w:val="00426B86"/>
    <w:rsid w:val="00426BBD"/>
    <w:rsid w:val="00426C27"/>
    <w:rsid w:val="00426E18"/>
    <w:rsid w:val="004271AA"/>
    <w:rsid w:val="00427200"/>
    <w:rsid w:val="00427261"/>
    <w:rsid w:val="004272FA"/>
    <w:rsid w:val="0042730F"/>
    <w:rsid w:val="0042777B"/>
    <w:rsid w:val="004277DB"/>
    <w:rsid w:val="00427A87"/>
    <w:rsid w:val="00427AF3"/>
    <w:rsid w:val="00427B5D"/>
    <w:rsid w:val="00427D64"/>
    <w:rsid w:val="00427DB9"/>
    <w:rsid w:val="004300B9"/>
    <w:rsid w:val="00430144"/>
    <w:rsid w:val="0043017E"/>
    <w:rsid w:val="00430300"/>
    <w:rsid w:val="0043032F"/>
    <w:rsid w:val="0043037F"/>
    <w:rsid w:val="0043069E"/>
    <w:rsid w:val="00430730"/>
    <w:rsid w:val="0043078F"/>
    <w:rsid w:val="00430803"/>
    <w:rsid w:val="004308A0"/>
    <w:rsid w:val="00430970"/>
    <w:rsid w:val="004309A1"/>
    <w:rsid w:val="004309CE"/>
    <w:rsid w:val="00430ABD"/>
    <w:rsid w:val="00430AC9"/>
    <w:rsid w:val="00430EE9"/>
    <w:rsid w:val="0043115E"/>
    <w:rsid w:val="004311CB"/>
    <w:rsid w:val="004312FD"/>
    <w:rsid w:val="004313EF"/>
    <w:rsid w:val="0043140B"/>
    <w:rsid w:val="00431545"/>
    <w:rsid w:val="0043169E"/>
    <w:rsid w:val="004316C8"/>
    <w:rsid w:val="0043173F"/>
    <w:rsid w:val="00431801"/>
    <w:rsid w:val="004319A1"/>
    <w:rsid w:val="00431A82"/>
    <w:rsid w:val="00431AD6"/>
    <w:rsid w:val="00431C15"/>
    <w:rsid w:val="00431D42"/>
    <w:rsid w:val="00431FC1"/>
    <w:rsid w:val="0043200C"/>
    <w:rsid w:val="004320E5"/>
    <w:rsid w:val="0043220A"/>
    <w:rsid w:val="004323AA"/>
    <w:rsid w:val="004324C1"/>
    <w:rsid w:val="0043255A"/>
    <w:rsid w:val="004325BE"/>
    <w:rsid w:val="0043292C"/>
    <w:rsid w:val="00432947"/>
    <w:rsid w:val="004329A9"/>
    <w:rsid w:val="00432C45"/>
    <w:rsid w:val="00432D97"/>
    <w:rsid w:val="00432E7B"/>
    <w:rsid w:val="00432F0F"/>
    <w:rsid w:val="00432FC7"/>
    <w:rsid w:val="004331FB"/>
    <w:rsid w:val="004332E9"/>
    <w:rsid w:val="00433551"/>
    <w:rsid w:val="004336AF"/>
    <w:rsid w:val="00433759"/>
    <w:rsid w:val="004338F6"/>
    <w:rsid w:val="004338F7"/>
    <w:rsid w:val="00433986"/>
    <w:rsid w:val="00433C67"/>
    <w:rsid w:val="00433CB5"/>
    <w:rsid w:val="00433E35"/>
    <w:rsid w:val="00433EC0"/>
    <w:rsid w:val="00433F1B"/>
    <w:rsid w:val="00433FD1"/>
    <w:rsid w:val="00433FF1"/>
    <w:rsid w:val="004340B2"/>
    <w:rsid w:val="0043413F"/>
    <w:rsid w:val="00434213"/>
    <w:rsid w:val="0043425A"/>
    <w:rsid w:val="00434303"/>
    <w:rsid w:val="00434316"/>
    <w:rsid w:val="0043465B"/>
    <w:rsid w:val="004347F5"/>
    <w:rsid w:val="00434821"/>
    <w:rsid w:val="0043482E"/>
    <w:rsid w:val="00434847"/>
    <w:rsid w:val="004348CA"/>
    <w:rsid w:val="00434902"/>
    <w:rsid w:val="00434A05"/>
    <w:rsid w:val="00434C2E"/>
    <w:rsid w:val="00434D91"/>
    <w:rsid w:val="00434E89"/>
    <w:rsid w:val="004350CA"/>
    <w:rsid w:val="004355F9"/>
    <w:rsid w:val="00435624"/>
    <w:rsid w:val="00435638"/>
    <w:rsid w:val="0043567F"/>
    <w:rsid w:val="004358D3"/>
    <w:rsid w:val="00435A05"/>
    <w:rsid w:val="00436093"/>
    <w:rsid w:val="00436105"/>
    <w:rsid w:val="004361A4"/>
    <w:rsid w:val="0043698A"/>
    <w:rsid w:val="004369A8"/>
    <w:rsid w:val="00436A53"/>
    <w:rsid w:val="00436C7F"/>
    <w:rsid w:val="00436CC5"/>
    <w:rsid w:val="00436DF0"/>
    <w:rsid w:val="00436F24"/>
    <w:rsid w:val="0043727A"/>
    <w:rsid w:val="0043737F"/>
    <w:rsid w:val="004376E9"/>
    <w:rsid w:val="0043771B"/>
    <w:rsid w:val="004377B0"/>
    <w:rsid w:val="00437826"/>
    <w:rsid w:val="0043795D"/>
    <w:rsid w:val="004379C7"/>
    <w:rsid w:val="00437A71"/>
    <w:rsid w:val="00437C34"/>
    <w:rsid w:val="00437C7F"/>
    <w:rsid w:val="00437CD0"/>
    <w:rsid w:val="00437D7A"/>
    <w:rsid w:val="00437E48"/>
    <w:rsid w:val="00437F03"/>
    <w:rsid w:val="00437F2A"/>
    <w:rsid w:val="00437F84"/>
    <w:rsid w:val="0044025C"/>
    <w:rsid w:val="00440383"/>
    <w:rsid w:val="0044038B"/>
    <w:rsid w:val="00440437"/>
    <w:rsid w:val="004405B9"/>
    <w:rsid w:val="004406D7"/>
    <w:rsid w:val="004407E9"/>
    <w:rsid w:val="0044083D"/>
    <w:rsid w:val="0044084E"/>
    <w:rsid w:val="004408F6"/>
    <w:rsid w:val="00440907"/>
    <w:rsid w:val="00440929"/>
    <w:rsid w:val="00440AAE"/>
    <w:rsid w:val="00440BF9"/>
    <w:rsid w:val="00440EB0"/>
    <w:rsid w:val="00441076"/>
    <w:rsid w:val="004410CF"/>
    <w:rsid w:val="004413A5"/>
    <w:rsid w:val="004414A7"/>
    <w:rsid w:val="004417F9"/>
    <w:rsid w:val="00441955"/>
    <w:rsid w:val="00441A01"/>
    <w:rsid w:val="00441AD8"/>
    <w:rsid w:val="00441B5F"/>
    <w:rsid w:val="00441BF1"/>
    <w:rsid w:val="00441DC5"/>
    <w:rsid w:val="00441F61"/>
    <w:rsid w:val="0044220C"/>
    <w:rsid w:val="004426D8"/>
    <w:rsid w:val="004426FD"/>
    <w:rsid w:val="0044273C"/>
    <w:rsid w:val="00442999"/>
    <w:rsid w:val="00442BAC"/>
    <w:rsid w:val="00442BB3"/>
    <w:rsid w:val="00442EAA"/>
    <w:rsid w:val="00442F20"/>
    <w:rsid w:val="00442F99"/>
    <w:rsid w:val="004430D9"/>
    <w:rsid w:val="00443130"/>
    <w:rsid w:val="004431C4"/>
    <w:rsid w:val="00443261"/>
    <w:rsid w:val="0044341C"/>
    <w:rsid w:val="004434B5"/>
    <w:rsid w:val="004434BC"/>
    <w:rsid w:val="004435C2"/>
    <w:rsid w:val="004436E9"/>
    <w:rsid w:val="00443769"/>
    <w:rsid w:val="00443820"/>
    <w:rsid w:val="00443835"/>
    <w:rsid w:val="004439C2"/>
    <w:rsid w:val="00443A48"/>
    <w:rsid w:val="00443C07"/>
    <w:rsid w:val="00443C53"/>
    <w:rsid w:val="00443C5B"/>
    <w:rsid w:val="00443CE7"/>
    <w:rsid w:val="00443E43"/>
    <w:rsid w:val="0044401C"/>
    <w:rsid w:val="00444286"/>
    <w:rsid w:val="004442C3"/>
    <w:rsid w:val="004443B6"/>
    <w:rsid w:val="004443DA"/>
    <w:rsid w:val="004443E8"/>
    <w:rsid w:val="0044443D"/>
    <w:rsid w:val="0044452B"/>
    <w:rsid w:val="004446BA"/>
    <w:rsid w:val="004446D7"/>
    <w:rsid w:val="004447A2"/>
    <w:rsid w:val="004447C3"/>
    <w:rsid w:val="00444984"/>
    <w:rsid w:val="00444A93"/>
    <w:rsid w:val="00444BDA"/>
    <w:rsid w:val="00444C51"/>
    <w:rsid w:val="00444EB4"/>
    <w:rsid w:val="00444EEA"/>
    <w:rsid w:val="00444F16"/>
    <w:rsid w:val="0044506D"/>
    <w:rsid w:val="00445320"/>
    <w:rsid w:val="00445367"/>
    <w:rsid w:val="004453A2"/>
    <w:rsid w:val="00445468"/>
    <w:rsid w:val="00445522"/>
    <w:rsid w:val="004455A1"/>
    <w:rsid w:val="004456AB"/>
    <w:rsid w:val="00445732"/>
    <w:rsid w:val="004457A5"/>
    <w:rsid w:val="0044592C"/>
    <w:rsid w:val="00445A58"/>
    <w:rsid w:val="00445C0F"/>
    <w:rsid w:val="00445EA3"/>
    <w:rsid w:val="00445EC0"/>
    <w:rsid w:val="004461FB"/>
    <w:rsid w:val="004462D4"/>
    <w:rsid w:val="0044630F"/>
    <w:rsid w:val="00446528"/>
    <w:rsid w:val="004465BA"/>
    <w:rsid w:val="0044665A"/>
    <w:rsid w:val="00446847"/>
    <w:rsid w:val="00446AEB"/>
    <w:rsid w:val="00446B0F"/>
    <w:rsid w:val="00446EE0"/>
    <w:rsid w:val="00447014"/>
    <w:rsid w:val="0044705D"/>
    <w:rsid w:val="00447099"/>
    <w:rsid w:val="00447134"/>
    <w:rsid w:val="00447136"/>
    <w:rsid w:val="0044718D"/>
    <w:rsid w:val="004472DD"/>
    <w:rsid w:val="0044733C"/>
    <w:rsid w:val="00447431"/>
    <w:rsid w:val="004474DE"/>
    <w:rsid w:val="00447B66"/>
    <w:rsid w:val="00447C10"/>
    <w:rsid w:val="00447D80"/>
    <w:rsid w:val="00447EB0"/>
    <w:rsid w:val="00447EF7"/>
    <w:rsid w:val="00447F14"/>
    <w:rsid w:val="00447F65"/>
    <w:rsid w:val="00447FA3"/>
    <w:rsid w:val="00447FE3"/>
    <w:rsid w:val="00449B2F"/>
    <w:rsid w:val="00450251"/>
    <w:rsid w:val="004503D3"/>
    <w:rsid w:val="00450595"/>
    <w:rsid w:val="00450673"/>
    <w:rsid w:val="00450A6B"/>
    <w:rsid w:val="00450C25"/>
    <w:rsid w:val="00450EBC"/>
    <w:rsid w:val="00450F00"/>
    <w:rsid w:val="00450FF7"/>
    <w:rsid w:val="004510D0"/>
    <w:rsid w:val="0045117A"/>
    <w:rsid w:val="00451225"/>
    <w:rsid w:val="00451241"/>
    <w:rsid w:val="0045124D"/>
    <w:rsid w:val="004515CF"/>
    <w:rsid w:val="0045179D"/>
    <w:rsid w:val="004517A6"/>
    <w:rsid w:val="00451952"/>
    <w:rsid w:val="004519AA"/>
    <w:rsid w:val="00451BD6"/>
    <w:rsid w:val="00451DFB"/>
    <w:rsid w:val="00451F4F"/>
    <w:rsid w:val="00452154"/>
    <w:rsid w:val="004521FF"/>
    <w:rsid w:val="0045226A"/>
    <w:rsid w:val="004522DF"/>
    <w:rsid w:val="004522EA"/>
    <w:rsid w:val="00452344"/>
    <w:rsid w:val="00452505"/>
    <w:rsid w:val="0045251F"/>
    <w:rsid w:val="00452877"/>
    <w:rsid w:val="0045288E"/>
    <w:rsid w:val="004528D1"/>
    <w:rsid w:val="0045297D"/>
    <w:rsid w:val="00452980"/>
    <w:rsid w:val="00452DD3"/>
    <w:rsid w:val="00452E2D"/>
    <w:rsid w:val="00452E3C"/>
    <w:rsid w:val="00452F22"/>
    <w:rsid w:val="00453264"/>
    <w:rsid w:val="004532B7"/>
    <w:rsid w:val="004532E9"/>
    <w:rsid w:val="00453306"/>
    <w:rsid w:val="00453449"/>
    <w:rsid w:val="004535FC"/>
    <w:rsid w:val="004536A4"/>
    <w:rsid w:val="004536D5"/>
    <w:rsid w:val="00453724"/>
    <w:rsid w:val="00453763"/>
    <w:rsid w:val="00453877"/>
    <w:rsid w:val="004539E4"/>
    <w:rsid w:val="00453C24"/>
    <w:rsid w:val="00453E2B"/>
    <w:rsid w:val="00453FA4"/>
    <w:rsid w:val="00454579"/>
    <w:rsid w:val="0045459D"/>
    <w:rsid w:val="00454647"/>
    <w:rsid w:val="0045466A"/>
    <w:rsid w:val="004546DA"/>
    <w:rsid w:val="004547DF"/>
    <w:rsid w:val="0045492F"/>
    <w:rsid w:val="004549A1"/>
    <w:rsid w:val="00454A85"/>
    <w:rsid w:val="00454BB4"/>
    <w:rsid w:val="00454C1E"/>
    <w:rsid w:val="00454CD4"/>
    <w:rsid w:val="00454EB8"/>
    <w:rsid w:val="00455122"/>
    <w:rsid w:val="00455315"/>
    <w:rsid w:val="004554FA"/>
    <w:rsid w:val="00455543"/>
    <w:rsid w:val="004555C4"/>
    <w:rsid w:val="004557AB"/>
    <w:rsid w:val="00455AE6"/>
    <w:rsid w:val="00455BE1"/>
    <w:rsid w:val="00455C15"/>
    <w:rsid w:val="00455D36"/>
    <w:rsid w:val="00455EB2"/>
    <w:rsid w:val="00455F11"/>
    <w:rsid w:val="00455FBF"/>
    <w:rsid w:val="00455FFA"/>
    <w:rsid w:val="0045600C"/>
    <w:rsid w:val="00456033"/>
    <w:rsid w:val="0045603C"/>
    <w:rsid w:val="00456117"/>
    <w:rsid w:val="004561BC"/>
    <w:rsid w:val="00456272"/>
    <w:rsid w:val="004562FF"/>
    <w:rsid w:val="00456340"/>
    <w:rsid w:val="0045637F"/>
    <w:rsid w:val="004563E0"/>
    <w:rsid w:val="00456546"/>
    <w:rsid w:val="004565B5"/>
    <w:rsid w:val="00456920"/>
    <w:rsid w:val="0045699E"/>
    <w:rsid w:val="00456ACC"/>
    <w:rsid w:val="0045702C"/>
    <w:rsid w:val="00457047"/>
    <w:rsid w:val="0045709D"/>
    <w:rsid w:val="00457206"/>
    <w:rsid w:val="004572A6"/>
    <w:rsid w:val="004572AF"/>
    <w:rsid w:val="004573A8"/>
    <w:rsid w:val="0045758F"/>
    <w:rsid w:val="0045772F"/>
    <w:rsid w:val="0045785E"/>
    <w:rsid w:val="00457874"/>
    <w:rsid w:val="00457879"/>
    <w:rsid w:val="004578A9"/>
    <w:rsid w:val="00457A7F"/>
    <w:rsid w:val="00457E1D"/>
    <w:rsid w:val="00457E48"/>
    <w:rsid w:val="0046004F"/>
    <w:rsid w:val="00460233"/>
    <w:rsid w:val="004602F2"/>
    <w:rsid w:val="00460355"/>
    <w:rsid w:val="00460361"/>
    <w:rsid w:val="00460600"/>
    <w:rsid w:val="00460998"/>
    <w:rsid w:val="00460B56"/>
    <w:rsid w:val="00460CAB"/>
    <w:rsid w:val="0046128F"/>
    <w:rsid w:val="00461456"/>
    <w:rsid w:val="0046153C"/>
    <w:rsid w:val="004615C7"/>
    <w:rsid w:val="0046178E"/>
    <w:rsid w:val="00461A99"/>
    <w:rsid w:val="00461D37"/>
    <w:rsid w:val="00461D55"/>
    <w:rsid w:val="00461E4C"/>
    <w:rsid w:val="00461F17"/>
    <w:rsid w:val="00461FC3"/>
    <w:rsid w:val="00462049"/>
    <w:rsid w:val="004624C8"/>
    <w:rsid w:val="004625A7"/>
    <w:rsid w:val="004625C7"/>
    <w:rsid w:val="0046261B"/>
    <w:rsid w:val="00462713"/>
    <w:rsid w:val="00462804"/>
    <w:rsid w:val="00462906"/>
    <w:rsid w:val="0046295F"/>
    <w:rsid w:val="00462A4F"/>
    <w:rsid w:val="00462E6C"/>
    <w:rsid w:val="00462F93"/>
    <w:rsid w:val="0046319D"/>
    <w:rsid w:val="00463237"/>
    <w:rsid w:val="00463287"/>
    <w:rsid w:val="004632D6"/>
    <w:rsid w:val="00463482"/>
    <w:rsid w:val="004637A5"/>
    <w:rsid w:val="00463B08"/>
    <w:rsid w:val="00463B41"/>
    <w:rsid w:val="00463C7E"/>
    <w:rsid w:val="00463E1A"/>
    <w:rsid w:val="00463E48"/>
    <w:rsid w:val="00463E8C"/>
    <w:rsid w:val="004640FD"/>
    <w:rsid w:val="0046466A"/>
    <w:rsid w:val="004646BC"/>
    <w:rsid w:val="004647E5"/>
    <w:rsid w:val="004649E0"/>
    <w:rsid w:val="00464AA4"/>
    <w:rsid w:val="00464C6A"/>
    <w:rsid w:val="00464D41"/>
    <w:rsid w:val="00464D72"/>
    <w:rsid w:val="00464EB5"/>
    <w:rsid w:val="004650B0"/>
    <w:rsid w:val="004651B5"/>
    <w:rsid w:val="004651F1"/>
    <w:rsid w:val="004653A9"/>
    <w:rsid w:val="004653F9"/>
    <w:rsid w:val="00465810"/>
    <w:rsid w:val="00465993"/>
    <w:rsid w:val="00465BC6"/>
    <w:rsid w:val="00465C35"/>
    <w:rsid w:val="00465DB1"/>
    <w:rsid w:val="00465F35"/>
    <w:rsid w:val="00466187"/>
    <w:rsid w:val="004663C9"/>
    <w:rsid w:val="004663E5"/>
    <w:rsid w:val="004664E2"/>
    <w:rsid w:val="00466552"/>
    <w:rsid w:val="0046656D"/>
    <w:rsid w:val="004668C5"/>
    <w:rsid w:val="00466A87"/>
    <w:rsid w:val="00466B6D"/>
    <w:rsid w:val="00466E4A"/>
    <w:rsid w:val="00466F1B"/>
    <w:rsid w:val="00466F9B"/>
    <w:rsid w:val="0046715E"/>
    <w:rsid w:val="00467269"/>
    <w:rsid w:val="00467290"/>
    <w:rsid w:val="00467582"/>
    <w:rsid w:val="00467687"/>
    <w:rsid w:val="00467700"/>
    <w:rsid w:val="0046782A"/>
    <w:rsid w:val="00467860"/>
    <w:rsid w:val="004679AA"/>
    <w:rsid w:val="00467A1F"/>
    <w:rsid w:val="00467A96"/>
    <w:rsid w:val="00467AA8"/>
    <w:rsid w:val="00467AD5"/>
    <w:rsid w:val="00467B03"/>
    <w:rsid w:val="00467C43"/>
    <w:rsid w:val="00467F98"/>
    <w:rsid w:val="00467FA2"/>
    <w:rsid w:val="00470009"/>
    <w:rsid w:val="004700D2"/>
    <w:rsid w:val="00470290"/>
    <w:rsid w:val="00470397"/>
    <w:rsid w:val="004703B8"/>
    <w:rsid w:val="0047043C"/>
    <w:rsid w:val="0047048E"/>
    <w:rsid w:val="00470794"/>
    <w:rsid w:val="004707BC"/>
    <w:rsid w:val="00470901"/>
    <w:rsid w:val="00470947"/>
    <w:rsid w:val="0047099E"/>
    <w:rsid w:val="004709AD"/>
    <w:rsid w:val="00470A13"/>
    <w:rsid w:val="00470ADE"/>
    <w:rsid w:val="00470AEA"/>
    <w:rsid w:val="00471057"/>
    <w:rsid w:val="00471135"/>
    <w:rsid w:val="004712BD"/>
    <w:rsid w:val="00471364"/>
    <w:rsid w:val="00471366"/>
    <w:rsid w:val="0047139E"/>
    <w:rsid w:val="004713E6"/>
    <w:rsid w:val="00471720"/>
    <w:rsid w:val="00471730"/>
    <w:rsid w:val="00471A7D"/>
    <w:rsid w:val="00471BA4"/>
    <w:rsid w:val="00471C97"/>
    <w:rsid w:val="00471CC2"/>
    <w:rsid w:val="00471E2F"/>
    <w:rsid w:val="00471E49"/>
    <w:rsid w:val="00471E79"/>
    <w:rsid w:val="00471E84"/>
    <w:rsid w:val="00471F10"/>
    <w:rsid w:val="00471FB2"/>
    <w:rsid w:val="00471FB9"/>
    <w:rsid w:val="00472133"/>
    <w:rsid w:val="004721C3"/>
    <w:rsid w:val="00472392"/>
    <w:rsid w:val="004723CA"/>
    <w:rsid w:val="00472779"/>
    <w:rsid w:val="00472C95"/>
    <w:rsid w:val="00472F1E"/>
    <w:rsid w:val="00472F28"/>
    <w:rsid w:val="00473074"/>
    <w:rsid w:val="0047311A"/>
    <w:rsid w:val="0047325C"/>
    <w:rsid w:val="004733C4"/>
    <w:rsid w:val="00473480"/>
    <w:rsid w:val="004735D7"/>
    <w:rsid w:val="00473611"/>
    <w:rsid w:val="00473883"/>
    <w:rsid w:val="00473A7B"/>
    <w:rsid w:val="00473A84"/>
    <w:rsid w:val="00473BAA"/>
    <w:rsid w:val="00473C50"/>
    <w:rsid w:val="00473D98"/>
    <w:rsid w:val="00473E32"/>
    <w:rsid w:val="00473F05"/>
    <w:rsid w:val="00474569"/>
    <w:rsid w:val="00474596"/>
    <w:rsid w:val="00474603"/>
    <w:rsid w:val="0047462A"/>
    <w:rsid w:val="00474648"/>
    <w:rsid w:val="004746ED"/>
    <w:rsid w:val="00474717"/>
    <w:rsid w:val="004747F6"/>
    <w:rsid w:val="00474954"/>
    <w:rsid w:val="00474A55"/>
    <w:rsid w:val="004750A8"/>
    <w:rsid w:val="004750D0"/>
    <w:rsid w:val="0047520F"/>
    <w:rsid w:val="0047554F"/>
    <w:rsid w:val="00475735"/>
    <w:rsid w:val="00475913"/>
    <w:rsid w:val="004759B8"/>
    <w:rsid w:val="004759DA"/>
    <w:rsid w:val="00475AFE"/>
    <w:rsid w:val="00475B60"/>
    <w:rsid w:val="00475D46"/>
    <w:rsid w:val="00475DCA"/>
    <w:rsid w:val="00475F7A"/>
    <w:rsid w:val="00475FB6"/>
    <w:rsid w:val="0047601B"/>
    <w:rsid w:val="0047622E"/>
    <w:rsid w:val="00476295"/>
    <w:rsid w:val="00476367"/>
    <w:rsid w:val="00476491"/>
    <w:rsid w:val="004764CB"/>
    <w:rsid w:val="004766AA"/>
    <w:rsid w:val="004766B5"/>
    <w:rsid w:val="00476869"/>
    <w:rsid w:val="004768D1"/>
    <w:rsid w:val="004769FE"/>
    <w:rsid w:val="00476BA7"/>
    <w:rsid w:val="00476C75"/>
    <w:rsid w:val="00476CB2"/>
    <w:rsid w:val="00476EB3"/>
    <w:rsid w:val="004772B7"/>
    <w:rsid w:val="00477355"/>
    <w:rsid w:val="00477368"/>
    <w:rsid w:val="0047748E"/>
    <w:rsid w:val="0047759C"/>
    <w:rsid w:val="004776DA"/>
    <w:rsid w:val="0047777B"/>
    <w:rsid w:val="004779B8"/>
    <w:rsid w:val="00477C03"/>
    <w:rsid w:val="00477C36"/>
    <w:rsid w:val="00477DC8"/>
    <w:rsid w:val="00477E1A"/>
    <w:rsid w:val="004801B2"/>
    <w:rsid w:val="004801CE"/>
    <w:rsid w:val="0048029F"/>
    <w:rsid w:val="004804A3"/>
    <w:rsid w:val="004806A3"/>
    <w:rsid w:val="0048099C"/>
    <w:rsid w:val="004809E3"/>
    <w:rsid w:val="00480A49"/>
    <w:rsid w:val="00480BF5"/>
    <w:rsid w:val="00480E54"/>
    <w:rsid w:val="00480F05"/>
    <w:rsid w:val="00480F18"/>
    <w:rsid w:val="00480F33"/>
    <w:rsid w:val="00481023"/>
    <w:rsid w:val="0048151E"/>
    <w:rsid w:val="00481903"/>
    <w:rsid w:val="004819BD"/>
    <w:rsid w:val="00481ACD"/>
    <w:rsid w:val="00481B1D"/>
    <w:rsid w:val="00481BC4"/>
    <w:rsid w:val="00481C17"/>
    <w:rsid w:val="0048231D"/>
    <w:rsid w:val="0048248B"/>
    <w:rsid w:val="0048249C"/>
    <w:rsid w:val="00482513"/>
    <w:rsid w:val="00482540"/>
    <w:rsid w:val="0048259A"/>
    <w:rsid w:val="004829E0"/>
    <w:rsid w:val="00482AB6"/>
    <w:rsid w:val="00482BF9"/>
    <w:rsid w:val="00482C9E"/>
    <w:rsid w:val="00482CE1"/>
    <w:rsid w:val="00482DB0"/>
    <w:rsid w:val="00482EAD"/>
    <w:rsid w:val="00483017"/>
    <w:rsid w:val="004830D4"/>
    <w:rsid w:val="0048321F"/>
    <w:rsid w:val="00483337"/>
    <w:rsid w:val="004833CE"/>
    <w:rsid w:val="0048352E"/>
    <w:rsid w:val="0048356C"/>
    <w:rsid w:val="0048357B"/>
    <w:rsid w:val="004837C1"/>
    <w:rsid w:val="004837ED"/>
    <w:rsid w:val="00483812"/>
    <w:rsid w:val="0048386D"/>
    <w:rsid w:val="00483918"/>
    <w:rsid w:val="004839E0"/>
    <w:rsid w:val="00483A0C"/>
    <w:rsid w:val="00483A62"/>
    <w:rsid w:val="00483CAA"/>
    <w:rsid w:val="00483E73"/>
    <w:rsid w:val="00483F6D"/>
    <w:rsid w:val="00483F73"/>
    <w:rsid w:val="00483FD8"/>
    <w:rsid w:val="004841A5"/>
    <w:rsid w:val="004841D1"/>
    <w:rsid w:val="004842D3"/>
    <w:rsid w:val="00484319"/>
    <w:rsid w:val="00484626"/>
    <w:rsid w:val="0048484E"/>
    <w:rsid w:val="0048487A"/>
    <w:rsid w:val="004848A5"/>
    <w:rsid w:val="00484905"/>
    <w:rsid w:val="00484B4E"/>
    <w:rsid w:val="00484BF0"/>
    <w:rsid w:val="00484DC7"/>
    <w:rsid w:val="00485003"/>
    <w:rsid w:val="00485119"/>
    <w:rsid w:val="004853CE"/>
    <w:rsid w:val="0048543A"/>
    <w:rsid w:val="00485573"/>
    <w:rsid w:val="00485705"/>
    <w:rsid w:val="00485727"/>
    <w:rsid w:val="004858F5"/>
    <w:rsid w:val="00485D13"/>
    <w:rsid w:val="00485F32"/>
    <w:rsid w:val="004862DC"/>
    <w:rsid w:val="004862F4"/>
    <w:rsid w:val="004863ED"/>
    <w:rsid w:val="004865F9"/>
    <w:rsid w:val="00486628"/>
    <w:rsid w:val="00486674"/>
    <w:rsid w:val="0048674D"/>
    <w:rsid w:val="00486869"/>
    <w:rsid w:val="0048688D"/>
    <w:rsid w:val="00486995"/>
    <w:rsid w:val="00486CF7"/>
    <w:rsid w:val="00486F9C"/>
    <w:rsid w:val="00486FCC"/>
    <w:rsid w:val="00487177"/>
    <w:rsid w:val="0048724E"/>
    <w:rsid w:val="0048736E"/>
    <w:rsid w:val="004873A6"/>
    <w:rsid w:val="00487447"/>
    <w:rsid w:val="0048749E"/>
    <w:rsid w:val="00487591"/>
    <w:rsid w:val="004878A5"/>
    <w:rsid w:val="00487958"/>
    <w:rsid w:val="00487A07"/>
    <w:rsid w:val="00487D09"/>
    <w:rsid w:val="00487FD9"/>
    <w:rsid w:val="00490188"/>
    <w:rsid w:val="0049036F"/>
    <w:rsid w:val="00490446"/>
    <w:rsid w:val="00490621"/>
    <w:rsid w:val="004906BC"/>
    <w:rsid w:val="0049071D"/>
    <w:rsid w:val="004907DC"/>
    <w:rsid w:val="004908F8"/>
    <w:rsid w:val="00490979"/>
    <w:rsid w:val="00490A26"/>
    <w:rsid w:val="00490C38"/>
    <w:rsid w:val="00490C8B"/>
    <w:rsid w:val="00490D94"/>
    <w:rsid w:val="00490E89"/>
    <w:rsid w:val="00490F1E"/>
    <w:rsid w:val="00490F9B"/>
    <w:rsid w:val="004910B1"/>
    <w:rsid w:val="004910EA"/>
    <w:rsid w:val="00491357"/>
    <w:rsid w:val="004917F1"/>
    <w:rsid w:val="00491897"/>
    <w:rsid w:val="004919F0"/>
    <w:rsid w:val="00491C34"/>
    <w:rsid w:val="00491CF9"/>
    <w:rsid w:val="00491DD2"/>
    <w:rsid w:val="00492068"/>
    <w:rsid w:val="00492176"/>
    <w:rsid w:val="004924A7"/>
    <w:rsid w:val="004926C9"/>
    <w:rsid w:val="00492784"/>
    <w:rsid w:val="00492892"/>
    <w:rsid w:val="00492A5A"/>
    <w:rsid w:val="00492AAE"/>
    <w:rsid w:val="00492B00"/>
    <w:rsid w:val="00492B9C"/>
    <w:rsid w:val="00492E22"/>
    <w:rsid w:val="00492F1E"/>
    <w:rsid w:val="0049306C"/>
    <w:rsid w:val="004931A9"/>
    <w:rsid w:val="004931FC"/>
    <w:rsid w:val="004932DA"/>
    <w:rsid w:val="00493340"/>
    <w:rsid w:val="0049340B"/>
    <w:rsid w:val="00493687"/>
    <w:rsid w:val="00493804"/>
    <w:rsid w:val="004938C9"/>
    <w:rsid w:val="00493901"/>
    <w:rsid w:val="004939E5"/>
    <w:rsid w:val="004939F3"/>
    <w:rsid w:val="00493EAB"/>
    <w:rsid w:val="00493F09"/>
    <w:rsid w:val="00493F22"/>
    <w:rsid w:val="00493F24"/>
    <w:rsid w:val="00493FD8"/>
    <w:rsid w:val="00494042"/>
    <w:rsid w:val="004942B5"/>
    <w:rsid w:val="004944AE"/>
    <w:rsid w:val="004944F4"/>
    <w:rsid w:val="00494599"/>
    <w:rsid w:val="0049469D"/>
    <w:rsid w:val="00494A03"/>
    <w:rsid w:val="00494A24"/>
    <w:rsid w:val="00494A41"/>
    <w:rsid w:val="00494A56"/>
    <w:rsid w:val="00494A74"/>
    <w:rsid w:val="00494BCD"/>
    <w:rsid w:val="00494BFD"/>
    <w:rsid w:val="00494C35"/>
    <w:rsid w:val="00494C68"/>
    <w:rsid w:val="00494C81"/>
    <w:rsid w:val="00494F78"/>
    <w:rsid w:val="00494FC1"/>
    <w:rsid w:val="00495173"/>
    <w:rsid w:val="004951C6"/>
    <w:rsid w:val="004952E0"/>
    <w:rsid w:val="00495619"/>
    <w:rsid w:val="00495663"/>
    <w:rsid w:val="004957C7"/>
    <w:rsid w:val="00495A63"/>
    <w:rsid w:val="00495AF5"/>
    <w:rsid w:val="00495B20"/>
    <w:rsid w:val="00495B22"/>
    <w:rsid w:val="00495B90"/>
    <w:rsid w:val="00495F92"/>
    <w:rsid w:val="00496083"/>
    <w:rsid w:val="00496422"/>
    <w:rsid w:val="004964BB"/>
    <w:rsid w:val="0049653D"/>
    <w:rsid w:val="00496602"/>
    <w:rsid w:val="0049666A"/>
    <w:rsid w:val="004966DE"/>
    <w:rsid w:val="004968A4"/>
    <w:rsid w:val="0049690E"/>
    <w:rsid w:val="0049692F"/>
    <w:rsid w:val="0049698A"/>
    <w:rsid w:val="00496B23"/>
    <w:rsid w:val="00496B8D"/>
    <w:rsid w:val="00496BF7"/>
    <w:rsid w:val="00496CD1"/>
    <w:rsid w:val="00496D8B"/>
    <w:rsid w:val="004972C5"/>
    <w:rsid w:val="00497397"/>
    <w:rsid w:val="00497476"/>
    <w:rsid w:val="004975B7"/>
    <w:rsid w:val="004977E2"/>
    <w:rsid w:val="00497B02"/>
    <w:rsid w:val="00497D5A"/>
    <w:rsid w:val="00497F36"/>
    <w:rsid w:val="00497FA5"/>
    <w:rsid w:val="00497FAC"/>
    <w:rsid w:val="004A00CB"/>
    <w:rsid w:val="004A02B4"/>
    <w:rsid w:val="004A058E"/>
    <w:rsid w:val="004A0708"/>
    <w:rsid w:val="004A0AA1"/>
    <w:rsid w:val="004A0BBB"/>
    <w:rsid w:val="004A0E16"/>
    <w:rsid w:val="004A1057"/>
    <w:rsid w:val="004A10AC"/>
    <w:rsid w:val="004A10B6"/>
    <w:rsid w:val="004A1286"/>
    <w:rsid w:val="004A12A8"/>
    <w:rsid w:val="004A1313"/>
    <w:rsid w:val="004A13F7"/>
    <w:rsid w:val="004A1580"/>
    <w:rsid w:val="004A17FF"/>
    <w:rsid w:val="004A1974"/>
    <w:rsid w:val="004A1A37"/>
    <w:rsid w:val="004A1B21"/>
    <w:rsid w:val="004A1BF7"/>
    <w:rsid w:val="004A1C57"/>
    <w:rsid w:val="004A1CA8"/>
    <w:rsid w:val="004A1DA3"/>
    <w:rsid w:val="004A1DDA"/>
    <w:rsid w:val="004A1DF7"/>
    <w:rsid w:val="004A2336"/>
    <w:rsid w:val="004A2342"/>
    <w:rsid w:val="004A2372"/>
    <w:rsid w:val="004A241C"/>
    <w:rsid w:val="004A2497"/>
    <w:rsid w:val="004A253C"/>
    <w:rsid w:val="004A26C5"/>
    <w:rsid w:val="004A26CF"/>
    <w:rsid w:val="004A289D"/>
    <w:rsid w:val="004A296B"/>
    <w:rsid w:val="004A2A59"/>
    <w:rsid w:val="004A2F96"/>
    <w:rsid w:val="004A2FC7"/>
    <w:rsid w:val="004A3176"/>
    <w:rsid w:val="004A33F4"/>
    <w:rsid w:val="004A33F6"/>
    <w:rsid w:val="004A347B"/>
    <w:rsid w:val="004A3506"/>
    <w:rsid w:val="004A35A4"/>
    <w:rsid w:val="004A375A"/>
    <w:rsid w:val="004A391A"/>
    <w:rsid w:val="004A39F0"/>
    <w:rsid w:val="004A3A8A"/>
    <w:rsid w:val="004A3DF6"/>
    <w:rsid w:val="004A3EAD"/>
    <w:rsid w:val="004A3EC4"/>
    <w:rsid w:val="004A3ECC"/>
    <w:rsid w:val="004A3F3B"/>
    <w:rsid w:val="004A3FEC"/>
    <w:rsid w:val="004A4017"/>
    <w:rsid w:val="004A411B"/>
    <w:rsid w:val="004A416F"/>
    <w:rsid w:val="004A44AB"/>
    <w:rsid w:val="004A45A4"/>
    <w:rsid w:val="004A48A1"/>
    <w:rsid w:val="004A4953"/>
    <w:rsid w:val="004A4B77"/>
    <w:rsid w:val="004A4C0A"/>
    <w:rsid w:val="004A4C25"/>
    <w:rsid w:val="004A4CFE"/>
    <w:rsid w:val="004A5089"/>
    <w:rsid w:val="004A508E"/>
    <w:rsid w:val="004A52AC"/>
    <w:rsid w:val="004A5446"/>
    <w:rsid w:val="004A551A"/>
    <w:rsid w:val="004A5576"/>
    <w:rsid w:val="004A55B0"/>
    <w:rsid w:val="004A566A"/>
    <w:rsid w:val="004A5679"/>
    <w:rsid w:val="004A5745"/>
    <w:rsid w:val="004A5910"/>
    <w:rsid w:val="004A5AF4"/>
    <w:rsid w:val="004A5B53"/>
    <w:rsid w:val="004A5B71"/>
    <w:rsid w:val="004A5C72"/>
    <w:rsid w:val="004A5F3A"/>
    <w:rsid w:val="004A6145"/>
    <w:rsid w:val="004A63C2"/>
    <w:rsid w:val="004A65D2"/>
    <w:rsid w:val="004A677C"/>
    <w:rsid w:val="004A6A03"/>
    <w:rsid w:val="004A6A63"/>
    <w:rsid w:val="004A6A7C"/>
    <w:rsid w:val="004A6B63"/>
    <w:rsid w:val="004A6BC1"/>
    <w:rsid w:val="004A6E45"/>
    <w:rsid w:val="004A7091"/>
    <w:rsid w:val="004A70B1"/>
    <w:rsid w:val="004A711D"/>
    <w:rsid w:val="004A7276"/>
    <w:rsid w:val="004A7437"/>
    <w:rsid w:val="004A75BA"/>
    <w:rsid w:val="004A760B"/>
    <w:rsid w:val="004A776B"/>
    <w:rsid w:val="004A778F"/>
    <w:rsid w:val="004A77DF"/>
    <w:rsid w:val="004A794B"/>
    <w:rsid w:val="004A7B98"/>
    <w:rsid w:val="004A7C77"/>
    <w:rsid w:val="004A7DF0"/>
    <w:rsid w:val="004A7E73"/>
    <w:rsid w:val="004A7F2B"/>
    <w:rsid w:val="004A7F3E"/>
    <w:rsid w:val="004A7F98"/>
    <w:rsid w:val="004B026B"/>
    <w:rsid w:val="004B0351"/>
    <w:rsid w:val="004B0456"/>
    <w:rsid w:val="004B0476"/>
    <w:rsid w:val="004B0774"/>
    <w:rsid w:val="004B080E"/>
    <w:rsid w:val="004B0A85"/>
    <w:rsid w:val="004B0B71"/>
    <w:rsid w:val="004B0C1E"/>
    <w:rsid w:val="004B0C8B"/>
    <w:rsid w:val="004B0F18"/>
    <w:rsid w:val="004B1380"/>
    <w:rsid w:val="004B13F6"/>
    <w:rsid w:val="004B14FA"/>
    <w:rsid w:val="004B166B"/>
    <w:rsid w:val="004B17E3"/>
    <w:rsid w:val="004B17ED"/>
    <w:rsid w:val="004B189F"/>
    <w:rsid w:val="004B1A0A"/>
    <w:rsid w:val="004B1A3C"/>
    <w:rsid w:val="004B1A9B"/>
    <w:rsid w:val="004B1AB6"/>
    <w:rsid w:val="004B1BDF"/>
    <w:rsid w:val="004B1D94"/>
    <w:rsid w:val="004B1E12"/>
    <w:rsid w:val="004B1F60"/>
    <w:rsid w:val="004B1FF4"/>
    <w:rsid w:val="004B225A"/>
    <w:rsid w:val="004B25BA"/>
    <w:rsid w:val="004B25F8"/>
    <w:rsid w:val="004B270E"/>
    <w:rsid w:val="004B27A2"/>
    <w:rsid w:val="004B27FF"/>
    <w:rsid w:val="004B2C53"/>
    <w:rsid w:val="004B2E7E"/>
    <w:rsid w:val="004B2F1D"/>
    <w:rsid w:val="004B2FFD"/>
    <w:rsid w:val="004B31EC"/>
    <w:rsid w:val="004B32A6"/>
    <w:rsid w:val="004B34DB"/>
    <w:rsid w:val="004B35AC"/>
    <w:rsid w:val="004B37EA"/>
    <w:rsid w:val="004B399D"/>
    <w:rsid w:val="004B3A2E"/>
    <w:rsid w:val="004B3ADE"/>
    <w:rsid w:val="004B3CCF"/>
    <w:rsid w:val="004B3DC1"/>
    <w:rsid w:val="004B3E6B"/>
    <w:rsid w:val="004B404E"/>
    <w:rsid w:val="004B4062"/>
    <w:rsid w:val="004B41BE"/>
    <w:rsid w:val="004B427D"/>
    <w:rsid w:val="004B4334"/>
    <w:rsid w:val="004B4610"/>
    <w:rsid w:val="004B4901"/>
    <w:rsid w:val="004B4AF3"/>
    <w:rsid w:val="004B4C1B"/>
    <w:rsid w:val="004B4C42"/>
    <w:rsid w:val="004B4EE3"/>
    <w:rsid w:val="004B4F9B"/>
    <w:rsid w:val="004B510E"/>
    <w:rsid w:val="004B5219"/>
    <w:rsid w:val="004B53B0"/>
    <w:rsid w:val="004B55C6"/>
    <w:rsid w:val="004B56A2"/>
    <w:rsid w:val="004B586E"/>
    <w:rsid w:val="004B5A47"/>
    <w:rsid w:val="004B5AC4"/>
    <w:rsid w:val="004B5BBC"/>
    <w:rsid w:val="004B5C6E"/>
    <w:rsid w:val="004B5D61"/>
    <w:rsid w:val="004B5E38"/>
    <w:rsid w:val="004B5EBD"/>
    <w:rsid w:val="004B5F29"/>
    <w:rsid w:val="004B60FE"/>
    <w:rsid w:val="004B610F"/>
    <w:rsid w:val="004B6255"/>
    <w:rsid w:val="004B63AC"/>
    <w:rsid w:val="004B64F5"/>
    <w:rsid w:val="004B650A"/>
    <w:rsid w:val="004B658C"/>
    <w:rsid w:val="004B6690"/>
    <w:rsid w:val="004B66FA"/>
    <w:rsid w:val="004B6771"/>
    <w:rsid w:val="004B67E3"/>
    <w:rsid w:val="004B67EB"/>
    <w:rsid w:val="004B67ED"/>
    <w:rsid w:val="004B699C"/>
    <w:rsid w:val="004B6B7E"/>
    <w:rsid w:val="004B6CC9"/>
    <w:rsid w:val="004B6D20"/>
    <w:rsid w:val="004B6D66"/>
    <w:rsid w:val="004B6D8D"/>
    <w:rsid w:val="004B7017"/>
    <w:rsid w:val="004B7121"/>
    <w:rsid w:val="004B7247"/>
    <w:rsid w:val="004B738C"/>
    <w:rsid w:val="004B7477"/>
    <w:rsid w:val="004B7490"/>
    <w:rsid w:val="004B7712"/>
    <w:rsid w:val="004B781B"/>
    <w:rsid w:val="004B788F"/>
    <w:rsid w:val="004B7918"/>
    <w:rsid w:val="004B7AD9"/>
    <w:rsid w:val="004B7BB3"/>
    <w:rsid w:val="004B7BE0"/>
    <w:rsid w:val="004B7BF7"/>
    <w:rsid w:val="004B7F03"/>
    <w:rsid w:val="004C01D4"/>
    <w:rsid w:val="004C023C"/>
    <w:rsid w:val="004C03C0"/>
    <w:rsid w:val="004C046C"/>
    <w:rsid w:val="004C0540"/>
    <w:rsid w:val="004C06AC"/>
    <w:rsid w:val="004C06CB"/>
    <w:rsid w:val="004C06D2"/>
    <w:rsid w:val="004C08A9"/>
    <w:rsid w:val="004C0F88"/>
    <w:rsid w:val="004C100C"/>
    <w:rsid w:val="004C11D5"/>
    <w:rsid w:val="004C1249"/>
    <w:rsid w:val="004C12B0"/>
    <w:rsid w:val="004C1415"/>
    <w:rsid w:val="004C1536"/>
    <w:rsid w:val="004C157A"/>
    <w:rsid w:val="004C1581"/>
    <w:rsid w:val="004C15A3"/>
    <w:rsid w:val="004C16ED"/>
    <w:rsid w:val="004C1912"/>
    <w:rsid w:val="004C1C9B"/>
    <w:rsid w:val="004C1EF7"/>
    <w:rsid w:val="004C1F82"/>
    <w:rsid w:val="004C20F8"/>
    <w:rsid w:val="004C2134"/>
    <w:rsid w:val="004C21F5"/>
    <w:rsid w:val="004C2225"/>
    <w:rsid w:val="004C2391"/>
    <w:rsid w:val="004C2486"/>
    <w:rsid w:val="004C2760"/>
    <w:rsid w:val="004C28D5"/>
    <w:rsid w:val="004C2956"/>
    <w:rsid w:val="004C2DB1"/>
    <w:rsid w:val="004C2E55"/>
    <w:rsid w:val="004C2F25"/>
    <w:rsid w:val="004C2F5A"/>
    <w:rsid w:val="004C2F92"/>
    <w:rsid w:val="004C300C"/>
    <w:rsid w:val="004C320C"/>
    <w:rsid w:val="004C35B2"/>
    <w:rsid w:val="004C36AD"/>
    <w:rsid w:val="004C3721"/>
    <w:rsid w:val="004C379D"/>
    <w:rsid w:val="004C37D5"/>
    <w:rsid w:val="004C3803"/>
    <w:rsid w:val="004C398B"/>
    <w:rsid w:val="004C3B39"/>
    <w:rsid w:val="004C3FB2"/>
    <w:rsid w:val="004C3FD3"/>
    <w:rsid w:val="004C4153"/>
    <w:rsid w:val="004C429B"/>
    <w:rsid w:val="004C42B2"/>
    <w:rsid w:val="004C446B"/>
    <w:rsid w:val="004C46F3"/>
    <w:rsid w:val="004C4765"/>
    <w:rsid w:val="004C4962"/>
    <w:rsid w:val="004C4C72"/>
    <w:rsid w:val="004C4F1E"/>
    <w:rsid w:val="004C5150"/>
    <w:rsid w:val="004C5189"/>
    <w:rsid w:val="004C51D3"/>
    <w:rsid w:val="004C54CE"/>
    <w:rsid w:val="004C58A7"/>
    <w:rsid w:val="004C5916"/>
    <w:rsid w:val="004C5AA1"/>
    <w:rsid w:val="004C5AFB"/>
    <w:rsid w:val="004C5D3B"/>
    <w:rsid w:val="004C5D5C"/>
    <w:rsid w:val="004C5D69"/>
    <w:rsid w:val="004C6051"/>
    <w:rsid w:val="004C61AB"/>
    <w:rsid w:val="004C61C9"/>
    <w:rsid w:val="004C6241"/>
    <w:rsid w:val="004C6325"/>
    <w:rsid w:val="004C637F"/>
    <w:rsid w:val="004C67F0"/>
    <w:rsid w:val="004C6C65"/>
    <w:rsid w:val="004C6CB0"/>
    <w:rsid w:val="004C6CC1"/>
    <w:rsid w:val="004C71BC"/>
    <w:rsid w:val="004C72D9"/>
    <w:rsid w:val="004C73F3"/>
    <w:rsid w:val="004C770A"/>
    <w:rsid w:val="004C7715"/>
    <w:rsid w:val="004C78A8"/>
    <w:rsid w:val="004C79A1"/>
    <w:rsid w:val="004C79B5"/>
    <w:rsid w:val="004C7A61"/>
    <w:rsid w:val="004C7A6A"/>
    <w:rsid w:val="004C7B5C"/>
    <w:rsid w:val="004C7C70"/>
    <w:rsid w:val="004C7DB8"/>
    <w:rsid w:val="004C7E56"/>
    <w:rsid w:val="004C90DF"/>
    <w:rsid w:val="004D0008"/>
    <w:rsid w:val="004D01C9"/>
    <w:rsid w:val="004D0968"/>
    <w:rsid w:val="004D0A6C"/>
    <w:rsid w:val="004D0B14"/>
    <w:rsid w:val="004D0C14"/>
    <w:rsid w:val="004D0DAE"/>
    <w:rsid w:val="004D0E5A"/>
    <w:rsid w:val="004D1039"/>
    <w:rsid w:val="004D13C9"/>
    <w:rsid w:val="004D1427"/>
    <w:rsid w:val="004D169A"/>
    <w:rsid w:val="004D18A9"/>
    <w:rsid w:val="004D1994"/>
    <w:rsid w:val="004D19A3"/>
    <w:rsid w:val="004D1ACE"/>
    <w:rsid w:val="004D1D31"/>
    <w:rsid w:val="004D1DD1"/>
    <w:rsid w:val="004D1EA6"/>
    <w:rsid w:val="004D1F32"/>
    <w:rsid w:val="004D20C7"/>
    <w:rsid w:val="004D2173"/>
    <w:rsid w:val="004D21D1"/>
    <w:rsid w:val="004D227E"/>
    <w:rsid w:val="004D238B"/>
    <w:rsid w:val="004D23EC"/>
    <w:rsid w:val="004D24D6"/>
    <w:rsid w:val="004D2569"/>
    <w:rsid w:val="004D256D"/>
    <w:rsid w:val="004D26F6"/>
    <w:rsid w:val="004D27D9"/>
    <w:rsid w:val="004D281F"/>
    <w:rsid w:val="004D2852"/>
    <w:rsid w:val="004D29D3"/>
    <w:rsid w:val="004D2AC0"/>
    <w:rsid w:val="004D2AE3"/>
    <w:rsid w:val="004D2B2D"/>
    <w:rsid w:val="004D2C03"/>
    <w:rsid w:val="004D2F0B"/>
    <w:rsid w:val="004D3083"/>
    <w:rsid w:val="004D30E5"/>
    <w:rsid w:val="004D32E9"/>
    <w:rsid w:val="004D3541"/>
    <w:rsid w:val="004D3772"/>
    <w:rsid w:val="004D385F"/>
    <w:rsid w:val="004D3A8A"/>
    <w:rsid w:val="004D3ABB"/>
    <w:rsid w:val="004D3B06"/>
    <w:rsid w:val="004D3B0A"/>
    <w:rsid w:val="004D3C71"/>
    <w:rsid w:val="004D3DCF"/>
    <w:rsid w:val="004D3F56"/>
    <w:rsid w:val="004D4169"/>
    <w:rsid w:val="004D41EB"/>
    <w:rsid w:val="004D43C6"/>
    <w:rsid w:val="004D43F4"/>
    <w:rsid w:val="004D446D"/>
    <w:rsid w:val="004D449C"/>
    <w:rsid w:val="004D4602"/>
    <w:rsid w:val="004D461E"/>
    <w:rsid w:val="004D4685"/>
    <w:rsid w:val="004D48AA"/>
    <w:rsid w:val="004D48BB"/>
    <w:rsid w:val="004D4937"/>
    <w:rsid w:val="004D4948"/>
    <w:rsid w:val="004D4976"/>
    <w:rsid w:val="004D49DC"/>
    <w:rsid w:val="004D4A10"/>
    <w:rsid w:val="004D4A77"/>
    <w:rsid w:val="004D4B5D"/>
    <w:rsid w:val="004D4C8E"/>
    <w:rsid w:val="004D4CAE"/>
    <w:rsid w:val="004D4CD2"/>
    <w:rsid w:val="004D4DCA"/>
    <w:rsid w:val="004D4EAF"/>
    <w:rsid w:val="004D505A"/>
    <w:rsid w:val="004D53ED"/>
    <w:rsid w:val="004D53FB"/>
    <w:rsid w:val="004D540B"/>
    <w:rsid w:val="004D56B6"/>
    <w:rsid w:val="004D59E3"/>
    <w:rsid w:val="004D5B5D"/>
    <w:rsid w:val="004D5B9D"/>
    <w:rsid w:val="004D5BBC"/>
    <w:rsid w:val="004D5C80"/>
    <w:rsid w:val="004D5E33"/>
    <w:rsid w:val="004D5E60"/>
    <w:rsid w:val="004D5EA0"/>
    <w:rsid w:val="004D5ECD"/>
    <w:rsid w:val="004D5FDC"/>
    <w:rsid w:val="004D600F"/>
    <w:rsid w:val="004D6012"/>
    <w:rsid w:val="004D608F"/>
    <w:rsid w:val="004D6201"/>
    <w:rsid w:val="004D63CE"/>
    <w:rsid w:val="004D6A8F"/>
    <w:rsid w:val="004D6B36"/>
    <w:rsid w:val="004D6C11"/>
    <w:rsid w:val="004D6CE1"/>
    <w:rsid w:val="004D6E5B"/>
    <w:rsid w:val="004D7115"/>
    <w:rsid w:val="004D7133"/>
    <w:rsid w:val="004D7138"/>
    <w:rsid w:val="004D71E9"/>
    <w:rsid w:val="004D721C"/>
    <w:rsid w:val="004D7380"/>
    <w:rsid w:val="004D754C"/>
    <w:rsid w:val="004D755B"/>
    <w:rsid w:val="004D763A"/>
    <w:rsid w:val="004D7A58"/>
    <w:rsid w:val="004D7C32"/>
    <w:rsid w:val="004D7C8C"/>
    <w:rsid w:val="004D7FA7"/>
    <w:rsid w:val="004E023F"/>
    <w:rsid w:val="004E035C"/>
    <w:rsid w:val="004E0472"/>
    <w:rsid w:val="004E0AE1"/>
    <w:rsid w:val="004E0AEE"/>
    <w:rsid w:val="004E0B01"/>
    <w:rsid w:val="004E0B26"/>
    <w:rsid w:val="004E0C40"/>
    <w:rsid w:val="004E1004"/>
    <w:rsid w:val="004E1097"/>
    <w:rsid w:val="004E11BE"/>
    <w:rsid w:val="004E123E"/>
    <w:rsid w:val="004E143C"/>
    <w:rsid w:val="004E1921"/>
    <w:rsid w:val="004E19C0"/>
    <w:rsid w:val="004E1D42"/>
    <w:rsid w:val="004E1DB8"/>
    <w:rsid w:val="004E224F"/>
    <w:rsid w:val="004E275F"/>
    <w:rsid w:val="004E286B"/>
    <w:rsid w:val="004E28AD"/>
    <w:rsid w:val="004E2C93"/>
    <w:rsid w:val="004E2CEA"/>
    <w:rsid w:val="004E2D84"/>
    <w:rsid w:val="004E2F06"/>
    <w:rsid w:val="004E3035"/>
    <w:rsid w:val="004E345F"/>
    <w:rsid w:val="004E361A"/>
    <w:rsid w:val="004E37AD"/>
    <w:rsid w:val="004E3829"/>
    <w:rsid w:val="004E38FC"/>
    <w:rsid w:val="004E3944"/>
    <w:rsid w:val="004E3A31"/>
    <w:rsid w:val="004E3A6F"/>
    <w:rsid w:val="004E3B8A"/>
    <w:rsid w:val="004E3E92"/>
    <w:rsid w:val="004E3F6A"/>
    <w:rsid w:val="004E3FAC"/>
    <w:rsid w:val="004E3FC8"/>
    <w:rsid w:val="004E420B"/>
    <w:rsid w:val="004E4267"/>
    <w:rsid w:val="004E4344"/>
    <w:rsid w:val="004E4476"/>
    <w:rsid w:val="004E4542"/>
    <w:rsid w:val="004E4630"/>
    <w:rsid w:val="004E46A7"/>
    <w:rsid w:val="004E491F"/>
    <w:rsid w:val="004E4C60"/>
    <w:rsid w:val="004E4CD0"/>
    <w:rsid w:val="004E4DBF"/>
    <w:rsid w:val="004E4FA8"/>
    <w:rsid w:val="004E5080"/>
    <w:rsid w:val="004E50B9"/>
    <w:rsid w:val="004E50FD"/>
    <w:rsid w:val="004E5143"/>
    <w:rsid w:val="004E5166"/>
    <w:rsid w:val="004E5167"/>
    <w:rsid w:val="004E52FE"/>
    <w:rsid w:val="004E5612"/>
    <w:rsid w:val="004E5801"/>
    <w:rsid w:val="004E5835"/>
    <w:rsid w:val="004E5935"/>
    <w:rsid w:val="004E5C38"/>
    <w:rsid w:val="004E5D0D"/>
    <w:rsid w:val="004E5F0C"/>
    <w:rsid w:val="004E6029"/>
    <w:rsid w:val="004E6041"/>
    <w:rsid w:val="004E6064"/>
    <w:rsid w:val="004E608B"/>
    <w:rsid w:val="004E60EF"/>
    <w:rsid w:val="004E60F5"/>
    <w:rsid w:val="004E6159"/>
    <w:rsid w:val="004E6347"/>
    <w:rsid w:val="004E638A"/>
    <w:rsid w:val="004E63E4"/>
    <w:rsid w:val="004E6492"/>
    <w:rsid w:val="004E673C"/>
    <w:rsid w:val="004E68B4"/>
    <w:rsid w:val="004E68CF"/>
    <w:rsid w:val="004E69DD"/>
    <w:rsid w:val="004E6B74"/>
    <w:rsid w:val="004E6D22"/>
    <w:rsid w:val="004E6D3D"/>
    <w:rsid w:val="004E6E6F"/>
    <w:rsid w:val="004E6EA2"/>
    <w:rsid w:val="004E6F08"/>
    <w:rsid w:val="004E6FF7"/>
    <w:rsid w:val="004E70D6"/>
    <w:rsid w:val="004E7157"/>
    <w:rsid w:val="004E74C8"/>
    <w:rsid w:val="004E75B6"/>
    <w:rsid w:val="004E7616"/>
    <w:rsid w:val="004E77D9"/>
    <w:rsid w:val="004E79C1"/>
    <w:rsid w:val="004E7AD5"/>
    <w:rsid w:val="004E7D1B"/>
    <w:rsid w:val="004E7DCC"/>
    <w:rsid w:val="004E7E88"/>
    <w:rsid w:val="004E7FA8"/>
    <w:rsid w:val="004F011E"/>
    <w:rsid w:val="004F0318"/>
    <w:rsid w:val="004F05CF"/>
    <w:rsid w:val="004F0626"/>
    <w:rsid w:val="004F06B8"/>
    <w:rsid w:val="004F0728"/>
    <w:rsid w:val="004F0AE3"/>
    <w:rsid w:val="004F0C74"/>
    <w:rsid w:val="004F0CD8"/>
    <w:rsid w:val="004F0E32"/>
    <w:rsid w:val="004F0F6D"/>
    <w:rsid w:val="004F10A0"/>
    <w:rsid w:val="004F10C1"/>
    <w:rsid w:val="004F1108"/>
    <w:rsid w:val="004F12FD"/>
    <w:rsid w:val="004F1575"/>
    <w:rsid w:val="004F1640"/>
    <w:rsid w:val="004F1734"/>
    <w:rsid w:val="004F17AE"/>
    <w:rsid w:val="004F195E"/>
    <w:rsid w:val="004F1A12"/>
    <w:rsid w:val="004F1A42"/>
    <w:rsid w:val="004F1AAF"/>
    <w:rsid w:val="004F1AB7"/>
    <w:rsid w:val="004F1B2E"/>
    <w:rsid w:val="004F1BB3"/>
    <w:rsid w:val="004F1D05"/>
    <w:rsid w:val="004F1E42"/>
    <w:rsid w:val="004F1EDC"/>
    <w:rsid w:val="004F1F66"/>
    <w:rsid w:val="004F2262"/>
    <w:rsid w:val="004F2286"/>
    <w:rsid w:val="004F2413"/>
    <w:rsid w:val="004F2445"/>
    <w:rsid w:val="004F25D9"/>
    <w:rsid w:val="004F2668"/>
    <w:rsid w:val="004F2712"/>
    <w:rsid w:val="004F272C"/>
    <w:rsid w:val="004F28F0"/>
    <w:rsid w:val="004F2B76"/>
    <w:rsid w:val="004F2C1D"/>
    <w:rsid w:val="004F2FB0"/>
    <w:rsid w:val="004F3035"/>
    <w:rsid w:val="004F306B"/>
    <w:rsid w:val="004F3299"/>
    <w:rsid w:val="004F3611"/>
    <w:rsid w:val="004F36E8"/>
    <w:rsid w:val="004F392D"/>
    <w:rsid w:val="004F3A0D"/>
    <w:rsid w:val="004F3A8B"/>
    <w:rsid w:val="004F3AA7"/>
    <w:rsid w:val="004F3B94"/>
    <w:rsid w:val="004F3D75"/>
    <w:rsid w:val="004F4180"/>
    <w:rsid w:val="004F41E2"/>
    <w:rsid w:val="004F42A3"/>
    <w:rsid w:val="004F43DB"/>
    <w:rsid w:val="004F43FE"/>
    <w:rsid w:val="004F446A"/>
    <w:rsid w:val="004F45E2"/>
    <w:rsid w:val="004F45F6"/>
    <w:rsid w:val="004F4754"/>
    <w:rsid w:val="004F48B6"/>
    <w:rsid w:val="004F48FD"/>
    <w:rsid w:val="004F4D61"/>
    <w:rsid w:val="004F4D7F"/>
    <w:rsid w:val="004F4D8C"/>
    <w:rsid w:val="004F4D91"/>
    <w:rsid w:val="004F4DCC"/>
    <w:rsid w:val="004F4FD0"/>
    <w:rsid w:val="004F5147"/>
    <w:rsid w:val="004F51B7"/>
    <w:rsid w:val="004F51EE"/>
    <w:rsid w:val="004F5465"/>
    <w:rsid w:val="004F56A0"/>
    <w:rsid w:val="004F58F7"/>
    <w:rsid w:val="004F5B5B"/>
    <w:rsid w:val="004F5BB3"/>
    <w:rsid w:val="004F5E39"/>
    <w:rsid w:val="004F60A5"/>
    <w:rsid w:val="004F615E"/>
    <w:rsid w:val="004F62EB"/>
    <w:rsid w:val="004F64C6"/>
    <w:rsid w:val="004F652C"/>
    <w:rsid w:val="004F6704"/>
    <w:rsid w:val="004F67C0"/>
    <w:rsid w:val="004F6AC5"/>
    <w:rsid w:val="004F6EDE"/>
    <w:rsid w:val="004F6F55"/>
    <w:rsid w:val="004F7019"/>
    <w:rsid w:val="004F702A"/>
    <w:rsid w:val="004F7139"/>
    <w:rsid w:val="004F72ED"/>
    <w:rsid w:val="004F7338"/>
    <w:rsid w:val="004F7360"/>
    <w:rsid w:val="004F7417"/>
    <w:rsid w:val="004F743B"/>
    <w:rsid w:val="004F752E"/>
    <w:rsid w:val="004F797E"/>
    <w:rsid w:val="004F7A45"/>
    <w:rsid w:val="004F7ABC"/>
    <w:rsid w:val="004F7CAE"/>
    <w:rsid w:val="004F7D3A"/>
    <w:rsid w:val="004F7E63"/>
    <w:rsid w:val="004F7E8C"/>
    <w:rsid w:val="004F7F5B"/>
    <w:rsid w:val="00500002"/>
    <w:rsid w:val="00500100"/>
    <w:rsid w:val="00500240"/>
    <w:rsid w:val="0050034D"/>
    <w:rsid w:val="00500391"/>
    <w:rsid w:val="0050080B"/>
    <w:rsid w:val="0050084A"/>
    <w:rsid w:val="0050089E"/>
    <w:rsid w:val="00500A04"/>
    <w:rsid w:val="00500AF7"/>
    <w:rsid w:val="00500CD8"/>
    <w:rsid w:val="00500DF8"/>
    <w:rsid w:val="00500E08"/>
    <w:rsid w:val="00500E92"/>
    <w:rsid w:val="00500FBE"/>
    <w:rsid w:val="00501049"/>
    <w:rsid w:val="005011E1"/>
    <w:rsid w:val="0050126E"/>
    <w:rsid w:val="0050130C"/>
    <w:rsid w:val="005013D4"/>
    <w:rsid w:val="0050160A"/>
    <w:rsid w:val="00501699"/>
    <w:rsid w:val="00501711"/>
    <w:rsid w:val="00501755"/>
    <w:rsid w:val="005017BC"/>
    <w:rsid w:val="00501AB6"/>
    <w:rsid w:val="00501AC2"/>
    <w:rsid w:val="00501CD6"/>
    <w:rsid w:val="00501EDF"/>
    <w:rsid w:val="00501FB7"/>
    <w:rsid w:val="005020B4"/>
    <w:rsid w:val="00502109"/>
    <w:rsid w:val="00502145"/>
    <w:rsid w:val="00502244"/>
    <w:rsid w:val="005022E4"/>
    <w:rsid w:val="00502335"/>
    <w:rsid w:val="005023F3"/>
    <w:rsid w:val="00502555"/>
    <w:rsid w:val="0050259A"/>
    <w:rsid w:val="005025CD"/>
    <w:rsid w:val="005026A9"/>
    <w:rsid w:val="005028AF"/>
    <w:rsid w:val="00502918"/>
    <w:rsid w:val="00502AF8"/>
    <w:rsid w:val="00502C0F"/>
    <w:rsid w:val="00502C8C"/>
    <w:rsid w:val="005032A1"/>
    <w:rsid w:val="005033A9"/>
    <w:rsid w:val="005033C7"/>
    <w:rsid w:val="00503679"/>
    <w:rsid w:val="005036E7"/>
    <w:rsid w:val="0050386F"/>
    <w:rsid w:val="005039A0"/>
    <w:rsid w:val="00503A64"/>
    <w:rsid w:val="00503AAC"/>
    <w:rsid w:val="00503F37"/>
    <w:rsid w:val="00504031"/>
    <w:rsid w:val="00504083"/>
    <w:rsid w:val="00504118"/>
    <w:rsid w:val="005041B3"/>
    <w:rsid w:val="0050444A"/>
    <w:rsid w:val="005044EA"/>
    <w:rsid w:val="00504565"/>
    <w:rsid w:val="00504868"/>
    <w:rsid w:val="005049A8"/>
    <w:rsid w:val="00504A15"/>
    <w:rsid w:val="00504B58"/>
    <w:rsid w:val="00504CF5"/>
    <w:rsid w:val="00504E04"/>
    <w:rsid w:val="00504F3A"/>
    <w:rsid w:val="00505083"/>
    <w:rsid w:val="005052E8"/>
    <w:rsid w:val="00505602"/>
    <w:rsid w:val="0050562B"/>
    <w:rsid w:val="0050567F"/>
    <w:rsid w:val="005059C6"/>
    <w:rsid w:val="00505CAA"/>
    <w:rsid w:val="00505CC8"/>
    <w:rsid w:val="00505DB0"/>
    <w:rsid w:val="00506191"/>
    <w:rsid w:val="005061B3"/>
    <w:rsid w:val="00506262"/>
    <w:rsid w:val="00506486"/>
    <w:rsid w:val="00506489"/>
    <w:rsid w:val="005064AB"/>
    <w:rsid w:val="0050694D"/>
    <w:rsid w:val="005069A0"/>
    <w:rsid w:val="00506A2C"/>
    <w:rsid w:val="00506AF9"/>
    <w:rsid w:val="00506D44"/>
    <w:rsid w:val="005070EA"/>
    <w:rsid w:val="0050725A"/>
    <w:rsid w:val="005074F7"/>
    <w:rsid w:val="00507511"/>
    <w:rsid w:val="00507514"/>
    <w:rsid w:val="0050751E"/>
    <w:rsid w:val="00507845"/>
    <w:rsid w:val="00507946"/>
    <w:rsid w:val="00507AC0"/>
    <w:rsid w:val="00507AF7"/>
    <w:rsid w:val="00507AFF"/>
    <w:rsid w:val="00507BA5"/>
    <w:rsid w:val="00507C8E"/>
    <w:rsid w:val="00510065"/>
    <w:rsid w:val="00510136"/>
    <w:rsid w:val="005102AD"/>
    <w:rsid w:val="00510313"/>
    <w:rsid w:val="005103DD"/>
    <w:rsid w:val="0051043E"/>
    <w:rsid w:val="00510657"/>
    <w:rsid w:val="005106FA"/>
    <w:rsid w:val="0051080D"/>
    <w:rsid w:val="0051080E"/>
    <w:rsid w:val="0051084F"/>
    <w:rsid w:val="00510920"/>
    <w:rsid w:val="00510934"/>
    <w:rsid w:val="00510D31"/>
    <w:rsid w:val="00510E21"/>
    <w:rsid w:val="00510E41"/>
    <w:rsid w:val="00510F3E"/>
    <w:rsid w:val="00511010"/>
    <w:rsid w:val="0051121B"/>
    <w:rsid w:val="0051124B"/>
    <w:rsid w:val="00511405"/>
    <w:rsid w:val="0051141D"/>
    <w:rsid w:val="005114EF"/>
    <w:rsid w:val="00511632"/>
    <w:rsid w:val="005116E6"/>
    <w:rsid w:val="005119A8"/>
    <w:rsid w:val="00511D27"/>
    <w:rsid w:val="00511E13"/>
    <w:rsid w:val="00512149"/>
    <w:rsid w:val="00512338"/>
    <w:rsid w:val="00512539"/>
    <w:rsid w:val="00512643"/>
    <w:rsid w:val="00512829"/>
    <w:rsid w:val="0051285A"/>
    <w:rsid w:val="005128B7"/>
    <w:rsid w:val="005128E7"/>
    <w:rsid w:val="005129B2"/>
    <w:rsid w:val="005129F0"/>
    <w:rsid w:val="00512BFA"/>
    <w:rsid w:val="00512CD2"/>
    <w:rsid w:val="00512DC7"/>
    <w:rsid w:val="00512FB1"/>
    <w:rsid w:val="00512FC7"/>
    <w:rsid w:val="00513008"/>
    <w:rsid w:val="005130B0"/>
    <w:rsid w:val="005130EC"/>
    <w:rsid w:val="005134D8"/>
    <w:rsid w:val="005134DE"/>
    <w:rsid w:val="00513543"/>
    <w:rsid w:val="005136EE"/>
    <w:rsid w:val="005138EE"/>
    <w:rsid w:val="00513D76"/>
    <w:rsid w:val="00514050"/>
    <w:rsid w:val="005140DC"/>
    <w:rsid w:val="00514277"/>
    <w:rsid w:val="00514387"/>
    <w:rsid w:val="005145DC"/>
    <w:rsid w:val="0051464D"/>
    <w:rsid w:val="0051465F"/>
    <w:rsid w:val="0051467C"/>
    <w:rsid w:val="00514721"/>
    <w:rsid w:val="005147A7"/>
    <w:rsid w:val="00514863"/>
    <w:rsid w:val="005148C4"/>
    <w:rsid w:val="00514AC2"/>
    <w:rsid w:val="00514C49"/>
    <w:rsid w:val="00514CE3"/>
    <w:rsid w:val="00514E15"/>
    <w:rsid w:val="00514FC6"/>
    <w:rsid w:val="0051508B"/>
    <w:rsid w:val="00515109"/>
    <w:rsid w:val="00515259"/>
    <w:rsid w:val="0051525A"/>
    <w:rsid w:val="00515275"/>
    <w:rsid w:val="005152B1"/>
    <w:rsid w:val="005152EE"/>
    <w:rsid w:val="00515572"/>
    <w:rsid w:val="005155AF"/>
    <w:rsid w:val="00515628"/>
    <w:rsid w:val="005157FF"/>
    <w:rsid w:val="005158FB"/>
    <w:rsid w:val="00515A44"/>
    <w:rsid w:val="00515A86"/>
    <w:rsid w:val="00515C39"/>
    <w:rsid w:val="00515CFB"/>
    <w:rsid w:val="00515DA0"/>
    <w:rsid w:val="00515F7B"/>
    <w:rsid w:val="00516026"/>
    <w:rsid w:val="00516183"/>
    <w:rsid w:val="005161F4"/>
    <w:rsid w:val="00516328"/>
    <w:rsid w:val="00516372"/>
    <w:rsid w:val="005163B5"/>
    <w:rsid w:val="0051648A"/>
    <w:rsid w:val="00516531"/>
    <w:rsid w:val="00516561"/>
    <w:rsid w:val="00516787"/>
    <w:rsid w:val="00516797"/>
    <w:rsid w:val="005167B7"/>
    <w:rsid w:val="00516868"/>
    <w:rsid w:val="00516878"/>
    <w:rsid w:val="005169CC"/>
    <w:rsid w:val="00516A0A"/>
    <w:rsid w:val="00517082"/>
    <w:rsid w:val="00517107"/>
    <w:rsid w:val="0051712E"/>
    <w:rsid w:val="005175B1"/>
    <w:rsid w:val="00517667"/>
    <w:rsid w:val="0051769F"/>
    <w:rsid w:val="005177E4"/>
    <w:rsid w:val="00517987"/>
    <w:rsid w:val="00517AED"/>
    <w:rsid w:val="00517AF3"/>
    <w:rsid w:val="00517B96"/>
    <w:rsid w:val="00517C8C"/>
    <w:rsid w:val="00517D1F"/>
    <w:rsid w:val="00517DBE"/>
    <w:rsid w:val="00517EB4"/>
    <w:rsid w:val="00517FCF"/>
    <w:rsid w:val="00520143"/>
    <w:rsid w:val="00520692"/>
    <w:rsid w:val="00520741"/>
    <w:rsid w:val="005207DA"/>
    <w:rsid w:val="00520870"/>
    <w:rsid w:val="005209CB"/>
    <w:rsid w:val="00520A14"/>
    <w:rsid w:val="00521039"/>
    <w:rsid w:val="005214D9"/>
    <w:rsid w:val="0052153E"/>
    <w:rsid w:val="005216AE"/>
    <w:rsid w:val="00521BAB"/>
    <w:rsid w:val="00521BF8"/>
    <w:rsid w:val="00521C1D"/>
    <w:rsid w:val="00522045"/>
    <w:rsid w:val="0052224F"/>
    <w:rsid w:val="005224A9"/>
    <w:rsid w:val="005224C3"/>
    <w:rsid w:val="00522524"/>
    <w:rsid w:val="005225AE"/>
    <w:rsid w:val="005226F5"/>
    <w:rsid w:val="00522888"/>
    <w:rsid w:val="00522ACC"/>
    <w:rsid w:val="00522D77"/>
    <w:rsid w:val="00522E74"/>
    <w:rsid w:val="00522EC4"/>
    <w:rsid w:val="00523077"/>
    <w:rsid w:val="0052309D"/>
    <w:rsid w:val="00523232"/>
    <w:rsid w:val="00523435"/>
    <w:rsid w:val="00523667"/>
    <w:rsid w:val="005237FD"/>
    <w:rsid w:val="005238B5"/>
    <w:rsid w:val="005239FA"/>
    <w:rsid w:val="00523A69"/>
    <w:rsid w:val="00523AF7"/>
    <w:rsid w:val="00523B03"/>
    <w:rsid w:val="00523C51"/>
    <w:rsid w:val="00523C8D"/>
    <w:rsid w:val="00523D31"/>
    <w:rsid w:val="00523D65"/>
    <w:rsid w:val="00523FA9"/>
    <w:rsid w:val="00524352"/>
    <w:rsid w:val="005243FC"/>
    <w:rsid w:val="005244A9"/>
    <w:rsid w:val="005245F7"/>
    <w:rsid w:val="00524725"/>
    <w:rsid w:val="0052483D"/>
    <w:rsid w:val="005249E8"/>
    <w:rsid w:val="00524A3C"/>
    <w:rsid w:val="00524A50"/>
    <w:rsid w:val="00524CD4"/>
    <w:rsid w:val="00524FDE"/>
    <w:rsid w:val="00524FF0"/>
    <w:rsid w:val="00525263"/>
    <w:rsid w:val="005253C3"/>
    <w:rsid w:val="00525426"/>
    <w:rsid w:val="005255F2"/>
    <w:rsid w:val="00525613"/>
    <w:rsid w:val="00525663"/>
    <w:rsid w:val="00525701"/>
    <w:rsid w:val="0052578D"/>
    <w:rsid w:val="00525A5D"/>
    <w:rsid w:val="00525CC0"/>
    <w:rsid w:val="00526321"/>
    <w:rsid w:val="0052647F"/>
    <w:rsid w:val="0052650A"/>
    <w:rsid w:val="0052653B"/>
    <w:rsid w:val="00526670"/>
    <w:rsid w:val="00526679"/>
    <w:rsid w:val="00526723"/>
    <w:rsid w:val="0052674D"/>
    <w:rsid w:val="00526758"/>
    <w:rsid w:val="00526806"/>
    <w:rsid w:val="005269E5"/>
    <w:rsid w:val="00526C4B"/>
    <w:rsid w:val="00526E06"/>
    <w:rsid w:val="00527007"/>
    <w:rsid w:val="005272BF"/>
    <w:rsid w:val="005273BB"/>
    <w:rsid w:val="0052743A"/>
    <w:rsid w:val="0052768C"/>
    <w:rsid w:val="0052793A"/>
    <w:rsid w:val="00527960"/>
    <w:rsid w:val="00527A8D"/>
    <w:rsid w:val="00527BAE"/>
    <w:rsid w:val="00527BDE"/>
    <w:rsid w:val="00527F78"/>
    <w:rsid w:val="00527F9A"/>
    <w:rsid w:val="005300F0"/>
    <w:rsid w:val="0053013D"/>
    <w:rsid w:val="0053024F"/>
    <w:rsid w:val="005302A0"/>
    <w:rsid w:val="0053031A"/>
    <w:rsid w:val="00530333"/>
    <w:rsid w:val="00530396"/>
    <w:rsid w:val="005303C8"/>
    <w:rsid w:val="00530726"/>
    <w:rsid w:val="00530793"/>
    <w:rsid w:val="005307D0"/>
    <w:rsid w:val="00530908"/>
    <w:rsid w:val="005309C3"/>
    <w:rsid w:val="00530A0C"/>
    <w:rsid w:val="00530B41"/>
    <w:rsid w:val="00530C59"/>
    <w:rsid w:val="00530CB3"/>
    <w:rsid w:val="00530EF0"/>
    <w:rsid w:val="0053129D"/>
    <w:rsid w:val="0053153B"/>
    <w:rsid w:val="005315B5"/>
    <w:rsid w:val="0053182E"/>
    <w:rsid w:val="00531859"/>
    <w:rsid w:val="005318EF"/>
    <w:rsid w:val="00531A36"/>
    <w:rsid w:val="00531A40"/>
    <w:rsid w:val="00531BF5"/>
    <w:rsid w:val="00531CB0"/>
    <w:rsid w:val="00531CD9"/>
    <w:rsid w:val="00531E71"/>
    <w:rsid w:val="00531F31"/>
    <w:rsid w:val="0053204E"/>
    <w:rsid w:val="00532085"/>
    <w:rsid w:val="005320B3"/>
    <w:rsid w:val="005324A0"/>
    <w:rsid w:val="005325E1"/>
    <w:rsid w:val="005326D7"/>
    <w:rsid w:val="005328CE"/>
    <w:rsid w:val="005329DB"/>
    <w:rsid w:val="00532B1D"/>
    <w:rsid w:val="00532B23"/>
    <w:rsid w:val="00532F69"/>
    <w:rsid w:val="00532FF0"/>
    <w:rsid w:val="00533166"/>
    <w:rsid w:val="005332A1"/>
    <w:rsid w:val="005332EE"/>
    <w:rsid w:val="0053334E"/>
    <w:rsid w:val="00533457"/>
    <w:rsid w:val="0053347A"/>
    <w:rsid w:val="00533590"/>
    <w:rsid w:val="00533591"/>
    <w:rsid w:val="00533627"/>
    <w:rsid w:val="00533941"/>
    <w:rsid w:val="0053395D"/>
    <w:rsid w:val="00533A65"/>
    <w:rsid w:val="00533A92"/>
    <w:rsid w:val="00533AFE"/>
    <w:rsid w:val="00533B3B"/>
    <w:rsid w:val="00533E93"/>
    <w:rsid w:val="00533F00"/>
    <w:rsid w:val="00533FEF"/>
    <w:rsid w:val="0053401A"/>
    <w:rsid w:val="005344D9"/>
    <w:rsid w:val="0053450D"/>
    <w:rsid w:val="00534C86"/>
    <w:rsid w:val="00534DA4"/>
    <w:rsid w:val="00534E0D"/>
    <w:rsid w:val="0053506E"/>
    <w:rsid w:val="00535106"/>
    <w:rsid w:val="005351D3"/>
    <w:rsid w:val="005351E2"/>
    <w:rsid w:val="00535347"/>
    <w:rsid w:val="00535460"/>
    <w:rsid w:val="00535615"/>
    <w:rsid w:val="005356B6"/>
    <w:rsid w:val="005357A5"/>
    <w:rsid w:val="00535F23"/>
    <w:rsid w:val="00535FFA"/>
    <w:rsid w:val="00536367"/>
    <w:rsid w:val="0053647A"/>
    <w:rsid w:val="005364A7"/>
    <w:rsid w:val="00536579"/>
    <w:rsid w:val="00536A16"/>
    <w:rsid w:val="00536AA3"/>
    <w:rsid w:val="00536C2A"/>
    <w:rsid w:val="00536C59"/>
    <w:rsid w:val="00536C7D"/>
    <w:rsid w:val="00536EA5"/>
    <w:rsid w:val="00536EC5"/>
    <w:rsid w:val="00537000"/>
    <w:rsid w:val="005374D9"/>
    <w:rsid w:val="00537730"/>
    <w:rsid w:val="00537768"/>
    <w:rsid w:val="005377D1"/>
    <w:rsid w:val="00537A66"/>
    <w:rsid w:val="00537B3E"/>
    <w:rsid w:val="00537BD9"/>
    <w:rsid w:val="00537C04"/>
    <w:rsid w:val="00537D9A"/>
    <w:rsid w:val="00537F5D"/>
    <w:rsid w:val="00540086"/>
    <w:rsid w:val="00540294"/>
    <w:rsid w:val="0054052E"/>
    <w:rsid w:val="005405D5"/>
    <w:rsid w:val="005406D9"/>
    <w:rsid w:val="0054072E"/>
    <w:rsid w:val="00540746"/>
    <w:rsid w:val="00540762"/>
    <w:rsid w:val="0054078D"/>
    <w:rsid w:val="005409CE"/>
    <w:rsid w:val="00540A0D"/>
    <w:rsid w:val="00540AC8"/>
    <w:rsid w:val="00540BDB"/>
    <w:rsid w:val="00540ECB"/>
    <w:rsid w:val="00541146"/>
    <w:rsid w:val="005411C3"/>
    <w:rsid w:val="00541214"/>
    <w:rsid w:val="0054149C"/>
    <w:rsid w:val="00541513"/>
    <w:rsid w:val="00541575"/>
    <w:rsid w:val="00541616"/>
    <w:rsid w:val="005416C7"/>
    <w:rsid w:val="0054173E"/>
    <w:rsid w:val="0054177A"/>
    <w:rsid w:val="005417AC"/>
    <w:rsid w:val="00541949"/>
    <w:rsid w:val="00541978"/>
    <w:rsid w:val="00541DC7"/>
    <w:rsid w:val="00541DEF"/>
    <w:rsid w:val="00541DF1"/>
    <w:rsid w:val="00542194"/>
    <w:rsid w:val="0054226D"/>
    <w:rsid w:val="005422E1"/>
    <w:rsid w:val="0054244F"/>
    <w:rsid w:val="005425A9"/>
    <w:rsid w:val="0054264B"/>
    <w:rsid w:val="005426A9"/>
    <w:rsid w:val="0054298B"/>
    <w:rsid w:val="00542A0E"/>
    <w:rsid w:val="00542B84"/>
    <w:rsid w:val="00542C0B"/>
    <w:rsid w:val="00542C11"/>
    <w:rsid w:val="00542CCC"/>
    <w:rsid w:val="00543067"/>
    <w:rsid w:val="0054327F"/>
    <w:rsid w:val="00543296"/>
    <w:rsid w:val="005433BC"/>
    <w:rsid w:val="005434B6"/>
    <w:rsid w:val="005434DA"/>
    <w:rsid w:val="00543771"/>
    <w:rsid w:val="00543831"/>
    <w:rsid w:val="00543B60"/>
    <w:rsid w:val="00543C37"/>
    <w:rsid w:val="00543CAC"/>
    <w:rsid w:val="00543EFF"/>
    <w:rsid w:val="00543F62"/>
    <w:rsid w:val="005440BF"/>
    <w:rsid w:val="0054429B"/>
    <w:rsid w:val="005442B0"/>
    <w:rsid w:val="00544673"/>
    <w:rsid w:val="0054479F"/>
    <w:rsid w:val="005449F6"/>
    <w:rsid w:val="00544C59"/>
    <w:rsid w:val="00544D9C"/>
    <w:rsid w:val="00544E5A"/>
    <w:rsid w:val="00544EE4"/>
    <w:rsid w:val="0054515C"/>
    <w:rsid w:val="0054520B"/>
    <w:rsid w:val="00545246"/>
    <w:rsid w:val="00545250"/>
    <w:rsid w:val="00545480"/>
    <w:rsid w:val="00545543"/>
    <w:rsid w:val="0054563C"/>
    <w:rsid w:val="00545661"/>
    <w:rsid w:val="00545857"/>
    <w:rsid w:val="00545936"/>
    <w:rsid w:val="00545AFE"/>
    <w:rsid w:val="00545D7E"/>
    <w:rsid w:val="00545E14"/>
    <w:rsid w:val="00545E75"/>
    <w:rsid w:val="00545FD1"/>
    <w:rsid w:val="0054600C"/>
    <w:rsid w:val="00546192"/>
    <w:rsid w:val="005462CB"/>
    <w:rsid w:val="005462F6"/>
    <w:rsid w:val="00546411"/>
    <w:rsid w:val="00546428"/>
    <w:rsid w:val="0054642E"/>
    <w:rsid w:val="005464E2"/>
    <w:rsid w:val="005465AF"/>
    <w:rsid w:val="005465DE"/>
    <w:rsid w:val="0054663F"/>
    <w:rsid w:val="0054683E"/>
    <w:rsid w:val="0054685A"/>
    <w:rsid w:val="00546B81"/>
    <w:rsid w:val="00546B89"/>
    <w:rsid w:val="00546CF1"/>
    <w:rsid w:val="00546CFF"/>
    <w:rsid w:val="00546E18"/>
    <w:rsid w:val="005470DE"/>
    <w:rsid w:val="0054714F"/>
    <w:rsid w:val="005471C5"/>
    <w:rsid w:val="0054726B"/>
    <w:rsid w:val="0054732F"/>
    <w:rsid w:val="005474C6"/>
    <w:rsid w:val="00547569"/>
    <w:rsid w:val="00547673"/>
    <w:rsid w:val="00547692"/>
    <w:rsid w:val="00547935"/>
    <w:rsid w:val="00547AC2"/>
    <w:rsid w:val="00547CAF"/>
    <w:rsid w:val="00547D9A"/>
    <w:rsid w:val="00547E11"/>
    <w:rsid w:val="005501A7"/>
    <w:rsid w:val="005501FF"/>
    <w:rsid w:val="00550264"/>
    <w:rsid w:val="005502AE"/>
    <w:rsid w:val="00550426"/>
    <w:rsid w:val="00550A75"/>
    <w:rsid w:val="00550B2A"/>
    <w:rsid w:val="00550BF7"/>
    <w:rsid w:val="00550BFB"/>
    <w:rsid w:val="00550C44"/>
    <w:rsid w:val="00550E5A"/>
    <w:rsid w:val="00550E6A"/>
    <w:rsid w:val="00550F04"/>
    <w:rsid w:val="00550F19"/>
    <w:rsid w:val="005511E2"/>
    <w:rsid w:val="005511F3"/>
    <w:rsid w:val="0055120E"/>
    <w:rsid w:val="0055127C"/>
    <w:rsid w:val="005512E5"/>
    <w:rsid w:val="00551300"/>
    <w:rsid w:val="005513F2"/>
    <w:rsid w:val="005514C3"/>
    <w:rsid w:val="00551812"/>
    <w:rsid w:val="0055188E"/>
    <w:rsid w:val="00551937"/>
    <w:rsid w:val="005519F7"/>
    <w:rsid w:val="00551B57"/>
    <w:rsid w:val="00551BF2"/>
    <w:rsid w:val="00551C98"/>
    <w:rsid w:val="00551CC7"/>
    <w:rsid w:val="00551D4D"/>
    <w:rsid w:val="00551D9E"/>
    <w:rsid w:val="00551EB8"/>
    <w:rsid w:val="00551EE8"/>
    <w:rsid w:val="005520EC"/>
    <w:rsid w:val="00552198"/>
    <w:rsid w:val="0055224E"/>
    <w:rsid w:val="00552556"/>
    <w:rsid w:val="005526A8"/>
    <w:rsid w:val="005526F1"/>
    <w:rsid w:val="005528C7"/>
    <w:rsid w:val="00552D6B"/>
    <w:rsid w:val="00552F19"/>
    <w:rsid w:val="00552F88"/>
    <w:rsid w:val="0055301B"/>
    <w:rsid w:val="00553092"/>
    <w:rsid w:val="00553116"/>
    <w:rsid w:val="005535AD"/>
    <w:rsid w:val="00553627"/>
    <w:rsid w:val="00553781"/>
    <w:rsid w:val="005538C5"/>
    <w:rsid w:val="005538F7"/>
    <w:rsid w:val="005539A2"/>
    <w:rsid w:val="005539F0"/>
    <w:rsid w:val="00553C41"/>
    <w:rsid w:val="00553CD2"/>
    <w:rsid w:val="00553FD0"/>
    <w:rsid w:val="00553FE1"/>
    <w:rsid w:val="00553FF1"/>
    <w:rsid w:val="00553FFE"/>
    <w:rsid w:val="005540F9"/>
    <w:rsid w:val="005543CE"/>
    <w:rsid w:val="00554427"/>
    <w:rsid w:val="0055472C"/>
    <w:rsid w:val="00554907"/>
    <w:rsid w:val="005549E2"/>
    <w:rsid w:val="00554F08"/>
    <w:rsid w:val="00554F76"/>
    <w:rsid w:val="005550CD"/>
    <w:rsid w:val="00555155"/>
    <w:rsid w:val="00555286"/>
    <w:rsid w:val="00555394"/>
    <w:rsid w:val="00555524"/>
    <w:rsid w:val="005555FA"/>
    <w:rsid w:val="00555639"/>
    <w:rsid w:val="005557EA"/>
    <w:rsid w:val="005559E6"/>
    <w:rsid w:val="00555B26"/>
    <w:rsid w:val="00555C29"/>
    <w:rsid w:val="00555D14"/>
    <w:rsid w:val="0055627E"/>
    <w:rsid w:val="00556299"/>
    <w:rsid w:val="00556374"/>
    <w:rsid w:val="005563E8"/>
    <w:rsid w:val="00556571"/>
    <w:rsid w:val="00556656"/>
    <w:rsid w:val="005566C8"/>
    <w:rsid w:val="0055670F"/>
    <w:rsid w:val="0055690E"/>
    <w:rsid w:val="00556991"/>
    <w:rsid w:val="00556A33"/>
    <w:rsid w:val="00556A7E"/>
    <w:rsid w:val="00556A92"/>
    <w:rsid w:val="00556D8A"/>
    <w:rsid w:val="00556DF2"/>
    <w:rsid w:val="00556E50"/>
    <w:rsid w:val="00556F13"/>
    <w:rsid w:val="0055710D"/>
    <w:rsid w:val="00557216"/>
    <w:rsid w:val="0055732B"/>
    <w:rsid w:val="00557439"/>
    <w:rsid w:val="005574FE"/>
    <w:rsid w:val="00557751"/>
    <w:rsid w:val="00557802"/>
    <w:rsid w:val="0055781A"/>
    <w:rsid w:val="005578B4"/>
    <w:rsid w:val="005578FA"/>
    <w:rsid w:val="00557910"/>
    <w:rsid w:val="00557A75"/>
    <w:rsid w:val="00557B2B"/>
    <w:rsid w:val="00557C26"/>
    <w:rsid w:val="00557E58"/>
    <w:rsid w:val="00557F58"/>
    <w:rsid w:val="00557F81"/>
    <w:rsid w:val="00557FEA"/>
    <w:rsid w:val="0056019A"/>
    <w:rsid w:val="005601AA"/>
    <w:rsid w:val="005604CF"/>
    <w:rsid w:val="0056060E"/>
    <w:rsid w:val="00560715"/>
    <w:rsid w:val="005608D6"/>
    <w:rsid w:val="005608E8"/>
    <w:rsid w:val="00560A51"/>
    <w:rsid w:val="00560B86"/>
    <w:rsid w:val="00560B89"/>
    <w:rsid w:val="00560BB2"/>
    <w:rsid w:val="00560BE6"/>
    <w:rsid w:val="00560C0A"/>
    <w:rsid w:val="00560DBC"/>
    <w:rsid w:val="00560DF5"/>
    <w:rsid w:val="00560EEA"/>
    <w:rsid w:val="00560EEE"/>
    <w:rsid w:val="00560F12"/>
    <w:rsid w:val="00560F34"/>
    <w:rsid w:val="00560F91"/>
    <w:rsid w:val="00560FF2"/>
    <w:rsid w:val="00561011"/>
    <w:rsid w:val="005610E9"/>
    <w:rsid w:val="005612C6"/>
    <w:rsid w:val="00561327"/>
    <w:rsid w:val="00561388"/>
    <w:rsid w:val="00561425"/>
    <w:rsid w:val="0056145B"/>
    <w:rsid w:val="0056152E"/>
    <w:rsid w:val="00561764"/>
    <w:rsid w:val="0056180A"/>
    <w:rsid w:val="0056182A"/>
    <w:rsid w:val="00561890"/>
    <w:rsid w:val="00561A3A"/>
    <w:rsid w:val="00561A68"/>
    <w:rsid w:val="00561DD0"/>
    <w:rsid w:val="00562124"/>
    <w:rsid w:val="00562234"/>
    <w:rsid w:val="00562317"/>
    <w:rsid w:val="005625A7"/>
    <w:rsid w:val="00562A55"/>
    <w:rsid w:val="00562B01"/>
    <w:rsid w:val="00562D0D"/>
    <w:rsid w:val="00562DA4"/>
    <w:rsid w:val="00562FE5"/>
    <w:rsid w:val="00563167"/>
    <w:rsid w:val="00563225"/>
    <w:rsid w:val="00563314"/>
    <w:rsid w:val="005633DC"/>
    <w:rsid w:val="00563425"/>
    <w:rsid w:val="0056345D"/>
    <w:rsid w:val="0056351A"/>
    <w:rsid w:val="005637F5"/>
    <w:rsid w:val="005639AF"/>
    <w:rsid w:val="00563AD2"/>
    <w:rsid w:val="00563CD5"/>
    <w:rsid w:val="00563D7A"/>
    <w:rsid w:val="00563D94"/>
    <w:rsid w:val="00563EEE"/>
    <w:rsid w:val="00563F0B"/>
    <w:rsid w:val="00563F69"/>
    <w:rsid w:val="005640CB"/>
    <w:rsid w:val="00564299"/>
    <w:rsid w:val="0056447F"/>
    <w:rsid w:val="00564860"/>
    <w:rsid w:val="00564A6E"/>
    <w:rsid w:val="00564C16"/>
    <w:rsid w:val="00564D16"/>
    <w:rsid w:val="00564F9E"/>
    <w:rsid w:val="0056528C"/>
    <w:rsid w:val="005656CF"/>
    <w:rsid w:val="00565775"/>
    <w:rsid w:val="00565858"/>
    <w:rsid w:val="005658A0"/>
    <w:rsid w:val="0056598E"/>
    <w:rsid w:val="00565B57"/>
    <w:rsid w:val="00565B63"/>
    <w:rsid w:val="00565C45"/>
    <w:rsid w:val="00565E59"/>
    <w:rsid w:val="00565ED3"/>
    <w:rsid w:val="00565F57"/>
    <w:rsid w:val="00565F84"/>
    <w:rsid w:val="00565FDB"/>
    <w:rsid w:val="005660FD"/>
    <w:rsid w:val="005662BC"/>
    <w:rsid w:val="00566302"/>
    <w:rsid w:val="005663CA"/>
    <w:rsid w:val="005665C6"/>
    <w:rsid w:val="00566636"/>
    <w:rsid w:val="00566674"/>
    <w:rsid w:val="0056688F"/>
    <w:rsid w:val="00566891"/>
    <w:rsid w:val="00566AB5"/>
    <w:rsid w:val="00566B92"/>
    <w:rsid w:val="00566C89"/>
    <w:rsid w:val="00567057"/>
    <w:rsid w:val="0056708B"/>
    <w:rsid w:val="005671B8"/>
    <w:rsid w:val="00567333"/>
    <w:rsid w:val="0056740D"/>
    <w:rsid w:val="00567433"/>
    <w:rsid w:val="00567465"/>
    <w:rsid w:val="005674E7"/>
    <w:rsid w:val="00567660"/>
    <w:rsid w:val="00567798"/>
    <w:rsid w:val="00567799"/>
    <w:rsid w:val="00567AC6"/>
    <w:rsid w:val="00567AC9"/>
    <w:rsid w:val="00567B30"/>
    <w:rsid w:val="00567B5F"/>
    <w:rsid w:val="00567B76"/>
    <w:rsid w:val="00567D82"/>
    <w:rsid w:val="00570184"/>
    <w:rsid w:val="005702BA"/>
    <w:rsid w:val="005703ED"/>
    <w:rsid w:val="0057058E"/>
    <w:rsid w:val="0057066E"/>
    <w:rsid w:val="0057098E"/>
    <w:rsid w:val="00570AD2"/>
    <w:rsid w:val="00570AD6"/>
    <w:rsid w:val="00570CD0"/>
    <w:rsid w:val="00570CDC"/>
    <w:rsid w:val="00570D4D"/>
    <w:rsid w:val="00570E80"/>
    <w:rsid w:val="00570EB6"/>
    <w:rsid w:val="00570F55"/>
    <w:rsid w:val="0057122D"/>
    <w:rsid w:val="00571482"/>
    <w:rsid w:val="005716D9"/>
    <w:rsid w:val="00571837"/>
    <w:rsid w:val="005718DC"/>
    <w:rsid w:val="00571A49"/>
    <w:rsid w:val="00571ADA"/>
    <w:rsid w:val="00571B30"/>
    <w:rsid w:val="00571BEE"/>
    <w:rsid w:val="00571C76"/>
    <w:rsid w:val="00571F6C"/>
    <w:rsid w:val="00571FAF"/>
    <w:rsid w:val="0057205A"/>
    <w:rsid w:val="00572402"/>
    <w:rsid w:val="005724DC"/>
    <w:rsid w:val="00572564"/>
    <w:rsid w:val="00572710"/>
    <w:rsid w:val="0057276D"/>
    <w:rsid w:val="00572A3D"/>
    <w:rsid w:val="00572A8B"/>
    <w:rsid w:val="00572AD3"/>
    <w:rsid w:val="00572BF7"/>
    <w:rsid w:val="00572C00"/>
    <w:rsid w:val="00572E20"/>
    <w:rsid w:val="00572E86"/>
    <w:rsid w:val="005730AF"/>
    <w:rsid w:val="005730E7"/>
    <w:rsid w:val="005731E2"/>
    <w:rsid w:val="0057326B"/>
    <w:rsid w:val="005733A3"/>
    <w:rsid w:val="0057361C"/>
    <w:rsid w:val="005736B4"/>
    <w:rsid w:val="0057385F"/>
    <w:rsid w:val="00573998"/>
    <w:rsid w:val="00573C24"/>
    <w:rsid w:val="00573CE1"/>
    <w:rsid w:val="00573E11"/>
    <w:rsid w:val="00573E72"/>
    <w:rsid w:val="00573EEC"/>
    <w:rsid w:val="005742EB"/>
    <w:rsid w:val="00574437"/>
    <w:rsid w:val="00574675"/>
    <w:rsid w:val="005746AF"/>
    <w:rsid w:val="00574787"/>
    <w:rsid w:val="005747A0"/>
    <w:rsid w:val="0057482A"/>
    <w:rsid w:val="0057485E"/>
    <w:rsid w:val="005749CA"/>
    <w:rsid w:val="00574BD9"/>
    <w:rsid w:val="00574BEC"/>
    <w:rsid w:val="00574CEF"/>
    <w:rsid w:val="00574DC1"/>
    <w:rsid w:val="00574DD3"/>
    <w:rsid w:val="00574EEE"/>
    <w:rsid w:val="00574F94"/>
    <w:rsid w:val="005750A8"/>
    <w:rsid w:val="00575144"/>
    <w:rsid w:val="00575159"/>
    <w:rsid w:val="005751EF"/>
    <w:rsid w:val="005752BE"/>
    <w:rsid w:val="005753A1"/>
    <w:rsid w:val="005753EA"/>
    <w:rsid w:val="0057566F"/>
    <w:rsid w:val="00575718"/>
    <w:rsid w:val="0057588E"/>
    <w:rsid w:val="00575B2D"/>
    <w:rsid w:val="00575D36"/>
    <w:rsid w:val="00575DBF"/>
    <w:rsid w:val="00575EF5"/>
    <w:rsid w:val="00575FEE"/>
    <w:rsid w:val="00576215"/>
    <w:rsid w:val="005762E9"/>
    <w:rsid w:val="005763AB"/>
    <w:rsid w:val="005766EC"/>
    <w:rsid w:val="005769AD"/>
    <w:rsid w:val="005769DD"/>
    <w:rsid w:val="005769FD"/>
    <w:rsid w:val="00576A35"/>
    <w:rsid w:val="00576B6D"/>
    <w:rsid w:val="00576C88"/>
    <w:rsid w:val="00576CE2"/>
    <w:rsid w:val="00576D0A"/>
    <w:rsid w:val="00576DA1"/>
    <w:rsid w:val="00576DCA"/>
    <w:rsid w:val="00576DD0"/>
    <w:rsid w:val="00576E87"/>
    <w:rsid w:val="00576FAC"/>
    <w:rsid w:val="00576FE2"/>
    <w:rsid w:val="00576FF9"/>
    <w:rsid w:val="005770D5"/>
    <w:rsid w:val="00577173"/>
    <w:rsid w:val="005771ED"/>
    <w:rsid w:val="0057728B"/>
    <w:rsid w:val="00577368"/>
    <w:rsid w:val="005773F6"/>
    <w:rsid w:val="00577567"/>
    <w:rsid w:val="005775EB"/>
    <w:rsid w:val="00577673"/>
    <w:rsid w:val="00577882"/>
    <w:rsid w:val="00577B6D"/>
    <w:rsid w:val="00577D0A"/>
    <w:rsid w:val="00577DB3"/>
    <w:rsid w:val="00577EF5"/>
    <w:rsid w:val="00577F95"/>
    <w:rsid w:val="005801A5"/>
    <w:rsid w:val="005801DE"/>
    <w:rsid w:val="005802C9"/>
    <w:rsid w:val="0058077F"/>
    <w:rsid w:val="00580825"/>
    <w:rsid w:val="005809F9"/>
    <w:rsid w:val="00580AE8"/>
    <w:rsid w:val="00580C84"/>
    <w:rsid w:val="00580DD9"/>
    <w:rsid w:val="00580E2E"/>
    <w:rsid w:val="00580FA3"/>
    <w:rsid w:val="00581234"/>
    <w:rsid w:val="0058125F"/>
    <w:rsid w:val="0058136A"/>
    <w:rsid w:val="005813DE"/>
    <w:rsid w:val="0058163D"/>
    <w:rsid w:val="0058180B"/>
    <w:rsid w:val="00581C97"/>
    <w:rsid w:val="00581D36"/>
    <w:rsid w:val="00581E49"/>
    <w:rsid w:val="00581E85"/>
    <w:rsid w:val="00581EAB"/>
    <w:rsid w:val="00582047"/>
    <w:rsid w:val="005820E8"/>
    <w:rsid w:val="00582107"/>
    <w:rsid w:val="0058211F"/>
    <w:rsid w:val="00582142"/>
    <w:rsid w:val="005822D1"/>
    <w:rsid w:val="005824A0"/>
    <w:rsid w:val="00582759"/>
    <w:rsid w:val="005827C8"/>
    <w:rsid w:val="005828B2"/>
    <w:rsid w:val="00582972"/>
    <w:rsid w:val="00582AF9"/>
    <w:rsid w:val="00582E5F"/>
    <w:rsid w:val="00582F8F"/>
    <w:rsid w:val="005832D9"/>
    <w:rsid w:val="0058344D"/>
    <w:rsid w:val="005835A7"/>
    <w:rsid w:val="0058365D"/>
    <w:rsid w:val="0058372F"/>
    <w:rsid w:val="0058386D"/>
    <w:rsid w:val="00583891"/>
    <w:rsid w:val="00583969"/>
    <w:rsid w:val="0058398E"/>
    <w:rsid w:val="00583DE3"/>
    <w:rsid w:val="00584067"/>
    <w:rsid w:val="005840FB"/>
    <w:rsid w:val="005841DD"/>
    <w:rsid w:val="005841FA"/>
    <w:rsid w:val="00584552"/>
    <w:rsid w:val="0058458B"/>
    <w:rsid w:val="005846B4"/>
    <w:rsid w:val="005848CC"/>
    <w:rsid w:val="00584EB0"/>
    <w:rsid w:val="00584F82"/>
    <w:rsid w:val="0058552F"/>
    <w:rsid w:val="0058555B"/>
    <w:rsid w:val="00585629"/>
    <w:rsid w:val="00585712"/>
    <w:rsid w:val="005857AE"/>
    <w:rsid w:val="005859C0"/>
    <w:rsid w:val="00585BB3"/>
    <w:rsid w:val="00585E16"/>
    <w:rsid w:val="00585EB4"/>
    <w:rsid w:val="00586114"/>
    <w:rsid w:val="00586239"/>
    <w:rsid w:val="005862E9"/>
    <w:rsid w:val="0058643D"/>
    <w:rsid w:val="005864BA"/>
    <w:rsid w:val="005864BE"/>
    <w:rsid w:val="00586555"/>
    <w:rsid w:val="00586873"/>
    <w:rsid w:val="00586879"/>
    <w:rsid w:val="00586A1C"/>
    <w:rsid w:val="00586A49"/>
    <w:rsid w:val="00586BBD"/>
    <w:rsid w:val="00586E2C"/>
    <w:rsid w:val="00586E35"/>
    <w:rsid w:val="00586F57"/>
    <w:rsid w:val="005870E9"/>
    <w:rsid w:val="005871A6"/>
    <w:rsid w:val="0058730E"/>
    <w:rsid w:val="00587312"/>
    <w:rsid w:val="005876C7"/>
    <w:rsid w:val="005876FC"/>
    <w:rsid w:val="00587713"/>
    <w:rsid w:val="0058776E"/>
    <w:rsid w:val="00587A80"/>
    <w:rsid w:val="00587BB0"/>
    <w:rsid w:val="00587BED"/>
    <w:rsid w:val="00587C07"/>
    <w:rsid w:val="00587E52"/>
    <w:rsid w:val="00587FDB"/>
    <w:rsid w:val="00590037"/>
    <w:rsid w:val="0059004A"/>
    <w:rsid w:val="00590091"/>
    <w:rsid w:val="005900B7"/>
    <w:rsid w:val="005900F4"/>
    <w:rsid w:val="00590149"/>
    <w:rsid w:val="00590271"/>
    <w:rsid w:val="005905E8"/>
    <w:rsid w:val="0059066A"/>
    <w:rsid w:val="005907CD"/>
    <w:rsid w:val="0059082A"/>
    <w:rsid w:val="00590848"/>
    <w:rsid w:val="00590928"/>
    <w:rsid w:val="00590995"/>
    <w:rsid w:val="005909C1"/>
    <w:rsid w:val="005909E1"/>
    <w:rsid w:val="00590A2B"/>
    <w:rsid w:val="00590B67"/>
    <w:rsid w:val="00590C54"/>
    <w:rsid w:val="00590CD8"/>
    <w:rsid w:val="00590DC3"/>
    <w:rsid w:val="00590DCE"/>
    <w:rsid w:val="005911F9"/>
    <w:rsid w:val="00591449"/>
    <w:rsid w:val="00591A90"/>
    <w:rsid w:val="00591B13"/>
    <w:rsid w:val="00591B32"/>
    <w:rsid w:val="00591B56"/>
    <w:rsid w:val="00591C76"/>
    <w:rsid w:val="00591D20"/>
    <w:rsid w:val="00591DDE"/>
    <w:rsid w:val="00591E7E"/>
    <w:rsid w:val="00591E86"/>
    <w:rsid w:val="00591ECA"/>
    <w:rsid w:val="00592124"/>
    <w:rsid w:val="0059236A"/>
    <w:rsid w:val="00592569"/>
    <w:rsid w:val="005926C7"/>
    <w:rsid w:val="00592787"/>
    <w:rsid w:val="00592862"/>
    <w:rsid w:val="0059295A"/>
    <w:rsid w:val="00592BA8"/>
    <w:rsid w:val="00592C42"/>
    <w:rsid w:val="00592CDC"/>
    <w:rsid w:val="00592D40"/>
    <w:rsid w:val="00592DDE"/>
    <w:rsid w:val="00592E63"/>
    <w:rsid w:val="00592E96"/>
    <w:rsid w:val="00592FBB"/>
    <w:rsid w:val="005931E0"/>
    <w:rsid w:val="005931F9"/>
    <w:rsid w:val="00593266"/>
    <w:rsid w:val="005933FB"/>
    <w:rsid w:val="0059341C"/>
    <w:rsid w:val="00593423"/>
    <w:rsid w:val="0059357B"/>
    <w:rsid w:val="0059372B"/>
    <w:rsid w:val="00593730"/>
    <w:rsid w:val="00593938"/>
    <w:rsid w:val="00593A2C"/>
    <w:rsid w:val="00593AA9"/>
    <w:rsid w:val="00593B84"/>
    <w:rsid w:val="00593E67"/>
    <w:rsid w:val="00593E8F"/>
    <w:rsid w:val="00593F42"/>
    <w:rsid w:val="00593F84"/>
    <w:rsid w:val="00594107"/>
    <w:rsid w:val="0059415C"/>
    <w:rsid w:val="00594174"/>
    <w:rsid w:val="005942E3"/>
    <w:rsid w:val="00594395"/>
    <w:rsid w:val="005946BD"/>
    <w:rsid w:val="00594843"/>
    <w:rsid w:val="005948A4"/>
    <w:rsid w:val="00594A7C"/>
    <w:rsid w:val="00594BB7"/>
    <w:rsid w:val="00594BC8"/>
    <w:rsid w:val="00594E89"/>
    <w:rsid w:val="00595127"/>
    <w:rsid w:val="0059514F"/>
    <w:rsid w:val="0059525B"/>
    <w:rsid w:val="005952FA"/>
    <w:rsid w:val="00595345"/>
    <w:rsid w:val="005953A6"/>
    <w:rsid w:val="00595433"/>
    <w:rsid w:val="005956E1"/>
    <w:rsid w:val="005957C4"/>
    <w:rsid w:val="005957C9"/>
    <w:rsid w:val="005957D6"/>
    <w:rsid w:val="005958D7"/>
    <w:rsid w:val="00595922"/>
    <w:rsid w:val="00595CC5"/>
    <w:rsid w:val="00595CDC"/>
    <w:rsid w:val="00595DE6"/>
    <w:rsid w:val="00596077"/>
    <w:rsid w:val="00596434"/>
    <w:rsid w:val="005965A2"/>
    <w:rsid w:val="005965E6"/>
    <w:rsid w:val="0059666C"/>
    <w:rsid w:val="005966D4"/>
    <w:rsid w:val="005968B7"/>
    <w:rsid w:val="005969EA"/>
    <w:rsid w:val="00596CD9"/>
    <w:rsid w:val="00596DB0"/>
    <w:rsid w:val="00596FE3"/>
    <w:rsid w:val="005972E0"/>
    <w:rsid w:val="005975BF"/>
    <w:rsid w:val="005975F3"/>
    <w:rsid w:val="0059760F"/>
    <w:rsid w:val="0059761B"/>
    <w:rsid w:val="0059771A"/>
    <w:rsid w:val="0059775B"/>
    <w:rsid w:val="005977F2"/>
    <w:rsid w:val="005978F8"/>
    <w:rsid w:val="00597A96"/>
    <w:rsid w:val="00597D84"/>
    <w:rsid w:val="00597DD9"/>
    <w:rsid w:val="00597EB2"/>
    <w:rsid w:val="00597FCA"/>
    <w:rsid w:val="005A02F4"/>
    <w:rsid w:val="005A0330"/>
    <w:rsid w:val="005A0379"/>
    <w:rsid w:val="005A0395"/>
    <w:rsid w:val="005A043E"/>
    <w:rsid w:val="005A04FF"/>
    <w:rsid w:val="005A0987"/>
    <w:rsid w:val="005A09CF"/>
    <w:rsid w:val="005A0B0F"/>
    <w:rsid w:val="005A0BAC"/>
    <w:rsid w:val="005A0D01"/>
    <w:rsid w:val="005A0F13"/>
    <w:rsid w:val="005A0F81"/>
    <w:rsid w:val="005A12F0"/>
    <w:rsid w:val="005A134C"/>
    <w:rsid w:val="005A17D4"/>
    <w:rsid w:val="005A1864"/>
    <w:rsid w:val="005A19B2"/>
    <w:rsid w:val="005A1A26"/>
    <w:rsid w:val="005A1CAA"/>
    <w:rsid w:val="005A1F4B"/>
    <w:rsid w:val="005A1F85"/>
    <w:rsid w:val="005A201B"/>
    <w:rsid w:val="005A2148"/>
    <w:rsid w:val="005A2165"/>
    <w:rsid w:val="005A22E2"/>
    <w:rsid w:val="005A2305"/>
    <w:rsid w:val="005A23D1"/>
    <w:rsid w:val="005A255C"/>
    <w:rsid w:val="005A2685"/>
    <w:rsid w:val="005A27FF"/>
    <w:rsid w:val="005A2803"/>
    <w:rsid w:val="005A282F"/>
    <w:rsid w:val="005A28B8"/>
    <w:rsid w:val="005A2A25"/>
    <w:rsid w:val="005A2A54"/>
    <w:rsid w:val="005A2FC5"/>
    <w:rsid w:val="005A3004"/>
    <w:rsid w:val="005A30F5"/>
    <w:rsid w:val="005A3156"/>
    <w:rsid w:val="005A3183"/>
    <w:rsid w:val="005A3269"/>
    <w:rsid w:val="005A328A"/>
    <w:rsid w:val="005A32BE"/>
    <w:rsid w:val="005A3387"/>
    <w:rsid w:val="005A3597"/>
    <w:rsid w:val="005A3658"/>
    <w:rsid w:val="005A3833"/>
    <w:rsid w:val="005A3837"/>
    <w:rsid w:val="005A39B4"/>
    <w:rsid w:val="005A3A34"/>
    <w:rsid w:val="005A3A39"/>
    <w:rsid w:val="005A3BB8"/>
    <w:rsid w:val="005A3DDB"/>
    <w:rsid w:val="005A3E57"/>
    <w:rsid w:val="005A3F09"/>
    <w:rsid w:val="005A3FBE"/>
    <w:rsid w:val="005A4020"/>
    <w:rsid w:val="005A41CA"/>
    <w:rsid w:val="005A4302"/>
    <w:rsid w:val="005A4626"/>
    <w:rsid w:val="005A4824"/>
    <w:rsid w:val="005A4913"/>
    <w:rsid w:val="005A4A08"/>
    <w:rsid w:val="005A4A20"/>
    <w:rsid w:val="005A4BE1"/>
    <w:rsid w:val="005A4E8E"/>
    <w:rsid w:val="005A4EBC"/>
    <w:rsid w:val="005A4F63"/>
    <w:rsid w:val="005A50C3"/>
    <w:rsid w:val="005A50D3"/>
    <w:rsid w:val="005A517B"/>
    <w:rsid w:val="005A5556"/>
    <w:rsid w:val="005A5705"/>
    <w:rsid w:val="005A5874"/>
    <w:rsid w:val="005A58D6"/>
    <w:rsid w:val="005A58EC"/>
    <w:rsid w:val="005A5920"/>
    <w:rsid w:val="005A594E"/>
    <w:rsid w:val="005A5BA5"/>
    <w:rsid w:val="005A5D1E"/>
    <w:rsid w:val="005A5DD0"/>
    <w:rsid w:val="005A5EC8"/>
    <w:rsid w:val="005A608C"/>
    <w:rsid w:val="005A60CE"/>
    <w:rsid w:val="005A6238"/>
    <w:rsid w:val="005A62B8"/>
    <w:rsid w:val="005A6337"/>
    <w:rsid w:val="005A63A2"/>
    <w:rsid w:val="005A64D0"/>
    <w:rsid w:val="005A6639"/>
    <w:rsid w:val="005A68C8"/>
    <w:rsid w:val="005A6934"/>
    <w:rsid w:val="005A6CD9"/>
    <w:rsid w:val="005A6CED"/>
    <w:rsid w:val="005A6FC3"/>
    <w:rsid w:val="005A70B2"/>
    <w:rsid w:val="005A70BE"/>
    <w:rsid w:val="005A70C5"/>
    <w:rsid w:val="005A70FF"/>
    <w:rsid w:val="005A7609"/>
    <w:rsid w:val="005A7679"/>
    <w:rsid w:val="005A76CF"/>
    <w:rsid w:val="005A7886"/>
    <w:rsid w:val="005A79D4"/>
    <w:rsid w:val="005A7A73"/>
    <w:rsid w:val="005A7B1B"/>
    <w:rsid w:val="005A7EA2"/>
    <w:rsid w:val="005A7F2D"/>
    <w:rsid w:val="005B018E"/>
    <w:rsid w:val="005B02E2"/>
    <w:rsid w:val="005B04BB"/>
    <w:rsid w:val="005B09FA"/>
    <w:rsid w:val="005B0A2A"/>
    <w:rsid w:val="005B1033"/>
    <w:rsid w:val="005B10BD"/>
    <w:rsid w:val="005B11EA"/>
    <w:rsid w:val="005B14B0"/>
    <w:rsid w:val="005B15BB"/>
    <w:rsid w:val="005B17F6"/>
    <w:rsid w:val="005B180C"/>
    <w:rsid w:val="005B186A"/>
    <w:rsid w:val="005B18ED"/>
    <w:rsid w:val="005B1938"/>
    <w:rsid w:val="005B1970"/>
    <w:rsid w:val="005B1C72"/>
    <w:rsid w:val="005B1D82"/>
    <w:rsid w:val="005B1E14"/>
    <w:rsid w:val="005B1E3E"/>
    <w:rsid w:val="005B1F7E"/>
    <w:rsid w:val="005B204D"/>
    <w:rsid w:val="005B2127"/>
    <w:rsid w:val="005B2198"/>
    <w:rsid w:val="005B25E3"/>
    <w:rsid w:val="005B2631"/>
    <w:rsid w:val="005B269E"/>
    <w:rsid w:val="005B272B"/>
    <w:rsid w:val="005B285B"/>
    <w:rsid w:val="005B2873"/>
    <w:rsid w:val="005B28A5"/>
    <w:rsid w:val="005B2A6B"/>
    <w:rsid w:val="005B2EEF"/>
    <w:rsid w:val="005B2F24"/>
    <w:rsid w:val="005B3225"/>
    <w:rsid w:val="005B3254"/>
    <w:rsid w:val="005B336F"/>
    <w:rsid w:val="005B340D"/>
    <w:rsid w:val="005B3603"/>
    <w:rsid w:val="005B376D"/>
    <w:rsid w:val="005B383E"/>
    <w:rsid w:val="005B38E9"/>
    <w:rsid w:val="005B3958"/>
    <w:rsid w:val="005B3A28"/>
    <w:rsid w:val="005B3A36"/>
    <w:rsid w:val="005B3A48"/>
    <w:rsid w:val="005B41A1"/>
    <w:rsid w:val="005B42CD"/>
    <w:rsid w:val="005B432F"/>
    <w:rsid w:val="005B44DD"/>
    <w:rsid w:val="005B4563"/>
    <w:rsid w:val="005B4668"/>
    <w:rsid w:val="005B466B"/>
    <w:rsid w:val="005B4717"/>
    <w:rsid w:val="005B474F"/>
    <w:rsid w:val="005B4798"/>
    <w:rsid w:val="005B488B"/>
    <w:rsid w:val="005B4892"/>
    <w:rsid w:val="005B4893"/>
    <w:rsid w:val="005B48B1"/>
    <w:rsid w:val="005B4E36"/>
    <w:rsid w:val="005B4EDF"/>
    <w:rsid w:val="005B4FBD"/>
    <w:rsid w:val="005B513A"/>
    <w:rsid w:val="005B522C"/>
    <w:rsid w:val="005B52CA"/>
    <w:rsid w:val="005B545E"/>
    <w:rsid w:val="005B56A8"/>
    <w:rsid w:val="005B5767"/>
    <w:rsid w:val="005B578E"/>
    <w:rsid w:val="005B5798"/>
    <w:rsid w:val="005B57D4"/>
    <w:rsid w:val="005B5918"/>
    <w:rsid w:val="005B5D52"/>
    <w:rsid w:val="005B5EBD"/>
    <w:rsid w:val="005B5FED"/>
    <w:rsid w:val="005B6037"/>
    <w:rsid w:val="005B618C"/>
    <w:rsid w:val="005B61BD"/>
    <w:rsid w:val="005B620B"/>
    <w:rsid w:val="005B63DB"/>
    <w:rsid w:val="005B64EF"/>
    <w:rsid w:val="005B6522"/>
    <w:rsid w:val="005B6646"/>
    <w:rsid w:val="005B67B0"/>
    <w:rsid w:val="005B68DE"/>
    <w:rsid w:val="005B6959"/>
    <w:rsid w:val="005B6A28"/>
    <w:rsid w:val="005B6B05"/>
    <w:rsid w:val="005B6B49"/>
    <w:rsid w:val="005B6C86"/>
    <w:rsid w:val="005B6D6B"/>
    <w:rsid w:val="005B6DD1"/>
    <w:rsid w:val="005B6F86"/>
    <w:rsid w:val="005B703D"/>
    <w:rsid w:val="005B728C"/>
    <w:rsid w:val="005B73F5"/>
    <w:rsid w:val="005B7505"/>
    <w:rsid w:val="005B7564"/>
    <w:rsid w:val="005B77D9"/>
    <w:rsid w:val="005B7A7B"/>
    <w:rsid w:val="005B7B1F"/>
    <w:rsid w:val="005B7CDF"/>
    <w:rsid w:val="005B7D96"/>
    <w:rsid w:val="005C010C"/>
    <w:rsid w:val="005C0147"/>
    <w:rsid w:val="005C0287"/>
    <w:rsid w:val="005C05E9"/>
    <w:rsid w:val="005C078B"/>
    <w:rsid w:val="005C08B5"/>
    <w:rsid w:val="005C08BA"/>
    <w:rsid w:val="005C0A75"/>
    <w:rsid w:val="005C0BFD"/>
    <w:rsid w:val="005C0CCC"/>
    <w:rsid w:val="005C0EE8"/>
    <w:rsid w:val="005C1255"/>
    <w:rsid w:val="005C1328"/>
    <w:rsid w:val="005C1523"/>
    <w:rsid w:val="005C1584"/>
    <w:rsid w:val="005C160D"/>
    <w:rsid w:val="005C1680"/>
    <w:rsid w:val="005C17E3"/>
    <w:rsid w:val="005C1B3A"/>
    <w:rsid w:val="005C1B5C"/>
    <w:rsid w:val="005C1D5B"/>
    <w:rsid w:val="005C1F7B"/>
    <w:rsid w:val="005C201A"/>
    <w:rsid w:val="005C20D7"/>
    <w:rsid w:val="005C22A1"/>
    <w:rsid w:val="005C24D4"/>
    <w:rsid w:val="005C2523"/>
    <w:rsid w:val="005C26FB"/>
    <w:rsid w:val="005C27E8"/>
    <w:rsid w:val="005C2E32"/>
    <w:rsid w:val="005C2F5F"/>
    <w:rsid w:val="005C2F75"/>
    <w:rsid w:val="005C2FF9"/>
    <w:rsid w:val="005C3017"/>
    <w:rsid w:val="005C305E"/>
    <w:rsid w:val="005C3064"/>
    <w:rsid w:val="005C32FA"/>
    <w:rsid w:val="005C3660"/>
    <w:rsid w:val="005C39EE"/>
    <w:rsid w:val="005C3AD1"/>
    <w:rsid w:val="005C3B81"/>
    <w:rsid w:val="005C3BF0"/>
    <w:rsid w:val="005C3E4C"/>
    <w:rsid w:val="005C42A0"/>
    <w:rsid w:val="005C4387"/>
    <w:rsid w:val="005C45AA"/>
    <w:rsid w:val="005C478A"/>
    <w:rsid w:val="005C49C5"/>
    <w:rsid w:val="005C4AA9"/>
    <w:rsid w:val="005C4BA7"/>
    <w:rsid w:val="005C4C75"/>
    <w:rsid w:val="005C4DC8"/>
    <w:rsid w:val="005C508A"/>
    <w:rsid w:val="005C51B2"/>
    <w:rsid w:val="005C5392"/>
    <w:rsid w:val="005C548F"/>
    <w:rsid w:val="005C5495"/>
    <w:rsid w:val="005C54A1"/>
    <w:rsid w:val="005C54DD"/>
    <w:rsid w:val="005C55E7"/>
    <w:rsid w:val="005C57B6"/>
    <w:rsid w:val="005C581B"/>
    <w:rsid w:val="005C5A13"/>
    <w:rsid w:val="005C5AB6"/>
    <w:rsid w:val="005C5AE5"/>
    <w:rsid w:val="005C5D7E"/>
    <w:rsid w:val="005C618C"/>
    <w:rsid w:val="005C6235"/>
    <w:rsid w:val="005C624D"/>
    <w:rsid w:val="005C62A7"/>
    <w:rsid w:val="005C6358"/>
    <w:rsid w:val="005C63FD"/>
    <w:rsid w:val="005C642B"/>
    <w:rsid w:val="005C6551"/>
    <w:rsid w:val="005C656C"/>
    <w:rsid w:val="005C68E3"/>
    <w:rsid w:val="005C68E8"/>
    <w:rsid w:val="005C693C"/>
    <w:rsid w:val="005C6958"/>
    <w:rsid w:val="005C6AC3"/>
    <w:rsid w:val="005C6BAC"/>
    <w:rsid w:val="005C6C5E"/>
    <w:rsid w:val="005C6D54"/>
    <w:rsid w:val="005C6E38"/>
    <w:rsid w:val="005C7067"/>
    <w:rsid w:val="005C7220"/>
    <w:rsid w:val="005C739A"/>
    <w:rsid w:val="005C75D3"/>
    <w:rsid w:val="005C762E"/>
    <w:rsid w:val="005C772A"/>
    <w:rsid w:val="005C7750"/>
    <w:rsid w:val="005C7D03"/>
    <w:rsid w:val="005C7D7C"/>
    <w:rsid w:val="005C7DD7"/>
    <w:rsid w:val="005C7E08"/>
    <w:rsid w:val="005C7E3C"/>
    <w:rsid w:val="005C7F71"/>
    <w:rsid w:val="005D0067"/>
    <w:rsid w:val="005D00C6"/>
    <w:rsid w:val="005D0164"/>
    <w:rsid w:val="005D0288"/>
    <w:rsid w:val="005D02FB"/>
    <w:rsid w:val="005D0527"/>
    <w:rsid w:val="005D05E5"/>
    <w:rsid w:val="005D060B"/>
    <w:rsid w:val="005D06AD"/>
    <w:rsid w:val="005D06C2"/>
    <w:rsid w:val="005D076F"/>
    <w:rsid w:val="005D0819"/>
    <w:rsid w:val="005D0C5C"/>
    <w:rsid w:val="005D0D4F"/>
    <w:rsid w:val="005D0E8C"/>
    <w:rsid w:val="005D12E8"/>
    <w:rsid w:val="005D12F9"/>
    <w:rsid w:val="005D1855"/>
    <w:rsid w:val="005D192F"/>
    <w:rsid w:val="005D1985"/>
    <w:rsid w:val="005D1B53"/>
    <w:rsid w:val="005D1C91"/>
    <w:rsid w:val="005D231C"/>
    <w:rsid w:val="005D23BE"/>
    <w:rsid w:val="005D25E3"/>
    <w:rsid w:val="005D27D6"/>
    <w:rsid w:val="005D290D"/>
    <w:rsid w:val="005D2B39"/>
    <w:rsid w:val="005D2B7B"/>
    <w:rsid w:val="005D2B9F"/>
    <w:rsid w:val="005D2CE0"/>
    <w:rsid w:val="005D2F02"/>
    <w:rsid w:val="005D30F8"/>
    <w:rsid w:val="005D325E"/>
    <w:rsid w:val="005D3277"/>
    <w:rsid w:val="005D33D3"/>
    <w:rsid w:val="005D341A"/>
    <w:rsid w:val="005D34BF"/>
    <w:rsid w:val="005D3557"/>
    <w:rsid w:val="005D362F"/>
    <w:rsid w:val="005D373D"/>
    <w:rsid w:val="005D3796"/>
    <w:rsid w:val="005D3841"/>
    <w:rsid w:val="005D38D0"/>
    <w:rsid w:val="005D390C"/>
    <w:rsid w:val="005D3948"/>
    <w:rsid w:val="005D39AD"/>
    <w:rsid w:val="005D3C83"/>
    <w:rsid w:val="005D4061"/>
    <w:rsid w:val="005D4374"/>
    <w:rsid w:val="005D43FF"/>
    <w:rsid w:val="005D465F"/>
    <w:rsid w:val="005D46AB"/>
    <w:rsid w:val="005D471D"/>
    <w:rsid w:val="005D4797"/>
    <w:rsid w:val="005D4800"/>
    <w:rsid w:val="005D4814"/>
    <w:rsid w:val="005D484E"/>
    <w:rsid w:val="005D4991"/>
    <w:rsid w:val="005D4A7D"/>
    <w:rsid w:val="005D4ACE"/>
    <w:rsid w:val="005D4BB1"/>
    <w:rsid w:val="005D4BEC"/>
    <w:rsid w:val="005D4BF2"/>
    <w:rsid w:val="005D4C34"/>
    <w:rsid w:val="005D4E73"/>
    <w:rsid w:val="005D4F99"/>
    <w:rsid w:val="005D500F"/>
    <w:rsid w:val="005D517E"/>
    <w:rsid w:val="005D5209"/>
    <w:rsid w:val="005D527B"/>
    <w:rsid w:val="005D537A"/>
    <w:rsid w:val="005D53BD"/>
    <w:rsid w:val="005D5413"/>
    <w:rsid w:val="005D5416"/>
    <w:rsid w:val="005D542B"/>
    <w:rsid w:val="005D585A"/>
    <w:rsid w:val="005D5AF2"/>
    <w:rsid w:val="005D5D08"/>
    <w:rsid w:val="005D5E66"/>
    <w:rsid w:val="005D5F44"/>
    <w:rsid w:val="005D5F91"/>
    <w:rsid w:val="005D63EA"/>
    <w:rsid w:val="005D65C6"/>
    <w:rsid w:val="005D65CF"/>
    <w:rsid w:val="005D66C5"/>
    <w:rsid w:val="005D6817"/>
    <w:rsid w:val="005D6820"/>
    <w:rsid w:val="005D69AE"/>
    <w:rsid w:val="005D6A9E"/>
    <w:rsid w:val="005D6D59"/>
    <w:rsid w:val="005D702D"/>
    <w:rsid w:val="005D72D1"/>
    <w:rsid w:val="005D72F9"/>
    <w:rsid w:val="005D7470"/>
    <w:rsid w:val="005D7525"/>
    <w:rsid w:val="005D76E0"/>
    <w:rsid w:val="005D77CB"/>
    <w:rsid w:val="005D781A"/>
    <w:rsid w:val="005D78DD"/>
    <w:rsid w:val="005D7A46"/>
    <w:rsid w:val="005D7AAD"/>
    <w:rsid w:val="005D7AB6"/>
    <w:rsid w:val="005D7AEF"/>
    <w:rsid w:val="005D7DD7"/>
    <w:rsid w:val="005E0387"/>
    <w:rsid w:val="005E056A"/>
    <w:rsid w:val="005E0709"/>
    <w:rsid w:val="005E0A19"/>
    <w:rsid w:val="005E0C32"/>
    <w:rsid w:val="005E0E0C"/>
    <w:rsid w:val="005E0E17"/>
    <w:rsid w:val="005E0F40"/>
    <w:rsid w:val="005E1074"/>
    <w:rsid w:val="005E1093"/>
    <w:rsid w:val="005E1463"/>
    <w:rsid w:val="005E1596"/>
    <w:rsid w:val="005E15EE"/>
    <w:rsid w:val="005E165C"/>
    <w:rsid w:val="005E1B89"/>
    <w:rsid w:val="005E1C76"/>
    <w:rsid w:val="005E2271"/>
    <w:rsid w:val="005E2304"/>
    <w:rsid w:val="005E235C"/>
    <w:rsid w:val="005E2392"/>
    <w:rsid w:val="005E23BF"/>
    <w:rsid w:val="005E23FF"/>
    <w:rsid w:val="005E25CA"/>
    <w:rsid w:val="005E288B"/>
    <w:rsid w:val="005E2947"/>
    <w:rsid w:val="005E29CA"/>
    <w:rsid w:val="005E2A58"/>
    <w:rsid w:val="005E2BFD"/>
    <w:rsid w:val="005E2C50"/>
    <w:rsid w:val="005E2E53"/>
    <w:rsid w:val="005E2F2E"/>
    <w:rsid w:val="005E305E"/>
    <w:rsid w:val="005E3166"/>
    <w:rsid w:val="005E3201"/>
    <w:rsid w:val="005E3204"/>
    <w:rsid w:val="005E3340"/>
    <w:rsid w:val="005E3354"/>
    <w:rsid w:val="005E3604"/>
    <w:rsid w:val="005E3660"/>
    <w:rsid w:val="005E37DB"/>
    <w:rsid w:val="005E3B78"/>
    <w:rsid w:val="005E3BA0"/>
    <w:rsid w:val="005E3CF2"/>
    <w:rsid w:val="005E3D43"/>
    <w:rsid w:val="005E3D9B"/>
    <w:rsid w:val="005E3FDC"/>
    <w:rsid w:val="005E401A"/>
    <w:rsid w:val="005E4119"/>
    <w:rsid w:val="005E41B1"/>
    <w:rsid w:val="005E432A"/>
    <w:rsid w:val="005E46F1"/>
    <w:rsid w:val="005E48AB"/>
    <w:rsid w:val="005E48BD"/>
    <w:rsid w:val="005E4C37"/>
    <w:rsid w:val="005E4D67"/>
    <w:rsid w:val="005E50C9"/>
    <w:rsid w:val="005E51AE"/>
    <w:rsid w:val="005E542A"/>
    <w:rsid w:val="005E542F"/>
    <w:rsid w:val="005E564D"/>
    <w:rsid w:val="005E56AD"/>
    <w:rsid w:val="005E5831"/>
    <w:rsid w:val="005E58B4"/>
    <w:rsid w:val="005E5BBB"/>
    <w:rsid w:val="005E5CBB"/>
    <w:rsid w:val="005E5CC0"/>
    <w:rsid w:val="005E5DC2"/>
    <w:rsid w:val="005E5EE5"/>
    <w:rsid w:val="005E6099"/>
    <w:rsid w:val="005E60A5"/>
    <w:rsid w:val="005E627E"/>
    <w:rsid w:val="005E637C"/>
    <w:rsid w:val="005E642E"/>
    <w:rsid w:val="005E64C3"/>
    <w:rsid w:val="005E653E"/>
    <w:rsid w:val="005E66A5"/>
    <w:rsid w:val="005E682D"/>
    <w:rsid w:val="005E6880"/>
    <w:rsid w:val="005E6B15"/>
    <w:rsid w:val="005E6D1A"/>
    <w:rsid w:val="005E6D92"/>
    <w:rsid w:val="005E6E03"/>
    <w:rsid w:val="005E6F39"/>
    <w:rsid w:val="005E7202"/>
    <w:rsid w:val="005E722C"/>
    <w:rsid w:val="005E7270"/>
    <w:rsid w:val="005E72B7"/>
    <w:rsid w:val="005E7321"/>
    <w:rsid w:val="005E74A1"/>
    <w:rsid w:val="005E772C"/>
    <w:rsid w:val="005E7A7C"/>
    <w:rsid w:val="005E7DBD"/>
    <w:rsid w:val="005E7E06"/>
    <w:rsid w:val="005F0174"/>
    <w:rsid w:val="005F03C8"/>
    <w:rsid w:val="005F0653"/>
    <w:rsid w:val="005F0729"/>
    <w:rsid w:val="005F0884"/>
    <w:rsid w:val="005F0AF8"/>
    <w:rsid w:val="005F0C7F"/>
    <w:rsid w:val="005F0F1A"/>
    <w:rsid w:val="005F0FF0"/>
    <w:rsid w:val="005F11C5"/>
    <w:rsid w:val="005F12D4"/>
    <w:rsid w:val="005F139E"/>
    <w:rsid w:val="005F14A3"/>
    <w:rsid w:val="005F14D5"/>
    <w:rsid w:val="005F160F"/>
    <w:rsid w:val="005F17C8"/>
    <w:rsid w:val="005F18E6"/>
    <w:rsid w:val="005F1992"/>
    <w:rsid w:val="005F1A98"/>
    <w:rsid w:val="005F1B6A"/>
    <w:rsid w:val="005F1DC4"/>
    <w:rsid w:val="005F1DD9"/>
    <w:rsid w:val="005F1DFF"/>
    <w:rsid w:val="005F1E90"/>
    <w:rsid w:val="005F1FAF"/>
    <w:rsid w:val="005F207C"/>
    <w:rsid w:val="005F23D1"/>
    <w:rsid w:val="005F251C"/>
    <w:rsid w:val="005F28D7"/>
    <w:rsid w:val="005F2A2C"/>
    <w:rsid w:val="005F2CF6"/>
    <w:rsid w:val="005F3520"/>
    <w:rsid w:val="005F35A1"/>
    <w:rsid w:val="005F36F0"/>
    <w:rsid w:val="005F3771"/>
    <w:rsid w:val="005F37AD"/>
    <w:rsid w:val="005F38E7"/>
    <w:rsid w:val="005F3C1D"/>
    <w:rsid w:val="005F3D25"/>
    <w:rsid w:val="005F3EB5"/>
    <w:rsid w:val="005F3ECB"/>
    <w:rsid w:val="005F403E"/>
    <w:rsid w:val="005F40EC"/>
    <w:rsid w:val="005F4216"/>
    <w:rsid w:val="005F42B1"/>
    <w:rsid w:val="005F435C"/>
    <w:rsid w:val="005F4383"/>
    <w:rsid w:val="005F450A"/>
    <w:rsid w:val="005F456A"/>
    <w:rsid w:val="005F45A5"/>
    <w:rsid w:val="005F4891"/>
    <w:rsid w:val="005F4985"/>
    <w:rsid w:val="005F49EA"/>
    <w:rsid w:val="005F4CA9"/>
    <w:rsid w:val="005F4DB0"/>
    <w:rsid w:val="005F4E11"/>
    <w:rsid w:val="005F4E6C"/>
    <w:rsid w:val="005F53AA"/>
    <w:rsid w:val="005F5517"/>
    <w:rsid w:val="005F551A"/>
    <w:rsid w:val="005F5598"/>
    <w:rsid w:val="005F5790"/>
    <w:rsid w:val="005F5899"/>
    <w:rsid w:val="005F5905"/>
    <w:rsid w:val="005F59E0"/>
    <w:rsid w:val="005F5A06"/>
    <w:rsid w:val="005F5CBB"/>
    <w:rsid w:val="005F5CE9"/>
    <w:rsid w:val="005F5E37"/>
    <w:rsid w:val="005F5EFF"/>
    <w:rsid w:val="005F5FD9"/>
    <w:rsid w:val="005F62B3"/>
    <w:rsid w:val="005F636D"/>
    <w:rsid w:val="005F637D"/>
    <w:rsid w:val="005F63BC"/>
    <w:rsid w:val="005F63E8"/>
    <w:rsid w:val="005F6536"/>
    <w:rsid w:val="005F657E"/>
    <w:rsid w:val="005F6738"/>
    <w:rsid w:val="005F67B0"/>
    <w:rsid w:val="005F67B8"/>
    <w:rsid w:val="005F6858"/>
    <w:rsid w:val="005F69C1"/>
    <w:rsid w:val="005F6A82"/>
    <w:rsid w:val="005F6FE0"/>
    <w:rsid w:val="005F7133"/>
    <w:rsid w:val="005F735E"/>
    <w:rsid w:val="005F7385"/>
    <w:rsid w:val="005F7544"/>
    <w:rsid w:val="005F7A93"/>
    <w:rsid w:val="005F7AAC"/>
    <w:rsid w:val="005F7DA4"/>
    <w:rsid w:val="005F7ED5"/>
    <w:rsid w:val="005F7FA0"/>
    <w:rsid w:val="005F7FB4"/>
    <w:rsid w:val="0060001A"/>
    <w:rsid w:val="00600046"/>
    <w:rsid w:val="006000D6"/>
    <w:rsid w:val="00600107"/>
    <w:rsid w:val="006001A0"/>
    <w:rsid w:val="00600262"/>
    <w:rsid w:val="0060027D"/>
    <w:rsid w:val="00600334"/>
    <w:rsid w:val="00600337"/>
    <w:rsid w:val="00600606"/>
    <w:rsid w:val="0060060F"/>
    <w:rsid w:val="00600767"/>
    <w:rsid w:val="0060079A"/>
    <w:rsid w:val="006007E8"/>
    <w:rsid w:val="00600834"/>
    <w:rsid w:val="00600A4F"/>
    <w:rsid w:val="00600CA8"/>
    <w:rsid w:val="00600FC3"/>
    <w:rsid w:val="00601148"/>
    <w:rsid w:val="00601366"/>
    <w:rsid w:val="006013CC"/>
    <w:rsid w:val="006013D1"/>
    <w:rsid w:val="006014D0"/>
    <w:rsid w:val="00601531"/>
    <w:rsid w:val="0060154C"/>
    <w:rsid w:val="0060159D"/>
    <w:rsid w:val="006015FE"/>
    <w:rsid w:val="006016EB"/>
    <w:rsid w:val="00601823"/>
    <w:rsid w:val="00601898"/>
    <w:rsid w:val="006018C2"/>
    <w:rsid w:val="006018E7"/>
    <w:rsid w:val="00601B60"/>
    <w:rsid w:val="00601E22"/>
    <w:rsid w:val="00602186"/>
    <w:rsid w:val="00602492"/>
    <w:rsid w:val="0060269F"/>
    <w:rsid w:val="006027E7"/>
    <w:rsid w:val="00602827"/>
    <w:rsid w:val="00602A03"/>
    <w:rsid w:val="00602A52"/>
    <w:rsid w:val="0060341E"/>
    <w:rsid w:val="0060373D"/>
    <w:rsid w:val="006037DD"/>
    <w:rsid w:val="006038B6"/>
    <w:rsid w:val="00604064"/>
    <w:rsid w:val="0060407F"/>
    <w:rsid w:val="006042F2"/>
    <w:rsid w:val="0060432A"/>
    <w:rsid w:val="00604603"/>
    <w:rsid w:val="00604753"/>
    <w:rsid w:val="006047C5"/>
    <w:rsid w:val="006049C0"/>
    <w:rsid w:val="00604A09"/>
    <w:rsid w:val="00604E97"/>
    <w:rsid w:val="00604FF2"/>
    <w:rsid w:val="00605007"/>
    <w:rsid w:val="0060501C"/>
    <w:rsid w:val="00605185"/>
    <w:rsid w:val="0060522B"/>
    <w:rsid w:val="006052B0"/>
    <w:rsid w:val="006055DD"/>
    <w:rsid w:val="0060573D"/>
    <w:rsid w:val="006058A8"/>
    <w:rsid w:val="00605C0E"/>
    <w:rsid w:val="00605C1A"/>
    <w:rsid w:val="00605DDC"/>
    <w:rsid w:val="00605F32"/>
    <w:rsid w:val="0060616E"/>
    <w:rsid w:val="00606357"/>
    <w:rsid w:val="006063B9"/>
    <w:rsid w:val="00606615"/>
    <w:rsid w:val="00606671"/>
    <w:rsid w:val="006066A1"/>
    <w:rsid w:val="0060673C"/>
    <w:rsid w:val="00606792"/>
    <w:rsid w:val="006067CE"/>
    <w:rsid w:val="00606868"/>
    <w:rsid w:val="00606942"/>
    <w:rsid w:val="00606987"/>
    <w:rsid w:val="00606E94"/>
    <w:rsid w:val="00606EE1"/>
    <w:rsid w:val="0060719D"/>
    <w:rsid w:val="0060735A"/>
    <w:rsid w:val="006073E7"/>
    <w:rsid w:val="00607494"/>
    <w:rsid w:val="006074B3"/>
    <w:rsid w:val="00607752"/>
    <w:rsid w:val="0060780F"/>
    <w:rsid w:val="0060794E"/>
    <w:rsid w:val="00607F83"/>
    <w:rsid w:val="00610174"/>
    <w:rsid w:val="00610235"/>
    <w:rsid w:val="00610289"/>
    <w:rsid w:val="006102E9"/>
    <w:rsid w:val="00610441"/>
    <w:rsid w:val="00610470"/>
    <w:rsid w:val="00610551"/>
    <w:rsid w:val="006106B3"/>
    <w:rsid w:val="006107F8"/>
    <w:rsid w:val="00610872"/>
    <w:rsid w:val="006108F3"/>
    <w:rsid w:val="00610C7D"/>
    <w:rsid w:val="00610E67"/>
    <w:rsid w:val="0061109E"/>
    <w:rsid w:val="0061157E"/>
    <w:rsid w:val="00611581"/>
    <w:rsid w:val="006116EC"/>
    <w:rsid w:val="00611763"/>
    <w:rsid w:val="006117DE"/>
    <w:rsid w:val="006117F4"/>
    <w:rsid w:val="00611941"/>
    <w:rsid w:val="00611A25"/>
    <w:rsid w:val="00611B44"/>
    <w:rsid w:val="00611ECC"/>
    <w:rsid w:val="006120EB"/>
    <w:rsid w:val="006122BA"/>
    <w:rsid w:val="00612449"/>
    <w:rsid w:val="006124EC"/>
    <w:rsid w:val="0061257A"/>
    <w:rsid w:val="006126DA"/>
    <w:rsid w:val="00612750"/>
    <w:rsid w:val="006129E1"/>
    <w:rsid w:val="00612A31"/>
    <w:rsid w:val="00612ACD"/>
    <w:rsid w:val="00612EB6"/>
    <w:rsid w:val="00612EC9"/>
    <w:rsid w:val="00612F1D"/>
    <w:rsid w:val="006131F9"/>
    <w:rsid w:val="00613258"/>
    <w:rsid w:val="00613547"/>
    <w:rsid w:val="006135BF"/>
    <w:rsid w:val="0061366E"/>
    <w:rsid w:val="00613921"/>
    <w:rsid w:val="006139AB"/>
    <w:rsid w:val="00613C18"/>
    <w:rsid w:val="00613C36"/>
    <w:rsid w:val="00613C7C"/>
    <w:rsid w:val="00613D31"/>
    <w:rsid w:val="00613E1E"/>
    <w:rsid w:val="00614024"/>
    <w:rsid w:val="00614124"/>
    <w:rsid w:val="00614131"/>
    <w:rsid w:val="0061413D"/>
    <w:rsid w:val="006141B1"/>
    <w:rsid w:val="0061430C"/>
    <w:rsid w:val="0061456B"/>
    <w:rsid w:val="0061459B"/>
    <w:rsid w:val="0061461B"/>
    <w:rsid w:val="006146F6"/>
    <w:rsid w:val="00614820"/>
    <w:rsid w:val="006148E2"/>
    <w:rsid w:val="00614906"/>
    <w:rsid w:val="00614994"/>
    <w:rsid w:val="00614A10"/>
    <w:rsid w:val="00614A53"/>
    <w:rsid w:val="00614E93"/>
    <w:rsid w:val="00614EEA"/>
    <w:rsid w:val="00615085"/>
    <w:rsid w:val="0061526B"/>
    <w:rsid w:val="0061531D"/>
    <w:rsid w:val="00615341"/>
    <w:rsid w:val="00615595"/>
    <w:rsid w:val="0061584F"/>
    <w:rsid w:val="00615B93"/>
    <w:rsid w:val="00615DC5"/>
    <w:rsid w:val="00615E3B"/>
    <w:rsid w:val="00615F6C"/>
    <w:rsid w:val="00616105"/>
    <w:rsid w:val="00616143"/>
    <w:rsid w:val="006161D9"/>
    <w:rsid w:val="006161E9"/>
    <w:rsid w:val="006162BE"/>
    <w:rsid w:val="006162F3"/>
    <w:rsid w:val="00616336"/>
    <w:rsid w:val="006163CD"/>
    <w:rsid w:val="0061664C"/>
    <w:rsid w:val="006168C2"/>
    <w:rsid w:val="0061699F"/>
    <w:rsid w:val="006169FD"/>
    <w:rsid w:val="00616BCF"/>
    <w:rsid w:val="00616CFA"/>
    <w:rsid w:val="00616D80"/>
    <w:rsid w:val="00616D8B"/>
    <w:rsid w:val="00616EA2"/>
    <w:rsid w:val="00616EE7"/>
    <w:rsid w:val="0061737C"/>
    <w:rsid w:val="0061749B"/>
    <w:rsid w:val="006174E7"/>
    <w:rsid w:val="00617523"/>
    <w:rsid w:val="00617628"/>
    <w:rsid w:val="00617770"/>
    <w:rsid w:val="006177E6"/>
    <w:rsid w:val="006177EC"/>
    <w:rsid w:val="00617929"/>
    <w:rsid w:val="00617A16"/>
    <w:rsid w:val="00617A5B"/>
    <w:rsid w:val="00617B26"/>
    <w:rsid w:val="00617DF8"/>
    <w:rsid w:val="00617FD9"/>
    <w:rsid w:val="0062003E"/>
    <w:rsid w:val="006200CF"/>
    <w:rsid w:val="006200D6"/>
    <w:rsid w:val="00620342"/>
    <w:rsid w:val="00620421"/>
    <w:rsid w:val="00620482"/>
    <w:rsid w:val="00620599"/>
    <w:rsid w:val="0062060F"/>
    <w:rsid w:val="006206CE"/>
    <w:rsid w:val="00620829"/>
    <w:rsid w:val="0062089C"/>
    <w:rsid w:val="006208FB"/>
    <w:rsid w:val="006209FE"/>
    <w:rsid w:val="00620B1B"/>
    <w:rsid w:val="00620C03"/>
    <w:rsid w:val="00620CC0"/>
    <w:rsid w:val="00620D85"/>
    <w:rsid w:val="00621084"/>
    <w:rsid w:val="006210BA"/>
    <w:rsid w:val="00621149"/>
    <w:rsid w:val="00621231"/>
    <w:rsid w:val="00621246"/>
    <w:rsid w:val="00621403"/>
    <w:rsid w:val="00621537"/>
    <w:rsid w:val="0062184A"/>
    <w:rsid w:val="006219BA"/>
    <w:rsid w:val="00621AA2"/>
    <w:rsid w:val="00621B84"/>
    <w:rsid w:val="00621C4D"/>
    <w:rsid w:val="00621E62"/>
    <w:rsid w:val="00621E84"/>
    <w:rsid w:val="00621F72"/>
    <w:rsid w:val="00622128"/>
    <w:rsid w:val="006221A7"/>
    <w:rsid w:val="00622242"/>
    <w:rsid w:val="006222D8"/>
    <w:rsid w:val="0062246F"/>
    <w:rsid w:val="00622567"/>
    <w:rsid w:val="0062256A"/>
    <w:rsid w:val="006225BE"/>
    <w:rsid w:val="0062266C"/>
    <w:rsid w:val="006226DB"/>
    <w:rsid w:val="006227DF"/>
    <w:rsid w:val="0062296B"/>
    <w:rsid w:val="006229D2"/>
    <w:rsid w:val="00622B91"/>
    <w:rsid w:val="00622CEC"/>
    <w:rsid w:val="00622DAF"/>
    <w:rsid w:val="00622E2D"/>
    <w:rsid w:val="00622EB9"/>
    <w:rsid w:val="006230D0"/>
    <w:rsid w:val="006230E0"/>
    <w:rsid w:val="00623161"/>
    <w:rsid w:val="00623337"/>
    <w:rsid w:val="00623422"/>
    <w:rsid w:val="006234AE"/>
    <w:rsid w:val="0062353A"/>
    <w:rsid w:val="00623658"/>
    <w:rsid w:val="00623A73"/>
    <w:rsid w:val="00623ACB"/>
    <w:rsid w:val="00623C42"/>
    <w:rsid w:val="00623C55"/>
    <w:rsid w:val="00623DDB"/>
    <w:rsid w:val="0062406A"/>
    <w:rsid w:val="00624092"/>
    <w:rsid w:val="0062410A"/>
    <w:rsid w:val="00624187"/>
    <w:rsid w:val="006241F4"/>
    <w:rsid w:val="0062424B"/>
    <w:rsid w:val="006244FC"/>
    <w:rsid w:val="0062461E"/>
    <w:rsid w:val="006247C2"/>
    <w:rsid w:val="006248BD"/>
    <w:rsid w:val="006249B3"/>
    <w:rsid w:val="00624A0E"/>
    <w:rsid w:val="00624A52"/>
    <w:rsid w:val="00624A70"/>
    <w:rsid w:val="00624B89"/>
    <w:rsid w:val="00624DC8"/>
    <w:rsid w:val="00624F29"/>
    <w:rsid w:val="006250D0"/>
    <w:rsid w:val="006254DB"/>
    <w:rsid w:val="006254E8"/>
    <w:rsid w:val="00625931"/>
    <w:rsid w:val="0062599A"/>
    <w:rsid w:val="006259DE"/>
    <w:rsid w:val="00625A18"/>
    <w:rsid w:val="00625C51"/>
    <w:rsid w:val="00625D20"/>
    <w:rsid w:val="00625D4B"/>
    <w:rsid w:val="00625E4E"/>
    <w:rsid w:val="00625FE4"/>
    <w:rsid w:val="006262F1"/>
    <w:rsid w:val="0062643D"/>
    <w:rsid w:val="00626686"/>
    <w:rsid w:val="00626693"/>
    <w:rsid w:val="006266D1"/>
    <w:rsid w:val="00626760"/>
    <w:rsid w:val="0062677C"/>
    <w:rsid w:val="00626872"/>
    <w:rsid w:val="00626892"/>
    <w:rsid w:val="006268B3"/>
    <w:rsid w:val="00626A1D"/>
    <w:rsid w:val="00626ABE"/>
    <w:rsid w:val="00626D35"/>
    <w:rsid w:val="00626EC7"/>
    <w:rsid w:val="00626EF2"/>
    <w:rsid w:val="00627041"/>
    <w:rsid w:val="006271B2"/>
    <w:rsid w:val="006272E4"/>
    <w:rsid w:val="00627327"/>
    <w:rsid w:val="00627631"/>
    <w:rsid w:val="00627648"/>
    <w:rsid w:val="0062798E"/>
    <w:rsid w:val="00627B0E"/>
    <w:rsid w:val="00627E7D"/>
    <w:rsid w:val="00627FAE"/>
    <w:rsid w:val="0063000D"/>
    <w:rsid w:val="00630079"/>
    <w:rsid w:val="00630099"/>
    <w:rsid w:val="006301F4"/>
    <w:rsid w:val="00630318"/>
    <w:rsid w:val="0063078A"/>
    <w:rsid w:val="00630991"/>
    <w:rsid w:val="006309B0"/>
    <w:rsid w:val="00630C22"/>
    <w:rsid w:val="00630D15"/>
    <w:rsid w:val="00630D40"/>
    <w:rsid w:val="00630EBA"/>
    <w:rsid w:val="00630F0E"/>
    <w:rsid w:val="0063107F"/>
    <w:rsid w:val="00631091"/>
    <w:rsid w:val="00631157"/>
    <w:rsid w:val="00631168"/>
    <w:rsid w:val="00631227"/>
    <w:rsid w:val="00631242"/>
    <w:rsid w:val="006312A1"/>
    <w:rsid w:val="006317C9"/>
    <w:rsid w:val="00631806"/>
    <w:rsid w:val="00631831"/>
    <w:rsid w:val="00631A00"/>
    <w:rsid w:val="00631CB6"/>
    <w:rsid w:val="00631CE8"/>
    <w:rsid w:val="00631D6C"/>
    <w:rsid w:val="00631D82"/>
    <w:rsid w:val="00631DFC"/>
    <w:rsid w:val="00631E6A"/>
    <w:rsid w:val="00631EB5"/>
    <w:rsid w:val="00631FAC"/>
    <w:rsid w:val="00632259"/>
    <w:rsid w:val="0063226C"/>
    <w:rsid w:val="0063256C"/>
    <w:rsid w:val="00632616"/>
    <w:rsid w:val="006327E8"/>
    <w:rsid w:val="00632802"/>
    <w:rsid w:val="00632A63"/>
    <w:rsid w:val="00632B6B"/>
    <w:rsid w:val="00632BBB"/>
    <w:rsid w:val="00632D0B"/>
    <w:rsid w:val="00632D2A"/>
    <w:rsid w:val="00632D8C"/>
    <w:rsid w:val="00632EC7"/>
    <w:rsid w:val="006333B8"/>
    <w:rsid w:val="00633407"/>
    <w:rsid w:val="0063341E"/>
    <w:rsid w:val="00633662"/>
    <w:rsid w:val="00633716"/>
    <w:rsid w:val="00633739"/>
    <w:rsid w:val="00633802"/>
    <w:rsid w:val="006338B7"/>
    <w:rsid w:val="006338F8"/>
    <w:rsid w:val="006339ED"/>
    <w:rsid w:val="00633A2B"/>
    <w:rsid w:val="00633AB2"/>
    <w:rsid w:val="00633D5F"/>
    <w:rsid w:val="00633EC2"/>
    <w:rsid w:val="00633F3A"/>
    <w:rsid w:val="006343AF"/>
    <w:rsid w:val="00634460"/>
    <w:rsid w:val="00634593"/>
    <w:rsid w:val="00634741"/>
    <w:rsid w:val="0063489B"/>
    <w:rsid w:val="006348B8"/>
    <w:rsid w:val="00634A70"/>
    <w:rsid w:val="00634AB1"/>
    <w:rsid w:val="00634B4C"/>
    <w:rsid w:val="00634E51"/>
    <w:rsid w:val="0063511D"/>
    <w:rsid w:val="00635181"/>
    <w:rsid w:val="006351AB"/>
    <w:rsid w:val="00635419"/>
    <w:rsid w:val="006358E6"/>
    <w:rsid w:val="00635AA6"/>
    <w:rsid w:val="00635CDF"/>
    <w:rsid w:val="00635FF4"/>
    <w:rsid w:val="00636279"/>
    <w:rsid w:val="0063627F"/>
    <w:rsid w:val="006363CC"/>
    <w:rsid w:val="00636644"/>
    <w:rsid w:val="006366C9"/>
    <w:rsid w:val="0063672A"/>
    <w:rsid w:val="006367D8"/>
    <w:rsid w:val="00636950"/>
    <w:rsid w:val="00636A19"/>
    <w:rsid w:val="00636AC9"/>
    <w:rsid w:val="00636B0B"/>
    <w:rsid w:val="00636B4C"/>
    <w:rsid w:val="00636C30"/>
    <w:rsid w:val="0063710B"/>
    <w:rsid w:val="00637142"/>
    <w:rsid w:val="006371ED"/>
    <w:rsid w:val="00637678"/>
    <w:rsid w:val="00637862"/>
    <w:rsid w:val="006379A4"/>
    <w:rsid w:val="00637B2D"/>
    <w:rsid w:val="00637B6B"/>
    <w:rsid w:val="00637CC9"/>
    <w:rsid w:val="00637EC7"/>
    <w:rsid w:val="00637EEA"/>
    <w:rsid w:val="00637F6E"/>
    <w:rsid w:val="006400CF"/>
    <w:rsid w:val="006400D0"/>
    <w:rsid w:val="00640106"/>
    <w:rsid w:val="00640285"/>
    <w:rsid w:val="006403B8"/>
    <w:rsid w:val="00640451"/>
    <w:rsid w:val="006404BC"/>
    <w:rsid w:val="006404FB"/>
    <w:rsid w:val="0064091C"/>
    <w:rsid w:val="00640A0C"/>
    <w:rsid w:val="00640B65"/>
    <w:rsid w:val="00640C0C"/>
    <w:rsid w:val="00640D2B"/>
    <w:rsid w:val="00640FA9"/>
    <w:rsid w:val="006410EA"/>
    <w:rsid w:val="00641542"/>
    <w:rsid w:val="00641573"/>
    <w:rsid w:val="00641623"/>
    <w:rsid w:val="006417A8"/>
    <w:rsid w:val="0064188E"/>
    <w:rsid w:val="00641D28"/>
    <w:rsid w:val="00641E24"/>
    <w:rsid w:val="00641EB4"/>
    <w:rsid w:val="00641EB9"/>
    <w:rsid w:val="00641F33"/>
    <w:rsid w:val="00642133"/>
    <w:rsid w:val="00642260"/>
    <w:rsid w:val="00642292"/>
    <w:rsid w:val="00642463"/>
    <w:rsid w:val="00642561"/>
    <w:rsid w:val="006425E5"/>
    <w:rsid w:val="00642615"/>
    <w:rsid w:val="0064267F"/>
    <w:rsid w:val="006426D7"/>
    <w:rsid w:val="00642B2C"/>
    <w:rsid w:val="00642C0D"/>
    <w:rsid w:val="00642C1D"/>
    <w:rsid w:val="00642C79"/>
    <w:rsid w:val="00642CED"/>
    <w:rsid w:val="00642CF9"/>
    <w:rsid w:val="00642D1A"/>
    <w:rsid w:val="00642E18"/>
    <w:rsid w:val="00643040"/>
    <w:rsid w:val="0064305F"/>
    <w:rsid w:val="0064308A"/>
    <w:rsid w:val="006430B0"/>
    <w:rsid w:val="006431DD"/>
    <w:rsid w:val="0064321B"/>
    <w:rsid w:val="00643348"/>
    <w:rsid w:val="006437AE"/>
    <w:rsid w:val="006437C3"/>
    <w:rsid w:val="0064383F"/>
    <w:rsid w:val="0064388A"/>
    <w:rsid w:val="00643A05"/>
    <w:rsid w:val="00643A62"/>
    <w:rsid w:val="00643B03"/>
    <w:rsid w:val="00643B86"/>
    <w:rsid w:val="00643C07"/>
    <w:rsid w:val="00643DA6"/>
    <w:rsid w:val="00643F77"/>
    <w:rsid w:val="006440B0"/>
    <w:rsid w:val="006446AF"/>
    <w:rsid w:val="00644973"/>
    <w:rsid w:val="00644A1D"/>
    <w:rsid w:val="00644C30"/>
    <w:rsid w:val="00644D1B"/>
    <w:rsid w:val="00644E96"/>
    <w:rsid w:val="00645000"/>
    <w:rsid w:val="00645036"/>
    <w:rsid w:val="006450CC"/>
    <w:rsid w:val="00645108"/>
    <w:rsid w:val="0064521F"/>
    <w:rsid w:val="0064526A"/>
    <w:rsid w:val="006452F5"/>
    <w:rsid w:val="0064548C"/>
    <w:rsid w:val="0064550F"/>
    <w:rsid w:val="006455A3"/>
    <w:rsid w:val="00645664"/>
    <w:rsid w:val="00645721"/>
    <w:rsid w:val="006457B9"/>
    <w:rsid w:val="006457CB"/>
    <w:rsid w:val="006457E0"/>
    <w:rsid w:val="00645844"/>
    <w:rsid w:val="0064596E"/>
    <w:rsid w:val="006459F9"/>
    <w:rsid w:val="00645A2A"/>
    <w:rsid w:val="00645AAC"/>
    <w:rsid w:val="00645B8E"/>
    <w:rsid w:val="00645F58"/>
    <w:rsid w:val="00645F78"/>
    <w:rsid w:val="00646095"/>
    <w:rsid w:val="0064617B"/>
    <w:rsid w:val="00646325"/>
    <w:rsid w:val="00646944"/>
    <w:rsid w:val="00646A2B"/>
    <w:rsid w:val="00646DCA"/>
    <w:rsid w:val="00646DCD"/>
    <w:rsid w:val="00646FA4"/>
    <w:rsid w:val="00647116"/>
    <w:rsid w:val="006471AF"/>
    <w:rsid w:val="006471E5"/>
    <w:rsid w:val="006473ED"/>
    <w:rsid w:val="006476AA"/>
    <w:rsid w:val="0064779F"/>
    <w:rsid w:val="0064789A"/>
    <w:rsid w:val="00647B92"/>
    <w:rsid w:val="00647CCE"/>
    <w:rsid w:val="00647E97"/>
    <w:rsid w:val="00647F65"/>
    <w:rsid w:val="00647F7F"/>
    <w:rsid w:val="0065026A"/>
    <w:rsid w:val="006504A1"/>
    <w:rsid w:val="00650524"/>
    <w:rsid w:val="0065054E"/>
    <w:rsid w:val="006505B2"/>
    <w:rsid w:val="00650871"/>
    <w:rsid w:val="00650890"/>
    <w:rsid w:val="00650A0E"/>
    <w:rsid w:val="00650AAB"/>
    <w:rsid w:val="00650B62"/>
    <w:rsid w:val="00650C10"/>
    <w:rsid w:val="00650DC3"/>
    <w:rsid w:val="00650F0C"/>
    <w:rsid w:val="00650F55"/>
    <w:rsid w:val="00650FF0"/>
    <w:rsid w:val="00651044"/>
    <w:rsid w:val="00651265"/>
    <w:rsid w:val="006512A8"/>
    <w:rsid w:val="00651302"/>
    <w:rsid w:val="00651356"/>
    <w:rsid w:val="00651394"/>
    <w:rsid w:val="006513AE"/>
    <w:rsid w:val="00651435"/>
    <w:rsid w:val="00651958"/>
    <w:rsid w:val="006519DA"/>
    <w:rsid w:val="00651A0C"/>
    <w:rsid w:val="00651A56"/>
    <w:rsid w:val="00651A76"/>
    <w:rsid w:val="00651BC3"/>
    <w:rsid w:val="00651CBE"/>
    <w:rsid w:val="00651E1A"/>
    <w:rsid w:val="0065200C"/>
    <w:rsid w:val="00652171"/>
    <w:rsid w:val="006524B2"/>
    <w:rsid w:val="00652560"/>
    <w:rsid w:val="006527CE"/>
    <w:rsid w:val="006527F8"/>
    <w:rsid w:val="00652893"/>
    <w:rsid w:val="006528F8"/>
    <w:rsid w:val="00652A12"/>
    <w:rsid w:val="00652A4F"/>
    <w:rsid w:val="00652AFC"/>
    <w:rsid w:val="00652BB3"/>
    <w:rsid w:val="00652BEB"/>
    <w:rsid w:val="00652F34"/>
    <w:rsid w:val="00653125"/>
    <w:rsid w:val="0065319D"/>
    <w:rsid w:val="00653269"/>
    <w:rsid w:val="006533CA"/>
    <w:rsid w:val="0065361F"/>
    <w:rsid w:val="0065366D"/>
    <w:rsid w:val="00653690"/>
    <w:rsid w:val="00653691"/>
    <w:rsid w:val="0065372B"/>
    <w:rsid w:val="00653772"/>
    <w:rsid w:val="0065397C"/>
    <w:rsid w:val="00653AAD"/>
    <w:rsid w:val="00653C8F"/>
    <w:rsid w:val="00654014"/>
    <w:rsid w:val="00654397"/>
    <w:rsid w:val="00654588"/>
    <w:rsid w:val="006546A2"/>
    <w:rsid w:val="006546FB"/>
    <w:rsid w:val="00654948"/>
    <w:rsid w:val="00654CC1"/>
    <w:rsid w:val="00654CEA"/>
    <w:rsid w:val="00654DCB"/>
    <w:rsid w:val="006550DB"/>
    <w:rsid w:val="00655286"/>
    <w:rsid w:val="006552B3"/>
    <w:rsid w:val="00655414"/>
    <w:rsid w:val="00655415"/>
    <w:rsid w:val="00655427"/>
    <w:rsid w:val="0065548D"/>
    <w:rsid w:val="006554A0"/>
    <w:rsid w:val="0065567A"/>
    <w:rsid w:val="00655735"/>
    <w:rsid w:val="006557B9"/>
    <w:rsid w:val="00655836"/>
    <w:rsid w:val="00655983"/>
    <w:rsid w:val="00655A05"/>
    <w:rsid w:val="00655AD7"/>
    <w:rsid w:val="00655B36"/>
    <w:rsid w:val="00655BA9"/>
    <w:rsid w:val="00655C62"/>
    <w:rsid w:val="00655DAB"/>
    <w:rsid w:val="00655F83"/>
    <w:rsid w:val="00655FD5"/>
    <w:rsid w:val="00656295"/>
    <w:rsid w:val="006562EC"/>
    <w:rsid w:val="00656431"/>
    <w:rsid w:val="0065647F"/>
    <w:rsid w:val="006564BB"/>
    <w:rsid w:val="006564E8"/>
    <w:rsid w:val="006564E9"/>
    <w:rsid w:val="00656504"/>
    <w:rsid w:val="0065660E"/>
    <w:rsid w:val="0065668F"/>
    <w:rsid w:val="0065677F"/>
    <w:rsid w:val="0065693D"/>
    <w:rsid w:val="006569D7"/>
    <w:rsid w:val="00656A53"/>
    <w:rsid w:val="00656B76"/>
    <w:rsid w:val="00656C87"/>
    <w:rsid w:val="00656E1B"/>
    <w:rsid w:val="00656EF7"/>
    <w:rsid w:val="0065707D"/>
    <w:rsid w:val="006572C1"/>
    <w:rsid w:val="00657688"/>
    <w:rsid w:val="006577BC"/>
    <w:rsid w:val="0065789A"/>
    <w:rsid w:val="006578F6"/>
    <w:rsid w:val="00657A90"/>
    <w:rsid w:val="00657EDF"/>
    <w:rsid w:val="00660026"/>
    <w:rsid w:val="006604E5"/>
    <w:rsid w:val="0066084A"/>
    <w:rsid w:val="00660A31"/>
    <w:rsid w:val="00660A51"/>
    <w:rsid w:val="00660AA6"/>
    <w:rsid w:val="00660B03"/>
    <w:rsid w:val="00660B66"/>
    <w:rsid w:val="00660BDF"/>
    <w:rsid w:val="00660CB1"/>
    <w:rsid w:val="00660ECF"/>
    <w:rsid w:val="0066108A"/>
    <w:rsid w:val="006611AE"/>
    <w:rsid w:val="00661260"/>
    <w:rsid w:val="00661571"/>
    <w:rsid w:val="00661748"/>
    <w:rsid w:val="00661897"/>
    <w:rsid w:val="006618E5"/>
    <w:rsid w:val="00661915"/>
    <w:rsid w:val="00661C47"/>
    <w:rsid w:val="00661CFE"/>
    <w:rsid w:val="0066219E"/>
    <w:rsid w:val="00662482"/>
    <w:rsid w:val="006624B3"/>
    <w:rsid w:val="0066257A"/>
    <w:rsid w:val="0066267D"/>
    <w:rsid w:val="00662930"/>
    <w:rsid w:val="00662C32"/>
    <w:rsid w:val="00662CD2"/>
    <w:rsid w:val="00662D2F"/>
    <w:rsid w:val="00662E76"/>
    <w:rsid w:val="0066329C"/>
    <w:rsid w:val="006632F6"/>
    <w:rsid w:val="00663896"/>
    <w:rsid w:val="006639DB"/>
    <w:rsid w:val="00663A09"/>
    <w:rsid w:val="00663B9F"/>
    <w:rsid w:val="00663BC8"/>
    <w:rsid w:val="00663C1D"/>
    <w:rsid w:val="006640A2"/>
    <w:rsid w:val="0066422F"/>
    <w:rsid w:val="006644B0"/>
    <w:rsid w:val="00664799"/>
    <w:rsid w:val="0066484A"/>
    <w:rsid w:val="006648D7"/>
    <w:rsid w:val="00664D1E"/>
    <w:rsid w:val="00664F26"/>
    <w:rsid w:val="00665024"/>
    <w:rsid w:val="0066507B"/>
    <w:rsid w:val="00665214"/>
    <w:rsid w:val="0066525B"/>
    <w:rsid w:val="006652C4"/>
    <w:rsid w:val="006655D6"/>
    <w:rsid w:val="00665876"/>
    <w:rsid w:val="006658D5"/>
    <w:rsid w:val="00665EC9"/>
    <w:rsid w:val="006662B7"/>
    <w:rsid w:val="006662EC"/>
    <w:rsid w:val="00666428"/>
    <w:rsid w:val="006666D8"/>
    <w:rsid w:val="00666899"/>
    <w:rsid w:val="006668C9"/>
    <w:rsid w:val="00666B98"/>
    <w:rsid w:val="00666C06"/>
    <w:rsid w:val="00666C38"/>
    <w:rsid w:val="00666C96"/>
    <w:rsid w:val="00666E51"/>
    <w:rsid w:val="00666EB2"/>
    <w:rsid w:val="00666ED5"/>
    <w:rsid w:val="006670B8"/>
    <w:rsid w:val="00667200"/>
    <w:rsid w:val="006672E7"/>
    <w:rsid w:val="00667332"/>
    <w:rsid w:val="006675B0"/>
    <w:rsid w:val="006677F6"/>
    <w:rsid w:val="006678E3"/>
    <w:rsid w:val="00667B84"/>
    <w:rsid w:val="00667BE3"/>
    <w:rsid w:val="00667DDD"/>
    <w:rsid w:val="00667F08"/>
    <w:rsid w:val="00667F5D"/>
    <w:rsid w:val="006700AB"/>
    <w:rsid w:val="006700CC"/>
    <w:rsid w:val="00670179"/>
    <w:rsid w:val="006701C3"/>
    <w:rsid w:val="006701ED"/>
    <w:rsid w:val="00670321"/>
    <w:rsid w:val="0067056A"/>
    <w:rsid w:val="006705BD"/>
    <w:rsid w:val="0067068F"/>
    <w:rsid w:val="00670788"/>
    <w:rsid w:val="00670888"/>
    <w:rsid w:val="0067088A"/>
    <w:rsid w:val="006708FC"/>
    <w:rsid w:val="00670A61"/>
    <w:rsid w:val="00670B46"/>
    <w:rsid w:val="00670DDF"/>
    <w:rsid w:val="00670E21"/>
    <w:rsid w:val="00670EF5"/>
    <w:rsid w:val="00670F1F"/>
    <w:rsid w:val="00670FB8"/>
    <w:rsid w:val="00671064"/>
    <w:rsid w:val="0067114C"/>
    <w:rsid w:val="00671171"/>
    <w:rsid w:val="00671647"/>
    <w:rsid w:val="006716CB"/>
    <w:rsid w:val="00671726"/>
    <w:rsid w:val="00671AC6"/>
    <w:rsid w:val="00671B57"/>
    <w:rsid w:val="00671C18"/>
    <w:rsid w:val="00671CFC"/>
    <w:rsid w:val="006720E3"/>
    <w:rsid w:val="00672835"/>
    <w:rsid w:val="0067286A"/>
    <w:rsid w:val="00672AFF"/>
    <w:rsid w:val="00672B66"/>
    <w:rsid w:val="00672C16"/>
    <w:rsid w:val="00672C27"/>
    <w:rsid w:val="00672D9E"/>
    <w:rsid w:val="00672F5E"/>
    <w:rsid w:val="0067305A"/>
    <w:rsid w:val="00673067"/>
    <w:rsid w:val="0067313B"/>
    <w:rsid w:val="00673425"/>
    <w:rsid w:val="00673547"/>
    <w:rsid w:val="00673583"/>
    <w:rsid w:val="006736EA"/>
    <w:rsid w:val="00673791"/>
    <w:rsid w:val="006737C0"/>
    <w:rsid w:val="00673867"/>
    <w:rsid w:val="00673A88"/>
    <w:rsid w:val="00673CC0"/>
    <w:rsid w:val="00673E43"/>
    <w:rsid w:val="00673E89"/>
    <w:rsid w:val="00673FB2"/>
    <w:rsid w:val="00674229"/>
    <w:rsid w:val="00674259"/>
    <w:rsid w:val="0067426D"/>
    <w:rsid w:val="00674293"/>
    <w:rsid w:val="00674313"/>
    <w:rsid w:val="00674392"/>
    <w:rsid w:val="006745CB"/>
    <w:rsid w:val="0067466B"/>
    <w:rsid w:val="006747FC"/>
    <w:rsid w:val="00674964"/>
    <w:rsid w:val="0067498B"/>
    <w:rsid w:val="00674A01"/>
    <w:rsid w:val="00674A89"/>
    <w:rsid w:val="00674B46"/>
    <w:rsid w:val="00674CC4"/>
    <w:rsid w:val="00674EBB"/>
    <w:rsid w:val="00674FC1"/>
    <w:rsid w:val="00675243"/>
    <w:rsid w:val="0067536F"/>
    <w:rsid w:val="00675446"/>
    <w:rsid w:val="00675472"/>
    <w:rsid w:val="006754F2"/>
    <w:rsid w:val="00675987"/>
    <w:rsid w:val="006759EA"/>
    <w:rsid w:val="00675A63"/>
    <w:rsid w:val="00675B19"/>
    <w:rsid w:val="00675BE8"/>
    <w:rsid w:val="00675C8D"/>
    <w:rsid w:val="00675DA8"/>
    <w:rsid w:val="00675DDD"/>
    <w:rsid w:val="00675E1A"/>
    <w:rsid w:val="00675EFE"/>
    <w:rsid w:val="00676033"/>
    <w:rsid w:val="0067606B"/>
    <w:rsid w:val="00676188"/>
    <w:rsid w:val="00676281"/>
    <w:rsid w:val="006762C6"/>
    <w:rsid w:val="00676342"/>
    <w:rsid w:val="006764AE"/>
    <w:rsid w:val="00676519"/>
    <w:rsid w:val="006766CE"/>
    <w:rsid w:val="00676819"/>
    <w:rsid w:val="006768AA"/>
    <w:rsid w:val="006769D7"/>
    <w:rsid w:val="006769EF"/>
    <w:rsid w:val="00676A65"/>
    <w:rsid w:val="00676AFC"/>
    <w:rsid w:val="00676B5F"/>
    <w:rsid w:val="00676C1C"/>
    <w:rsid w:val="00676C2E"/>
    <w:rsid w:val="00676C5B"/>
    <w:rsid w:val="00676CBA"/>
    <w:rsid w:val="00676E50"/>
    <w:rsid w:val="00676EDF"/>
    <w:rsid w:val="00677015"/>
    <w:rsid w:val="006774C1"/>
    <w:rsid w:val="00677697"/>
    <w:rsid w:val="0067771D"/>
    <w:rsid w:val="006779BA"/>
    <w:rsid w:val="00677DED"/>
    <w:rsid w:val="00677E07"/>
    <w:rsid w:val="00677EAA"/>
    <w:rsid w:val="00677F4A"/>
    <w:rsid w:val="00677FCE"/>
    <w:rsid w:val="00680235"/>
    <w:rsid w:val="006802BC"/>
    <w:rsid w:val="006803AE"/>
    <w:rsid w:val="006803FF"/>
    <w:rsid w:val="00680474"/>
    <w:rsid w:val="00680549"/>
    <w:rsid w:val="00680662"/>
    <w:rsid w:val="00680686"/>
    <w:rsid w:val="00680A28"/>
    <w:rsid w:val="00680A48"/>
    <w:rsid w:val="00680B5B"/>
    <w:rsid w:val="00680ECF"/>
    <w:rsid w:val="00680F3F"/>
    <w:rsid w:val="00680FFF"/>
    <w:rsid w:val="006811DA"/>
    <w:rsid w:val="00681208"/>
    <w:rsid w:val="0068134F"/>
    <w:rsid w:val="00681368"/>
    <w:rsid w:val="00681403"/>
    <w:rsid w:val="00681513"/>
    <w:rsid w:val="006815C6"/>
    <w:rsid w:val="006817D0"/>
    <w:rsid w:val="0068188E"/>
    <w:rsid w:val="00681989"/>
    <w:rsid w:val="00681BB9"/>
    <w:rsid w:val="00681C54"/>
    <w:rsid w:val="00681CD5"/>
    <w:rsid w:val="00681EF2"/>
    <w:rsid w:val="006821C2"/>
    <w:rsid w:val="0068233D"/>
    <w:rsid w:val="006823B1"/>
    <w:rsid w:val="0068247D"/>
    <w:rsid w:val="006825A6"/>
    <w:rsid w:val="00682684"/>
    <w:rsid w:val="00682757"/>
    <w:rsid w:val="00682C06"/>
    <w:rsid w:val="00682DF4"/>
    <w:rsid w:val="00682FCC"/>
    <w:rsid w:val="00682FD9"/>
    <w:rsid w:val="0068327F"/>
    <w:rsid w:val="00683289"/>
    <w:rsid w:val="0068329B"/>
    <w:rsid w:val="0068333B"/>
    <w:rsid w:val="006835CD"/>
    <w:rsid w:val="006836E6"/>
    <w:rsid w:val="006836F1"/>
    <w:rsid w:val="0068375D"/>
    <w:rsid w:val="006839F3"/>
    <w:rsid w:val="00683C89"/>
    <w:rsid w:val="00683D40"/>
    <w:rsid w:val="00683DD7"/>
    <w:rsid w:val="00683E41"/>
    <w:rsid w:val="00683FD4"/>
    <w:rsid w:val="0068457D"/>
    <w:rsid w:val="006845DD"/>
    <w:rsid w:val="00684713"/>
    <w:rsid w:val="00684840"/>
    <w:rsid w:val="00684925"/>
    <w:rsid w:val="00684AF4"/>
    <w:rsid w:val="00684B11"/>
    <w:rsid w:val="00684BF2"/>
    <w:rsid w:val="00684C38"/>
    <w:rsid w:val="00684D64"/>
    <w:rsid w:val="006852A0"/>
    <w:rsid w:val="00685433"/>
    <w:rsid w:val="006854E0"/>
    <w:rsid w:val="00685568"/>
    <w:rsid w:val="0068558F"/>
    <w:rsid w:val="0068560B"/>
    <w:rsid w:val="00685949"/>
    <w:rsid w:val="00685994"/>
    <w:rsid w:val="00685999"/>
    <w:rsid w:val="006859AD"/>
    <w:rsid w:val="00685B17"/>
    <w:rsid w:val="00685CE1"/>
    <w:rsid w:val="00685DD0"/>
    <w:rsid w:val="00685E00"/>
    <w:rsid w:val="00685F9B"/>
    <w:rsid w:val="00685FC5"/>
    <w:rsid w:val="006862C8"/>
    <w:rsid w:val="00686311"/>
    <w:rsid w:val="006863CC"/>
    <w:rsid w:val="006863FB"/>
    <w:rsid w:val="00686440"/>
    <w:rsid w:val="006865EF"/>
    <w:rsid w:val="00686949"/>
    <w:rsid w:val="00686BB0"/>
    <w:rsid w:val="00686C78"/>
    <w:rsid w:val="00686CA3"/>
    <w:rsid w:val="00686CD0"/>
    <w:rsid w:val="00686DC4"/>
    <w:rsid w:val="00686E55"/>
    <w:rsid w:val="00686EF7"/>
    <w:rsid w:val="00686F4E"/>
    <w:rsid w:val="00686FAB"/>
    <w:rsid w:val="00687176"/>
    <w:rsid w:val="006871BA"/>
    <w:rsid w:val="006872CB"/>
    <w:rsid w:val="006872D0"/>
    <w:rsid w:val="0068733E"/>
    <w:rsid w:val="00687429"/>
    <w:rsid w:val="0068748C"/>
    <w:rsid w:val="00687595"/>
    <w:rsid w:val="00687685"/>
    <w:rsid w:val="00687718"/>
    <w:rsid w:val="00687AB3"/>
    <w:rsid w:val="00687AFE"/>
    <w:rsid w:val="00687BD8"/>
    <w:rsid w:val="00687CB6"/>
    <w:rsid w:val="00687CC0"/>
    <w:rsid w:val="00687E7C"/>
    <w:rsid w:val="00687F46"/>
    <w:rsid w:val="00687FB5"/>
    <w:rsid w:val="006902DC"/>
    <w:rsid w:val="00690382"/>
    <w:rsid w:val="006904C7"/>
    <w:rsid w:val="00690560"/>
    <w:rsid w:val="006906A1"/>
    <w:rsid w:val="00690767"/>
    <w:rsid w:val="00690780"/>
    <w:rsid w:val="00690A6C"/>
    <w:rsid w:val="00690C90"/>
    <w:rsid w:val="00690EC6"/>
    <w:rsid w:val="006910F1"/>
    <w:rsid w:val="00691118"/>
    <w:rsid w:val="0069127B"/>
    <w:rsid w:val="006912D5"/>
    <w:rsid w:val="006913A1"/>
    <w:rsid w:val="006913B7"/>
    <w:rsid w:val="0069162E"/>
    <w:rsid w:val="0069164C"/>
    <w:rsid w:val="00691A75"/>
    <w:rsid w:val="00691AE3"/>
    <w:rsid w:val="00691BCF"/>
    <w:rsid w:val="00691D1B"/>
    <w:rsid w:val="00691D59"/>
    <w:rsid w:val="00691D8E"/>
    <w:rsid w:val="00691EAC"/>
    <w:rsid w:val="00691FA6"/>
    <w:rsid w:val="0069216B"/>
    <w:rsid w:val="0069221A"/>
    <w:rsid w:val="00692235"/>
    <w:rsid w:val="0069223F"/>
    <w:rsid w:val="006924CF"/>
    <w:rsid w:val="00692538"/>
    <w:rsid w:val="006926A8"/>
    <w:rsid w:val="006927D4"/>
    <w:rsid w:val="00692939"/>
    <w:rsid w:val="00692993"/>
    <w:rsid w:val="00692BD6"/>
    <w:rsid w:val="00692C34"/>
    <w:rsid w:val="00692CEC"/>
    <w:rsid w:val="00692E1C"/>
    <w:rsid w:val="00692FEE"/>
    <w:rsid w:val="00693078"/>
    <w:rsid w:val="00693236"/>
    <w:rsid w:val="006932E0"/>
    <w:rsid w:val="00693593"/>
    <w:rsid w:val="006936F2"/>
    <w:rsid w:val="006937D3"/>
    <w:rsid w:val="00693CF5"/>
    <w:rsid w:val="00693DF4"/>
    <w:rsid w:val="00694161"/>
    <w:rsid w:val="006942AC"/>
    <w:rsid w:val="006944E8"/>
    <w:rsid w:val="0069457C"/>
    <w:rsid w:val="0069467B"/>
    <w:rsid w:val="00694713"/>
    <w:rsid w:val="006947B7"/>
    <w:rsid w:val="006948CD"/>
    <w:rsid w:val="00694930"/>
    <w:rsid w:val="00694A49"/>
    <w:rsid w:val="00694AD2"/>
    <w:rsid w:val="00694E76"/>
    <w:rsid w:val="00694EAC"/>
    <w:rsid w:val="00694F2B"/>
    <w:rsid w:val="00694FF8"/>
    <w:rsid w:val="006951C4"/>
    <w:rsid w:val="006951D7"/>
    <w:rsid w:val="00695203"/>
    <w:rsid w:val="00695309"/>
    <w:rsid w:val="00695400"/>
    <w:rsid w:val="00695447"/>
    <w:rsid w:val="006954E2"/>
    <w:rsid w:val="006955A4"/>
    <w:rsid w:val="0069571D"/>
    <w:rsid w:val="006958C6"/>
    <w:rsid w:val="00695B45"/>
    <w:rsid w:val="00695C6F"/>
    <w:rsid w:val="00695E6F"/>
    <w:rsid w:val="00695F4E"/>
    <w:rsid w:val="0069606F"/>
    <w:rsid w:val="00696437"/>
    <w:rsid w:val="0069653D"/>
    <w:rsid w:val="006965F8"/>
    <w:rsid w:val="00696699"/>
    <w:rsid w:val="00696822"/>
    <w:rsid w:val="00696856"/>
    <w:rsid w:val="00696921"/>
    <w:rsid w:val="00696AB1"/>
    <w:rsid w:val="00696B01"/>
    <w:rsid w:val="00696B7F"/>
    <w:rsid w:val="00696BC0"/>
    <w:rsid w:val="00696C8C"/>
    <w:rsid w:val="00696E80"/>
    <w:rsid w:val="00697484"/>
    <w:rsid w:val="006974BD"/>
    <w:rsid w:val="006974DF"/>
    <w:rsid w:val="0069755E"/>
    <w:rsid w:val="0069757A"/>
    <w:rsid w:val="006975E6"/>
    <w:rsid w:val="0069789A"/>
    <w:rsid w:val="00697AE5"/>
    <w:rsid w:val="00697C36"/>
    <w:rsid w:val="00697D70"/>
    <w:rsid w:val="00697EF4"/>
    <w:rsid w:val="006A01F2"/>
    <w:rsid w:val="006A0284"/>
    <w:rsid w:val="006A039F"/>
    <w:rsid w:val="006A05DD"/>
    <w:rsid w:val="006A05E4"/>
    <w:rsid w:val="006A0777"/>
    <w:rsid w:val="006A07B6"/>
    <w:rsid w:val="006A084B"/>
    <w:rsid w:val="006A096C"/>
    <w:rsid w:val="006A09D9"/>
    <w:rsid w:val="006A0A44"/>
    <w:rsid w:val="006A0B2E"/>
    <w:rsid w:val="006A0D91"/>
    <w:rsid w:val="006A1019"/>
    <w:rsid w:val="006A105C"/>
    <w:rsid w:val="006A1076"/>
    <w:rsid w:val="006A122B"/>
    <w:rsid w:val="006A123F"/>
    <w:rsid w:val="006A1271"/>
    <w:rsid w:val="006A1385"/>
    <w:rsid w:val="006A13B3"/>
    <w:rsid w:val="006A166C"/>
    <w:rsid w:val="006A1826"/>
    <w:rsid w:val="006A1A4E"/>
    <w:rsid w:val="006A1B66"/>
    <w:rsid w:val="006A1CCB"/>
    <w:rsid w:val="006A1FD7"/>
    <w:rsid w:val="006A20E0"/>
    <w:rsid w:val="006A219E"/>
    <w:rsid w:val="006A21D1"/>
    <w:rsid w:val="006A2251"/>
    <w:rsid w:val="006A227E"/>
    <w:rsid w:val="006A242C"/>
    <w:rsid w:val="006A24D6"/>
    <w:rsid w:val="006A2503"/>
    <w:rsid w:val="006A257A"/>
    <w:rsid w:val="006A2661"/>
    <w:rsid w:val="006A27C0"/>
    <w:rsid w:val="006A2817"/>
    <w:rsid w:val="006A28D9"/>
    <w:rsid w:val="006A29F5"/>
    <w:rsid w:val="006A2AA6"/>
    <w:rsid w:val="006A2D8E"/>
    <w:rsid w:val="006A2EDF"/>
    <w:rsid w:val="006A2F15"/>
    <w:rsid w:val="006A3292"/>
    <w:rsid w:val="006A355E"/>
    <w:rsid w:val="006A3573"/>
    <w:rsid w:val="006A395F"/>
    <w:rsid w:val="006A3B25"/>
    <w:rsid w:val="006A3B80"/>
    <w:rsid w:val="006A3C07"/>
    <w:rsid w:val="006A3E1C"/>
    <w:rsid w:val="006A3F68"/>
    <w:rsid w:val="006A40A6"/>
    <w:rsid w:val="006A410E"/>
    <w:rsid w:val="006A414E"/>
    <w:rsid w:val="006A458C"/>
    <w:rsid w:val="006A459D"/>
    <w:rsid w:val="006A45AD"/>
    <w:rsid w:val="006A45B8"/>
    <w:rsid w:val="006A47FD"/>
    <w:rsid w:val="006A4886"/>
    <w:rsid w:val="006A4A7E"/>
    <w:rsid w:val="006A4AC5"/>
    <w:rsid w:val="006A4B96"/>
    <w:rsid w:val="006A4BA0"/>
    <w:rsid w:val="006A4BA3"/>
    <w:rsid w:val="006A4CDD"/>
    <w:rsid w:val="006A4D7F"/>
    <w:rsid w:val="006A4E13"/>
    <w:rsid w:val="006A4E46"/>
    <w:rsid w:val="006A5430"/>
    <w:rsid w:val="006A55B5"/>
    <w:rsid w:val="006A55C4"/>
    <w:rsid w:val="006A568F"/>
    <w:rsid w:val="006A578E"/>
    <w:rsid w:val="006A5957"/>
    <w:rsid w:val="006A5A53"/>
    <w:rsid w:val="006A5C68"/>
    <w:rsid w:val="006A5D64"/>
    <w:rsid w:val="006A5DAD"/>
    <w:rsid w:val="006A5E6F"/>
    <w:rsid w:val="006A5F74"/>
    <w:rsid w:val="006A5F84"/>
    <w:rsid w:val="006A5FA6"/>
    <w:rsid w:val="006A5FDB"/>
    <w:rsid w:val="006A5FEC"/>
    <w:rsid w:val="006A60EF"/>
    <w:rsid w:val="006A6559"/>
    <w:rsid w:val="006A66E2"/>
    <w:rsid w:val="006A66F5"/>
    <w:rsid w:val="006A67D7"/>
    <w:rsid w:val="006A6836"/>
    <w:rsid w:val="006A6B42"/>
    <w:rsid w:val="006A6C29"/>
    <w:rsid w:val="006A6CB1"/>
    <w:rsid w:val="006A6D1B"/>
    <w:rsid w:val="006A6E71"/>
    <w:rsid w:val="006A70AA"/>
    <w:rsid w:val="006A7153"/>
    <w:rsid w:val="006A7157"/>
    <w:rsid w:val="006A728D"/>
    <w:rsid w:val="006A74BD"/>
    <w:rsid w:val="006A77E2"/>
    <w:rsid w:val="006A7860"/>
    <w:rsid w:val="006A79A3"/>
    <w:rsid w:val="006A7C68"/>
    <w:rsid w:val="006A7D46"/>
    <w:rsid w:val="006A7F8B"/>
    <w:rsid w:val="006B00CA"/>
    <w:rsid w:val="006B00F6"/>
    <w:rsid w:val="006B0111"/>
    <w:rsid w:val="006B0155"/>
    <w:rsid w:val="006B047E"/>
    <w:rsid w:val="006B07F9"/>
    <w:rsid w:val="006B0A9C"/>
    <w:rsid w:val="006B0E88"/>
    <w:rsid w:val="006B10B7"/>
    <w:rsid w:val="006B12A6"/>
    <w:rsid w:val="006B1357"/>
    <w:rsid w:val="006B13A8"/>
    <w:rsid w:val="006B1505"/>
    <w:rsid w:val="006B155E"/>
    <w:rsid w:val="006B1619"/>
    <w:rsid w:val="006B177F"/>
    <w:rsid w:val="006B1850"/>
    <w:rsid w:val="006B193F"/>
    <w:rsid w:val="006B1A99"/>
    <w:rsid w:val="006B1BB6"/>
    <w:rsid w:val="006B1D1D"/>
    <w:rsid w:val="006B1DFA"/>
    <w:rsid w:val="006B1EC1"/>
    <w:rsid w:val="006B1F3C"/>
    <w:rsid w:val="006B228D"/>
    <w:rsid w:val="006B234F"/>
    <w:rsid w:val="006B246A"/>
    <w:rsid w:val="006B2713"/>
    <w:rsid w:val="006B27A8"/>
    <w:rsid w:val="006B29D3"/>
    <w:rsid w:val="006B2BEE"/>
    <w:rsid w:val="006B2C63"/>
    <w:rsid w:val="006B2E62"/>
    <w:rsid w:val="006B2F81"/>
    <w:rsid w:val="006B3277"/>
    <w:rsid w:val="006B353B"/>
    <w:rsid w:val="006B372E"/>
    <w:rsid w:val="006B38FA"/>
    <w:rsid w:val="006B3AB3"/>
    <w:rsid w:val="006B3DA1"/>
    <w:rsid w:val="006B3DB9"/>
    <w:rsid w:val="006B3E10"/>
    <w:rsid w:val="006B3E74"/>
    <w:rsid w:val="006B3F1A"/>
    <w:rsid w:val="006B3FA8"/>
    <w:rsid w:val="006B4270"/>
    <w:rsid w:val="006B45D0"/>
    <w:rsid w:val="006B460B"/>
    <w:rsid w:val="006B4715"/>
    <w:rsid w:val="006B4C4D"/>
    <w:rsid w:val="006B4D14"/>
    <w:rsid w:val="006B4EF3"/>
    <w:rsid w:val="006B4FFE"/>
    <w:rsid w:val="006B53F7"/>
    <w:rsid w:val="006B558A"/>
    <w:rsid w:val="006B5612"/>
    <w:rsid w:val="006B56E8"/>
    <w:rsid w:val="006B57CC"/>
    <w:rsid w:val="006B5AC7"/>
    <w:rsid w:val="006B5DAB"/>
    <w:rsid w:val="006B615E"/>
    <w:rsid w:val="006B6191"/>
    <w:rsid w:val="006B6230"/>
    <w:rsid w:val="006B64AA"/>
    <w:rsid w:val="006B67F4"/>
    <w:rsid w:val="006B69F1"/>
    <w:rsid w:val="006B6AC6"/>
    <w:rsid w:val="006B6BD2"/>
    <w:rsid w:val="006B6BE3"/>
    <w:rsid w:val="006B6D51"/>
    <w:rsid w:val="006B6F2F"/>
    <w:rsid w:val="006B6F46"/>
    <w:rsid w:val="006B710D"/>
    <w:rsid w:val="006B7310"/>
    <w:rsid w:val="006B76C0"/>
    <w:rsid w:val="006B76F5"/>
    <w:rsid w:val="006B7735"/>
    <w:rsid w:val="006B7833"/>
    <w:rsid w:val="006C010F"/>
    <w:rsid w:val="006C01D2"/>
    <w:rsid w:val="006C0498"/>
    <w:rsid w:val="006C07C5"/>
    <w:rsid w:val="006C0841"/>
    <w:rsid w:val="006C0ABB"/>
    <w:rsid w:val="006C0B0E"/>
    <w:rsid w:val="006C0BAB"/>
    <w:rsid w:val="006C0C64"/>
    <w:rsid w:val="006C0D7D"/>
    <w:rsid w:val="006C0E03"/>
    <w:rsid w:val="006C0F23"/>
    <w:rsid w:val="006C1015"/>
    <w:rsid w:val="006C11CC"/>
    <w:rsid w:val="006C11D0"/>
    <w:rsid w:val="006C13C6"/>
    <w:rsid w:val="006C1558"/>
    <w:rsid w:val="006C1623"/>
    <w:rsid w:val="006C16C9"/>
    <w:rsid w:val="006C16E0"/>
    <w:rsid w:val="006C178A"/>
    <w:rsid w:val="006C1A10"/>
    <w:rsid w:val="006C1C60"/>
    <w:rsid w:val="006C1E56"/>
    <w:rsid w:val="006C1F71"/>
    <w:rsid w:val="006C1FF4"/>
    <w:rsid w:val="006C2066"/>
    <w:rsid w:val="006C2168"/>
    <w:rsid w:val="006C21CC"/>
    <w:rsid w:val="006C2710"/>
    <w:rsid w:val="006C2733"/>
    <w:rsid w:val="006C2901"/>
    <w:rsid w:val="006C2AA7"/>
    <w:rsid w:val="006C2B7C"/>
    <w:rsid w:val="006C30B8"/>
    <w:rsid w:val="006C3214"/>
    <w:rsid w:val="006C3221"/>
    <w:rsid w:val="006C334B"/>
    <w:rsid w:val="006C3723"/>
    <w:rsid w:val="006C3757"/>
    <w:rsid w:val="006C3910"/>
    <w:rsid w:val="006C3992"/>
    <w:rsid w:val="006C3D6B"/>
    <w:rsid w:val="006C3DE7"/>
    <w:rsid w:val="006C3EB4"/>
    <w:rsid w:val="006C418C"/>
    <w:rsid w:val="006C4358"/>
    <w:rsid w:val="006C436B"/>
    <w:rsid w:val="006C437A"/>
    <w:rsid w:val="006C467F"/>
    <w:rsid w:val="006C4774"/>
    <w:rsid w:val="006C4780"/>
    <w:rsid w:val="006C47A5"/>
    <w:rsid w:val="006C4B6F"/>
    <w:rsid w:val="006C4C0B"/>
    <w:rsid w:val="006C4D25"/>
    <w:rsid w:val="006C4E03"/>
    <w:rsid w:val="006C4F67"/>
    <w:rsid w:val="006C509C"/>
    <w:rsid w:val="006C50EA"/>
    <w:rsid w:val="006C51D0"/>
    <w:rsid w:val="006C51F7"/>
    <w:rsid w:val="006C5226"/>
    <w:rsid w:val="006C52B7"/>
    <w:rsid w:val="006C5352"/>
    <w:rsid w:val="006C53EE"/>
    <w:rsid w:val="006C56BD"/>
    <w:rsid w:val="006C578E"/>
    <w:rsid w:val="006C59FF"/>
    <w:rsid w:val="006C5A39"/>
    <w:rsid w:val="006C5ADC"/>
    <w:rsid w:val="006C5B4E"/>
    <w:rsid w:val="006C5CD0"/>
    <w:rsid w:val="006C5E28"/>
    <w:rsid w:val="006C5E52"/>
    <w:rsid w:val="006C653B"/>
    <w:rsid w:val="006C661D"/>
    <w:rsid w:val="006C67D2"/>
    <w:rsid w:val="006C696A"/>
    <w:rsid w:val="006C69B0"/>
    <w:rsid w:val="006C69B4"/>
    <w:rsid w:val="006C6CD5"/>
    <w:rsid w:val="006C6D1F"/>
    <w:rsid w:val="006C6DF4"/>
    <w:rsid w:val="006C7135"/>
    <w:rsid w:val="006C7315"/>
    <w:rsid w:val="006C76A5"/>
    <w:rsid w:val="006C78B0"/>
    <w:rsid w:val="006C7951"/>
    <w:rsid w:val="006C79C0"/>
    <w:rsid w:val="006C79DA"/>
    <w:rsid w:val="006C7AF7"/>
    <w:rsid w:val="006C7B06"/>
    <w:rsid w:val="006C7C7A"/>
    <w:rsid w:val="006C7D5F"/>
    <w:rsid w:val="006C7E1D"/>
    <w:rsid w:val="006C7EB2"/>
    <w:rsid w:val="006D01BE"/>
    <w:rsid w:val="006D0269"/>
    <w:rsid w:val="006D03C8"/>
    <w:rsid w:val="006D03E8"/>
    <w:rsid w:val="006D0498"/>
    <w:rsid w:val="006D054D"/>
    <w:rsid w:val="006D0625"/>
    <w:rsid w:val="006D0704"/>
    <w:rsid w:val="006D0AFA"/>
    <w:rsid w:val="006D0B1F"/>
    <w:rsid w:val="006D0BA1"/>
    <w:rsid w:val="006D0BCF"/>
    <w:rsid w:val="006D0C35"/>
    <w:rsid w:val="006D0C5A"/>
    <w:rsid w:val="006D1003"/>
    <w:rsid w:val="006D11E9"/>
    <w:rsid w:val="006D12D8"/>
    <w:rsid w:val="006D156B"/>
    <w:rsid w:val="006D161A"/>
    <w:rsid w:val="006D1649"/>
    <w:rsid w:val="006D1653"/>
    <w:rsid w:val="006D17CE"/>
    <w:rsid w:val="006D17F9"/>
    <w:rsid w:val="006D194F"/>
    <w:rsid w:val="006D19F4"/>
    <w:rsid w:val="006D1CEF"/>
    <w:rsid w:val="006D2055"/>
    <w:rsid w:val="006D218F"/>
    <w:rsid w:val="006D2311"/>
    <w:rsid w:val="006D23D6"/>
    <w:rsid w:val="006D23ED"/>
    <w:rsid w:val="006D23EE"/>
    <w:rsid w:val="006D241C"/>
    <w:rsid w:val="006D2520"/>
    <w:rsid w:val="006D2844"/>
    <w:rsid w:val="006D293C"/>
    <w:rsid w:val="006D2A54"/>
    <w:rsid w:val="006D2EC9"/>
    <w:rsid w:val="006D2FAB"/>
    <w:rsid w:val="006D3326"/>
    <w:rsid w:val="006D33FD"/>
    <w:rsid w:val="006D34A7"/>
    <w:rsid w:val="006D367B"/>
    <w:rsid w:val="006D37AB"/>
    <w:rsid w:val="006D39A6"/>
    <w:rsid w:val="006D3AAF"/>
    <w:rsid w:val="006D3AE2"/>
    <w:rsid w:val="006D3AED"/>
    <w:rsid w:val="006D3BC4"/>
    <w:rsid w:val="006D3CE6"/>
    <w:rsid w:val="006D3D16"/>
    <w:rsid w:val="006D3D52"/>
    <w:rsid w:val="006D3EBB"/>
    <w:rsid w:val="006D4103"/>
    <w:rsid w:val="006D418B"/>
    <w:rsid w:val="006D4270"/>
    <w:rsid w:val="006D4362"/>
    <w:rsid w:val="006D470F"/>
    <w:rsid w:val="006D483F"/>
    <w:rsid w:val="006D4A98"/>
    <w:rsid w:val="006D4BDD"/>
    <w:rsid w:val="006D4BED"/>
    <w:rsid w:val="006D4D4F"/>
    <w:rsid w:val="006D4D81"/>
    <w:rsid w:val="006D4F62"/>
    <w:rsid w:val="006D4F74"/>
    <w:rsid w:val="006D4FA2"/>
    <w:rsid w:val="006D507A"/>
    <w:rsid w:val="006D5597"/>
    <w:rsid w:val="006D56D6"/>
    <w:rsid w:val="006D57C4"/>
    <w:rsid w:val="006D5910"/>
    <w:rsid w:val="006D59BD"/>
    <w:rsid w:val="006D5CA9"/>
    <w:rsid w:val="006D5CC6"/>
    <w:rsid w:val="006D604A"/>
    <w:rsid w:val="006D609C"/>
    <w:rsid w:val="006D6109"/>
    <w:rsid w:val="006D62D3"/>
    <w:rsid w:val="006D63BA"/>
    <w:rsid w:val="006D647F"/>
    <w:rsid w:val="006D6537"/>
    <w:rsid w:val="006D675D"/>
    <w:rsid w:val="006D6775"/>
    <w:rsid w:val="006D677F"/>
    <w:rsid w:val="006D68F8"/>
    <w:rsid w:val="006D6A3C"/>
    <w:rsid w:val="006D6AB9"/>
    <w:rsid w:val="006D6B8F"/>
    <w:rsid w:val="006D6C1A"/>
    <w:rsid w:val="006D6C7C"/>
    <w:rsid w:val="006D6F41"/>
    <w:rsid w:val="006D7060"/>
    <w:rsid w:val="006D7234"/>
    <w:rsid w:val="006D73B5"/>
    <w:rsid w:val="006D7542"/>
    <w:rsid w:val="006D764B"/>
    <w:rsid w:val="006D7784"/>
    <w:rsid w:val="006D7845"/>
    <w:rsid w:val="006D7959"/>
    <w:rsid w:val="006D7A38"/>
    <w:rsid w:val="006D7D30"/>
    <w:rsid w:val="006D7D48"/>
    <w:rsid w:val="006E00B6"/>
    <w:rsid w:val="006E012A"/>
    <w:rsid w:val="006E01B4"/>
    <w:rsid w:val="006E028F"/>
    <w:rsid w:val="006E0385"/>
    <w:rsid w:val="006E05FA"/>
    <w:rsid w:val="006E0838"/>
    <w:rsid w:val="006E0849"/>
    <w:rsid w:val="006E085B"/>
    <w:rsid w:val="006E08BE"/>
    <w:rsid w:val="006E0A6E"/>
    <w:rsid w:val="006E0DEC"/>
    <w:rsid w:val="006E1246"/>
    <w:rsid w:val="006E12D5"/>
    <w:rsid w:val="006E1305"/>
    <w:rsid w:val="006E1397"/>
    <w:rsid w:val="006E195A"/>
    <w:rsid w:val="006E1ACC"/>
    <w:rsid w:val="006E1C22"/>
    <w:rsid w:val="006E1C66"/>
    <w:rsid w:val="006E1D08"/>
    <w:rsid w:val="006E1D62"/>
    <w:rsid w:val="006E1DDA"/>
    <w:rsid w:val="006E1E30"/>
    <w:rsid w:val="006E1EC6"/>
    <w:rsid w:val="006E1F0F"/>
    <w:rsid w:val="006E1F41"/>
    <w:rsid w:val="006E1F8F"/>
    <w:rsid w:val="006E2044"/>
    <w:rsid w:val="006E2077"/>
    <w:rsid w:val="006E245E"/>
    <w:rsid w:val="006E25FC"/>
    <w:rsid w:val="006E267F"/>
    <w:rsid w:val="006E29D0"/>
    <w:rsid w:val="006E2AC9"/>
    <w:rsid w:val="006E2D1E"/>
    <w:rsid w:val="006E2DA5"/>
    <w:rsid w:val="006E30EC"/>
    <w:rsid w:val="006E3201"/>
    <w:rsid w:val="006E3239"/>
    <w:rsid w:val="006E3285"/>
    <w:rsid w:val="006E3329"/>
    <w:rsid w:val="006E35C5"/>
    <w:rsid w:val="006E3614"/>
    <w:rsid w:val="006E3740"/>
    <w:rsid w:val="006E37DF"/>
    <w:rsid w:val="006E38DF"/>
    <w:rsid w:val="006E3C86"/>
    <w:rsid w:val="006E3DA9"/>
    <w:rsid w:val="006E3E37"/>
    <w:rsid w:val="006E410D"/>
    <w:rsid w:val="006E430F"/>
    <w:rsid w:val="006E4694"/>
    <w:rsid w:val="006E4761"/>
    <w:rsid w:val="006E47E7"/>
    <w:rsid w:val="006E499F"/>
    <w:rsid w:val="006E4D8B"/>
    <w:rsid w:val="006E4EFC"/>
    <w:rsid w:val="006E5044"/>
    <w:rsid w:val="006E54DC"/>
    <w:rsid w:val="006E5576"/>
    <w:rsid w:val="006E56F0"/>
    <w:rsid w:val="006E577D"/>
    <w:rsid w:val="006E5AB4"/>
    <w:rsid w:val="006E5CAE"/>
    <w:rsid w:val="006E5CE2"/>
    <w:rsid w:val="006E5DBB"/>
    <w:rsid w:val="006E5F9F"/>
    <w:rsid w:val="006E61F4"/>
    <w:rsid w:val="006E62C4"/>
    <w:rsid w:val="006E6427"/>
    <w:rsid w:val="006E659F"/>
    <w:rsid w:val="006E6652"/>
    <w:rsid w:val="006E676F"/>
    <w:rsid w:val="006E690C"/>
    <w:rsid w:val="006E6A0B"/>
    <w:rsid w:val="006E6AAC"/>
    <w:rsid w:val="006E6D20"/>
    <w:rsid w:val="006E6DAB"/>
    <w:rsid w:val="006E6F48"/>
    <w:rsid w:val="006E6FB8"/>
    <w:rsid w:val="006E70A5"/>
    <w:rsid w:val="006E7210"/>
    <w:rsid w:val="006E72AE"/>
    <w:rsid w:val="006E72D7"/>
    <w:rsid w:val="006E7383"/>
    <w:rsid w:val="006E7440"/>
    <w:rsid w:val="006E773D"/>
    <w:rsid w:val="006E78D7"/>
    <w:rsid w:val="006E7940"/>
    <w:rsid w:val="006E7B3D"/>
    <w:rsid w:val="006E7D4C"/>
    <w:rsid w:val="006F011C"/>
    <w:rsid w:val="006F024E"/>
    <w:rsid w:val="006F0285"/>
    <w:rsid w:val="006F0299"/>
    <w:rsid w:val="006F02F6"/>
    <w:rsid w:val="006F036F"/>
    <w:rsid w:val="006F0902"/>
    <w:rsid w:val="006F09B2"/>
    <w:rsid w:val="006F0C54"/>
    <w:rsid w:val="006F0C8D"/>
    <w:rsid w:val="006F0CF6"/>
    <w:rsid w:val="006F0EB1"/>
    <w:rsid w:val="006F0F66"/>
    <w:rsid w:val="006F1236"/>
    <w:rsid w:val="006F1258"/>
    <w:rsid w:val="006F16C4"/>
    <w:rsid w:val="006F17A9"/>
    <w:rsid w:val="006F18CA"/>
    <w:rsid w:val="006F1C6C"/>
    <w:rsid w:val="006F1C8F"/>
    <w:rsid w:val="006F1CAA"/>
    <w:rsid w:val="006F20B9"/>
    <w:rsid w:val="006F21B1"/>
    <w:rsid w:val="006F2234"/>
    <w:rsid w:val="006F24A4"/>
    <w:rsid w:val="006F266F"/>
    <w:rsid w:val="006F27AB"/>
    <w:rsid w:val="006F2A7E"/>
    <w:rsid w:val="006F2C03"/>
    <w:rsid w:val="006F2D55"/>
    <w:rsid w:val="006F2D7C"/>
    <w:rsid w:val="006F2DB6"/>
    <w:rsid w:val="006F2EC1"/>
    <w:rsid w:val="006F317B"/>
    <w:rsid w:val="006F3206"/>
    <w:rsid w:val="006F32B2"/>
    <w:rsid w:val="006F3375"/>
    <w:rsid w:val="006F3605"/>
    <w:rsid w:val="006F3629"/>
    <w:rsid w:val="006F3703"/>
    <w:rsid w:val="006F379F"/>
    <w:rsid w:val="006F3E6B"/>
    <w:rsid w:val="006F407A"/>
    <w:rsid w:val="006F40DD"/>
    <w:rsid w:val="006F40F1"/>
    <w:rsid w:val="006F40FB"/>
    <w:rsid w:val="006F42BE"/>
    <w:rsid w:val="006F4412"/>
    <w:rsid w:val="006F45A9"/>
    <w:rsid w:val="006F45E1"/>
    <w:rsid w:val="006F4628"/>
    <w:rsid w:val="006F482C"/>
    <w:rsid w:val="006F4CF3"/>
    <w:rsid w:val="006F4D84"/>
    <w:rsid w:val="006F4FE9"/>
    <w:rsid w:val="006F5068"/>
    <w:rsid w:val="006F507C"/>
    <w:rsid w:val="006F52DA"/>
    <w:rsid w:val="006F5314"/>
    <w:rsid w:val="006F54F2"/>
    <w:rsid w:val="006F5547"/>
    <w:rsid w:val="006F5820"/>
    <w:rsid w:val="006F5A09"/>
    <w:rsid w:val="006F5A99"/>
    <w:rsid w:val="006F5BA9"/>
    <w:rsid w:val="006F5C21"/>
    <w:rsid w:val="006F5D93"/>
    <w:rsid w:val="006F5E2C"/>
    <w:rsid w:val="006F5E8C"/>
    <w:rsid w:val="006F5F7D"/>
    <w:rsid w:val="006F606B"/>
    <w:rsid w:val="006F634D"/>
    <w:rsid w:val="006F641C"/>
    <w:rsid w:val="006F6437"/>
    <w:rsid w:val="006F6730"/>
    <w:rsid w:val="006F6ADB"/>
    <w:rsid w:val="006F6C42"/>
    <w:rsid w:val="006F6CB6"/>
    <w:rsid w:val="006F6D75"/>
    <w:rsid w:val="006F6F5B"/>
    <w:rsid w:val="006F6F74"/>
    <w:rsid w:val="006F6FD6"/>
    <w:rsid w:val="006F70A4"/>
    <w:rsid w:val="006F73D9"/>
    <w:rsid w:val="006F74BD"/>
    <w:rsid w:val="006F7544"/>
    <w:rsid w:val="006F755C"/>
    <w:rsid w:val="006F75FE"/>
    <w:rsid w:val="006F7631"/>
    <w:rsid w:val="006F769A"/>
    <w:rsid w:val="006F77F4"/>
    <w:rsid w:val="006F7A87"/>
    <w:rsid w:val="006F7B1A"/>
    <w:rsid w:val="006F7D06"/>
    <w:rsid w:val="006F7E6B"/>
    <w:rsid w:val="006F7F5F"/>
    <w:rsid w:val="006F7F6A"/>
    <w:rsid w:val="00700061"/>
    <w:rsid w:val="00700063"/>
    <w:rsid w:val="007001FF"/>
    <w:rsid w:val="00700343"/>
    <w:rsid w:val="007004AB"/>
    <w:rsid w:val="007004FF"/>
    <w:rsid w:val="0070057D"/>
    <w:rsid w:val="00700A12"/>
    <w:rsid w:val="00700A46"/>
    <w:rsid w:val="00700B54"/>
    <w:rsid w:val="007013A6"/>
    <w:rsid w:val="007013E5"/>
    <w:rsid w:val="007013FE"/>
    <w:rsid w:val="0070159B"/>
    <w:rsid w:val="00701609"/>
    <w:rsid w:val="0070179A"/>
    <w:rsid w:val="00701832"/>
    <w:rsid w:val="00701983"/>
    <w:rsid w:val="00701B94"/>
    <w:rsid w:val="00701F54"/>
    <w:rsid w:val="00701FDF"/>
    <w:rsid w:val="00702045"/>
    <w:rsid w:val="00702051"/>
    <w:rsid w:val="00702135"/>
    <w:rsid w:val="0070218A"/>
    <w:rsid w:val="0070250B"/>
    <w:rsid w:val="00702662"/>
    <w:rsid w:val="007026ED"/>
    <w:rsid w:val="007026FD"/>
    <w:rsid w:val="007027A0"/>
    <w:rsid w:val="00702947"/>
    <w:rsid w:val="007029C0"/>
    <w:rsid w:val="00702A2C"/>
    <w:rsid w:val="00702C1F"/>
    <w:rsid w:val="00702CAC"/>
    <w:rsid w:val="00702CC3"/>
    <w:rsid w:val="00702DD3"/>
    <w:rsid w:val="0070314B"/>
    <w:rsid w:val="007031C8"/>
    <w:rsid w:val="00703288"/>
    <w:rsid w:val="0070328A"/>
    <w:rsid w:val="00703374"/>
    <w:rsid w:val="007033C6"/>
    <w:rsid w:val="00703469"/>
    <w:rsid w:val="0070347C"/>
    <w:rsid w:val="0070352E"/>
    <w:rsid w:val="007035D0"/>
    <w:rsid w:val="007035DF"/>
    <w:rsid w:val="00703680"/>
    <w:rsid w:val="007037A3"/>
    <w:rsid w:val="00703C37"/>
    <w:rsid w:val="00703D0E"/>
    <w:rsid w:val="00703D38"/>
    <w:rsid w:val="00703DD5"/>
    <w:rsid w:val="00703E2C"/>
    <w:rsid w:val="00703E58"/>
    <w:rsid w:val="00703E84"/>
    <w:rsid w:val="00703F55"/>
    <w:rsid w:val="0070402B"/>
    <w:rsid w:val="007040F6"/>
    <w:rsid w:val="0070413A"/>
    <w:rsid w:val="007042FA"/>
    <w:rsid w:val="00704345"/>
    <w:rsid w:val="0070445E"/>
    <w:rsid w:val="007046B6"/>
    <w:rsid w:val="00704737"/>
    <w:rsid w:val="00704800"/>
    <w:rsid w:val="007048C0"/>
    <w:rsid w:val="0070493D"/>
    <w:rsid w:val="0070497C"/>
    <w:rsid w:val="00704BA8"/>
    <w:rsid w:val="00704E61"/>
    <w:rsid w:val="00704FEA"/>
    <w:rsid w:val="00705181"/>
    <w:rsid w:val="007051E6"/>
    <w:rsid w:val="0070522A"/>
    <w:rsid w:val="00705745"/>
    <w:rsid w:val="0070590C"/>
    <w:rsid w:val="007059F4"/>
    <w:rsid w:val="00705E10"/>
    <w:rsid w:val="00705E14"/>
    <w:rsid w:val="00705E5B"/>
    <w:rsid w:val="00706117"/>
    <w:rsid w:val="00706198"/>
    <w:rsid w:val="00706243"/>
    <w:rsid w:val="0070636A"/>
    <w:rsid w:val="00706395"/>
    <w:rsid w:val="007063F5"/>
    <w:rsid w:val="007066F3"/>
    <w:rsid w:val="00706950"/>
    <w:rsid w:val="00706CA4"/>
    <w:rsid w:val="00706DA5"/>
    <w:rsid w:val="00706E1D"/>
    <w:rsid w:val="00707181"/>
    <w:rsid w:val="00707188"/>
    <w:rsid w:val="0070729E"/>
    <w:rsid w:val="00707425"/>
    <w:rsid w:val="0070747E"/>
    <w:rsid w:val="00707608"/>
    <w:rsid w:val="007076A1"/>
    <w:rsid w:val="007076D2"/>
    <w:rsid w:val="007076FD"/>
    <w:rsid w:val="007078FD"/>
    <w:rsid w:val="00707919"/>
    <w:rsid w:val="00707AAF"/>
    <w:rsid w:val="00707BC2"/>
    <w:rsid w:val="00707CAB"/>
    <w:rsid w:val="00707CCE"/>
    <w:rsid w:val="00707ECC"/>
    <w:rsid w:val="00710018"/>
    <w:rsid w:val="00710042"/>
    <w:rsid w:val="00710060"/>
    <w:rsid w:val="007101F3"/>
    <w:rsid w:val="00710342"/>
    <w:rsid w:val="007104E6"/>
    <w:rsid w:val="007105CE"/>
    <w:rsid w:val="00710650"/>
    <w:rsid w:val="007107C8"/>
    <w:rsid w:val="00710B24"/>
    <w:rsid w:val="00710F49"/>
    <w:rsid w:val="00710F4D"/>
    <w:rsid w:val="007113C7"/>
    <w:rsid w:val="00711425"/>
    <w:rsid w:val="00711435"/>
    <w:rsid w:val="0071153E"/>
    <w:rsid w:val="007115DA"/>
    <w:rsid w:val="0071177F"/>
    <w:rsid w:val="00711891"/>
    <w:rsid w:val="007118B5"/>
    <w:rsid w:val="007118DF"/>
    <w:rsid w:val="00711908"/>
    <w:rsid w:val="007119B1"/>
    <w:rsid w:val="007119CE"/>
    <w:rsid w:val="00711BBB"/>
    <w:rsid w:val="00711EF0"/>
    <w:rsid w:val="00711F25"/>
    <w:rsid w:val="0071214F"/>
    <w:rsid w:val="00712163"/>
    <w:rsid w:val="007122D5"/>
    <w:rsid w:val="007125E7"/>
    <w:rsid w:val="0071262A"/>
    <w:rsid w:val="0071279E"/>
    <w:rsid w:val="007127A2"/>
    <w:rsid w:val="007127F3"/>
    <w:rsid w:val="00712CB7"/>
    <w:rsid w:val="00712D38"/>
    <w:rsid w:val="007130C9"/>
    <w:rsid w:val="00713163"/>
    <w:rsid w:val="0071322C"/>
    <w:rsid w:val="007132B9"/>
    <w:rsid w:val="0071337C"/>
    <w:rsid w:val="0071339C"/>
    <w:rsid w:val="007134E4"/>
    <w:rsid w:val="007135CA"/>
    <w:rsid w:val="00713661"/>
    <w:rsid w:val="00713693"/>
    <w:rsid w:val="007136A2"/>
    <w:rsid w:val="00713800"/>
    <w:rsid w:val="00713848"/>
    <w:rsid w:val="0071396E"/>
    <w:rsid w:val="00713A35"/>
    <w:rsid w:val="00713B07"/>
    <w:rsid w:val="00713B84"/>
    <w:rsid w:val="00713BB7"/>
    <w:rsid w:val="00713C71"/>
    <w:rsid w:val="00713CD9"/>
    <w:rsid w:val="00713D20"/>
    <w:rsid w:val="00713F41"/>
    <w:rsid w:val="00714036"/>
    <w:rsid w:val="007140CE"/>
    <w:rsid w:val="00714110"/>
    <w:rsid w:val="0071435A"/>
    <w:rsid w:val="0071445F"/>
    <w:rsid w:val="0071465B"/>
    <w:rsid w:val="007146FA"/>
    <w:rsid w:val="007147DB"/>
    <w:rsid w:val="00714AF4"/>
    <w:rsid w:val="00714B61"/>
    <w:rsid w:val="00714B8C"/>
    <w:rsid w:val="00714D51"/>
    <w:rsid w:val="007153AD"/>
    <w:rsid w:val="00715486"/>
    <w:rsid w:val="007157BA"/>
    <w:rsid w:val="00715A2A"/>
    <w:rsid w:val="00715D59"/>
    <w:rsid w:val="00715E66"/>
    <w:rsid w:val="00715F37"/>
    <w:rsid w:val="00715FE7"/>
    <w:rsid w:val="007161BA"/>
    <w:rsid w:val="00716270"/>
    <w:rsid w:val="007166C9"/>
    <w:rsid w:val="007167AB"/>
    <w:rsid w:val="00716974"/>
    <w:rsid w:val="00716AFB"/>
    <w:rsid w:val="00716DD0"/>
    <w:rsid w:val="00717111"/>
    <w:rsid w:val="007175C8"/>
    <w:rsid w:val="0071765A"/>
    <w:rsid w:val="007177C4"/>
    <w:rsid w:val="0071783D"/>
    <w:rsid w:val="00717858"/>
    <w:rsid w:val="00717911"/>
    <w:rsid w:val="007179BA"/>
    <w:rsid w:val="007179CB"/>
    <w:rsid w:val="00717BEC"/>
    <w:rsid w:val="00717CAF"/>
    <w:rsid w:val="00717ECB"/>
    <w:rsid w:val="00717F38"/>
    <w:rsid w:val="00720145"/>
    <w:rsid w:val="00720384"/>
    <w:rsid w:val="007203BF"/>
    <w:rsid w:val="007205B1"/>
    <w:rsid w:val="007206FD"/>
    <w:rsid w:val="007209F1"/>
    <w:rsid w:val="00720BFD"/>
    <w:rsid w:val="00720C24"/>
    <w:rsid w:val="00720D0C"/>
    <w:rsid w:val="00720E29"/>
    <w:rsid w:val="00720FDB"/>
    <w:rsid w:val="007210A6"/>
    <w:rsid w:val="007210D3"/>
    <w:rsid w:val="0072116E"/>
    <w:rsid w:val="0072131A"/>
    <w:rsid w:val="007213F2"/>
    <w:rsid w:val="007216D1"/>
    <w:rsid w:val="007217AB"/>
    <w:rsid w:val="007217F1"/>
    <w:rsid w:val="007217FB"/>
    <w:rsid w:val="0072188F"/>
    <w:rsid w:val="007219A9"/>
    <w:rsid w:val="00721D8B"/>
    <w:rsid w:val="00722083"/>
    <w:rsid w:val="0072210B"/>
    <w:rsid w:val="00722129"/>
    <w:rsid w:val="0072224D"/>
    <w:rsid w:val="00722613"/>
    <w:rsid w:val="00722747"/>
    <w:rsid w:val="0072281B"/>
    <w:rsid w:val="007228C0"/>
    <w:rsid w:val="00722957"/>
    <w:rsid w:val="00722C83"/>
    <w:rsid w:val="00722D03"/>
    <w:rsid w:val="00722F19"/>
    <w:rsid w:val="00722FA9"/>
    <w:rsid w:val="00722FDA"/>
    <w:rsid w:val="007230C2"/>
    <w:rsid w:val="00723441"/>
    <w:rsid w:val="007234E2"/>
    <w:rsid w:val="00723556"/>
    <w:rsid w:val="007237E8"/>
    <w:rsid w:val="00723818"/>
    <w:rsid w:val="0072381A"/>
    <w:rsid w:val="00723867"/>
    <w:rsid w:val="00723B68"/>
    <w:rsid w:val="00723C44"/>
    <w:rsid w:val="00723E7A"/>
    <w:rsid w:val="00723F96"/>
    <w:rsid w:val="007241B2"/>
    <w:rsid w:val="00724460"/>
    <w:rsid w:val="007245E5"/>
    <w:rsid w:val="00724970"/>
    <w:rsid w:val="007249AC"/>
    <w:rsid w:val="00724A03"/>
    <w:rsid w:val="00724AD5"/>
    <w:rsid w:val="00724C2D"/>
    <w:rsid w:val="00724C9A"/>
    <w:rsid w:val="00724DEA"/>
    <w:rsid w:val="00724E60"/>
    <w:rsid w:val="00724E7C"/>
    <w:rsid w:val="00724ED7"/>
    <w:rsid w:val="00724F85"/>
    <w:rsid w:val="00725025"/>
    <w:rsid w:val="00725037"/>
    <w:rsid w:val="00725118"/>
    <w:rsid w:val="00725295"/>
    <w:rsid w:val="00725323"/>
    <w:rsid w:val="007253CB"/>
    <w:rsid w:val="007253EF"/>
    <w:rsid w:val="007254A7"/>
    <w:rsid w:val="007254F4"/>
    <w:rsid w:val="0072560B"/>
    <w:rsid w:val="00725619"/>
    <w:rsid w:val="00725802"/>
    <w:rsid w:val="00725A0B"/>
    <w:rsid w:val="00725A80"/>
    <w:rsid w:val="00725D32"/>
    <w:rsid w:val="00725E08"/>
    <w:rsid w:val="00725E52"/>
    <w:rsid w:val="00726048"/>
    <w:rsid w:val="007264D9"/>
    <w:rsid w:val="00726532"/>
    <w:rsid w:val="007265BE"/>
    <w:rsid w:val="007266EB"/>
    <w:rsid w:val="00726718"/>
    <w:rsid w:val="0072672B"/>
    <w:rsid w:val="00726753"/>
    <w:rsid w:val="00726ABC"/>
    <w:rsid w:val="00726C7A"/>
    <w:rsid w:val="00726D64"/>
    <w:rsid w:val="00726E11"/>
    <w:rsid w:val="00726E29"/>
    <w:rsid w:val="00726F01"/>
    <w:rsid w:val="0072701A"/>
    <w:rsid w:val="00727127"/>
    <w:rsid w:val="00727138"/>
    <w:rsid w:val="0072743F"/>
    <w:rsid w:val="007274A9"/>
    <w:rsid w:val="007275F2"/>
    <w:rsid w:val="00727688"/>
    <w:rsid w:val="007276CF"/>
    <w:rsid w:val="007277A4"/>
    <w:rsid w:val="00727806"/>
    <w:rsid w:val="00727AA8"/>
    <w:rsid w:val="00727B85"/>
    <w:rsid w:val="00727BA5"/>
    <w:rsid w:val="00727C5F"/>
    <w:rsid w:val="00727CFE"/>
    <w:rsid w:val="00727DA2"/>
    <w:rsid w:val="0072B3E9"/>
    <w:rsid w:val="0072C85D"/>
    <w:rsid w:val="007300CF"/>
    <w:rsid w:val="00730357"/>
    <w:rsid w:val="00730422"/>
    <w:rsid w:val="007307F9"/>
    <w:rsid w:val="00730910"/>
    <w:rsid w:val="00730A16"/>
    <w:rsid w:val="00730A1F"/>
    <w:rsid w:val="00730B5C"/>
    <w:rsid w:val="00730DA2"/>
    <w:rsid w:val="00730E7D"/>
    <w:rsid w:val="00730F52"/>
    <w:rsid w:val="0073112E"/>
    <w:rsid w:val="00731196"/>
    <w:rsid w:val="0073125E"/>
    <w:rsid w:val="00731313"/>
    <w:rsid w:val="0073133F"/>
    <w:rsid w:val="007313D0"/>
    <w:rsid w:val="00731456"/>
    <w:rsid w:val="007314E7"/>
    <w:rsid w:val="007317AA"/>
    <w:rsid w:val="0073183B"/>
    <w:rsid w:val="007318BF"/>
    <w:rsid w:val="00731AD0"/>
    <w:rsid w:val="00731B05"/>
    <w:rsid w:val="00731B5F"/>
    <w:rsid w:val="00731B8F"/>
    <w:rsid w:val="00731C6D"/>
    <w:rsid w:val="00731EA5"/>
    <w:rsid w:val="00731EBF"/>
    <w:rsid w:val="00731FE5"/>
    <w:rsid w:val="00732041"/>
    <w:rsid w:val="00732066"/>
    <w:rsid w:val="0073215A"/>
    <w:rsid w:val="007321E2"/>
    <w:rsid w:val="00732219"/>
    <w:rsid w:val="0073231A"/>
    <w:rsid w:val="007323A7"/>
    <w:rsid w:val="00732451"/>
    <w:rsid w:val="007325D8"/>
    <w:rsid w:val="007326BD"/>
    <w:rsid w:val="00732C94"/>
    <w:rsid w:val="00732E1E"/>
    <w:rsid w:val="00732F9A"/>
    <w:rsid w:val="0073308B"/>
    <w:rsid w:val="007330CD"/>
    <w:rsid w:val="00733167"/>
    <w:rsid w:val="00733226"/>
    <w:rsid w:val="007339F9"/>
    <w:rsid w:val="00733AA8"/>
    <w:rsid w:val="00733BA9"/>
    <w:rsid w:val="00733BFE"/>
    <w:rsid w:val="00733F9E"/>
    <w:rsid w:val="00733FEC"/>
    <w:rsid w:val="00734374"/>
    <w:rsid w:val="00734402"/>
    <w:rsid w:val="00734B20"/>
    <w:rsid w:val="00734C79"/>
    <w:rsid w:val="00734CA4"/>
    <w:rsid w:val="00734DE6"/>
    <w:rsid w:val="00734E90"/>
    <w:rsid w:val="00734EF6"/>
    <w:rsid w:val="00734FE8"/>
    <w:rsid w:val="00735390"/>
    <w:rsid w:val="00735398"/>
    <w:rsid w:val="00735536"/>
    <w:rsid w:val="0073553C"/>
    <w:rsid w:val="00735667"/>
    <w:rsid w:val="007356B1"/>
    <w:rsid w:val="00735899"/>
    <w:rsid w:val="0073594E"/>
    <w:rsid w:val="00735966"/>
    <w:rsid w:val="0073597A"/>
    <w:rsid w:val="00735999"/>
    <w:rsid w:val="00735B22"/>
    <w:rsid w:val="00735BFE"/>
    <w:rsid w:val="00735E05"/>
    <w:rsid w:val="00736020"/>
    <w:rsid w:val="00736062"/>
    <w:rsid w:val="0073633E"/>
    <w:rsid w:val="00736531"/>
    <w:rsid w:val="007365D6"/>
    <w:rsid w:val="00736642"/>
    <w:rsid w:val="00736647"/>
    <w:rsid w:val="00736685"/>
    <w:rsid w:val="007366E1"/>
    <w:rsid w:val="00736800"/>
    <w:rsid w:val="007368A7"/>
    <w:rsid w:val="007368E3"/>
    <w:rsid w:val="007368FE"/>
    <w:rsid w:val="0073693C"/>
    <w:rsid w:val="00736B65"/>
    <w:rsid w:val="00736B70"/>
    <w:rsid w:val="00736D64"/>
    <w:rsid w:val="007370A7"/>
    <w:rsid w:val="00737237"/>
    <w:rsid w:val="007372F8"/>
    <w:rsid w:val="0073768F"/>
    <w:rsid w:val="00737701"/>
    <w:rsid w:val="00737A9E"/>
    <w:rsid w:val="00737D5C"/>
    <w:rsid w:val="00740113"/>
    <w:rsid w:val="00740287"/>
    <w:rsid w:val="007403AB"/>
    <w:rsid w:val="00740452"/>
    <w:rsid w:val="007404FB"/>
    <w:rsid w:val="00740665"/>
    <w:rsid w:val="007406B4"/>
    <w:rsid w:val="007406E6"/>
    <w:rsid w:val="007407CF"/>
    <w:rsid w:val="00740825"/>
    <w:rsid w:val="00740890"/>
    <w:rsid w:val="007408B1"/>
    <w:rsid w:val="00740914"/>
    <w:rsid w:val="00740B12"/>
    <w:rsid w:val="00740B25"/>
    <w:rsid w:val="00740CAD"/>
    <w:rsid w:val="00740DBF"/>
    <w:rsid w:val="00740F29"/>
    <w:rsid w:val="00741009"/>
    <w:rsid w:val="00741269"/>
    <w:rsid w:val="00741279"/>
    <w:rsid w:val="007412D7"/>
    <w:rsid w:val="00741525"/>
    <w:rsid w:val="0074159D"/>
    <w:rsid w:val="0074168A"/>
    <w:rsid w:val="00741766"/>
    <w:rsid w:val="007417A4"/>
    <w:rsid w:val="007417BD"/>
    <w:rsid w:val="00741841"/>
    <w:rsid w:val="0074189F"/>
    <w:rsid w:val="00741BCE"/>
    <w:rsid w:val="00741BD9"/>
    <w:rsid w:val="00741C49"/>
    <w:rsid w:val="00741EC1"/>
    <w:rsid w:val="00742077"/>
    <w:rsid w:val="0074216A"/>
    <w:rsid w:val="0074218D"/>
    <w:rsid w:val="0074256C"/>
    <w:rsid w:val="007425DB"/>
    <w:rsid w:val="00742674"/>
    <w:rsid w:val="007426E7"/>
    <w:rsid w:val="00742716"/>
    <w:rsid w:val="00742760"/>
    <w:rsid w:val="0074298A"/>
    <w:rsid w:val="007429CC"/>
    <w:rsid w:val="00742A67"/>
    <w:rsid w:val="00742AA9"/>
    <w:rsid w:val="00742CB5"/>
    <w:rsid w:val="00742D88"/>
    <w:rsid w:val="00742D94"/>
    <w:rsid w:val="00742E5C"/>
    <w:rsid w:val="00742EA9"/>
    <w:rsid w:val="00742EC5"/>
    <w:rsid w:val="007431E9"/>
    <w:rsid w:val="00743398"/>
    <w:rsid w:val="0074342A"/>
    <w:rsid w:val="00743482"/>
    <w:rsid w:val="00743672"/>
    <w:rsid w:val="007436BB"/>
    <w:rsid w:val="00743714"/>
    <w:rsid w:val="00743B94"/>
    <w:rsid w:val="00743BAB"/>
    <w:rsid w:val="00743BE9"/>
    <w:rsid w:val="00743C5D"/>
    <w:rsid w:val="00743F51"/>
    <w:rsid w:val="00743FD9"/>
    <w:rsid w:val="0074406D"/>
    <w:rsid w:val="00744092"/>
    <w:rsid w:val="007440F0"/>
    <w:rsid w:val="007441AA"/>
    <w:rsid w:val="0074444E"/>
    <w:rsid w:val="00744724"/>
    <w:rsid w:val="0074475D"/>
    <w:rsid w:val="00744784"/>
    <w:rsid w:val="00744967"/>
    <w:rsid w:val="00744B53"/>
    <w:rsid w:val="00744C43"/>
    <w:rsid w:val="00744DDC"/>
    <w:rsid w:val="007450F0"/>
    <w:rsid w:val="00745199"/>
    <w:rsid w:val="00745311"/>
    <w:rsid w:val="0074552E"/>
    <w:rsid w:val="00745699"/>
    <w:rsid w:val="0074570D"/>
    <w:rsid w:val="0074573D"/>
    <w:rsid w:val="007457C2"/>
    <w:rsid w:val="0074599B"/>
    <w:rsid w:val="007459F8"/>
    <w:rsid w:val="00745A4D"/>
    <w:rsid w:val="00745BEC"/>
    <w:rsid w:val="00745D44"/>
    <w:rsid w:val="00745D9F"/>
    <w:rsid w:val="00745DC4"/>
    <w:rsid w:val="00745F47"/>
    <w:rsid w:val="00745FAA"/>
    <w:rsid w:val="007461C5"/>
    <w:rsid w:val="00746209"/>
    <w:rsid w:val="0074670A"/>
    <w:rsid w:val="00746E8E"/>
    <w:rsid w:val="007471A6"/>
    <w:rsid w:val="00747463"/>
    <w:rsid w:val="007474DC"/>
    <w:rsid w:val="00747A86"/>
    <w:rsid w:val="00747AAD"/>
    <w:rsid w:val="00747B75"/>
    <w:rsid w:val="00747B9C"/>
    <w:rsid w:val="00747F6D"/>
    <w:rsid w:val="0075009E"/>
    <w:rsid w:val="007500AA"/>
    <w:rsid w:val="0075028E"/>
    <w:rsid w:val="0075043D"/>
    <w:rsid w:val="007505E0"/>
    <w:rsid w:val="007505FC"/>
    <w:rsid w:val="00750661"/>
    <w:rsid w:val="0075083E"/>
    <w:rsid w:val="007508A1"/>
    <w:rsid w:val="00750971"/>
    <w:rsid w:val="00750A76"/>
    <w:rsid w:val="00750B0D"/>
    <w:rsid w:val="00750C76"/>
    <w:rsid w:val="00750D84"/>
    <w:rsid w:val="00750EA6"/>
    <w:rsid w:val="0075104E"/>
    <w:rsid w:val="00751257"/>
    <w:rsid w:val="007513C5"/>
    <w:rsid w:val="007515D9"/>
    <w:rsid w:val="007516A9"/>
    <w:rsid w:val="00751757"/>
    <w:rsid w:val="007517E7"/>
    <w:rsid w:val="0075188F"/>
    <w:rsid w:val="0075197B"/>
    <w:rsid w:val="00751A58"/>
    <w:rsid w:val="00751AFB"/>
    <w:rsid w:val="00751BE1"/>
    <w:rsid w:val="00751F88"/>
    <w:rsid w:val="00752022"/>
    <w:rsid w:val="00752555"/>
    <w:rsid w:val="00752704"/>
    <w:rsid w:val="0075289D"/>
    <w:rsid w:val="00752943"/>
    <w:rsid w:val="007529F3"/>
    <w:rsid w:val="00752D47"/>
    <w:rsid w:val="00752F06"/>
    <w:rsid w:val="00752F7E"/>
    <w:rsid w:val="007531E0"/>
    <w:rsid w:val="00753533"/>
    <w:rsid w:val="00753722"/>
    <w:rsid w:val="00753868"/>
    <w:rsid w:val="00753988"/>
    <w:rsid w:val="00753AB0"/>
    <w:rsid w:val="00753B8F"/>
    <w:rsid w:val="00753E60"/>
    <w:rsid w:val="00754090"/>
    <w:rsid w:val="00754303"/>
    <w:rsid w:val="007544AC"/>
    <w:rsid w:val="00754534"/>
    <w:rsid w:val="0075469F"/>
    <w:rsid w:val="007546D3"/>
    <w:rsid w:val="00754852"/>
    <w:rsid w:val="00754956"/>
    <w:rsid w:val="00754BE1"/>
    <w:rsid w:val="00754E37"/>
    <w:rsid w:val="00754FD4"/>
    <w:rsid w:val="00755200"/>
    <w:rsid w:val="00755457"/>
    <w:rsid w:val="0075557A"/>
    <w:rsid w:val="00755791"/>
    <w:rsid w:val="007558BD"/>
    <w:rsid w:val="007558D8"/>
    <w:rsid w:val="00755A25"/>
    <w:rsid w:val="00755AB6"/>
    <w:rsid w:val="00755C26"/>
    <w:rsid w:val="00755CA7"/>
    <w:rsid w:val="00755E5D"/>
    <w:rsid w:val="007561CA"/>
    <w:rsid w:val="007564CB"/>
    <w:rsid w:val="007564FF"/>
    <w:rsid w:val="00756726"/>
    <w:rsid w:val="007567CB"/>
    <w:rsid w:val="00756C80"/>
    <w:rsid w:val="00756DF3"/>
    <w:rsid w:val="0075717A"/>
    <w:rsid w:val="0075743C"/>
    <w:rsid w:val="007574BA"/>
    <w:rsid w:val="007574EE"/>
    <w:rsid w:val="007574FC"/>
    <w:rsid w:val="00757653"/>
    <w:rsid w:val="0075796A"/>
    <w:rsid w:val="007579F1"/>
    <w:rsid w:val="00757A1C"/>
    <w:rsid w:val="00757B55"/>
    <w:rsid w:val="00757DE5"/>
    <w:rsid w:val="00757E4A"/>
    <w:rsid w:val="00757EC0"/>
    <w:rsid w:val="00757F86"/>
    <w:rsid w:val="00757FAD"/>
    <w:rsid w:val="007600F6"/>
    <w:rsid w:val="00760262"/>
    <w:rsid w:val="007606ED"/>
    <w:rsid w:val="00760700"/>
    <w:rsid w:val="00760843"/>
    <w:rsid w:val="00760878"/>
    <w:rsid w:val="00760A16"/>
    <w:rsid w:val="00760A3A"/>
    <w:rsid w:val="00760ABF"/>
    <w:rsid w:val="00760ADA"/>
    <w:rsid w:val="00760D65"/>
    <w:rsid w:val="00760F95"/>
    <w:rsid w:val="007610A0"/>
    <w:rsid w:val="007611EF"/>
    <w:rsid w:val="00761362"/>
    <w:rsid w:val="00761381"/>
    <w:rsid w:val="00761590"/>
    <w:rsid w:val="00761672"/>
    <w:rsid w:val="007619FF"/>
    <w:rsid w:val="0076207E"/>
    <w:rsid w:val="007620D8"/>
    <w:rsid w:val="00762104"/>
    <w:rsid w:val="0076218E"/>
    <w:rsid w:val="00762232"/>
    <w:rsid w:val="0076250A"/>
    <w:rsid w:val="0076258A"/>
    <w:rsid w:val="007626B4"/>
    <w:rsid w:val="00762A00"/>
    <w:rsid w:val="00762B6C"/>
    <w:rsid w:val="00762C74"/>
    <w:rsid w:val="00762D73"/>
    <w:rsid w:val="00762F34"/>
    <w:rsid w:val="00762FDC"/>
    <w:rsid w:val="007632A3"/>
    <w:rsid w:val="007632E5"/>
    <w:rsid w:val="0076346C"/>
    <w:rsid w:val="00763703"/>
    <w:rsid w:val="007637D1"/>
    <w:rsid w:val="0076383E"/>
    <w:rsid w:val="007638F7"/>
    <w:rsid w:val="00763A3E"/>
    <w:rsid w:val="00763BFB"/>
    <w:rsid w:val="00763C6D"/>
    <w:rsid w:val="00763DF1"/>
    <w:rsid w:val="00763ED9"/>
    <w:rsid w:val="007641D2"/>
    <w:rsid w:val="00764813"/>
    <w:rsid w:val="00764A16"/>
    <w:rsid w:val="00765174"/>
    <w:rsid w:val="00765188"/>
    <w:rsid w:val="00765218"/>
    <w:rsid w:val="0076537C"/>
    <w:rsid w:val="0076562C"/>
    <w:rsid w:val="00765788"/>
    <w:rsid w:val="00765939"/>
    <w:rsid w:val="00765A68"/>
    <w:rsid w:val="00765AEC"/>
    <w:rsid w:val="00765B76"/>
    <w:rsid w:val="00765C13"/>
    <w:rsid w:val="00765C2D"/>
    <w:rsid w:val="00765C41"/>
    <w:rsid w:val="00766037"/>
    <w:rsid w:val="007660BC"/>
    <w:rsid w:val="00766164"/>
    <w:rsid w:val="007661D2"/>
    <w:rsid w:val="00766246"/>
    <w:rsid w:val="00766370"/>
    <w:rsid w:val="007663D6"/>
    <w:rsid w:val="00766580"/>
    <w:rsid w:val="007665AC"/>
    <w:rsid w:val="00766837"/>
    <w:rsid w:val="00766992"/>
    <w:rsid w:val="00766ABE"/>
    <w:rsid w:val="00766B3D"/>
    <w:rsid w:val="00766C15"/>
    <w:rsid w:val="00766C87"/>
    <w:rsid w:val="00766CB5"/>
    <w:rsid w:val="007670D0"/>
    <w:rsid w:val="00767360"/>
    <w:rsid w:val="007676EF"/>
    <w:rsid w:val="00767797"/>
    <w:rsid w:val="00767830"/>
    <w:rsid w:val="00767A8B"/>
    <w:rsid w:val="00767A9F"/>
    <w:rsid w:val="00767B2A"/>
    <w:rsid w:val="00767B6A"/>
    <w:rsid w:val="00767C08"/>
    <w:rsid w:val="00767C90"/>
    <w:rsid w:val="00767DBB"/>
    <w:rsid w:val="00767E5E"/>
    <w:rsid w:val="00767F7D"/>
    <w:rsid w:val="00767FD2"/>
    <w:rsid w:val="00767FDA"/>
    <w:rsid w:val="00770017"/>
    <w:rsid w:val="00770128"/>
    <w:rsid w:val="00770211"/>
    <w:rsid w:val="00770440"/>
    <w:rsid w:val="007705A9"/>
    <w:rsid w:val="007705D4"/>
    <w:rsid w:val="0077098D"/>
    <w:rsid w:val="00770B74"/>
    <w:rsid w:val="00770C61"/>
    <w:rsid w:val="00770D24"/>
    <w:rsid w:val="00770D6F"/>
    <w:rsid w:val="00770E5C"/>
    <w:rsid w:val="00771215"/>
    <w:rsid w:val="007714A5"/>
    <w:rsid w:val="00771557"/>
    <w:rsid w:val="007717B3"/>
    <w:rsid w:val="007717FA"/>
    <w:rsid w:val="00771A6B"/>
    <w:rsid w:val="00771AF3"/>
    <w:rsid w:val="00771B75"/>
    <w:rsid w:val="00771C52"/>
    <w:rsid w:val="00771D48"/>
    <w:rsid w:val="00771E6E"/>
    <w:rsid w:val="00771F00"/>
    <w:rsid w:val="007720A4"/>
    <w:rsid w:val="00772280"/>
    <w:rsid w:val="00772309"/>
    <w:rsid w:val="00772334"/>
    <w:rsid w:val="00772541"/>
    <w:rsid w:val="007725EB"/>
    <w:rsid w:val="0077271F"/>
    <w:rsid w:val="00772777"/>
    <w:rsid w:val="007727B1"/>
    <w:rsid w:val="007727B4"/>
    <w:rsid w:val="007729A5"/>
    <w:rsid w:val="007729EA"/>
    <w:rsid w:val="00772A6D"/>
    <w:rsid w:val="00772C11"/>
    <w:rsid w:val="00772C85"/>
    <w:rsid w:val="00773014"/>
    <w:rsid w:val="00773074"/>
    <w:rsid w:val="00773096"/>
    <w:rsid w:val="00773137"/>
    <w:rsid w:val="0077314C"/>
    <w:rsid w:val="007735E1"/>
    <w:rsid w:val="0077361A"/>
    <w:rsid w:val="007736C7"/>
    <w:rsid w:val="0077378A"/>
    <w:rsid w:val="00773859"/>
    <w:rsid w:val="007739CE"/>
    <w:rsid w:val="00773D75"/>
    <w:rsid w:val="00773E2F"/>
    <w:rsid w:val="00773E34"/>
    <w:rsid w:val="00774453"/>
    <w:rsid w:val="007747FF"/>
    <w:rsid w:val="00774C11"/>
    <w:rsid w:val="00774DC4"/>
    <w:rsid w:val="00774ED2"/>
    <w:rsid w:val="00774EEC"/>
    <w:rsid w:val="00774F7C"/>
    <w:rsid w:val="00774F98"/>
    <w:rsid w:val="00774FD3"/>
    <w:rsid w:val="00775004"/>
    <w:rsid w:val="00775088"/>
    <w:rsid w:val="00775158"/>
    <w:rsid w:val="007752BB"/>
    <w:rsid w:val="007753E7"/>
    <w:rsid w:val="0077547B"/>
    <w:rsid w:val="00775708"/>
    <w:rsid w:val="00775941"/>
    <w:rsid w:val="007759EF"/>
    <w:rsid w:val="00775B1A"/>
    <w:rsid w:val="00775CB0"/>
    <w:rsid w:val="00775E10"/>
    <w:rsid w:val="00775E1F"/>
    <w:rsid w:val="00775F9C"/>
    <w:rsid w:val="00775FC0"/>
    <w:rsid w:val="00776043"/>
    <w:rsid w:val="007760D6"/>
    <w:rsid w:val="007762A4"/>
    <w:rsid w:val="00776330"/>
    <w:rsid w:val="00776449"/>
    <w:rsid w:val="00776547"/>
    <w:rsid w:val="00776682"/>
    <w:rsid w:val="00776732"/>
    <w:rsid w:val="00776746"/>
    <w:rsid w:val="00776AE2"/>
    <w:rsid w:val="00776B0D"/>
    <w:rsid w:val="00776B0F"/>
    <w:rsid w:val="00776C5A"/>
    <w:rsid w:val="00776C61"/>
    <w:rsid w:val="00776DDE"/>
    <w:rsid w:val="00776F20"/>
    <w:rsid w:val="007771AB"/>
    <w:rsid w:val="007772B9"/>
    <w:rsid w:val="0077755B"/>
    <w:rsid w:val="0077773B"/>
    <w:rsid w:val="00777760"/>
    <w:rsid w:val="00777772"/>
    <w:rsid w:val="007777B0"/>
    <w:rsid w:val="007778AA"/>
    <w:rsid w:val="00777A8E"/>
    <w:rsid w:val="00777B3A"/>
    <w:rsid w:val="00777C47"/>
    <w:rsid w:val="00777CC7"/>
    <w:rsid w:val="00777D5A"/>
    <w:rsid w:val="00777DE5"/>
    <w:rsid w:val="00780147"/>
    <w:rsid w:val="00780148"/>
    <w:rsid w:val="0078014F"/>
    <w:rsid w:val="007804D2"/>
    <w:rsid w:val="0078055F"/>
    <w:rsid w:val="007805A0"/>
    <w:rsid w:val="00780620"/>
    <w:rsid w:val="00780641"/>
    <w:rsid w:val="00780758"/>
    <w:rsid w:val="007807A8"/>
    <w:rsid w:val="00780A76"/>
    <w:rsid w:val="00780AD0"/>
    <w:rsid w:val="00780C1A"/>
    <w:rsid w:val="00780CD6"/>
    <w:rsid w:val="00780D26"/>
    <w:rsid w:val="00780DC1"/>
    <w:rsid w:val="00780E2D"/>
    <w:rsid w:val="00781021"/>
    <w:rsid w:val="007811C4"/>
    <w:rsid w:val="007811EC"/>
    <w:rsid w:val="00781280"/>
    <w:rsid w:val="007812F6"/>
    <w:rsid w:val="00781785"/>
    <w:rsid w:val="00781896"/>
    <w:rsid w:val="0078192A"/>
    <w:rsid w:val="007819D2"/>
    <w:rsid w:val="007819F5"/>
    <w:rsid w:val="00781BA6"/>
    <w:rsid w:val="00781BFF"/>
    <w:rsid w:val="00781E09"/>
    <w:rsid w:val="00781E86"/>
    <w:rsid w:val="00781E89"/>
    <w:rsid w:val="007821D0"/>
    <w:rsid w:val="0078237F"/>
    <w:rsid w:val="00782396"/>
    <w:rsid w:val="00782398"/>
    <w:rsid w:val="0078262F"/>
    <w:rsid w:val="007829CA"/>
    <w:rsid w:val="00782B59"/>
    <w:rsid w:val="00782C97"/>
    <w:rsid w:val="00782CB9"/>
    <w:rsid w:val="00782D68"/>
    <w:rsid w:val="00782F0A"/>
    <w:rsid w:val="00783078"/>
    <w:rsid w:val="007830B5"/>
    <w:rsid w:val="007832C4"/>
    <w:rsid w:val="00783570"/>
    <w:rsid w:val="00783893"/>
    <w:rsid w:val="00783A2F"/>
    <w:rsid w:val="00783AA6"/>
    <w:rsid w:val="00783D1D"/>
    <w:rsid w:val="00783DA2"/>
    <w:rsid w:val="00783E22"/>
    <w:rsid w:val="00784433"/>
    <w:rsid w:val="00784484"/>
    <w:rsid w:val="007844F7"/>
    <w:rsid w:val="007846A3"/>
    <w:rsid w:val="00784719"/>
    <w:rsid w:val="00784760"/>
    <w:rsid w:val="0078495C"/>
    <w:rsid w:val="00784984"/>
    <w:rsid w:val="00784985"/>
    <w:rsid w:val="00784BDE"/>
    <w:rsid w:val="00784C69"/>
    <w:rsid w:val="00784EA2"/>
    <w:rsid w:val="00785080"/>
    <w:rsid w:val="0078558D"/>
    <w:rsid w:val="007856F2"/>
    <w:rsid w:val="007859D4"/>
    <w:rsid w:val="00785AD9"/>
    <w:rsid w:val="00785BAF"/>
    <w:rsid w:val="00785BCE"/>
    <w:rsid w:val="00785D24"/>
    <w:rsid w:val="00785D6D"/>
    <w:rsid w:val="00785DD2"/>
    <w:rsid w:val="00785F8E"/>
    <w:rsid w:val="00786087"/>
    <w:rsid w:val="007860E5"/>
    <w:rsid w:val="007863AA"/>
    <w:rsid w:val="007863AF"/>
    <w:rsid w:val="007864BD"/>
    <w:rsid w:val="00786510"/>
    <w:rsid w:val="007865FD"/>
    <w:rsid w:val="0078674C"/>
    <w:rsid w:val="007867F8"/>
    <w:rsid w:val="007867FB"/>
    <w:rsid w:val="0078685B"/>
    <w:rsid w:val="007868C8"/>
    <w:rsid w:val="007869D8"/>
    <w:rsid w:val="00786ABF"/>
    <w:rsid w:val="00786CA2"/>
    <w:rsid w:val="00786DA5"/>
    <w:rsid w:val="00786F6A"/>
    <w:rsid w:val="00787019"/>
    <w:rsid w:val="00787030"/>
    <w:rsid w:val="00787223"/>
    <w:rsid w:val="0078722E"/>
    <w:rsid w:val="007873AC"/>
    <w:rsid w:val="007873C3"/>
    <w:rsid w:val="00787505"/>
    <w:rsid w:val="0078791F"/>
    <w:rsid w:val="00787922"/>
    <w:rsid w:val="00787992"/>
    <w:rsid w:val="00787A28"/>
    <w:rsid w:val="00787B51"/>
    <w:rsid w:val="00787C63"/>
    <w:rsid w:val="00787E0C"/>
    <w:rsid w:val="00787EC5"/>
    <w:rsid w:val="00787F48"/>
    <w:rsid w:val="00790084"/>
    <w:rsid w:val="007900AD"/>
    <w:rsid w:val="007902C4"/>
    <w:rsid w:val="007904BF"/>
    <w:rsid w:val="007904DD"/>
    <w:rsid w:val="00790599"/>
    <w:rsid w:val="007905D6"/>
    <w:rsid w:val="00790606"/>
    <w:rsid w:val="0079061E"/>
    <w:rsid w:val="00790653"/>
    <w:rsid w:val="007909A3"/>
    <w:rsid w:val="00790A21"/>
    <w:rsid w:val="00790B92"/>
    <w:rsid w:val="00790D57"/>
    <w:rsid w:val="00790DCB"/>
    <w:rsid w:val="00790FCC"/>
    <w:rsid w:val="00790FF3"/>
    <w:rsid w:val="00791047"/>
    <w:rsid w:val="007910EB"/>
    <w:rsid w:val="007910FB"/>
    <w:rsid w:val="00791140"/>
    <w:rsid w:val="007919A2"/>
    <w:rsid w:val="00791A55"/>
    <w:rsid w:val="00791AC4"/>
    <w:rsid w:val="00791BAA"/>
    <w:rsid w:val="00791CD3"/>
    <w:rsid w:val="00791D0F"/>
    <w:rsid w:val="00791E49"/>
    <w:rsid w:val="00791F90"/>
    <w:rsid w:val="00792504"/>
    <w:rsid w:val="0079260E"/>
    <w:rsid w:val="007926B9"/>
    <w:rsid w:val="007928D3"/>
    <w:rsid w:val="00792A7F"/>
    <w:rsid w:val="00792A9E"/>
    <w:rsid w:val="00792AA1"/>
    <w:rsid w:val="00792BF3"/>
    <w:rsid w:val="00792C96"/>
    <w:rsid w:val="00792F0A"/>
    <w:rsid w:val="007931ED"/>
    <w:rsid w:val="0079322A"/>
    <w:rsid w:val="007932F5"/>
    <w:rsid w:val="00793537"/>
    <w:rsid w:val="007935FB"/>
    <w:rsid w:val="0079385F"/>
    <w:rsid w:val="00793A03"/>
    <w:rsid w:val="00793ADB"/>
    <w:rsid w:val="00793B1A"/>
    <w:rsid w:val="00793C42"/>
    <w:rsid w:val="00793DEC"/>
    <w:rsid w:val="00793EA1"/>
    <w:rsid w:val="00793EF9"/>
    <w:rsid w:val="00793F70"/>
    <w:rsid w:val="00793FE2"/>
    <w:rsid w:val="007941C1"/>
    <w:rsid w:val="00794238"/>
    <w:rsid w:val="007942C1"/>
    <w:rsid w:val="00794339"/>
    <w:rsid w:val="007944AB"/>
    <w:rsid w:val="007944BB"/>
    <w:rsid w:val="00794587"/>
    <w:rsid w:val="0079466E"/>
    <w:rsid w:val="00794706"/>
    <w:rsid w:val="007947CB"/>
    <w:rsid w:val="00794890"/>
    <w:rsid w:val="007948D2"/>
    <w:rsid w:val="00794990"/>
    <w:rsid w:val="007949E9"/>
    <w:rsid w:val="00794A75"/>
    <w:rsid w:val="00794EBF"/>
    <w:rsid w:val="00795155"/>
    <w:rsid w:val="007953C9"/>
    <w:rsid w:val="0079544F"/>
    <w:rsid w:val="00795536"/>
    <w:rsid w:val="00795D63"/>
    <w:rsid w:val="00795DDB"/>
    <w:rsid w:val="00795E90"/>
    <w:rsid w:val="00795EA9"/>
    <w:rsid w:val="00796290"/>
    <w:rsid w:val="00796554"/>
    <w:rsid w:val="00796578"/>
    <w:rsid w:val="0079659B"/>
    <w:rsid w:val="007965EF"/>
    <w:rsid w:val="00796686"/>
    <w:rsid w:val="00796896"/>
    <w:rsid w:val="00796944"/>
    <w:rsid w:val="00796B55"/>
    <w:rsid w:val="00796B97"/>
    <w:rsid w:val="00796F7A"/>
    <w:rsid w:val="0079716C"/>
    <w:rsid w:val="007971ED"/>
    <w:rsid w:val="007973CE"/>
    <w:rsid w:val="00797672"/>
    <w:rsid w:val="007978D6"/>
    <w:rsid w:val="00797976"/>
    <w:rsid w:val="00797A1D"/>
    <w:rsid w:val="00797B6F"/>
    <w:rsid w:val="00797C29"/>
    <w:rsid w:val="00797EDB"/>
    <w:rsid w:val="00797FF6"/>
    <w:rsid w:val="007A0094"/>
    <w:rsid w:val="007A01A2"/>
    <w:rsid w:val="007A01AF"/>
    <w:rsid w:val="007A01EE"/>
    <w:rsid w:val="007A0334"/>
    <w:rsid w:val="007A07C3"/>
    <w:rsid w:val="007A084B"/>
    <w:rsid w:val="007A09A5"/>
    <w:rsid w:val="007A09F1"/>
    <w:rsid w:val="007A0A9F"/>
    <w:rsid w:val="007A0AD6"/>
    <w:rsid w:val="007A0AFC"/>
    <w:rsid w:val="007A0BA2"/>
    <w:rsid w:val="007A0DA1"/>
    <w:rsid w:val="007A0EF0"/>
    <w:rsid w:val="007A11E7"/>
    <w:rsid w:val="007A1254"/>
    <w:rsid w:val="007A1643"/>
    <w:rsid w:val="007A1658"/>
    <w:rsid w:val="007A1661"/>
    <w:rsid w:val="007A189C"/>
    <w:rsid w:val="007A1921"/>
    <w:rsid w:val="007A192A"/>
    <w:rsid w:val="007A1A11"/>
    <w:rsid w:val="007A1E13"/>
    <w:rsid w:val="007A2119"/>
    <w:rsid w:val="007A2271"/>
    <w:rsid w:val="007A24C9"/>
    <w:rsid w:val="007A26A2"/>
    <w:rsid w:val="007A26C6"/>
    <w:rsid w:val="007A2821"/>
    <w:rsid w:val="007A28E9"/>
    <w:rsid w:val="007A290B"/>
    <w:rsid w:val="007A2A0D"/>
    <w:rsid w:val="007A2E10"/>
    <w:rsid w:val="007A2E38"/>
    <w:rsid w:val="007A30AD"/>
    <w:rsid w:val="007A3125"/>
    <w:rsid w:val="007A3139"/>
    <w:rsid w:val="007A3262"/>
    <w:rsid w:val="007A328D"/>
    <w:rsid w:val="007A3349"/>
    <w:rsid w:val="007A33FD"/>
    <w:rsid w:val="007A3700"/>
    <w:rsid w:val="007A3791"/>
    <w:rsid w:val="007A38C4"/>
    <w:rsid w:val="007A38D2"/>
    <w:rsid w:val="007A3B17"/>
    <w:rsid w:val="007A3BBB"/>
    <w:rsid w:val="007A3BCC"/>
    <w:rsid w:val="007A3D82"/>
    <w:rsid w:val="007A3ECC"/>
    <w:rsid w:val="007A3F2A"/>
    <w:rsid w:val="007A3F2E"/>
    <w:rsid w:val="007A4031"/>
    <w:rsid w:val="007A4084"/>
    <w:rsid w:val="007A4108"/>
    <w:rsid w:val="007A4420"/>
    <w:rsid w:val="007A466D"/>
    <w:rsid w:val="007A479D"/>
    <w:rsid w:val="007A4855"/>
    <w:rsid w:val="007A4883"/>
    <w:rsid w:val="007A48DF"/>
    <w:rsid w:val="007A49C5"/>
    <w:rsid w:val="007A49F5"/>
    <w:rsid w:val="007A4B86"/>
    <w:rsid w:val="007A4BFC"/>
    <w:rsid w:val="007A50EB"/>
    <w:rsid w:val="007A51EA"/>
    <w:rsid w:val="007A5274"/>
    <w:rsid w:val="007A5307"/>
    <w:rsid w:val="007A53C0"/>
    <w:rsid w:val="007A5540"/>
    <w:rsid w:val="007A55C2"/>
    <w:rsid w:val="007A56FE"/>
    <w:rsid w:val="007A592A"/>
    <w:rsid w:val="007A596C"/>
    <w:rsid w:val="007A5A48"/>
    <w:rsid w:val="007A5E89"/>
    <w:rsid w:val="007A5EE5"/>
    <w:rsid w:val="007A6024"/>
    <w:rsid w:val="007A60B4"/>
    <w:rsid w:val="007A60EE"/>
    <w:rsid w:val="007A640A"/>
    <w:rsid w:val="007A664C"/>
    <w:rsid w:val="007A6884"/>
    <w:rsid w:val="007A6945"/>
    <w:rsid w:val="007A696B"/>
    <w:rsid w:val="007A7324"/>
    <w:rsid w:val="007A7382"/>
    <w:rsid w:val="007A7436"/>
    <w:rsid w:val="007A7571"/>
    <w:rsid w:val="007A75E9"/>
    <w:rsid w:val="007A7612"/>
    <w:rsid w:val="007A76CE"/>
    <w:rsid w:val="007A7712"/>
    <w:rsid w:val="007A7A6D"/>
    <w:rsid w:val="007A7A71"/>
    <w:rsid w:val="007A7A81"/>
    <w:rsid w:val="007A7A97"/>
    <w:rsid w:val="007A7CDD"/>
    <w:rsid w:val="007B0050"/>
    <w:rsid w:val="007B0286"/>
    <w:rsid w:val="007B0381"/>
    <w:rsid w:val="007B0419"/>
    <w:rsid w:val="007B04E8"/>
    <w:rsid w:val="007B0514"/>
    <w:rsid w:val="007B0615"/>
    <w:rsid w:val="007B06BB"/>
    <w:rsid w:val="007B0736"/>
    <w:rsid w:val="007B0844"/>
    <w:rsid w:val="007B091D"/>
    <w:rsid w:val="007B0950"/>
    <w:rsid w:val="007B0BF7"/>
    <w:rsid w:val="007B0C6B"/>
    <w:rsid w:val="007B0D29"/>
    <w:rsid w:val="007B0D34"/>
    <w:rsid w:val="007B0D68"/>
    <w:rsid w:val="007B0DFD"/>
    <w:rsid w:val="007B1007"/>
    <w:rsid w:val="007B133F"/>
    <w:rsid w:val="007B13D6"/>
    <w:rsid w:val="007B1428"/>
    <w:rsid w:val="007B142B"/>
    <w:rsid w:val="007B1468"/>
    <w:rsid w:val="007B1617"/>
    <w:rsid w:val="007B16A7"/>
    <w:rsid w:val="007B1AC5"/>
    <w:rsid w:val="007B1C62"/>
    <w:rsid w:val="007B1DDC"/>
    <w:rsid w:val="007B1E56"/>
    <w:rsid w:val="007B1EFF"/>
    <w:rsid w:val="007B1FF9"/>
    <w:rsid w:val="007B200D"/>
    <w:rsid w:val="007B2053"/>
    <w:rsid w:val="007B2072"/>
    <w:rsid w:val="007B2518"/>
    <w:rsid w:val="007B2574"/>
    <w:rsid w:val="007B2765"/>
    <w:rsid w:val="007B2864"/>
    <w:rsid w:val="007B28F6"/>
    <w:rsid w:val="007B29F7"/>
    <w:rsid w:val="007B2B2F"/>
    <w:rsid w:val="007B2CF1"/>
    <w:rsid w:val="007B2D1F"/>
    <w:rsid w:val="007B330F"/>
    <w:rsid w:val="007B345E"/>
    <w:rsid w:val="007B351A"/>
    <w:rsid w:val="007B35F7"/>
    <w:rsid w:val="007B3BA2"/>
    <w:rsid w:val="007B3C44"/>
    <w:rsid w:val="007B3EBE"/>
    <w:rsid w:val="007B41EB"/>
    <w:rsid w:val="007B42CF"/>
    <w:rsid w:val="007B42F9"/>
    <w:rsid w:val="007B43C4"/>
    <w:rsid w:val="007B4487"/>
    <w:rsid w:val="007B46E4"/>
    <w:rsid w:val="007B48A6"/>
    <w:rsid w:val="007B4943"/>
    <w:rsid w:val="007B4BC5"/>
    <w:rsid w:val="007B4D3B"/>
    <w:rsid w:val="007B4D58"/>
    <w:rsid w:val="007B4DED"/>
    <w:rsid w:val="007B4EB7"/>
    <w:rsid w:val="007B500F"/>
    <w:rsid w:val="007B5011"/>
    <w:rsid w:val="007B5049"/>
    <w:rsid w:val="007B52DB"/>
    <w:rsid w:val="007B5300"/>
    <w:rsid w:val="007B5407"/>
    <w:rsid w:val="007B546A"/>
    <w:rsid w:val="007B54BC"/>
    <w:rsid w:val="007B54E2"/>
    <w:rsid w:val="007B54EA"/>
    <w:rsid w:val="007B5598"/>
    <w:rsid w:val="007B580F"/>
    <w:rsid w:val="007B5ACC"/>
    <w:rsid w:val="007B5B10"/>
    <w:rsid w:val="007B5BB6"/>
    <w:rsid w:val="007B5D4D"/>
    <w:rsid w:val="007B5DED"/>
    <w:rsid w:val="007B5E5D"/>
    <w:rsid w:val="007B60C5"/>
    <w:rsid w:val="007B619E"/>
    <w:rsid w:val="007B627F"/>
    <w:rsid w:val="007B6299"/>
    <w:rsid w:val="007B65D9"/>
    <w:rsid w:val="007B66BF"/>
    <w:rsid w:val="007B6810"/>
    <w:rsid w:val="007B6865"/>
    <w:rsid w:val="007B6873"/>
    <w:rsid w:val="007B6931"/>
    <w:rsid w:val="007B6A22"/>
    <w:rsid w:val="007B6AD3"/>
    <w:rsid w:val="007B6BA4"/>
    <w:rsid w:val="007B6C3A"/>
    <w:rsid w:val="007B6D1E"/>
    <w:rsid w:val="007B6EDE"/>
    <w:rsid w:val="007B6F0D"/>
    <w:rsid w:val="007B719A"/>
    <w:rsid w:val="007B7281"/>
    <w:rsid w:val="007B7372"/>
    <w:rsid w:val="007B7465"/>
    <w:rsid w:val="007B76B0"/>
    <w:rsid w:val="007B7A1E"/>
    <w:rsid w:val="007B7A97"/>
    <w:rsid w:val="007B7B62"/>
    <w:rsid w:val="007B7B73"/>
    <w:rsid w:val="007B7BF0"/>
    <w:rsid w:val="007B7CDF"/>
    <w:rsid w:val="007B7DB5"/>
    <w:rsid w:val="007B7EA1"/>
    <w:rsid w:val="007B7F73"/>
    <w:rsid w:val="007C0100"/>
    <w:rsid w:val="007C0148"/>
    <w:rsid w:val="007C0150"/>
    <w:rsid w:val="007C01E1"/>
    <w:rsid w:val="007C02D0"/>
    <w:rsid w:val="007C0339"/>
    <w:rsid w:val="007C04E0"/>
    <w:rsid w:val="007C0548"/>
    <w:rsid w:val="007C0591"/>
    <w:rsid w:val="007C07E0"/>
    <w:rsid w:val="007C0861"/>
    <w:rsid w:val="007C08CE"/>
    <w:rsid w:val="007C092E"/>
    <w:rsid w:val="007C0A04"/>
    <w:rsid w:val="007C0B92"/>
    <w:rsid w:val="007C0D39"/>
    <w:rsid w:val="007C0F47"/>
    <w:rsid w:val="007C119E"/>
    <w:rsid w:val="007C129F"/>
    <w:rsid w:val="007C131C"/>
    <w:rsid w:val="007C139B"/>
    <w:rsid w:val="007C155C"/>
    <w:rsid w:val="007C18C4"/>
    <w:rsid w:val="007C1A92"/>
    <w:rsid w:val="007C1D0B"/>
    <w:rsid w:val="007C1D88"/>
    <w:rsid w:val="007C1E6A"/>
    <w:rsid w:val="007C1E6F"/>
    <w:rsid w:val="007C21EC"/>
    <w:rsid w:val="007C22B6"/>
    <w:rsid w:val="007C2354"/>
    <w:rsid w:val="007C2381"/>
    <w:rsid w:val="007C2419"/>
    <w:rsid w:val="007C26B8"/>
    <w:rsid w:val="007C27DA"/>
    <w:rsid w:val="007C289B"/>
    <w:rsid w:val="007C28ED"/>
    <w:rsid w:val="007C2A10"/>
    <w:rsid w:val="007C2CF7"/>
    <w:rsid w:val="007C2D76"/>
    <w:rsid w:val="007C31CE"/>
    <w:rsid w:val="007C31EC"/>
    <w:rsid w:val="007C332A"/>
    <w:rsid w:val="007C335A"/>
    <w:rsid w:val="007C3372"/>
    <w:rsid w:val="007C350C"/>
    <w:rsid w:val="007C35FE"/>
    <w:rsid w:val="007C36A5"/>
    <w:rsid w:val="007C36FA"/>
    <w:rsid w:val="007C37B3"/>
    <w:rsid w:val="007C3840"/>
    <w:rsid w:val="007C3B64"/>
    <w:rsid w:val="007C3EAE"/>
    <w:rsid w:val="007C3FB1"/>
    <w:rsid w:val="007C3FDB"/>
    <w:rsid w:val="007C40BC"/>
    <w:rsid w:val="007C4142"/>
    <w:rsid w:val="007C421F"/>
    <w:rsid w:val="007C422A"/>
    <w:rsid w:val="007C4297"/>
    <w:rsid w:val="007C438C"/>
    <w:rsid w:val="007C44D4"/>
    <w:rsid w:val="007C457C"/>
    <w:rsid w:val="007C47C4"/>
    <w:rsid w:val="007C4826"/>
    <w:rsid w:val="007C485E"/>
    <w:rsid w:val="007C493A"/>
    <w:rsid w:val="007C4ACA"/>
    <w:rsid w:val="007C4B57"/>
    <w:rsid w:val="007C4BAE"/>
    <w:rsid w:val="007C4C12"/>
    <w:rsid w:val="007C4CE3"/>
    <w:rsid w:val="007C5043"/>
    <w:rsid w:val="007C51D3"/>
    <w:rsid w:val="007C51FA"/>
    <w:rsid w:val="007C5200"/>
    <w:rsid w:val="007C52E4"/>
    <w:rsid w:val="007C53C8"/>
    <w:rsid w:val="007C54DC"/>
    <w:rsid w:val="007C57A8"/>
    <w:rsid w:val="007C5B4F"/>
    <w:rsid w:val="007C604D"/>
    <w:rsid w:val="007C607B"/>
    <w:rsid w:val="007C60F0"/>
    <w:rsid w:val="007C610B"/>
    <w:rsid w:val="007C6111"/>
    <w:rsid w:val="007C61EB"/>
    <w:rsid w:val="007C6226"/>
    <w:rsid w:val="007C6278"/>
    <w:rsid w:val="007C62B6"/>
    <w:rsid w:val="007C62C5"/>
    <w:rsid w:val="007C652D"/>
    <w:rsid w:val="007C659B"/>
    <w:rsid w:val="007C66BF"/>
    <w:rsid w:val="007C67FA"/>
    <w:rsid w:val="007C697E"/>
    <w:rsid w:val="007C6B57"/>
    <w:rsid w:val="007C6CD5"/>
    <w:rsid w:val="007C6E62"/>
    <w:rsid w:val="007C6EB6"/>
    <w:rsid w:val="007C6EC9"/>
    <w:rsid w:val="007C6F0F"/>
    <w:rsid w:val="007C7320"/>
    <w:rsid w:val="007C752D"/>
    <w:rsid w:val="007C75D0"/>
    <w:rsid w:val="007C76E8"/>
    <w:rsid w:val="007C7744"/>
    <w:rsid w:val="007C7A44"/>
    <w:rsid w:val="007C7A66"/>
    <w:rsid w:val="007C7D09"/>
    <w:rsid w:val="007C7DE2"/>
    <w:rsid w:val="007C7DE8"/>
    <w:rsid w:val="007C7F49"/>
    <w:rsid w:val="007D0118"/>
    <w:rsid w:val="007D055F"/>
    <w:rsid w:val="007D05A6"/>
    <w:rsid w:val="007D091B"/>
    <w:rsid w:val="007D0BED"/>
    <w:rsid w:val="007D0CE4"/>
    <w:rsid w:val="007D0CFA"/>
    <w:rsid w:val="007D0D56"/>
    <w:rsid w:val="007D0D86"/>
    <w:rsid w:val="007D0D8B"/>
    <w:rsid w:val="007D0F03"/>
    <w:rsid w:val="007D1190"/>
    <w:rsid w:val="007D1392"/>
    <w:rsid w:val="007D14CF"/>
    <w:rsid w:val="007D153A"/>
    <w:rsid w:val="007D1688"/>
    <w:rsid w:val="007D17B0"/>
    <w:rsid w:val="007D1830"/>
    <w:rsid w:val="007D1887"/>
    <w:rsid w:val="007D18B7"/>
    <w:rsid w:val="007D192D"/>
    <w:rsid w:val="007D1A56"/>
    <w:rsid w:val="007D1A82"/>
    <w:rsid w:val="007D1A9D"/>
    <w:rsid w:val="007D1BA1"/>
    <w:rsid w:val="007D1C22"/>
    <w:rsid w:val="007D1E11"/>
    <w:rsid w:val="007D1FC9"/>
    <w:rsid w:val="007D203A"/>
    <w:rsid w:val="007D217F"/>
    <w:rsid w:val="007D2222"/>
    <w:rsid w:val="007D22AA"/>
    <w:rsid w:val="007D22C5"/>
    <w:rsid w:val="007D235B"/>
    <w:rsid w:val="007D2519"/>
    <w:rsid w:val="007D26E8"/>
    <w:rsid w:val="007D2730"/>
    <w:rsid w:val="007D27DF"/>
    <w:rsid w:val="007D29C0"/>
    <w:rsid w:val="007D2A02"/>
    <w:rsid w:val="007D2AC3"/>
    <w:rsid w:val="007D2B04"/>
    <w:rsid w:val="007D2B20"/>
    <w:rsid w:val="007D2BF9"/>
    <w:rsid w:val="007D2C23"/>
    <w:rsid w:val="007D2CFA"/>
    <w:rsid w:val="007D2E83"/>
    <w:rsid w:val="007D3213"/>
    <w:rsid w:val="007D3338"/>
    <w:rsid w:val="007D3343"/>
    <w:rsid w:val="007D3358"/>
    <w:rsid w:val="007D33B4"/>
    <w:rsid w:val="007D34A9"/>
    <w:rsid w:val="007D370C"/>
    <w:rsid w:val="007D370E"/>
    <w:rsid w:val="007D37A8"/>
    <w:rsid w:val="007D38BA"/>
    <w:rsid w:val="007D3A7A"/>
    <w:rsid w:val="007D3C58"/>
    <w:rsid w:val="007D3F48"/>
    <w:rsid w:val="007D3F7E"/>
    <w:rsid w:val="007D3FC8"/>
    <w:rsid w:val="007D4023"/>
    <w:rsid w:val="007D402D"/>
    <w:rsid w:val="007D4088"/>
    <w:rsid w:val="007D4234"/>
    <w:rsid w:val="007D439A"/>
    <w:rsid w:val="007D4643"/>
    <w:rsid w:val="007D4844"/>
    <w:rsid w:val="007D4A99"/>
    <w:rsid w:val="007D4D18"/>
    <w:rsid w:val="007D4D4E"/>
    <w:rsid w:val="007D4E1C"/>
    <w:rsid w:val="007D4E7B"/>
    <w:rsid w:val="007D4EB7"/>
    <w:rsid w:val="007D4F36"/>
    <w:rsid w:val="007D4FCA"/>
    <w:rsid w:val="007D5168"/>
    <w:rsid w:val="007D51E5"/>
    <w:rsid w:val="007D51F1"/>
    <w:rsid w:val="007D5203"/>
    <w:rsid w:val="007D523B"/>
    <w:rsid w:val="007D530A"/>
    <w:rsid w:val="007D5470"/>
    <w:rsid w:val="007D54BD"/>
    <w:rsid w:val="007D573C"/>
    <w:rsid w:val="007D5746"/>
    <w:rsid w:val="007D5750"/>
    <w:rsid w:val="007D579E"/>
    <w:rsid w:val="007D5845"/>
    <w:rsid w:val="007D5C17"/>
    <w:rsid w:val="007D5D26"/>
    <w:rsid w:val="007D5E8A"/>
    <w:rsid w:val="007D6051"/>
    <w:rsid w:val="007D63E0"/>
    <w:rsid w:val="007D655F"/>
    <w:rsid w:val="007D66E7"/>
    <w:rsid w:val="007D66F6"/>
    <w:rsid w:val="007D678B"/>
    <w:rsid w:val="007D6B48"/>
    <w:rsid w:val="007D6B5B"/>
    <w:rsid w:val="007D6B97"/>
    <w:rsid w:val="007D6C51"/>
    <w:rsid w:val="007D6FBD"/>
    <w:rsid w:val="007D7054"/>
    <w:rsid w:val="007D7108"/>
    <w:rsid w:val="007D71D9"/>
    <w:rsid w:val="007D7560"/>
    <w:rsid w:val="007D76DF"/>
    <w:rsid w:val="007D7757"/>
    <w:rsid w:val="007D7775"/>
    <w:rsid w:val="007D77A9"/>
    <w:rsid w:val="007D78CD"/>
    <w:rsid w:val="007D7979"/>
    <w:rsid w:val="007D7D3A"/>
    <w:rsid w:val="007D7E5E"/>
    <w:rsid w:val="007D7F8B"/>
    <w:rsid w:val="007E0138"/>
    <w:rsid w:val="007E033F"/>
    <w:rsid w:val="007E03CA"/>
    <w:rsid w:val="007E050B"/>
    <w:rsid w:val="007E051A"/>
    <w:rsid w:val="007E0526"/>
    <w:rsid w:val="007E09D4"/>
    <w:rsid w:val="007E09F0"/>
    <w:rsid w:val="007E0BCB"/>
    <w:rsid w:val="007E0C5D"/>
    <w:rsid w:val="007E0CD3"/>
    <w:rsid w:val="007E0D2E"/>
    <w:rsid w:val="007E0F6E"/>
    <w:rsid w:val="007E1131"/>
    <w:rsid w:val="007E1195"/>
    <w:rsid w:val="007E11D3"/>
    <w:rsid w:val="007E11DA"/>
    <w:rsid w:val="007E1266"/>
    <w:rsid w:val="007E12C3"/>
    <w:rsid w:val="007E1338"/>
    <w:rsid w:val="007E1454"/>
    <w:rsid w:val="007E1781"/>
    <w:rsid w:val="007E17C1"/>
    <w:rsid w:val="007E185A"/>
    <w:rsid w:val="007E194B"/>
    <w:rsid w:val="007E1A87"/>
    <w:rsid w:val="007E1B84"/>
    <w:rsid w:val="007E1C95"/>
    <w:rsid w:val="007E1DA2"/>
    <w:rsid w:val="007E201F"/>
    <w:rsid w:val="007E2049"/>
    <w:rsid w:val="007E20FD"/>
    <w:rsid w:val="007E22FD"/>
    <w:rsid w:val="007E25B7"/>
    <w:rsid w:val="007E2830"/>
    <w:rsid w:val="007E2875"/>
    <w:rsid w:val="007E2A7D"/>
    <w:rsid w:val="007E2C51"/>
    <w:rsid w:val="007E2C57"/>
    <w:rsid w:val="007E2E77"/>
    <w:rsid w:val="007E3083"/>
    <w:rsid w:val="007E3178"/>
    <w:rsid w:val="007E32C8"/>
    <w:rsid w:val="007E32EA"/>
    <w:rsid w:val="007E352A"/>
    <w:rsid w:val="007E3639"/>
    <w:rsid w:val="007E369F"/>
    <w:rsid w:val="007E372D"/>
    <w:rsid w:val="007E39A9"/>
    <w:rsid w:val="007E3AF0"/>
    <w:rsid w:val="007E3C1D"/>
    <w:rsid w:val="007E3C95"/>
    <w:rsid w:val="007E3F4F"/>
    <w:rsid w:val="007E3FC4"/>
    <w:rsid w:val="007E4161"/>
    <w:rsid w:val="007E4166"/>
    <w:rsid w:val="007E4189"/>
    <w:rsid w:val="007E41F0"/>
    <w:rsid w:val="007E423A"/>
    <w:rsid w:val="007E4389"/>
    <w:rsid w:val="007E43BA"/>
    <w:rsid w:val="007E46FD"/>
    <w:rsid w:val="007E4726"/>
    <w:rsid w:val="007E4E0A"/>
    <w:rsid w:val="007E4E8A"/>
    <w:rsid w:val="007E50AF"/>
    <w:rsid w:val="007E5152"/>
    <w:rsid w:val="007E51B5"/>
    <w:rsid w:val="007E51E8"/>
    <w:rsid w:val="007E51EB"/>
    <w:rsid w:val="007E539C"/>
    <w:rsid w:val="007E5466"/>
    <w:rsid w:val="007E55C9"/>
    <w:rsid w:val="007E55CF"/>
    <w:rsid w:val="007E56B7"/>
    <w:rsid w:val="007E57D2"/>
    <w:rsid w:val="007E57E6"/>
    <w:rsid w:val="007E58C2"/>
    <w:rsid w:val="007E5A4D"/>
    <w:rsid w:val="007E5A92"/>
    <w:rsid w:val="007E5AEC"/>
    <w:rsid w:val="007E5B20"/>
    <w:rsid w:val="007E5CEA"/>
    <w:rsid w:val="007E5F39"/>
    <w:rsid w:val="007E5F92"/>
    <w:rsid w:val="007E604F"/>
    <w:rsid w:val="007E60BA"/>
    <w:rsid w:val="007E615A"/>
    <w:rsid w:val="007E6198"/>
    <w:rsid w:val="007E61CC"/>
    <w:rsid w:val="007E624E"/>
    <w:rsid w:val="007E62F8"/>
    <w:rsid w:val="007E6481"/>
    <w:rsid w:val="007E671F"/>
    <w:rsid w:val="007E6797"/>
    <w:rsid w:val="007E6865"/>
    <w:rsid w:val="007E6976"/>
    <w:rsid w:val="007E6CEC"/>
    <w:rsid w:val="007E70C0"/>
    <w:rsid w:val="007E7172"/>
    <w:rsid w:val="007E71EC"/>
    <w:rsid w:val="007E72DE"/>
    <w:rsid w:val="007E7656"/>
    <w:rsid w:val="007E7657"/>
    <w:rsid w:val="007E7706"/>
    <w:rsid w:val="007E7719"/>
    <w:rsid w:val="007E771A"/>
    <w:rsid w:val="007E77E4"/>
    <w:rsid w:val="007E7922"/>
    <w:rsid w:val="007E7D0B"/>
    <w:rsid w:val="007E7DC5"/>
    <w:rsid w:val="007E7F94"/>
    <w:rsid w:val="007F011E"/>
    <w:rsid w:val="007F0136"/>
    <w:rsid w:val="007F02BD"/>
    <w:rsid w:val="007F03BA"/>
    <w:rsid w:val="007F04EB"/>
    <w:rsid w:val="007F0538"/>
    <w:rsid w:val="007F062E"/>
    <w:rsid w:val="007F0643"/>
    <w:rsid w:val="007F065D"/>
    <w:rsid w:val="007F0830"/>
    <w:rsid w:val="007F0C81"/>
    <w:rsid w:val="007F0D8C"/>
    <w:rsid w:val="007F0E11"/>
    <w:rsid w:val="007F0E59"/>
    <w:rsid w:val="007F0EA5"/>
    <w:rsid w:val="007F1065"/>
    <w:rsid w:val="007F1336"/>
    <w:rsid w:val="007F1370"/>
    <w:rsid w:val="007F14C7"/>
    <w:rsid w:val="007F1791"/>
    <w:rsid w:val="007F17A3"/>
    <w:rsid w:val="007F183C"/>
    <w:rsid w:val="007F18F0"/>
    <w:rsid w:val="007F1932"/>
    <w:rsid w:val="007F1ED4"/>
    <w:rsid w:val="007F1FD5"/>
    <w:rsid w:val="007F2052"/>
    <w:rsid w:val="007F212F"/>
    <w:rsid w:val="007F2139"/>
    <w:rsid w:val="007F21D4"/>
    <w:rsid w:val="007F23A1"/>
    <w:rsid w:val="007F2709"/>
    <w:rsid w:val="007F284F"/>
    <w:rsid w:val="007F28BC"/>
    <w:rsid w:val="007F29C0"/>
    <w:rsid w:val="007F2B33"/>
    <w:rsid w:val="007F2CCD"/>
    <w:rsid w:val="007F2E2C"/>
    <w:rsid w:val="007F3115"/>
    <w:rsid w:val="007F3209"/>
    <w:rsid w:val="007F322D"/>
    <w:rsid w:val="007F3355"/>
    <w:rsid w:val="007F3586"/>
    <w:rsid w:val="007F3697"/>
    <w:rsid w:val="007F38E9"/>
    <w:rsid w:val="007F3BA6"/>
    <w:rsid w:val="007F3C74"/>
    <w:rsid w:val="007F3C91"/>
    <w:rsid w:val="007F3D85"/>
    <w:rsid w:val="007F3D87"/>
    <w:rsid w:val="007F4414"/>
    <w:rsid w:val="007F44D7"/>
    <w:rsid w:val="007F4693"/>
    <w:rsid w:val="007F46B3"/>
    <w:rsid w:val="007F478F"/>
    <w:rsid w:val="007F4790"/>
    <w:rsid w:val="007F47A1"/>
    <w:rsid w:val="007F47A5"/>
    <w:rsid w:val="007F4A19"/>
    <w:rsid w:val="007F4A71"/>
    <w:rsid w:val="007F4BCC"/>
    <w:rsid w:val="007F4DBC"/>
    <w:rsid w:val="007F4DF5"/>
    <w:rsid w:val="007F4E45"/>
    <w:rsid w:val="007F4F0B"/>
    <w:rsid w:val="007F4FEA"/>
    <w:rsid w:val="007F5024"/>
    <w:rsid w:val="007F5094"/>
    <w:rsid w:val="007F50FC"/>
    <w:rsid w:val="007F512B"/>
    <w:rsid w:val="007F51B6"/>
    <w:rsid w:val="007F5372"/>
    <w:rsid w:val="007F5432"/>
    <w:rsid w:val="007F54AE"/>
    <w:rsid w:val="007F54D2"/>
    <w:rsid w:val="007F54FD"/>
    <w:rsid w:val="007F590F"/>
    <w:rsid w:val="007F59D1"/>
    <w:rsid w:val="007F5BAB"/>
    <w:rsid w:val="007F5CB7"/>
    <w:rsid w:val="007F5D96"/>
    <w:rsid w:val="007F5DB8"/>
    <w:rsid w:val="007F5DE9"/>
    <w:rsid w:val="007F5DF3"/>
    <w:rsid w:val="007F5E99"/>
    <w:rsid w:val="007F5F1B"/>
    <w:rsid w:val="007F5F82"/>
    <w:rsid w:val="007F6018"/>
    <w:rsid w:val="007F6048"/>
    <w:rsid w:val="007F60F2"/>
    <w:rsid w:val="007F60FF"/>
    <w:rsid w:val="007F610A"/>
    <w:rsid w:val="007F6126"/>
    <w:rsid w:val="007F618C"/>
    <w:rsid w:val="007F6197"/>
    <w:rsid w:val="007F61B1"/>
    <w:rsid w:val="007F61E2"/>
    <w:rsid w:val="007F62A5"/>
    <w:rsid w:val="007F6305"/>
    <w:rsid w:val="007F6506"/>
    <w:rsid w:val="007F6701"/>
    <w:rsid w:val="007F676D"/>
    <w:rsid w:val="007F678B"/>
    <w:rsid w:val="007F67FE"/>
    <w:rsid w:val="007F68FC"/>
    <w:rsid w:val="007F6AF7"/>
    <w:rsid w:val="007F6F52"/>
    <w:rsid w:val="007F7006"/>
    <w:rsid w:val="007F7286"/>
    <w:rsid w:val="007F758E"/>
    <w:rsid w:val="007F7671"/>
    <w:rsid w:val="007F7780"/>
    <w:rsid w:val="007F77E2"/>
    <w:rsid w:val="007F7920"/>
    <w:rsid w:val="007F7ABE"/>
    <w:rsid w:val="007F7C0D"/>
    <w:rsid w:val="007F7D56"/>
    <w:rsid w:val="007F7D69"/>
    <w:rsid w:val="007F7E27"/>
    <w:rsid w:val="007F7F7A"/>
    <w:rsid w:val="00800118"/>
    <w:rsid w:val="008001AE"/>
    <w:rsid w:val="00800750"/>
    <w:rsid w:val="00800785"/>
    <w:rsid w:val="0080079E"/>
    <w:rsid w:val="008007C2"/>
    <w:rsid w:val="008007CC"/>
    <w:rsid w:val="00800C36"/>
    <w:rsid w:val="00800E53"/>
    <w:rsid w:val="008012D1"/>
    <w:rsid w:val="00801507"/>
    <w:rsid w:val="00801529"/>
    <w:rsid w:val="0080156A"/>
    <w:rsid w:val="008015AE"/>
    <w:rsid w:val="00801A66"/>
    <w:rsid w:val="00801AF5"/>
    <w:rsid w:val="00801B47"/>
    <w:rsid w:val="00801DCB"/>
    <w:rsid w:val="00801ED1"/>
    <w:rsid w:val="008021BA"/>
    <w:rsid w:val="0080246D"/>
    <w:rsid w:val="0080253D"/>
    <w:rsid w:val="008026B4"/>
    <w:rsid w:val="008027E9"/>
    <w:rsid w:val="00802820"/>
    <w:rsid w:val="00802821"/>
    <w:rsid w:val="008028E6"/>
    <w:rsid w:val="0080292A"/>
    <w:rsid w:val="00802BFE"/>
    <w:rsid w:val="00802C8A"/>
    <w:rsid w:val="00802D20"/>
    <w:rsid w:val="00802D89"/>
    <w:rsid w:val="00803068"/>
    <w:rsid w:val="008030C5"/>
    <w:rsid w:val="008037CE"/>
    <w:rsid w:val="00803801"/>
    <w:rsid w:val="00803B47"/>
    <w:rsid w:val="00803C5A"/>
    <w:rsid w:val="00803CE8"/>
    <w:rsid w:val="00803E71"/>
    <w:rsid w:val="00803EAC"/>
    <w:rsid w:val="00803F30"/>
    <w:rsid w:val="00804016"/>
    <w:rsid w:val="0080425D"/>
    <w:rsid w:val="0080428B"/>
    <w:rsid w:val="00804440"/>
    <w:rsid w:val="00804511"/>
    <w:rsid w:val="008045C4"/>
    <w:rsid w:val="008045E8"/>
    <w:rsid w:val="00804699"/>
    <w:rsid w:val="0080487E"/>
    <w:rsid w:val="008048CB"/>
    <w:rsid w:val="008048E8"/>
    <w:rsid w:val="00804912"/>
    <w:rsid w:val="00804991"/>
    <w:rsid w:val="00804BA1"/>
    <w:rsid w:val="00804C4B"/>
    <w:rsid w:val="00804DB4"/>
    <w:rsid w:val="00804E4E"/>
    <w:rsid w:val="00805029"/>
    <w:rsid w:val="00805106"/>
    <w:rsid w:val="00805202"/>
    <w:rsid w:val="00805236"/>
    <w:rsid w:val="0080542F"/>
    <w:rsid w:val="00805565"/>
    <w:rsid w:val="0080558A"/>
    <w:rsid w:val="00805791"/>
    <w:rsid w:val="0080580B"/>
    <w:rsid w:val="008058CB"/>
    <w:rsid w:val="00805CB7"/>
    <w:rsid w:val="00805D16"/>
    <w:rsid w:val="00805E21"/>
    <w:rsid w:val="00805F81"/>
    <w:rsid w:val="00805FBD"/>
    <w:rsid w:val="00806163"/>
    <w:rsid w:val="008063CC"/>
    <w:rsid w:val="0080652F"/>
    <w:rsid w:val="00806574"/>
    <w:rsid w:val="00806707"/>
    <w:rsid w:val="00806723"/>
    <w:rsid w:val="00806873"/>
    <w:rsid w:val="00806908"/>
    <w:rsid w:val="00806B30"/>
    <w:rsid w:val="00806B4C"/>
    <w:rsid w:val="00806C11"/>
    <w:rsid w:val="00806CD8"/>
    <w:rsid w:val="00806E5F"/>
    <w:rsid w:val="00806E96"/>
    <w:rsid w:val="00806F40"/>
    <w:rsid w:val="0080702C"/>
    <w:rsid w:val="0080709D"/>
    <w:rsid w:val="00807182"/>
    <w:rsid w:val="008073A3"/>
    <w:rsid w:val="0080749E"/>
    <w:rsid w:val="008075A7"/>
    <w:rsid w:val="00807760"/>
    <w:rsid w:val="00807788"/>
    <w:rsid w:val="00807AED"/>
    <w:rsid w:val="00807B9E"/>
    <w:rsid w:val="00807BB6"/>
    <w:rsid w:val="00807D97"/>
    <w:rsid w:val="00807DC2"/>
    <w:rsid w:val="00807DD1"/>
    <w:rsid w:val="00807EEF"/>
    <w:rsid w:val="0081008C"/>
    <w:rsid w:val="00810246"/>
    <w:rsid w:val="008102BB"/>
    <w:rsid w:val="008104F4"/>
    <w:rsid w:val="008106D6"/>
    <w:rsid w:val="00810805"/>
    <w:rsid w:val="008108B5"/>
    <w:rsid w:val="008109BB"/>
    <w:rsid w:val="00810AA6"/>
    <w:rsid w:val="00810D14"/>
    <w:rsid w:val="00810D2A"/>
    <w:rsid w:val="00810DA6"/>
    <w:rsid w:val="00810DBC"/>
    <w:rsid w:val="00810EA5"/>
    <w:rsid w:val="008112CB"/>
    <w:rsid w:val="0081142C"/>
    <w:rsid w:val="008114CE"/>
    <w:rsid w:val="00811753"/>
    <w:rsid w:val="0081186B"/>
    <w:rsid w:val="00811A23"/>
    <w:rsid w:val="00811BB2"/>
    <w:rsid w:val="00811C85"/>
    <w:rsid w:val="00812182"/>
    <w:rsid w:val="00812211"/>
    <w:rsid w:val="00812221"/>
    <w:rsid w:val="008123E1"/>
    <w:rsid w:val="008123F9"/>
    <w:rsid w:val="00812492"/>
    <w:rsid w:val="008125BE"/>
    <w:rsid w:val="008127DB"/>
    <w:rsid w:val="00812958"/>
    <w:rsid w:val="00812BBC"/>
    <w:rsid w:val="00812C6A"/>
    <w:rsid w:val="00812D5D"/>
    <w:rsid w:val="00812F76"/>
    <w:rsid w:val="00813494"/>
    <w:rsid w:val="0081350A"/>
    <w:rsid w:val="0081350F"/>
    <w:rsid w:val="00813BB1"/>
    <w:rsid w:val="00813C5C"/>
    <w:rsid w:val="00813EA1"/>
    <w:rsid w:val="00813FF0"/>
    <w:rsid w:val="0081406F"/>
    <w:rsid w:val="008140FE"/>
    <w:rsid w:val="00814114"/>
    <w:rsid w:val="0081418B"/>
    <w:rsid w:val="0081424C"/>
    <w:rsid w:val="00814286"/>
    <w:rsid w:val="0081435B"/>
    <w:rsid w:val="00814552"/>
    <w:rsid w:val="0081464B"/>
    <w:rsid w:val="00814817"/>
    <w:rsid w:val="008149A2"/>
    <w:rsid w:val="00814BE4"/>
    <w:rsid w:val="00814D0F"/>
    <w:rsid w:val="0081522A"/>
    <w:rsid w:val="008153AB"/>
    <w:rsid w:val="0081547C"/>
    <w:rsid w:val="008156C8"/>
    <w:rsid w:val="00815908"/>
    <w:rsid w:val="00815C15"/>
    <w:rsid w:val="00815FEE"/>
    <w:rsid w:val="0081602C"/>
    <w:rsid w:val="00816161"/>
    <w:rsid w:val="00816171"/>
    <w:rsid w:val="008161DA"/>
    <w:rsid w:val="008162FD"/>
    <w:rsid w:val="00816318"/>
    <w:rsid w:val="008163CB"/>
    <w:rsid w:val="008165B0"/>
    <w:rsid w:val="008165C7"/>
    <w:rsid w:val="00816606"/>
    <w:rsid w:val="0081698C"/>
    <w:rsid w:val="00816A50"/>
    <w:rsid w:val="00816C48"/>
    <w:rsid w:val="00816CFC"/>
    <w:rsid w:val="00816E12"/>
    <w:rsid w:val="00816E58"/>
    <w:rsid w:val="00816F15"/>
    <w:rsid w:val="008170C7"/>
    <w:rsid w:val="008171C3"/>
    <w:rsid w:val="008172FA"/>
    <w:rsid w:val="00817409"/>
    <w:rsid w:val="008174AC"/>
    <w:rsid w:val="00817528"/>
    <w:rsid w:val="00817598"/>
    <w:rsid w:val="008177BD"/>
    <w:rsid w:val="008178F8"/>
    <w:rsid w:val="00817B1A"/>
    <w:rsid w:val="00817B63"/>
    <w:rsid w:val="00817C12"/>
    <w:rsid w:val="00817E98"/>
    <w:rsid w:val="00817FE9"/>
    <w:rsid w:val="00820053"/>
    <w:rsid w:val="008200BC"/>
    <w:rsid w:val="0082013E"/>
    <w:rsid w:val="00820386"/>
    <w:rsid w:val="00820395"/>
    <w:rsid w:val="008203F2"/>
    <w:rsid w:val="00820431"/>
    <w:rsid w:val="00820479"/>
    <w:rsid w:val="0082050D"/>
    <w:rsid w:val="00820521"/>
    <w:rsid w:val="008205F7"/>
    <w:rsid w:val="008207E3"/>
    <w:rsid w:val="0082094D"/>
    <w:rsid w:val="0082097B"/>
    <w:rsid w:val="008209B7"/>
    <w:rsid w:val="00820A07"/>
    <w:rsid w:val="00820A26"/>
    <w:rsid w:val="00820AC2"/>
    <w:rsid w:val="00820D3A"/>
    <w:rsid w:val="00820DA5"/>
    <w:rsid w:val="00821111"/>
    <w:rsid w:val="00821144"/>
    <w:rsid w:val="00821181"/>
    <w:rsid w:val="008211E7"/>
    <w:rsid w:val="00821228"/>
    <w:rsid w:val="008212CB"/>
    <w:rsid w:val="008212F0"/>
    <w:rsid w:val="0082138A"/>
    <w:rsid w:val="008213F3"/>
    <w:rsid w:val="00821564"/>
    <w:rsid w:val="00821582"/>
    <w:rsid w:val="00821757"/>
    <w:rsid w:val="0082180C"/>
    <w:rsid w:val="0082196B"/>
    <w:rsid w:val="00821988"/>
    <w:rsid w:val="00821A8F"/>
    <w:rsid w:val="00821C25"/>
    <w:rsid w:val="00821D66"/>
    <w:rsid w:val="00821DB4"/>
    <w:rsid w:val="00821DEF"/>
    <w:rsid w:val="00821E1E"/>
    <w:rsid w:val="00821E29"/>
    <w:rsid w:val="00821FBA"/>
    <w:rsid w:val="008221EF"/>
    <w:rsid w:val="008222E1"/>
    <w:rsid w:val="008223A4"/>
    <w:rsid w:val="008223D6"/>
    <w:rsid w:val="00822414"/>
    <w:rsid w:val="00822612"/>
    <w:rsid w:val="008228AF"/>
    <w:rsid w:val="00822CC2"/>
    <w:rsid w:val="00823073"/>
    <w:rsid w:val="008230EA"/>
    <w:rsid w:val="00823194"/>
    <w:rsid w:val="00823581"/>
    <w:rsid w:val="00823A5F"/>
    <w:rsid w:val="00823D95"/>
    <w:rsid w:val="0082403D"/>
    <w:rsid w:val="008241BA"/>
    <w:rsid w:val="00824287"/>
    <w:rsid w:val="0082454D"/>
    <w:rsid w:val="00824566"/>
    <w:rsid w:val="008245A5"/>
    <w:rsid w:val="00824647"/>
    <w:rsid w:val="0082469B"/>
    <w:rsid w:val="00824735"/>
    <w:rsid w:val="00824939"/>
    <w:rsid w:val="00824950"/>
    <w:rsid w:val="008249AA"/>
    <w:rsid w:val="00824A46"/>
    <w:rsid w:val="00824A52"/>
    <w:rsid w:val="00824EE6"/>
    <w:rsid w:val="00824FC2"/>
    <w:rsid w:val="00825096"/>
    <w:rsid w:val="0082511F"/>
    <w:rsid w:val="0082518F"/>
    <w:rsid w:val="0082519D"/>
    <w:rsid w:val="0082539B"/>
    <w:rsid w:val="008253B1"/>
    <w:rsid w:val="008253ED"/>
    <w:rsid w:val="0082554B"/>
    <w:rsid w:val="0082559D"/>
    <w:rsid w:val="00825606"/>
    <w:rsid w:val="008257A6"/>
    <w:rsid w:val="00825919"/>
    <w:rsid w:val="0082594A"/>
    <w:rsid w:val="00825C33"/>
    <w:rsid w:val="00825CD7"/>
    <w:rsid w:val="00825FBE"/>
    <w:rsid w:val="00825FE2"/>
    <w:rsid w:val="008260F0"/>
    <w:rsid w:val="008261B2"/>
    <w:rsid w:val="008262C4"/>
    <w:rsid w:val="008262CA"/>
    <w:rsid w:val="00826499"/>
    <w:rsid w:val="0082666A"/>
    <w:rsid w:val="00826754"/>
    <w:rsid w:val="00826797"/>
    <w:rsid w:val="00826858"/>
    <w:rsid w:val="00826928"/>
    <w:rsid w:val="008269EF"/>
    <w:rsid w:val="00826AF1"/>
    <w:rsid w:val="00826AFA"/>
    <w:rsid w:val="00826BB0"/>
    <w:rsid w:val="00826F23"/>
    <w:rsid w:val="00826FFE"/>
    <w:rsid w:val="008271A3"/>
    <w:rsid w:val="00827503"/>
    <w:rsid w:val="0082766E"/>
    <w:rsid w:val="0082769C"/>
    <w:rsid w:val="008276C4"/>
    <w:rsid w:val="0082794C"/>
    <w:rsid w:val="0082796B"/>
    <w:rsid w:val="00827B4F"/>
    <w:rsid w:val="00827BE6"/>
    <w:rsid w:val="00827CDE"/>
    <w:rsid w:val="00827F8F"/>
    <w:rsid w:val="00830020"/>
    <w:rsid w:val="008301BA"/>
    <w:rsid w:val="0083021E"/>
    <w:rsid w:val="008302B6"/>
    <w:rsid w:val="0083045A"/>
    <w:rsid w:val="0083053B"/>
    <w:rsid w:val="008307D1"/>
    <w:rsid w:val="008307E8"/>
    <w:rsid w:val="008308B5"/>
    <w:rsid w:val="00830906"/>
    <w:rsid w:val="00830AA4"/>
    <w:rsid w:val="00830EC6"/>
    <w:rsid w:val="008311A1"/>
    <w:rsid w:val="008311C7"/>
    <w:rsid w:val="008312CE"/>
    <w:rsid w:val="008315DB"/>
    <w:rsid w:val="008316FD"/>
    <w:rsid w:val="0083170D"/>
    <w:rsid w:val="00831AF2"/>
    <w:rsid w:val="00831DBF"/>
    <w:rsid w:val="00831DC6"/>
    <w:rsid w:val="00832133"/>
    <w:rsid w:val="0083222D"/>
    <w:rsid w:val="0083282B"/>
    <w:rsid w:val="008328F0"/>
    <w:rsid w:val="00832970"/>
    <w:rsid w:val="00832B75"/>
    <w:rsid w:val="00832B98"/>
    <w:rsid w:val="00832BC7"/>
    <w:rsid w:val="00832CC1"/>
    <w:rsid w:val="00832E43"/>
    <w:rsid w:val="0083306F"/>
    <w:rsid w:val="00833084"/>
    <w:rsid w:val="008331B5"/>
    <w:rsid w:val="008332DD"/>
    <w:rsid w:val="008333BA"/>
    <w:rsid w:val="008335E0"/>
    <w:rsid w:val="00833B56"/>
    <w:rsid w:val="00833BB6"/>
    <w:rsid w:val="00833D97"/>
    <w:rsid w:val="00833EEB"/>
    <w:rsid w:val="00834057"/>
    <w:rsid w:val="0083412F"/>
    <w:rsid w:val="008343E5"/>
    <w:rsid w:val="008346B4"/>
    <w:rsid w:val="00834743"/>
    <w:rsid w:val="008347C6"/>
    <w:rsid w:val="008348C6"/>
    <w:rsid w:val="008348EB"/>
    <w:rsid w:val="00834990"/>
    <w:rsid w:val="00834B4F"/>
    <w:rsid w:val="00834BDD"/>
    <w:rsid w:val="00834C29"/>
    <w:rsid w:val="00834C58"/>
    <w:rsid w:val="00834D1E"/>
    <w:rsid w:val="00834D28"/>
    <w:rsid w:val="00834F0B"/>
    <w:rsid w:val="00834F4D"/>
    <w:rsid w:val="0083501B"/>
    <w:rsid w:val="0083551C"/>
    <w:rsid w:val="00835537"/>
    <w:rsid w:val="00835640"/>
    <w:rsid w:val="00835689"/>
    <w:rsid w:val="00835BC2"/>
    <w:rsid w:val="00835C04"/>
    <w:rsid w:val="00835C42"/>
    <w:rsid w:val="00835C97"/>
    <w:rsid w:val="00835D43"/>
    <w:rsid w:val="00835EF6"/>
    <w:rsid w:val="00835F7F"/>
    <w:rsid w:val="0083601E"/>
    <w:rsid w:val="008360DF"/>
    <w:rsid w:val="008361FA"/>
    <w:rsid w:val="0083634D"/>
    <w:rsid w:val="008363A3"/>
    <w:rsid w:val="008363E8"/>
    <w:rsid w:val="00836896"/>
    <w:rsid w:val="008368F7"/>
    <w:rsid w:val="00836BAE"/>
    <w:rsid w:val="00836C4A"/>
    <w:rsid w:val="00836C7F"/>
    <w:rsid w:val="00836D78"/>
    <w:rsid w:val="0083710E"/>
    <w:rsid w:val="00837210"/>
    <w:rsid w:val="00837319"/>
    <w:rsid w:val="00837381"/>
    <w:rsid w:val="008375DB"/>
    <w:rsid w:val="008375F7"/>
    <w:rsid w:val="00837A8A"/>
    <w:rsid w:val="00837C01"/>
    <w:rsid w:val="00837C26"/>
    <w:rsid w:val="00837C37"/>
    <w:rsid w:val="00837E20"/>
    <w:rsid w:val="00837E40"/>
    <w:rsid w:val="0084001D"/>
    <w:rsid w:val="00840119"/>
    <w:rsid w:val="00840440"/>
    <w:rsid w:val="008405B1"/>
    <w:rsid w:val="00840A4E"/>
    <w:rsid w:val="00840CB5"/>
    <w:rsid w:val="00840FCC"/>
    <w:rsid w:val="008410F2"/>
    <w:rsid w:val="008412AD"/>
    <w:rsid w:val="008414AA"/>
    <w:rsid w:val="00841965"/>
    <w:rsid w:val="00841C18"/>
    <w:rsid w:val="00841D78"/>
    <w:rsid w:val="00841DD4"/>
    <w:rsid w:val="00842085"/>
    <w:rsid w:val="0084210F"/>
    <w:rsid w:val="008422C4"/>
    <w:rsid w:val="008422E9"/>
    <w:rsid w:val="008423DA"/>
    <w:rsid w:val="00842465"/>
    <w:rsid w:val="00842644"/>
    <w:rsid w:val="008427E4"/>
    <w:rsid w:val="00842991"/>
    <w:rsid w:val="00842A1A"/>
    <w:rsid w:val="00842B8D"/>
    <w:rsid w:val="00842D5F"/>
    <w:rsid w:val="00842F00"/>
    <w:rsid w:val="008431EE"/>
    <w:rsid w:val="008434AD"/>
    <w:rsid w:val="008434C0"/>
    <w:rsid w:val="008435A3"/>
    <w:rsid w:val="008435E4"/>
    <w:rsid w:val="00843772"/>
    <w:rsid w:val="00843B76"/>
    <w:rsid w:val="00843FEE"/>
    <w:rsid w:val="008440A2"/>
    <w:rsid w:val="00844213"/>
    <w:rsid w:val="0084433E"/>
    <w:rsid w:val="0084461A"/>
    <w:rsid w:val="0084467C"/>
    <w:rsid w:val="008447D3"/>
    <w:rsid w:val="008447ED"/>
    <w:rsid w:val="00844823"/>
    <w:rsid w:val="00844828"/>
    <w:rsid w:val="008448A3"/>
    <w:rsid w:val="00844A07"/>
    <w:rsid w:val="00844A0A"/>
    <w:rsid w:val="00844CBE"/>
    <w:rsid w:val="00844D34"/>
    <w:rsid w:val="00844D44"/>
    <w:rsid w:val="00844E8B"/>
    <w:rsid w:val="008450DA"/>
    <w:rsid w:val="0084518E"/>
    <w:rsid w:val="00845251"/>
    <w:rsid w:val="0084537E"/>
    <w:rsid w:val="0084540B"/>
    <w:rsid w:val="008454CC"/>
    <w:rsid w:val="00845646"/>
    <w:rsid w:val="00845938"/>
    <w:rsid w:val="00845A78"/>
    <w:rsid w:val="00845BC1"/>
    <w:rsid w:val="00845CA1"/>
    <w:rsid w:val="00845E9D"/>
    <w:rsid w:val="008461C7"/>
    <w:rsid w:val="008465BF"/>
    <w:rsid w:val="008465F3"/>
    <w:rsid w:val="00846643"/>
    <w:rsid w:val="00846743"/>
    <w:rsid w:val="008467FC"/>
    <w:rsid w:val="00846820"/>
    <w:rsid w:val="008468EF"/>
    <w:rsid w:val="0084691A"/>
    <w:rsid w:val="00846AA0"/>
    <w:rsid w:val="00846BE9"/>
    <w:rsid w:val="00846C78"/>
    <w:rsid w:val="00846E4D"/>
    <w:rsid w:val="00846FC8"/>
    <w:rsid w:val="008473FB"/>
    <w:rsid w:val="008473FC"/>
    <w:rsid w:val="00847487"/>
    <w:rsid w:val="0084748E"/>
    <w:rsid w:val="008474C4"/>
    <w:rsid w:val="00847569"/>
    <w:rsid w:val="008477F1"/>
    <w:rsid w:val="0084799D"/>
    <w:rsid w:val="00847A5D"/>
    <w:rsid w:val="00847CC3"/>
    <w:rsid w:val="00847D03"/>
    <w:rsid w:val="00847E14"/>
    <w:rsid w:val="00847F39"/>
    <w:rsid w:val="00847FE5"/>
    <w:rsid w:val="00850002"/>
    <w:rsid w:val="008502CE"/>
    <w:rsid w:val="008502D3"/>
    <w:rsid w:val="008504FC"/>
    <w:rsid w:val="00850987"/>
    <w:rsid w:val="008509B9"/>
    <w:rsid w:val="00850CE8"/>
    <w:rsid w:val="00850D38"/>
    <w:rsid w:val="00850D3E"/>
    <w:rsid w:val="00851128"/>
    <w:rsid w:val="00851144"/>
    <w:rsid w:val="0085142B"/>
    <w:rsid w:val="008516C3"/>
    <w:rsid w:val="0085176D"/>
    <w:rsid w:val="00851890"/>
    <w:rsid w:val="00851A1D"/>
    <w:rsid w:val="00851B09"/>
    <w:rsid w:val="00851C48"/>
    <w:rsid w:val="00851DD3"/>
    <w:rsid w:val="00851EFB"/>
    <w:rsid w:val="0085222C"/>
    <w:rsid w:val="00852275"/>
    <w:rsid w:val="0085230B"/>
    <w:rsid w:val="008523AA"/>
    <w:rsid w:val="008524C0"/>
    <w:rsid w:val="00852596"/>
    <w:rsid w:val="008525E5"/>
    <w:rsid w:val="00852704"/>
    <w:rsid w:val="00852719"/>
    <w:rsid w:val="0085279F"/>
    <w:rsid w:val="0085286A"/>
    <w:rsid w:val="00852CAE"/>
    <w:rsid w:val="00853100"/>
    <w:rsid w:val="0085349F"/>
    <w:rsid w:val="008535F0"/>
    <w:rsid w:val="00853756"/>
    <w:rsid w:val="00853916"/>
    <w:rsid w:val="0085395B"/>
    <w:rsid w:val="00853A1C"/>
    <w:rsid w:val="00853AD6"/>
    <w:rsid w:val="00853D67"/>
    <w:rsid w:val="00853F5C"/>
    <w:rsid w:val="00853F91"/>
    <w:rsid w:val="00853FAC"/>
    <w:rsid w:val="00853FBE"/>
    <w:rsid w:val="00853FF5"/>
    <w:rsid w:val="008540B3"/>
    <w:rsid w:val="008541CD"/>
    <w:rsid w:val="0085423B"/>
    <w:rsid w:val="00854359"/>
    <w:rsid w:val="00854388"/>
    <w:rsid w:val="008543A2"/>
    <w:rsid w:val="00854456"/>
    <w:rsid w:val="008544CA"/>
    <w:rsid w:val="00854874"/>
    <w:rsid w:val="00854BB8"/>
    <w:rsid w:val="00854EA6"/>
    <w:rsid w:val="008550E6"/>
    <w:rsid w:val="008553CC"/>
    <w:rsid w:val="00855460"/>
    <w:rsid w:val="00855535"/>
    <w:rsid w:val="00855594"/>
    <w:rsid w:val="0085566F"/>
    <w:rsid w:val="008556EF"/>
    <w:rsid w:val="0085574C"/>
    <w:rsid w:val="0085596E"/>
    <w:rsid w:val="00855B68"/>
    <w:rsid w:val="00855CFB"/>
    <w:rsid w:val="00855D5B"/>
    <w:rsid w:val="00855D63"/>
    <w:rsid w:val="00855DCC"/>
    <w:rsid w:val="00855E3A"/>
    <w:rsid w:val="0085603D"/>
    <w:rsid w:val="0085604E"/>
    <w:rsid w:val="0085640D"/>
    <w:rsid w:val="00856877"/>
    <w:rsid w:val="0085689E"/>
    <w:rsid w:val="00856930"/>
    <w:rsid w:val="008569AF"/>
    <w:rsid w:val="008569E2"/>
    <w:rsid w:val="00856A59"/>
    <w:rsid w:val="00856B46"/>
    <w:rsid w:val="00856C10"/>
    <w:rsid w:val="00856E6A"/>
    <w:rsid w:val="00856EF0"/>
    <w:rsid w:val="008572D2"/>
    <w:rsid w:val="0085732E"/>
    <w:rsid w:val="0085735E"/>
    <w:rsid w:val="0085736B"/>
    <w:rsid w:val="0085749C"/>
    <w:rsid w:val="00857526"/>
    <w:rsid w:val="008575B1"/>
    <w:rsid w:val="00857622"/>
    <w:rsid w:val="00857685"/>
    <w:rsid w:val="0085770D"/>
    <w:rsid w:val="0085774B"/>
    <w:rsid w:val="00857C0D"/>
    <w:rsid w:val="00857C3A"/>
    <w:rsid w:val="00857ECC"/>
    <w:rsid w:val="00857ED5"/>
    <w:rsid w:val="00857F5E"/>
    <w:rsid w:val="0086003E"/>
    <w:rsid w:val="0086009C"/>
    <w:rsid w:val="0086018E"/>
    <w:rsid w:val="00860258"/>
    <w:rsid w:val="00860284"/>
    <w:rsid w:val="008602A6"/>
    <w:rsid w:val="00860329"/>
    <w:rsid w:val="0086033C"/>
    <w:rsid w:val="00860565"/>
    <w:rsid w:val="00860571"/>
    <w:rsid w:val="008606C3"/>
    <w:rsid w:val="008607F1"/>
    <w:rsid w:val="008609CD"/>
    <w:rsid w:val="00860C89"/>
    <w:rsid w:val="00860DCC"/>
    <w:rsid w:val="00861156"/>
    <w:rsid w:val="0086128D"/>
    <w:rsid w:val="008612A3"/>
    <w:rsid w:val="008614EC"/>
    <w:rsid w:val="008615B0"/>
    <w:rsid w:val="00861724"/>
    <w:rsid w:val="008617F7"/>
    <w:rsid w:val="00861971"/>
    <w:rsid w:val="00861BF2"/>
    <w:rsid w:val="00861C6F"/>
    <w:rsid w:val="00861C7D"/>
    <w:rsid w:val="00861C89"/>
    <w:rsid w:val="00861DB2"/>
    <w:rsid w:val="00862181"/>
    <w:rsid w:val="00862285"/>
    <w:rsid w:val="00862778"/>
    <w:rsid w:val="008627F4"/>
    <w:rsid w:val="008628A8"/>
    <w:rsid w:val="008628C0"/>
    <w:rsid w:val="00862C1B"/>
    <w:rsid w:val="00862C49"/>
    <w:rsid w:val="00862F08"/>
    <w:rsid w:val="00862F7B"/>
    <w:rsid w:val="00862FA2"/>
    <w:rsid w:val="00863517"/>
    <w:rsid w:val="0086358C"/>
    <w:rsid w:val="0086360F"/>
    <w:rsid w:val="00863692"/>
    <w:rsid w:val="008636B2"/>
    <w:rsid w:val="008639D3"/>
    <w:rsid w:val="00863C0D"/>
    <w:rsid w:val="00863CBA"/>
    <w:rsid w:val="00863E6F"/>
    <w:rsid w:val="00863EB5"/>
    <w:rsid w:val="00863FB7"/>
    <w:rsid w:val="008640AD"/>
    <w:rsid w:val="0086417D"/>
    <w:rsid w:val="0086429D"/>
    <w:rsid w:val="008646E2"/>
    <w:rsid w:val="008647B5"/>
    <w:rsid w:val="008647F9"/>
    <w:rsid w:val="00864B83"/>
    <w:rsid w:val="00864D14"/>
    <w:rsid w:val="00864D1D"/>
    <w:rsid w:val="00864E64"/>
    <w:rsid w:val="00865037"/>
    <w:rsid w:val="008650F4"/>
    <w:rsid w:val="00865124"/>
    <w:rsid w:val="0086515D"/>
    <w:rsid w:val="0086515E"/>
    <w:rsid w:val="0086526E"/>
    <w:rsid w:val="0086529D"/>
    <w:rsid w:val="00865875"/>
    <w:rsid w:val="00865BD2"/>
    <w:rsid w:val="00865DCE"/>
    <w:rsid w:val="0086637C"/>
    <w:rsid w:val="00866553"/>
    <w:rsid w:val="00866799"/>
    <w:rsid w:val="00866811"/>
    <w:rsid w:val="0086696E"/>
    <w:rsid w:val="00866F56"/>
    <w:rsid w:val="0086712B"/>
    <w:rsid w:val="008671B4"/>
    <w:rsid w:val="00867223"/>
    <w:rsid w:val="0086751F"/>
    <w:rsid w:val="008676E6"/>
    <w:rsid w:val="00867896"/>
    <w:rsid w:val="0086795A"/>
    <w:rsid w:val="00867C47"/>
    <w:rsid w:val="00867C91"/>
    <w:rsid w:val="00867E41"/>
    <w:rsid w:val="0087006D"/>
    <w:rsid w:val="008700E5"/>
    <w:rsid w:val="00870129"/>
    <w:rsid w:val="008701A0"/>
    <w:rsid w:val="008701A7"/>
    <w:rsid w:val="008701BB"/>
    <w:rsid w:val="008701EB"/>
    <w:rsid w:val="00870230"/>
    <w:rsid w:val="00870239"/>
    <w:rsid w:val="00870367"/>
    <w:rsid w:val="008707FA"/>
    <w:rsid w:val="00870D2E"/>
    <w:rsid w:val="00870EAA"/>
    <w:rsid w:val="00870EB5"/>
    <w:rsid w:val="00870EDB"/>
    <w:rsid w:val="00870F7A"/>
    <w:rsid w:val="00871247"/>
    <w:rsid w:val="0087125D"/>
    <w:rsid w:val="00871287"/>
    <w:rsid w:val="0087138F"/>
    <w:rsid w:val="008714A9"/>
    <w:rsid w:val="008715A8"/>
    <w:rsid w:val="008716FA"/>
    <w:rsid w:val="008718A2"/>
    <w:rsid w:val="00871BA2"/>
    <w:rsid w:val="00871C8C"/>
    <w:rsid w:val="00871CBB"/>
    <w:rsid w:val="00871DC0"/>
    <w:rsid w:val="00871DE9"/>
    <w:rsid w:val="008720F5"/>
    <w:rsid w:val="00872116"/>
    <w:rsid w:val="00872739"/>
    <w:rsid w:val="008727AF"/>
    <w:rsid w:val="0087281A"/>
    <w:rsid w:val="0087284A"/>
    <w:rsid w:val="008728C2"/>
    <w:rsid w:val="008729A5"/>
    <w:rsid w:val="00872AB6"/>
    <w:rsid w:val="00872E35"/>
    <w:rsid w:val="00873297"/>
    <w:rsid w:val="008735B1"/>
    <w:rsid w:val="008737C9"/>
    <w:rsid w:val="0087380F"/>
    <w:rsid w:val="00873995"/>
    <w:rsid w:val="00873A83"/>
    <w:rsid w:val="00873AF6"/>
    <w:rsid w:val="00873BB2"/>
    <w:rsid w:val="00873C71"/>
    <w:rsid w:val="00873CF4"/>
    <w:rsid w:val="00873D6A"/>
    <w:rsid w:val="00873D91"/>
    <w:rsid w:val="00873E0C"/>
    <w:rsid w:val="0087401F"/>
    <w:rsid w:val="008742BB"/>
    <w:rsid w:val="008742DB"/>
    <w:rsid w:val="00874629"/>
    <w:rsid w:val="008747C9"/>
    <w:rsid w:val="00874CEC"/>
    <w:rsid w:val="00874D05"/>
    <w:rsid w:val="00874D4B"/>
    <w:rsid w:val="00874EC6"/>
    <w:rsid w:val="00875168"/>
    <w:rsid w:val="00875309"/>
    <w:rsid w:val="008753F4"/>
    <w:rsid w:val="0087556D"/>
    <w:rsid w:val="008755EF"/>
    <w:rsid w:val="00875724"/>
    <w:rsid w:val="008757D1"/>
    <w:rsid w:val="008757EB"/>
    <w:rsid w:val="0087581C"/>
    <w:rsid w:val="00875861"/>
    <w:rsid w:val="008759EE"/>
    <w:rsid w:val="00875A66"/>
    <w:rsid w:val="00875AAF"/>
    <w:rsid w:val="00875AEC"/>
    <w:rsid w:val="00875BB9"/>
    <w:rsid w:val="00875C8B"/>
    <w:rsid w:val="00875DF3"/>
    <w:rsid w:val="00875E18"/>
    <w:rsid w:val="00875E34"/>
    <w:rsid w:val="008760B3"/>
    <w:rsid w:val="0087612F"/>
    <w:rsid w:val="00876275"/>
    <w:rsid w:val="00876277"/>
    <w:rsid w:val="00876290"/>
    <w:rsid w:val="008765D7"/>
    <w:rsid w:val="0087676A"/>
    <w:rsid w:val="00876853"/>
    <w:rsid w:val="0087695D"/>
    <w:rsid w:val="00876A0A"/>
    <w:rsid w:val="00876A1B"/>
    <w:rsid w:val="00876A80"/>
    <w:rsid w:val="00876A97"/>
    <w:rsid w:val="00876ACE"/>
    <w:rsid w:val="00876B0D"/>
    <w:rsid w:val="00876BE9"/>
    <w:rsid w:val="0087713A"/>
    <w:rsid w:val="008771D5"/>
    <w:rsid w:val="0087723E"/>
    <w:rsid w:val="0087746C"/>
    <w:rsid w:val="0087779F"/>
    <w:rsid w:val="00877832"/>
    <w:rsid w:val="00877852"/>
    <w:rsid w:val="0087788E"/>
    <w:rsid w:val="00877A59"/>
    <w:rsid w:val="00877A6A"/>
    <w:rsid w:val="00877B4D"/>
    <w:rsid w:val="00877C49"/>
    <w:rsid w:val="00877D23"/>
    <w:rsid w:val="00880032"/>
    <w:rsid w:val="00880044"/>
    <w:rsid w:val="008800C6"/>
    <w:rsid w:val="00880299"/>
    <w:rsid w:val="00880554"/>
    <w:rsid w:val="00880601"/>
    <w:rsid w:val="008806BD"/>
    <w:rsid w:val="008808D3"/>
    <w:rsid w:val="0088094B"/>
    <w:rsid w:val="00880B15"/>
    <w:rsid w:val="00880BBF"/>
    <w:rsid w:val="00880C84"/>
    <w:rsid w:val="00880F4C"/>
    <w:rsid w:val="00881009"/>
    <w:rsid w:val="008812CE"/>
    <w:rsid w:val="00881495"/>
    <w:rsid w:val="008814F2"/>
    <w:rsid w:val="008815CA"/>
    <w:rsid w:val="0088177F"/>
    <w:rsid w:val="008817E1"/>
    <w:rsid w:val="008817F5"/>
    <w:rsid w:val="00881B2C"/>
    <w:rsid w:val="00881D77"/>
    <w:rsid w:val="00881E72"/>
    <w:rsid w:val="00881EF7"/>
    <w:rsid w:val="008821BA"/>
    <w:rsid w:val="0088222A"/>
    <w:rsid w:val="0088234A"/>
    <w:rsid w:val="008823AE"/>
    <w:rsid w:val="008826B1"/>
    <w:rsid w:val="00882906"/>
    <w:rsid w:val="00882E07"/>
    <w:rsid w:val="00882F34"/>
    <w:rsid w:val="00882FB2"/>
    <w:rsid w:val="0088301F"/>
    <w:rsid w:val="008830A0"/>
    <w:rsid w:val="008831ED"/>
    <w:rsid w:val="0088322B"/>
    <w:rsid w:val="00883245"/>
    <w:rsid w:val="0088333D"/>
    <w:rsid w:val="0088342C"/>
    <w:rsid w:val="00883470"/>
    <w:rsid w:val="008836FE"/>
    <w:rsid w:val="00883714"/>
    <w:rsid w:val="008837E0"/>
    <w:rsid w:val="008837FC"/>
    <w:rsid w:val="00883949"/>
    <w:rsid w:val="00883A61"/>
    <w:rsid w:val="00883C23"/>
    <w:rsid w:val="00883D0E"/>
    <w:rsid w:val="00883DD9"/>
    <w:rsid w:val="00883EBC"/>
    <w:rsid w:val="00883F8F"/>
    <w:rsid w:val="008841A4"/>
    <w:rsid w:val="008841F5"/>
    <w:rsid w:val="008842DC"/>
    <w:rsid w:val="00884302"/>
    <w:rsid w:val="00884440"/>
    <w:rsid w:val="00884546"/>
    <w:rsid w:val="00884575"/>
    <w:rsid w:val="00884637"/>
    <w:rsid w:val="008846A5"/>
    <w:rsid w:val="008846C2"/>
    <w:rsid w:val="00884858"/>
    <w:rsid w:val="008848D2"/>
    <w:rsid w:val="008848E2"/>
    <w:rsid w:val="0088492B"/>
    <w:rsid w:val="00884A46"/>
    <w:rsid w:val="00884A75"/>
    <w:rsid w:val="00884B05"/>
    <w:rsid w:val="00884B0F"/>
    <w:rsid w:val="00884EEA"/>
    <w:rsid w:val="00884FB9"/>
    <w:rsid w:val="0088504D"/>
    <w:rsid w:val="00885075"/>
    <w:rsid w:val="008850AA"/>
    <w:rsid w:val="008850F7"/>
    <w:rsid w:val="0088514B"/>
    <w:rsid w:val="0088518B"/>
    <w:rsid w:val="00885297"/>
    <w:rsid w:val="00885315"/>
    <w:rsid w:val="00885442"/>
    <w:rsid w:val="008856DC"/>
    <w:rsid w:val="008857B5"/>
    <w:rsid w:val="00885887"/>
    <w:rsid w:val="008859C1"/>
    <w:rsid w:val="00885C57"/>
    <w:rsid w:val="00885CD2"/>
    <w:rsid w:val="00886370"/>
    <w:rsid w:val="0088645D"/>
    <w:rsid w:val="00886668"/>
    <w:rsid w:val="0088676C"/>
    <w:rsid w:val="0088696B"/>
    <w:rsid w:val="008869A2"/>
    <w:rsid w:val="00886A54"/>
    <w:rsid w:val="00886A9E"/>
    <w:rsid w:val="00886BD9"/>
    <w:rsid w:val="00886C33"/>
    <w:rsid w:val="00886E56"/>
    <w:rsid w:val="00887066"/>
    <w:rsid w:val="008871E6"/>
    <w:rsid w:val="008872A0"/>
    <w:rsid w:val="0088767D"/>
    <w:rsid w:val="00887779"/>
    <w:rsid w:val="00887818"/>
    <w:rsid w:val="00887870"/>
    <w:rsid w:val="008879F3"/>
    <w:rsid w:val="00887AC2"/>
    <w:rsid w:val="00887BBD"/>
    <w:rsid w:val="00887E38"/>
    <w:rsid w:val="00887E51"/>
    <w:rsid w:val="00887EC6"/>
    <w:rsid w:val="0089014D"/>
    <w:rsid w:val="00890353"/>
    <w:rsid w:val="00890361"/>
    <w:rsid w:val="00890413"/>
    <w:rsid w:val="008904A0"/>
    <w:rsid w:val="00890673"/>
    <w:rsid w:val="0089071C"/>
    <w:rsid w:val="0089079B"/>
    <w:rsid w:val="008907BD"/>
    <w:rsid w:val="00890D3B"/>
    <w:rsid w:val="00890FBE"/>
    <w:rsid w:val="0089105A"/>
    <w:rsid w:val="00891194"/>
    <w:rsid w:val="00891641"/>
    <w:rsid w:val="008916BA"/>
    <w:rsid w:val="008916E5"/>
    <w:rsid w:val="00891736"/>
    <w:rsid w:val="0089189A"/>
    <w:rsid w:val="00891951"/>
    <w:rsid w:val="00891AD5"/>
    <w:rsid w:val="00891BB0"/>
    <w:rsid w:val="00891CBF"/>
    <w:rsid w:val="00891E0C"/>
    <w:rsid w:val="00891E8A"/>
    <w:rsid w:val="00891EC7"/>
    <w:rsid w:val="00891F12"/>
    <w:rsid w:val="00891F8D"/>
    <w:rsid w:val="00892006"/>
    <w:rsid w:val="00892086"/>
    <w:rsid w:val="008920A3"/>
    <w:rsid w:val="008920B9"/>
    <w:rsid w:val="00892175"/>
    <w:rsid w:val="00892315"/>
    <w:rsid w:val="008923A5"/>
    <w:rsid w:val="0089263B"/>
    <w:rsid w:val="00892694"/>
    <w:rsid w:val="0089288B"/>
    <w:rsid w:val="00892A01"/>
    <w:rsid w:val="00892B35"/>
    <w:rsid w:val="00892C0A"/>
    <w:rsid w:val="00892D6B"/>
    <w:rsid w:val="00892FC3"/>
    <w:rsid w:val="0089306A"/>
    <w:rsid w:val="0089318D"/>
    <w:rsid w:val="008931D9"/>
    <w:rsid w:val="00893328"/>
    <w:rsid w:val="008933A5"/>
    <w:rsid w:val="008933D0"/>
    <w:rsid w:val="0089352F"/>
    <w:rsid w:val="008935C6"/>
    <w:rsid w:val="00893615"/>
    <w:rsid w:val="008936B5"/>
    <w:rsid w:val="0089387C"/>
    <w:rsid w:val="00893A05"/>
    <w:rsid w:val="00893AD2"/>
    <w:rsid w:val="00893AF1"/>
    <w:rsid w:val="00893B42"/>
    <w:rsid w:val="00893C01"/>
    <w:rsid w:val="00893CAB"/>
    <w:rsid w:val="00893CC3"/>
    <w:rsid w:val="00893F06"/>
    <w:rsid w:val="00893F6A"/>
    <w:rsid w:val="008943DA"/>
    <w:rsid w:val="008945D4"/>
    <w:rsid w:val="00894783"/>
    <w:rsid w:val="0089479F"/>
    <w:rsid w:val="008947E0"/>
    <w:rsid w:val="00894903"/>
    <w:rsid w:val="008949AE"/>
    <w:rsid w:val="00894C31"/>
    <w:rsid w:val="00894DDE"/>
    <w:rsid w:val="00894E25"/>
    <w:rsid w:val="00894FC8"/>
    <w:rsid w:val="00895015"/>
    <w:rsid w:val="008951FB"/>
    <w:rsid w:val="008952E1"/>
    <w:rsid w:val="00895565"/>
    <w:rsid w:val="0089559F"/>
    <w:rsid w:val="008955F1"/>
    <w:rsid w:val="0089574F"/>
    <w:rsid w:val="00895760"/>
    <w:rsid w:val="00895B71"/>
    <w:rsid w:val="00895CAC"/>
    <w:rsid w:val="00895ECB"/>
    <w:rsid w:val="00895F72"/>
    <w:rsid w:val="00896376"/>
    <w:rsid w:val="00896589"/>
    <w:rsid w:val="00896775"/>
    <w:rsid w:val="008967C6"/>
    <w:rsid w:val="00896928"/>
    <w:rsid w:val="00896BE9"/>
    <w:rsid w:val="00896CD8"/>
    <w:rsid w:val="00897019"/>
    <w:rsid w:val="008971F3"/>
    <w:rsid w:val="0089726A"/>
    <w:rsid w:val="00897459"/>
    <w:rsid w:val="00897479"/>
    <w:rsid w:val="008974C7"/>
    <w:rsid w:val="008975A9"/>
    <w:rsid w:val="0089766E"/>
    <w:rsid w:val="008976F9"/>
    <w:rsid w:val="008977EA"/>
    <w:rsid w:val="00897899"/>
    <w:rsid w:val="008979B5"/>
    <w:rsid w:val="00897B25"/>
    <w:rsid w:val="00897DFF"/>
    <w:rsid w:val="00897EA8"/>
    <w:rsid w:val="00897F41"/>
    <w:rsid w:val="00897FB2"/>
    <w:rsid w:val="008A0053"/>
    <w:rsid w:val="008A01D5"/>
    <w:rsid w:val="008A036F"/>
    <w:rsid w:val="008A0439"/>
    <w:rsid w:val="008A0582"/>
    <w:rsid w:val="008A05AE"/>
    <w:rsid w:val="008A0826"/>
    <w:rsid w:val="008A0A3C"/>
    <w:rsid w:val="008A0CAE"/>
    <w:rsid w:val="008A0E15"/>
    <w:rsid w:val="008A0EDD"/>
    <w:rsid w:val="008A0EDE"/>
    <w:rsid w:val="008A1056"/>
    <w:rsid w:val="008A123D"/>
    <w:rsid w:val="008A14DF"/>
    <w:rsid w:val="008A1696"/>
    <w:rsid w:val="008A177D"/>
    <w:rsid w:val="008A1857"/>
    <w:rsid w:val="008A1B09"/>
    <w:rsid w:val="008A1C68"/>
    <w:rsid w:val="008A1D20"/>
    <w:rsid w:val="008A1D27"/>
    <w:rsid w:val="008A20EE"/>
    <w:rsid w:val="008A2130"/>
    <w:rsid w:val="008A2311"/>
    <w:rsid w:val="008A232F"/>
    <w:rsid w:val="008A23CC"/>
    <w:rsid w:val="008A24F5"/>
    <w:rsid w:val="008A24F7"/>
    <w:rsid w:val="008A26E5"/>
    <w:rsid w:val="008A26F1"/>
    <w:rsid w:val="008A277E"/>
    <w:rsid w:val="008A2798"/>
    <w:rsid w:val="008A27E5"/>
    <w:rsid w:val="008A2917"/>
    <w:rsid w:val="008A2A30"/>
    <w:rsid w:val="008A2B1F"/>
    <w:rsid w:val="008A2BDA"/>
    <w:rsid w:val="008A2C22"/>
    <w:rsid w:val="008A2CCD"/>
    <w:rsid w:val="008A2E78"/>
    <w:rsid w:val="008A2F10"/>
    <w:rsid w:val="008A2F5D"/>
    <w:rsid w:val="008A3273"/>
    <w:rsid w:val="008A327D"/>
    <w:rsid w:val="008A33A5"/>
    <w:rsid w:val="008A34B5"/>
    <w:rsid w:val="008A35E2"/>
    <w:rsid w:val="008A361B"/>
    <w:rsid w:val="008A36A6"/>
    <w:rsid w:val="008A39E9"/>
    <w:rsid w:val="008A3A71"/>
    <w:rsid w:val="008A3AAA"/>
    <w:rsid w:val="008A3ACB"/>
    <w:rsid w:val="008A3BCC"/>
    <w:rsid w:val="008A3C05"/>
    <w:rsid w:val="008A406A"/>
    <w:rsid w:val="008A408C"/>
    <w:rsid w:val="008A4363"/>
    <w:rsid w:val="008A443E"/>
    <w:rsid w:val="008A4562"/>
    <w:rsid w:val="008A4678"/>
    <w:rsid w:val="008A4751"/>
    <w:rsid w:val="008A477E"/>
    <w:rsid w:val="008A47DD"/>
    <w:rsid w:val="008A47E5"/>
    <w:rsid w:val="008A498C"/>
    <w:rsid w:val="008A4A50"/>
    <w:rsid w:val="008A4ADE"/>
    <w:rsid w:val="008A4C9F"/>
    <w:rsid w:val="008A4E95"/>
    <w:rsid w:val="008A4FB3"/>
    <w:rsid w:val="008A5024"/>
    <w:rsid w:val="008A506C"/>
    <w:rsid w:val="008A51C0"/>
    <w:rsid w:val="008A51D0"/>
    <w:rsid w:val="008A51EB"/>
    <w:rsid w:val="008A52E2"/>
    <w:rsid w:val="008A538B"/>
    <w:rsid w:val="008A53F6"/>
    <w:rsid w:val="008A53FC"/>
    <w:rsid w:val="008A54F3"/>
    <w:rsid w:val="008A5523"/>
    <w:rsid w:val="008A5534"/>
    <w:rsid w:val="008A5565"/>
    <w:rsid w:val="008A55D3"/>
    <w:rsid w:val="008A57B9"/>
    <w:rsid w:val="008A5950"/>
    <w:rsid w:val="008A5964"/>
    <w:rsid w:val="008A5AD0"/>
    <w:rsid w:val="008A5B1C"/>
    <w:rsid w:val="008A5D9D"/>
    <w:rsid w:val="008A5F2F"/>
    <w:rsid w:val="008A6100"/>
    <w:rsid w:val="008A6375"/>
    <w:rsid w:val="008A6475"/>
    <w:rsid w:val="008A64CD"/>
    <w:rsid w:val="008A6679"/>
    <w:rsid w:val="008A677E"/>
    <w:rsid w:val="008A677F"/>
    <w:rsid w:val="008A6857"/>
    <w:rsid w:val="008A6A65"/>
    <w:rsid w:val="008A6AF7"/>
    <w:rsid w:val="008A6C90"/>
    <w:rsid w:val="008A6CC9"/>
    <w:rsid w:val="008A7021"/>
    <w:rsid w:val="008A704C"/>
    <w:rsid w:val="008A70B2"/>
    <w:rsid w:val="008A7297"/>
    <w:rsid w:val="008A741C"/>
    <w:rsid w:val="008A7532"/>
    <w:rsid w:val="008A7888"/>
    <w:rsid w:val="008A7AE5"/>
    <w:rsid w:val="008A7DBC"/>
    <w:rsid w:val="008A7E6A"/>
    <w:rsid w:val="008A7F9A"/>
    <w:rsid w:val="008B00F0"/>
    <w:rsid w:val="008B01B6"/>
    <w:rsid w:val="008B033E"/>
    <w:rsid w:val="008B049E"/>
    <w:rsid w:val="008B04CF"/>
    <w:rsid w:val="008B05AF"/>
    <w:rsid w:val="008B05DD"/>
    <w:rsid w:val="008B0641"/>
    <w:rsid w:val="008B078D"/>
    <w:rsid w:val="008B07CD"/>
    <w:rsid w:val="008B0915"/>
    <w:rsid w:val="008B09E8"/>
    <w:rsid w:val="008B0A2E"/>
    <w:rsid w:val="008B0C7E"/>
    <w:rsid w:val="008B0CD3"/>
    <w:rsid w:val="008B0CE8"/>
    <w:rsid w:val="008B0D1F"/>
    <w:rsid w:val="008B0E8A"/>
    <w:rsid w:val="008B120B"/>
    <w:rsid w:val="008B1276"/>
    <w:rsid w:val="008B1478"/>
    <w:rsid w:val="008B167C"/>
    <w:rsid w:val="008B1802"/>
    <w:rsid w:val="008B18A9"/>
    <w:rsid w:val="008B18B1"/>
    <w:rsid w:val="008B18C6"/>
    <w:rsid w:val="008B1944"/>
    <w:rsid w:val="008B1B7A"/>
    <w:rsid w:val="008B1C7E"/>
    <w:rsid w:val="008B1C9A"/>
    <w:rsid w:val="008B1CBE"/>
    <w:rsid w:val="008B1F5F"/>
    <w:rsid w:val="008B2378"/>
    <w:rsid w:val="008B24BF"/>
    <w:rsid w:val="008B24DC"/>
    <w:rsid w:val="008B250F"/>
    <w:rsid w:val="008B25F5"/>
    <w:rsid w:val="008B266E"/>
    <w:rsid w:val="008B26C6"/>
    <w:rsid w:val="008B283F"/>
    <w:rsid w:val="008B28B5"/>
    <w:rsid w:val="008B2C80"/>
    <w:rsid w:val="008B2DD1"/>
    <w:rsid w:val="008B2E07"/>
    <w:rsid w:val="008B3420"/>
    <w:rsid w:val="008B342D"/>
    <w:rsid w:val="008B344D"/>
    <w:rsid w:val="008B3543"/>
    <w:rsid w:val="008B3602"/>
    <w:rsid w:val="008B365F"/>
    <w:rsid w:val="008B38AF"/>
    <w:rsid w:val="008B3A19"/>
    <w:rsid w:val="008B3AFA"/>
    <w:rsid w:val="008B3B44"/>
    <w:rsid w:val="008B3BB2"/>
    <w:rsid w:val="008B3CA5"/>
    <w:rsid w:val="008B3F43"/>
    <w:rsid w:val="008B3FEB"/>
    <w:rsid w:val="008B40DC"/>
    <w:rsid w:val="008B412B"/>
    <w:rsid w:val="008B4229"/>
    <w:rsid w:val="008B4823"/>
    <w:rsid w:val="008B4A01"/>
    <w:rsid w:val="008B4AF2"/>
    <w:rsid w:val="008B4C49"/>
    <w:rsid w:val="008B4D9B"/>
    <w:rsid w:val="008B4FC5"/>
    <w:rsid w:val="008B51D9"/>
    <w:rsid w:val="008B525F"/>
    <w:rsid w:val="008B5462"/>
    <w:rsid w:val="008B558C"/>
    <w:rsid w:val="008B58D6"/>
    <w:rsid w:val="008B591E"/>
    <w:rsid w:val="008B5C25"/>
    <w:rsid w:val="008B5CB1"/>
    <w:rsid w:val="008B5E72"/>
    <w:rsid w:val="008B5E87"/>
    <w:rsid w:val="008B6033"/>
    <w:rsid w:val="008B608E"/>
    <w:rsid w:val="008B60EC"/>
    <w:rsid w:val="008B6174"/>
    <w:rsid w:val="008B6231"/>
    <w:rsid w:val="008B635B"/>
    <w:rsid w:val="008B64B4"/>
    <w:rsid w:val="008B651F"/>
    <w:rsid w:val="008B6548"/>
    <w:rsid w:val="008B660A"/>
    <w:rsid w:val="008B66B5"/>
    <w:rsid w:val="008B6AB7"/>
    <w:rsid w:val="008B6B59"/>
    <w:rsid w:val="008B6CAE"/>
    <w:rsid w:val="008B6D4D"/>
    <w:rsid w:val="008B7012"/>
    <w:rsid w:val="008B7060"/>
    <w:rsid w:val="008B7095"/>
    <w:rsid w:val="008B70A9"/>
    <w:rsid w:val="008B71AB"/>
    <w:rsid w:val="008B71D5"/>
    <w:rsid w:val="008B7426"/>
    <w:rsid w:val="008B75F0"/>
    <w:rsid w:val="008B79B7"/>
    <w:rsid w:val="008B7BB7"/>
    <w:rsid w:val="008B7DB0"/>
    <w:rsid w:val="008C00B2"/>
    <w:rsid w:val="008C01AF"/>
    <w:rsid w:val="008C06C9"/>
    <w:rsid w:val="008C0751"/>
    <w:rsid w:val="008C081B"/>
    <w:rsid w:val="008C0827"/>
    <w:rsid w:val="008C09C8"/>
    <w:rsid w:val="008C0C3E"/>
    <w:rsid w:val="008C0C9F"/>
    <w:rsid w:val="008C0D58"/>
    <w:rsid w:val="008C0F00"/>
    <w:rsid w:val="008C0FCF"/>
    <w:rsid w:val="008C10A3"/>
    <w:rsid w:val="008C10B8"/>
    <w:rsid w:val="008C11DA"/>
    <w:rsid w:val="008C1366"/>
    <w:rsid w:val="008C1437"/>
    <w:rsid w:val="008C1678"/>
    <w:rsid w:val="008C18FF"/>
    <w:rsid w:val="008C1A83"/>
    <w:rsid w:val="008C1CEA"/>
    <w:rsid w:val="008C1E7B"/>
    <w:rsid w:val="008C20E5"/>
    <w:rsid w:val="008C2349"/>
    <w:rsid w:val="008C24A3"/>
    <w:rsid w:val="008C25C6"/>
    <w:rsid w:val="008C2753"/>
    <w:rsid w:val="008C27D6"/>
    <w:rsid w:val="008C2810"/>
    <w:rsid w:val="008C2842"/>
    <w:rsid w:val="008C2908"/>
    <w:rsid w:val="008C29CE"/>
    <w:rsid w:val="008C2D09"/>
    <w:rsid w:val="008C2F5D"/>
    <w:rsid w:val="008C2FC4"/>
    <w:rsid w:val="008C30BF"/>
    <w:rsid w:val="008C3125"/>
    <w:rsid w:val="008C3137"/>
    <w:rsid w:val="008C3296"/>
    <w:rsid w:val="008C34EC"/>
    <w:rsid w:val="008C362C"/>
    <w:rsid w:val="008C3806"/>
    <w:rsid w:val="008C391F"/>
    <w:rsid w:val="008C3E96"/>
    <w:rsid w:val="008C3F5C"/>
    <w:rsid w:val="008C40EE"/>
    <w:rsid w:val="008C41FC"/>
    <w:rsid w:val="008C425A"/>
    <w:rsid w:val="008C4300"/>
    <w:rsid w:val="008C43F9"/>
    <w:rsid w:val="008C456E"/>
    <w:rsid w:val="008C45B5"/>
    <w:rsid w:val="008C45F0"/>
    <w:rsid w:val="008C4648"/>
    <w:rsid w:val="008C4914"/>
    <w:rsid w:val="008C4A40"/>
    <w:rsid w:val="008C5398"/>
    <w:rsid w:val="008C53DD"/>
    <w:rsid w:val="008C58A7"/>
    <w:rsid w:val="008C58F0"/>
    <w:rsid w:val="008C5B06"/>
    <w:rsid w:val="008C618B"/>
    <w:rsid w:val="008C628B"/>
    <w:rsid w:val="008C632F"/>
    <w:rsid w:val="008C643E"/>
    <w:rsid w:val="008C64AB"/>
    <w:rsid w:val="008C6514"/>
    <w:rsid w:val="008C6580"/>
    <w:rsid w:val="008C6664"/>
    <w:rsid w:val="008C6695"/>
    <w:rsid w:val="008C6761"/>
    <w:rsid w:val="008C68D6"/>
    <w:rsid w:val="008C6A44"/>
    <w:rsid w:val="008C6A60"/>
    <w:rsid w:val="008C6A77"/>
    <w:rsid w:val="008C6AAB"/>
    <w:rsid w:val="008C6CF1"/>
    <w:rsid w:val="008C6D0F"/>
    <w:rsid w:val="008C6D67"/>
    <w:rsid w:val="008C6D72"/>
    <w:rsid w:val="008C6F8F"/>
    <w:rsid w:val="008C7036"/>
    <w:rsid w:val="008C72D9"/>
    <w:rsid w:val="008C7515"/>
    <w:rsid w:val="008C75B6"/>
    <w:rsid w:val="008C75E3"/>
    <w:rsid w:val="008C7644"/>
    <w:rsid w:val="008C77F9"/>
    <w:rsid w:val="008C78F0"/>
    <w:rsid w:val="008C79E5"/>
    <w:rsid w:val="008C7A91"/>
    <w:rsid w:val="008C7BCC"/>
    <w:rsid w:val="008C7C83"/>
    <w:rsid w:val="008C7CBB"/>
    <w:rsid w:val="008C7D87"/>
    <w:rsid w:val="008D008A"/>
    <w:rsid w:val="008D02E9"/>
    <w:rsid w:val="008D0378"/>
    <w:rsid w:val="008D03CB"/>
    <w:rsid w:val="008D03D3"/>
    <w:rsid w:val="008D0413"/>
    <w:rsid w:val="008D0626"/>
    <w:rsid w:val="008D090A"/>
    <w:rsid w:val="008D091C"/>
    <w:rsid w:val="008D0AD2"/>
    <w:rsid w:val="008D0BD7"/>
    <w:rsid w:val="008D0D01"/>
    <w:rsid w:val="008D0D20"/>
    <w:rsid w:val="008D0F28"/>
    <w:rsid w:val="008D125D"/>
    <w:rsid w:val="008D1448"/>
    <w:rsid w:val="008D161B"/>
    <w:rsid w:val="008D1753"/>
    <w:rsid w:val="008D2002"/>
    <w:rsid w:val="008D20CE"/>
    <w:rsid w:val="008D253D"/>
    <w:rsid w:val="008D2563"/>
    <w:rsid w:val="008D25FF"/>
    <w:rsid w:val="008D2655"/>
    <w:rsid w:val="008D2738"/>
    <w:rsid w:val="008D27D0"/>
    <w:rsid w:val="008D2890"/>
    <w:rsid w:val="008D2905"/>
    <w:rsid w:val="008D29D2"/>
    <w:rsid w:val="008D2A98"/>
    <w:rsid w:val="008D2AA4"/>
    <w:rsid w:val="008D2B58"/>
    <w:rsid w:val="008D2BA2"/>
    <w:rsid w:val="008D2C12"/>
    <w:rsid w:val="008D30D2"/>
    <w:rsid w:val="008D31A3"/>
    <w:rsid w:val="008D324B"/>
    <w:rsid w:val="008D3274"/>
    <w:rsid w:val="008D32FA"/>
    <w:rsid w:val="008D3376"/>
    <w:rsid w:val="008D346D"/>
    <w:rsid w:val="008D34AC"/>
    <w:rsid w:val="008D34D0"/>
    <w:rsid w:val="008D34D2"/>
    <w:rsid w:val="008D3527"/>
    <w:rsid w:val="008D356E"/>
    <w:rsid w:val="008D3592"/>
    <w:rsid w:val="008D3648"/>
    <w:rsid w:val="008D37D5"/>
    <w:rsid w:val="008D399E"/>
    <w:rsid w:val="008D3A80"/>
    <w:rsid w:val="008D3CE9"/>
    <w:rsid w:val="008D3D58"/>
    <w:rsid w:val="008D3D73"/>
    <w:rsid w:val="008D3E32"/>
    <w:rsid w:val="008D407C"/>
    <w:rsid w:val="008D4102"/>
    <w:rsid w:val="008D4113"/>
    <w:rsid w:val="008D441B"/>
    <w:rsid w:val="008D44C4"/>
    <w:rsid w:val="008D459E"/>
    <w:rsid w:val="008D45B7"/>
    <w:rsid w:val="008D4689"/>
    <w:rsid w:val="008D46EA"/>
    <w:rsid w:val="008D4989"/>
    <w:rsid w:val="008D4A32"/>
    <w:rsid w:val="008D4F9A"/>
    <w:rsid w:val="008D502A"/>
    <w:rsid w:val="008D50C6"/>
    <w:rsid w:val="008D5233"/>
    <w:rsid w:val="008D5426"/>
    <w:rsid w:val="008D5538"/>
    <w:rsid w:val="008D5580"/>
    <w:rsid w:val="008D5778"/>
    <w:rsid w:val="008D5815"/>
    <w:rsid w:val="008D5985"/>
    <w:rsid w:val="008D5A6A"/>
    <w:rsid w:val="008D5B67"/>
    <w:rsid w:val="008D5E8D"/>
    <w:rsid w:val="008D6128"/>
    <w:rsid w:val="008D6189"/>
    <w:rsid w:val="008D63E8"/>
    <w:rsid w:val="008D6458"/>
    <w:rsid w:val="008D66F9"/>
    <w:rsid w:val="008D6719"/>
    <w:rsid w:val="008D684C"/>
    <w:rsid w:val="008D698C"/>
    <w:rsid w:val="008D69EA"/>
    <w:rsid w:val="008D6B3B"/>
    <w:rsid w:val="008D6B4D"/>
    <w:rsid w:val="008D6E18"/>
    <w:rsid w:val="008D6E36"/>
    <w:rsid w:val="008D6E76"/>
    <w:rsid w:val="008D702E"/>
    <w:rsid w:val="008D7042"/>
    <w:rsid w:val="008D7567"/>
    <w:rsid w:val="008D783A"/>
    <w:rsid w:val="008D7AA3"/>
    <w:rsid w:val="008D7DEE"/>
    <w:rsid w:val="008D7F4A"/>
    <w:rsid w:val="008DE351"/>
    <w:rsid w:val="008E01BE"/>
    <w:rsid w:val="008E0220"/>
    <w:rsid w:val="008E0424"/>
    <w:rsid w:val="008E047C"/>
    <w:rsid w:val="008E0583"/>
    <w:rsid w:val="008E06C2"/>
    <w:rsid w:val="008E0735"/>
    <w:rsid w:val="008E084D"/>
    <w:rsid w:val="008E08DD"/>
    <w:rsid w:val="008E0A67"/>
    <w:rsid w:val="008E0AF0"/>
    <w:rsid w:val="008E0B68"/>
    <w:rsid w:val="008E0FD0"/>
    <w:rsid w:val="008E1083"/>
    <w:rsid w:val="008E11D0"/>
    <w:rsid w:val="008E14B7"/>
    <w:rsid w:val="008E193B"/>
    <w:rsid w:val="008E193C"/>
    <w:rsid w:val="008E199E"/>
    <w:rsid w:val="008E1B1E"/>
    <w:rsid w:val="008E1C92"/>
    <w:rsid w:val="008E1DED"/>
    <w:rsid w:val="008E2122"/>
    <w:rsid w:val="008E214C"/>
    <w:rsid w:val="008E2260"/>
    <w:rsid w:val="008E234F"/>
    <w:rsid w:val="008E2494"/>
    <w:rsid w:val="008E2718"/>
    <w:rsid w:val="008E2803"/>
    <w:rsid w:val="008E2837"/>
    <w:rsid w:val="008E29EF"/>
    <w:rsid w:val="008E2BD9"/>
    <w:rsid w:val="008E2C82"/>
    <w:rsid w:val="008E2CFC"/>
    <w:rsid w:val="008E2D63"/>
    <w:rsid w:val="008E2D6D"/>
    <w:rsid w:val="008E2D72"/>
    <w:rsid w:val="008E2DF7"/>
    <w:rsid w:val="008E31D2"/>
    <w:rsid w:val="008E33A9"/>
    <w:rsid w:val="008E33E2"/>
    <w:rsid w:val="008E351E"/>
    <w:rsid w:val="008E3742"/>
    <w:rsid w:val="008E3827"/>
    <w:rsid w:val="008E3A49"/>
    <w:rsid w:val="008E3C63"/>
    <w:rsid w:val="008E3FEE"/>
    <w:rsid w:val="008E40E8"/>
    <w:rsid w:val="008E41CE"/>
    <w:rsid w:val="008E41DF"/>
    <w:rsid w:val="008E42A4"/>
    <w:rsid w:val="008E455A"/>
    <w:rsid w:val="008E4924"/>
    <w:rsid w:val="008E4929"/>
    <w:rsid w:val="008E4982"/>
    <w:rsid w:val="008E4BA9"/>
    <w:rsid w:val="008E4ECD"/>
    <w:rsid w:val="008E51FF"/>
    <w:rsid w:val="008E5230"/>
    <w:rsid w:val="008E52A6"/>
    <w:rsid w:val="008E5517"/>
    <w:rsid w:val="008E567F"/>
    <w:rsid w:val="008E5833"/>
    <w:rsid w:val="008E583D"/>
    <w:rsid w:val="008E58B5"/>
    <w:rsid w:val="008E59DF"/>
    <w:rsid w:val="008E5A65"/>
    <w:rsid w:val="008E5B0F"/>
    <w:rsid w:val="008E5C7B"/>
    <w:rsid w:val="008E5D39"/>
    <w:rsid w:val="008E5FC1"/>
    <w:rsid w:val="008E6188"/>
    <w:rsid w:val="008E61DC"/>
    <w:rsid w:val="008E6436"/>
    <w:rsid w:val="008E643C"/>
    <w:rsid w:val="008E64C5"/>
    <w:rsid w:val="008E654C"/>
    <w:rsid w:val="008E6646"/>
    <w:rsid w:val="008E6739"/>
    <w:rsid w:val="008E67D7"/>
    <w:rsid w:val="008E69EC"/>
    <w:rsid w:val="008E6AA4"/>
    <w:rsid w:val="008E6B31"/>
    <w:rsid w:val="008E6B38"/>
    <w:rsid w:val="008E6C47"/>
    <w:rsid w:val="008E6CA7"/>
    <w:rsid w:val="008E70B2"/>
    <w:rsid w:val="008E72EB"/>
    <w:rsid w:val="008E73E4"/>
    <w:rsid w:val="008E7447"/>
    <w:rsid w:val="008E748C"/>
    <w:rsid w:val="008E7520"/>
    <w:rsid w:val="008E756C"/>
    <w:rsid w:val="008E757B"/>
    <w:rsid w:val="008E76F2"/>
    <w:rsid w:val="008E7A2B"/>
    <w:rsid w:val="008E7A3E"/>
    <w:rsid w:val="008E7A54"/>
    <w:rsid w:val="008E7CEF"/>
    <w:rsid w:val="008E7DD8"/>
    <w:rsid w:val="008E7E30"/>
    <w:rsid w:val="008E7EE6"/>
    <w:rsid w:val="008E7F89"/>
    <w:rsid w:val="008F00F8"/>
    <w:rsid w:val="008F02E2"/>
    <w:rsid w:val="008F0354"/>
    <w:rsid w:val="008F03FA"/>
    <w:rsid w:val="008F052B"/>
    <w:rsid w:val="008F0761"/>
    <w:rsid w:val="008F0818"/>
    <w:rsid w:val="008F092D"/>
    <w:rsid w:val="008F0A37"/>
    <w:rsid w:val="008F0A53"/>
    <w:rsid w:val="008F0BF7"/>
    <w:rsid w:val="008F0E27"/>
    <w:rsid w:val="008F0F7F"/>
    <w:rsid w:val="008F108E"/>
    <w:rsid w:val="008F11B6"/>
    <w:rsid w:val="008F12AA"/>
    <w:rsid w:val="008F1547"/>
    <w:rsid w:val="008F1A34"/>
    <w:rsid w:val="008F1A89"/>
    <w:rsid w:val="008F1DDF"/>
    <w:rsid w:val="008F1EE8"/>
    <w:rsid w:val="008F1EF5"/>
    <w:rsid w:val="008F1F99"/>
    <w:rsid w:val="008F2024"/>
    <w:rsid w:val="008F2047"/>
    <w:rsid w:val="008F209A"/>
    <w:rsid w:val="008F2114"/>
    <w:rsid w:val="008F22AB"/>
    <w:rsid w:val="008F22AF"/>
    <w:rsid w:val="008F2393"/>
    <w:rsid w:val="008F2458"/>
    <w:rsid w:val="008F2522"/>
    <w:rsid w:val="008F2612"/>
    <w:rsid w:val="008F2671"/>
    <w:rsid w:val="008F270E"/>
    <w:rsid w:val="008F2A88"/>
    <w:rsid w:val="008F2BDC"/>
    <w:rsid w:val="008F2C0D"/>
    <w:rsid w:val="008F2CEF"/>
    <w:rsid w:val="008F2DCE"/>
    <w:rsid w:val="008F30BF"/>
    <w:rsid w:val="008F315F"/>
    <w:rsid w:val="008F3215"/>
    <w:rsid w:val="008F3453"/>
    <w:rsid w:val="008F34BB"/>
    <w:rsid w:val="008F353E"/>
    <w:rsid w:val="008F369F"/>
    <w:rsid w:val="008F375A"/>
    <w:rsid w:val="008F3843"/>
    <w:rsid w:val="008F3AAD"/>
    <w:rsid w:val="008F3B39"/>
    <w:rsid w:val="008F3BBD"/>
    <w:rsid w:val="008F3BC4"/>
    <w:rsid w:val="008F3CFB"/>
    <w:rsid w:val="008F3D4F"/>
    <w:rsid w:val="008F4423"/>
    <w:rsid w:val="008F4519"/>
    <w:rsid w:val="008F45F5"/>
    <w:rsid w:val="008F47BE"/>
    <w:rsid w:val="008F4A0A"/>
    <w:rsid w:val="008F4A96"/>
    <w:rsid w:val="008F4ADA"/>
    <w:rsid w:val="008F4F00"/>
    <w:rsid w:val="008F4FA1"/>
    <w:rsid w:val="008F4FAC"/>
    <w:rsid w:val="008F526B"/>
    <w:rsid w:val="008F5398"/>
    <w:rsid w:val="008F55D6"/>
    <w:rsid w:val="008F5601"/>
    <w:rsid w:val="008F561D"/>
    <w:rsid w:val="008F5796"/>
    <w:rsid w:val="008F57A9"/>
    <w:rsid w:val="008F582C"/>
    <w:rsid w:val="008F59E5"/>
    <w:rsid w:val="008F5B5F"/>
    <w:rsid w:val="008F5D45"/>
    <w:rsid w:val="008F604E"/>
    <w:rsid w:val="008F6168"/>
    <w:rsid w:val="008F61F8"/>
    <w:rsid w:val="008F6343"/>
    <w:rsid w:val="008F6673"/>
    <w:rsid w:val="008F6684"/>
    <w:rsid w:val="008F686E"/>
    <w:rsid w:val="008F6A93"/>
    <w:rsid w:val="008F6B26"/>
    <w:rsid w:val="008F6B6D"/>
    <w:rsid w:val="008F6BE7"/>
    <w:rsid w:val="008F6CC8"/>
    <w:rsid w:val="008F6D48"/>
    <w:rsid w:val="008F6D7A"/>
    <w:rsid w:val="008F6DED"/>
    <w:rsid w:val="008F6E85"/>
    <w:rsid w:val="008F704E"/>
    <w:rsid w:val="008F707F"/>
    <w:rsid w:val="008F7237"/>
    <w:rsid w:val="008F7266"/>
    <w:rsid w:val="008F72BA"/>
    <w:rsid w:val="008F72C0"/>
    <w:rsid w:val="008F72C4"/>
    <w:rsid w:val="008F7618"/>
    <w:rsid w:val="008F7643"/>
    <w:rsid w:val="008F780E"/>
    <w:rsid w:val="008F7AF4"/>
    <w:rsid w:val="008F7C05"/>
    <w:rsid w:val="008F7D14"/>
    <w:rsid w:val="008F7DA5"/>
    <w:rsid w:val="008F7DC3"/>
    <w:rsid w:val="008F7DD9"/>
    <w:rsid w:val="008F7E35"/>
    <w:rsid w:val="008F7E82"/>
    <w:rsid w:val="008F7F6A"/>
    <w:rsid w:val="008F7F8E"/>
    <w:rsid w:val="0090033E"/>
    <w:rsid w:val="0090043C"/>
    <w:rsid w:val="009006CF"/>
    <w:rsid w:val="0090080A"/>
    <w:rsid w:val="0090089C"/>
    <w:rsid w:val="0090097F"/>
    <w:rsid w:val="00900AA3"/>
    <w:rsid w:val="00900CD0"/>
    <w:rsid w:val="00900D5A"/>
    <w:rsid w:val="00900DD6"/>
    <w:rsid w:val="00900EAF"/>
    <w:rsid w:val="00900F4C"/>
    <w:rsid w:val="00900F74"/>
    <w:rsid w:val="00900FDA"/>
    <w:rsid w:val="00900FF4"/>
    <w:rsid w:val="009013EC"/>
    <w:rsid w:val="00901431"/>
    <w:rsid w:val="0090173B"/>
    <w:rsid w:val="0090175B"/>
    <w:rsid w:val="009017E6"/>
    <w:rsid w:val="009019AF"/>
    <w:rsid w:val="00901C0F"/>
    <w:rsid w:val="00901C4C"/>
    <w:rsid w:val="00901C89"/>
    <w:rsid w:val="00901CBB"/>
    <w:rsid w:val="00901E3E"/>
    <w:rsid w:val="00901EBC"/>
    <w:rsid w:val="009022D3"/>
    <w:rsid w:val="0090232E"/>
    <w:rsid w:val="00902458"/>
    <w:rsid w:val="0090253B"/>
    <w:rsid w:val="00902603"/>
    <w:rsid w:val="009026D6"/>
    <w:rsid w:val="009026DB"/>
    <w:rsid w:val="009028C9"/>
    <w:rsid w:val="009029C1"/>
    <w:rsid w:val="009029FF"/>
    <w:rsid w:val="00902B2E"/>
    <w:rsid w:val="00902FCA"/>
    <w:rsid w:val="00903171"/>
    <w:rsid w:val="0090325C"/>
    <w:rsid w:val="009032DD"/>
    <w:rsid w:val="009033C5"/>
    <w:rsid w:val="009034BD"/>
    <w:rsid w:val="0090356B"/>
    <w:rsid w:val="0090359F"/>
    <w:rsid w:val="009037D6"/>
    <w:rsid w:val="00903929"/>
    <w:rsid w:val="009039F5"/>
    <w:rsid w:val="00903A31"/>
    <w:rsid w:val="00903A7A"/>
    <w:rsid w:val="00903AFA"/>
    <w:rsid w:val="00903C6D"/>
    <w:rsid w:val="00903F40"/>
    <w:rsid w:val="00903F62"/>
    <w:rsid w:val="00903FF6"/>
    <w:rsid w:val="00903FFE"/>
    <w:rsid w:val="0090401D"/>
    <w:rsid w:val="00904079"/>
    <w:rsid w:val="009040DF"/>
    <w:rsid w:val="009041C4"/>
    <w:rsid w:val="0090422B"/>
    <w:rsid w:val="00904257"/>
    <w:rsid w:val="009042C3"/>
    <w:rsid w:val="00904522"/>
    <w:rsid w:val="009045B0"/>
    <w:rsid w:val="00904685"/>
    <w:rsid w:val="0090491A"/>
    <w:rsid w:val="00904939"/>
    <w:rsid w:val="00904988"/>
    <w:rsid w:val="00904A3E"/>
    <w:rsid w:val="00904D1E"/>
    <w:rsid w:val="009050C9"/>
    <w:rsid w:val="0090516D"/>
    <w:rsid w:val="0090537D"/>
    <w:rsid w:val="00905393"/>
    <w:rsid w:val="0090554D"/>
    <w:rsid w:val="00905738"/>
    <w:rsid w:val="00905803"/>
    <w:rsid w:val="009058FD"/>
    <w:rsid w:val="00905ACF"/>
    <w:rsid w:val="00905C5C"/>
    <w:rsid w:val="00905C9F"/>
    <w:rsid w:val="00905CA2"/>
    <w:rsid w:val="00905EA7"/>
    <w:rsid w:val="00905F37"/>
    <w:rsid w:val="00906064"/>
    <w:rsid w:val="00906086"/>
    <w:rsid w:val="009060ED"/>
    <w:rsid w:val="009061C0"/>
    <w:rsid w:val="00906435"/>
    <w:rsid w:val="0090648D"/>
    <w:rsid w:val="0090661A"/>
    <w:rsid w:val="0090663B"/>
    <w:rsid w:val="00906A6E"/>
    <w:rsid w:val="00906E4F"/>
    <w:rsid w:val="00907151"/>
    <w:rsid w:val="0090758D"/>
    <w:rsid w:val="0090764D"/>
    <w:rsid w:val="0090766F"/>
    <w:rsid w:val="00907775"/>
    <w:rsid w:val="00907A33"/>
    <w:rsid w:val="00907C3A"/>
    <w:rsid w:val="00907E62"/>
    <w:rsid w:val="0091008C"/>
    <w:rsid w:val="009100DF"/>
    <w:rsid w:val="0091029C"/>
    <w:rsid w:val="00910422"/>
    <w:rsid w:val="0091050D"/>
    <w:rsid w:val="00910640"/>
    <w:rsid w:val="0091074C"/>
    <w:rsid w:val="0091078C"/>
    <w:rsid w:val="009109AC"/>
    <w:rsid w:val="009109C8"/>
    <w:rsid w:val="00910A89"/>
    <w:rsid w:val="00910AF7"/>
    <w:rsid w:val="00910BD6"/>
    <w:rsid w:val="00910C03"/>
    <w:rsid w:val="00910DF3"/>
    <w:rsid w:val="00910F1A"/>
    <w:rsid w:val="009111BD"/>
    <w:rsid w:val="0091134B"/>
    <w:rsid w:val="009113DC"/>
    <w:rsid w:val="009114EB"/>
    <w:rsid w:val="0091189D"/>
    <w:rsid w:val="0091192F"/>
    <w:rsid w:val="00911997"/>
    <w:rsid w:val="0091199E"/>
    <w:rsid w:val="00911B46"/>
    <w:rsid w:val="00911DD0"/>
    <w:rsid w:val="00911E76"/>
    <w:rsid w:val="00911E82"/>
    <w:rsid w:val="00912016"/>
    <w:rsid w:val="009120B6"/>
    <w:rsid w:val="00912291"/>
    <w:rsid w:val="009122DD"/>
    <w:rsid w:val="009123FC"/>
    <w:rsid w:val="00912402"/>
    <w:rsid w:val="0091245F"/>
    <w:rsid w:val="009125C7"/>
    <w:rsid w:val="00912728"/>
    <w:rsid w:val="009127C0"/>
    <w:rsid w:val="00912816"/>
    <w:rsid w:val="009128C5"/>
    <w:rsid w:val="00912916"/>
    <w:rsid w:val="009129E8"/>
    <w:rsid w:val="00912A71"/>
    <w:rsid w:val="00912AC2"/>
    <w:rsid w:val="00912B7C"/>
    <w:rsid w:val="00912BFE"/>
    <w:rsid w:val="00912CF4"/>
    <w:rsid w:val="00912DC2"/>
    <w:rsid w:val="00912E66"/>
    <w:rsid w:val="00912E7D"/>
    <w:rsid w:val="00912EC4"/>
    <w:rsid w:val="00913047"/>
    <w:rsid w:val="00913086"/>
    <w:rsid w:val="00913187"/>
    <w:rsid w:val="009131D3"/>
    <w:rsid w:val="009131E8"/>
    <w:rsid w:val="0091331A"/>
    <w:rsid w:val="009134AC"/>
    <w:rsid w:val="00913542"/>
    <w:rsid w:val="009135E0"/>
    <w:rsid w:val="00913748"/>
    <w:rsid w:val="00913842"/>
    <w:rsid w:val="00913910"/>
    <w:rsid w:val="0091391C"/>
    <w:rsid w:val="00913B77"/>
    <w:rsid w:val="00913C18"/>
    <w:rsid w:val="00913D07"/>
    <w:rsid w:val="00913D5C"/>
    <w:rsid w:val="00913EAC"/>
    <w:rsid w:val="00913EB5"/>
    <w:rsid w:val="00913FD6"/>
    <w:rsid w:val="00913FFE"/>
    <w:rsid w:val="009141E5"/>
    <w:rsid w:val="009144AA"/>
    <w:rsid w:val="00914559"/>
    <w:rsid w:val="00914994"/>
    <w:rsid w:val="00914A0A"/>
    <w:rsid w:val="00914EF5"/>
    <w:rsid w:val="00914F58"/>
    <w:rsid w:val="00914FB4"/>
    <w:rsid w:val="00914FC0"/>
    <w:rsid w:val="00915278"/>
    <w:rsid w:val="0091538C"/>
    <w:rsid w:val="009153A6"/>
    <w:rsid w:val="00915544"/>
    <w:rsid w:val="00915574"/>
    <w:rsid w:val="00915997"/>
    <w:rsid w:val="00915A16"/>
    <w:rsid w:val="00915AEF"/>
    <w:rsid w:val="00915B76"/>
    <w:rsid w:val="00915BC0"/>
    <w:rsid w:val="00915DDF"/>
    <w:rsid w:val="00915F83"/>
    <w:rsid w:val="009160C6"/>
    <w:rsid w:val="009160CE"/>
    <w:rsid w:val="009161DE"/>
    <w:rsid w:val="00916240"/>
    <w:rsid w:val="0091624C"/>
    <w:rsid w:val="00916254"/>
    <w:rsid w:val="009162B2"/>
    <w:rsid w:val="00916401"/>
    <w:rsid w:val="0091645C"/>
    <w:rsid w:val="009165F0"/>
    <w:rsid w:val="00916647"/>
    <w:rsid w:val="009168FB"/>
    <w:rsid w:val="00916A88"/>
    <w:rsid w:val="00916AA5"/>
    <w:rsid w:val="00916E60"/>
    <w:rsid w:val="00917071"/>
    <w:rsid w:val="00917195"/>
    <w:rsid w:val="009171C3"/>
    <w:rsid w:val="009172E0"/>
    <w:rsid w:val="009172FE"/>
    <w:rsid w:val="00917410"/>
    <w:rsid w:val="0091755C"/>
    <w:rsid w:val="00917698"/>
    <w:rsid w:val="009177CB"/>
    <w:rsid w:val="00917888"/>
    <w:rsid w:val="009178B4"/>
    <w:rsid w:val="009178E0"/>
    <w:rsid w:val="00917930"/>
    <w:rsid w:val="0091796F"/>
    <w:rsid w:val="00917AC8"/>
    <w:rsid w:val="00917C88"/>
    <w:rsid w:val="00917CDA"/>
    <w:rsid w:val="00917D84"/>
    <w:rsid w:val="00917DAE"/>
    <w:rsid w:val="00917EF4"/>
    <w:rsid w:val="009200B4"/>
    <w:rsid w:val="0092023C"/>
    <w:rsid w:val="00920246"/>
    <w:rsid w:val="009202D8"/>
    <w:rsid w:val="0092059D"/>
    <w:rsid w:val="00920B31"/>
    <w:rsid w:val="00920CBD"/>
    <w:rsid w:val="00920F65"/>
    <w:rsid w:val="00920F80"/>
    <w:rsid w:val="009210B8"/>
    <w:rsid w:val="009212E0"/>
    <w:rsid w:val="0092134E"/>
    <w:rsid w:val="00921399"/>
    <w:rsid w:val="009214CB"/>
    <w:rsid w:val="009216F8"/>
    <w:rsid w:val="009219ED"/>
    <w:rsid w:val="00921FA5"/>
    <w:rsid w:val="00921FBB"/>
    <w:rsid w:val="009220FF"/>
    <w:rsid w:val="0092212C"/>
    <w:rsid w:val="00922251"/>
    <w:rsid w:val="009222E5"/>
    <w:rsid w:val="009222EF"/>
    <w:rsid w:val="00922361"/>
    <w:rsid w:val="0092236F"/>
    <w:rsid w:val="0092238B"/>
    <w:rsid w:val="00922410"/>
    <w:rsid w:val="00922442"/>
    <w:rsid w:val="00922449"/>
    <w:rsid w:val="0092264B"/>
    <w:rsid w:val="009227B1"/>
    <w:rsid w:val="00922950"/>
    <w:rsid w:val="00922C14"/>
    <w:rsid w:val="00922C79"/>
    <w:rsid w:val="00922E24"/>
    <w:rsid w:val="00922F5D"/>
    <w:rsid w:val="00922FCF"/>
    <w:rsid w:val="00923140"/>
    <w:rsid w:val="00923154"/>
    <w:rsid w:val="00923168"/>
    <w:rsid w:val="009232B1"/>
    <w:rsid w:val="0092341C"/>
    <w:rsid w:val="00923430"/>
    <w:rsid w:val="0092348E"/>
    <w:rsid w:val="00923497"/>
    <w:rsid w:val="00923651"/>
    <w:rsid w:val="009236AD"/>
    <w:rsid w:val="009237EC"/>
    <w:rsid w:val="00923810"/>
    <w:rsid w:val="009239BB"/>
    <w:rsid w:val="00923A76"/>
    <w:rsid w:val="00923DF4"/>
    <w:rsid w:val="00923E71"/>
    <w:rsid w:val="00923E87"/>
    <w:rsid w:val="0092411E"/>
    <w:rsid w:val="009244BD"/>
    <w:rsid w:val="0092474C"/>
    <w:rsid w:val="009247D9"/>
    <w:rsid w:val="0092482F"/>
    <w:rsid w:val="009249D7"/>
    <w:rsid w:val="00924B19"/>
    <w:rsid w:val="00924C31"/>
    <w:rsid w:val="00924C65"/>
    <w:rsid w:val="00924E24"/>
    <w:rsid w:val="00924E54"/>
    <w:rsid w:val="00924F95"/>
    <w:rsid w:val="00924FA7"/>
    <w:rsid w:val="00924FF9"/>
    <w:rsid w:val="00925094"/>
    <w:rsid w:val="009250AD"/>
    <w:rsid w:val="0092510B"/>
    <w:rsid w:val="0092512E"/>
    <w:rsid w:val="009251F0"/>
    <w:rsid w:val="00925250"/>
    <w:rsid w:val="009252E5"/>
    <w:rsid w:val="00925390"/>
    <w:rsid w:val="00925578"/>
    <w:rsid w:val="009255C5"/>
    <w:rsid w:val="009257C9"/>
    <w:rsid w:val="009257D4"/>
    <w:rsid w:val="00925A11"/>
    <w:rsid w:val="00925AAC"/>
    <w:rsid w:val="00925B6A"/>
    <w:rsid w:val="00925C19"/>
    <w:rsid w:val="00925E4B"/>
    <w:rsid w:val="00925E8F"/>
    <w:rsid w:val="00925ED2"/>
    <w:rsid w:val="00925F36"/>
    <w:rsid w:val="0092641F"/>
    <w:rsid w:val="0092645F"/>
    <w:rsid w:val="009264DF"/>
    <w:rsid w:val="0092691D"/>
    <w:rsid w:val="0092691F"/>
    <w:rsid w:val="00926960"/>
    <w:rsid w:val="00926B69"/>
    <w:rsid w:val="00926B8B"/>
    <w:rsid w:val="00926BC7"/>
    <w:rsid w:val="00926DBA"/>
    <w:rsid w:val="00926EC2"/>
    <w:rsid w:val="00926ED4"/>
    <w:rsid w:val="00927090"/>
    <w:rsid w:val="009271FF"/>
    <w:rsid w:val="009272AF"/>
    <w:rsid w:val="009272EF"/>
    <w:rsid w:val="0092730C"/>
    <w:rsid w:val="009273D2"/>
    <w:rsid w:val="009274CB"/>
    <w:rsid w:val="00927963"/>
    <w:rsid w:val="00927974"/>
    <w:rsid w:val="00927AF8"/>
    <w:rsid w:val="00927C5C"/>
    <w:rsid w:val="00927C92"/>
    <w:rsid w:val="009300B2"/>
    <w:rsid w:val="009301B8"/>
    <w:rsid w:val="009301D3"/>
    <w:rsid w:val="009302C0"/>
    <w:rsid w:val="009302CD"/>
    <w:rsid w:val="00930777"/>
    <w:rsid w:val="009307BD"/>
    <w:rsid w:val="00930836"/>
    <w:rsid w:val="009308FD"/>
    <w:rsid w:val="0093091A"/>
    <w:rsid w:val="0093098F"/>
    <w:rsid w:val="00930B0B"/>
    <w:rsid w:val="00930C77"/>
    <w:rsid w:val="00930D96"/>
    <w:rsid w:val="00930E20"/>
    <w:rsid w:val="00930F8C"/>
    <w:rsid w:val="0093100D"/>
    <w:rsid w:val="0093105E"/>
    <w:rsid w:val="0093140A"/>
    <w:rsid w:val="00931578"/>
    <w:rsid w:val="009315C7"/>
    <w:rsid w:val="0093167B"/>
    <w:rsid w:val="009317E1"/>
    <w:rsid w:val="00931881"/>
    <w:rsid w:val="009318B5"/>
    <w:rsid w:val="009318D4"/>
    <w:rsid w:val="0093191D"/>
    <w:rsid w:val="00931989"/>
    <w:rsid w:val="00931A88"/>
    <w:rsid w:val="00931C2C"/>
    <w:rsid w:val="00931C63"/>
    <w:rsid w:val="00931C9D"/>
    <w:rsid w:val="00931DD1"/>
    <w:rsid w:val="00932062"/>
    <w:rsid w:val="009321BD"/>
    <w:rsid w:val="00932414"/>
    <w:rsid w:val="00932459"/>
    <w:rsid w:val="00932650"/>
    <w:rsid w:val="00932703"/>
    <w:rsid w:val="00932A49"/>
    <w:rsid w:val="00932D7E"/>
    <w:rsid w:val="00932EEF"/>
    <w:rsid w:val="009332EF"/>
    <w:rsid w:val="00933323"/>
    <w:rsid w:val="009333E6"/>
    <w:rsid w:val="00933658"/>
    <w:rsid w:val="0093388E"/>
    <w:rsid w:val="00933CA1"/>
    <w:rsid w:val="00933DB3"/>
    <w:rsid w:val="00933E14"/>
    <w:rsid w:val="00933ED2"/>
    <w:rsid w:val="00933F15"/>
    <w:rsid w:val="009340E3"/>
    <w:rsid w:val="009341FB"/>
    <w:rsid w:val="009345AD"/>
    <w:rsid w:val="00934787"/>
    <w:rsid w:val="00934810"/>
    <w:rsid w:val="0093485A"/>
    <w:rsid w:val="0093489D"/>
    <w:rsid w:val="00934920"/>
    <w:rsid w:val="009349FD"/>
    <w:rsid w:val="00934BA1"/>
    <w:rsid w:val="00934BF6"/>
    <w:rsid w:val="00934DB5"/>
    <w:rsid w:val="009350D0"/>
    <w:rsid w:val="00935102"/>
    <w:rsid w:val="00935180"/>
    <w:rsid w:val="009351E0"/>
    <w:rsid w:val="0093541E"/>
    <w:rsid w:val="009354E4"/>
    <w:rsid w:val="0093553B"/>
    <w:rsid w:val="009355CA"/>
    <w:rsid w:val="00935622"/>
    <w:rsid w:val="0093574E"/>
    <w:rsid w:val="00935852"/>
    <w:rsid w:val="00935B2E"/>
    <w:rsid w:val="00935C95"/>
    <w:rsid w:val="00935D9F"/>
    <w:rsid w:val="00935E04"/>
    <w:rsid w:val="00935E72"/>
    <w:rsid w:val="00935F68"/>
    <w:rsid w:val="009360AD"/>
    <w:rsid w:val="00936237"/>
    <w:rsid w:val="0093663E"/>
    <w:rsid w:val="00936655"/>
    <w:rsid w:val="00936667"/>
    <w:rsid w:val="009368A6"/>
    <w:rsid w:val="00936A6A"/>
    <w:rsid w:val="00936B30"/>
    <w:rsid w:val="00936B5C"/>
    <w:rsid w:val="00936C33"/>
    <w:rsid w:val="00936C40"/>
    <w:rsid w:val="00936CA0"/>
    <w:rsid w:val="00936E67"/>
    <w:rsid w:val="009374B9"/>
    <w:rsid w:val="00937535"/>
    <w:rsid w:val="009377E7"/>
    <w:rsid w:val="00937881"/>
    <w:rsid w:val="009378D6"/>
    <w:rsid w:val="00937969"/>
    <w:rsid w:val="00937F15"/>
    <w:rsid w:val="00937F97"/>
    <w:rsid w:val="00940103"/>
    <w:rsid w:val="009402F9"/>
    <w:rsid w:val="00940317"/>
    <w:rsid w:val="00940483"/>
    <w:rsid w:val="009405A0"/>
    <w:rsid w:val="0094076F"/>
    <w:rsid w:val="009408B7"/>
    <w:rsid w:val="00940BE8"/>
    <w:rsid w:val="00940F72"/>
    <w:rsid w:val="00940FD0"/>
    <w:rsid w:val="00941224"/>
    <w:rsid w:val="00941307"/>
    <w:rsid w:val="00941351"/>
    <w:rsid w:val="009417AC"/>
    <w:rsid w:val="0094198F"/>
    <w:rsid w:val="00941ADD"/>
    <w:rsid w:val="00941C03"/>
    <w:rsid w:val="00941CB1"/>
    <w:rsid w:val="00941CE6"/>
    <w:rsid w:val="00941DE7"/>
    <w:rsid w:val="00942117"/>
    <w:rsid w:val="009421FF"/>
    <w:rsid w:val="00942276"/>
    <w:rsid w:val="0094227D"/>
    <w:rsid w:val="00942324"/>
    <w:rsid w:val="009426DF"/>
    <w:rsid w:val="00942A3D"/>
    <w:rsid w:val="00942B96"/>
    <w:rsid w:val="00942BF8"/>
    <w:rsid w:val="00942E18"/>
    <w:rsid w:val="00942ED7"/>
    <w:rsid w:val="00942EFB"/>
    <w:rsid w:val="009431A4"/>
    <w:rsid w:val="009431F7"/>
    <w:rsid w:val="0094327E"/>
    <w:rsid w:val="009432D5"/>
    <w:rsid w:val="009433D2"/>
    <w:rsid w:val="00943665"/>
    <w:rsid w:val="0094368D"/>
    <w:rsid w:val="009436AD"/>
    <w:rsid w:val="009436D1"/>
    <w:rsid w:val="00943746"/>
    <w:rsid w:val="00943BF4"/>
    <w:rsid w:val="00943C40"/>
    <w:rsid w:val="00943CB0"/>
    <w:rsid w:val="00943D3F"/>
    <w:rsid w:val="00943EAF"/>
    <w:rsid w:val="00943F5C"/>
    <w:rsid w:val="00943F6A"/>
    <w:rsid w:val="00943FEE"/>
    <w:rsid w:val="00944149"/>
    <w:rsid w:val="00944179"/>
    <w:rsid w:val="009441A9"/>
    <w:rsid w:val="009441BC"/>
    <w:rsid w:val="00944219"/>
    <w:rsid w:val="009443A9"/>
    <w:rsid w:val="00944557"/>
    <w:rsid w:val="00944596"/>
    <w:rsid w:val="009445F7"/>
    <w:rsid w:val="00944772"/>
    <w:rsid w:val="0094493B"/>
    <w:rsid w:val="00944B59"/>
    <w:rsid w:val="00944BA0"/>
    <w:rsid w:val="00944C40"/>
    <w:rsid w:val="00944CB9"/>
    <w:rsid w:val="00944F23"/>
    <w:rsid w:val="0094524B"/>
    <w:rsid w:val="00945937"/>
    <w:rsid w:val="00945BBF"/>
    <w:rsid w:val="00945C80"/>
    <w:rsid w:val="00946036"/>
    <w:rsid w:val="0094609D"/>
    <w:rsid w:val="00946143"/>
    <w:rsid w:val="0094617A"/>
    <w:rsid w:val="00946217"/>
    <w:rsid w:val="009464B6"/>
    <w:rsid w:val="00946508"/>
    <w:rsid w:val="00946592"/>
    <w:rsid w:val="00946660"/>
    <w:rsid w:val="00946824"/>
    <w:rsid w:val="009468D0"/>
    <w:rsid w:val="009469C5"/>
    <w:rsid w:val="00946AAC"/>
    <w:rsid w:val="00946AD7"/>
    <w:rsid w:val="00946B09"/>
    <w:rsid w:val="00946B45"/>
    <w:rsid w:val="00946C70"/>
    <w:rsid w:val="00946C91"/>
    <w:rsid w:val="00946D12"/>
    <w:rsid w:val="00946E5B"/>
    <w:rsid w:val="00946F70"/>
    <w:rsid w:val="0094706F"/>
    <w:rsid w:val="009471D6"/>
    <w:rsid w:val="0094727C"/>
    <w:rsid w:val="009472D7"/>
    <w:rsid w:val="009473A4"/>
    <w:rsid w:val="009473C6"/>
    <w:rsid w:val="009474BB"/>
    <w:rsid w:val="009475BA"/>
    <w:rsid w:val="00947A23"/>
    <w:rsid w:val="00947A9F"/>
    <w:rsid w:val="00947C41"/>
    <w:rsid w:val="0094DBD9"/>
    <w:rsid w:val="00950015"/>
    <w:rsid w:val="00950129"/>
    <w:rsid w:val="0095069F"/>
    <w:rsid w:val="009509F3"/>
    <w:rsid w:val="00950C0C"/>
    <w:rsid w:val="00950C49"/>
    <w:rsid w:val="00950C97"/>
    <w:rsid w:val="00950CBA"/>
    <w:rsid w:val="00950D97"/>
    <w:rsid w:val="00950E14"/>
    <w:rsid w:val="00950E29"/>
    <w:rsid w:val="00951292"/>
    <w:rsid w:val="009512C4"/>
    <w:rsid w:val="009514C7"/>
    <w:rsid w:val="0095158C"/>
    <w:rsid w:val="0095168C"/>
    <w:rsid w:val="00951978"/>
    <w:rsid w:val="00951A79"/>
    <w:rsid w:val="00951A7C"/>
    <w:rsid w:val="00951AFC"/>
    <w:rsid w:val="00951C63"/>
    <w:rsid w:val="00951FF1"/>
    <w:rsid w:val="0095209B"/>
    <w:rsid w:val="00952105"/>
    <w:rsid w:val="00952135"/>
    <w:rsid w:val="00952215"/>
    <w:rsid w:val="009523FB"/>
    <w:rsid w:val="0095246A"/>
    <w:rsid w:val="009526D3"/>
    <w:rsid w:val="009527BB"/>
    <w:rsid w:val="009527FA"/>
    <w:rsid w:val="009529C5"/>
    <w:rsid w:val="00952A91"/>
    <w:rsid w:val="00952C4D"/>
    <w:rsid w:val="00952F3C"/>
    <w:rsid w:val="00953063"/>
    <w:rsid w:val="0095308B"/>
    <w:rsid w:val="0095338B"/>
    <w:rsid w:val="009534E8"/>
    <w:rsid w:val="009538C1"/>
    <w:rsid w:val="0095400B"/>
    <w:rsid w:val="009540A9"/>
    <w:rsid w:val="00954166"/>
    <w:rsid w:val="009541AB"/>
    <w:rsid w:val="00954235"/>
    <w:rsid w:val="00954355"/>
    <w:rsid w:val="009545EC"/>
    <w:rsid w:val="009547E2"/>
    <w:rsid w:val="009547F9"/>
    <w:rsid w:val="00954989"/>
    <w:rsid w:val="00954A53"/>
    <w:rsid w:val="00954BD1"/>
    <w:rsid w:val="00954C15"/>
    <w:rsid w:val="00954C71"/>
    <w:rsid w:val="00954E75"/>
    <w:rsid w:val="00954ED6"/>
    <w:rsid w:val="00954EEC"/>
    <w:rsid w:val="00955608"/>
    <w:rsid w:val="00955647"/>
    <w:rsid w:val="009556A1"/>
    <w:rsid w:val="00955A65"/>
    <w:rsid w:val="00955F6C"/>
    <w:rsid w:val="00955FB8"/>
    <w:rsid w:val="0095601B"/>
    <w:rsid w:val="00956039"/>
    <w:rsid w:val="009561C7"/>
    <w:rsid w:val="0095626A"/>
    <w:rsid w:val="009563C6"/>
    <w:rsid w:val="0095641E"/>
    <w:rsid w:val="009564C0"/>
    <w:rsid w:val="009566B7"/>
    <w:rsid w:val="00956E45"/>
    <w:rsid w:val="00956FEA"/>
    <w:rsid w:val="0095704A"/>
    <w:rsid w:val="00957262"/>
    <w:rsid w:val="009572F7"/>
    <w:rsid w:val="009573E3"/>
    <w:rsid w:val="0095746B"/>
    <w:rsid w:val="009574D0"/>
    <w:rsid w:val="0095767D"/>
    <w:rsid w:val="00957688"/>
    <w:rsid w:val="009578FC"/>
    <w:rsid w:val="0095791D"/>
    <w:rsid w:val="009579E2"/>
    <w:rsid w:val="00957B5E"/>
    <w:rsid w:val="00957C6E"/>
    <w:rsid w:val="00957DD8"/>
    <w:rsid w:val="00957E55"/>
    <w:rsid w:val="00957E66"/>
    <w:rsid w:val="00957FA6"/>
    <w:rsid w:val="00957FC9"/>
    <w:rsid w:val="009600D3"/>
    <w:rsid w:val="0096027A"/>
    <w:rsid w:val="0096093C"/>
    <w:rsid w:val="009609B7"/>
    <w:rsid w:val="009609ED"/>
    <w:rsid w:val="00960B07"/>
    <w:rsid w:val="00960C96"/>
    <w:rsid w:val="00960D84"/>
    <w:rsid w:val="00960F84"/>
    <w:rsid w:val="009610D0"/>
    <w:rsid w:val="00961111"/>
    <w:rsid w:val="009611C8"/>
    <w:rsid w:val="009615AF"/>
    <w:rsid w:val="009618F2"/>
    <w:rsid w:val="00961B16"/>
    <w:rsid w:val="00961B24"/>
    <w:rsid w:val="00961CDA"/>
    <w:rsid w:val="00961E2B"/>
    <w:rsid w:val="00961E89"/>
    <w:rsid w:val="00961FEC"/>
    <w:rsid w:val="009621C3"/>
    <w:rsid w:val="00962290"/>
    <w:rsid w:val="009622D2"/>
    <w:rsid w:val="009622D5"/>
    <w:rsid w:val="00962438"/>
    <w:rsid w:val="009628D3"/>
    <w:rsid w:val="0096295E"/>
    <w:rsid w:val="009629AA"/>
    <w:rsid w:val="009629AD"/>
    <w:rsid w:val="009629FE"/>
    <w:rsid w:val="00962D45"/>
    <w:rsid w:val="00962DA5"/>
    <w:rsid w:val="00962E1D"/>
    <w:rsid w:val="009630EF"/>
    <w:rsid w:val="009630F0"/>
    <w:rsid w:val="0096319B"/>
    <w:rsid w:val="0096326B"/>
    <w:rsid w:val="009633C5"/>
    <w:rsid w:val="009633FB"/>
    <w:rsid w:val="009634CF"/>
    <w:rsid w:val="0096351D"/>
    <w:rsid w:val="00963A88"/>
    <w:rsid w:val="00963AFD"/>
    <w:rsid w:val="00963C03"/>
    <w:rsid w:val="00964002"/>
    <w:rsid w:val="009641A5"/>
    <w:rsid w:val="009642C4"/>
    <w:rsid w:val="009647C3"/>
    <w:rsid w:val="009648D6"/>
    <w:rsid w:val="00964A6D"/>
    <w:rsid w:val="00964ABD"/>
    <w:rsid w:val="00964B6E"/>
    <w:rsid w:val="00964BA9"/>
    <w:rsid w:val="00964BF8"/>
    <w:rsid w:val="00964C03"/>
    <w:rsid w:val="00964C5B"/>
    <w:rsid w:val="00964C9B"/>
    <w:rsid w:val="00964D47"/>
    <w:rsid w:val="00964E7D"/>
    <w:rsid w:val="00964F1D"/>
    <w:rsid w:val="00964F41"/>
    <w:rsid w:val="00964F8B"/>
    <w:rsid w:val="00964F94"/>
    <w:rsid w:val="00965002"/>
    <w:rsid w:val="009650E1"/>
    <w:rsid w:val="0096513C"/>
    <w:rsid w:val="009652D0"/>
    <w:rsid w:val="00965707"/>
    <w:rsid w:val="0096572B"/>
    <w:rsid w:val="009657EE"/>
    <w:rsid w:val="00965D18"/>
    <w:rsid w:val="0096608A"/>
    <w:rsid w:val="009661CF"/>
    <w:rsid w:val="009664C5"/>
    <w:rsid w:val="00966549"/>
    <w:rsid w:val="00966919"/>
    <w:rsid w:val="009669EC"/>
    <w:rsid w:val="009669ED"/>
    <w:rsid w:val="00966A98"/>
    <w:rsid w:val="00966ABA"/>
    <w:rsid w:val="00966B20"/>
    <w:rsid w:val="00966FC0"/>
    <w:rsid w:val="00967073"/>
    <w:rsid w:val="009672E1"/>
    <w:rsid w:val="00967378"/>
    <w:rsid w:val="00967612"/>
    <w:rsid w:val="00967667"/>
    <w:rsid w:val="00967692"/>
    <w:rsid w:val="009678FC"/>
    <w:rsid w:val="0096798A"/>
    <w:rsid w:val="00967A75"/>
    <w:rsid w:val="00967B67"/>
    <w:rsid w:val="00967C43"/>
    <w:rsid w:val="00967D4C"/>
    <w:rsid w:val="00967D5F"/>
    <w:rsid w:val="00967DFE"/>
    <w:rsid w:val="00970037"/>
    <w:rsid w:val="009701A0"/>
    <w:rsid w:val="009703DA"/>
    <w:rsid w:val="009705DD"/>
    <w:rsid w:val="009708DA"/>
    <w:rsid w:val="00970969"/>
    <w:rsid w:val="00970A5B"/>
    <w:rsid w:val="00970B9D"/>
    <w:rsid w:val="00970D08"/>
    <w:rsid w:val="00970D57"/>
    <w:rsid w:val="00970ECF"/>
    <w:rsid w:val="0097108B"/>
    <w:rsid w:val="00971230"/>
    <w:rsid w:val="0097139B"/>
    <w:rsid w:val="009713B4"/>
    <w:rsid w:val="009714AD"/>
    <w:rsid w:val="0097192A"/>
    <w:rsid w:val="009719BD"/>
    <w:rsid w:val="00971ADD"/>
    <w:rsid w:val="00971B15"/>
    <w:rsid w:val="00971CF8"/>
    <w:rsid w:val="00971CFC"/>
    <w:rsid w:val="00971D86"/>
    <w:rsid w:val="00971D96"/>
    <w:rsid w:val="00971E52"/>
    <w:rsid w:val="0097209C"/>
    <w:rsid w:val="009720FF"/>
    <w:rsid w:val="009721D0"/>
    <w:rsid w:val="00972256"/>
    <w:rsid w:val="00972336"/>
    <w:rsid w:val="009723EF"/>
    <w:rsid w:val="00972526"/>
    <w:rsid w:val="009726B3"/>
    <w:rsid w:val="00972919"/>
    <w:rsid w:val="00972952"/>
    <w:rsid w:val="00972AB3"/>
    <w:rsid w:val="00972ACE"/>
    <w:rsid w:val="00972F7D"/>
    <w:rsid w:val="009730D0"/>
    <w:rsid w:val="0097319F"/>
    <w:rsid w:val="00973437"/>
    <w:rsid w:val="00973486"/>
    <w:rsid w:val="0097376F"/>
    <w:rsid w:val="009738EF"/>
    <w:rsid w:val="009739DF"/>
    <w:rsid w:val="00973BFA"/>
    <w:rsid w:val="00973E07"/>
    <w:rsid w:val="00973E3D"/>
    <w:rsid w:val="0097407B"/>
    <w:rsid w:val="009743C7"/>
    <w:rsid w:val="009744E6"/>
    <w:rsid w:val="009745AE"/>
    <w:rsid w:val="00974886"/>
    <w:rsid w:val="009748EC"/>
    <w:rsid w:val="00974991"/>
    <w:rsid w:val="00974A5E"/>
    <w:rsid w:val="00974ADD"/>
    <w:rsid w:val="00974BE0"/>
    <w:rsid w:val="00974CD8"/>
    <w:rsid w:val="00974CEB"/>
    <w:rsid w:val="00974D11"/>
    <w:rsid w:val="00974D36"/>
    <w:rsid w:val="00974DFA"/>
    <w:rsid w:val="009751EF"/>
    <w:rsid w:val="00975270"/>
    <w:rsid w:val="009754AF"/>
    <w:rsid w:val="009755C5"/>
    <w:rsid w:val="00975644"/>
    <w:rsid w:val="0097566B"/>
    <w:rsid w:val="0097569B"/>
    <w:rsid w:val="009756B5"/>
    <w:rsid w:val="00975704"/>
    <w:rsid w:val="00975759"/>
    <w:rsid w:val="00975830"/>
    <w:rsid w:val="00975842"/>
    <w:rsid w:val="00975BF9"/>
    <w:rsid w:val="00975E0C"/>
    <w:rsid w:val="00975E2F"/>
    <w:rsid w:val="00975F1E"/>
    <w:rsid w:val="00975FB7"/>
    <w:rsid w:val="00976048"/>
    <w:rsid w:val="009760A2"/>
    <w:rsid w:val="009761AB"/>
    <w:rsid w:val="009761B6"/>
    <w:rsid w:val="0097648A"/>
    <w:rsid w:val="00976601"/>
    <w:rsid w:val="00976723"/>
    <w:rsid w:val="0097683F"/>
    <w:rsid w:val="0097690A"/>
    <w:rsid w:val="00976C70"/>
    <w:rsid w:val="00976E79"/>
    <w:rsid w:val="009770AD"/>
    <w:rsid w:val="009771A3"/>
    <w:rsid w:val="00977309"/>
    <w:rsid w:val="009774C6"/>
    <w:rsid w:val="00977689"/>
    <w:rsid w:val="009777B3"/>
    <w:rsid w:val="009777C6"/>
    <w:rsid w:val="00977818"/>
    <w:rsid w:val="0097784F"/>
    <w:rsid w:val="00977ADD"/>
    <w:rsid w:val="00977BD2"/>
    <w:rsid w:val="00977C33"/>
    <w:rsid w:val="00977C92"/>
    <w:rsid w:val="00977FE2"/>
    <w:rsid w:val="00980062"/>
    <w:rsid w:val="009803B4"/>
    <w:rsid w:val="009806A1"/>
    <w:rsid w:val="009809FC"/>
    <w:rsid w:val="00980D22"/>
    <w:rsid w:val="00980DE8"/>
    <w:rsid w:val="00980F1B"/>
    <w:rsid w:val="00980FC0"/>
    <w:rsid w:val="00981022"/>
    <w:rsid w:val="0098102D"/>
    <w:rsid w:val="0098107C"/>
    <w:rsid w:val="00981090"/>
    <w:rsid w:val="009810FF"/>
    <w:rsid w:val="00981135"/>
    <w:rsid w:val="00981426"/>
    <w:rsid w:val="009814EC"/>
    <w:rsid w:val="0098189F"/>
    <w:rsid w:val="009819E6"/>
    <w:rsid w:val="00981CE0"/>
    <w:rsid w:val="00981D54"/>
    <w:rsid w:val="00981FA8"/>
    <w:rsid w:val="00982052"/>
    <w:rsid w:val="00982166"/>
    <w:rsid w:val="00982193"/>
    <w:rsid w:val="009823D2"/>
    <w:rsid w:val="00982793"/>
    <w:rsid w:val="0098279E"/>
    <w:rsid w:val="009827E5"/>
    <w:rsid w:val="00982850"/>
    <w:rsid w:val="0098298C"/>
    <w:rsid w:val="009829EA"/>
    <w:rsid w:val="00982BBB"/>
    <w:rsid w:val="00982D1E"/>
    <w:rsid w:val="00982DDE"/>
    <w:rsid w:val="00982E1A"/>
    <w:rsid w:val="00982E78"/>
    <w:rsid w:val="00982FF3"/>
    <w:rsid w:val="00983230"/>
    <w:rsid w:val="009833EE"/>
    <w:rsid w:val="00983612"/>
    <w:rsid w:val="0098363A"/>
    <w:rsid w:val="00983A34"/>
    <w:rsid w:val="00983B39"/>
    <w:rsid w:val="00983C13"/>
    <w:rsid w:val="00983C3E"/>
    <w:rsid w:val="00983C41"/>
    <w:rsid w:val="00983D2A"/>
    <w:rsid w:val="00983F17"/>
    <w:rsid w:val="0098410D"/>
    <w:rsid w:val="00984372"/>
    <w:rsid w:val="009845FF"/>
    <w:rsid w:val="0098462C"/>
    <w:rsid w:val="00984870"/>
    <w:rsid w:val="00984A30"/>
    <w:rsid w:val="00984CA3"/>
    <w:rsid w:val="00984DAF"/>
    <w:rsid w:val="00984DB0"/>
    <w:rsid w:val="009850A2"/>
    <w:rsid w:val="009850D5"/>
    <w:rsid w:val="009850E6"/>
    <w:rsid w:val="00985195"/>
    <w:rsid w:val="00985242"/>
    <w:rsid w:val="009852AA"/>
    <w:rsid w:val="009856AB"/>
    <w:rsid w:val="00985A79"/>
    <w:rsid w:val="009860E0"/>
    <w:rsid w:val="009860F1"/>
    <w:rsid w:val="0098611D"/>
    <w:rsid w:val="0098613E"/>
    <w:rsid w:val="009861B4"/>
    <w:rsid w:val="00986316"/>
    <w:rsid w:val="009863B7"/>
    <w:rsid w:val="0098648B"/>
    <w:rsid w:val="009864FB"/>
    <w:rsid w:val="00986686"/>
    <w:rsid w:val="00986859"/>
    <w:rsid w:val="00986930"/>
    <w:rsid w:val="00986B64"/>
    <w:rsid w:val="00986CBA"/>
    <w:rsid w:val="00986D89"/>
    <w:rsid w:val="009870A1"/>
    <w:rsid w:val="00987291"/>
    <w:rsid w:val="009876B4"/>
    <w:rsid w:val="009877C1"/>
    <w:rsid w:val="00987A28"/>
    <w:rsid w:val="00987A3C"/>
    <w:rsid w:val="00987BC0"/>
    <w:rsid w:val="00987C2E"/>
    <w:rsid w:val="00987C8D"/>
    <w:rsid w:val="00987E2C"/>
    <w:rsid w:val="00990420"/>
    <w:rsid w:val="009909F8"/>
    <w:rsid w:val="00990A2B"/>
    <w:rsid w:val="00990BAD"/>
    <w:rsid w:val="00990BCE"/>
    <w:rsid w:val="00990BF7"/>
    <w:rsid w:val="00991129"/>
    <w:rsid w:val="00991322"/>
    <w:rsid w:val="009913DD"/>
    <w:rsid w:val="00991427"/>
    <w:rsid w:val="00991453"/>
    <w:rsid w:val="00991454"/>
    <w:rsid w:val="009914C4"/>
    <w:rsid w:val="00991555"/>
    <w:rsid w:val="0099170B"/>
    <w:rsid w:val="00991755"/>
    <w:rsid w:val="009917C9"/>
    <w:rsid w:val="0099185E"/>
    <w:rsid w:val="009918BB"/>
    <w:rsid w:val="00991AFC"/>
    <w:rsid w:val="00991C23"/>
    <w:rsid w:val="00991C5B"/>
    <w:rsid w:val="00991CE9"/>
    <w:rsid w:val="00991D0C"/>
    <w:rsid w:val="00991D42"/>
    <w:rsid w:val="00991D7F"/>
    <w:rsid w:val="00992044"/>
    <w:rsid w:val="00992096"/>
    <w:rsid w:val="009920AE"/>
    <w:rsid w:val="009920CE"/>
    <w:rsid w:val="00992545"/>
    <w:rsid w:val="00992958"/>
    <w:rsid w:val="00992997"/>
    <w:rsid w:val="00992CC5"/>
    <w:rsid w:val="00992D7F"/>
    <w:rsid w:val="00992DDE"/>
    <w:rsid w:val="00993015"/>
    <w:rsid w:val="00993021"/>
    <w:rsid w:val="009930D5"/>
    <w:rsid w:val="00993211"/>
    <w:rsid w:val="009933A5"/>
    <w:rsid w:val="009933AE"/>
    <w:rsid w:val="00993419"/>
    <w:rsid w:val="0099362C"/>
    <w:rsid w:val="0099370C"/>
    <w:rsid w:val="0099387B"/>
    <w:rsid w:val="009938FC"/>
    <w:rsid w:val="009939AC"/>
    <w:rsid w:val="00993A86"/>
    <w:rsid w:val="00993A9E"/>
    <w:rsid w:val="00993B7D"/>
    <w:rsid w:val="00993BCC"/>
    <w:rsid w:val="0099404E"/>
    <w:rsid w:val="00994070"/>
    <w:rsid w:val="009940A9"/>
    <w:rsid w:val="00994605"/>
    <w:rsid w:val="00994A28"/>
    <w:rsid w:val="00994D79"/>
    <w:rsid w:val="00994E75"/>
    <w:rsid w:val="00995027"/>
    <w:rsid w:val="0099508C"/>
    <w:rsid w:val="009950FF"/>
    <w:rsid w:val="0099510B"/>
    <w:rsid w:val="00995135"/>
    <w:rsid w:val="00995473"/>
    <w:rsid w:val="00995596"/>
    <w:rsid w:val="00995601"/>
    <w:rsid w:val="00995672"/>
    <w:rsid w:val="009956A4"/>
    <w:rsid w:val="0099570C"/>
    <w:rsid w:val="0099574B"/>
    <w:rsid w:val="0099589A"/>
    <w:rsid w:val="00995919"/>
    <w:rsid w:val="009959BD"/>
    <w:rsid w:val="00995D86"/>
    <w:rsid w:val="00995DD7"/>
    <w:rsid w:val="0099601A"/>
    <w:rsid w:val="00996415"/>
    <w:rsid w:val="009964D2"/>
    <w:rsid w:val="0099656F"/>
    <w:rsid w:val="00996603"/>
    <w:rsid w:val="00996621"/>
    <w:rsid w:val="00996677"/>
    <w:rsid w:val="00996682"/>
    <w:rsid w:val="00996A81"/>
    <w:rsid w:val="00996B2F"/>
    <w:rsid w:val="00996B60"/>
    <w:rsid w:val="00996BBD"/>
    <w:rsid w:val="00996ECD"/>
    <w:rsid w:val="00996ECE"/>
    <w:rsid w:val="00996ED1"/>
    <w:rsid w:val="00996F04"/>
    <w:rsid w:val="009970F9"/>
    <w:rsid w:val="00997222"/>
    <w:rsid w:val="009978C5"/>
    <w:rsid w:val="009978EA"/>
    <w:rsid w:val="00997A2E"/>
    <w:rsid w:val="00997B8F"/>
    <w:rsid w:val="00997D68"/>
    <w:rsid w:val="00997E6E"/>
    <w:rsid w:val="009A02DB"/>
    <w:rsid w:val="009A0351"/>
    <w:rsid w:val="009A0618"/>
    <w:rsid w:val="009A0726"/>
    <w:rsid w:val="009A0869"/>
    <w:rsid w:val="009A0A28"/>
    <w:rsid w:val="009A0A2A"/>
    <w:rsid w:val="009A0A76"/>
    <w:rsid w:val="009A0BB4"/>
    <w:rsid w:val="009A0D45"/>
    <w:rsid w:val="009A109B"/>
    <w:rsid w:val="009A10DA"/>
    <w:rsid w:val="009A1144"/>
    <w:rsid w:val="009A14FA"/>
    <w:rsid w:val="009A1772"/>
    <w:rsid w:val="009A17D0"/>
    <w:rsid w:val="009A1969"/>
    <w:rsid w:val="009A199E"/>
    <w:rsid w:val="009A1A3C"/>
    <w:rsid w:val="009A1AD9"/>
    <w:rsid w:val="009A1B36"/>
    <w:rsid w:val="009A1D35"/>
    <w:rsid w:val="009A1FAD"/>
    <w:rsid w:val="009A2484"/>
    <w:rsid w:val="009A24A6"/>
    <w:rsid w:val="009A24BB"/>
    <w:rsid w:val="009A25BC"/>
    <w:rsid w:val="009A2620"/>
    <w:rsid w:val="009A2744"/>
    <w:rsid w:val="009A2747"/>
    <w:rsid w:val="009A2980"/>
    <w:rsid w:val="009A29E2"/>
    <w:rsid w:val="009A2B9E"/>
    <w:rsid w:val="009A2D4B"/>
    <w:rsid w:val="009A2EB9"/>
    <w:rsid w:val="009A2F15"/>
    <w:rsid w:val="009A3108"/>
    <w:rsid w:val="009A31E8"/>
    <w:rsid w:val="009A3252"/>
    <w:rsid w:val="009A32B7"/>
    <w:rsid w:val="009A3347"/>
    <w:rsid w:val="009A33C0"/>
    <w:rsid w:val="009A35BE"/>
    <w:rsid w:val="009A3692"/>
    <w:rsid w:val="009A36F2"/>
    <w:rsid w:val="009A37AB"/>
    <w:rsid w:val="009A393C"/>
    <w:rsid w:val="009A399A"/>
    <w:rsid w:val="009A3AF2"/>
    <w:rsid w:val="009A3C10"/>
    <w:rsid w:val="009A3C23"/>
    <w:rsid w:val="009A3C36"/>
    <w:rsid w:val="009A3FEC"/>
    <w:rsid w:val="009A4214"/>
    <w:rsid w:val="009A4280"/>
    <w:rsid w:val="009A42DA"/>
    <w:rsid w:val="009A44F1"/>
    <w:rsid w:val="009A4583"/>
    <w:rsid w:val="009A462C"/>
    <w:rsid w:val="009A4656"/>
    <w:rsid w:val="009A469B"/>
    <w:rsid w:val="009A47B5"/>
    <w:rsid w:val="009A47F8"/>
    <w:rsid w:val="009A4919"/>
    <w:rsid w:val="009A4B85"/>
    <w:rsid w:val="009A4C6F"/>
    <w:rsid w:val="009A4D73"/>
    <w:rsid w:val="009A4DCB"/>
    <w:rsid w:val="009A4EBB"/>
    <w:rsid w:val="009A4EEF"/>
    <w:rsid w:val="009A5059"/>
    <w:rsid w:val="009A5118"/>
    <w:rsid w:val="009A5241"/>
    <w:rsid w:val="009A5279"/>
    <w:rsid w:val="009A52B5"/>
    <w:rsid w:val="009A52FE"/>
    <w:rsid w:val="009A535E"/>
    <w:rsid w:val="009A54C4"/>
    <w:rsid w:val="009A54D1"/>
    <w:rsid w:val="009A54E6"/>
    <w:rsid w:val="009A54F8"/>
    <w:rsid w:val="009A555D"/>
    <w:rsid w:val="009A5643"/>
    <w:rsid w:val="009A5651"/>
    <w:rsid w:val="009A56BA"/>
    <w:rsid w:val="009A5773"/>
    <w:rsid w:val="009A5A13"/>
    <w:rsid w:val="009A5A64"/>
    <w:rsid w:val="009A5BC1"/>
    <w:rsid w:val="009A5C65"/>
    <w:rsid w:val="009A5D5F"/>
    <w:rsid w:val="009A60A9"/>
    <w:rsid w:val="009A60B2"/>
    <w:rsid w:val="009A6395"/>
    <w:rsid w:val="009A65B8"/>
    <w:rsid w:val="009A6621"/>
    <w:rsid w:val="009A6694"/>
    <w:rsid w:val="009A669A"/>
    <w:rsid w:val="009A66DB"/>
    <w:rsid w:val="009A68BB"/>
    <w:rsid w:val="009A6A08"/>
    <w:rsid w:val="009A6A61"/>
    <w:rsid w:val="009A6C54"/>
    <w:rsid w:val="009A6D0D"/>
    <w:rsid w:val="009A6E7E"/>
    <w:rsid w:val="009A71F6"/>
    <w:rsid w:val="009A7237"/>
    <w:rsid w:val="009A7446"/>
    <w:rsid w:val="009A74DF"/>
    <w:rsid w:val="009A788A"/>
    <w:rsid w:val="009A79BE"/>
    <w:rsid w:val="009A7A52"/>
    <w:rsid w:val="009A7AAE"/>
    <w:rsid w:val="009A7BBD"/>
    <w:rsid w:val="009A7BD3"/>
    <w:rsid w:val="009A7CA4"/>
    <w:rsid w:val="009A7D21"/>
    <w:rsid w:val="009A7E7A"/>
    <w:rsid w:val="009AF357"/>
    <w:rsid w:val="009B0247"/>
    <w:rsid w:val="009B02B2"/>
    <w:rsid w:val="009B04BA"/>
    <w:rsid w:val="009B0802"/>
    <w:rsid w:val="009B0924"/>
    <w:rsid w:val="009B0ADC"/>
    <w:rsid w:val="009B0ADD"/>
    <w:rsid w:val="009B0AE3"/>
    <w:rsid w:val="009B0C3E"/>
    <w:rsid w:val="009B0C7B"/>
    <w:rsid w:val="009B0D87"/>
    <w:rsid w:val="009B0EE4"/>
    <w:rsid w:val="009B0F5A"/>
    <w:rsid w:val="009B123B"/>
    <w:rsid w:val="009B1276"/>
    <w:rsid w:val="009B12D7"/>
    <w:rsid w:val="009B13BA"/>
    <w:rsid w:val="009B13E9"/>
    <w:rsid w:val="009B1896"/>
    <w:rsid w:val="009B18E5"/>
    <w:rsid w:val="009B1B15"/>
    <w:rsid w:val="009B1C92"/>
    <w:rsid w:val="009B1DF0"/>
    <w:rsid w:val="009B1EA1"/>
    <w:rsid w:val="009B1ED8"/>
    <w:rsid w:val="009B2005"/>
    <w:rsid w:val="009B2078"/>
    <w:rsid w:val="009B223C"/>
    <w:rsid w:val="009B2289"/>
    <w:rsid w:val="009B2458"/>
    <w:rsid w:val="009B25F8"/>
    <w:rsid w:val="009B26AB"/>
    <w:rsid w:val="009B2900"/>
    <w:rsid w:val="009B29BD"/>
    <w:rsid w:val="009B2B89"/>
    <w:rsid w:val="009B2E20"/>
    <w:rsid w:val="009B2F90"/>
    <w:rsid w:val="009B3023"/>
    <w:rsid w:val="009B30E2"/>
    <w:rsid w:val="009B324F"/>
    <w:rsid w:val="009B3354"/>
    <w:rsid w:val="009B33C2"/>
    <w:rsid w:val="009B3447"/>
    <w:rsid w:val="009B3473"/>
    <w:rsid w:val="009B3700"/>
    <w:rsid w:val="009B3762"/>
    <w:rsid w:val="009B376E"/>
    <w:rsid w:val="009B3787"/>
    <w:rsid w:val="009B3900"/>
    <w:rsid w:val="009B3907"/>
    <w:rsid w:val="009B3CA1"/>
    <w:rsid w:val="009B3CEA"/>
    <w:rsid w:val="009B3D30"/>
    <w:rsid w:val="009B3E07"/>
    <w:rsid w:val="009B3E49"/>
    <w:rsid w:val="009B3E5B"/>
    <w:rsid w:val="009B3F31"/>
    <w:rsid w:val="009B3F8E"/>
    <w:rsid w:val="009B4117"/>
    <w:rsid w:val="009B420A"/>
    <w:rsid w:val="009B42C0"/>
    <w:rsid w:val="009B439B"/>
    <w:rsid w:val="009B4456"/>
    <w:rsid w:val="009B449F"/>
    <w:rsid w:val="009B45F6"/>
    <w:rsid w:val="009B46E2"/>
    <w:rsid w:val="009B491B"/>
    <w:rsid w:val="009B49CD"/>
    <w:rsid w:val="009B4C14"/>
    <w:rsid w:val="009B4C79"/>
    <w:rsid w:val="009B4CC9"/>
    <w:rsid w:val="009B4CEF"/>
    <w:rsid w:val="009B4FAE"/>
    <w:rsid w:val="009B4FCC"/>
    <w:rsid w:val="009B52A0"/>
    <w:rsid w:val="009B5449"/>
    <w:rsid w:val="009B546A"/>
    <w:rsid w:val="009B54A0"/>
    <w:rsid w:val="009B560E"/>
    <w:rsid w:val="009B561D"/>
    <w:rsid w:val="009B56ED"/>
    <w:rsid w:val="009B571F"/>
    <w:rsid w:val="009B58BB"/>
    <w:rsid w:val="009B5A3E"/>
    <w:rsid w:val="009B5B2D"/>
    <w:rsid w:val="009B5C68"/>
    <w:rsid w:val="009B5CCD"/>
    <w:rsid w:val="009B5D2C"/>
    <w:rsid w:val="009B5D69"/>
    <w:rsid w:val="009B5FF1"/>
    <w:rsid w:val="009B61CE"/>
    <w:rsid w:val="009B62F3"/>
    <w:rsid w:val="009B646A"/>
    <w:rsid w:val="009B6599"/>
    <w:rsid w:val="009B66A1"/>
    <w:rsid w:val="009B6A34"/>
    <w:rsid w:val="009B6C0C"/>
    <w:rsid w:val="009B6C23"/>
    <w:rsid w:val="009B6CAD"/>
    <w:rsid w:val="009B6D57"/>
    <w:rsid w:val="009B6DBA"/>
    <w:rsid w:val="009B6DEE"/>
    <w:rsid w:val="009B6E3F"/>
    <w:rsid w:val="009B6E4F"/>
    <w:rsid w:val="009B712D"/>
    <w:rsid w:val="009B71AE"/>
    <w:rsid w:val="009B72F9"/>
    <w:rsid w:val="009B730F"/>
    <w:rsid w:val="009B738F"/>
    <w:rsid w:val="009B744D"/>
    <w:rsid w:val="009B758A"/>
    <w:rsid w:val="009B76EC"/>
    <w:rsid w:val="009B7793"/>
    <w:rsid w:val="009B7C3E"/>
    <w:rsid w:val="009B7D2F"/>
    <w:rsid w:val="009B7D3F"/>
    <w:rsid w:val="009C0257"/>
    <w:rsid w:val="009C0279"/>
    <w:rsid w:val="009C02CE"/>
    <w:rsid w:val="009C0365"/>
    <w:rsid w:val="009C094E"/>
    <w:rsid w:val="009C09C7"/>
    <w:rsid w:val="009C0A3A"/>
    <w:rsid w:val="009C0C3E"/>
    <w:rsid w:val="009C0F99"/>
    <w:rsid w:val="009C1016"/>
    <w:rsid w:val="009C1046"/>
    <w:rsid w:val="009C10CF"/>
    <w:rsid w:val="009C12FF"/>
    <w:rsid w:val="009C136C"/>
    <w:rsid w:val="009C1383"/>
    <w:rsid w:val="009C1662"/>
    <w:rsid w:val="009C1837"/>
    <w:rsid w:val="009C18AA"/>
    <w:rsid w:val="009C1924"/>
    <w:rsid w:val="009C1A20"/>
    <w:rsid w:val="009C1C85"/>
    <w:rsid w:val="009C1DEE"/>
    <w:rsid w:val="009C1EC7"/>
    <w:rsid w:val="009C1F8C"/>
    <w:rsid w:val="009C207A"/>
    <w:rsid w:val="009C209F"/>
    <w:rsid w:val="009C2107"/>
    <w:rsid w:val="009C22A2"/>
    <w:rsid w:val="009C22D7"/>
    <w:rsid w:val="009C2391"/>
    <w:rsid w:val="009C23F3"/>
    <w:rsid w:val="009C2437"/>
    <w:rsid w:val="009C25F0"/>
    <w:rsid w:val="009C27A3"/>
    <w:rsid w:val="009C27E2"/>
    <w:rsid w:val="009C2A87"/>
    <w:rsid w:val="009C2C83"/>
    <w:rsid w:val="009C2CA7"/>
    <w:rsid w:val="009C2E23"/>
    <w:rsid w:val="009C2FC1"/>
    <w:rsid w:val="009C304C"/>
    <w:rsid w:val="009C3190"/>
    <w:rsid w:val="009C31B2"/>
    <w:rsid w:val="009C3350"/>
    <w:rsid w:val="009C3353"/>
    <w:rsid w:val="009C33B7"/>
    <w:rsid w:val="009C34C6"/>
    <w:rsid w:val="009C361E"/>
    <w:rsid w:val="009C367C"/>
    <w:rsid w:val="009C377C"/>
    <w:rsid w:val="009C3848"/>
    <w:rsid w:val="009C39E6"/>
    <w:rsid w:val="009C3B00"/>
    <w:rsid w:val="009C3B23"/>
    <w:rsid w:val="009C3FE0"/>
    <w:rsid w:val="009C4251"/>
    <w:rsid w:val="009C434F"/>
    <w:rsid w:val="009C440F"/>
    <w:rsid w:val="009C4672"/>
    <w:rsid w:val="009C482C"/>
    <w:rsid w:val="009C4AAC"/>
    <w:rsid w:val="009C4EB8"/>
    <w:rsid w:val="009C5273"/>
    <w:rsid w:val="009C52A0"/>
    <w:rsid w:val="009C5320"/>
    <w:rsid w:val="009C549B"/>
    <w:rsid w:val="009C5565"/>
    <w:rsid w:val="009C556D"/>
    <w:rsid w:val="009C55A9"/>
    <w:rsid w:val="009C55F9"/>
    <w:rsid w:val="009C562D"/>
    <w:rsid w:val="009C580A"/>
    <w:rsid w:val="009C5994"/>
    <w:rsid w:val="009C5A6A"/>
    <w:rsid w:val="009C5AEE"/>
    <w:rsid w:val="009C5F42"/>
    <w:rsid w:val="009C5F51"/>
    <w:rsid w:val="009C5F68"/>
    <w:rsid w:val="009C5FCD"/>
    <w:rsid w:val="009C60E3"/>
    <w:rsid w:val="009C614B"/>
    <w:rsid w:val="009C6180"/>
    <w:rsid w:val="009C6375"/>
    <w:rsid w:val="009C64FE"/>
    <w:rsid w:val="009C663B"/>
    <w:rsid w:val="009C6671"/>
    <w:rsid w:val="009C6883"/>
    <w:rsid w:val="009C68B3"/>
    <w:rsid w:val="009C69B7"/>
    <w:rsid w:val="009C6A48"/>
    <w:rsid w:val="009C6B59"/>
    <w:rsid w:val="009C6CAE"/>
    <w:rsid w:val="009C6CD7"/>
    <w:rsid w:val="009C7083"/>
    <w:rsid w:val="009C7144"/>
    <w:rsid w:val="009C727B"/>
    <w:rsid w:val="009C739F"/>
    <w:rsid w:val="009C748C"/>
    <w:rsid w:val="009C74F8"/>
    <w:rsid w:val="009C77F2"/>
    <w:rsid w:val="009C7AFA"/>
    <w:rsid w:val="009C7B38"/>
    <w:rsid w:val="009C7D35"/>
    <w:rsid w:val="009D0147"/>
    <w:rsid w:val="009D0315"/>
    <w:rsid w:val="009D041C"/>
    <w:rsid w:val="009D0520"/>
    <w:rsid w:val="009D0683"/>
    <w:rsid w:val="009D0708"/>
    <w:rsid w:val="009D0760"/>
    <w:rsid w:val="009D08C1"/>
    <w:rsid w:val="009D0908"/>
    <w:rsid w:val="009D0A62"/>
    <w:rsid w:val="009D0A88"/>
    <w:rsid w:val="009D0B7A"/>
    <w:rsid w:val="009D0BDC"/>
    <w:rsid w:val="009D1162"/>
    <w:rsid w:val="009D148B"/>
    <w:rsid w:val="009D1624"/>
    <w:rsid w:val="009D16C1"/>
    <w:rsid w:val="009D1AC1"/>
    <w:rsid w:val="009D1D0E"/>
    <w:rsid w:val="009D1F99"/>
    <w:rsid w:val="009D1FBD"/>
    <w:rsid w:val="009D21E5"/>
    <w:rsid w:val="009D2267"/>
    <w:rsid w:val="009D241A"/>
    <w:rsid w:val="009D2470"/>
    <w:rsid w:val="009D26C8"/>
    <w:rsid w:val="009D28B7"/>
    <w:rsid w:val="009D2918"/>
    <w:rsid w:val="009D297A"/>
    <w:rsid w:val="009D2C0B"/>
    <w:rsid w:val="009D2E48"/>
    <w:rsid w:val="009D3131"/>
    <w:rsid w:val="009D3151"/>
    <w:rsid w:val="009D31C7"/>
    <w:rsid w:val="009D34A3"/>
    <w:rsid w:val="009D372C"/>
    <w:rsid w:val="009D37C3"/>
    <w:rsid w:val="009D39C4"/>
    <w:rsid w:val="009D3C04"/>
    <w:rsid w:val="009D3CFB"/>
    <w:rsid w:val="009D3DB9"/>
    <w:rsid w:val="009D3E2E"/>
    <w:rsid w:val="009D403B"/>
    <w:rsid w:val="009D427C"/>
    <w:rsid w:val="009D4434"/>
    <w:rsid w:val="009D4436"/>
    <w:rsid w:val="009D4762"/>
    <w:rsid w:val="009D4A23"/>
    <w:rsid w:val="009D4A40"/>
    <w:rsid w:val="009D4BB5"/>
    <w:rsid w:val="009D4BD7"/>
    <w:rsid w:val="009D4BF7"/>
    <w:rsid w:val="009D4CFA"/>
    <w:rsid w:val="009D4EFD"/>
    <w:rsid w:val="009D4FE2"/>
    <w:rsid w:val="009D4FFA"/>
    <w:rsid w:val="009D5078"/>
    <w:rsid w:val="009D525B"/>
    <w:rsid w:val="009D540D"/>
    <w:rsid w:val="009D5549"/>
    <w:rsid w:val="009D5737"/>
    <w:rsid w:val="009D5A0F"/>
    <w:rsid w:val="009D5B09"/>
    <w:rsid w:val="009D5EA3"/>
    <w:rsid w:val="009D6021"/>
    <w:rsid w:val="009D61AC"/>
    <w:rsid w:val="009D6283"/>
    <w:rsid w:val="009D63A2"/>
    <w:rsid w:val="009D63CC"/>
    <w:rsid w:val="009D63D6"/>
    <w:rsid w:val="009D668F"/>
    <w:rsid w:val="009D69B4"/>
    <w:rsid w:val="009D69DE"/>
    <w:rsid w:val="009D6A44"/>
    <w:rsid w:val="009D6B6C"/>
    <w:rsid w:val="009D6D23"/>
    <w:rsid w:val="009D6E9D"/>
    <w:rsid w:val="009D7241"/>
    <w:rsid w:val="009D742D"/>
    <w:rsid w:val="009D74AD"/>
    <w:rsid w:val="009D74C9"/>
    <w:rsid w:val="009D7605"/>
    <w:rsid w:val="009D7801"/>
    <w:rsid w:val="009D796F"/>
    <w:rsid w:val="009D7A8B"/>
    <w:rsid w:val="009D7AD7"/>
    <w:rsid w:val="009D7FBE"/>
    <w:rsid w:val="009E0078"/>
    <w:rsid w:val="009E0545"/>
    <w:rsid w:val="009E06A5"/>
    <w:rsid w:val="009E08ED"/>
    <w:rsid w:val="009E0A51"/>
    <w:rsid w:val="009E0B31"/>
    <w:rsid w:val="009E0BE2"/>
    <w:rsid w:val="009E0E62"/>
    <w:rsid w:val="009E0F1F"/>
    <w:rsid w:val="009E0F84"/>
    <w:rsid w:val="009E10A0"/>
    <w:rsid w:val="009E129A"/>
    <w:rsid w:val="009E12B0"/>
    <w:rsid w:val="009E13D6"/>
    <w:rsid w:val="009E1471"/>
    <w:rsid w:val="009E14FB"/>
    <w:rsid w:val="009E1778"/>
    <w:rsid w:val="009E17A2"/>
    <w:rsid w:val="009E1A8B"/>
    <w:rsid w:val="009E1AC5"/>
    <w:rsid w:val="009E1B1D"/>
    <w:rsid w:val="009E1BD1"/>
    <w:rsid w:val="009E1DDE"/>
    <w:rsid w:val="009E1E61"/>
    <w:rsid w:val="009E206F"/>
    <w:rsid w:val="009E2174"/>
    <w:rsid w:val="009E226E"/>
    <w:rsid w:val="009E22F9"/>
    <w:rsid w:val="009E2304"/>
    <w:rsid w:val="009E2387"/>
    <w:rsid w:val="009E2405"/>
    <w:rsid w:val="009E2586"/>
    <w:rsid w:val="009E27E7"/>
    <w:rsid w:val="009E298B"/>
    <w:rsid w:val="009E2A2C"/>
    <w:rsid w:val="009E2E45"/>
    <w:rsid w:val="009E3085"/>
    <w:rsid w:val="009E30BF"/>
    <w:rsid w:val="009E3139"/>
    <w:rsid w:val="009E327D"/>
    <w:rsid w:val="009E3442"/>
    <w:rsid w:val="009E349E"/>
    <w:rsid w:val="009E3668"/>
    <w:rsid w:val="009E3680"/>
    <w:rsid w:val="009E36CC"/>
    <w:rsid w:val="009E3762"/>
    <w:rsid w:val="009E3820"/>
    <w:rsid w:val="009E3A1D"/>
    <w:rsid w:val="009E3A82"/>
    <w:rsid w:val="009E3AEB"/>
    <w:rsid w:val="009E3BA7"/>
    <w:rsid w:val="009E3BBC"/>
    <w:rsid w:val="009E3C64"/>
    <w:rsid w:val="009E3CEC"/>
    <w:rsid w:val="009E3E1F"/>
    <w:rsid w:val="009E3F92"/>
    <w:rsid w:val="009E40F6"/>
    <w:rsid w:val="009E40FE"/>
    <w:rsid w:val="009E411A"/>
    <w:rsid w:val="009E4138"/>
    <w:rsid w:val="009E4292"/>
    <w:rsid w:val="009E430E"/>
    <w:rsid w:val="009E47F7"/>
    <w:rsid w:val="009E4883"/>
    <w:rsid w:val="009E48EB"/>
    <w:rsid w:val="009E495D"/>
    <w:rsid w:val="009E4BC5"/>
    <w:rsid w:val="009E4CD5"/>
    <w:rsid w:val="009E4DC0"/>
    <w:rsid w:val="009E4F54"/>
    <w:rsid w:val="009E5578"/>
    <w:rsid w:val="009E5643"/>
    <w:rsid w:val="009E5689"/>
    <w:rsid w:val="009E56E2"/>
    <w:rsid w:val="009E57FB"/>
    <w:rsid w:val="009E597F"/>
    <w:rsid w:val="009E5A8B"/>
    <w:rsid w:val="009E5BAE"/>
    <w:rsid w:val="009E5EFF"/>
    <w:rsid w:val="009E5FC2"/>
    <w:rsid w:val="009E6076"/>
    <w:rsid w:val="009E60A8"/>
    <w:rsid w:val="009E63C0"/>
    <w:rsid w:val="009E64D4"/>
    <w:rsid w:val="009E6679"/>
    <w:rsid w:val="009E6684"/>
    <w:rsid w:val="009E6741"/>
    <w:rsid w:val="009E6774"/>
    <w:rsid w:val="009E67FB"/>
    <w:rsid w:val="009E6B44"/>
    <w:rsid w:val="009E6E55"/>
    <w:rsid w:val="009E6E69"/>
    <w:rsid w:val="009E6EE0"/>
    <w:rsid w:val="009E6FB6"/>
    <w:rsid w:val="009E6FC4"/>
    <w:rsid w:val="009E70F0"/>
    <w:rsid w:val="009E7337"/>
    <w:rsid w:val="009E75C7"/>
    <w:rsid w:val="009E7601"/>
    <w:rsid w:val="009E76C7"/>
    <w:rsid w:val="009E7748"/>
    <w:rsid w:val="009E786B"/>
    <w:rsid w:val="009E7AAE"/>
    <w:rsid w:val="009E7C67"/>
    <w:rsid w:val="009E7CC3"/>
    <w:rsid w:val="009E7D9B"/>
    <w:rsid w:val="009E7DEE"/>
    <w:rsid w:val="009E7EC5"/>
    <w:rsid w:val="009E7F24"/>
    <w:rsid w:val="009E7F90"/>
    <w:rsid w:val="009E7FAC"/>
    <w:rsid w:val="009E7FFD"/>
    <w:rsid w:val="009F00E2"/>
    <w:rsid w:val="009F0110"/>
    <w:rsid w:val="009F01C1"/>
    <w:rsid w:val="009F0328"/>
    <w:rsid w:val="009F03E6"/>
    <w:rsid w:val="009F05A4"/>
    <w:rsid w:val="009F0715"/>
    <w:rsid w:val="009F079E"/>
    <w:rsid w:val="009F0ABA"/>
    <w:rsid w:val="009F0C7D"/>
    <w:rsid w:val="009F0D81"/>
    <w:rsid w:val="009F0DB4"/>
    <w:rsid w:val="009F0F1D"/>
    <w:rsid w:val="009F0F6C"/>
    <w:rsid w:val="009F10D6"/>
    <w:rsid w:val="009F1130"/>
    <w:rsid w:val="009F11BF"/>
    <w:rsid w:val="009F11DC"/>
    <w:rsid w:val="009F128D"/>
    <w:rsid w:val="009F133D"/>
    <w:rsid w:val="009F1602"/>
    <w:rsid w:val="009F167F"/>
    <w:rsid w:val="009F16F4"/>
    <w:rsid w:val="009F1927"/>
    <w:rsid w:val="009F1957"/>
    <w:rsid w:val="009F19FA"/>
    <w:rsid w:val="009F1C37"/>
    <w:rsid w:val="009F1D42"/>
    <w:rsid w:val="009F1D43"/>
    <w:rsid w:val="009F215E"/>
    <w:rsid w:val="009F21D6"/>
    <w:rsid w:val="009F2318"/>
    <w:rsid w:val="009F2332"/>
    <w:rsid w:val="009F23CB"/>
    <w:rsid w:val="009F2591"/>
    <w:rsid w:val="009F28D5"/>
    <w:rsid w:val="009F2B13"/>
    <w:rsid w:val="009F2BF1"/>
    <w:rsid w:val="009F2D6C"/>
    <w:rsid w:val="009F2DAD"/>
    <w:rsid w:val="009F2FE4"/>
    <w:rsid w:val="009F305E"/>
    <w:rsid w:val="009F30FF"/>
    <w:rsid w:val="009F31AF"/>
    <w:rsid w:val="009F331A"/>
    <w:rsid w:val="009F3479"/>
    <w:rsid w:val="009F3822"/>
    <w:rsid w:val="009F3848"/>
    <w:rsid w:val="009F3869"/>
    <w:rsid w:val="009F3981"/>
    <w:rsid w:val="009F3A20"/>
    <w:rsid w:val="009F3D29"/>
    <w:rsid w:val="009F3D5D"/>
    <w:rsid w:val="009F3E62"/>
    <w:rsid w:val="009F3F69"/>
    <w:rsid w:val="009F409C"/>
    <w:rsid w:val="009F41C2"/>
    <w:rsid w:val="009F42FD"/>
    <w:rsid w:val="009F4465"/>
    <w:rsid w:val="009F4573"/>
    <w:rsid w:val="009F4950"/>
    <w:rsid w:val="009F4B1F"/>
    <w:rsid w:val="009F4B22"/>
    <w:rsid w:val="009F4CF2"/>
    <w:rsid w:val="009F4E50"/>
    <w:rsid w:val="009F4EA7"/>
    <w:rsid w:val="009F4EBC"/>
    <w:rsid w:val="009F51A9"/>
    <w:rsid w:val="009F51E6"/>
    <w:rsid w:val="009F5231"/>
    <w:rsid w:val="009F53BB"/>
    <w:rsid w:val="009F53F1"/>
    <w:rsid w:val="009F54A4"/>
    <w:rsid w:val="009F550F"/>
    <w:rsid w:val="009F556E"/>
    <w:rsid w:val="009F56AA"/>
    <w:rsid w:val="009F57A5"/>
    <w:rsid w:val="009F5978"/>
    <w:rsid w:val="009F5B46"/>
    <w:rsid w:val="009F5CCC"/>
    <w:rsid w:val="009F5DDF"/>
    <w:rsid w:val="009F600E"/>
    <w:rsid w:val="009F60B2"/>
    <w:rsid w:val="009F617A"/>
    <w:rsid w:val="009F648E"/>
    <w:rsid w:val="009F69FA"/>
    <w:rsid w:val="009F6A17"/>
    <w:rsid w:val="009F6ED3"/>
    <w:rsid w:val="009F6FCF"/>
    <w:rsid w:val="009F701B"/>
    <w:rsid w:val="009F703D"/>
    <w:rsid w:val="009F712D"/>
    <w:rsid w:val="009F71B4"/>
    <w:rsid w:val="009F71B9"/>
    <w:rsid w:val="009F71CE"/>
    <w:rsid w:val="009F7247"/>
    <w:rsid w:val="009F74AF"/>
    <w:rsid w:val="009F7AB9"/>
    <w:rsid w:val="009F7AEE"/>
    <w:rsid w:val="009F7B1E"/>
    <w:rsid w:val="009F7B3B"/>
    <w:rsid w:val="009F7BD8"/>
    <w:rsid w:val="009F7BE9"/>
    <w:rsid w:val="009F7C62"/>
    <w:rsid w:val="009F7C97"/>
    <w:rsid w:val="009F7D63"/>
    <w:rsid w:val="009F7DCA"/>
    <w:rsid w:val="00A00018"/>
    <w:rsid w:val="00A001D6"/>
    <w:rsid w:val="00A0059E"/>
    <w:rsid w:val="00A007E8"/>
    <w:rsid w:val="00A0091B"/>
    <w:rsid w:val="00A00A8B"/>
    <w:rsid w:val="00A00B93"/>
    <w:rsid w:val="00A00CD6"/>
    <w:rsid w:val="00A0104C"/>
    <w:rsid w:val="00A01137"/>
    <w:rsid w:val="00A011A3"/>
    <w:rsid w:val="00A011CD"/>
    <w:rsid w:val="00A0129B"/>
    <w:rsid w:val="00A01364"/>
    <w:rsid w:val="00A0140B"/>
    <w:rsid w:val="00A016CD"/>
    <w:rsid w:val="00A0170B"/>
    <w:rsid w:val="00A018A1"/>
    <w:rsid w:val="00A019A8"/>
    <w:rsid w:val="00A01AA1"/>
    <w:rsid w:val="00A01AAF"/>
    <w:rsid w:val="00A01BA3"/>
    <w:rsid w:val="00A01DFE"/>
    <w:rsid w:val="00A01E05"/>
    <w:rsid w:val="00A0203C"/>
    <w:rsid w:val="00A020D6"/>
    <w:rsid w:val="00A021B4"/>
    <w:rsid w:val="00A021CB"/>
    <w:rsid w:val="00A02404"/>
    <w:rsid w:val="00A026C1"/>
    <w:rsid w:val="00A026C4"/>
    <w:rsid w:val="00A027F4"/>
    <w:rsid w:val="00A028FA"/>
    <w:rsid w:val="00A028FE"/>
    <w:rsid w:val="00A02CEA"/>
    <w:rsid w:val="00A02D5A"/>
    <w:rsid w:val="00A02EA2"/>
    <w:rsid w:val="00A02FB2"/>
    <w:rsid w:val="00A03056"/>
    <w:rsid w:val="00A03213"/>
    <w:rsid w:val="00A03472"/>
    <w:rsid w:val="00A0352C"/>
    <w:rsid w:val="00A037FC"/>
    <w:rsid w:val="00A03898"/>
    <w:rsid w:val="00A03A3D"/>
    <w:rsid w:val="00A03D13"/>
    <w:rsid w:val="00A03D43"/>
    <w:rsid w:val="00A03DE3"/>
    <w:rsid w:val="00A0435E"/>
    <w:rsid w:val="00A0436C"/>
    <w:rsid w:val="00A04610"/>
    <w:rsid w:val="00A04736"/>
    <w:rsid w:val="00A047A2"/>
    <w:rsid w:val="00A048C7"/>
    <w:rsid w:val="00A04ABE"/>
    <w:rsid w:val="00A04B1B"/>
    <w:rsid w:val="00A04CCE"/>
    <w:rsid w:val="00A04D39"/>
    <w:rsid w:val="00A04D3E"/>
    <w:rsid w:val="00A04F1E"/>
    <w:rsid w:val="00A05029"/>
    <w:rsid w:val="00A05069"/>
    <w:rsid w:val="00A050DC"/>
    <w:rsid w:val="00A0583F"/>
    <w:rsid w:val="00A0586E"/>
    <w:rsid w:val="00A05B5F"/>
    <w:rsid w:val="00A05BBF"/>
    <w:rsid w:val="00A05BC7"/>
    <w:rsid w:val="00A05C53"/>
    <w:rsid w:val="00A05CD0"/>
    <w:rsid w:val="00A05D9E"/>
    <w:rsid w:val="00A05E4F"/>
    <w:rsid w:val="00A05F63"/>
    <w:rsid w:val="00A0617B"/>
    <w:rsid w:val="00A061DF"/>
    <w:rsid w:val="00A062B8"/>
    <w:rsid w:val="00A0632D"/>
    <w:rsid w:val="00A063A8"/>
    <w:rsid w:val="00A063AF"/>
    <w:rsid w:val="00A06701"/>
    <w:rsid w:val="00A06A44"/>
    <w:rsid w:val="00A06A9B"/>
    <w:rsid w:val="00A06AE9"/>
    <w:rsid w:val="00A06CE1"/>
    <w:rsid w:val="00A06D4A"/>
    <w:rsid w:val="00A06EDA"/>
    <w:rsid w:val="00A07009"/>
    <w:rsid w:val="00A07051"/>
    <w:rsid w:val="00A0719E"/>
    <w:rsid w:val="00A07417"/>
    <w:rsid w:val="00A0766D"/>
    <w:rsid w:val="00A07950"/>
    <w:rsid w:val="00A07989"/>
    <w:rsid w:val="00A07A1A"/>
    <w:rsid w:val="00A07A76"/>
    <w:rsid w:val="00A07B26"/>
    <w:rsid w:val="00A07B2B"/>
    <w:rsid w:val="00A07E86"/>
    <w:rsid w:val="00A10019"/>
    <w:rsid w:val="00A1005B"/>
    <w:rsid w:val="00A100F4"/>
    <w:rsid w:val="00A10226"/>
    <w:rsid w:val="00A10239"/>
    <w:rsid w:val="00A1030D"/>
    <w:rsid w:val="00A107F2"/>
    <w:rsid w:val="00A10BBB"/>
    <w:rsid w:val="00A10FC5"/>
    <w:rsid w:val="00A1107B"/>
    <w:rsid w:val="00A11129"/>
    <w:rsid w:val="00A112E2"/>
    <w:rsid w:val="00A11420"/>
    <w:rsid w:val="00A115D0"/>
    <w:rsid w:val="00A117B2"/>
    <w:rsid w:val="00A11855"/>
    <w:rsid w:val="00A118F8"/>
    <w:rsid w:val="00A119C1"/>
    <w:rsid w:val="00A11ABE"/>
    <w:rsid w:val="00A11AC9"/>
    <w:rsid w:val="00A11E14"/>
    <w:rsid w:val="00A11E89"/>
    <w:rsid w:val="00A11EF0"/>
    <w:rsid w:val="00A11FF0"/>
    <w:rsid w:val="00A12234"/>
    <w:rsid w:val="00A124FC"/>
    <w:rsid w:val="00A12622"/>
    <w:rsid w:val="00A1265D"/>
    <w:rsid w:val="00A126A7"/>
    <w:rsid w:val="00A12761"/>
    <w:rsid w:val="00A1292E"/>
    <w:rsid w:val="00A12BDF"/>
    <w:rsid w:val="00A12CBD"/>
    <w:rsid w:val="00A12CF0"/>
    <w:rsid w:val="00A12DCF"/>
    <w:rsid w:val="00A12E39"/>
    <w:rsid w:val="00A12E5B"/>
    <w:rsid w:val="00A12E95"/>
    <w:rsid w:val="00A12F67"/>
    <w:rsid w:val="00A13044"/>
    <w:rsid w:val="00A13063"/>
    <w:rsid w:val="00A13166"/>
    <w:rsid w:val="00A13221"/>
    <w:rsid w:val="00A132E8"/>
    <w:rsid w:val="00A1330E"/>
    <w:rsid w:val="00A133AD"/>
    <w:rsid w:val="00A13426"/>
    <w:rsid w:val="00A135C7"/>
    <w:rsid w:val="00A136E5"/>
    <w:rsid w:val="00A13808"/>
    <w:rsid w:val="00A13F08"/>
    <w:rsid w:val="00A141C3"/>
    <w:rsid w:val="00A14236"/>
    <w:rsid w:val="00A14291"/>
    <w:rsid w:val="00A1432F"/>
    <w:rsid w:val="00A144CE"/>
    <w:rsid w:val="00A144D3"/>
    <w:rsid w:val="00A14800"/>
    <w:rsid w:val="00A148BA"/>
    <w:rsid w:val="00A14AFC"/>
    <w:rsid w:val="00A14C6F"/>
    <w:rsid w:val="00A14C84"/>
    <w:rsid w:val="00A14D47"/>
    <w:rsid w:val="00A14D93"/>
    <w:rsid w:val="00A14FA4"/>
    <w:rsid w:val="00A15011"/>
    <w:rsid w:val="00A15015"/>
    <w:rsid w:val="00A150AB"/>
    <w:rsid w:val="00A15455"/>
    <w:rsid w:val="00A1557D"/>
    <w:rsid w:val="00A15599"/>
    <w:rsid w:val="00A15692"/>
    <w:rsid w:val="00A15877"/>
    <w:rsid w:val="00A15962"/>
    <w:rsid w:val="00A1596B"/>
    <w:rsid w:val="00A15BAF"/>
    <w:rsid w:val="00A15C63"/>
    <w:rsid w:val="00A15C8A"/>
    <w:rsid w:val="00A15CB2"/>
    <w:rsid w:val="00A15D03"/>
    <w:rsid w:val="00A15DC7"/>
    <w:rsid w:val="00A16139"/>
    <w:rsid w:val="00A163F0"/>
    <w:rsid w:val="00A16508"/>
    <w:rsid w:val="00A16523"/>
    <w:rsid w:val="00A166C1"/>
    <w:rsid w:val="00A16991"/>
    <w:rsid w:val="00A16B0B"/>
    <w:rsid w:val="00A16CA5"/>
    <w:rsid w:val="00A16CE2"/>
    <w:rsid w:val="00A16DFB"/>
    <w:rsid w:val="00A16EF7"/>
    <w:rsid w:val="00A16FBA"/>
    <w:rsid w:val="00A170C9"/>
    <w:rsid w:val="00A17207"/>
    <w:rsid w:val="00A172CF"/>
    <w:rsid w:val="00A17456"/>
    <w:rsid w:val="00A17482"/>
    <w:rsid w:val="00A176AA"/>
    <w:rsid w:val="00A1770C"/>
    <w:rsid w:val="00A17739"/>
    <w:rsid w:val="00A177AE"/>
    <w:rsid w:val="00A178B9"/>
    <w:rsid w:val="00A178EE"/>
    <w:rsid w:val="00A179EE"/>
    <w:rsid w:val="00A17BD2"/>
    <w:rsid w:val="00A17C73"/>
    <w:rsid w:val="00A17DE1"/>
    <w:rsid w:val="00A17E0F"/>
    <w:rsid w:val="00A17F05"/>
    <w:rsid w:val="00A17F60"/>
    <w:rsid w:val="00A200FE"/>
    <w:rsid w:val="00A201D8"/>
    <w:rsid w:val="00A20224"/>
    <w:rsid w:val="00A205C1"/>
    <w:rsid w:val="00A20613"/>
    <w:rsid w:val="00A2089D"/>
    <w:rsid w:val="00A209CD"/>
    <w:rsid w:val="00A20A39"/>
    <w:rsid w:val="00A20A7E"/>
    <w:rsid w:val="00A20E5F"/>
    <w:rsid w:val="00A20FB9"/>
    <w:rsid w:val="00A21070"/>
    <w:rsid w:val="00A21236"/>
    <w:rsid w:val="00A21267"/>
    <w:rsid w:val="00A21707"/>
    <w:rsid w:val="00A21790"/>
    <w:rsid w:val="00A2199E"/>
    <w:rsid w:val="00A21A29"/>
    <w:rsid w:val="00A21E9D"/>
    <w:rsid w:val="00A226AF"/>
    <w:rsid w:val="00A226E8"/>
    <w:rsid w:val="00A228A2"/>
    <w:rsid w:val="00A229D0"/>
    <w:rsid w:val="00A22A09"/>
    <w:rsid w:val="00A22A3B"/>
    <w:rsid w:val="00A22AE6"/>
    <w:rsid w:val="00A22E2E"/>
    <w:rsid w:val="00A22F9F"/>
    <w:rsid w:val="00A22FF2"/>
    <w:rsid w:val="00A23336"/>
    <w:rsid w:val="00A23434"/>
    <w:rsid w:val="00A23461"/>
    <w:rsid w:val="00A23503"/>
    <w:rsid w:val="00A23522"/>
    <w:rsid w:val="00A2357E"/>
    <w:rsid w:val="00A23666"/>
    <w:rsid w:val="00A23829"/>
    <w:rsid w:val="00A2384E"/>
    <w:rsid w:val="00A23A57"/>
    <w:rsid w:val="00A23CDD"/>
    <w:rsid w:val="00A23CE3"/>
    <w:rsid w:val="00A23D99"/>
    <w:rsid w:val="00A23E09"/>
    <w:rsid w:val="00A23E1B"/>
    <w:rsid w:val="00A23E45"/>
    <w:rsid w:val="00A24026"/>
    <w:rsid w:val="00A240A4"/>
    <w:rsid w:val="00A24108"/>
    <w:rsid w:val="00A24187"/>
    <w:rsid w:val="00A2418F"/>
    <w:rsid w:val="00A242F8"/>
    <w:rsid w:val="00A244C6"/>
    <w:rsid w:val="00A24533"/>
    <w:rsid w:val="00A24566"/>
    <w:rsid w:val="00A24812"/>
    <w:rsid w:val="00A24868"/>
    <w:rsid w:val="00A24941"/>
    <w:rsid w:val="00A249BD"/>
    <w:rsid w:val="00A249CE"/>
    <w:rsid w:val="00A24A0C"/>
    <w:rsid w:val="00A24BB4"/>
    <w:rsid w:val="00A24BDB"/>
    <w:rsid w:val="00A24C47"/>
    <w:rsid w:val="00A24CB3"/>
    <w:rsid w:val="00A24DAB"/>
    <w:rsid w:val="00A24DC8"/>
    <w:rsid w:val="00A24E32"/>
    <w:rsid w:val="00A24E72"/>
    <w:rsid w:val="00A24E79"/>
    <w:rsid w:val="00A25010"/>
    <w:rsid w:val="00A25151"/>
    <w:rsid w:val="00A25229"/>
    <w:rsid w:val="00A252A5"/>
    <w:rsid w:val="00A252E8"/>
    <w:rsid w:val="00A2531B"/>
    <w:rsid w:val="00A25420"/>
    <w:rsid w:val="00A25880"/>
    <w:rsid w:val="00A258A3"/>
    <w:rsid w:val="00A25A0A"/>
    <w:rsid w:val="00A25AEE"/>
    <w:rsid w:val="00A25C9C"/>
    <w:rsid w:val="00A25D48"/>
    <w:rsid w:val="00A25E0B"/>
    <w:rsid w:val="00A25F5B"/>
    <w:rsid w:val="00A25FA6"/>
    <w:rsid w:val="00A2614F"/>
    <w:rsid w:val="00A26273"/>
    <w:rsid w:val="00A2643A"/>
    <w:rsid w:val="00A26715"/>
    <w:rsid w:val="00A26923"/>
    <w:rsid w:val="00A26934"/>
    <w:rsid w:val="00A26CBE"/>
    <w:rsid w:val="00A26D6D"/>
    <w:rsid w:val="00A26ED5"/>
    <w:rsid w:val="00A26FD7"/>
    <w:rsid w:val="00A2727F"/>
    <w:rsid w:val="00A274E3"/>
    <w:rsid w:val="00A27562"/>
    <w:rsid w:val="00A276CB"/>
    <w:rsid w:val="00A27711"/>
    <w:rsid w:val="00A277D0"/>
    <w:rsid w:val="00A277F8"/>
    <w:rsid w:val="00A27896"/>
    <w:rsid w:val="00A278A5"/>
    <w:rsid w:val="00A279DB"/>
    <w:rsid w:val="00A27A9A"/>
    <w:rsid w:val="00A27C26"/>
    <w:rsid w:val="00A27C60"/>
    <w:rsid w:val="00A27D3D"/>
    <w:rsid w:val="00A27E21"/>
    <w:rsid w:val="00A27E6D"/>
    <w:rsid w:val="00A27F84"/>
    <w:rsid w:val="00A30032"/>
    <w:rsid w:val="00A30353"/>
    <w:rsid w:val="00A305EF"/>
    <w:rsid w:val="00A30683"/>
    <w:rsid w:val="00A30691"/>
    <w:rsid w:val="00A307E3"/>
    <w:rsid w:val="00A308D1"/>
    <w:rsid w:val="00A30A70"/>
    <w:rsid w:val="00A30BCE"/>
    <w:rsid w:val="00A30D48"/>
    <w:rsid w:val="00A30D8A"/>
    <w:rsid w:val="00A30DB7"/>
    <w:rsid w:val="00A31083"/>
    <w:rsid w:val="00A31472"/>
    <w:rsid w:val="00A314BA"/>
    <w:rsid w:val="00A3183C"/>
    <w:rsid w:val="00A31989"/>
    <w:rsid w:val="00A3198C"/>
    <w:rsid w:val="00A31BBA"/>
    <w:rsid w:val="00A31D2B"/>
    <w:rsid w:val="00A31E4B"/>
    <w:rsid w:val="00A31ECE"/>
    <w:rsid w:val="00A31F4D"/>
    <w:rsid w:val="00A31FD8"/>
    <w:rsid w:val="00A32112"/>
    <w:rsid w:val="00A32476"/>
    <w:rsid w:val="00A3255D"/>
    <w:rsid w:val="00A327DE"/>
    <w:rsid w:val="00A327F5"/>
    <w:rsid w:val="00A3288D"/>
    <w:rsid w:val="00A32995"/>
    <w:rsid w:val="00A32A04"/>
    <w:rsid w:val="00A32D1D"/>
    <w:rsid w:val="00A32D28"/>
    <w:rsid w:val="00A32DC2"/>
    <w:rsid w:val="00A3309B"/>
    <w:rsid w:val="00A330FC"/>
    <w:rsid w:val="00A332FE"/>
    <w:rsid w:val="00A33439"/>
    <w:rsid w:val="00A3346A"/>
    <w:rsid w:val="00A3397C"/>
    <w:rsid w:val="00A33B40"/>
    <w:rsid w:val="00A33B75"/>
    <w:rsid w:val="00A33F35"/>
    <w:rsid w:val="00A34169"/>
    <w:rsid w:val="00A34359"/>
    <w:rsid w:val="00A3474B"/>
    <w:rsid w:val="00A34830"/>
    <w:rsid w:val="00A348BC"/>
    <w:rsid w:val="00A34A77"/>
    <w:rsid w:val="00A34B1C"/>
    <w:rsid w:val="00A34E00"/>
    <w:rsid w:val="00A34ED7"/>
    <w:rsid w:val="00A35059"/>
    <w:rsid w:val="00A35073"/>
    <w:rsid w:val="00A350C1"/>
    <w:rsid w:val="00A35213"/>
    <w:rsid w:val="00A352A8"/>
    <w:rsid w:val="00A352CE"/>
    <w:rsid w:val="00A35354"/>
    <w:rsid w:val="00A35398"/>
    <w:rsid w:val="00A3539D"/>
    <w:rsid w:val="00A356AF"/>
    <w:rsid w:val="00A356B7"/>
    <w:rsid w:val="00A356E7"/>
    <w:rsid w:val="00A359BE"/>
    <w:rsid w:val="00A35AFC"/>
    <w:rsid w:val="00A35DE6"/>
    <w:rsid w:val="00A35E9B"/>
    <w:rsid w:val="00A35EC9"/>
    <w:rsid w:val="00A35F77"/>
    <w:rsid w:val="00A35F9E"/>
    <w:rsid w:val="00A360D1"/>
    <w:rsid w:val="00A36254"/>
    <w:rsid w:val="00A36406"/>
    <w:rsid w:val="00A36576"/>
    <w:rsid w:val="00A365B4"/>
    <w:rsid w:val="00A36762"/>
    <w:rsid w:val="00A36936"/>
    <w:rsid w:val="00A36AB7"/>
    <w:rsid w:val="00A36BD1"/>
    <w:rsid w:val="00A36E60"/>
    <w:rsid w:val="00A36E80"/>
    <w:rsid w:val="00A36F8B"/>
    <w:rsid w:val="00A36FB4"/>
    <w:rsid w:val="00A37003"/>
    <w:rsid w:val="00A37014"/>
    <w:rsid w:val="00A37111"/>
    <w:rsid w:val="00A37176"/>
    <w:rsid w:val="00A371E7"/>
    <w:rsid w:val="00A3748C"/>
    <w:rsid w:val="00A37506"/>
    <w:rsid w:val="00A3770E"/>
    <w:rsid w:val="00A37AC4"/>
    <w:rsid w:val="00A37D0D"/>
    <w:rsid w:val="00A37D7E"/>
    <w:rsid w:val="00A37D83"/>
    <w:rsid w:val="00A37DBA"/>
    <w:rsid w:val="00A37E0A"/>
    <w:rsid w:val="00A37E24"/>
    <w:rsid w:val="00A37FA6"/>
    <w:rsid w:val="00A37FF8"/>
    <w:rsid w:val="00A40060"/>
    <w:rsid w:val="00A400D9"/>
    <w:rsid w:val="00A402CF"/>
    <w:rsid w:val="00A404A8"/>
    <w:rsid w:val="00A40547"/>
    <w:rsid w:val="00A4074B"/>
    <w:rsid w:val="00A4079D"/>
    <w:rsid w:val="00A4081B"/>
    <w:rsid w:val="00A4090A"/>
    <w:rsid w:val="00A40917"/>
    <w:rsid w:val="00A40A94"/>
    <w:rsid w:val="00A40B73"/>
    <w:rsid w:val="00A40BEC"/>
    <w:rsid w:val="00A40CAA"/>
    <w:rsid w:val="00A40EC3"/>
    <w:rsid w:val="00A40F44"/>
    <w:rsid w:val="00A40F9C"/>
    <w:rsid w:val="00A40FD1"/>
    <w:rsid w:val="00A4114E"/>
    <w:rsid w:val="00A4117C"/>
    <w:rsid w:val="00A4117E"/>
    <w:rsid w:val="00A4131E"/>
    <w:rsid w:val="00A41345"/>
    <w:rsid w:val="00A41373"/>
    <w:rsid w:val="00A4146E"/>
    <w:rsid w:val="00A414DA"/>
    <w:rsid w:val="00A41502"/>
    <w:rsid w:val="00A41844"/>
    <w:rsid w:val="00A418E8"/>
    <w:rsid w:val="00A4197F"/>
    <w:rsid w:val="00A419FA"/>
    <w:rsid w:val="00A41B3B"/>
    <w:rsid w:val="00A41BBC"/>
    <w:rsid w:val="00A41EB8"/>
    <w:rsid w:val="00A41F7C"/>
    <w:rsid w:val="00A420F8"/>
    <w:rsid w:val="00A42279"/>
    <w:rsid w:val="00A422E5"/>
    <w:rsid w:val="00A426D5"/>
    <w:rsid w:val="00A427D3"/>
    <w:rsid w:val="00A42A54"/>
    <w:rsid w:val="00A42BFE"/>
    <w:rsid w:val="00A42DBD"/>
    <w:rsid w:val="00A42FB9"/>
    <w:rsid w:val="00A4305B"/>
    <w:rsid w:val="00A4316B"/>
    <w:rsid w:val="00A431F6"/>
    <w:rsid w:val="00A4323A"/>
    <w:rsid w:val="00A432B9"/>
    <w:rsid w:val="00A432DF"/>
    <w:rsid w:val="00A434B3"/>
    <w:rsid w:val="00A43516"/>
    <w:rsid w:val="00A43567"/>
    <w:rsid w:val="00A436BB"/>
    <w:rsid w:val="00A4377B"/>
    <w:rsid w:val="00A4390F"/>
    <w:rsid w:val="00A43AC2"/>
    <w:rsid w:val="00A43AD4"/>
    <w:rsid w:val="00A43B4B"/>
    <w:rsid w:val="00A43EB9"/>
    <w:rsid w:val="00A44098"/>
    <w:rsid w:val="00A44101"/>
    <w:rsid w:val="00A44155"/>
    <w:rsid w:val="00A442D1"/>
    <w:rsid w:val="00A44411"/>
    <w:rsid w:val="00A44438"/>
    <w:rsid w:val="00A4471B"/>
    <w:rsid w:val="00A44736"/>
    <w:rsid w:val="00A44787"/>
    <w:rsid w:val="00A447BF"/>
    <w:rsid w:val="00A447D7"/>
    <w:rsid w:val="00A449A7"/>
    <w:rsid w:val="00A44C89"/>
    <w:rsid w:val="00A44DA0"/>
    <w:rsid w:val="00A44DB1"/>
    <w:rsid w:val="00A44E27"/>
    <w:rsid w:val="00A4503C"/>
    <w:rsid w:val="00A45115"/>
    <w:rsid w:val="00A4515B"/>
    <w:rsid w:val="00A451F8"/>
    <w:rsid w:val="00A45270"/>
    <w:rsid w:val="00A452E9"/>
    <w:rsid w:val="00A4531C"/>
    <w:rsid w:val="00A4538C"/>
    <w:rsid w:val="00A45424"/>
    <w:rsid w:val="00A4555E"/>
    <w:rsid w:val="00A45578"/>
    <w:rsid w:val="00A45713"/>
    <w:rsid w:val="00A45B55"/>
    <w:rsid w:val="00A45BDB"/>
    <w:rsid w:val="00A45C42"/>
    <w:rsid w:val="00A45E41"/>
    <w:rsid w:val="00A45E9E"/>
    <w:rsid w:val="00A45F3F"/>
    <w:rsid w:val="00A46042"/>
    <w:rsid w:val="00A460DB"/>
    <w:rsid w:val="00A46251"/>
    <w:rsid w:val="00A46477"/>
    <w:rsid w:val="00A468A0"/>
    <w:rsid w:val="00A4698B"/>
    <w:rsid w:val="00A469AF"/>
    <w:rsid w:val="00A469D5"/>
    <w:rsid w:val="00A46A5C"/>
    <w:rsid w:val="00A46D47"/>
    <w:rsid w:val="00A46E82"/>
    <w:rsid w:val="00A46F1B"/>
    <w:rsid w:val="00A46F87"/>
    <w:rsid w:val="00A46FE9"/>
    <w:rsid w:val="00A47034"/>
    <w:rsid w:val="00A47150"/>
    <w:rsid w:val="00A4749C"/>
    <w:rsid w:val="00A475D7"/>
    <w:rsid w:val="00A47773"/>
    <w:rsid w:val="00A4781E"/>
    <w:rsid w:val="00A47869"/>
    <w:rsid w:val="00A478A6"/>
    <w:rsid w:val="00A47DD5"/>
    <w:rsid w:val="00A5007E"/>
    <w:rsid w:val="00A500C2"/>
    <w:rsid w:val="00A501F1"/>
    <w:rsid w:val="00A50252"/>
    <w:rsid w:val="00A502F5"/>
    <w:rsid w:val="00A50597"/>
    <w:rsid w:val="00A505D9"/>
    <w:rsid w:val="00A5065D"/>
    <w:rsid w:val="00A506C9"/>
    <w:rsid w:val="00A506D1"/>
    <w:rsid w:val="00A50B0B"/>
    <w:rsid w:val="00A50C00"/>
    <w:rsid w:val="00A50C62"/>
    <w:rsid w:val="00A50CBE"/>
    <w:rsid w:val="00A50E42"/>
    <w:rsid w:val="00A50E72"/>
    <w:rsid w:val="00A511F4"/>
    <w:rsid w:val="00A5154D"/>
    <w:rsid w:val="00A51615"/>
    <w:rsid w:val="00A517A3"/>
    <w:rsid w:val="00A517B3"/>
    <w:rsid w:val="00A5186D"/>
    <w:rsid w:val="00A51956"/>
    <w:rsid w:val="00A51A71"/>
    <w:rsid w:val="00A51B10"/>
    <w:rsid w:val="00A51BB6"/>
    <w:rsid w:val="00A51CE3"/>
    <w:rsid w:val="00A51E33"/>
    <w:rsid w:val="00A51E42"/>
    <w:rsid w:val="00A51E4A"/>
    <w:rsid w:val="00A51EBC"/>
    <w:rsid w:val="00A5224D"/>
    <w:rsid w:val="00A5227D"/>
    <w:rsid w:val="00A52695"/>
    <w:rsid w:val="00A527CA"/>
    <w:rsid w:val="00A52A39"/>
    <w:rsid w:val="00A52A56"/>
    <w:rsid w:val="00A52A63"/>
    <w:rsid w:val="00A52A99"/>
    <w:rsid w:val="00A52B36"/>
    <w:rsid w:val="00A52C44"/>
    <w:rsid w:val="00A52D99"/>
    <w:rsid w:val="00A52E78"/>
    <w:rsid w:val="00A52E99"/>
    <w:rsid w:val="00A52F22"/>
    <w:rsid w:val="00A530A5"/>
    <w:rsid w:val="00A531B8"/>
    <w:rsid w:val="00A53212"/>
    <w:rsid w:val="00A534FF"/>
    <w:rsid w:val="00A5357B"/>
    <w:rsid w:val="00A535FA"/>
    <w:rsid w:val="00A53636"/>
    <w:rsid w:val="00A5366C"/>
    <w:rsid w:val="00A536AA"/>
    <w:rsid w:val="00A538BA"/>
    <w:rsid w:val="00A538E4"/>
    <w:rsid w:val="00A53A2E"/>
    <w:rsid w:val="00A53B03"/>
    <w:rsid w:val="00A53CD0"/>
    <w:rsid w:val="00A53D8F"/>
    <w:rsid w:val="00A53DC8"/>
    <w:rsid w:val="00A53DCE"/>
    <w:rsid w:val="00A53F03"/>
    <w:rsid w:val="00A5406B"/>
    <w:rsid w:val="00A54406"/>
    <w:rsid w:val="00A547A5"/>
    <w:rsid w:val="00A549E5"/>
    <w:rsid w:val="00A54EC4"/>
    <w:rsid w:val="00A54F33"/>
    <w:rsid w:val="00A54FC4"/>
    <w:rsid w:val="00A5505E"/>
    <w:rsid w:val="00A55077"/>
    <w:rsid w:val="00A55175"/>
    <w:rsid w:val="00A55287"/>
    <w:rsid w:val="00A55366"/>
    <w:rsid w:val="00A5553B"/>
    <w:rsid w:val="00A5560C"/>
    <w:rsid w:val="00A5579C"/>
    <w:rsid w:val="00A55869"/>
    <w:rsid w:val="00A5594F"/>
    <w:rsid w:val="00A55A63"/>
    <w:rsid w:val="00A55ACC"/>
    <w:rsid w:val="00A55B02"/>
    <w:rsid w:val="00A55B17"/>
    <w:rsid w:val="00A55E09"/>
    <w:rsid w:val="00A55ECB"/>
    <w:rsid w:val="00A55F26"/>
    <w:rsid w:val="00A5627E"/>
    <w:rsid w:val="00A562E6"/>
    <w:rsid w:val="00A563A0"/>
    <w:rsid w:val="00A5683E"/>
    <w:rsid w:val="00A56DB7"/>
    <w:rsid w:val="00A570B7"/>
    <w:rsid w:val="00A570FF"/>
    <w:rsid w:val="00A5726F"/>
    <w:rsid w:val="00A574B0"/>
    <w:rsid w:val="00A5762D"/>
    <w:rsid w:val="00A5771F"/>
    <w:rsid w:val="00A57BE4"/>
    <w:rsid w:val="00A57E15"/>
    <w:rsid w:val="00A57F8B"/>
    <w:rsid w:val="00A601EE"/>
    <w:rsid w:val="00A60467"/>
    <w:rsid w:val="00A6053B"/>
    <w:rsid w:val="00A6076F"/>
    <w:rsid w:val="00A60A2D"/>
    <w:rsid w:val="00A60CE9"/>
    <w:rsid w:val="00A60D42"/>
    <w:rsid w:val="00A610DA"/>
    <w:rsid w:val="00A6112A"/>
    <w:rsid w:val="00A61293"/>
    <w:rsid w:val="00A612B0"/>
    <w:rsid w:val="00A6163A"/>
    <w:rsid w:val="00A6171D"/>
    <w:rsid w:val="00A61720"/>
    <w:rsid w:val="00A618CF"/>
    <w:rsid w:val="00A6197D"/>
    <w:rsid w:val="00A61B02"/>
    <w:rsid w:val="00A61D75"/>
    <w:rsid w:val="00A61DA9"/>
    <w:rsid w:val="00A61DC6"/>
    <w:rsid w:val="00A61E5F"/>
    <w:rsid w:val="00A61F36"/>
    <w:rsid w:val="00A62053"/>
    <w:rsid w:val="00A62094"/>
    <w:rsid w:val="00A621B6"/>
    <w:rsid w:val="00A62206"/>
    <w:rsid w:val="00A62338"/>
    <w:rsid w:val="00A6236E"/>
    <w:rsid w:val="00A62691"/>
    <w:rsid w:val="00A6270F"/>
    <w:rsid w:val="00A62729"/>
    <w:rsid w:val="00A62923"/>
    <w:rsid w:val="00A62934"/>
    <w:rsid w:val="00A62A1E"/>
    <w:rsid w:val="00A62A9D"/>
    <w:rsid w:val="00A63067"/>
    <w:rsid w:val="00A630E3"/>
    <w:rsid w:val="00A63162"/>
    <w:rsid w:val="00A6316D"/>
    <w:rsid w:val="00A632EA"/>
    <w:rsid w:val="00A63318"/>
    <w:rsid w:val="00A6339A"/>
    <w:rsid w:val="00A6339C"/>
    <w:rsid w:val="00A63939"/>
    <w:rsid w:val="00A639A1"/>
    <w:rsid w:val="00A63B55"/>
    <w:rsid w:val="00A63C64"/>
    <w:rsid w:val="00A63EC7"/>
    <w:rsid w:val="00A63F0F"/>
    <w:rsid w:val="00A640A5"/>
    <w:rsid w:val="00A640EE"/>
    <w:rsid w:val="00A6416E"/>
    <w:rsid w:val="00A644AB"/>
    <w:rsid w:val="00A644F0"/>
    <w:rsid w:val="00A64589"/>
    <w:rsid w:val="00A645FA"/>
    <w:rsid w:val="00A649BC"/>
    <w:rsid w:val="00A64A42"/>
    <w:rsid w:val="00A64A54"/>
    <w:rsid w:val="00A64B30"/>
    <w:rsid w:val="00A64C14"/>
    <w:rsid w:val="00A64D27"/>
    <w:rsid w:val="00A64DD8"/>
    <w:rsid w:val="00A64FDF"/>
    <w:rsid w:val="00A651E1"/>
    <w:rsid w:val="00A65340"/>
    <w:rsid w:val="00A65407"/>
    <w:rsid w:val="00A65493"/>
    <w:rsid w:val="00A654E8"/>
    <w:rsid w:val="00A65513"/>
    <w:rsid w:val="00A65A32"/>
    <w:rsid w:val="00A65D16"/>
    <w:rsid w:val="00A65D2B"/>
    <w:rsid w:val="00A65D31"/>
    <w:rsid w:val="00A65F32"/>
    <w:rsid w:val="00A6609D"/>
    <w:rsid w:val="00A660A0"/>
    <w:rsid w:val="00A66105"/>
    <w:rsid w:val="00A66118"/>
    <w:rsid w:val="00A661BA"/>
    <w:rsid w:val="00A6621F"/>
    <w:rsid w:val="00A666E3"/>
    <w:rsid w:val="00A6682D"/>
    <w:rsid w:val="00A668F2"/>
    <w:rsid w:val="00A66998"/>
    <w:rsid w:val="00A669B5"/>
    <w:rsid w:val="00A66A0D"/>
    <w:rsid w:val="00A66BD1"/>
    <w:rsid w:val="00A66C51"/>
    <w:rsid w:val="00A66C61"/>
    <w:rsid w:val="00A66E9B"/>
    <w:rsid w:val="00A66EFD"/>
    <w:rsid w:val="00A66F75"/>
    <w:rsid w:val="00A66FB9"/>
    <w:rsid w:val="00A6703F"/>
    <w:rsid w:val="00A6704E"/>
    <w:rsid w:val="00A67109"/>
    <w:rsid w:val="00A6711F"/>
    <w:rsid w:val="00A67332"/>
    <w:rsid w:val="00A6789F"/>
    <w:rsid w:val="00A6795C"/>
    <w:rsid w:val="00A679BD"/>
    <w:rsid w:val="00A67A3A"/>
    <w:rsid w:val="00A67AD5"/>
    <w:rsid w:val="00A67B01"/>
    <w:rsid w:val="00A67C89"/>
    <w:rsid w:val="00A67D6C"/>
    <w:rsid w:val="00A70030"/>
    <w:rsid w:val="00A700AB"/>
    <w:rsid w:val="00A700DF"/>
    <w:rsid w:val="00A70115"/>
    <w:rsid w:val="00A70149"/>
    <w:rsid w:val="00A702CF"/>
    <w:rsid w:val="00A70395"/>
    <w:rsid w:val="00A705AA"/>
    <w:rsid w:val="00A706D0"/>
    <w:rsid w:val="00A7078A"/>
    <w:rsid w:val="00A707D2"/>
    <w:rsid w:val="00A70930"/>
    <w:rsid w:val="00A7099F"/>
    <w:rsid w:val="00A70A3D"/>
    <w:rsid w:val="00A70BE7"/>
    <w:rsid w:val="00A70CD4"/>
    <w:rsid w:val="00A70CF3"/>
    <w:rsid w:val="00A70E05"/>
    <w:rsid w:val="00A70F14"/>
    <w:rsid w:val="00A70F36"/>
    <w:rsid w:val="00A71131"/>
    <w:rsid w:val="00A711FC"/>
    <w:rsid w:val="00A71414"/>
    <w:rsid w:val="00A71415"/>
    <w:rsid w:val="00A71443"/>
    <w:rsid w:val="00A71AEB"/>
    <w:rsid w:val="00A71B25"/>
    <w:rsid w:val="00A71C6F"/>
    <w:rsid w:val="00A71CA5"/>
    <w:rsid w:val="00A71DD0"/>
    <w:rsid w:val="00A71EDF"/>
    <w:rsid w:val="00A72093"/>
    <w:rsid w:val="00A721C2"/>
    <w:rsid w:val="00A72253"/>
    <w:rsid w:val="00A723F7"/>
    <w:rsid w:val="00A725D9"/>
    <w:rsid w:val="00A7265A"/>
    <w:rsid w:val="00A72793"/>
    <w:rsid w:val="00A7291D"/>
    <w:rsid w:val="00A72B47"/>
    <w:rsid w:val="00A72C52"/>
    <w:rsid w:val="00A72EFF"/>
    <w:rsid w:val="00A72FB4"/>
    <w:rsid w:val="00A73143"/>
    <w:rsid w:val="00A731D6"/>
    <w:rsid w:val="00A734AB"/>
    <w:rsid w:val="00A737A8"/>
    <w:rsid w:val="00A738AC"/>
    <w:rsid w:val="00A738F0"/>
    <w:rsid w:val="00A73C55"/>
    <w:rsid w:val="00A73DFE"/>
    <w:rsid w:val="00A73E27"/>
    <w:rsid w:val="00A73F4B"/>
    <w:rsid w:val="00A7419C"/>
    <w:rsid w:val="00A7428B"/>
    <w:rsid w:val="00A74351"/>
    <w:rsid w:val="00A7435D"/>
    <w:rsid w:val="00A743C6"/>
    <w:rsid w:val="00A745B9"/>
    <w:rsid w:val="00A749E5"/>
    <w:rsid w:val="00A74A98"/>
    <w:rsid w:val="00A74B0A"/>
    <w:rsid w:val="00A74B69"/>
    <w:rsid w:val="00A74BC2"/>
    <w:rsid w:val="00A74C56"/>
    <w:rsid w:val="00A74CF1"/>
    <w:rsid w:val="00A74D67"/>
    <w:rsid w:val="00A74EA4"/>
    <w:rsid w:val="00A74EB3"/>
    <w:rsid w:val="00A74FB4"/>
    <w:rsid w:val="00A750A7"/>
    <w:rsid w:val="00A753C3"/>
    <w:rsid w:val="00A7578F"/>
    <w:rsid w:val="00A75965"/>
    <w:rsid w:val="00A75977"/>
    <w:rsid w:val="00A759A5"/>
    <w:rsid w:val="00A75C32"/>
    <w:rsid w:val="00A75CA1"/>
    <w:rsid w:val="00A75FE0"/>
    <w:rsid w:val="00A76262"/>
    <w:rsid w:val="00A76300"/>
    <w:rsid w:val="00A7655D"/>
    <w:rsid w:val="00A76792"/>
    <w:rsid w:val="00A768EB"/>
    <w:rsid w:val="00A76E73"/>
    <w:rsid w:val="00A76EE4"/>
    <w:rsid w:val="00A77067"/>
    <w:rsid w:val="00A770C9"/>
    <w:rsid w:val="00A77165"/>
    <w:rsid w:val="00A776A6"/>
    <w:rsid w:val="00A7777E"/>
    <w:rsid w:val="00A7790A"/>
    <w:rsid w:val="00A779BC"/>
    <w:rsid w:val="00A779F0"/>
    <w:rsid w:val="00A77A87"/>
    <w:rsid w:val="00A77AAE"/>
    <w:rsid w:val="00A77D13"/>
    <w:rsid w:val="00A77D32"/>
    <w:rsid w:val="00A77D43"/>
    <w:rsid w:val="00A77FDC"/>
    <w:rsid w:val="00A80319"/>
    <w:rsid w:val="00A80408"/>
    <w:rsid w:val="00A8051E"/>
    <w:rsid w:val="00A8053C"/>
    <w:rsid w:val="00A8056F"/>
    <w:rsid w:val="00A805C8"/>
    <w:rsid w:val="00A805DD"/>
    <w:rsid w:val="00A80829"/>
    <w:rsid w:val="00A809C3"/>
    <w:rsid w:val="00A80D53"/>
    <w:rsid w:val="00A80DD4"/>
    <w:rsid w:val="00A80DF6"/>
    <w:rsid w:val="00A80E46"/>
    <w:rsid w:val="00A80EC4"/>
    <w:rsid w:val="00A80ECD"/>
    <w:rsid w:val="00A81017"/>
    <w:rsid w:val="00A81609"/>
    <w:rsid w:val="00A8173F"/>
    <w:rsid w:val="00A81782"/>
    <w:rsid w:val="00A82175"/>
    <w:rsid w:val="00A82294"/>
    <w:rsid w:val="00A82380"/>
    <w:rsid w:val="00A82746"/>
    <w:rsid w:val="00A82755"/>
    <w:rsid w:val="00A82862"/>
    <w:rsid w:val="00A82866"/>
    <w:rsid w:val="00A82963"/>
    <w:rsid w:val="00A82CF2"/>
    <w:rsid w:val="00A82DE6"/>
    <w:rsid w:val="00A82E04"/>
    <w:rsid w:val="00A82E2C"/>
    <w:rsid w:val="00A82F0D"/>
    <w:rsid w:val="00A82F45"/>
    <w:rsid w:val="00A830C4"/>
    <w:rsid w:val="00A830E5"/>
    <w:rsid w:val="00A83172"/>
    <w:rsid w:val="00A83174"/>
    <w:rsid w:val="00A8325E"/>
    <w:rsid w:val="00A83381"/>
    <w:rsid w:val="00A835E3"/>
    <w:rsid w:val="00A83619"/>
    <w:rsid w:val="00A838E2"/>
    <w:rsid w:val="00A83972"/>
    <w:rsid w:val="00A839B1"/>
    <w:rsid w:val="00A83A56"/>
    <w:rsid w:val="00A83F41"/>
    <w:rsid w:val="00A83FC7"/>
    <w:rsid w:val="00A841CA"/>
    <w:rsid w:val="00A842A9"/>
    <w:rsid w:val="00A843F7"/>
    <w:rsid w:val="00A84565"/>
    <w:rsid w:val="00A846FD"/>
    <w:rsid w:val="00A84823"/>
    <w:rsid w:val="00A848EF"/>
    <w:rsid w:val="00A84B24"/>
    <w:rsid w:val="00A84C4E"/>
    <w:rsid w:val="00A84CD5"/>
    <w:rsid w:val="00A84E66"/>
    <w:rsid w:val="00A84E7F"/>
    <w:rsid w:val="00A84EE8"/>
    <w:rsid w:val="00A85053"/>
    <w:rsid w:val="00A851F3"/>
    <w:rsid w:val="00A85216"/>
    <w:rsid w:val="00A85221"/>
    <w:rsid w:val="00A852CB"/>
    <w:rsid w:val="00A857E7"/>
    <w:rsid w:val="00A858B4"/>
    <w:rsid w:val="00A85926"/>
    <w:rsid w:val="00A85929"/>
    <w:rsid w:val="00A85AB0"/>
    <w:rsid w:val="00A85D5E"/>
    <w:rsid w:val="00A86004"/>
    <w:rsid w:val="00A86219"/>
    <w:rsid w:val="00A867A9"/>
    <w:rsid w:val="00A86852"/>
    <w:rsid w:val="00A868AB"/>
    <w:rsid w:val="00A869CF"/>
    <w:rsid w:val="00A86A15"/>
    <w:rsid w:val="00A86AD9"/>
    <w:rsid w:val="00A86FEE"/>
    <w:rsid w:val="00A872F7"/>
    <w:rsid w:val="00A873F5"/>
    <w:rsid w:val="00A87514"/>
    <w:rsid w:val="00A87577"/>
    <w:rsid w:val="00A876B7"/>
    <w:rsid w:val="00A87A56"/>
    <w:rsid w:val="00A87B36"/>
    <w:rsid w:val="00A87B43"/>
    <w:rsid w:val="00A87B6F"/>
    <w:rsid w:val="00A87C37"/>
    <w:rsid w:val="00A87CE1"/>
    <w:rsid w:val="00A87D11"/>
    <w:rsid w:val="00A87E5F"/>
    <w:rsid w:val="00A87F4B"/>
    <w:rsid w:val="00A87FA9"/>
    <w:rsid w:val="00A90135"/>
    <w:rsid w:val="00A90164"/>
    <w:rsid w:val="00A90278"/>
    <w:rsid w:val="00A90304"/>
    <w:rsid w:val="00A903C0"/>
    <w:rsid w:val="00A9045C"/>
    <w:rsid w:val="00A904A5"/>
    <w:rsid w:val="00A90869"/>
    <w:rsid w:val="00A90920"/>
    <w:rsid w:val="00A9093D"/>
    <w:rsid w:val="00A909E8"/>
    <w:rsid w:val="00A90AD8"/>
    <w:rsid w:val="00A90C48"/>
    <w:rsid w:val="00A90E14"/>
    <w:rsid w:val="00A90FF4"/>
    <w:rsid w:val="00A91244"/>
    <w:rsid w:val="00A91338"/>
    <w:rsid w:val="00A91398"/>
    <w:rsid w:val="00A91408"/>
    <w:rsid w:val="00A91436"/>
    <w:rsid w:val="00A9150D"/>
    <w:rsid w:val="00A91524"/>
    <w:rsid w:val="00A91543"/>
    <w:rsid w:val="00A91595"/>
    <w:rsid w:val="00A91789"/>
    <w:rsid w:val="00A91816"/>
    <w:rsid w:val="00A91A37"/>
    <w:rsid w:val="00A91B16"/>
    <w:rsid w:val="00A91B89"/>
    <w:rsid w:val="00A91C3D"/>
    <w:rsid w:val="00A91D5D"/>
    <w:rsid w:val="00A91E1E"/>
    <w:rsid w:val="00A91E84"/>
    <w:rsid w:val="00A91FA2"/>
    <w:rsid w:val="00A921F3"/>
    <w:rsid w:val="00A92496"/>
    <w:rsid w:val="00A925F8"/>
    <w:rsid w:val="00A9298D"/>
    <w:rsid w:val="00A929AD"/>
    <w:rsid w:val="00A92A99"/>
    <w:rsid w:val="00A92CBD"/>
    <w:rsid w:val="00A92F1C"/>
    <w:rsid w:val="00A931ED"/>
    <w:rsid w:val="00A93260"/>
    <w:rsid w:val="00A93A7F"/>
    <w:rsid w:val="00A93AAB"/>
    <w:rsid w:val="00A94036"/>
    <w:rsid w:val="00A940CA"/>
    <w:rsid w:val="00A94105"/>
    <w:rsid w:val="00A94527"/>
    <w:rsid w:val="00A94A4F"/>
    <w:rsid w:val="00A94A99"/>
    <w:rsid w:val="00A94B07"/>
    <w:rsid w:val="00A94C22"/>
    <w:rsid w:val="00A94E31"/>
    <w:rsid w:val="00A94EE6"/>
    <w:rsid w:val="00A94FF8"/>
    <w:rsid w:val="00A951E3"/>
    <w:rsid w:val="00A954FB"/>
    <w:rsid w:val="00A9576A"/>
    <w:rsid w:val="00A9597F"/>
    <w:rsid w:val="00A95A9A"/>
    <w:rsid w:val="00A95AC3"/>
    <w:rsid w:val="00A95AD8"/>
    <w:rsid w:val="00A95B95"/>
    <w:rsid w:val="00A95E0E"/>
    <w:rsid w:val="00A95E86"/>
    <w:rsid w:val="00A960A2"/>
    <w:rsid w:val="00A96220"/>
    <w:rsid w:val="00A96222"/>
    <w:rsid w:val="00A9632A"/>
    <w:rsid w:val="00A963AC"/>
    <w:rsid w:val="00A96689"/>
    <w:rsid w:val="00A966F0"/>
    <w:rsid w:val="00A96741"/>
    <w:rsid w:val="00A9674B"/>
    <w:rsid w:val="00A967D9"/>
    <w:rsid w:val="00A9696C"/>
    <w:rsid w:val="00A97122"/>
    <w:rsid w:val="00A971A8"/>
    <w:rsid w:val="00A971C8"/>
    <w:rsid w:val="00A9720F"/>
    <w:rsid w:val="00A97455"/>
    <w:rsid w:val="00A974A2"/>
    <w:rsid w:val="00A97B1F"/>
    <w:rsid w:val="00A97D29"/>
    <w:rsid w:val="00A97D50"/>
    <w:rsid w:val="00A97E51"/>
    <w:rsid w:val="00A97FDD"/>
    <w:rsid w:val="00A9E1E8"/>
    <w:rsid w:val="00AA00D5"/>
    <w:rsid w:val="00AA0197"/>
    <w:rsid w:val="00AA025B"/>
    <w:rsid w:val="00AA042C"/>
    <w:rsid w:val="00AA048A"/>
    <w:rsid w:val="00AA04F3"/>
    <w:rsid w:val="00AA0755"/>
    <w:rsid w:val="00AA0ADA"/>
    <w:rsid w:val="00AA0CD8"/>
    <w:rsid w:val="00AA1049"/>
    <w:rsid w:val="00AA1078"/>
    <w:rsid w:val="00AA1244"/>
    <w:rsid w:val="00AA13C0"/>
    <w:rsid w:val="00AA1607"/>
    <w:rsid w:val="00AA16D3"/>
    <w:rsid w:val="00AA18B9"/>
    <w:rsid w:val="00AA1941"/>
    <w:rsid w:val="00AA1C93"/>
    <w:rsid w:val="00AA1CDC"/>
    <w:rsid w:val="00AA1F95"/>
    <w:rsid w:val="00AA2314"/>
    <w:rsid w:val="00AA2462"/>
    <w:rsid w:val="00AA249A"/>
    <w:rsid w:val="00AA24B5"/>
    <w:rsid w:val="00AA2512"/>
    <w:rsid w:val="00AA263E"/>
    <w:rsid w:val="00AA2723"/>
    <w:rsid w:val="00AA278F"/>
    <w:rsid w:val="00AA2A25"/>
    <w:rsid w:val="00AA2B2F"/>
    <w:rsid w:val="00AA2D18"/>
    <w:rsid w:val="00AA3047"/>
    <w:rsid w:val="00AA310D"/>
    <w:rsid w:val="00AA3221"/>
    <w:rsid w:val="00AA32AD"/>
    <w:rsid w:val="00AA32F1"/>
    <w:rsid w:val="00AA3422"/>
    <w:rsid w:val="00AA3424"/>
    <w:rsid w:val="00AA3529"/>
    <w:rsid w:val="00AA3860"/>
    <w:rsid w:val="00AA391A"/>
    <w:rsid w:val="00AA394E"/>
    <w:rsid w:val="00AA3B52"/>
    <w:rsid w:val="00AA3D5E"/>
    <w:rsid w:val="00AA3E12"/>
    <w:rsid w:val="00AA3E82"/>
    <w:rsid w:val="00AA406A"/>
    <w:rsid w:val="00AA4324"/>
    <w:rsid w:val="00AA436C"/>
    <w:rsid w:val="00AA447B"/>
    <w:rsid w:val="00AA448B"/>
    <w:rsid w:val="00AA44CB"/>
    <w:rsid w:val="00AA44D4"/>
    <w:rsid w:val="00AA4519"/>
    <w:rsid w:val="00AA4689"/>
    <w:rsid w:val="00AA489B"/>
    <w:rsid w:val="00AA4ABB"/>
    <w:rsid w:val="00AA4D6E"/>
    <w:rsid w:val="00AA4DC7"/>
    <w:rsid w:val="00AA50AC"/>
    <w:rsid w:val="00AA522E"/>
    <w:rsid w:val="00AA5362"/>
    <w:rsid w:val="00AA54CB"/>
    <w:rsid w:val="00AA54F3"/>
    <w:rsid w:val="00AA564E"/>
    <w:rsid w:val="00AA56DC"/>
    <w:rsid w:val="00AA57E2"/>
    <w:rsid w:val="00AA5937"/>
    <w:rsid w:val="00AA5A03"/>
    <w:rsid w:val="00AA5A2D"/>
    <w:rsid w:val="00AA5A66"/>
    <w:rsid w:val="00AA5B77"/>
    <w:rsid w:val="00AA640A"/>
    <w:rsid w:val="00AA69F1"/>
    <w:rsid w:val="00AA6A2F"/>
    <w:rsid w:val="00AA6B05"/>
    <w:rsid w:val="00AA6B65"/>
    <w:rsid w:val="00AA6BB3"/>
    <w:rsid w:val="00AA6C7C"/>
    <w:rsid w:val="00AA6E7E"/>
    <w:rsid w:val="00AA6F06"/>
    <w:rsid w:val="00AA6F17"/>
    <w:rsid w:val="00AA6F6A"/>
    <w:rsid w:val="00AA6FD5"/>
    <w:rsid w:val="00AA703D"/>
    <w:rsid w:val="00AA7096"/>
    <w:rsid w:val="00AA7127"/>
    <w:rsid w:val="00AA71B2"/>
    <w:rsid w:val="00AA71CD"/>
    <w:rsid w:val="00AA73A4"/>
    <w:rsid w:val="00AA73C6"/>
    <w:rsid w:val="00AA73FF"/>
    <w:rsid w:val="00AA7839"/>
    <w:rsid w:val="00AA7A2C"/>
    <w:rsid w:val="00AA7B0D"/>
    <w:rsid w:val="00AA7E52"/>
    <w:rsid w:val="00AB0173"/>
    <w:rsid w:val="00AB02AB"/>
    <w:rsid w:val="00AB05D0"/>
    <w:rsid w:val="00AB061F"/>
    <w:rsid w:val="00AB0723"/>
    <w:rsid w:val="00AB0885"/>
    <w:rsid w:val="00AB090A"/>
    <w:rsid w:val="00AB0919"/>
    <w:rsid w:val="00AB09CD"/>
    <w:rsid w:val="00AB0B00"/>
    <w:rsid w:val="00AB0B41"/>
    <w:rsid w:val="00AB0C23"/>
    <w:rsid w:val="00AB0DEB"/>
    <w:rsid w:val="00AB0FC8"/>
    <w:rsid w:val="00AB0FF5"/>
    <w:rsid w:val="00AB107B"/>
    <w:rsid w:val="00AB10E3"/>
    <w:rsid w:val="00AB1125"/>
    <w:rsid w:val="00AB11A0"/>
    <w:rsid w:val="00AB126D"/>
    <w:rsid w:val="00AB12EC"/>
    <w:rsid w:val="00AB13BB"/>
    <w:rsid w:val="00AB1556"/>
    <w:rsid w:val="00AB155F"/>
    <w:rsid w:val="00AB1565"/>
    <w:rsid w:val="00AB15DA"/>
    <w:rsid w:val="00AB1627"/>
    <w:rsid w:val="00AB1B12"/>
    <w:rsid w:val="00AB1B77"/>
    <w:rsid w:val="00AB1BFF"/>
    <w:rsid w:val="00AB1C9A"/>
    <w:rsid w:val="00AB1D41"/>
    <w:rsid w:val="00AB1D76"/>
    <w:rsid w:val="00AB209B"/>
    <w:rsid w:val="00AB20C0"/>
    <w:rsid w:val="00AB2111"/>
    <w:rsid w:val="00AB2267"/>
    <w:rsid w:val="00AB22EC"/>
    <w:rsid w:val="00AB23E5"/>
    <w:rsid w:val="00AB251C"/>
    <w:rsid w:val="00AB2670"/>
    <w:rsid w:val="00AB2812"/>
    <w:rsid w:val="00AB2AD7"/>
    <w:rsid w:val="00AB2B2B"/>
    <w:rsid w:val="00AB2BE2"/>
    <w:rsid w:val="00AB2CFD"/>
    <w:rsid w:val="00AB2DAB"/>
    <w:rsid w:val="00AB2F6A"/>
    <w:rsid w:val="00AB3101"/>
    <w:rsid w:val="00AB315E"/>
    <w:rsid w:val="00AB3282"/>
    <w:rsid w:val="00AB32CC"/>
    <w:rsid w:val="00AB3787"/>
    <w:rsid w:val="00AB37EF"/>
    <w:rsid w:val="00AB382A"/>
    <w:rsid w:val="00AB396F"/>
    <w:rsid w:val="00AB39AC"/>
    <w:rsid w:val="00AB3AB6"/>
    <w:rsid w:val="00AB3B79"/>
    <w:rsid w:val="00AB3BAB"/>
    <w:rsid w:val="00AB3C75"/>
    <w:rsid w:val="00AB3DE9"/>
    <w:rsid w:val="00AB40A4"/>
    <w:rsid w:val="00AB422F"/>
    <w:rsid w:val="00AB4262"/>
    <w:rsid w:val="00AB4411"/>
    <w:rsid w:val="00AB4527"/>
    <w:rsid w:val="00AB45B5"/>
    <w:rsid w:val="00AB4642"/>
    <w:rsid w:val="00AB4735"/>
    <w:rsid w:val="00AB4953"/>
    <w:rsid w:val="00AB4A90"/>
    <w:rsid w:val="00AB4C1F"/>
    <w:rsid w:val="00AB52FD"/>
    <w:rsid w:val="00AB53AB"/>
    <w:rsid w:val="00AB55DE"/>
    <w:rsid w:val="00AB5782"/>
    <w:rsid w:val="00AB5913"/>
    <w:rsid w:val="00AB5BB2"/>
    <w:rsid w:val="00AB5BC4"/>
    <w:rsid w:val="00AB5C4C"/>
    <w:rsid w:val="00AB5D83"/>
    <w:rsid w:val="00AB5E53"/>
    <w:rsid w:val="00AB5EA4"/>
    <w:rsid w:val="00AB5EE7"/>
    <w:rsid w:val="00AB61A3"/>
    <w:rsid w:val="00AB6391"/>
    <w:rsid w:val="00AB63AC"/>
    <w:rsid w:val="00AB6473"/>
    <w:rsid w:val="00AB6560"/>
    <w:rsid w:val="00AB659C"/>
    <w:rsid w:val="00AB65E4"/>
    <w:rsid w:val="00AB68BC"/>
    <w:rsid w:val="00AB68F1"/>
    <w:rsid w:val="00AB6A79"/>
    <w:rsid w:val="00AB6DC5"/>
    <w:rsid w:val="00AB6DDC"/>
    <w:rsid w:val="00AB6E51"/>
    <w:rsid w:val="00AB6EEC"/>
    <w:rsid w:val="00AB7588"/>
    <w:rsid w:val="00AB7673"/>
    <w:rsid w:val="00AB7804"/>
    <w:rsid w:val="00AB7828"/>
    <w:rsid w:val="00AB7835"/>
    <w:rsid w:val="00AB7AD0"/>
    <w:rsid w:val="00AB7AFB"/>
    <w:rsid w:val="00AB7CAB"/>
    <w:rsid w:val="00AB7D2C"/>
    <w:rsid w:val="00AB7E0C"/>
    <w:rsid w:val="00AB7E68"/>
    <w:rsid w:val="00AB81AC"/>
    <w:rsid w:val="00AC00C3"/>
    <w:rsid w:val="00AC032F"/>
    <w:rsid w:val="00AC039C"/>
    <w:rsid w:val="00AC05F1"/>
    <w:rsid w:val="00AC0884"/>
    <w:rsid w:val="00AC0A8E"/>
    <w:rsid w:val="00AC0B3D"/>
    <w:rsid w:val="00AC0C76"/>
    <w:rsid w:val="00AC0C85"/>
    <w:rsid w:val="00AC0CDD"/>
    <w:rsid w:val="00AC0CE3"/>
    <w:rsid w:val="00AC0E5D"/>
    <w:rsid w:val="00AC0E62"/>
    <w:rsid w:val="00AC0F68"/>
    <w:rsid w:val="00AC109E"/>
    <w:rsid w:val="00AC1110"/>
    <w:rsid w:val="00AC1188"/>
    <w:rsid w:val="00AC1202"/>
    <w:rsid w:val="00AC13D9"/>
    <w:rsid w:val="00AC13E8"/>
    <w:rsid w:val="00AC14CA"/>
    <w:rsid w:val="00AC1705"/>
    <w:rsid w:val="00AC1A7A"/>
    <w:rsid w:val="00AC1D55"/>
    <w:rsid w:val="00AC1E8A"/>
    <w:rsid w:val="00AC1EF1"/>
    <w:rsid w:val="00AC21A6"/>
    <w:rsid w:val="00AC2461"/>
    <w:rsid w:val="00AC2641"/>
    <w:rsid w:val="00AC2752"/>
    <w:rsid w:val="00AC28BD"/>
    <w:rsid w:val="00AC29E5"/>
    <w:rsid w:val="00AC29F6"/>
    <w:rsid w:val="00AC2A23"/>
    <w:rsid w:val="00AC2A65"/>
    <w:rsid w:val="00AC2AF6"/>
    <w:rsid w:val="00AC2E3C"/>
    <w:rsid w:val="00AC2F2B"/>
    <w:rsid w:val="00AC2FC2"/>
    <w:rsid w:val="00AC313F"/>
    <w:rsid w:val="00AC3164"/>
    <w:rsid w:val="00AC3356"/>
    <w:rsid w:val="00AC3504"/>
    <w:rsid w:val="00AC3839"/>
    <w:rsid w:val="00AC3A58"/>
    <w:rsid w:val="00AC3B40"/>
    <w:rsid w:val="00AC3B45"/>
    <w:rsid w:val="00AC3C6E"/>
    <w:rsid w:val="00AC3DBD"/>
    <w:rsid w:val="00AC3FF5"/>
    <w:rsid w:val="00AC40A2"/>
    <w:rsid w:val="00AC4154"/>
    <w:rsid w:val="00AC42ED"/>
    <w:rsid w:val="00AC462A"/>
    <w:rsid w:val="00AC480D"/>
    <w:rsid w:val="00AC4928"/>
    <w:rsid w:val="00AC498A"/>
    <w:rsid w:val="00AC4A36"/>
    <w:rsid w:val="00AC4B12"/>
    <w:rsid w:val="00AC4B3D"/>
    <w:rsid w:val="00AC4B8F"/>
    <w:rsid w:val="00AC4BCC"/>
    <w:rsid w:val="00AC4E03"/>
    <w:rsid w:val="00AC4E6A"/>
    <w:rsid w:val="00AC4F62"/>
    <w:rsid w:val="00AC5073"/>
    <w:rsid w:val="00AC50FD"/>
    <w:rsid w:val="00AC52D9"/>
    <w:rsid w:val="00AC52EC"/>
    <w:rsid w:val="00AC5568"/>
    <w:rsid w:val="00AC57ED"/>
    <w:rsid w:val="00AC592D"/>
    <w:rsid w:val="00AC593C"/>
    <w:rsid w:val="00AC5C32"/>
    <w:rsid w:val="00AC5C51"/>
    <w:rsid w:val="00AC5D4A"/>
    <w:rsid w:val="00AC5D56"/>
    <w:rsid w:val="00AC5D9F"/>
    <w:rsid w:val="00AC5DB3"/>
    <w:rsid w:val="00AC5E18"/>
    <w:rsid w:val="00AC5E89"/>
    <w:rsid w:val="00AC5FAB"/>
    <w:rsid w:val="00AC6007"/>
    <w:rsid w:val="00AC6300"/>
    <w:rsid w:val="00AC66A7"/>
    <w:rsid w:val="00AC67F0"/>
    <w:rsid w:val="00AC69A3"/>
    <w:rsid w:val="00AC69A4"/>
    <w:rsid w:val="00AC69AE"/>
    <w:rsid w:val="00AC6AE2"/>
    <w:rsid w:val="00AC6E35"/>
    <w:rsid w:val="00AC6E49"/>
    <w:rsid w:val="00AC6E91"/>
    <w:rsid w:val="00AC6E9F"/>
    <w:rsid w:val="00AC6EEC"/>
    <w:rsid w:val="00AC6FB0"/>
    <w:rsid w:val="00AC702B"/>
    <w:rsid w:val="00AC705D"/>
    <w:rsid w:val="00AC708D"/>
    <w:rsid w:val="00AC74B0"/>
    <w:rsid w:val="00AC74D2"/>
    <w:rsid w:val="00AC7666"/>
    <w:rsid w:val="00AC77BC"/>
    <w:rsid w:val="00AC7805"/>
    <w:rsid w:val="00AC797D"/>
    <w:rsid w:val="00AC79AF"/>
    <w:rsid w:val="00AC79F6"/>
    <w:rsid w:val="00AC7B92"/>
    <w:rsid w:val="00AC7C41"/>
    <w:rsid w:val="00AC7CA8"/>
    <w:rsid w:val="00AC7D08"/>
    <w:rsid w:val="00AC7D48"/>
    <w:rsid w:val="00AD0100"/>
    <w:rsid w:val="00AD08DE"/>
    <w:rsid w:val="00AD09E4"/>
    <w:rsid w:val="00AD0A25"/>
    <w:rsid w:val="00AD0AC0"/>
    <w:rsid w:val="00AD0BE2"/>
    <w:rsid w:val="00AD0E6E"/>
    <w:rsid w:val="00AD0E8D"/>
    <w:rsid w:val="00AD12FF"/>
    <w:rsid w:val="00AD1322"/>
    <w:rsid w:val="00AD1424"/>
    <w:rsid w:val="00AD14DF"/>
    <w:rsid w:val="00AD15F9"/>
    <w:rsid w:val="00AD16A2"/>
    <w:rsid w:val="00AD189C"/>
    <w:rsid w:val="00AD18B0"/>
    <w:rsid w:val="00AD18D0"/>
    <w:rsid w:val="00AD1FDC"/>
    <w:rsid w:val="00AD220A"/>
    <w:rsid w:val="00AD23C0"/>
    <w:rsid w:val="00AD23C1"/>
    <w:rsid w:val="00AD2419"/>
    <w:rsid w:val="00AD2579"/>
    <w:rsid w:val="00AD26A8"/>
    <w:rsid w:val="00AD2755"/>
    <w:rsid w:val="00AD28B5"/>
    <w:rsid w:val="00AD2953"/>
    <w:rsid w:val="00AD2A75"/>
    <w:rsid w:val="00AD2CF5"/>
    <w:rsid w:val="00AD2CF6"/>
    <w:rsid w:val="00AD2D1C"/>
    <w:rsid w:val="00AD2D30"/>
    <w:rsid w:val="00AD2F1C"/>
    <w:rsid w:val="00AD33BD"/>
    <w:rsid w:val="00AD34F6"/>
    <w:rsid w:val="00AD3B4D"/>
    <w:rsid w:val="00AD3CA5"/>
    <w:rsid w:val="00AD3CC6"/>
    <w:rsid w:val="00AD3E94"/>
    <w:rsid w:val="00AD3EEA"/>
    <w:rsid w:val="00AD402B"/>
    <w:rsid w:val="00AD4030"/>
    <w:rsid w:val="00AD40BD"/>
    <w:rsid w:val="00AD41A1"/>
    <w:rsid w:val="00AD41E4"/>
    <w:rsid w:val="00AD432B"/>
    <w:rsid w:val="00AD441C"/>
    <w:rsid w:val="00AD458E"/>
    <w:rsid w:val="00AD4618"/>
    <w:rsid w:val="00AD4810"/>
    <w:rsid w:val="00AD491D"/>
    <w:rsid w:val="00AD49BD"/>
    <w:rsid w:val="00AD4AB7"/>
    <w:rsid w:val="00AD4B43"/>
    <w:rsid w:val="00AD4B6B"/>
    <w:rsid w:val="00AD4D73"/>
    <w:rsid w:val="00AD4DF8"/>
    <w:rsid w:val="00AD4E1E"/>
    <w:rsid w:val="00AD4FAE"/>
    <w:rsid w:val="00AD5128"/>
    <w:rsid w:val="00AD514A"/>
    <w:rsid w:val="00AD5225"/>
    <w:rsid w:val="00AD52FD"/>
    <w:rsid w:val="00AD5305"/>
    <w:rsid w:val="00AD538A"/>
    <w:rsid w:val="00AD57B3"/>
    <w:rsid w:val="00AD5883"/>
    <w:rsid w:val="00AD5899"/>
    <w:rsid w:val="00AD58F3"/>
    <w:rsid w:val="00AD5AB7"/>
    <w:rsid w:val="00AD5B8C"/>
    <w:rsid w:val="00AD5BA7"/>
    <w:rsid w:val="00AD5DAF"/>
    <w:rsid w:val="00AD5E4A"/>
    <w:rsid w:val="00AD5E76"/>
    <w:rsid w:val="00AD5EA9"/>
    <w:rsid w:val="00AD5F83"/>
    <w:rsid w:val="00AD6041"/>
    <w:rsid w:val="00AD607C"/>
    <w:rsid w:val="00AD611F"/>
    <w:rsid w:val="00AD6125"/>
    <w:rsid w:val="00AD6329"/>
    <w:rsid w:val="00AD6533"/>
    <w:rsid w:val="00AD6706"/>
    <w:rsid w:val="00AD6824"/>
    <w:rsid w:val="00AD6951"/>
    <w:rsid w:val="00AD6A01"/>
    <w:rsid w:val="00AD6A4A"/>
    <w:rsid w:val="00AD6AB6"/>
    <w:rsid w:val="00AD6BFF"/>
    <w:rsid w:val="00AD6C59"/>
    <w:rsid w:val="00AD6C65"/>
    <w:rsid w:val="00AD6D7D"/>
    <w:rsid w:val="00AD7114"/>
    <w:rsid w:val="00AD7369"/>
    <w:rsid w:val="00AD748C"/>
    <w:rsid w:val="00AD7568"/>
    <w:rsid w:val="00AD777F"/>
    <w:rsid w:val="00AD798F"/>
    <w:rsid w:val="00AD79EF"/>
    <w:rsid w:val="00AD7B0D"/>
    <w:rsid w:val="00AD7C12"/>
    <w:rsid w:val="00AD7DEF"/>
    <w:rsid w:val="00AD7EED"/>
    <w:rsid w:val="00AD7FC0"/>
    <w:rsid w:val="00AE00A5"/>
    <w:rsid w:val="00AE028B"/>
    <w:rsid w:val="00AE0474"/>
    <w:rsid w:val="00AE058A"/>
    <w:rsid w:val="00AE0763"/>
    <w:rsid w:val="00AE07CD"/>
    <w:rsid w:val="00AE0883"/>
    <w:rsid w:val="00AE09AC"/>
    <w:rsid w:val="00AE0A4B"/>
    <w:rsid w:val="00AE0AC9"/>
    <w:rsid w:val="00AE0CD4"/>
    <w:rsid w:val="00AE0DA2"/>
    <w:rsid w:val="00AE11D4"/>
    <w:rsid w:val="00AE12EF"/>
    <w:rsid w:val="00AE148F"/>
    <w:rsid w:val="00AE14EA"/>
    <w:rsid w:val="00AE1513"/>
    <w:rsid w:val="00AE1529"/>
    <w:rsid w:val="00AE1599"/>
    <w:rsid w:val="00AE15E9"/>
    <w:rsid w:val="00AE1625"/>
    <w:rsid w:val="00AE1774"/>
    <w:rsid w:val="00AE187C"/>
    <w:rsid w:val="00AE1AE4"/>
    <w:rsid w:val="00AE1B1E"/>
    <w:rsid w:val="00AE212E"/>
    <w:rsid w:val="00AE2197"/>
    <w:rsid w:val="00AE2246"/>
    <w:rsid w:val="00AE234F"/>
    <w:rsid w:val="00AE239C"/>
    <w:rsid w:val="00AE2428"/>
    <w:rsid w:val="00AE246B"/>
    <w:rsid w:val="00AE2519"/>
    <w:rsid w:val="00AE265B"/>
    <w:rsid w:val="00AE274A"/>
    <w:rsid w:val="00AE2993"/>
    <w:rsid w:val="00AE29A4"/>
    <w:rsid w:val="00AE29F8"/>
    <w:rsid w:val="00AE2AD7"/>
    <w:rsid w:val="00AE2BF2"/>
    <w:rsid w:val="00AE2CBA"/>
    <w:rsid w:val="00AE3112"/>
    <w:rsid w:val="00AE3151"/>
    <w:rsid w:val="00AE328D"/>
    <w:rsid w:val="00AE3352"/>
    <w:rsid w:val="00AE3639"/>
    <w:rsid w:val="00AE3661"/>
    <w:rsid w:val="00AE3675"/>
    <w:rsid w:val="00AE3683"/>
    <w:rsid w:val="00AE3818"/>
    <w:rsid w:val="00AE3860"/>
    <w:rsid w:val="00AE3B2E"/>
    <w:rsid w:val="00AE3B5B"/>
    <w:rsid w:val="00AE3C88"/>
    <w:rsid w:val="00AE3DAB"/>
    <w:rsid w:val="00AE4291"/>
    <w:rsid w:val="00AE44D0"/>
    <w:rsid w:val="00AE456F"/>
    <w:rsid w:val="00AE45C9"/>
    <w:rsid w:val="00AE46C4"/>
    <w:rsid w:val="00AE4910"/>
    <w:rsid w:val="00AE4A4B"/>
    <w:rsid w:val="00AE4A7D"/>
    <w:rsid w:val="00AE4B6A"/>
    <w:rsid w:val="00AE4DBB"/>
    <w:rsid w:val="00AE51A4"/>
    <w:rsid w:val="00AE5228"/>
    <w:rsid w:val="00AE5281"/>
    <w:rsid w:val="00AE55D6"/>
    <w:rsid w:val="00AE55F0"/>
    <w:rsid w:val="00AE577A"/>
    <w:rsid w:val="00AE58CF"/>
    <w:rsid w:val="00AE59A2"/>
    <w:rsid w:val="00AE5A52"/>
    <w:rsid w:val="00AE5A5F"/>
    <w:rsid w:val="00AE5E9C"/>
    <w:rsid w:val="00AE5EF9"/>
    <w:rsid w:val="00AE5F1E"/>
    <w:rsid w:val="00AE6033"/>
    <w:rsid w:val="00AE6145"/>
    <w:rsid w:val="00AE62DB"/>
    <w:rsid w:val="00AE63F3"/>
    <w:rsid w:val="00AE6487"/>
    <w:rsid w:val="00AE65CE"/>
    <w:rsid w:val="00AE6615"/>
    <w:rsid w:val="00AE6665"/>
    <w:rsid w:val="00AE6791"/>
    <w:rsid w:val="00AE67B5"/>
    <w:rsid w:val="00AE6834"/>
    <w:rsid w:val="00AE6B02"/>
    <w:rsid w:val="00AE6C79"/>
    <w:rsid w:val="00AE6E41"/>
    <w:rsid w:val="00AE7052"/>
    <w:rsid w:val="00AE70BB"/>
    <w:rsid w:val="00AE742E"/>
    <w:rsid w:val="00AE74B9"/>
    <w:rsid w:val="00AE74F8"/>
    <w:rsid w:val="00AE77DA"/>
    <w:rsid w:val="00AE7836"/>
    <w:rsid w:val="00AE7881"/>
    <w:rsid w:val="00AE7995"/>
    <w:rsid w:val="00AE7A70"/>
    <w:rsid w:val="00AE7B26"/>
    <w:rsid w:val="00AE7DBE"/>
    <w:rsid w:val="00AE7EB4"/>
    <w:rsid w:val="00AE7FAC"/>
    <w:rsid w:val="00AF00AB"/>
    <w:rsid w:val="00AF04F0"/>
    <w:rsid w:val="00AF0586"/>
    <w:rsid w:val="00AF05B5"/>
    <w:rsid w:val="00AF05C8"/>
    <w:rsid w:val="00AF0614"/>
    <w:rsid w:val="00AF0832"/>
    <w:rsid w:val="00AF0898"/>
    <w:rsid w:val="00AF0900"/>
    <w:rsid w:val="00AF0994"/>
    <w:rsid w:val="00AF09D0"/>
    <w:rsid w:val="00AF09E5"/>
    <w:rsid w:val="00AF0A35"/>
    <w:rsid w:val="00AF0C19"/>
    <w:rsid w:val="00AF0D70"/>
    <w:rsid w:val="00AF0EE9"/>
    <w:rsid w:val="00AF0EF2"/>
    <w:rsid w:val="00AF0F72"/>
    <w:rsid w:val="00AF0FAB"/>
    <w:rsid w:val="00AF1080"/>
    <w:rsid w:val="00AF111B"/>
    <w:rsid w:val="00AF1141"/>
    <w:rsid w:val="00AF1223"/>
    <w:rsid w:val="00AF1366"/>
    <w:rsid w:val="00AF1396"/>
    <w:rsid w:val="00AF164B"/>
    <w:rsid w:val="00AF186B"/>
    <w:rsid w:val="00AF18B4"/>
    <w:rsid w:val="00AF1BED"/>
    <w:rsid w:val="00AF1C03"/>
    <w:rsid w:val="00AF1E02"/>
    <w:rsid w:val="00AF1EE7"/>
    <w:rsid w:val="00AF1FA8"/>
    <w:rsid w:val="00AF20FF"/>
    <w:rsid w:val="00AF21E4"/>
    <w:rsid w:val="00AF23E6"/>
    <w:rsid w:val="00AF2458"/>
    <w:rsid w:val="00AF2463"/>
    <w:rsid w:val="00AF26DD"/>
    <w:rsid w:val="00AF29D3"/>
    <w:rsid w:val="00AF2AF8"/>
    <w:rsid w:val="00AF2D6B"/>
    <w:rsid w:val="00AF2FE9"/>
    <w:rsid w:val="00AF32E1"/>
    <w:rsid w:val="00AF363C"/>
    <w:rsid w:val="00AF368D"/>
    <w:rsid w:val="00AF3A51"/>
    <w:rsid w:val="00AF3B65"/>
    <w:rsid w:val="00AF3C54"/>
    <w:rsid w:val="00AF3CBB"/>
    <w:rsid w:val="00AF4150"/>
    <w:rsid w:val="00AF432A"/>
    <w:rsid w:val="00AF4620"/>
    <w:rsid w:val="00AF4881"/>
    <w:rsid w:val="00AF494F"/>
    <w:rsid w:val="00AF4AA8"/>
    <w:rsid w:val="00AF4BB3"/>
    <w:rsid w:val="00AF4FE1"/>
    <w:rsid w:val="00AF4FFF"/>
    <w:rsid w:val="00AF5175"/>
    <w:rsid w:val="00AF5277"/>
    <w:rsid w:val="00AF5282"/>
    <w:rsid w:val="00AF55A9"/>
    <w:rsid w:val="00AF55FE"/>
    <w:rsid w:val="00AF5940"/>
    <w:rsid w:val="00AF5A5A"/>
    <w:rsid w:val="00AF5DE3"/>
    <w:rsid w:val="00AF5E8C"/>
    <w:rsid w:val="00AF5EB0"/>
    <w:rsid w:val="00AF5EB2"/>
    <w:rsid w:val="00AF6354"/>
    <w:rsid w:val="00AF635D"/>
    <w:rsid w:val="00AF6382"/>
    <w:rsid w:val="00AF65CF"/>
    <w:rsid w:val="00AF66FB"/>
    <w:rsid w:val="00AF67F4"/>
    <w:rsid w:val="00AF6881"/>
    <w:rsid w:val="00AF69B0"/>
    <w:rsid w:val="00AF6AE2"/>
    <w:rsid w:val="00AF6C97"/>
    <w:rsid w:val="00AF6E30"/>
    <w:rsid w:val="00AF6F3B"/>
    <w:rsid w:val="00AF707E"/>
    <w:rsid w:val="00AF71CD"/>
    <w:rsid w:val="00AF71D9"/>
    <w:rsid w:val="00AF7216"/>
    <w:rsid w:val="00AF726C"/>
    <w:rsid w:val="00AF757A"/>
    <w:rsid w:val="00AF75F1"/>
    <w:rsid w:val="00AF7A3B"/>
    <w:rsid w:val="00AF7A50"/>
    <w:rsid w:val="00AF7B70"/>
    <w:rsid w:val="00AF7C33"/>
    <w:rsid w:val="00AF7DD9"/>
    <w:rsid w:val="00AF7DDB"/>
    <w:rsid w:val="00AF7E1B"/>
    <w:rsid w:val="00AF7F99"/>
    <w:rsid w:val="00AFA2FD"/>
    <w:rsid w:val="00B00267"/>
    <w:rsid w:val="00B002FA"/>
    <w:rsid w:val="00B003D2"/>
    <w:rsid w:val="00B003DA"/>
    <w:rsid w:val="00B0069C"/>
    <w:rsid w:val="00B006DD"/>
    <w:rsid w:val="00B00E78"/>
    <w:rsid w:val="00B01130"/>
    <w:rsid w:val="00B01303"/>
    <w:rsid w:val="00B0137D"/>
    <w:rsid w:val="00B014AA"/>
    <w:rsid w:val="00B01582"/>
    <w:rsid w:val="00B01640"/>
    <w:rsid w:val="00B01689"/>
    <w:rsid w:val="00B01743"/>
    <w:rsid w:val="00B0195C"/>
    <w:rsid w:val="00B019BC"/>
    <w:rsid w:val="00B019E0"/>
    <w:rsid w:val="00B01AC5"/>
    <w:rsid w:val="00B01F80"/>
    <w:rsid w:val="00B02242"/>
    <w:rsid w:val="00B025E0"/>
    <w:rsid w:val="00B02934"/>
    <w:rsid w:val="00B02C0B"/>
    <w:rsid w:val="00B02C4F"/>
    <w:rsid w:val="00B02DB2"/>
    <w:rsid w:val="00B02F39"/>
    <w:rsid w:val="00B02FDA"/>
    <w:rsid w:val="00B030E8"/>
    <w:rsid w:val="00B0314C"/>
    <w:rsid w:val="00B032C6"/>
    <w:rsid w:val="00B0353D"/>
    <w:rsid w:val="00B0362B"/>
    <w:rsid w:val="00B036F0"/>
    <w:rsid w:val="00B03769"/>
    <w:rsid w:val="00B037B2"/>
    <w:rsid w:val="00B038F6"/>
    <w:rsid w:val="00B03A36"/>
    <w:rsid w:val="00B03A72"/>
    <w:rsid w:val="00B03B49"/>
    <w:rsid w:val="00B03ED9"/>
    <w:rsid w:val="00B03F7C"/>
    <w:rsid w:val="00B04066"/>
    <w:rsid w:val="00B04441"/>
    <w:rsid w:val="00B04472"/>
    <w:rsid w:val="00B0449B"/>
    <w:rsid w:val="00B044C7"/>
    <w:rsid w:val="00B04533"/>
    <w:rsid w:val="00B045C3"/>
    <w:rsid w:val="00B04629"/>
    <w:rsid w:val="00B049CE"/>
    <w:rsid w:val="00B04A93"/>
    <w:rsid w:val="00B04B61"/>
    <w:rsid w:val="00B04CCC"/>
    <w:rsid w:val="00B04D49"/>
    <w:rsid w:val="00B04EC2"/>
    <w:rsid w:val="00B0544D"/>
    <w:rsid w:val="00B0560F"/>
    <w:rsid w:val="00B0569B"/>
    <w:rsid w:val="00B056DD"/>
    <w:rsid w:val="00B056E6"/>
    <w:rsid w:val="00B057A2"/>
    <w:rsid w:val="00B057DE"/>
    <w:rsid w:val="00B059CA"/>
    <w:rsid w:val="00B05C54"/>
    <w:rsid w:val="00B05C9D"/>
    <w:rsid w:val="00B05D1A"/>
    <w:rsid w:val="00B0618A"/>
    <w:rsid w:val="00B0624D"/>
    <w:rsid w:val="00B06331"/>
    <w:rsid w:val="00B064A6"/>
    <w:rsid w:val="00B065C0"/>
    <w:rsid w:val="00B06712"/>
    <w:rsid w:val="00B06744"/>
    <w:rsid w:val="00B06803"/>
    <w:rsid w:val="00B068BB"/>
    <w:rsid w:val="00B06935"/>
    <w:rsid w:val="00B069A4"/>
    <w:rsid w:val="00B06AC9"/>
    <w:rsid w:val="00B06D27"/>
    <w:rsid w:val="00B06F0B"/>
    <w:rsid w:val="00B07001"/>
    <w:rsid w:val="00B07154"/>
    <w:rsid w:val="00B0768E"/>
    <w:rsid w:val="00B0769C"/>
    <w:rsid w:val="00B077FC"/>
    <w:rsid w:val="00B07BBD"/>
    <w:rsid w:val="00B07CCE"/>
    <w:rsid w:val="00B07D7E"/>
    <w:rsid w:val="00B1002B"/>
    <w:rsid w:val="00B100AA"/>
    <w:rsid w:val="00B10158"/>
    <w:rsid w:val="00B10430"/>
    <w:rsid w:val="00B104FA"/>
    <w:rsid w:val="00B105F8"/>
    <w:rsid w:val="00B106F4"/>
    <w:rsid w:val="00B108DB"/>
    <w:rsid w:val="00B10980"/>
    <w:rsid w:val="00B10A49"/>
    <w:rsid w:val="00B10B52"/>
    <w:rsid w:val="00B10C0B"/>
    <w:rsid w:val="00B10C4B"/>
    <w:rsid w:val="00B10FF5"/>
    <w:rsid w:val="00B114BC"/>
    <w:rsid w:val="00B114FC"/>
    <w:rsid w:val="00B1162D"/>
    <w:rsid w:val="00B116A1"/>
    <w:rsid w:val="00B11705"/>
    <w:rsid w:val="00B11852"/>
    <w:rsid w:val="00B1187E"/>
    <w:rsid w:val="00B118A0"/>
    <w:rsid w:val="00B118D2"/>
    <w:rsid w:val="00B119F2"/>
    <w:rsid w:val="00B11B85"/>
    <w:rsid w:val="00B11CEC"/>
    <w:rsid w:val="00B11FE7"/>
    <w:rsid w:val="00B12054"/>
    <w:rsid w:val="00B1212D"/>
    <w:rsid w:val="00B1213C"/>
    <w:rsid w:val="00B122C6"/>
    <w:rsid w:val="00B124C1"/>
    <w:rsid w:val="00B12670"/>
    <w:rsid w:val="00B12A49"/>
    <w:rsid w:val="00B12B9A"/>
    <w:rsid w:val="00B12E6E"/>
    <w:rsid w:val="00B12F2C"/>
    <w:rsid w:val="00B13035"/>
    <w:rsid w:val="00B130FA"/>
    <w:rsid w:val="00B13182"/>
    <w:rsid w:val="00B132D1"/>
    <w:rsid w:val="00B13535"/>
    <w:rsid w:val="00B138CD"/>
    <w:rsid w:val="00B13B9D"/>
    <w:rsid w:val="00B13BE1"/>
    <w:rsid w:val="00B13C38"/>
    <w:rsid w:val="00B13EC4"/>
    <w:rsid w:val="00B13EDE"/>
    <w:rsid w:val="00B13FAB"/>
    <w:rsid w:val="00B143E9"/>
    <w:rsid w:val="00B1479A"/>
    <w:rsid w:val="00B1491A"/>
    <w:rsid w:val="00B14A3A"/>
    <w:rsid w:val="00B14A59"/>
    <w:rsid w:val="00B14CAE"/>
    <w:rsid w:val="00B14E27"/>
    <w:rsid w:val="00B15201"/>
    <w:rsid w:val="00B1526B"/>
    <w:rsid w:val="00B152D8"/>
    <w:rsid w:val="00B154F8"/>
    <w:rsid w:val="00B1550D"/>
    <w:rsid w:val="00B15828"/>
    <w:rsid w:val="00B15A10"/>
    <w:rsid w:val="00B15B45"/>
    <w:rsid w:val="00B15B7A"/>
    <w:rsid w:val="00B15CF1"/>
    <w:rsid w:val="00B15EF1"/>
    <w:rsid w:val="00B15FEF"/>
    <w:rsid w:val="00B16060"/>
    <w:rsid w:val="00B164F0"/>
    <w:rsid w:val="00B16590"/>
    <w:rsid w:val="00B16651"/>
    <w:rsid w:val="00B1671F"/>
    <w:rsid w:val="00B16741"/>
    <w:rsid w:val="00B16759"/>
    <w:rsid w:val="00B16A46"/>
    <w:rsid w:val="00B16A56"/>
    <w:rsid w:val="00B16B1E"/>
    <w:rsid w:val="00B16DEE"/>
    <w:rsid w:val="00B16E05"/>
    <w:rsid w:val="00B16E5F"/>
    <w:rsid w:val="00B17071"/>
    <w:rsid w:val="00B17139"/>
    <w:rsid w:val="00B172C0"/>
    <w:rsid w:val="00B17631"/>
    <w:rsid w:val="00B17ADB"/>
    <w:rsid w:val="00B17D54"/>
    <w:rsid w:val="00B17FCB"/>
    <w:rsid w:val="00B20061"/>
    <w:rsid w:val="00B20201"/>
    <w:rsid w:val="00B20887"/>
    <w:rsid w:val="00B208AF"/>
    <w:rsid w:val="00B209ED"/>
    <w:rsid w:val="00B20A72"/>
    <w:rsid w:val="00B20AD3"/>
    <w:rsid w:val="00B20B27"/>
    <w:rsid w:val="00B20C4A"/>
    <w:rsid w:val="00B20D51"/>
    <w:rsid w:val="00B20E79"/>
    <w:rsid w:val="00B20E84"/>
    <w:rsid w:val="00B210CD"/>
    <w:rsid w:val="00B210E7"/>
    <w:rsid w:val="00B21132"/>
    <w:rsid w:val="00B21377"/>
    <w:rsid w:val="00B21395"/>
    <w:rsid w:val="00B21508"/>
    <w:rsid w:val="00B21734"/>
    <w:rsid w:val="00B21821"/>
    <w:rsid w:val="00B21900"/>
    <w:rsid w:val="00B21A37"/>
    <w:rsid w:val="00B21B90"/>
    <w:rsid w:val="00B21BE8"/>
    <w:rsid w:val="00B21C5B"/>
    <w:rsid w:val="00B21DCE"/>
    <w:rsid w:val="00B221D0"/>
    <w:rsid w:val="00B224D3"/>
    <w:rsid w:val="00B224F1"/>
    <w:rsid w:val="00B225A7"/>
    <w:rsid w:val="00B22602"/>
    <w:rsid w:val="00B22759"/>
    <w:rsid w:val="00B22D15"/>
    <w:rsid w:val="00B22DE9"/>
    <w:rsid w:val="00B22F62"/>
    <w:rsid w:val="00B231AB"/>
    <w:rsid w:val="00B23321"/>
    <w:rsid w:val="00B23477"/>
    <w:rsid w:val="00B23670"/>
    <w:rsid w:val="00B23A50"/>
    <w:rsid w:val="00B23ACC"/>
    <w:rsid w:val="00B23BAD"/>
    <w:rsid w:val="00B23C63"/>
    <w:rsid w:val="00B23D78"/>
    <w:rsid w:val="00B240FB"/>
    <w:rsid w:val="00B24159"/>
    <w:rsid w:val="00B241E3"/>
    <w:rsid w:val="00B24207"/>
    <w:rsid w:val="00B2432E"/>
    <w:rsid w:val="00B24341"/>
    <w:rsid w:val="00B2447D"/>
    <w:rsid w:val="00B24510"/>
    <w:rsid w:val="00B2463F"/>
    <w:rsid w:val="00B2469B"/>
    <w:rsid w:val="00B246B5"/>
    <w:rsid w:val="00B247F0"/>
    <w:rsid w:val="00B24900"/>
    <w:rsid w:val="00B24AF2"/>
    <w:rsid w:val="00B24BFF"/>
    <w:rsid w:val="00B25019"/>
    <w:rsid w:val="00B25090"/>
    <w:rsid w:val="00B2521E"/>
    <w:rsid w:val="00B25509"/>
    <w:rsid w:val="00B255A4"/>
    <w:rsid w:val="00B255FB"/>
    <w:rsid w:val="00B255FF"/>
    <w:rsid w:val="00B2562D"/>
    <w:rsid w:val="00B25868"/>
    <w:rsid w:val="00B258B8"/>
    <w:rsid w:val="00B25AD0"/>
    <w:rsid w:val="00B25B6F"/>
    <w:rsid w:val="00B25BC0"/>
    <w:rsid w:val="00B25DF8"/>
    <w:rsid w:val="00B25E5A"/>
    <w:rsid w:val="00B25FB6"/>
    <w:rsid w:val="00B2609E"/>
    <w:rsid w:val="00B260AB"/>
    <w:rsid w:val="00B260FD"/>
    <w:rsid w:val="00B26161"/>
    <w:rsid w:val="00B262D9"/>
    <w:rsid w:val="00B2645D"/>
    <w:rsid w:val="00B268EC"/>
    <w:rsid w:val="00B2690F"/>
    <w:rsid w:val="00B26976"/>
    <w:rsid w:val="00B26AC3"/>
    <w:rsid w:val="00B26E24"/>
    <w:rsid w:val="00B26E57"/>
    <w:rsid w:val="00B26EF2"/>
    <w:rsid w:val="00B26F17"/>
    <w:rsid w:val="00B26F6D"/>
    <w:rsid w:val="00B270B0"/>
    <w:rsid w:val="00B271A8"/>
    <w:rsid w:val="00B271A9"/>
    <w:rsid w:val="00B27264"/>
    <w:rsid w:val="00B273FB"/>
    <w:rsid w:val="00B274B5"/>
    <w:rsid w:val="00B2752D"/>
    <w:rsid w:val="00B27860"/>
    <w:rsid w:val="00B278CE"/>
    <w:rsid w:val="00B2791C"/>
    <w:rsid w:val="00B27A26"/>
    <w:rsid w:val="00B27A4B"/>
    <w:rsid w:val="00B27CC4"/>
    <w:rsid w:val="00B27E2F"/>
    <w:rsid w:val="00B27E5D"/>
    <w:rsid w:val="00B27F4F"/>
    <w:rsid w:val="00B27F83"/>
    <w:rsid w:val="00B3009F"/>
    <w:rsid w:val="00B30135"/>
    <w:rsid w:val="00B3014A"/>
    <w:rsid w:val="00B301C3"/>
    <w:rsid w:val="00B30453"/>
    <w:rsid w:val="00B3057E"/>
    <w:rsid w:val="00B306FB"/>
    <w:rsid w:val="00B30837"/>
    <w:rsid w:val="00B308E0"/>
    <w:rsid w:val="00B30986"/>
    <w:rsid w:val="00B309FC"/>
    <w:rsid w:val="00B30B74"/>
    <w:rsid w:val="00B30C26"/>
    <w:rsid w:val="00B30E13"/>
    <w:rsid w:val="00B30E14"/>
    <w:rsid w:val="00B30E35"/>
    <w:rsid w:val="00B30E6E"/>
    <w:rsid w:val="00B30F4E"/>
    <w:rsid w:val="00B311D1"/>
    <w:rsid w:val="00B3126F"/>
    <w:rsid w:val="00B312B0"/>
    <w:rsid w:val="00B31554"/>
    <w:rsid w:val="00B3162C"/>
    <w:rsid w:val="00B317C0"/>
    <w:rsid w:val="00B319E4"/>
    <w:rsid w:val="00B31A7A"/>
    <w:rsid w:val="00B31BE7"/>
    <w:rsid w:val="00B31CE5"/>
    <w:rsid w:val="00B31D3E"/>
    <w:rsid w:val="00B31D6A"/>
    <w:rsid w:val="00B31E2D"/>
    <w:rsid w:val="00B31F51"/>
    <w:rsid w:val="00B3203D"/>
    <w:rsid w:val="00B32054"/>
    <w:rsid w:val="00B322E0"/>
    <w:rsid w:val="00B3237D"/>
    <w:rsid w:val="00B323A2"/>
    <w:rsid w:val="00B32586"/>
    <w:rsid w:val="00B32627"/>
    <w:rsid w:val="00B32860"/>
    <w:rsid w:val="00B32B15"/>
    <w:rsid w:val="00B32CDB"/>
    <w:rsid w:val="00B32F24"/>
    <w:rsid w:val="00B33063"/>
    <w:rsid w:val="00B33313"/>
    <w:rsid w:val="00B3341C"/>
    <w:rsid w:val="00B334C7"/>
    <w:rsid w:val="00B334D8"/>
    <w:rsid w:val="00B33674"/>
    <w:rsid w:val="00B33698"/>
    <w:rsid w:val="00B3370C"/>
    <w:rsid w:val="00B339AD"/>
    <w:rsid w:val="00B33A68"/>
    <w:rsid w:val="00B33AD8"/>
    <w:rsid w:val="00B33B07"/>
    <w:rsid w:val="00B33B59"/>
    <w:rsid w:val="00B33DB7"/>
    <w:rsid w:val="00B33E5C"/>
    <w:rsid w:val="00B34069"/>
    <w:rsid w:val="00B340D1"/>
    <w:rsid w:val="00B34196"/>
    <w:rsid w:val="00B34197"/>
    <w:rsid w:val="00B342D4"/>
    <w:rsid w:val="00B34561"/>
    <w:rsid w:val="00B345AC"/>
    <w:rsid w:val="00B346D1"/>
    <w:rsid w:val="00B347FF"/>
    <w:rsid w:val="00B348F2"/>
    <w:rsid w:val="00B34C4E"/>
    <w:rsid w:val="00B34DFF"/>
    <w:rsid w:val="00B34F73"/>
    <w:rsid w:val="00B35124"/>
    <w:rsid w:val="00B35154"/>
    <w:rsid w:val="00B3521C"/>
    <w:rsid w:val="00B353C4"/>
    <w:rsid w:val="00B354C2"/>
    <w:rsid w:val="00B35658"/>
    <w:rsid w:val="00B35680"/>
    <w:rsid w:val="00B356B8"/>
    <w:rsid w:val="00B356D8"/>
    <w:rsid w:val="00B35708"/>
    <w:rsid w:val="00B3575C"/>
    <w:rsid w:val="00B35A11"/>
    <w:rsid w:val="00B35A41"/>
    <w:rsid w:val="00B35BF8"/>
    <w:rsid w:val="00B35C07"/>
    <w:rsid w:val="00B35C3F"/>
    <w:rsid w:val="00B35DDF"/>
    <w:rsid w:val="00B360BC"/>
    <w:rsid w:val="00B3625C"/>
    <w:rsid w:val="00B363FE"/>
    <w:rsid w:val="00B36423"/>
    <w:rsid w:val="00B36784"/>
    <w:rsid w:val="00B368A2"/>
    <w:rsid w:val="00B36A1C"/>
    <w:rsid w:val="00B36B0F"/>
    <w:rsid w:val="00B36CCA"/>
    <w:rsid w:val="00B36DAB"/>
    <w:rsid w:val="00B36EA2"/>
    <w:rsid w:val="00B37191"/>
    <w:rsid w:val="00B3734D"/>
    <w:rsid w:val="00B37B3B"/>
    <w:rsid w:val="00B37BD9"/>
    <w:rsid w:val="00B37BE8"/>
    <w:rsid w:val="00B37CA6"/>
    <w:rsid w:val="00B37CE5"/>
    <w:rsid w:val="00B37FE1"/>
    <w:rsid w:val="00B40112"/>
    <w:rsid w:val="00B40216"/>
    <w:rsid w:val="00B402BA"/>
    <w:rsid w:val="00B40372"/>
    <w:rsid w:val="00B40B4D"/>
    <w:rsid w:val="00B40E91"/>
    <w:rsid w:val="00B40EF2"/>
    <w:rsid w:val="00B4105F"/>
    <w:rsid w:val="00B410D0"/>
    <w:rsid w:val="00B4135A"/>
    <w:rsid w:val="00B41434"/>
    <w:rsid w:val="00B4157E"/>
    <w:rsid w:val="00B41865"/>
    <w:rsid w:val="00B41A64"/>
    <w:rsid w:val="00B41A67"/>
    <w:rsid w:val="00B41B37"/>
    <w:rsid w:val="00B41DDD"/>
    <w:rsid w:val="00B41E01"/>
    <w:rsid w:val="00B4228A"/>
    <w:rsid w:val="00B424D4"/>
    <w:rsid w:val="00B42847"/>
    <w:rsid w:val="00B428E4"/>
    <w:rsid w:val="00B4293B"/>
    <w:rsid w:val="00B42B03"/>
    <w:rsid w:val="00B42BE4"/>
    <w:rsid w:val="00B42C12"/>
    <w:rsid w:val="00B42EF1"/>
    <w:rsid w:val="00B43179"/>
    <w:rsid w:val="00B4324B"/>
    <w:rsid w:val="00B43568"/>
    <w:rsid w:val="00B438B0"/>
    <w:rsid w:val="00B43A61"/>
    <w:rsid w:val="00B43A9E"/>
    <w:rsid w:val="00B43E2D"/>
    <w:rsid w:val="00B43E74"/>
    <w:rsid w:val="00B43F04"/>
    <w:rsid w:val="00B43F1F"/>
    <w:rsid w:val="00B43FE2"/>
    <w:rsid w:val="00B43FF1"/>
    <w:rsid w:val="00B4449C"/>
    <w:rsid w:val="00B444D8"/>
    <w:rsid w:val="00B44578"/>
    <w:rsid w:val="00B44600"/>
    <w:rsid w:val="00B44812"/>
    <w:rsid w:val="00B44AA2"/>
    <w:rsid w:val="00B44AE3"/>
    <w:rsid w:val="00B44B1A"/>
    <w:rsid w:val="00B44F25"/>
    <w:rsid w:val="00B450B0"/>
    <w:rsid w:val="00B4529C"/>
    <w:rsid w:val="00B45379"/>
    <w:rsid w:val="00B456AE"/>
    <w:rsid w:val="00B45720"/>
    <w:rsid w:val="00B45732"/>
    <w:rsid w:val="00B45B6A"/>
    <w:rsid w:val="00B45C29"/>
    <w:rsid w:val="00B45EEC"/>
    <w:rsid w:val="00B46130"/>
    <w:rsid w:val="00B463B1"/>
    <w:rsid w:val="00B464C1"/>
    <w:rsid w:val="00B46684"/>
    <w:rsid w:val="00B46746"/>
    <w:rsid w:val="00B4688E"/>
    <w:rsid w:val="00B468AA"/>
    <w:rsid w:val="00B46987"/>
    <w:rsid w:val="00B46ACC"/>
    <w:rsid w:val="00B46AD3"/>
    <w:rsid w:val="00B46B87"/>
    <w:rsid w:val="00B46CDA"/>
    <w:rsid w:val="00B46FD9"/>
    <w:rsid w:val="00B470A7"/>
    <w:rsid w:val="00B47268"/>
    <w:rsid w:val="00B473FF"/>
    <w:rsid w:val="00B476E9"/>
    <w:rsid w:val="00B47716"/>
    <w:rsid w:val="00B47719"/>
    <w:rsid w:val="00B47785"/>
    <w:rsid w:val="00B47B42"/>
    <w:rsid w:val="00B47C5E"/>
    <w:rsid w:val="00B47C8C"/>
    <w:rsid w:val="00B47D26"/>
    <w:rsid w:val="00B47E63"/>
    <w:rsid w:val="00B47FDE"/>
    <w:rsid w:val="00B47FDF"/>
    <w:rsid w:val="00B5016A"/>
    <w:rsid w:val="00B5072B"/>
    <w:rsid w:val="00B507A2"/>
    <w:rsid w:val="00B50917"/>
    <w:rsid w:val="00B50C9C"/>
    <w:rsid w:val="00B50F9C"/>
    <w:rsid w:val="00B51044"/>
    <w:rsid w:val="00B5112D"/>
    <w:rsid w:val="00B51360"/>
    <w:rsid w:val="00B5139E"/>
    <w:rsid w:val="00B513DF"/>
    <w:rsid w:val="00B515C0"/>
    <w:rsid w:val="00B516BB"/>
    <w:rsid w:val="00B51979"/>
    <w:rsid w:val="00B51A79"/>
    <w:rsid w:val="00B51EA2"/>
    <w:rsid w:val="00B51FA8"/>
    <w:rsid w:val="00B52044"/>
    <w:rsid w:val="00B5212B"/>
    <w:rsid w:val="00B521A4"/>
    <w:rsid w:val="00B521EC"/>
    <w:rsid w:val="00B5244C"/>
    <w:rsid w:val="00B525F3"/>
    <w:rsid w:val="00B5272C"/>
    <w:rsid w:val="00B5277E"/>
    <w:rsid w:val="00B52BC6"/>
    <w:rsid w:val="00B52C34"/>
    <w:rsid w:val="00B52C44"/>
    <w:rsid w:val="00B52C4B"/>
    <w:rsid w:val="00B52C60"/>
    <w:rsid w:val="00B52CDA"/>
    <w:rsid w:val="00B52EE0"/>
    <w:rsid w:val="00B52FC5"/>
    <w:rsid w:val="00B52FE9"/>
    <w:rsid w:val="00B53022"/>
    <w:rsid w:val="00B530E4"/>
    <w:rsid w:val="00B5314C"/>
    <w:rsid w:val="00B53261"/>
    <w:rsid w:val="00B5348B"/>
    <w:rsid w:val="00B53521"/>
    <w:rsid w:val="00B535D8"/>
    <w:rsid w:val="00B53630"/>
    <w:rsid w:val="00B538FF"/>
    <w:rsid w:val="00B53972"/>
    <w:rsid w:val="00B53A01"/>
    <w:rsid w:val="00B53A49"/>
    <w:rsid w:val="00B53DF3"/>
    <w:rsid w:val="00B54083"/>
    <w:rsid w:val="00B542BD"/>
    <w:rsid w:val="00B54301"/>
    <w:rsid w:val="00B543B6"/>
    <w:rsid w:val="00B5452C"/>
    <w:rsid w:val="00B545BE"/>
    <w:rsid w:val="00B545F0"/>
    <w:rsid w:val="00B546B4"/>
    <w:rsid w:val="00B547B5"/>
    <w:rsid w:val="00B54873"/>
    <w:rsid w:val="00B54B39"/>
    <w:rsid w:val="00B54BA8"/>
    <w:rsid w:val="00B54BC2"/>
    <w:rsid w:val="00B54D7C"/>
    <w:rsid w:val="00B54EEA"/>
    <w:rsid w:val="00B5508B"/>
    <w:rsid w:val="00B55132"/>
    <w:rsid w:val="00B5524F"/>
    <w:rsid w:val="00B552DD"/>
    <w:rsid w:val="00B553B0"/>
    <w:rsid w:val="00B55422"/>
    <w:rsid w:val="00B55512"/>
    <w:rsid w:val="00B55585"/>
    <w:rsid w:val="00B55846"/>
    <w:rsid w:val="00B55AEF"/>
    <w:rsid w:val="00B55B8F"/>
    <w:rsid w:val="00B55EE8"/>
    <w:rsid w:val="00B55F0C"/>
    <w:rsid w:val="00B56202"/>
    <w:rsid w:val="00B56265"/>
    <w:rsid w:val="00B56470"/>
    <w:rsid w:val="00B565C6"/>
    <w:rsid w:val="00B5693B"/>
    <w:rsid w:val="00B56C4C"/>
    <w:rsid w:val="00B56D17"/>
    <w:rsid w:val="00B56EF1"/>
    <w:rsid w:val="00B5701E"/>
    <w:rsid w:val="00B5715D"/>
    <w:rsid w:val="00B57289"/>
    <w:rsid w:val="00B57390"/>
    <w:rsid w:val="00B57867"/>
    <w:rsid w:val="00B578CB"/>
    <w:rsid w:val="00B579E0"/>
    <w:rsid w:val="00B57A24"/>
    <w:rsid w:val="00B57ADA"/>
    <w:rsid w:val="00B57BE8"/>
    <w:rsid w:val="00B57E4F"/>
    <w:rsid w:val="00B57F4C"/>
    <w:rsid w:val="00B57FC7"/>
    <w:rsid w:val="00B60035"/>
    <w:rsid w:val="00B600F0"/>
    <w:rsid w:val="00B601B8"/>
    <w:rsid w:val="00B60525"/>
    <w:rsid w:val="00B60732"/>
    <w:rsid w:val="00B607A6"/>
    <w:rsid w:val="00B60803"/>
    <w:rsid w:val="00B608F8"/>
    <w:rsid w:val="00B60996"/>
    <w:rsid w:val="00B60AED"/>
    <w:rsid w:val="00B60D44"/>
    <w:rsid w:val="00B60E51"/>
    <w:rsid w:val="00B60E69"/>
    <w:rsid w:val="00B60EA7"/>
    <w:rsid w:val="00B60F59"/>
    <w:rsid w:val="00B6117E"/>
    <w:rsid w:val="00B615C7"/>
    <w:rsid w:val="00B61642"/>
    <w:rsid w:val="00B616D7"/>
    <w:rsid w:val="00B616F1"/>
    <w:rsid w:val="00B6173C"/>
    <w:rsid w:val="00B61782"/>
    <w:rsid w:val="00B61A05"/>
    <w:rsid w:val="00B61A19"/>
    <w:rsid w:val="00B61A8D"/>
    <w:rsid w:val="00B61BBB"/>
    <w:rsid w:val="00B61D79"/>
    <w:rsid w:val="00B61EFA"/>
    <w:rsid w:val="00B62017"/>
    <w:rsid w:val="00B62190"/>
    <w:rsid w:val="00B6233F"/>
    <w:rsid w:val="00B624BF"/>
    <w:rsid w:val="00B62533"/>
    <w:rsid w:val="00B6255D"/>
    <w:rsid w:val="00B625FF"/>
    <w:rsid w:val="00B626B4"/>
    <w:rsid w:val="00B6288A"/>
    <w:rsid w:val="00B62A3E"/>
    <w:rsid w:val="00B62B00"/>
    <w:rsid w:val="00B62C83"/>
    <w:rsid w:val="00B62D52"/>
    <w:rsid w:val="00B62ED0"/>
    <w:rsid w:val="00B62FB4"/>
    <w:rsid w:val="00B630AF"/>
    <w:rsid w:val="00B63526"/>
    <w:rsid w:val="00B635C7"/>
    <w:rsid w:val="00B6377D"/>
    <w:rsid w:val="00B637C9"/>
    <w:rsid w:val="00B63AA2"/>
    <w:rsid w:val="00B63D5E"/>
    <w:rsid w:val="00B63EAE"/>
    <w:rsid w:val="00B6403A"/>
    <w:rsid w:val="00B641CF"/>
    <w:rsid w:val="00B6420F"/>
    <w:rsid w:val="00B642B5"/>
    <w:rsid w:val="00B64561"/>
    <w:rsid w:val="00B64580"/>
    <w:rsid w:val="00B64655"/>
    <w:rsid w:val="00B64716"/>
    <w:rsid w:val="00B647A8"/>
    <w:rsid w:val="00B6488D"/>
    <w:rsid w:val="00B64A36"/>
    <w:rsid w:val="00B64CAE"/>
    <w:rsid w:val="00B64E76"/>
    <w:rsid w:val="00B64E89"/>
    <w:rsid w:val="00B656E3"/>
    <w:rsid w:val="00B657E0"/>
    <w:rsid w:val="00B658C0"/>
    <w:rsid w:val="00B65907"/>
    <w:rsid w:val="00B65B3C"/>
    <w:rsid w:val="00B65B68"/>
    <w:rsid w:val="00B65D36"/>
    <w:rsid w:val="00B66059"/>
    <w:rsid w:val="00B66163"/>
    <w:rsid w:val="00B66444"/>
    <w:rsid w:val="00B665B7"/>
    <w:rsid w:val="00B6665D"/>
    <w:rsid w:val="00B66918"/>
    <w:rsid w:val="00B66A43"/>
    <w:rsid w:val="00B66B3C"/>
    <w:rsid w:val="00B66E58"/>
    <w:rsid w:val="00B66EAA"/>
    <w:rsid w:val="00B66EAC"/>
    <w:rsid w:val="00B66EC3"/>
    <w:rsid w:val="00B66FB2"/>
    <w:rsid w:val="00B66FC5"/>
    <w:rsid w:val="00B67457"/>
    <w:rsid w:val="00B6798B"/>
    <w:rsid w:val="00B679AB"/>
    <w:rsid w:val="00B67B72"/>
    <w:rsid w:val="00B67BCD"/>
    <w:rsid w:val="00B67CBC"/>
    <w:rsid w:val="00B67CDB"/>
    <w:rsid w:val="00B67E0C"/>
    <w:rsid w:val="00B67F5E"/>
    <w:rsid w:val="00B67FC0"/>
    <w:rsid w:val="00B702A4"/>
    <w:rsid w:val="00B70343"/>
    <w:rsid w:val="00B704A0"/>
    <w:rsid w:val="00B7089C"/>
    <w:rsid w:val="00B708D9"/>
    <w:rsid w:val="00B70C10"/>
    <w:rsid w:val="00B70CFD"/>
    <w:rsid w:val="00B710FB"/>
    <w:rsid w:val="00B7119E"/>
    <w:rsid w:val="00B71230"/>
    <w:rsid w:val="00B7129A"/>
    <w:rsid w:val="00B712AE"/>
    <w:rsid w:val="00B712CF"/>
    <w:rsid w:val="00B7149A"/>
    <w:rsid w:val="00B716AC"/>
    <w:rsid w:val="00B716C6"/>
    <w:rsid w:val="00B71929"/>
    <w:rsid w:val="00B71AA6"/>
    <w:rsid w:val="00B71CDF"/>
    <w:rsid w:val="00B71E5A"/>
    <w:rsid w:val="00B71E5F"/>
    <w:rsid w:val="00B71FFF"/>
    <w:rsid w:val="00B720E0"/>
    <w:rsid w:val="00B7210F"/>
    <w:rsid w:val="00B72158"/>
    <w:rsid w:val="00B72198"/>
    <w:rsid w:val="00B7229B"/>
    <w:rsid w:val="00B7252F"/>
    <w:rsid w:val="00B7271F"/>
    <w:rsid w:val="00B72964"/>
    <w:rsid w:val="00B72983"/>
    <w:rsid w:val="00B72A32"/>
    <w:rsid w:val="00B72B58"/>
    <w:rsid w:val="00B72B97"/>
    <w:rsid w:val="00B72CB1"/>
    <w:rsid w:val="00B72ECC"/>
    <w:rsid w:val="00B73186"/>
    <w:rsid w:val="00B73344"/>
    <w:rsid w:val="00B73497"/>
    <w:rsid w:val="00B734CB"/>
    <w:rsid w:val="00B735D2"/>
    <w:rsid w:val="00B73B58"/>
    <w:rsid w:val="00B73C51"/>
    <w:rsid w:val="00B73C69"/>
    <w:rsid w:val="00B73C87"/>
    <w:rsid w:val="00B73CE1"/>
    <w:rsid w:val="00B73DE5"/>
    <w:rsid w:val="00B73E1C"/>
    <w:rsid w:val="00B73EDA"/>
    <w:rsid w:val="00B73EDB"/>
    <w:rsid w:val="00B740FF"/>
    <w:rsid w:val="00B7424E"/>
    <w:rsid w:val="00B742DC"/>
    <w:rsid w:val="00B743F3"/>
    <w:rsid w:val="00B74416"/>
    <w:rsid w:val="00B74425"/>
    <w:rsid w:val="00B744DE"/>
    <w:rsid w:val="00B7451B"/>
    <w:rsid w:val="00B74791"/>
    <w:rsid w:val="00B74964"/>
    <w:rsid w:val="00B74A2C"/>
    <w:rsid w:val="00B74B6A"/>
    <w:rsid w:val="00B74C0E"/>
    <w:rsid w:val="00B74C33"/>
    <w:rsid w:val="00B74C4C"/>
    <w:rsid w:val="00B74E67"/>
    <w:rsid w:val="00B750BC"/>
    <w:rsid w:val="00B750EA"/>
    <w:rsid w:val="00B75160"/>
    <w:rsid w:val="00B7556F"/>
    <w:rsid w:val="00B756E1"/>
    <w:rsid w:val="00B75740"/>
    <w:rsid w:val="00B75D99"/>
    <w:rsid w:val="00B75E7E"/>
    <w:rsid w:val="00B7606E"/>
    <w:rsid w:val="00B76399"/>
    <w:rsid w:val="00B76431"/>
    <w:rsid w:val="00B764C4"/>
    <w:rsid w:val="00B7654D"/>
    <w:rsid w:val="00B765EA"/>
    <w:rsid w:val="00B76804"/>
    <w:rsid w:val="00B76A55"/>
    <w:rsid w:val="00B76DB1"/>
    <w:rsid w:val="00B77099"/>
    <w:rsid w:val="00B77308"/>
    <w:rsid w:val="00B77487"/>
    <w:rsid w:val="00B7758E"/>
    <w:rsid w:val="00B775D5"/>
    <w:rsid w:val="00B77852"/>
    <w:rsid w:val="00B778A5"/>
    <w:rsid w:val="00B779D0"/>
    <w:rsid w:val="00B77F24"/>
    <w:rsid w:val="00B8003D"/>
    <w:rsid w:val="00B80235"/>
    <w:rsid w:val="00B804C0"/>
    <w:rsid w:val="00B804F7"/>
    <w:rsid w:val="00B805CC"/>
    <w:rsid w:val="00B8069E"/>
    <w:rsid w:val="00B80A22"/>
    <w:rsid w:val="00B80D9F"/>
    <w:rsid w:val="00B80DFE"/>
    <w:rsid w:val="00B80E25"/>
    <w:rsid w:val="00B80F64"/>
    <w:rsid w:val="00B81131"/>
    <w:rsid w:val="00B81204"/>
    <w:rsid w:val="00B814AA"/>
    <w:rsid w:val="00B814FF"/>
    <w:rsid w:val="00B81536"/>
    <w:rsid w:val="00B81644"/>
    <w:rsid w:val="00B8164A"/>
    <w:rsid w:val="00B816B4"/>
    <w:rsid w:val="00B816E4"/>
    <w:rsid w:val="00B81731"/>
    <w:rsid w:val="00B8178A"/>
    <w:rsid w:val="00B81931"/>
    <w:rsid w:val="00B81BB3"/>
    <w:rsid w:val="00B81D4E"/>
    <w:rsid w:val="00B81DE1"/>
    <w:rsid w:val="00B81EB6"/>
    <w:rsid w:val="00B82015"/>
    <w:rsid w:val="00B820CC"/>
    <w:rsid w:val="00B82314"/>
    <w:rsid w:val="00B823F8"/>
    <w:rsid w:val="00B8255F"/>
    <w:rsid w:val="00B8273C"/>
    <w:rsid w:val="00B8290C"/>
    <w:rsid w:val="00B82A72"/>
    <w:rsid w:val="00B82AA8"/>
    <w:rsid w:val="00B82B58"/>
    <w:rsid w:val="00B82D30"/>
    <w:rsid w:val="00B82DA2"/>
    <w:rsid w:val="00B830B9"/>
    <w:rsid w:val="00B830EF"/>
    <w:rsid w:val="00B83178"/>
    <w:rsid w:val="00B834FF"/>
    <w:rsid w:val="00B83DE7"/>
    <w:rsid w:val="00B83E74"/>
    <w:rsid w:val="00B83E98"/>
    <w:rsid w:val="00B83EA6"/>
    <w:rsid w:val="00B840EA"/>
    <w:rsid w:val="00B8427B"/>
    <w:rsid w:val="00B843C3"/>
    <w:rsid w:val="00B84426"/>
    <w:rsid w:val="00B8444F"/>
    <w:rsid w:val="00B8445F"/>
    <w:rsid w:val="00B84735"/>
    <w:rsid w:val="00B847FE"/>
    <w:rsid w:val="00B848C1"/>
    <w:rsid w:val="00B8491F"/>
    <w:rsid w:val="00B84B44"/>
    <w:rsid w:val="00B84CF8"/>
    <w:rsid w:val="00B84EA8"/>
    <w:rsid w:val="00B84F86"/>
    <w:rsid w:val="00B8569E"/>
    <w:rsid w:val="00B8573A"/>
    <w:rsid w:val="00B85871"/>
    <w:rsid w:val="00B858D5"/>
    <w:rsid w:val="00B85BB9"/>
    <w:rsid w:val="00B85ED4"/>
    <w:rsid w:val="00B86000"/>
    <w:rsid w:val="00B8609C"/>
    <w:rsid w:val="00B861AF"/>
    <w:rsid w:val="00B8633B"/>
    <w:rsid w:val="00B86414"/>
    <w:rsid w:val="00B867AF"/>
    <w:rsid w:val="00B8685C"/>
    <w:rsid w:val="00B8691F"/>
    <w:rsid w:val="00B8692C"/>
    <w:rsid w:val="00B869D4"/>
    <w:rsid w:val="00B86B01"/>
    <w:rsid w:val="00B86B56"/>
    <w:rsid w:val="00B86D7A"/>
    <w:rsid w:val="00B86EBE"/>
    <w:rsid w:val="00B86F94"/>
    <w:rsid w:val="00B870FF"/>
    <w:rsid w:val="00B87147"/>
    <w:rsid w:val="00B8716A"/>
    <w:rsid w:val="00B87223"/>
    <w:rsid w:val="00B872BB"/>
    <w:rsid w:val="00B873F3"/>
    <w:rsid w:val="00B8741C"/>
    <w:rsid w:val="00B87587"/>
    <w:rsid w:val="00B8764F"/>
    <w:rsid w:val="00B87798"/>
    <w:rsid w:val="00B87B34"/>
    <w:rsid w:val="00B87C25"/>
    <w:rsid w:val="00B87E48"/>
    <w:rsid w:val="00B87F49"/>
    <w:rsid w:val="00B87FF2"/>
    <w:rsid w:val="00B90015"/>
    <w:rsid w:val="00B90243"/>
    <w:rsid w:val="00B902E5"/>
    <w:rsid w:val="00B90347"/>
    <w:rsid w:val="00B903A8"/>
    <w:rsid w:val="00B90518"/>
    <w:rsid w:val="00B908D6"/>
    <w:rsid w:val="00B9095D"/>
    <w:rsid w:val="00B9096F"/>
    <w:rsid w:val="00B90998"/>
    <w:rsid w:val="00B90AAC"/>
    <w:rsid w:val="00B90B91"/>
    <w:rsid w:val="00B90CD7"/>
    <w:rsid w:val="00B90F70"/>
    <w:rsid w:val="00B91047"/>
    <w:rsid w:val="00B91199"/>
    <w:rsid w:val="00B9129B"/>
    <w:rsid w:val="00B912BB"/>
    <w:rsid w:val="00B914B9"/>
    <w:rsid w:val="00B91525"/>
    <w:rsid w:val="00B9155C"/>
    <w:rsid w:val="00B915C0"/>
    <w:rsid w:val="00B91818"/>
    <w:rsid w:val="00B9187F"/>
    <w:rsid w:val="00B91910"/>
    <w:rsid w:val="00B91B05"/>
    <w:rsid w:val="00B91C5B"/>
    <w:rsid w:val="00B91D04"/>
    <w:rsid w:val="00B91DF5"/>
    <w:rsid w:val="00B91E8D"/>
    <w:rsid w:val="00B91EE2"/>
    <w:rsid w:val="00B91FDA"/>
    <w:rsid w:val="00B92006"/>
    <w:rsid w:val="00B920AA"/>
    <w:rsid w:val="00B9213D"/>
    <w:rsid w:val="00B922AB"/>
    <w:rsid w:val="00B92394"/>
    <w:rsid w:val="00B923B1"/>
    <w:rsid w:val="00B92443"/>
    <w:rsid w:val="00B9252D"/>
    <w:rsid w:val="00B925BE"/>
    <w:rsid w:val="00B92627"/>
    <w:rsid w:val="00B9262D"/>
    <w:rsid w:val="00B926DA"/>
    <w:rsid w:val="00B92844"/>
    <w:rsid w:val="00B92A6E"/>
    <w:rsid w:val="00B92A9D"/>
    <w:rsid w:val="00B92AA6"/>
    <w:rsid w:val="00B92D1A"/>
    <w:rsid w:val="00B92D6F"/>
    <w:rsid w:val="00B92E8B"/>
    <w:rsid w:val="00B92F28"/>
    <w:rsid w:val="00B9349A"/>
    <w:rsid w:val="00B9384D"/>
    <w:rsid w:val="00B93B6B"/>
    <w:rsid w:val="00B93BC5"/>
    <w:rsid w:val="00B93E1E"/>
    <w:rsid w:val="00B93FC4"/>
    <w:rsid w:val="00B9408D"/>
    <w:rsid w:val="00B9430D"/>
    <w:rsid w:val="00B947C1"/>
    <w:rsid w:val="00B9480F"/>
    <w:rsid w:val="00B94E4A"/>
    <w:rsid w:val="00B94FCE"/>
    <w:rsid w:val="00B950C8"/>
    <w:rsid w:val="00B95168"/>
    <w:rsid w:val="00B95267"/>
    <w:rsid w:val="00B95773"/>
    <w:rsid w:val="00B957A0"/>
    <w:rsid w:val="00B957C5"/>
    <w:rsid w:val="00B958AC"/>
    <w:rsid w:val="00B95C6A"/>
    <w:rsid w:val="00B95D5A"/>
    <w:rsid w:val="00B95DC2"/>
    <w:rsid w:val="00B95E21"/>
    <w:rsid w:val="00B95F11"/>
    <w:rsid w:val="00B9602A"/>
    <w:rsid w:val="00B96275"/>
    <w:rsid w:val="00B962F3"/>
    <w:rsid w:val="00B96592"/>
    <w:rsid w:val="00B965A2"/>
    <w:rsid w:val="00B9680C"/>
    <w:rsid w:val="00B96871"/>
    <w:rsid w:val="00B96899"/>
    <w:rsid w:val="00B96B66"/>
    <w:rsid w:val="00B96E3E"/>
    <w:rsid w:val="00B96EB2"/>
    <w:rsid w:val="00B96F40"/>
    <w:rsid w:val="00B970A5"/>
    <w:rsid w:val="00B97396"/>
    <w:rsid w:val="00B97CF0"/>
    <w:rsid w:val="00B97DDA"/>
    <w:rsid w:val="00B97E65"/>
    <w:rsid w:val="00B97EAB"/>
    <w:rsid w:val="00B97FEF"/>
    <w:rsid w:val="00BA0212"/>
    <w:rsid w:val="00BA02CF"/>
    <w:rsid w:val="00BA0362"/>
    <w:rsid w:val="00BA042B"/>
    <w:rsid w:val="00BA0436"/>
    <w:rsid w:val="00BA0444"/>
    <w:rsid w:val="00BA0564"/>
    <w:rsid w:val="00BA05B2"/>
    <w:rsid w:val="00BA05E4"/>
    <w:rsid w:val="00BA05FD"/>
    <w:rsid w:val="00BA06B3"/>
    <w:rsid w:val="00BA06BF"/>
    <w:rsid w:val="00BA07B7"/>
    <w:rsid w:val="00BA0B6D"/>
    <w:rsid w:val="00BA0C25"/>
    <w:rsid w:val="00BA1062"/>
    <w:rsid w:val="00BA1081"/>
    <w:rsid w:val="00BA10DD"/>
    <w:rsid w:val="00BA10FF"/>
    <w:rsid w:val="00BA120E"/>
    <w:rsid w:val="00BA1214"/>
    <w:rsid w:val="00BA1414"/>
    <w:rsid w:val="00BA1505"/>
    <w:rsid w:val="00BA162E"/>
    <w:rsid w:val="00BA181E"/>
    <w:rsid w:val="00BA1A20"/>
    <w:rsid w:val="00BA1B5E"/>
    <w:rsid w:val="00BA1C1A"/>
    <w:rsid w:val="00BA1CFD"/>
    <w:rsid w:val="00BA1E22"/>
    <w:rsid w:val="00BA2049"/>
    <w:rsid w:val="00BA24AE"/>
    <w:rsid w:val="00BA2517"/>
    <w:rsid w:val="00BA259B"/>
    <w:rsid w:val="00BA25C5"/>
    <w:rsid w:val="00BA26B0"/>
    <w:rsid w:val="00BA2829"/>
    <w:rsid w:val="00BA2868"/>
    <w:rsid w:val="00BA28A7"/>
    <w:rsid w:val="00BA28A9"/>
    <w:rsid w:val="00BA29F7"/>
    <w:rsid w:val="00BA2A6B"/>
    <w:rsid w:val="00BA2B88"/>
    <w:rsid w:val="00BA2B8F"/>
    <w:rsid w:val="00BA2BF5"/>
    <w:rsid w:val="00BA2D75"/>
    <w:rsid w:val="00BA2D7B"/>
    <w:rsid w:val="00BA2F2E"/>
    <w:rsid w:val="00BA2F83"/>
    <w:rsid w:val="00BA3972"/>
    <w:rsid w:val="00BA399E"/>
    <w:rsid w:val="00BA3C7A"/>
    <w:rsid w:val="00BA3E55"/>
    <w:rsid w:val="00BA3E77"/>
    <w:rsid w:val="00BA3EA9"/>
    <w:rsid w:val="00BA3EFE"/>
    <w:rsid w:val="00BA3FAE"/>
    <w:rsid w:val="00BA401D"/>
    <w:rsid w:val="00BA4192"/>
    <w:rsid w:val="00BA4673"/>
    <w:rsid w:val="00BA4C58"/>
    <w:rsid w:val="00BA4CC7"/>
    <w:rsid w:val="00BA4CFF"/>
    <w:rsid w:val="00BA4E91"/>
    <w:rsid w:val="00BA4F7D"/>
    <w:rsid w:val="00BA5056"/>
    <w:rsid w:val="00BA5142"/>
    <w:rsid w:val="00BA522D"/>
    <w:rsid w:val="00BA5267"/>
    <w:rsid w:val="00BA537D"/>
    <w:rsid w:val="00BA5454"/>
    <w:rsid w:val="00BA5599"/>
    <w:rsid w:val="00BA55A2"/>
    <w:rsid w:val="00BA576A"/>
    <w:rsid w:val="00BA5798"/>
    <w:rsid w:val="00BA57E5"/>
    <w:rsid w:val="00BA5851"/>
    <w:rsid w:val="00BA5A5E"/>
    <w:rsid w:val="00BA5AB8"/>
    <w:rsid w:val="00BA5B18"/>
    <w:rsid w:val="00BA5C64"/>
    <w:rsid w:val="00BA5C69"/>
    <w:rsid w:val="00BA5ECB"/>
    <w:rsid w:val="00BA6030"/>
    <w:rsid w:val="00BA63C2"/>
    <w:rsid w:val="00BA679C"/>
    <w:rsid w:val="00BA67B7"/>
    <w:rsid w:val="00BA67FA"/>
    <w:rsid w:val="00BA68FB"/>
    <w:rsid w:val="00BA691D"/>
    <w:rsid w:val="00BA6950"/>
    <w:rsid w:val="00BA69E5"/>
    <w:rsid w:val="00BA69FA"/>
    <w:rsid w:val="00BA6A03"/>
    <w:rsid w:val="00BA6A08"/>
    <w:rsid w:val="00BA6A87"/>
    <w:rsid w:val="00BA6AA6"/>
    <w:rsid w:val="00BA6BBD"/>
    <w:rsid w:val="00BA6EBB"/>
    <w:rsid w:val="00BA6EC0"/>
    <w:rsid w:val="00BA6FBB"/>
    <w:rsid w:val="00BA7121"/>
    <w:rsid w:val="00BA72F7"/>
    <w:rsid w:val="00BA745B"/>
    <w:rsid w:val="00BA7669"/>
    <w:rsid w:val="00BA7710"/>
    <w:rsid w:val="00BA79DC"/>
    <w:rsid w:val="00BA7C4F"/>
    <w:rsid w:val="00BA7E26"/>
    <w:rsid w:val="00BA7EDF"/>
    <w:rsid w:val="00BB0141"/>
    <w:rsid w:val="00BB01C9"/>
    <w:rsid w:val="00BB02A0"/>
    <w:rsid w:val="00BB0358"/>
    <w:rsid w:val="00BB0489"/>
    <w:rsid w:val="00BB050D"/>
    <w:rsid w:val="00BB0732"/>
    <w:rsid w:val="00BB079A"/>
    <w:rsid w:val="00BB07FF"/>
    <w:rsid w:val="00BB0A07"/>
    <w:rsid w:val="00BB0A57"/>
    <w:rsid w:val="00BB0B13"/>
    <w:rsid w:val="00BB0C6E"/>
    <w:rsid w:val="00BB0CC1"/>
    <w:rsid w:val="00BB125B"/>
    <w:rsid w:val="00BB1296"/>
    <w:rsid w:val="00BB1400"/>
    <w:rsid w:val="00BB146A"/>
    <w:rsid w:val="00BB17B7"/>
    <w:rsid w:val="00BB17CA"/>
    <w:rsid w:val="00BB18AA"/>
    <w:rsid w:val="00BB1995"/>
    <w:rsid w:val="00BB1A32"/>
    <w:rsid w:val="00BB1ABA"/>
    <w:rsid w:val="00BB1C55"/>
    <w:rsid w:val="00BB234B"/>
    <w:rsid w:val="00BB2498"/>
    <w:rsid w:val="00BB24C5"/>
    <w:rsid w:val="00BB24D1"/>
    <w:rsid w:val="00BB25AB"/>
    <w:rsid w:val="00BB26EC"/>
    <w:rsid w:val="00BB2764"/>
    <w:rsid w:val="00BB27FD"/>
    <w:rsid w:val="00BB2B75"/>
    <w:rsid w:val="00BB2BF6"/>
    <w:rsid w:val="00BB2C08"/>
    <w:rsid w:val="00BB2E0D"/>
    <w:rsid w:val="00BB2E65"/>
    <w:rsid w:val="00BB2FC3"/>
    <w:rsid w:val="00BB3060"/>
    <w:rsid w:val="00BB36FF"/>
    <w:rsid w:val="00BB39CA"/>
    <w:rsid w:val="00BB3AF1"/>
    <w:rsid w:val="00BB3BB2"/>
    <w:rsid w:val="00BB3C71"/>
    <w:rsid w:val="00BB3D54"/>
    <w:rsid w:val="00BB3F07"/>
    <w:rsid w:val="00BB3FE4"/>
    <w:rsid w:val="00BB42FB"/>
    <w:rsid w:val="00BB4465"/>
    <w:rsid w:val="00BB4564"/>
    <w:rsid w:val="00BB46E1"/>
    <w:rsid w:val="00BB479D"/>
    <w:rsid w:val="00BB48DA"/>
    <w:rsid w:val="00BB48E6"/>
    <w:rsid w:val="00BB4963"/>
    <w:rsid w:val="00BB4D79"/>
    <w:rsid w:val="00BB4F1D"/>
    <w:rsid w:val="00BB4F3B"/>
    <w:rsid w:val="00BB50E7"/>
    <w:rsid w:val="00BB515A"/>
    <w:rsid w:val="00BB52D5"/>
    <w:rsid w:val="00BB555C"/>
    <w:rsid w:val="00BB558B"/>
    <w:rsid w:val="00BB5845"/>
    <w:rsid w:val="00BB5888"/>
    <w:rsid w:val="00BB599E"/>
    <w:rsid w:val="00BB5C10"/>
    <w:rsid w:val="00BB5DDE"/>
    <w:rsid w:val="00BB5EBE"/>
    <w:rsid w:val="00BB5F8A"/>
    <w:rsid w:val="00BB5FA8"/>
    <w:rsid w:val="00BB5FF1"/>
    <w:rsid w:val="00BB6166"/>
    <w:rsid w:val="00BB6430"/>
    <w:rsid w:val="00BB64CA"/>
    <w:rsid w:val="00BB65C1"/>
    <w:rsid w:val="00BB668C"/>
    <w:rsid w:val="00BB6948"/>
    <w:rsid w:val="00BB6CCF"/>
    <w:rsid w:val="00BB6D01"/>
    <w:rsid w:val="00BB6D6D"/>
    <w:rsid w:val="00BB6E4B"/>
    <w:rsid w:val="00BB6EF1"/>
    <w:rsid w:val="00BB6FB9"/>
    <w:rsid w:val="00BB7019"/>
    <w:rsid w:val="00BB7106"/>
    <w:rsid w:val="00BB72E8"/>
    <w:rsid w:val="00BB7378"/>
    <w:rsid w:val="00BB7399"/>
    <w:rsid w:val="00BB73FB"/>
    <w:rsid w:val="00BB751D"/>
    <w:rsid w:val="00BB7682"/>
    <w:rsid w:val="00BB7783"/>
    <w:rsid w:val="00BB795E"/>
    <w:rsid w:val="00BB7A1E"/>
    <w:rsid w:val="00BB7AB0"/>
    <w:rsid w:val="00BB7B5D"/>
    <w:rsid w:val="00BB7D03"/>
    <w:rsid w:val="00BB7D9A"/>
    <w:rsid w:val="00BC002F"/>
    <w:rsid w:val="00BC0073"/>
    <w:rsid w:val="00BC0138"/>
    <w:rsid w:val="00BC031F"/>
    <w:rsid w:val="00BC03C3"/>
    <w:rsid w:val="00BC0566"/>
    <w:rsid w:val="00BC056F"/>
    <w:rsid w:val="00BC06E6"/>
    <w:rsid w:val="00BC0818"/>
    <w:rsid w:val="00BC09DA"/>
    <w:rsid w:val="00BC0D75"/>
    <w:rsid w:val="00BC0E12"/>
    <w:rsid w:val="00BC0EBF"/>
    <w:rsid w:val="00BC0EC5"/>
    <w:rsid w:val="00BC0FE5"/>
    <w:rsid w:val="00BC13E0"/>
    <w:rsid w:val="00BC1554"/>
    <w:rsid w:val="00BC172B"/>
    <w:rsid w:val="00BC17E5"/>
    <w:rsid w:val="00BC1B65"/>
    <w:rsid w:val="00BC1B9C"/>
    <w:rsid w:val="00BC1BBC"/>
    <w:rsid w:val="00BC1BC6"/>
    <w:rsid w:val="00BC1BCA"/>
    <w:rsid w:val="00BC1C01"/>
    <w:rsid w:val="00BC1C95"/>
    <w:rsid w:val="00BC1D0E"/>
    <w:rsid w:val="00BC1D30"/>
    <w:rsid w:val="00BC1D6B"/>
    <w:rsid w:val="00BC1FAC"/>
    <w:rsid w:val="00BC201E"/>
    <w:rsid w:val="00BC2102"/>
    <w:rsid w:val="00BC2189"/>
    <w:rsid w:val="00BC2219"/>
    <w:rsid w:val="00BC2373"/>
    <w:rsid w:val="00BC2389"/>
    <w:rsid w:val="00BC2506"/>
    <w:rsid w:val="00BC2551"/>
    <w:rsid w:val="00BC2644"/>
    <w:rsid w:val="00BC269F"/>
    <w:rsid w:val="00BC2A14"/>
    <w:rsid w:val="00BC2AAA"/>
    <w:rsid w:val="00BC2BFD"/>
    <w:rsid w:val="00BC3358"/>
    <w:rsid w:val="00BC3662"/>
    <w:rsid w:val="00BC3925"/>
    <w:rsid w:val="00BC3941"/>
    <w:rsid w:val="00BC39E3"/>
    <w:rsid w:val="00BC3B19"/>
    <w:rsid w:val="00BC3B31"/>
    <w:rsid w:val="00BC3B6D"/>
    <w:rsid w:val="00BC3C02"/>
    <w:rsid w:val="00BC3D58"/>
    <w:rsid w:val="00BC3E01"/>
    <w:rsid w:val="00BC3F98"/>
    <w:rsid w:val="00BC3FAF"/>
    <w:rsid w:val="00BC4131"/>
    <w:rsid w:val="00BC4327"/>
    <w:rsid w:val="00BC4574"/>
    <w:rsid w:val="00BC4662"/>
    <w:rsid w:val="00BC47B3"/>
    <w:rsid w:val="00BC4917"/>
    <w:rsid w:val="00BC4A7A"/>
    <w:rsid w:val="00BC4BEC"/>
    <w:rsid w:val="00BC4CAC"/>
    <w:rsid w:val="00BC4E8F"/>
    <w:rsid w:val="00BC4ED0"/>
    <w:rsid w:val="00BC5116"/>
    <w:rsid w:val="00BC52EA"/>
    <w:rsid w:val="00BC539F"/>
    <w:rsid w:val="00BC53A2"/>
    <w:rsid w:val="00BC53B7"/>
    <w:rsid w:val="00BC5434"/>
    <w:rsid w:val="00BC554F"/>
    <w:rsid w:val="00BC5593"/>
    <w:rsid w:val="00BC5670"/>
    <w:rsid w:val="00BC5809"/>
    <w:rsid w:val="00BC593F"/>
    <w:rsid w:val="00BC597D"/>
    <w:rsid w:val="00BC598E"/>
    <w:rsid w:val="00BC59D1"/>
    <w:rsid w:val="00BC5D83"/>
    <w:rsid w:val="00BC5F8C"/>
    <w:rsid w:val="00BC646F"/>
    <w:rsid w:val="00BC65A7"/>
    <w:rsid w:val="00BC6625"/>
    <w:rsid w:val="00BC6675"/>
    <w:rsid w:val="00BC6951"/>
    <w:rsid w:val="00BC69AC"/>
    <w:rsid w:val="00BC6A1D"/>
    <w:rsid w:val="00BC6C58"/>
    <w:rsid w:val="00BC6E21"/>
    <w:rsid w:val="00BC6F9B"/>
    <w:rsid w:val="00BC6FB7"/>
    <w:rsid w:val="00BC710E"/>
    <w:rsid w:val="00BC71B9"/>
    <w:rsid w:val="00BC73B1"/>
    <w:rsid w:val="00BC7403"/>
    <w:rsid w:val="00BC757B"/>
    <w:rsid w:val="00BC7593"/>
    <w:rsid w:val="00BC75A3"/>
    <w:rsid w:val="00BC7737"/>
    <w:rsid w:val="00BC79F2"/>
    <w:rsid w:val="00BC7B8E"/>
    <w:rsid w:val="00BC7B94"/>
    <w:rsid w:val="00BC7C0D"/>
    <w:rsid w:val="00BC7CB6"/>
    <w:rsid w:val="00BD013E"/>
    <w:rsid w:val="00BD01E7"/>
    <w:rsid w:val="00BD02D0"/>
    <w:rsid w:val="00BD0316"/>
    <w:rsid w:val="00BD040B"/>
    <w:rsid w:val="00BD06E7"/>
    <w:rsid w:val="00BD07F2"/>
    <w:rsid w:val="00BD08B8"/>
    <w:rsid w:val="00BD08C4"/>
    <w:rsid w:val="00BD0983"/>
    <w:rsid w:val="00BD0C2E"/>
    <w:rsid w:val="00BD0EA0"/>
    <w:rsid w:val="00BD1056"/>
    <w:rsid w:val="00BD1094"/>
    <w:rsid w:val="00BD10D3"/>
    <w:rsid w:val="00BD1506"/>
    <w:rsid w:val="00BD1683"/>
    <w:rsid w:val="00BD1897"/>
    <w:rsid w:val="00BD189B"/>
    <w:rsid w:val="00BD1AEA"/>
    <w:rsid w:val="00BD1B2D"/>
    <w:rsid w:val="00BD1F98"/>
    <w:rsid w:val="00BD20E3"/>
    <w:rsid w:val="00BD2153"/>
    <w:rsid w:val="00BD22CB"/>
    <w:rsid w:val="00BD2352"/>
    <w:rsid w:val="00BD23B7"/>
    <w:rsid w:val="00BD249D"/>
    <w:rsid w:val="00BD2816"/>
    <w:rsid w:val="00BD2B68"/>
    <w:rsid w:val="00BD2B96"/>
    <w:rsid w:val="00BD2FC2"/>
    <w:rsid w:val="00BD2FE6"/>
    <w:rsid w:val="00BD2FF5"/>
    <w:rsid w:val="00BD307D"/>
    <w:rsid w:val="00BD3198"/>
    <w:rsid w:val="00BD333B"/>
    <w:rsid w:val="00BD33EC"/>
    <w:rsid w:val="00BD3527"/>
    <w:rsid w:val="00BD3689"/>
    <w:rsid w:val="00BD38DD"/>
    <w:rsid w:val="00BD3A59"/>
    <w:rsid w:val="00BD3A79"/>
    <w:rsid w:val="00BD3C06"/>
    <w:rsid w:val="00BD3C40"/>
    <w:rsid w:val="00BD3D7F"/>
    <w:rsid w:val="00BD3E4E"/>
    <w:rsid w:val="00BD40D9"/>
    <w:rsid w:val="00BD417B"/>
    <w:rsid w:val="00BD42B5"/>
    <w:rsid w:val="00BD4305"/>
    <w:rsid w:val="00BD44D1"/>
    <w:rsid w:val="00BD46BF"/>
    <w:rsid w:val="00BD4732"/>
    <w:rsid w:val="00BD475F"/>
    <w:rsid w:val="00BD4903"/>
    <w:rsid w:val="00BD4A4E"/>
    <w:rsid w:val="00BD4B26"/>
    <w:rsid w:val="00BD4BAF"/>
    <w:rsid w:val="00BD4DEE"/>
    <w:rsid w:val="00BD4E4F"/>
    <w:rsid w:val="00BD4E80"/>
    <w:rsid w:val="00BD50E7"/>
    <w:rsid w:val="00BD53B9"/>
    <w:rsid w:val="00BD5692"/>
    <w:rsid w:val="00BD5868"/>
    <w:rsid w:val="00BD594C"/>
    <w:rsid w:val="00BD596C"/>
    <w:rsid w:val="00BD5C0A"/>
    <w:rsid w:val="00BD5C21"/>
    <w:rsid w:val="00BD6167"/>
    <w:rsid w:val="00BD61A7"/>
    <w:rsid w:val="00BD61E4"/>
    <w:rsid w:val="00BD622A"/>
    <w:rsid w:val="00BD62B3"/>
    <w:rsid w:val="00BD633D"/>
    <w:rsid w:val="00BD6362"/>
    <w:rsid w:val="00BD6372"/>
    <w:rsid w:val="00BD6647"/>
    <w:rsid w:val="00BD66AD"/>
    <w:rsid w:val="00BD66D3"/>
    <w:rsid w:val="00BD688A"/>
    <w:rsid w:val="00BD6B44"/>
    <w:rsid w:val="00BD6BC6"/>
    <w:rsid w:val="00BD6CFA"/>
    <w:rsid w:val="00BD6E29"/>
    <w:rsid w:val="00BD6F61"/>
    <w:rsid w:val="00BD704D"/>
    <w:rsid w:val="00BD7143"/>
    <w:rsid w:val="00BD721E"/>
    <w:rsid w:val="00BD785F"/>
    <w:rsid w:val="00BD789B"/>
    <w:rsid w:val="00BD78DB"/>
    <w:rsid w:val="00BD79CC"/>
    <w:rsid w:val="00BD7A96"/>
    <w:rsid w:val="00BD7AA1"/>
    <w:rsid w:val="00BD7AC2"/>
    <w:rsid w:val="00BD7AE6"/>
    <w:rsid w:val="00BD7B2C"/>
    <w:rsid w:val="00BD7B69"/>
    <w:rsid w:val="00BD7C4A"/>
    <w:rsid w:val="00BD7CA7"/>
    <w:rsid w:val="00BD7E14"/>
    <w:rsid w:val="00BD7FE5"/>
    <w:rsid w:val="00BE0229"/>
    <w:rsid w:val="00BE05B0"/>
    <w:rsid w:val="00BE066F"/>
    <w:rsid w:val="00BE07E4"/>
    <w:rsid w:val="00BE08A3"/>
    <w:rsid w:val="00BE0920"/>
    <w:rsid w:val="00BE09F8"/>
    <w:rsid w:val="00BE0A13"/>
    <w:rsid w:val="00BE0A31"/>
    <w:rsid w:val="00BE0B32"/>
    <w:rsid w:val="00BE0B6E"/>
    <w:rsid w:val="00BE0BF4"/>
    <w:rsid w:val="00BE0CE8"/>
    <w:rsid w:val="00BE0F85"/>
    <w:rsid w:val="00BE1359"/>
    <w:rsid w:val="00BE1416"/>
    <w:rsid w:val="00BE1830"/>
    <w:rsid w:val="00BE18E1"/>
    <w:rsid w:val="00BE1B69"/>
    <w:rsid w:val="00BE1CCF"/>
    <w:rsid w:val="00BE1EC4"/>
    <w:rsid w:val="00BE2030"/>
    <w:rsid w:val="00BE2217"/>
    <w:rsid w:val="00BE226B"/>
    <w:rsid w:val="00BE2368"/>
    <w:rsid w:val="00BE2407"/>
    <w:rsid w:val="00BE2628"/>
    <w:rsid w:val="00BE268E"/>
    <w:rsid w:val="00BE2845"/>
    <w:rsid w:val="00BE292E"/>
    <w:rsid w:val="00BE295A"/>
    <w:rsid w:val="00BE2A2E"/>
    <w:rsid w:val="00BE2AE8"/>
    <w:rsid w:val="00BE2D2E"/>
    <w:rsid w:val="00BE2ED7"/>
    <w:rsid w:val="00BE319A"/>
    <w:rsid w:val="00BE31EE"/>
    <w:rsid w:val="00BE336C"/>
    <w:rsid w:val="00BE33BA"/>
    <w:rsid w:val="00BE3541"/>
    <w:rsid w:val="00BE35FE"/>
    <w:rsid w:val="00BE3787"/>
    <w:rsid w:val="00BE37F1"/>
    <w:rsid w:val="00BE389A"/>
    <w:rsid w:val="00BE3906"/>
    <w:rsid w:val="00BE3E58"/>
    <w:rsid w:val="00BE3E9B"/>
    <w:rsid w:val="00BE3FDF"/>
    <w:rsid w:val="00BE430E"/>
    <w:rsid w:val="00BE4338"/>
    <w:rsid w:val="00BE44D9"/>
    <w:rsid w:val="00BE4783"/>
    <w:rsid w:val="00BE48BA"/>
    <w:rsid w:val="00BE4A9B"/>
    <w:rsid w:val="00BE4ACD"/>
    <w:rsid w:val="00BE4B05"/>
    <w:rsid w:val="00BE5166"/>
    <w:rsid w:val="00BE534C"/>
    <w:rsid w:val="00BE5644"/>
    <w:rsid w:val="00BE5857"/>
    <w:rsid w:val="00BE588C"/>
    <w:rsid w:val="00BE58FB"/>
    <w:rsid w:val="00BE5902"/>
    <w:rsid w:val="00BE5BA1"/>
    <w:rsid w:val="00BE5BC8"/>
    <w:rsid w:val="00BE5CB0"/>
    <w:rsid w:val="00BE5CF0"/>
    <w:rsid w:val="00BE5D59"/>
    <w:rsid w:val="00BE5EA7"/>
    <w:rsid w:val="00BE5F64"/>
    <w:rsid w:val="00BE6284"/>
    <w:rsid w:val="00BE63F2"/>
    <w:rsid w:val="00BE650B"/>
    <w:rsid w:val="00BE6594"/>
    <w:rsid w:val="00BE6745"/>
    <w:rsid w:val="00BE698B"/>
    <w:rsid w:val="00BE6ADE"/>
    <w:rsid w:val="00BE6AF5"/>
    <w:rsid w:val="00BE6DDA"/>
    <w:rsid w:val="00BE6E64"/>
    <w:rsid w:val="00BE7056"/>
    <w:rsid w:val="00BE70BC"/>
    <w:rsid w:val="00BE71A5"/>
    <w:rsid w:val="00BE71D2"/>
    <w:rsid w:val="00BE731F"/>
    <w:rsid w:val="00BE7365"/>
    <w:rsid w:val="00BE7537"/>
    <w:rsid w:val="00BE75D8"/>
    <w:rsid w:val="00BE78C8"/>
    <w:rsid w:val="00BE7A95"/>
    <w:rsid w:val="00BE7C3A"/>
    <w:rsid w:val="00BE7C4B"/>
    <w:rsid w:val="00BE7DA1"/>
    <w:rsid w:val="00BE7DEE"/>
    <w:rsid w:val="00BE7E9D"/>
    <w:rsid w:val="00BF00C8"/>
    <w:rsid w:val="00BF00D5"/>
    <w:rsid w:val="00BF010F"/>
    <w:rsid w:val="00BF0252"/>
    <w:rsid w:val="00BF03BC"/>
    <w:rsid w:val="00BF092A"/>
    <w:rsid w:val="00BF0A55"/>
    <w:rsid w:val="00BF0ACB"/>
    <w:rsid w:val="00BF0AEE"/>
    <w:rsid w:val="00BF0C9B"/>
    <w:rsid w:val="00BF0D1F"/>
    <w:rsid w:val="00BF0E71"/>
    <w:rsid w:val="00BF0F5D"/>
    <w:rsid w:val="00BF1022"/>
    <w:rsid w:val="00BF10C1"/>
    <w:rsid w:val="00BF11E2"/>
    <w:rsid w:val="00BF144F"/>
    <w:rsid w:val="00BF1507"/>
    <w:rsid w:val="00BF1703"/>
    <w:rsid w:val="00BF1826"/>
    <w:rsid w:val="00BF1AC4"/>
    <w:rsid w:val="00BF1B24"/>
    <w:rsid w:val="00BF1BCE"/>
    <w:rsid w:val="00BF1E3D"/>
    <w:rsid w:val="00BF1EF7"/>
    <w:rsid w:val="00BF211A"/>
    <w:rsid w:val="00BF21DB"/>
    <w:rsid w:val="00BF22DF"/>
    <w:rsid w:val="00BF2354"/>
    <w:rsid w:val="00BF2481"/>
    <w:rsid w:val="00BF2539"/>
    <w:rsid w:val="00BF27A0"/>
    <w:rsid w:val="00BF27BF"/>
    <w:rsid w:val="00BF29A5"/>
    <w:rsid w:val="00BF2A90"/>
    <w:rsid w:val="00BF2CCA"/>
    <w:rsid w:val="00BF2CED"/>
    <w:rsid w:val="00BF2DC9"/>
    <w:rsid w:val="00BF2EEB"/>
    <w:rsid w:val="00BF2F0C"/>
    <w:rsid w:val="00BF2FF0"/>
    <w:rsid w:val="00BF30D5"/>
    <w:rsid w:val="00BF32BB"/>
    <w:rsid w:val="00BF3546"/>
    <w:rsid w:val="00BF359B"/>
    <w:rsid w:val="00BF361A"/>
    <w:rsid w:val="00BF3666"/>
    <w:rsid w:val="00BF3706"/>
    <w:rsid w:val="00BF375A"/>
    <w:rsid w:val="00BF386F"/>
    <w:rsid w:val="00BF3C14"/>
    <w:rsid w:val="00BF3D3B"/>
    <w:rsid w:val="00BF3D65"/>
    <w:rsid w:val="00BF3DF0"/>
    <w:rsid w:val="00BF3EA1"/>
    <w:rsid w:val="00BF3EE8"/>
    <w:rsid w:val="00BF4152"/>
    <w:rsid w:val="00BF4298"/>
    <w:rsid w:val="00BF45EA"/>
    <w:rsid w:val="00BF4651"/>
    <w:rsid w:val="00BF4888"/>
    <w:rsid w:val="00BF4EE4"/>
    <w:rsid w:val="00BF502B"/>
    <w:rsid w:val="00BF505E"/>
    <w:rsid w:val="00BF5073"/>
    <w:rsid w:val="00BF5169"/>
    <w:rsid w:val="00BF538F"/>
    <w:rsid w:val="00BF55FD"/>
    <w:rsid w:val="00BF560C"/>
    <w:rsid w:val="00BF5748"/>
    <w:rsid w:val="00BF5A95"/>
    <w:rsid w:val="00BF5ADD"/>
    <w:rsid w:val="00BF5C28"/>
    <w:rsid w:val="00BF5CBC"/>
    <w:rsid w:val="00BF5D7D"/>
    <w:rsid w:val="00BF5DD7"/>
    <w:rsid w:val="00BF5F4A"/>
    <w:rsid w:val="00BF6252"/>
    <w:rsid w:val="00BF6412"/>
    <w:rsid w:val="00BF6481"/>
    <w:rsid w:val="00BF64A0"/>
    <w:rsid w:val="00BF6598"/>
    <w:rsid w:val="00BF66A8"/>
    <w:rsid w:val="00BF6858"/>
    <w:rsid w:val="00BF6A47"/>
    <w:rsid w:val="00BF6B12"/>
    <w:rsid w:val="00BF6D51"/>
    <w:rsid w:val="00BF6E0C"/>
    <w:rsid w:val="00BF721B"/>
    <w:rsid w:val="00BF7259"/>
    <w:rsid w:val="00BF726B"/>
    <w:rsid w:val="00BF7458"/>
    <w:rsid w:val="00BF7522"/>
    <w:rsid w:val="00BF7875"/>
    <w:rsid w:val="00BF7898"/>
    <w:rsid w:val="00BF78CD"/>
    <w:rsid w:val="00BF7C3A"/>
    <w:rsid w:val="00C000F9"/>
    <w:rsid w:val="00C001CC"/>
    <w:rsid w:val="00C0068A"/>
    <w:rsid w:val="00C00769"/>
    <w:rsid w:val="00C00B34"/>
    <w:rsid w:val="00C00B3D"/>
    <w:rsid w:val="00C00C37"/>
    <w:rsid w:val="00C01392"/>
    <w:rsid w:val="00C013E8"/>
    <w:rsid w:val="00C0158D"/>
    <w:rsid w:val="00C016FD"/>
    <w:rsid w:val="00C01704"/>
    <w:rsid w:val="00C018F5"/>
    <w:rsid w:val="00C019AD"/>
    <w:rsid w:val="00C01A4F"/>
    <w:rsid w:val="00C01BD7"/>
    <w:rsid w:val="00C01C0D"/>
    <w:rsid w:val="00C01CCB"/>
    <w:rsid w:val="00C02044"/>
    <w:rsid w:val="00C020B2"/>
    <w:rsid w:val="00C02277"/>
    <w:rsid w:val="00C0231D"/>
    <w:rsid w:val="00C0236A"/>
    <w:rsid w:val="00C0236C"/>
    <w:rsid w:val="00C023D4"/>
    <w:rsid w:val="00C025E5"/>
    <w:rsid w:val="00C0283E"/>
    <w:rsid w:val="00C02911"/>
    <w:rsid w:val="00C02A5D"/>
    <w:rsid w:val="00C02E2B"/>
    <w:rsid w:val="00C02EB4"/>
    <w:rsid w:val="00C02EFD"/>
    <w:rsid w:val="00C02F7A"/>
    <w:rsid w:val="00C030F8"/>
    <w:rsid w:val="00C03153"/>
    <w:rsid w:val="00C031BC"/>
    <w:rsid w:val="00C03282"/>
    <w:rsid w:val="00C0338A"/>
    <w:rsid w:val="00C033AB"/>
    <w:rsid w:val="00C0372F"/>
    <w:rsid w:val="00C0378F"/>
    <w:rsid w:val="00C037FE"/>
    <w:rsid w:val="00C0382C"/>
    <w:rsid w:val="00C03925"/>
    <w:rsid w:val="00C03C5B"/>
    <w:rsid w:val="00C03F86"/>
    <w:rsid w:val="00C03FD1"/>
    <w:rsid w:val="00C04034"/>
    <w:rsid w:val="00C04059"/>
    <w:rsid w:val="00C04132"/>
    <w:rsid w:val="00C04145"/>
    <w:rsid w:val="00C04426"/>
    <w:rsid w:val="00C04653"/>
    <w:rsid w:val="00C0471E"/>
    <w:rsid w:val="00C0477E"/>
    <w:rsid w:val="00C04DD5"/>
    <w:rsid w:val="00C04EB7"/>
    <w:rsid w:val="00C0503F"/>
    <w:rsid w:val="00C050B0"/>
    <w:rsid w:val="00C053D1"/>
    <w:rsid w:val="00C05492"/>
    <w:rsid w:val="00C0584F"/>
    <w:rsid w:val="00C0588D"/>
    <w:rsid w:val="00C0588E"/>
    <w:rsid w:val="00C0596C"/>
    <w:rsid w:val="00C05979"/>
    <w:rsid w:val="00C059B2"/>
    <w:rsid w:val="00C059E4"/>
    <w:rsid w:val="00C05B2E"/>
    <w:rsid w:val="00C05D4A"/>
    <w:rsid w:val="00C05E09"/>
    <w:rsid w:val="00C05E0F"/>
    <w:rsid w:val="00C05F56"/>
    <w:rsid w:val="00C06125"/>
    <w:rsid w:val="00C0629D"/>
    <w:rsid w:val="00C0653B"/>
    <w:rsid w:val="00C0662B"/>
    <w:rsid w:val="00C06770"/>
    <w:rsid w:val="00C06881"/>
    <w:rsid w:val="00C068E5"/>
    <w:rsid w:val="00C06931"/>
    <w:rsid w:val="00C06936"/>
    <w:rsid w:val="00C06CBC"/>
    <w:rsid w:val="00C06DD5"/>
    <w:rsid w:val="00C070CB"/>
    <w:rsid w:val="00C0717D"/>
    <w:rsid w:val="00C0723D"/>
    <w:rsid w:val="00C076A2"/>
    <w:rsid w:val="00C076DC"/>
    <w:rsid w:val="00C07792"/>
    <w:rsid w:val="00C077F5"/>
    <w:rsid w:val="00C07858"/>
    <w:rsid w:val="00C07B13"/>
    <w:rsid w:val="00C07BB3"/>
    <w:rsid w:val="00C07C93"/>
    <w:rsid w:val="00C07E45"/>
    <w:rsid w:val="00C07ED2"/>
    <w:rsid w:val="00C10042"/>
    <w:rsid w:val="00C100EA"/>
    <w:rsid w:val="00C10116"/>
    <w:rsid w:val="00C1014C"/>
    <w:rsid w:val="00C1027F"/>
    <w:rsid w:val="00C1038D"/>
    <w:rsid w:val="00C1057E"/>
    <w:rsid w:val="00C10583"/>
    <w:rsid w:val="00C1058D"/>
    <w:rsid w:val="00C105A2"/>
    <w:rsid w:val="00C10747"/>
    <w:rsid w:val="00C107C6"/>
    <w:rsid w:val="00C10BBE"/>
    <w:rsid w:val="00C10C7F"/>
    <w:rsid w:val="00C10D23"/>
    <w:rsid w:val="00C10DD0"/>
    <w:rsid w:val="00C10F3B"/>
    <w:rsid w:val="00C10F53"/>
    <w:rsid w:val="00C10FE0"/>
    <w:rsid w:val="00C110DA"/>
    <w:rsid w:val="00C11342"/>
    <w:rsid w:val="00C1151C"/>
    <w:rsid w:val="00C1157C"/>
    <w:rsid w:val="00C11583"/>
    <w:rsid w:val="00C116DA"/>
    <w:rsid w:val="00C116EB"/>
    <w:rsid w:val="00C1191F"/>
    <w:rsid w:val="00C1195E"/>
    <w:rsid w:val="00C119B7"/>
    <w:rsid w:val="00C11A58"/>
    <w:rsid w:val="00C11BB5"/>
    <w:rsid w:val="00C11CDE"/>
    <w:rsid w:val="00C11D0F"/>
    <w:rsid w:val="00C11DF1"/>
    <w:rsid w:val="00C11FA5"/>
    <w:rsid w:val="00C12178"/>
    <w:rsid w:val="00C123F5"/>
    <w:rsid w:val="00C12448"/>
    <w:rsid w:val="00C124FE"/>
    <w:rsid w:val="00C1263E"/>
    <w:rsid w:val="00C1296C"/>
    <w:rsid w:val="00C12988"/>
    <w:rsid w:val="00C12A5B"/>
    <w:rsid w:val="00C12C77"/>
    <w:rsid w:val="00C12CEC"/>
    <w:rsid w:val="00C12E31"/>
    <w:rsid w:val="00C12EA0"/>
    <w:rsid w:val="00C1306E"/>
    <w:rsid w:val="00C1312E"/>
    <w:rsid w:val="00C1335E"/>
    <w:rsid w:val="00C13374"/>
    <w:rsid w:val="00C133D0"/>
    <w:rsid w:val="00C1359C"/>
    <w:rsid w:val="00C138E8"/>
    <w:rsid w:val="00C13A15"/>
    <w:rsid w:val="00C13C40"/>
    <w:rsid w:val="00C13CBB"/>
    <w:rsid w:val="00C13D7D"/>
    <w:rsid w:val="00C13E3E"/>
    <w:rsid w:val="00C13F8F"/>
    <w:rsid w:val="00C14035"/>
    <w:rsid w:val="00C1407A"/>
    <w:rsid w:val="00C1416E"/>
    <w:rsid w:val="00C14406"/>
    <w:rsid w:val="00C144C6"/>
    <w:rsid w:val="00C14526"/>
    <w:rsid w:val="00C14565"/>
    <w:rsid w:val="00C1458E"/>
    <w:rsid w:val="00C14865"/>
    <w:rsid w:val="00C14949"/>
    <w:rsid w:val="00C14A3B"/>
    <w:rsid w:val="00C14B55"/>
    <w:rsid w:val="00C14C10"/>
    <w:rsid w:val="00C14CC2"/>
    <w:rsid w:val="00C150A4"/>
    <w:rsid w:val="00C1512E"/>
    <w:rsid w:val="00C1513A"/>
    <w:rsid w:val="00C151E6"/>
    <w:rsid w:val="00C153F3"/>
    <w:rsid w:val="00C1550B"/>
    <w:rsid w:val="00C15566"/>
    <w:rsid w:val="00C155AA"/>
    <w:rsid w:val="00C15683"/>
    <w:rsid w:val="00C157C9"/>
    <w:rsid w:val="00C1582D"/>
    <w:rsid w:val="00C15853"/>
    <w:rsid w:val="00C158AB"/>
    <w:rsid w:val="00C15B8B"/>
    <w:rsid w:val="00C15D79"/>
    <w:rsid w:val="00C15D98"/>
    <w:rsid w:val="00C15E8B"/>
    <w:rsid w:val="00C1609D"/>
    <w:rsid w:val="00C16138"/>
    <w:rsid w:val="00C162CF"/>
    <w:rsid w:val="00C162D3"/>
    <w:rsid w:val="00C162FB"/>
    <w:rsid w:val="00C16326"/>
    <w:rsid w:val="00C16333"/>
    <w:rsid w:val="00C163D3"/>
    <w:rsid w:val="00C165BB"/>
    <w:rsid w:val="00C16615"/>
    <w:rsid w:val="00C1667E"/>
    <w:rsid w:val="00C166FA"/>
    <w:rsid w:val="00C168F0"/>
    <w:rsid w:val="00C16A0C"/>
    <w:rsid w:val="00C16A9F"/>
    <w:rsid w:val="00C16B74"/>
    <w:rsid w:val="00C16C89"/>
    <w:rsid w:val="00C16D4D"/>
    <w:rsid w:val="00C16DD0"/>
    <w:rsid w:val="00C170B9"/>
    <w:rsid w:val="00C172F7"/>
    <w:rsid w:val="00C173FA"/>
    <w:rsid w:val="00C17440"/>
    <w:rsid w:val="00C17456"/>
    <w:rsid w:val="00C17598"/>
    <w:rsid w:val="00C175D0"/>
    <w:rsid w:val="00C175E8"/>
    <w:rsid w:val="00C176E0"/>
    <w:rsid w:val="00C177AF"/>
    <w:rsid w:val="00C17890"/>
    <w:rsid w:val="00C178C1"/>
    <w:rsid w:val="00C17A34"/>
    <w:rsid w:val="00C17B39"/>
    <w:rsid w:val="00C17B51"/>
    <w:rsid w:val="00C17C7A"/>
    <w:rsid w:val="00C17D0A"/>
    <w:rsid w:val="00C17EF7"/>
    <w:rsid w:val="00C20002"/>
    <w:rsid w:val="00C200BE"/>
    <w:rsid w:val="00C2026C"/>
    <w:rsid w:val="00C2027C"/>
    <w:rsid w:val="00C20457"/>
    <w:rsid w:val="00C20694"/>
    <w:rsid w:val="00C207FC"/>
    <w:rsid w:val="00C208B8"/>
    <w:rsid w:val="00C2099B"/>
    <w:rsid w:val="00C209FC"/>
    <w:rsid w:val="00C20AD1"/>
    <w:rsid w:val="00C20B32"/>
    <w:rsid w:val="00C20CA8"/>
    <w:rsid w:val="00C20D40"/>
    <w:rsid w:val="00C20DFE"/>
    <w:rsid w:val="00C20FC7"/>
    <w:rsid w:val="00C210C5"/>
    <w:rsid w:val="00C211DC"/>
    <w:rsid w:val="00C212F4"/>
    <w:rsid w:val="00C21448"/>
    <w:rsid w:val="00C21469"/>
    <w:rsid w:val="00C21743"/>
    <w:rsid w:val="00C219D6"/>
    <w:rsid w:val="00C21B36"/>
    <w:rsid w:val="00C21C61"/>
    <w:rsid w:val="00C21D4B"/>
    <w:rsid w:val="00C21E54"/>
    <w:rsid w:val="00C21EBC"/>
    <w:rsid w:val="00C221D7"/>
    <w:rsid w:val="00C2239E"/>
    <w:rsid w:val="00C224EA"/>
    <w:rsid w:val="00C22878"/>
    <w:rsid w:val="00C22929"/>
    <w:rsid w:val="00C2292D"/>
    <w:rsid w:val="00C22979"/>
    <w:rsid w:val="00C22D4C"/>
    <w:rsid w:val="00C22DEA"/>
    <w:rsid w:val="00C22E63"/>
    <w:rsid w:val="00C22E9A"/>
    <w:rsid w:val="00C22ECB"/>
    <w:rsid w:val="00C22F7E"/>
    <w:rsid w:val="00C22FE4"/>
    <w:rsid w:val="00C22FFB"/>
    <w:rsid w:val="00C231E5"/>
    <w:rsid w:val="00C23579"/>
    <w:rsid w:val="00C2364A"/>
    <w:rsid w:val="00C239A4"/>
    <w:rsid w:val="00C23B6C"/>
    <w:rsid w:val="00C23B99"/>
    <w:rsid w:val="00C23C94"/>
    <w:rsid w:val="00C23EE0"/>
    <w:rsid w:val="00C240F8"/>
    <w:rsid w:val="00C243FF"/>
    <w:rsid w:val="00C245AB"/>
    <w:rsid w:val="00C245BE"/>
    <w:rsid w:val="00C2482A"/>
    <w:rsid w:val="00C248B2"/>
    <w:rsid w:val="00C2490F"/>
    <w:rsid w:val="00C24A38"/>
    <w:rsid w:val="00C24BFB"/>
    <w:rsid w:val="00C24CEB"/>
    <w:rsid w:val="00C24D41"/>
    <w:rsid w:val="00C25005"/>
    <w:rsid w:val="00C2507B"/>
    <w:rsid w:val="00C250DD"/>
    <w:rsid w:val="00C2513B"/>
    <w:rsid w:val="00C25211"/>
    <w:rsid w:val="00C256F2"/>
    <w:rsid w:val="00C25989"/>
    <w:rsid w:val="00C259F5"/>
    <w:rsid w:val="00C25A12"/>
    <w:rsid w:val="00C25BBA"/>
    <w:rsid w:val="00C25CB4"/>
    <w:rsid w:val="00C25F7D"/>
    <w:rsid w:val="00C25F84"/>
    <w:rsid w:val="00C260B3"/>
    <w:rsid w:val="00C26275"/>
    <w:rsid w:val="00C2628A"/>
    <w:rsid w:val="00C26412"/>
    <w:rsid w:val="00C26714"/>
    <w:rsid w:val="00C26814"/>
    <w:rsid w:val="00C26C9C"/>
    <w:rsid w:val="00C26E39"/>
    <w:rsid w:val="00C2703E"/>
    <w:rsid w:val="00C27091"/>
    <w:rsid w:val="00C27180"/>
    <w:rsid w:val="00C2721B"/>
    <w:rsid w:val="00C2727A"/>
    <w:rsid w:val="00C27321"/>
    <w:rsid w:val="00C273EC"/>
    <w:rsid w:val="00C274CA"/>
    <w:rsid w:val="00C2754F"/>
    <w:rsid w:val="00C27640"/>
    <w:rsid w:val="00C27696"/>
    <w:rsid w:val="00C276B8"/>
    <w:rsid w:val="00C278EA"/>
    <w:rsid w:val="00C2797E"/>
    <w:rsid w:val="00C279A8"/>
    <w:rsid w:val="00C279BF"/>
    <w:rsid w:val="00C27A14"/>
    <w:rsid w:val="00C27A6A"/>
    <w:rsid w:val="00C27AEE"/>
    <w:rsid w:val="00C27C59"/>
    <w:rsid w:val="00C27CE9"/>
    <w:rsid w:val="00C27D26"/>
    <w:rsid w:val="00C27D7D"/>
    <w:rsid w:val="00C30151"/>
    <w:rsid w:val="00C3015B"/>
    <w:rsid w:val="00C3021E"/>
    <w:rsid w:val="00C30292"/>
    <w:rsid w:val="00C30293"/>
    <w:rsid w:val="00C30331"/>
    <w:rsid w:val="00C30460"/>
    <w:rsid w:val="00C3054B"/>
    <w:rsid w:val="00C30580"/>
    <w:rsid w:val="00C305A0"/>
    <w:rsid w:val="00C3069F"/>
    <w:rsid w:val="00C30700"/>
    <w:rsid w:val="00C30732"/>
    <w:rsid w:val="00C30857"/>
    <w:rsid w:val="00C30B40"/>
    <w:rsid w:val="00C30E86"/>
    <w:rsid w:val="00C30F7D"/>
    <w:rsid w:val="00C31063"/>
    <w:rsid w:val="00C311ED"/>
    <w:rsid w:val="00C3172C"/>
    <w:rsid w:val="00C31746"/>
    <w:rsid w:val="00C317E8"/>
    <w:rsid w:val="00C31863"/>
    <w:rsid w:val="00C31A19"/>
    <w:rsid w:val="00C31B29"/>
    <w:rsid w:val="00C31BCE"/>
    <w:rsid w:val="00C31D6A"/>
    <w:rsid w:val="00C31DFF"/>
    <w:rsid w:val="00C31FB0"/>
    <w:rsid w:val="00C31FC0"/>
    <w:rsid w:val="00C32123"/>
    <w:rsid w:val="00C324A5"/>
    <w:rsid w:val="00C324BA"/>
    <w:rsid w:val="00C325AE"/>
    <w:rsid w:val="00C325EE"/>
    <w:rsid w:val="00C3287B"/>
    <w:rsid w:val="00C32A04"/>
    <w:rsid w:val="00C32A37"/>
    <w:rsid w:val="00C32BE9"/>
    <w:rsid w:val="00C32C77"/>
    <w:rsid w:val="00C32D3F"/>
    <w:rsid w:val="00C32D41"/>
    <w:rsid w:val="00C32E08"/>
    <w:rsid w:val="00C32F80"/>
    <w:rsid w:val="00C32F81"/>
    <w:rsid w:val="00C3306A"/>
    <w:rsid w:val="00C33088"/>
    <w:rsid w:val="00C3319C"/>
    <w:rsid w:val="00C3344E"/>
    <w:rsid w:val="00C335D0"/>
    <w:rsid w:val="00C335F8"/>
    <w:rsid w:val="00C33820"/>
    <w:rsid w:val="00C33896"/>
    <w:rsid w:val="00C33A58"/>
    <w:rsid w:val="00C3407E"/>
    <w:rsid w:val="00C343E8"/>
    <w:rsid w:val="00C344B0"/>
    <w:rsid w:val="00C345CE"/>
    <w:rsid w:val="00C3495A"/>
    <w:rsid w:val="00C34BB7"/>
    <w:rsid w:val="00C34BC4"/>
    <w:rsid w:val="00C34EF5"/>
    <w:rsid w:val="00C3522E"/>
    <w:rsid w:val="00C3533F"/>
    <w:rsid w:val="00C3536A"/>
    <w:rsid w:val="00C354F4"/>
    <w:rsid w:val="00C35516"/>
    <w:rsid w:val="00C3571C"/>
    <w:rsid w:val="00C3582A"/>
    <w:rsid w:val="00C35A2B"/>
    <w:rsid w:val="00C35B37"/>
    <w:rsid w:val="00C35BCF"/>
    <w:rsid w:val="00C35D2F"/>
    <w:rsid w:val="00C35D65"/>
    <w:rsid w:val="00C36241"/>
    <w:rsid w:val="00C3640D"/>
    <w:rsid w:val="00C3644A"/>
    <w:rsid w:val="00C3645E"/>
    <w:rsid w:val="00C365F8"/>
    <w:rsid w:val="00C36616"/>
    <w:rsid w:val="00C36827"/>
    <w:rsid w:val="00C368BC"/>
    <w:rsid w:val="00C3698C"/>
    <w:rsid w:val="00C36A3F"/>
    <w:rsid w:val="00C36CE8"/>
    <w:rsid w:val="00C36F37"/>
    <w:rsid w:val="00C370D8"/>
    <w:rsid w:val="00C3728D"/>
    <w:rsid w:val="00C374EF"/>
    <w:rsid w:val="00C37A97"/>
    <w:rsid w:val="00C37B50"/>
    <w:rsid w:val="00C37CCE"/>
    <w:rsid w:val="00C37E59"/>
    <w:rsid w:val="00C37E8A"/>
    <w:rsid w:val="00C37FE8"/>
    <w:rsid w:val="00C4010C"/>
    <w:rsid w:val="00C40229"/>
    <w:rsid w:val="00C4037F"/>
    <w:rsid w:val="00C403CA"/>
    <w:rsid w:val="00C40514"/>
    <w:rsid w:val="00C40694"/>
    <w:rsid w:val="00C406F0"/>
    <w:rsid w:val="00C4075B"/>
    <w:rsid w:val="00C40888"/>
    <w:rsid w:val="00C4093C"/>
    <w:rsid w:val="00C40BE0"/>
    <w:rsid w:val="00C40DB9"/>
    <w:rsid w:val="00C40FFE"/>
    <w:rsid w:val="00C4121F"/>
    <w:rsid w:val="00C413AA"/>
    <w:rsid w:val="00C413C4"/>
    <w:rsid w:val="00C41427"/>
    <w:rsid w:val="00C414B8"/>
    <w:rsid w:val="00C4153A"/>
    <w:rsid w:val="00C41A5F"/>
    <w:rsid w:val="00C41B3F"/>
    <w:rsid w:val="00C41BC0"/>
    <w:rsid w:val="00C41CF6"/>
    <w:rsid w:val="00C41D14"/>
    <w:rsid w:val="00C41D33"/>
    <w:rsid w:val="00C41E07"/>
    <w:rsid w:val="00C41E50"/>
    <w:rsid w:val="00C41EFD"/>
    <w:rsid w:val="00C41FE0"/>
    <w:rsid w:val="00C420DE"/>
    <w:rsid w:val="00C4232B"/>
    <w:rsid w:val="00C4240F"/>
    <w:rsid w:val="00C4257F"/>
    <w:rsid w:val="00C428EA"/>
    <w:rsid w:val="00C42919"/>
    <w:rsid w:val="00C4292D"/>
    <w:rsid w:val="00C4295D"/>
    <w:rsid w:val="00C42A90"/>
    <w:rsid w:val="00C42B6F"/>
    <w:rsid w:val="00C42E06"/>
    <w:rsid w:val="00C42EC6"/>
    <w:rsid w:val="00C430F2"/>
    <w:rsid w:val="00C43195"/>
    <w:rsid w:val="00C435B6"/>
    <w:rsid w:val="00C43607"/>
    <w:rsid w:val="00C4390D"/>
    <w:rsid w:val="00C43A50"/>
    <w:rsid w:val="00C43B9C"/>
    <w:rsid w:val="00C43BCA"/>
    <w:rsid w:val="00C43D7D"/>
    <w:rsid w:val="00C43DF6"/>
    <w:rsid w:val="00C43ED0"/>
    <w:rsid w:val="00C4417A"/>
    <w:rsid w:val="00C441C4"/>
    <w:rsid w:val="00C44238"/>
    <w:rsid w:val="00C44270"/>
    <w:rsid w:val="00C4428E"/>
    <w:rsid w:val="00C44310"/>
    <w:rsid w:val="00C44394"/>
    <w:rsid w:val="00C443EC"/>
    <w:rsid w:val="00C44582"/>
    <w:rsid w:val="00C44876"/>
    <w:rsid w:val="00C4488C"/>
    <w:rsid w:val="00C44A38"/>
    <w:rsid w:val="00C44A5B"/>
    <w:rsid w:val="00C44A64"/>
    <w:rsid w:val="00C44AE8"/>
    <w:rsid w:val="00C44B24"/>
    <w:rsid w:val="00C45158"/>
    <w:rsid w:val="00C45761"/>
    <w:rsid w:val="00C459BE"/>
    <w:rsid w:val="00C45A45"/>
    <w:rsid w:val="00C45BDE"/>
    <w:rsid w:val="00C45C0E"/>
    <w:rsid w:val="00C45F5D"/>
    <w:rsid w:val="00C45F61"/>
    <w:rsid w:val="00C45FE9"/>
    <w:rsid w:val="00C46112"/>
    <w:rsid w:val="00C462DD"/>
    <w:rsid w:val="00C46405"/>
    <w:rsid w:val="00C468B8"/>
    <w:rsid w:val="00C469A0"/>
    <w:rsid w:val="00C46C3C"/>
    <w:rsid w:val="00C46CE9"/>
    <w:rsid w:val="00C46FDF"/>
    <w:rsid w:val="00C47063"/>
    <w:rsid w:val="00C472A7"/>
    <w:rsid w:val="00C472D6"/>
    <w:rsid w:val="00C47533"/>
    <w:rsid w:val="00C47592"/>
    <w:rsid w:val="00C47597"/>
    <w:rsid w:val="00C476AB"/>
    <w:rsid w:val="00C476BA"/>
    <w:rsid w:val="00C477B8"/>
    <w:rsid w:val="00C477BC"/>
    <w:rsid w:val="00C4797F"/>
    <w:rsid w:val="00C4799A"/>
    <w:rsid w:val="00C47A35"/>
    <w:rsid w:val="00C47ACA"/>
    <w:rsid w:val="00C47B35"/>
    <w:rsid w:val="00C47CF8"/>
    <w:rsid w:val="00C47E71"/>
    <w:rsid w:val="00C47E78"/>
    <w:rsid w:val="00C47EE3"/>
    <w:rsid w:val="00C500F4"/>
    <w:rsid w:val="00C501EE"/>
    <w:rsid w:val="00C503BC"/>
    <w:rsid w:val="00C5059C"/>
    <w:rsid w:val="00C505FD"/>
    <w:rsid w:val="00C506DB"/>
    <w:rsid w:val="00C50A22"/>
    <w:rsid w:val="00C50BB6"/>
    <w:rsid w:val="00C50C2C"/>
    <w:rsid w:val="00C50D67"/>
    <w:rsid w:val="00C50DE0"/>
    <w:rsid w:val="00C50DFD"/>
    <w:rsid w:val="00C50E9F"/>
    <w:rsid w:val="00C5100E"/>
    <w:rsid w:val="00C51115"/>
    <w:rsid w:val="00C5114E"/>
    <w:rsid w:val="00C51349"/>
    <w:rsid w:val="00C5147B"/>
    <w:rsid w:val="00C5155D"/>
    <w:rsid w:val="00C516AF"/>
    <w:rsid w:val="00C51898"/>
    <w:rsid w:val="00C51946"/>
    <w:rsid w:val="00C51DF7"/>
    <w:rsid w:val="00C51EE9"/>
    <w:rsid w:val="00C52418"/>
    <w:rsid w:val="00C52623"/>
    <w:rsid w:val="00C527CD"/>
    <w:rsid w:val="00C52B00"/>
    <w:rsid w:val="00C52CC7"/>
    <w:rsid w:val="00C52D4A"/>
    <w:rsid w:val="00C53030"/>
    <w:rsid w:val="00C530BC"/>
    <w:rsid w:val="00C530F5"/>
    <w:rsid w:val="00C531EA"/>
    <w:rsid w:val="00C53288"/>
    <w:rsid w:val="00C53445"/>
    <w:rsid w:val="00C536CB"/>
    <w:rsid w:val="00C53998"/>
    <w:rsid w:val="00C53B1A"/>
    <w:rsid w:val="00C53BEF"/>
    <w:rsid w:val="00C53C7F"/>
    <w:rsid w:val="00C53E23"/>
    <w:rsid w:val="00C53F1A"/>
    <w:rsid w:val="00C53F59"/>
    <w:rsid w:val="00C54073"/>
    <w:rsid w:val="00C5409B"/>
    <w:rsid w:val="00C5491C"/>
    <w:rsid w:val="00C549AA"/>
    <w:rsid w:val="00C549C4"/>
    <w:rsid w:val="00C54D85"/>
    <w:rsid w:val="00C54F5B"/>
    <w:rsid w:val="00C54FEE"/>
    <w:rsid w:val="00C55184"/>
    <w:rsid w:val="00C55288"/>
    <w:rsid w:val="00C55440"/>
    <w:rsid w:val="00C5548D"/>
    <w:rsid w:val="00C55558"/>
    <w:rsid w:val="00C55619"/>
    <w:rsid w:val="00C5566F"/>
    <w:rsid w:val="00C556C8"/>
    <w:rsid w:val="00C559FF"/>
    <w:rsid w:val="00C55BE6"/>
    <w:rsid w:val="00C55D3B"/>
    <w:rsid w:val="00C55DCF"/>
    <w:rsid w:val="00C55E32"/>
    <w:rsid w:val="00C55FC5"/>
    <w:rsid w:val="00C56030"/>
    <w:rsid w:val="00C56055"/>
    <w:rsid w:val="00C56267"/>
    <w:rsid w:val="00C56458"/>
    <w:rsid w:val="00C569D7"/>
    <w:rsid w:val="00C56A17"/>
    <w:rsid w:val="00C56BB0"/>
    <w:rsid w:val="00C56C03"/>
    <w:rsid w:val="00C57095"/>
    <w:rsid w:val="00C57136"/>
    <w:rsid w:val="00C5721D"/>
    <w:rsid w:val="00C5745B"/>
    <w:rsid w:val="00C575EF"/>
    <w:rsid w:val="00C57702"/>
    <w:rsid w:val="00C578FE"/>
    <w:rsid w:val="00C57A3A"/>
    <w:rsid w:val="00C57B07"/>
    <w:rsid w:val="00C57CCC"/>
    <w:rsid w:val="00C57F46"/>
    <w:rsid w:val="00C6001A"/>
    <w:rsid w:val="00C600B5"/>
    <w:rsid w:val="00C60525"/>
    <w:rsid w:val="00C608EB"/>
    <w:rsid w:val="00C60970"/>
    <w:rsid w:val="00C60A25"/>
    <w:rsid w:val="00C60A6A"/>
    <w:rsid w:val="00C60AE6"/>
    <w:rsid w:val="00C60B1E"/>
    <w:rsid w:val="00C60F49"/>
    <w:rsid w:val="00C60FFC"/>
    <w:rsid w:val="00C6112F"/>
    <w:rsid w:val="00C61419"/>
    <w:rsid w:val="00C614D6"/>
    <w:rsid w:val="00C615FF"/>
    <w:rsid w:val="00C6160A"/>
    <w:rsid w:val="00C6166A"/>
    <w:rsid w:val="00C6167F"/>
    <w:rsid w:val="00C61731"/>
    <w:rsid w:val="00C617E1"/>
    <w:rsid w:val="00C618D2"/>
    <w:rsid w:val="00C6195C"/>
    <w:rsid w:val="00C6197D"/>
    <w:rsid w:val="00C61AC0"/>
    <w:rsid w:val="00C61CD9"/>
    <w:rsid w:val="00C61DF5"/>
    <w:rsid w:val="00C61EAD"/>
    <w:rsid w:val="00C61FDE"/>
    <w:rsid w:val="00C62042"/>
    <w:rsid w:val="00C621A8"/>
    <w:rsid w:val="00C62424"/>
    <w:rsid w:val="00C62449"/>
    <w:rsid w:val="00C62623"/>
    <w:rsid w:val="00C626CF"/>
    <w:rsid w:val="00C627A7"/>
    <w:rsid w:val="00C627E1"/>
    <w:rsid w:val="00C628B9"/>
    <w:rsid w:val="00C628E7"/>
    <w:rsid w:val="00C629EE"/>
    <w:rsid w:val="00C62C41"/>
    <w:rsid w:val="00C62C84"/>
    <w:rsid w:val="00C62DF7"/>
    <w:rsid w:val="00C62FA1"/>
    <w:rsid w:val="00C6307A"/>
    <w:rsid w:val="00C63228"/>
    <w:rsid w:val="00C635BA"/>
    <w:rsid w:val="00C63693"/>
    <w:rsid w:val="00C636AA"/>
    <w:rsid w:val="00C636DC"/>
    <w:rsid w:val="00C63AA4"/>
    <w:rsid w:val="00C63CBC"/>
    <w:rsid w:val="00C63E75"/>
    <w:rsid w:val="00C63E95"/>
    <w:rsid w:val="00C640EC"/>
    <w:rsid w:val="00C6415B"/>
    <w:rsid w:val="00C64334"/>
    <w:rsid w:val="00C645EA"/>
    <w:rsid w:val="00C6466E"/>
    <w:rsid w:val="00C6472C"/>
    <w:rsid w:val="00C64832"/>
    <w:rsid w:val="00C64954"/>
    <w:rsid w:val="00C64977"/>
    <w:rsid w:val="00C649F3"/>
    <w:rsid w:val="00C64B3A"/>
    <w:rsid w:val="00C64BE4"/>
    <w:rsid w:val="00C64DF3"/>
    <w:rsid w:val="00C65016"/>
    <w:rsid w:val="00C65159"/>
    <w:rsid w:val="00C652D3"/>
    <w:rsid w:val="00C652FA"/>
    <w:rsid w:val="00C65355"/>
    <w:rsid w:val="00C65446"/>
    <w:rsid w:val="00C65561"/>
    <w:rsid w:val="00C65758"/>
    <w:rsid w:val="00C65962"/>
    <w:rsid w:val="00C659EA"/>
    <w:rsid w:val="00C65A58"/>
    <w:rsid w:val="00C65A8E"/>
    <w:rsid w:val="00C65C15"/>
    <w:rsid w:val="00C65D86"/>
    <w:rsid w:val="00C65E91"/>
    <w:rsid w:val="00C66058"/>
    <w:rsid w:val="00C666A7"/>
    <w:rsid w:val="00C666E9"/>
    <w:rsid w:val="00C6676A"/>
    <w:rsid w:val="00C668C1"/>
    <w:rsid w:val="00C66A27"/>
    <w:rsid w:val="00C66B3C"/>
    <w:rsid w:val="00C66C76"/>
    <w:rsid w:val="00C66D27"/>
    <w:rsid w:val="00C66DB1"/>
    <w:rsid w:val="00C66E25"/>
    <w:rsid w:val="00C66E3A"/>
    <w:rsid w:val="00C66EAA"/>
    <w:rsid w:val="00C66FC6"/>
    <w:rsid w:val="00C66FCD"/>
    <w:rsid w:val="00C671DB"/>
    <w:rsid w:val="00C6723F"/>
    <w:rsid w:val="00C673DE"/>
    <w:rsid w:val="00C6748D"/>
    <w:rsid w:val="00C67932"/>
    <w:rsid w:val="00C67940"/>
    <w:rsid w:val="00C67AED"/>
    <w:rsid w:val="00C67D9D"/>
    <w:rsid w:val="00C67E7E"/>
    <w:rsid w:val="00C67ECD"/>
    <w:rsid w:val="00C67FD2"/>
    <w:rsid w:val="00C70066"/>
    <w:rsid w:val="00C700CA"/>
    <w:rsid w:val="00C7012F"/>
    <w:rsid w:val="00C7013A"/>
    <w:rsid w:val="00C70148"/>
    <w:rsid w:val="00C7037F"/>
    <w:rsid w:val="00C703B3"/>
    <w:rsid w:val="00C70596"/>
    <w:rsid w:val="00C707A2"/>
    <w:rsid w:val="00C707F0"/>
    <w:rsid w:val="00C70896"/>
    <w:rsid w:val="00C70C8B"/>
    <w:rsid w:val="00C70DD8"/>
    <w:rsid w:val="00C70F93"/>
    <w:rsid w:val="00C71229"/>
    <w:rsid w:val="00C71299"/>
    <w:rsid w:val="00C71342"/>
    <w:rsid w:val="00C714C0"/>
    <w:rsid w:val="00C71523"/>
    <w:rsid w:val="00C7160A"/>
    <w:rsid w:val="00C7166C"/>
    <w:rsid w:val="00C718BB"/>
    <w:rsid w:val="00C7196B"/>
    <w:rsid w:val="00C71D48"/>
    <w:rsid w:val="00C71D87"/>
    <w:rsid w:val="00C71E57"/>
    <w:rsid w:val="00C71FF4"/>
    <w:rsid w:val="00C7212C"/>
    <w:rsid w:val="00C7215A"/>
    <w:rsid w:val="00C723C8"/>
    <w:rsid w:val="00C7246F"/>
    <w:rsid w:val="00C725FD"/>
    <w:rsid w:val="00C7289B"/>
    <w:rsid w:val="00C72930"/>
    <w:rsid w:val="00C72AE1"/>
    <w:rsid w:val="00C72BD1"/>
    <w:rsid w:val="00C72E84"/>
    <w:rsid w:val="00C72E89"/>
    <w:rsid w:val="00C72EEC"/>
    <w:rsid w:val="00C72F29"/>
    <w:rsid w:val="00C730D8"/>
    <w:rsid w:val="00C73115"/>
    <w:rsid w:val="00C7315C"/>
    <w:rsid w:val="00C734B5"/>
    <w:rsid w:val="00C734E1"/>
    <w:rsid w:val="00C73524"/>
    <w:rsid w:val="00C7362E"/>
    <w:rsid w:val="00C7365A"/>
    <w:rsid w:val="00C737BB"/>
    <w:rsid w:val="00C73896"/>
    <w:rsid w:val="00C738A0"/>
    <w:rsid w:val="00C739DE"/>
    <w:rsid w:val="00C73B91"/>
    <w:rsid w:val="00C73BC1"/>
    <w:rsid w:val="00C73BD0"/>
    <w:rsid w:val="00C73BD9"/>
    <w:rsid w:val="00C73C74"/>
    <w:rsid w:val="00C73D4D"/>
    <w:rsid w:val="00C73E84"/>
    <w:rsid w:val="00C73E94"/>
    <w:rsid w:val="00C73FF8"/>
    <w:rsid w:val="00C74287"/>
    <w:rsid w:val="00C74303"/>
    <w:rsid w:val="00C74375"/>
    <w:rsid w:val="00C743AA"/>
    <w:rsid w:val="00C74585"/>
    <w:rsid w:val="00C74749"/>
    <w:rsid w:val="00C74770"/>
    <w:rsid w:val="00C747D3"/>
    <w:rsid w:val="00C74856"/>
    <w:rsid w:val="00C748D7"/>
    <w:rsid w:val="00C74934"/>
    <w:rsid w:val="00C74935"/>
    <w:rsid w:val="00C74959"/>
    <w:rsid w:val="00C74A08"/>
    <w:rsid w:val="00C74A59"/>
    <w:rsid w:val="00C74ADC"/>
    <w:rsid w:val="00C750FF"/>
    <w:rsid w:val="00C751CD"/>
    <w:rsid w:val="00C7520B"/>
    <w:rsid w:val="00C75296"/>
    <w:rsid w:val="00C75570"/>
    <w:rsid w:val="00C75645"/>
    <w:rsid w:val="00C75B03"/>
    <w:rsid w:val="00C75B44"/>
    <w:rsid w:val="00C75C14"/>
    <w:rsid w:val="00C75D07"/>
    <w:rsid w:val="00C75D6C"/>
    <w:rsid w:val="00C75EE7"/>
    <w:rsid w:val="00C75FDE"/>
    <w:rsid w:val="00C760C9"/>
    <w:rsid w:val="00C761FF"/>
    <w:rsid w:val="00C7629C"/>
    <w:rsid w:val="00C7633D"/>
    <w:rsid w:val="00C763BC"/>
    <w:rsid w:val="00C763BD"/>
    <w:rsid w:val="00C765A7"/>
    <w:rsid w:val="00C76800"/>
    <w:rsid w:val="00C768F9"/>
    <w:rsid w:val="00C76B89"/>
    <w:rsid w:val="00C76E43"/>
    <w:rsid w:val="00C76E51"/>
    <w:rsid w:val="00C77090"/>
    <w:rsid w:val="00C770AD"/>
    <w:rsid w:val="00C771A7"/>
    <w:rsid w:val="00C771EB"/>
    <w:rsid w:val="00C7723F"/>
    <w:rsid w:val="00C77262"/>
    <w:rsid w:val="00C7731F"/>
    <w:rsid w:val="00C77377"/>
    <w:rsid w:val="00C775A5"/>
    <w:rsid w:val="00C7773B"/>
    <w:rsid w:val="00C777C2"/>
    <w:rsid w:val="00C7793C"/>
    <w:rsid w:val="00C77A54"/>
    <w:rsid w:val="00C77C9A"/>
    <w:rsid w:val="00C77CE9"/>
    <w:rsid w:val="00C77E26"/>
    <w:rsid w:val="00C77E5C"/>
    <w:rsid w:val="00C77E61"/>
    <w:rsid w:val="00C80037"/>
    <w:rsid w:val="00C803B4"/>
    <w:rsid w:val="00C803C7"/>
    <w:rsid w:val="00C80460"/>
    <w:rsid w:val="00C8058B"/>
    <w:rsid w:val="00C8066C"/>
    <w:rsid w:val="00C80681"/>
    <w:rsid w:val="00C806CA"/>
    <w:rsid w:val="00C8078A"/>
    <w:rsid w:val="00C808FE"/>
    <w:rsid w:val="00C80C44"/>
    <w:rsid w:val="00C80D70"/>
    <w:rsid w:val="00C80EAF"/>
    <w:rsid w:val="00C80EF1"/>
    <w:rsid w:val="00C80F69"/>
    <w:rsid w:val="00C81018"/>
    <w:rsid w:val="00C81108"/>
    <w:rsid w:val="00C8122D"/>
    <w:rsid w:val="00C812EA"/>
    <w:rsid w:val="00C812FC"/>
    <w:rsid w:val="00C81421"/>
    <w:rsid w:val="00C8142E"/>
    <w:rsid w:val="00C814DD"/>
    <w:rsid w:val="00C8156D"/>
    <w:rsid w:val="00C81658"/>
    <w:rsid w:val="00C818CC"/>
    <w:rsid w:val="00C819BF"/>
    <w:rsid w:val="00C81BB1"/>
    <w:rsid w:val="00C81BF9"/>
    <w:rsid w:val="00C820BC"/>
    <w:rsid w:val="00C822DB"/>
    <w:rsid w:val="00C82317"/>
    <w:rsid w:val="00C82329"/>
    <w:rsid w:val="00C8254C"/>
    <w:rsid w:val="00C825BD"/>
    <w:rsid w:val="00C82620"/>
    <w:rsid w:val="00C827E5"/>
    <w:rsid w:val="00C828C6"/>
    <w:rsid w:val="00C829B1"/>
    <w:rsid w:val="00C82E6A"/>
    <w:rsid w:val="00C82FAF"/>
    <w:rsid w:val="00C83012"/>
    <w:rsid w:val="00C8301A"/>
    <w:rsid w:val="00C830F7"/>
    <w:rsid w:val="00C8315F"/>
    <w:rsid w:val="00C831B9"/>
    <w:rsid w:val="00C831E4"/>
    <w:rsid w:val="00C832E0"/>
    <w:rsid w:val="00C83361"/>
    <w:rsid w:val="00C83483"/>
    <w:rsid w:val="00C83611"/>
    <w:rsid w:val="00C83691"/>
    <w:rsid w:val="00C83727"/>
    <w:rsid w:val="00C837AD"/>
    <w:rsid w:val="00C83895"/>
    <w:rsid w:val="00C83941"/>
    <w:rsid w:val="00C83BA7"/>
    <w:rsid w:val="00C83D2D"/>
    <w:rsid w:val="00C83D57"/>
    <w:rsid w:val="00C83D92"/>
    <w:rsid w:val="00C83E00"/>
    <w:rsid w:val="00C83EB7"/>
    <w:rsid w:val="00C83F56"/>
    <w:rsid w:val="00C83FB2"/>
    <w:rsid w:val="00C8415D"/>
    <w:rsid w:val="00C84226"/>
    <w:rsid w:val="00C842E8"/>
    <w:rsid w:val="00C84346"/>
    <w:rsid w:val="00C8459A"/>
    <w:rsid w:val="00C84929"/>
    <w:rsid w:val="00C84B43"/>
    <w:rsid w:val="00C84E4A"/>
    <w:rsid w:val="00C84EE2"/>
    <w:rsid w:val="00C8527D"/>
    <w:rsid w:val="00C85375"/>
    <w:rsid w:val="00C855BF"/>
    <w:rsid w:val="00C859BF"/>
    <w:rsid w:val="00C85A87"/>
    <w:rsid w:val="00C85AD6"/>
    <w:rsid w:val="00C85B4F"/>
    <w:rsid w:val="00C85F34"/>
    <w:rsid w:val="00C860E2"/>
    <w:rsid w:val="00C861BB"/>
    <w:rsid w:val="00C8626C"/>
    <w:rsid w:val="00C8632C"/>
    <w:rsid w:val="00C86495"/>
    <w:rsid w:val="00C864E2"/>
    <w:rsid w:val="00C8653A"/>
    <w:rsid w:val="00C86882"/>
    <w:rsid w:val="00C86C1C"/>
    <w:rsid w:val="00C86CE3"/>
    <w:rsid w:val="00C86CFD"/>
    <w:rsid w:val="00C86E5E"/>
    <w:rsid w:val="00C86FBA"/>
    <w:rsid w:val="00C86FD9"/>
    <w:rsid w:val="00C870CA"/>
    <w:rsid w:val="00C87297"/>
    <w:rsid w:val="00C87379"/>
    <w:rsid w:val="00C87419"/>
    <w:rsid w:val="00C87429"/>
    <w:rsid w:val="00C87494"/>
    <w:rsid w:val="00C87636"/>
    <w:rsid w:val="00C87765"/>
    <w:rsid w:val="00C87888"/>
    <w:rsid w:val="00C87AFF"/>
    <w:rsid w:val="00C87BBE"/>
    <w:rsid w:val="00C87F37"/>
    <w:rsid w:val="00C87FDA"/>
    <w:rsid w:val="00C90156"/>
    <w:rsid w:val="00C901DC"/>
    <w:rsid w:val="00C902C4"/>
    <w:rsid w:val="00C90661"/>
    <w:rsid w:val="00C907D1"/>
    <w:rsid w:val="00C90879"/>
    <w:rsid w:val="00C908FB"/>
    <w:rsid w:val="00C9098A"/>
    <w:rsid w:val="00C909F5"/>
    <w:rsid w:val="00C90B0A"/>
    <w:rsid w:val="00C90BCD"/>
    <w:rsid w:val="00C90C7E"/>
    <w:rsid w:val="00C90CB9"/>
    <w:rsid w:val="00C90E4F"/>
    <w:rsid w:val="00C90FB7"/>
    <w:rsid w:val="00C911F6"/>
    <w:rsid w:val="00C9125F"/>
    <w:rsid w:val="00C9127F"/>
    <w:rsid w:val="00C912DF"/>
    <w:rsid w:val="00C91481"/>
    <w:rsid w:val="00C914C7"/>
    <w:rsid w:val="00C9161F"/>
    <w:rsid w:val="00C9187A"/>
    <w:rsid w:val="00C91890"/>
    <w:rsid w:val="00C91AB6"/>
    <w:rsid w:val="00C91ACD"/>
    <w:rsid w:val="00C91D41"/>
    <w:rsid w:val="00C921E5"/>
    <w:rsid w:val="00C92241"/>
    <w:rsid w:val="00C923BF"/>
    <w:rsid w:val="00C92557"/>
    <w:rsid w:val="00C92600"/>
    <w:rsid w:val="00C9265D"/>
    <w:rsid w:val="00C9275E"/>
    <w:rsid w:val="00C9284C"/>
    <w:rsid w:val="00C92962"/>
    <w:rsid w:val="00C9297D"/>
    <w:rsid w:val="00C92B0A"/>
    <w:rsid w:val="00C92C36"/>
    <w:rsid w:val="00C92F09"/>
    <w:rsid w:val="00C9331C"/>
    <w:rsid w:val="00C93698"/>
    <w:rsid w:val="00C9376A"/>
    <w:rsid w:val="00C93974"/>
    <w:rsid w:val="00C93A2A"/>
    <w:rsid w:val="00C93AA4"/>
    <w:rsid w:val="00C93BB9"/>
    <w:rsid w:val="00C93D50"/>
    <w:rsid w:val="00C93E73"/>
    <w:rsid w:val="00C93F24"/>
    <w:rsid w:val="00C94209"/>
    <w:rsid w:val="00C94288"/>
    <w:rsid w:val="00C942C5"/>
    <w:rsid w:val="00C943FB"/>
    <w:rsid w:val="00C94607"/>
    <w:rsid w:val="00C94805"/>
    <w:rsid w:val="00C9482B"/>
    <w:rsid w:val="00C94846"/>
    <w:rsid w:val="00C9493A"/>
    <w:rsid w:val="00C94CC8"/>
    <w:rsid w:val="00C94CD6"/>
    <w:rsid w:val="00C94F63"/>
    <w:rsid w:val="00C94F75"/>
    <w:rsid w:val="00C9508B"/>
    <w:rsid w:val="00C95156"/>
    <w:rsid w:val="00C9524A"/>
    <w:rsid w:val="00C953E1"/>
    <w:rsid w:val="00C95627"/>
    <w:rsid w:val="00C95698"/>
    <w:rsid w:val="00C95873"/>
    <w:rsid w:val="00C958AE"/>
    <w:rsid w:val="00C958D9"/>
    <w:rsid w:val="00C95916"/>
    <w:rsid w:val="00C95931"/>
    <w:rsid w:val="00C95968"/>
    <w:rsid w:val="00C95A1B"/>
    <w:rsid w:val="00C95A4F"/>
    <w:rsid w:val="00C95B54"/>
    <w:rsid w:val="00C95D26"/>
    <w:rsid w:val="00C95EFC"/>
    <w:rsid w:val="00C96250"/>
    <w:rsid w:val="00C962F3"/>
    <w:rsid w:val="00C964E5"/>
    <w:rsid w:val="00C9666F"/>
    <w:rsid w:val="00C966C2"/>
    <w:rsid w:val="00C9675F"/>
    <w:rsid w:val="00C969DF"/>
    <w:rsid w:val="00C969F3"/>
    <w:rsid w:val="00C96B74"/>
    <w:rsid w:val="00C96BC6"/>
    <w:rsid w:val="00C96C8A"/>
    <w:rsid w:val="00C96D1F"/>
    <w:rsid w:val="00C96EE0"/>
    <w:rsid w:val="00C970AA"/>
    <w:rsid w:val="00C970C3"/>
    <w:rsid w:val="00C97382"/>
    <w:rsid w:val="00C973ED"/>
    <w:rsid w:val="00C97546"/>
    <w:rsid w:val="00C97585"/>
    <w:rsid w:val="00C975E5"/>
    <w:rsid w:val="00C97CD8"/>
    <w:rsid w:val="00C97DD4"/>
    <w:rsid w:val="00C97F0A"/>
    <w:rsid w:val="00CA0028"/>
    <w:rsid w:val="00CA00FB"/>
    <w:rsid w:val="00CA0189"/>
    <w:rsid w:val="00CA018E"/>
    <w:rsid w:val="00CA0231"/>
    <w:rsid w:val="00CA0284"/>
    <w:rsid w:val="00CA0359"/>
    <w:rsid w:val="00CA0A09"/>
    <w:rsid w:val="00CA0A3C"/>
    <w:rsid w:val="00CA0B45"/>
    <w:rsid w:val="00CA0D38"/>
    <w:rsid w:val="00CA0FB1"/>
    <w:rsid w:val="00CA1278"/>
    <w:rsid w:val="00CA1407"/>
    <w:rsid w:val="00CA1525"/>
    <w:rsid w:val="00CA157F"/>
    <w:rsid w:val="00CA186C"/>
    <w:rsid w:val="00CA19E5"/>
    <w:rsid w:val="00CA1ACB"/>
    <w:rsid w:val="00CA1B0C"/>
    <w:rsid w:val="00CA1B79"/>
    <w:rsid w:val="00CA1D5D"/>
    <w:rsid w:val="00CA1D8B"/>
    <w:rsid w:val="00CA21E8"/>
    <w:rsid w:val="00CA2409"/>
    <w:rsid w:val="00CA2461"/>
    <w:rsid w:val="00CA261D"/>
    <w:rsid w:val="00CA2764"/>
    <w:rsid w:val="00CA27AD"/>
    <w:rsid w:val="00CA27C2"/>
    <w:rsid w:val="00CA2808"/>
    <w:rsid w:val="00CA287B"/>
    <w:rsid w:val="00CA29C3"/>
    <w:rsid w:val="00CA2C30"/>
    <w:rsid w:val="00CA2C34"/>
    <w:rsid w:val="00CA2C80"/>
    <w:rsid w:val="00CA2CBA"/>
    <w:rsid w:val="00CA2CF1"/>
    <w:rsid w:val="00CA2D56"/>
    <w:rsid w:val="00CA30B3"/>
    <w:rsid w:val="00CA315F"/>
    <w:rsid w:val="00CA32E5"/>
    <w:rsid w:val="00CA3782"/>
    <w:rsid w:val="00CA385C"/>
    <w:rsid w:val="00CA3959"/>
    <w:rsid w:val="00CA39A6"/>
    <w:rsid w:val="00CA3A22"/>
    <w:rsid w:val="00CA3B4D"/>
    <w:rsid w:val="00CA3DA8"/>
    <w:rsid w:val="00CA3E0B"/>
    <w:rsid w:val="00CA3FB4"/>
    <w:rsid w:val="00CA4064"/>
    <w:rsid w:val="00CA4095"/>
    <w:rsid w:val="00CA4146"/>
    <w:rsid w:val="00CA43ED"/>
    <w:rsid w:val="00CA44B5"/>
    <w:rsid w:val="00CA44BB"/>
    <w:rsid w:val="00CA44DA"/>
    <w:rsid w:val="00CA46B7"/>
    <w:rsid w:val="00CA47D9"/>
    <w:rsid w:val="00CA47EE"/>
    <w:rsid w:val="00CA4A06"/>
    <w:rsid w:val="00CA4C79"/>
    <w:rsid w:val="00CA4CEE"/>
    <w:rsid w:val="00CA4D5D"/>
    <w:rsid w:val="00CA4D7B"/>
    <w:rsid w:val="00CA4D7F"/>
    <w:rsid w:val="00CA4E5A"/>
    <w:rsid w:val="00CA4FAD"/>
    <w:rsid w:val="00CA4FFB"/>
    <w:rsid w:val="00CA5113"/>
    <w:rsid w:val="00CA516C"/>
    <w:rsid w:val="00CA5191"/>
    <w:rsid w:val="00CA555A"/>
    <w:rsid w:val="00CA557C"/>
    <w:rsid w:val="00CA5CB3"/>
    <w:rsid w:val="00CA5DB6"/>
    <w:rsid w:val="00CA5E79"/>
    <w:rsid w:val="00CA5E7E"/>
    <w:rsid w:val="00CA6007"/>
    <w:rsid w:val="00CA6269"/>
    <w:rsid w:val="00CA654B"/>
    <w:rsid w:val="00CA66B7"/>
    <w:rsid w:val="00CA66C3"/>
    <w:rsid w:val="00CA675B"/>
    <w:rsid w:val="00CA6900"/>
    <w:rsid w:val="00CA6A87"/>
    <w:rsid w:val="00CA6D99"/>
    <w:rsid w:val="00CA6DD9"/>
    <w:rsid w:val="00CA6E36"/>
    <w:rsid w:val="00CA6E72"/>
    <w:rsid w:val="00CA6FCB"/>
    <w:rsid w:val="00CA706D"/>
    <w:rsid w:val="00CA70AB"/>
    <w:rsid w:val="00CA70D9"/>
    <w:rsid w:val="00CA722A"/>
    <w:rsid w:val="00CA73B8"/>
    <w:rsid w:val="00CA7492"/>
    <w:rsid w:val="00CA767B"/>
    <w:rsid w:val="00CA769A"/>
    <w:rsid w:val="00CA79C6"/>
    <w:rsid w:val="00CA7B82"/>
    <w:rsid w:val="00CA7C41"/>
    <w:rsid w:val="00CA7C8A"/>
    <w:rsid w:val="00CA7DE3"/>
    <w:rsid w:val="00CA7E28"/>
    <w:rsid w:val="00CB011C"/>
    <w:rsid w:val="00CB0214"/>
    <w:rsid w:val="00CB02B5"/>
    <w:rsid w:val="00CB0339"/>
    <w:rsid w:val="00CB036B"/>
    <w:rsid w:val="00CB03AC"/>
    <w:rsid w:val="00CB049F"/>
    <w:rsid w:val="00CB063A"/>
    <w:rsid w:val="00CB083E"/>
    <w:rsid w:val="00CB0AEE"/>
    <w:rsid w:val="00CB0BFD"/>
    <w:rsid w:val="00CB0DD5"/>
    <w:rsid w:val="00CB0E27"/>
    <w:rsid w:val="00CB1206"/>
    <w:rsid w:val="00CB123D"/>
    <w:rsid w:val="00CB1456"/>
    <w:rsid w:val="00CB169C"/>
    <w:rsid w:val="00CB1726"/>
    <w:rsid w:val="00CB18FB"/>
    <w:rsid w:val="00CB1971"/>
    <w:rsid w:val="00CB1BE3"/>
    <w:rsid w:val="00CB1CC3"/>
    <w:rsid w:val="00CB1CEF"/>
    <w:rsid w:val="00CB1ED8"/>
    <w:rsid w:val="00CB1F93"/>
    <w:rsid w:val="00CB1F97"/>
    <w:rsid w:val="00CB21CA"/>
    <w:rsid w:val="00CB231F"/>
    <w:rsid w:val="00CB2369"/>
    <w:rsid w:val="00CB23AB"/>
    <w:rsid w:val="00CB23D9"/>
    <w:rsid w:val="00CB2415"/>
    <w:rsid w:val="00CB2552"/>
    <w:rsid w:val="00CB2C60"/>
    <w:rsid w:val="00CB2E79"/>
    <w:rsid w:val="00CB3169"/>
    <w:rsid w:val="00CB31B9"/>
    <w:rsid w:val="00CB324F"/>
    <w:rsid w:val="00CB3406"/>
    <w:rsid w:val="00CB3583"/>
    <w:rsid w:val="00CB3808"/>
    <w:rsid w:val="00CB38E9"/>
    <w:rsid w:val="00CB3910"/>
    <w:rsid w:val="00CB394C"/>
    <w:rsid w:val="00CB39DF"/>
    <w:rsid w:val="00CB3A54"/>
    <w:rsid w:val="00CB3ABD"/>
    <w:rsid w:val="00CB3B1B"/>
    <w:rsid w:val="00CB3BD8"/>
    <w:rsid w:val="00CB3D42"/>
    <w:rsid w:val="00CB3EBB"/>
    <w:rsid w:val="00CB3F12"/>
    <w:rsid w:val="00CB3FD2"/>
    <w:rsid w:val="00CB3FDF"/>
    <w:rsid w:val="00CB40AC"/>
    <w:rsid w:val="00CB40CB"/>
    <w:rsid w:val="00CB4134"/>
    <w:rsid w:val="00CB4353"/>
    <w:rsid w:val="00CB43C5"/>
    <w:rsid w:val="00CB43CC"/>
    <w:rsid w:val="00CB44CE"/>
    <w:rsid w:val="00CB46C0"/>
    <w:rsid w:val="00CB47EE"/>
    <w:rsid w:val="00CB4863"/>
    <w:rsid w:val="00CB4A8C"/>
    <w:rsid w:val="00CB4CCC"/>
    <w:rsid w:val="00CB4D0E"/>
    <w:rsid w:val="00CB4D40"/>
    <w:rsid w:val="00CB4E93"/>
    <w:rsid w:val="00CB4E94"/>
    <w:rsid w:val="00CB5069"/>
    <w:rsid w:val="00CB50B3"/>
    <w:rsid w:val="00CB50C1"/>
    <w:rsid w:val="00CB56E2"/>
    <w:rsid w:val="00CB5895"/>
    <w:rsid w:val="00CB5913"/>
    <w:rsid w:val="00CB5C46"/>
    <w:rsid w:val="00CB5C97"/>
    <w:rsid w:val="00CB5D2E"/>
    <w:rsid w:val="00CB61E7"/>
    <w:rsid w:val="00CB63A3"/>
    <w:rsid w:val="00CB63B8"/>
    <w:rsid w:val="00CB64AA"/>
    <w:rsid w:val="00CB65F9"/>
    <w:rsid w:val="00CB6707"/>
    <w:rsid w:val="00CB6787"/>
    <w:rsid w:val="00CB67DE"/>
    <w:rsid w:val="00CB684D"/>
    <w:rsid w:val="00CB68C9"/>
    <w:rsid w:val="00CB6951"/>
    <w:rsid w:val="00CB6AA0"/>
    <w:rsid w:val="00CB6AA5"/>
    <w:rsid w:val="00CB6B22"/>
    <w:rsid w:val="00CB6FA7"/>
    <w:rsid w:val="00CB6FBC"/>
    <w:rsid w:val="00CB712D"/>
    <w:rsid w:val="00CB7434"/>
    <w:rsid w:val="00CB74CF"/>
    <w:rsid w:val="00CB75F5"/>
    <w:rsid w:val="00CB78D3"/>
    <w:rsid w:val="00CB7A1F"/>
    <w:rsid w:val="00CB7B9F"/>
    <w:rsid w:val="00CB7BD1"/>
    <w:rsid w:val="00CB7E1A"/>
    <w:rsid w:val="00CC00A7"/>
    <w:rsid w:val="00CC00F3"/>
    <w:rsid w:val="00CC042F"/>
    <w:rsid w:val="00CC0646"/>
    <w:rsid w:val="00CC083E"/>
    <w:rsid w:val="00CC0853"/>
    <w:rsid w:val="00CC087B"/>
    <w:rsid w:val="00CC08E7"/>
    <w:rsid w:val="00CC0FC4"/>
    <w:rsid w:val="00CC125A"/>
    <w:rsid w:val="00CC143D"/>
    <w:rsid w:val="00CC153E"/>
    <w:rsid w:val="00CC156D"/>
    <w:rsid w:val="00CC1593"/>
    <w:rsid w:val="00CC177A"/>
    <w:rsid w:val="00CC17A3"/>
    <w:rsid w:val="00CC17AA"/>
    <w:rsid w:val="00CC1809"/>
    <w:rsid w:val="00CC1AD9"/>
    <w:rsid w:val="00CC1BA7"/>
    <w:rsid w:val="00CC1D87"/>
    <w:rsid w:val="00CC215E"/>
    <w:rsid w:val="00CC2412"/>
    <w:rsid w:val="00CC2460"/>
    <w:rsid w:val="00CC2475"/>
    <w:rsid w:val="00CC2527"/>
    <w:rsid w:val="00CC25EF"/>
    <w:rsid w:val="00CC2667"/>
    <w:rsid w:val="00CC26ED"/>
    <w:rsid w:val="00CC27CF"/>
    <w:rsid w:val="00CC28A3"/>
    <w:rsid w:val="00CC296B"/>
    <w:rsid w:val="00CC2B85"/>
    <w:rsid w:val="00CC2C79"/>
    <w:rsid w:val="00CC2D23"/>
    <w:rsid w:val="00CC311F"/>
    <w:rsid w:val="00CC338F"/>
    <w:rsid w:val="00CC353E"/>
    <w:rsid w:val="00CC3728"/>
    <w:rsid w:val="00CC389F"/>
    <w:rsid w:val="00CC3983"/>
    <w:rsid w:val="00CC3AE4"/>
    <w:rsid w:val="00CC3D1D"/>
    <w:rsid w:val="00CC40B0"/>
    <w:rsid w:val="00CC424B"/>
    <w:rsid w:val="00CC4B9C"/>
    <w:rsid w:val="00CC4BD2"/>
    <w:rsid w:val="00CC4F02"/>
    <w:rsid w:val="00CC5001"/>
    <w:rsid w:val="00CC513D"/>
    <w:rsid w:val="00CC5162"/>
    <w:rsid w:val="00CC5182"/>
    <w:rsid w:val="00CC518D"/>
    <w:rsid w:val="00CC51FB"/>
    <w:rsid w:val="00CC5221"/>
    <w:rsid w:val="00CC53F5"/>
    <w:rsid w:val="00CC54E0"/>
    <w:rsid w:val="00CC5505"/>
    <w:rsid w:val="00CC55C7"/>
    <w:rsid w:val="00CC5780"/>
    <w:rsid w:val="00CC57A5"/>
    <w:rsid w:val="00CC57AB"/>
    <w:rsid w:val="00CC598D"/>
    <w:rsid w:val="00CC59B0"/>
    <w:rsid w:val="00CC59FF"/>
    <w:rsid w:val="00CC5C36"/>
    <w:rsid w:val="00CC5D72"/>
    <w:rsid w:val="00CC5DA5"/>
    <w:rsid w:val="00CC5E4B"/>
    <w:rsid w:val="00CC5FFC"/>
    <w:rsid w:val="00CC6181"/>
    <w:rsid w:val="00CC6241"/>
    <w:rsid w:val="00CC6276"/>
    <w:rsid w:val="00CC6340"/>
    <w:rsid w:val="00CC6397"/>
    <w:rsid w:val="00CC63E8"/>
    <w:rsid w:val="00CC64E4"/>
    <w:rsid w:val="00CC6531"/>
    <w:rsid w:val="00CC6895"/>
    <w:rsid w:val="00CC690F"/>
    <w:rsid w:val="00CC699A"/>
    <w:rsid w:val="00CC6ADB"/>
    <w:rsid w:val="00CC6E52"/>
    <w:rsid w:val="00CC7246"/>
    <w:rsid w:val="00CC724B"/>
    <w:rsid w:val="00CC74A4"/>
    <w:rsid w:val="00CC76AC"/>
    <w:rsid w:val="00CC76DC"/>
    <w:rsid w:val="00CC76FC"/>
    <w:rsid w:val="00CC78E1"/>
    <w:rsid w:val="00CC79C6"/>
    <w:rsid w:val="00CC7AFC"/>
    <w:rsid w:val="00CC7CDB"/>
    <w:rsid w:val="00CC7DFB"/>
    <w:rsid w:val="00CD0065"/>
    <w:rsid w:val="00CD00F2"/>
    <w:rsid w:val="00CD010C"/>
    <w:rsid w:val="00CD0158"/>
    <w:rsid w:val="00CD0239"/>
    <w:rsid w:val="00CD02E6"/>
    <w:rsid w:val="00CD03A2"/>
    <w:rsid w:val="00CD03F3"/>
    <w:rsid w:val="00CD041B"/>
    <w:rsid w:val="00CD0569"/>
    <w:rsid w:val="00CD0589"/>
    <w:rsid w:val="00CD064A"/>
    <w:rsid w:val="00CD07E4"/>
    <w:rsid w:val="00CD0893"/>
    <w:rsid w:val="00CD08EE"/>
    <w:rsid w:val="00CD098A"/>
    <w:rsid w:val="00CD0B94"/>
    <w:rsid w:val="00CD1008"/>
    <w:rsid w:val="00CD1382"/>
    <w:rsid w:val="00CD165A"/>
    <w:rsid w:val="00CD1767"/>
    <w:rsid w:val="00CD1853"/>
    <w:rsid w:val="00CD1A72"/>
    <w:rsid w:val="00CD1B00"/>
    <w:rsid w:val="00CD1BC9"/>
    <w:rsid w:val="00CD1C7C"/>
    <w:rsid w:val="00CD1D04"/>
    <w:rsid w:val="00CD2041"/>
    <w:rsid w:val="00CD2121"/>
    <w:rsid w:val="00CD215F"/>
    <w:rsid w:val="00CD22FD"/>
    <w:rsid w:val="00CD2324"/>
    <w:rsid w:val="00CD23AA"/>
    <w:rsid w:val="00CD24B3"/>
    <w:rsid w:val="00CD24CF"/>
    <w:rsid w:val="00CD26AB"/>
    <w:rsid w:val="00CD2801"/>
    <w:rsid w:val="00CD28EF"/>
    <w:rsid w:val="00CD2AAF"/>
    <w:rsid w:val="00CD2D3C"/>
    <w:rsid w:val="00CD2FB7"/>
    <w:rsid w:val="00CD2FE5"/>
    <w:rsid w:val="00CD3002"/>
    <w:rsid w:val="00CD3065"/>
    <w:rsid w:val="00CD3407"/>
    <w:rsid w:val="00CD344C"/>
    <w:rsid w:val="00CD34CA"/>
    <w:rsid w:val="00CD3971"/>
    <w:rsid w:val="00CD39E0"/>
    <w:rsid w:val="00CD3A30"/>
    <w:rsid w:val="00CD3B8D"/>
    <w:rsid w:val="00CD3D1D"/>
    <w:rsid w:val="00CD403D"/>
    <w:rsid w:val="00CD404A"/>
    <w:rsid w:val="00CD4386"/>
    <w:rsid w:val="00CD44B0"/>
    <w:rsid w:val="00CD44F1"/>
    <w:rsid w:val="00CD478F"/>
    <w:rsid w:val="00CD47D6"/>
    <w:rsid w:val="00CD4836"/>
    <w:rsid w:val="00CD4926"/>
    <w:rsid w:val="00CD4C17"/>
    <w:rsid w:val="00CD4CC5"/>
    <w:rsid w:val="00CD4D35"/>
    <w:rsid w:val="00CD4D93"/>
    <w:rsid w:val="00CD4DE5"/>
    <w:rsid w:val="00CD4FA6"/>
    <w:rsid w:val="00CD5092"/>
    <w:rsid w:val="00CD50CC"/>
    <w:rsid w:val="00CD5796"/>
    <w:rsid w:val="00CD5954"/>
    <w:rsid w:val="00CD5D17"/>
    <w:rsid w:val="00CD5D18"/>
    <w:rsid w:val="00CD5D21"/>
    <w:rsid w:val="00CD5D7A"/>
    <w:rsid w:val="00CD5F00"/>
    <w:rsid w:val="00CD5F46"/>
    <w:rsid w:val="00CD5F9F"/>
    <w:rsid w:val="00CD5FB8"/>
    <w:rsid w:val="00CD6088"/>
    <w:rsid w:val="00CD613A"/>
    <w:rsid w:val="00CD619A"/>
    <w:rsid w:val="00CD6325"/>
    <w:rsid w:val="00CD6488"/>
    <w:rsid w:val="00CD67CF"/>
    <w:rsid w:val="00CD6836"/>
    <w:rsid w:val="00CD689A"/>
    <w:rsid w:val="00CD68C0"/>
    <w:rsid w:val="00CD6973"/>
    <w:rsid w:val="00CD6A20"/>
    <w:rsid w:val="00CD6B57"/>
    <w:rsid w:val="00CD6CE5"/>
    <w:rsid w:val="00CD6DE3"/>
    <w:rsid w:val="00CD7082"/>
    <w:rsid w:val="00CD71D9"/>
    <w:rsid w:val="00CD72B2"/>
    <w:rsid w:val="00CD732E"/>
    <w:rsid w:val="00CD73EF"/>
    <w:rsid w:val="00CD74C9"/>
    <w:rsid w:val="00CD7561"/>
    <w:rsid w:val="00CD77BF"/>
    <w:rsid w:val="00CD78D6"/>
    <w:rsid w:val="00CD7A5C"/>
    <w:rsid w:val="00CD7AED"/>
    <w:rsid w:val="00CD7B75"/>
    <w:rsid w:val="00CD7CCA"/>
    <w:rsid w:val="00CD7D3D"/>
    <w:rsid w:val="00CD7E23"/>
    <w:rsid w:val="00CE0084"/>
    <w:rsid w:val="00CE02F0"/>
    <w:rsid w:val="00CE032C"/>
    <w:rsid w:val="00CE0416"/>
    <w:rsid w:val="00CE045D"/>
    <w:rsid w:val="00CE063C"/>
    <w:rsid w:val="00CE0865"/>
    <w:rsid w:val="00CE0892"/>
    <w:rsid w:val="00CE08E1"/>
    <w:rsid w:val="00CE0AB6"/>
    <w:rsid w:val="00CE0B31"/>
    <w:rsid w:val="00CE0CA7"/>
    <w:rsid w:val="00CE0CD4"/>
    <w:rsid w:val="00CE0CDD"/>
    <w:rsid w:val="00CE0DCD"/>
    <w:rsid w:val="00CE0F40"/>
    <w:rsid w:val="00CE0F87"/>
    <w:rsid w:val="00CE0F97"/>
    <w:rsid w:val="00CE119A"/>
    <w:rsid w:val="00CE15D6"/>
    <w:rsid w:val="00CE1627"/>
    <w:rsid w:val="00CE1647"/>
    <w:rsid w:val="00CE1820"/>
    <w:rsid w:val="00CE187D"/>
    <w:rsid w:val="00CE1895"/>
    <w:rsid w:val="00CE1917"/>
    <w:rsid w:val="00CE198A"/>
    <w:rsid w:val="00CE199F"/>
    <w:rsid w:val="00CE1A6F"/>
    <w:rsid w:val="00CE1B03"/>
    <w:rsid w:val="00CE1BD8"/>
    <w:rsid w:val="00CE1C7D"/>
    <w:rsid w:val="00CE1D5E"/>
    <w:rsid w:val="00CE1E1C"/>
    <w:rsid w:val="00CE1FB4"/>
    <w:rsid w:val="00CE21A9"/>
    <w:rsid w:val="00CE21BD"/>
    <w:rsid w:val="00CE21D0"/>
    <w:rsid w:val="00CE22C5"/>
    <w:rsid w:val="00CE23C4"/>
    <w:rsid w:val="00CE288E"/>
    <w:rsid w:val="00CE28BE"/>
    <w:rsid w:val="00CE28FD"/>
    <w:rsid w:val="00CE2917"/>
    <w:rsid w:val="00CE2959"/>
    <w:rsid w:val="00CE2BBD"/>
    <w:rsid w:val="00CE2DB5"/>
    <w:rsid w:val="00CE2F9C"/>
    <w:rsid w:val="00CE2FF5"/>
    <w:rsid w:val="00CE338B"/>
    <w:rsid w:val="00CE3454"/>
    <w:rsid w:val="00CE3723"/>
    <w:rsid w:val="00CE3819"/>
    <w:rsid w:val="00CE3D65"/>
    <w:rsid w:val="00CE3D9A"/>
    <w:rsid w:val="00CE3EA5"/>
    <w:rsid w:val="00CE3F22"/>
    <w:rsid w:val="00CE3F6E"/>
    <w:rsid w:val="00CE4006"/>
    <w:rsid w:val="00CE41FF"/>
    <w:rsid w:val="00CE42F7"/>
    <w:rsid w:val="00CE444F"/>
    <w:rsid w:val="00CE4524"/>
    <w:rsid w:val="00CE460C"/>
    <w:rsid w:val="00CE4807"/>
    <w:rsid w:val="00CE4915"/>
    <w:rsid w:val="00CE492B"/>
    <w:rsid w:val="00CE4B34"/>
    <w:rsid w:val="00CE4CFB"/>
    <w:rsid w:val="00CE4E2C"/>
    <w:rsid w:val="00CE5198"/>
    <w:rsid w:val="00CE51FE"/>
    <w:rsid w:val="00CE53A7"/>
    <w:rsid w:val="00CE586B"/>
    <w:rsid w:val="00CE5985"/>
    <w:rsid w:val="00CE5B04"/>
    <w:rsid w:val="00CE5B0E"/>
    <w:rsid w:val="00CE6188"/>
    <w:rsid w:val="00CE62CA"/>
    <w:rsid w:val="00CE6527"/>
    <w:rsid w:val="00CE653E"/>
    <w:rsid w:val="00CE6732"/>
    <w:rsid w:val="00CE67E4"/>
    <w:rsid w:val="00CE6810"/>
    <w:rsid w:val="00CE6ADB"/>
    <w:rsid w:val="00CE6B12"/>
    <w:rsid w:val="00CE6CC6"/>
    <w:rsid w:val="00CE6D6E"/>
    <w:rsid w:val="00CE6DC6"/>
    <w:rsid w:val="00CE6DF6"/>
    <w:rsid w:val="00CE6F44"/>
    <w:rsid w:val="00CE718D"/>
    <w:rsid w:val="00CE719E"/>
    <w:rsid w:val="00CE73B7"/>
    <w:rsid w:val="00CE7477"/>
    <w:rsid w:val="00CE749C"/>
    <w:rsid w:val="00CE74F8"/>
    <w:rsid w:val="00CE766F"/>
    <w:rsid w:val="00CE77C3"/>
    <w:rsid w:val="00CE7848"/>
    <w:rsid w:val="00CE7F0D"/>
    <w:rsid w:val="00CF0111"/>
    <w:rsid w:val="00CF01E8"/>
    <w:rsid w:val="00CF069D"/>
    <w:rsid w:val="00CF0728"/>
    <w:rsid w:val="00CF0738"/>
    <w:rsid w:val="00CF0824"/>
    <w:rsid w:val="00CF0AF3"/>
    <w:rsid w:val="00CF0DF7"/>
    <w:rsid w:val="00CF0E3E"/>
    <w:rsid w:val="00CF0EB5"/>
    <w:rsid w:val="00CF128A"/>
    <w:rsid w:val="00CF1518"/>
    <w:rsid w:val="00CF1941"/>
    <w:rsid w:val="00CF1A50"/>
    <w:rsid w:val="00CF1D9F"/>
    <w:rsid w:val="00CF1E24"/>
    <w:rsid w:val="00CF1E94"/>
    <w:rsid w:val="00CF1EB4"/>
    <w:rsid w:val="00CF21A3"/>
    <w:rsid w:val="00CF2260"/>
    <w:rsid w:val="00CF22A7"/>
    <w:rsid w:val="00CF231F"/>
    <w:rsid w:val="00CF254E"/>
    <w:rsid w:val="00CF2681"/>
    <w:rsid w:val="00CF279F"/>
    <w:rsid w:val="00CF28F9"/>
    <w:rsid w:val="00CF2AA6"/>
    <w:rsid w:val="00CF2ADB"/>
    <w:rsid w:val="00CF2B7A"/>
    <w:rsid w:val="00CF2BBA"/>
    <w:rsid w:val="00CF305E"/>
    <w:rsid w:val="00CF328A"/>
    <w:rsid w:val="00CF32AD"/>
    <w:rsid w:val="00CF32ED"/>
    <w:rsid w:val="00CF34F8"/>
    <w:rsid w:val="00CF35C0"/>
    <w:rsid w:val="00CF3754"/>
    <w:rsid w:val="00CF3BD8"/>
    <w:rsid w:val="00CF3E6D"/>
    <w:rsid w:val="00CF401C"/>
    <w:rsid w:val="00CF40A0"/>
    <w:rsid w:val="00CF4123"/>
    <w:rsid w:val="00CF4332"/>
    <w:rsid w:val="00CF4346"/>
    <w:rsid w:val="00CF439A"/>
    <w:rsid w:val="00CF43FE"/>
    <w:rsid w:val="00CF44C6"/>
    <w:rsid w:val="00CF4583"/>
    <w:rsid w:val="00CF4596"/>
    <w:rsid w:val="00CF46BB"/>
    <w:rsid w:val="00CF475D"/>
    <w:rsid w:val="00CF4926"/>
    <w:rsid w:val="00CF4B0F"/>
    <w:rsid w:val="00CF4E05"/>
    <w:rsid w:val="00CF4FF6"/>
    <w:rsid w:val="00CF509E"/>
    <w:rsid w:val="00CF50A7"/>
    <w:rsid w:val="00CF50EA"/>
    <w:rsid w:val="00CF54E1"/>
    <w:rsid w:val="00CF5549"/>
    <w:rsid w:val="00CF563F"/>
    <w:rsid w:val="00CF56B5"/>
    <w:rsid w:val="00CF5711"/>
    <w:rsid w:val="00CF57A5"/>
    <w:rsid w:val="00CF59D1"/>
    <w:rsid w:val="00CF5CB3"/>
    <w:rsid w:val="00CF614D"/>
    <w:rsid w:val="00CF61BA"/>
    <w:rsid w:val="00CF61FE"/>
    <w:rsid w:val="00CF62D8"/>
    <w:rsid w:val="00CF63E8"/>
    <w:rsid w:val="00CF653F"/>
    <w:rsid w:val="00CF6563"/>
    <w:rsid w:val="00CF6651"/>
    <w:rsid w:val="00CF66C8"/>
    <w:rsid w:val="00CF6A21"/>
    <w:rsid w:val="00CF6AF4"/>
    <w:rsid w:val="00CF6BA8"/>
    <w:rsid w:val="00CF6D55"/>
    <w:rsid w:val="00CF6D80"/>
    <w:rsid w:val="00CF6E04"/>
    <w:rsid w:val="00CF6E74"/>
    <w:rsid w:val="00CF6F64"/>
    <w:rsid w:val="00CF6FCA"/>
    <w:rsid w:val="00CF7167"/>
    <w:rsid w:val="00CF7182"/>
    <w:rsid w:val="00CF71D7"/>
    <w:rsid w:val="00CF73B3"/>
    <w:rsid w:val="00CF75BB"/>
    <w:rsid w:val="00CF7A6C"/>
    <w:rsid w:val="00CF7C65"/>
    <w:rsid w:val="00CF7E77"/>
    <w:rsid w:val="00D0024C"/>
    <w:rsid w:val="00D00432"/>
    <w:rsid w:val="00D00765"/>
    <w:rsid w:val="00D00A01"/>
    <w:rsid w:val="00D00A58"/>
    <w:rsid w:val="00D00C30"/>
    <w:rsid w:val="00D00C45"/>
    <w:rsid w:val="00D00D11"/>
    <w:rsid w:val="00D00D25"/>
    <w:rsid w:val="00D01072"/>
    <w:rsid w:val="00D0107E"/>
    <w:rsid w:val="00D01098"/>
    <w:rsid w:val="00D0115F"/>
    <w:rsid w:val="00D01221"/>
    <w:rsid w:val="00D01321"/>
    <w:rsid w:val="00D013BD"/>
    <w:rsid w:val="00D013C2"/>
    <w:rsid w:val="00D0141B"/>
    <w:rsid w:val="00D01778"/>
    <w:rsid w:val="00D018FC"/>
    <w:rsid w:val="00D019B2"/>
    <w:rsid w:val="00D01C30"/>
    <w:rsid w:val="00D01DF4"/>
    <w:rsid w:val="00D01DFD"/>
    <w:rsid w:val="00D01E61"/>
    <w:rsid w:val="00D01EF6"/>
    <w:rsid w:val="00D01FB0"/>
    <w:rsid w:val="00D01FBB"/>
    <w:rsid w:val="00D02014"/>
    <w:rsid w:val="00D020A9"/>
    <w:rsid w:val="00D020B5"/>
    <w:rsid w:val="00D021CC"/>
    <w:rsid w:val="00D0221C"/>
    <w:rsid w:val="00D0238C"/>
    <w:rsid w:val="00D025CE"/>
    <w:rsid w:val="00D028CB"/>
    <w:rsid w:val="00D02D32"/>
    <w:rsid w:val="00D02D59"/>
    <w:rsid w:val="00D02F98"/>
    <w:rsid w:val="00D03155"/>
    <w:rsid w:val="00D032FE"/>
    <w:rsid w:val="00D034CA"/>
    <w:rsid w:val="00D03591"/>
    <w:rsid w:val="00D03604"/>
    <w:rsid w:val="00D038C8"/>
    <w:rsid w:val="00D03914"/>
    <w:rsid w:val="00D039CF"/>
    <w:rsid w:val="00D03B5D"/>
    <w:rsid w:val="00D03CAB"/>
    <w:rsid w:val="00D03DFA"/>
    <w:rsid w:val="00D03E15"/>
    <w:rsid w:val="00D03EB6"/>
    <w:rsid w:val="00D03F20"/>
    <w:rsid w:val="00D040B1"/>
    <w:rsid w:val="00D04260"/>
    <w:rsid w:val="00D04508"/>
    <w:rsid w:val="00D045D8"/>
    <w:rsid w:val="00D04633"/>
    <w:rsid w:val="00D0467A"/>
    <w:rsid w:val="00D046A1"/>
    <w:rsid w:val="00D04874"/>
    <w:rsid w:val="00D04899"/>
    <w:rsid w:val="00D048DF"/>
    <w:rsid w:val="00D04944"/>
    <w:rsid w:val="00D04951"/>
    <w:rsid w:val="00D04BDC"/>
    <w:rsid w:val="00D04CC9"/>
    <w:rsid w:val="00D04ED6"/>
    <w:rsid w:val="00D04F36"/>
    <w:rsid w:val="00D053C8"/>
    <w:rsid w:val="00D053F1"/>
    <w:rsid w:val="00D05468"/>
    <w:rsid w:val="00D05479"/>
    <w:rsid w:val="00D05708"/>
    <w:rsid w:val="00D057A5"/>
    <w:rsid w:val="00D059EE"/>
    <w:rsid w:val="00D05A6F"/>
    <w:rsid w:val="00D05B6A"/>
    <w:rsid w:val="00D05D1B"/>
    <w:rsid w:val="00D05DFE"/>
    <w:rsid w:val="00D05E4C"/>
    <w:rsid w:val="00D05F1B"/>
    <w:rsid w:val="00D05F4E"/>
    <w:rsid w:val="00D06037"/>
    <w:rsid w:val="00D06103"/>
    <w:rsid w:val="00D063DB"/>
    <w:rsid w:val="00D0691E"/>
    <w:rsid w:val="00D06961"/>
    <w:rsid w:val="00D06A29"/>
    <w:rsid w:val="00D06B34"/>
    <w:rsid w:val="00D06B36"/>
    <w:rsid w:val="00D06C17"/>
    <w:rsid w:val="00D06C70"/>
    <w:rsid w:val="00D070A0"/>
    <w:rsid w:val="00D071D9"/>
    <w:rsid w:val="00D07210"/>
    <w:rsid w:val="00D072C2"/>
    <w:rsid w:val="00D07333"/>
    <w:rsid w:val="00D0755D"/>
    <w:rsid w:val="00D07F20"/>
    <w:rsid w:val="00D1000A"/>
    <w:rsid w:val="00D10127"/>
    <w:rsid w:val="00D1030B"/>
    <w:rsid w:val="00D103EF"/>
    <w:rsid w:val="00D105D0"/>
    <w:rsid w:val="00D10718"/>
    <w:rsid w:val="00D10CB3"/>
    <w:rsid w:val="00D10DC8"/>
    <w:rsid w:val="00D10DD6"/>
    <w:rsid w:val="00D10E64"/>
    <w:rsid w:val="00D10F12"/>
    <w:rsid w:val="00D11274"/>
    <w:rsid w:val="00D112AF"/>
    <w:rsid w:val="00D112E3"/>
    <w:rsid w:val="00D114E3"/>
    <w:rsid w:val="00D117BA"/>
    <w:rsid w:val="00D118C5"/>
    <w:rsid w:val="00D11A8B"/>
    <w:rsid w:val="00D11AE8"/>
    <w:rsid w:val="00D11B11"/>
    <w:rsid w:val="00D11BD6"/>
    <w:rsid w:val="00D11BE3"/>
    <w:rsid w:val="00D11BED"/>
    <w:rsid w:val="00D11C07"/>
    <w:rsid w:val="00D11CB1"/>
    <w:rsid w:val="00D11D04"/>
    <w:rsid w:val="00D12030"/>
    <w:rsid w:val="00D120CA"/>
    <w:rsid w:val="00D12206"/>
    <w:rsid w:val="00D1232D"/>
    <w:rsid w:val="00D12575"/>
    <w:rsid w:val="00D1258C"/>
    <w:rsid w:val="00D125F1"/>
    <w:rsid w:val="00D1291B"/>
    <w:rsid w:val="00D12950"/>
    <w:rsid w:val="00D12995"/>
    <w:rsid w:val="00D129ED"/>
    <w:rsid w:val="00D12A83"/>
    <w:rsid w:val="00D12B4D"/>
    <w:rsid w:val="00D12C12"/>
    <w:rsid w:val="00D12E8A"/>
    <w:rsid w:val="00D12F0E"/>
    <w:rsid w:val="00D12F3E"/>
    <w:rsid w:val="00D130D8"/>
    <w:rsid w:val="00D130DE"/>
    <w:rsid w:val="00D13215"/>
    <w:rsid w:val="00D133E7"/>
    <w:rsid w:val="00D133F8"/>
    <w:rsid w:val="00D13405"/>
    <w:rsid w:val="00D138C0"/>
    <w:rsid w:val="00D138C3"/>
    <w:rsid w:val="00D13A38"/>
    <w:rsid w:val="00D13DA7"/>
    <w:rsid w:val="00D141DF"/>
    <w:rsid w:val="00D141E1"/>
    <w:rsid w:val="00D1435B"/>
    <w:rsid w:val="00D1440F"/>
    <w:rsid w:val="00D145BA"/>
    <w:rsid w:val="00D145BE"/>
    <w:rsid w:val="00D145FB"/>
    <w:rsid w:val="00D14827"/>
    <w:rsid w:val="00D14836"/>
    <w:rsid w:val="00D149B4"/>
    <w:rsid w:val="00D14A0D"/>
    <w:rsid w:val="00D14CC7"/>
    <w:rsid w:val="00D14E29"/>
    <w:rsid w:val="00D14F32"/>
    <w:rsid w:val="00D1511E"/>
    <w:rsid w:val="00D15260"/>
    <w:rsid w:val="00D1528A"/>
    <w:rsid w:val="00D1528F"/>
    <w:rsid w:val="00D155CD"/>
    <w:rsid w:val="00D15725"/>
    <w:rsid w:val="00D157CF"/>
    <w:rsid w:val="00D15851"/>
    <w:rsid w:val="00D1598D"/>
    <w:rsid w:val="00D15C5E"/>
    <w:rsid w:val="00D15C74"/>
    <w:rsid w:val="00D15DCA"/>
    <w:rsid w:val="00D15E7F"/>
    <w:rsid w:val="00D15EBC"/>
    <w:rsid w:val="00D15FC7"/>
    <w:rsid w:val="00D1603A"/>
    <w:rsid w:val="00D164DD"/>
    <w:rsid w:val="00D16537"/>
    <w:rsid w:val="00D166C0"/>
    <w:rsid w:val="00D16730"/>
    <w:rsid w:val="00D167A9"/>
    <w:rsid w:val="00D16808"/>
    <w:rsid w:val="00D16C02"/>
    <w:rsid w:val="00D16C08"/>
    <w:rsid w:val="00D16ED4"/>
    <w:rsid w:val="00D1710F"/>
    <w:rsid w:val="00D17138"/>
    <w:rsid w:val="00D17176"/>
    <w:rsid w:val="00D172B0"/>
    <w:rsid w:val="00D175B6"/>
    <w:rsid w:val="00D17926"/>
    <w:rsid w:val="00D17A6C"/>
    <w:rsid w:val="00D17DDA"/>
    <w:rsid w:val="00D17E2C"/>
    <w:rsid w:val="00D17E94"/>
    <w:rsid w:val="00D17F00"/>
    <w:rsid w:val="00D17F9C"/>
    <w:rsid w:val="00D20048"/>
    <w:rsid w:val="00D200A6"/>
    <w:rsid w:val="00D201D5"/>
    <w:rsid w:val="00D202DA"/>
    <w:rsid w:val="00D20541"/>
    <w:rsid w:val="00D2071C"/>
    <w:rsid w:val="00D20B31"/>
    <w:rsid w:val="00D20B37"/>
    <w:rsid w:val="00D20DD8"/>
    <w:rsid w:val="00D20F7A"/>
    <w:rsid w:val="00D2105B"/>
    <w:rsid w:val="00D2119A"/>
    <w:rsid w:val="00D21352"/>
    <w:rsid w:val="00D21378"/>
    <w:rsid w:val="00D21463"/>
    <w:rsid w:val="00D21631"/>
    <w:rsid w:val="00D216E0"/>
    <w:rsid w:val="00D2175A"/>
    <w:rsid w:val="00D217CF"/>
    <w:rsid w:val="00D2183D"/>
    <w:rsid w:val="00D218F3"/>
    <w:rsid w:val="00D21C4E"/>
    <w:rsid w:val="00D21CC3"/>
    <w:rsid w:val="00D21DA9"/>
    <w:rsid w:val="00D21DCB"/>
    <w:rsid w:val="00D2201C"/>
    <w:rsid w:val="00D2203D"/>
    <w:rsid w:val="00D221CC"/>
    <w:rsid w:val="00D22227"/>
    <w:rsid w:val="00D2224B"/>
    <w:rsid w:val="00D222BE"/>
    <w:rsid w:val="00D22326"/>
    <w:rsid w:val="00D2240A"/>
    <w:rsid w:val="00D224A5"/>
    <w:rsid w:val="00D22523"/>
    <w:rsid w:val="00D22715"/>
    <w:rsid w:val="00D22734"/>
    <w:rsid w:val="00D227F5"/>
    <w:rsid w:val="00D22A65"/>
    <w:rsid w:val="00D22CA4"/>
    <w:rsid w:val="00D230DE"/>
    <w:rsid w:val="00D23132"/>
    <w:rsid w:val="00D231F2"/>
    <w:rsid w:val="00D23317"/>
    <w:rsid w:val="00D2333B"/>
    <w:rsid w:val="00D235A1"/>
    <w:rsid w:val="00D237FF"/>
    <w:rsid w:val="00D2397B"/>
    <w:rsid w:val="00D2399C"/>
    <w:rsid w:val="00D23A35"/>
    <w:rsid w:val="00D23BB2"/>
    <w:rsid w:val="00D23DDE"/>
    <w:rsid w:val="00D24080"/>
    <w:rsid w:val="00D240A5"/>
    <w:rsid w:val="00D24253"/>
    <w:rsid w:val="00D244E1"/>
    <w:rsid w:val="00D2450E"/>
    <w:rsid w:val="00D24659"/>
    <w:rsid w:val="00D24839"/>
    <w:rsid w:val="00D2484E"/>
    <w:rsid w:val="00D24907"/>
    <w:rsid w:val="00D24978"/>
    <w:rsid w:val="00D24C4B"/>
    <w:rsid w:val="00D24F57"/>
    <w:rsid w:val="00D24FA4"/>
    <w:rsid w:val="00D25002"/>
    <w:rsid w:val="00D25066"/>
    <w:rsid w:val="00D25520"/>
    <w:rsid w:val="00D25543"/>
    <w:rsid w:val="00D25556"/>
    <w:rsid w:val="00D25635"/>
    <w:rsid w:val="00D259FA"/>
    <w:rsid w:val="00D25A66"/>
    <w:rsid w:val="00D25C4A"/>
    <w:rsid w:val="00D25CF8"/>
    <w:rsid w:val="00D25D66"/>
    <w:rsid w:val="00D25E0C"/>
    <w:rsid w:val="00D25ECB"/>
    <w:rsid w:val="00D25EE2"/>
    <w:rsid w:val="00D25EFE"/>
    <w:rsid w:val="00D25F00"/>
    <w:rsid w:val="00D25F1F"/>
    <w:rsid w:val="00D25F49"/>
    <w:rsid w:val="00D26023"/>
    <w:rsid w:val="00D26159"/>
    <w:rsid w:val="00D2625A"/>
    <w:rsid w:val="00D2646F"/>
    <w:rsid w:val="00D26663"/>
    <w:rsid w:val="00D26665"/>
    <w:rsid w:val="00D2670C"/>
    <w:rsid w:val="00D26723"/>
    <w:rsid w:val="00D268A5"/>
    <w:rsid w:val="00D2694A"/>
    <w:rsid w:val="00D2696F"/>
    <w:rsid w:val="00D26A96"/>
    <w:rsid w:val="00D26E17"/>
    <w:rsid w:val="00D270C0"/>
    <w:rsid w:val="00D27184"/>
    <w:rsid w:val="00D2719B"/>
    <w:rsid w:val="00D271E0"/>
    <w:rsid w:val="00D2726F"/>
    <w:rsid w:val="00D27459"/>
    <w:rsid w:val="00D27BBC"/>
    <w:rsid w:val="00D27EA5"/>
    <w:rsid w:val="00D27ECC"/>
    <w:rsid w:val="00D27F24"/>
    <w:rsid w:val="00D3003A"/>
    <w:rsid w:val="00D30090"/>
    <w:rsid w:val="00D30169"/>
    <w:rsid w:val="00D30903"/>
    <w:rsid w:val="00D309F1"/>
    <w:rsid w:val="00D30E95"/>
    <w:rsid w:val="00D30EEB"/>
    <w:rsid w:val="00D30F00"/>
    <w:rsid w:val="00D30FDE"/>
    <w:rsid w:val="00D31215"/>
    <w:rsid w:val="00D312D8"/>
    <w:rsid w:val="00D313C1"/>
    <w:rsid w:val="00D316A7"/>
    <w:rsid w:val="00D31C1C"/>
    <w:rsid w:val="00D31D14"/>
    <w:rsid w:val="00D31DA6"/>
    <w:rsid w:val="00D31DDE"/>
    <w:rsid w:val="00D3215F"/>
    <w:rsid w:val="00D32253"/>
    <w:rsid w:val="00D322AC"/>
    <w:rsid w:val="00D322F4"/>
    <w:rsid w:val="00D32593"/>
    <w:rsid w:val="00D32A25"/>
    <w:rsid w:val="00D32D5A"/>
    <w:rsid w:val="00D32E66"/>
    <w:rsid w:val="00D32FCE"/>
    <w:rsid w:val="00D33035"/>
    <w:rsid w:val="00D33121"/>
    <w:rsid w:val="00D331FF"/>
    <w:rsid w:val="00D332CB"/>
    <w:rsid w:val="00D3332E"/>
    <w:rsid w:val="00D336C4"/>
    <w:rsid w:val="00D33894"/>
    <w:rsid w:val="00D339D7"/>
    <w:rsid w:val="00D33A56"/>
    <w:rsid w:val="00D33A90"/>
    <w:rsid w:val="00D33A96"/>
    <w:rsid w:val="00D33B12"/>
    <w:rsid w:val="00D33D1A"/>
    <w:rsid w:val="00D33D97"/>
    <w:rsid w:val="00D340F7"/>
    <w:rsid w:val="00D342B9"/>
    <w:rsid w:val="00D34715"/>
    <w:rsid w:val="00D3479E"/>
    <w:rsid w:val="00D348A1"/>
    <w:rsid w:val="00D34AB0"/>
    <w:rsid w:val="00D34C03"/>
    <w:rsid w:val="00D34E5A"/>
    <w:rsid w:val="00D35001"/>
    <w:rsid w:val="00D35073"/>
    <w:rsid w:val="00D353B9"/>
    <w:rsid w:val="00D35484"/>
    <w:rsid w:val="00D3587B"/>
    <w:rsid w:val="00D3589C"/>
    <w:rsid w:val="00D358B9"/>
    <w:rsid w:val="00D35A3D"/>
    <w:rsid w:val="00D35B39"/>
    <w:rsid w:val="00D35B7C"/>
    <w:rsid w:val="00D35D0D"/>
    <w:rsid w:val="00D35D45"/>
    <w:rsid w:val="00D35D6A"/>
    <w:rsid w:val="00D35DB6"/>
    <w:rsid w:val="00D35DDC"/>
    <w:rsid w:val="00D35ECB"/>
    <w:rsid w:val="00D35ED1"/>
    <w:rsid w:val="00D36166"/>
    <w:rsid w:val="00D36261"/>
    <w:rsid w:val="00D363AF"/>
    <w:rsid w:val="00D364D5"/>
    <w:rsid w:val="00D3653C"/>
    <w:rsid w:val="00D367B5"/>
    <w:rsid w:val="00D367DC"/>
    <w:rsid w:val="00D368B6"/>
    <w:rsid w:val="00D36990"/>
    <w:rsid w:val="00D369D8"/>
    <w:rsid w:val="00D36BA7"/>
    <w:rsid w:val="00D36C00"/>
    <w:rsid w:val="00D36C96"/>
    <w:rsid w:val="00D36CEB"/>
    <w:rsid w:val="00D37165"/>
    <w:rsid w:val="00D37174"/>
    <w:rsid w:val="00D37504"/>
    <w:rsid w:val="00D37654"/>
    <w:rsid w:val="00D3795D"/>
    <w:rsid w:val="00D37AE0"/>
    <w:rsid w:val="00D37B49"/>
    <w:rsid w:val="00D37BDD"/>
    <w:rsid w:val="00D37C36"/>
    <w:rsid w:val="00D37C3F"/>
    <w:rsid w:val="00D37C5D"/>
    <w:rsid w:val="00D37D68"/>
    <w:rsid w:val="00D37DE5"/>
    <w:rsid w:val="00D37E74"/>
    <w:rsid w:val="00D37F16"/>
    <w:rsid w:val="00D40352"/>
    <w:rsid w:val="00D4049F"/>
    <w:rsid w:val="00D404A1"/>
    <w:rsid w:val="00D404FC"/>
    <w:rsid w:val="00D4051B"/>
    <w:rsid w:val="00D40952"/>
    <w:rsid w:val="00D40A5E"/>
    <w:rsid w:val="00D40C04"/>
    <w:rsid w:val="00D40D58"/>
    <w:rsid w:val="00D40D9D"/>
    <w:rsid w:val="00D411C7"/>
    <w:rsid w:val="00D4121E"/>
    <w:rsid w:val="00D41441"/>
    <w:rsid w:val="00D4147B"/>
    <w:rsid w:val="00D41507"/>
    <w:rsid w:val="00D417E1"/>
    <w:rsid w:val="00D41861"/>
    <w:rsid w:val="00D41AF4"/>
    <w:rsid w:val="00D41B06"/>
    <w:rsid w:val="00D41C83"/>
    <w:rsid w:val="00D41CE2"/>
    <w:rsid w:val="00D41DC9"/>
    <w:rsid w:val="00D41E6B"/>
    <w:rsid w:val="00D42065"/>
    <w:rsid w:val="00D42088"/>
    <w:rsid w:val="00D4226A"/>
    <w:rsid w:val="00D426D6"/>
    <w:rsid w:val="00D42730"/>
    <w:rsid w:val="00D428AC"/>
    <w:rsid w:val="00D42EB2"/>
    <w:rsid w:val="00D42F2C"/>
    <w:rsid w:val="00D42FC7"/>
    <w:rsid w:val="00D42FD5"/>
    <w:rsid w:val="00D43146"/>
    <w:rsid w:val="00D43325"/>
    <w:rsid w:val="00D435CA"/>
    <w:rsid w:val="00D4367D"/>
    <w:rsid w:val="00D43761"/>
    <w:rsid w:val="00D43798"/>
    <w:rsid w:val="00D437D5"/>
    <w:rsid w:val="00D437DE"/>
    <w:rsid w:val="00D43B00"/>
    <w:rsid w:val="00D43CDE"/>
    <w:rsid w:val="00D43EB4"/>
    <w:rsid w:val="00D44030"/>
    <w:rsid w:val="00D440ED"/>
    <w:rsid w:val="00D44347"/>
    <w:rsid w:val="00D443F0"/>
    <w:rsid w:val="00D4440D"/>
    <w:rsid w:val="00D4453C"/>
    <w:rsid w:val="00D4464E"/>
    <w:rsid w:val="00D446AC"/>
    <w:rsid w:val="00D4488F"/>
    <w:rsid w:val="00D4492C"/>
    <w:rsid w:val="00D44AA8"/>
    <w:rsid w:val="00D44B59"/>
    <w:rsid w:val="00D44E79"/>
    <w:rsid w:val="00D44E7A"/>
    <w:rsid w:val="00D453E4"/>
    <w:rsid w:val="00D454D8"/>
    <w:rsid w:val="00D4564A"/>
    <w:rsid w:val="00D4576B"/>
    <w:rsid w:val="00D4591A"/>
    <w:rsid w:val="00D45967"/>
    <w:rsid w:val="00D4596C"/>
    <w:rsid w:val="00D45A03"/>
    <w:rsid w:val="00D45A26"/>
    <w:rsid w:val="00D45A49"/>
    <w:rsid w:val="00D45A6F"/>
    <w:rsid w:val="00D45AF3"/>
    <w:rsid w:val="00D45C59"/>
    <w:rsid w:val="00D45E3C"/>
    <w:rsid w:val="00D46053"/>
    <w:rsid w:val="00D460DD"/>
    <w:rsid w:val="00D462E3"/>
    <w:rsid w:val="00D467E1"/>
    <w:rsid w:val="00D4681C"/>
    <w:rsid w:val="00D46879"/>
    <w:rsid w:val="00D46891"/>
    <w:rsid w:val="00D469F7"/>
    <w:rsid w:val="00D46D46"/>
    <w:rsid w:val="00D46D8B"/>
    <w:rsid w:val="00D47247"/>
    <w:rsid w:val="00D4724D"/>
    <w:rsid w:val="00D47313"/>
    <w:rsid w:val="00D4746C"/>
    <w:rsid w:val="00D47689"/>
    <w:rsid w:val="00D4785B"/>
    <w:rsid w:val="00D478E4"/>
    <w:rsid w:val="00D479FD"/>
    <w:rsid w:val="00D47A50"/>
    <w:rsid w:val="00D47BA8"/>
    <w:rsid w:val="00D47F8A"/>
    <w:rsid w:val="00D47FA4"/>
    <w:rsid w:val="00D50098"/>
    <w:rsid w:val="00D5011A"/>
    <w:rsid w:val="00D50232"/>
    <w:rsid w:val="00D504E9"/>
    <w:rsid w:val="00D508BC"/>
    <w:rsid w:val="00D508F8"/>
    <w:rsid w:val="00D50CC7"/>
    <w:rsid w:val="00D50EA6"/>
    <w:rsid w:val="00D50F74"/>
    <w:rsid w:val="00D5110B"/>
    <w:rsid w:val="00D51165"/>
    <w:rsid w:val="00D511C3"/>
    <w:rsid w:val="00D511CE"/>
    <w:rsid w:val="00D51294"/>
    <w:rsid w:val="00D513DD"/>
    <w:rsid w:val="00D514C1"/>
    <w:rsid w:val="00D515C4"/>
    <w:rsid w:val="00D51B2F"/>
    <w:rsid w:val="00D51B5D"/>
    <w:rsid w:val="00D51B64"/>
    <w:rsid w:val="00D51C59"/>
    <w:rsid w:val="00D51D2F"/>
    <w:rsid w:val="00D51E38"/>
    <w:rsid w:val="00D52278"/>
    <w:rsid w:val="00D52385"/>
    <w:rsid w:val="00D52525"/>
    <w:rsid w:val="00D5261F"/>
    <w:rsid w:val="00D527A8"/>
    <w:rsid w:val="00D52892"/>
    <w:rsid w:val="00D52A1F"/>
    <w:rsid w:val="00D52A79"/>
    <w:rsid w:val="00D52B3C"/>
    <w:rsid w:val="00D52BBC"/>
    <w:rsid w:val="00D52BF0"/>
    <w:rsid w:val="00D52D30"/>
    <w:rsid w:val="00D52DBB"/>
    <w:rsid w:val="00D52E55"/>
    <w:rsid w:val="00D52F7C"/>
    <w:rsid w:val="00D52F8E"/>
    <w:rsid w:val="00D53012"/>
    <w:rsid w:val="00D532A2"/>
    <w:rsid w:val="00D53326"/>
    <w:rsid w:val="00D533F4"/>
    <w:rsid w:val="00D5341A"/>
    <w:rsid w:val="00D5349D"/>
    <w:rsid w:val="00D535DB"/>
    <w:rsid w:val="00D5367C"/>
    <w:rsid w:val="00D53749"/>
    <w:rsid w:val="00D53855"/>
    <w:rsid w:val="00D53A5D"/>
    <w:rsid w:val="00D53AE3"/>
    <w:rsid w:val="00D53EAB"/>
    <w:rsid w:val="00D53FD5"/>
    <w:rsid w:val="00D5416B"/>
    <w:rsid w:val="00D54477"/>
    <w:rsid w:val="00D54822"/>
    <w:rsid w:val="00D54909"/>
    <w:rsid w:val="00D54967"/>
    <w:rsid w:val="00D549F2"/>
    <w:rsid w:val="00D54B10"/>
    <w:rsid w:val="00D54B33"/>
    <w:rsid w:val="00D54E14"/>
    <w:rsid w:val="00D54F5D"/>
    <w:rsid w:val="00D54FDD"/>
    <w:rsid w:val="00D551CD"/>
    <w:rsid w:val="00D5540B"/>
    <w:rsid w:val="00D55417"/>
    <w:rsid w:val="00D55744"/>
    <w:rsid w:val="00D55A55"/>
    <w:rsid w:val="00D55A97"/>
    <w:rsid w:val="00D55E51"/>
    <w:rsid w:val="00D55F0A"/>
    <w:rsid w:val="00D560CA"/>
    <w:rsid w:val="00D56114"/>
    <w:rsid w:val="00D5622F"/>
    <w:rsid w:val="00D56275"/>
    <w:rsid w:val="00D56329"/>
    <w:rsid w:val="00D563DD"/>
    <w:rsid w:val="00D5655B"/>
    <w:rsid w:val="00D567DC"/>
    <w:rsid w:val="00D5687D"/>
    <w:rsid w:val="00D56A3E"/>
    <w:rsid w:val="00D56B96"/>
    <w:rsid w:val="00D571C6"/>
    <w:rsid w:val="00D5741E"/>
    <w:rsid w:val="00D57816"/>
    <w:rsid w:val="00D57823"/>
    <w:rsid w:val="00D57893"/>
    <w:rsid w:val="00D57956"/>
    <w:rsid w:val="00D579BC"/>
    <w:rsid w:val="00D57B5A"/>
    <w:rsid w:val="00D57B9E"/>
    <w:rsid w:val="00D57C62"/>
    <w:rsid w:val="00D57CC6"/>
    <w:rsid w:val="00D57E08"/>
    <w:rsid w:val="00D57E1D"/>
    <w:rsid w:val="00D57F02"/>
    <w:rsid w:val="00D57FA5"/>
    <w:rsid w:val="00D6033A"/>
    <w:rsid w:val="00D6053C"/>
    <w:rsid w:val="00D60674"/>
    <w:rsid w:val="00D60700"/>
    <w:rsid w:val="00D607D5"/>
    <w:rsid w:val="00D60865"/>
    <w:rsid w:val="00D609BD"/>
    <w:rsid w:val="00D60BB2"/>
    <w:rsid w:val="00D60CAE"/>
    <w:rsid w:val="00D60FAB"/>
    <w:rsid w:val="00D61094"/>
    <w:rsid w:val="00D610DE"/>
    <w:rsid w:val="00D61172"/>
    <w:rsid w:val="00D6126E"/>
    <w:rsid w:val="00D6143B"/>
    <w:rsid w:val="00D614FA"/>
    <w:rsid w:val="00D61615"/>
    <w:rsid w:val="00D61659"/>
    <w:rsid w:val="00D616DC"/>
    <w:rsid w:val="00D617AC"/>
    <w:rsid w:val="00D617CF"/>
    <w:rsid w:val="00D61BE9"/>
    <w:rsid w:val="00D61F57"/>
    <w:rsid w:val="00D62392"/>
    <w:rsid w:val="00D62438"/>
    <w:rsid w:val="00D62547"/>
    <w:rsid w:val="00D6269C"/>
    <w:rsid w:val="00D627FB"/>
    <w:rsid w:val="00D6289E"/>
    <w:rsid w:val="00D628F4"/>
    <w:rsid w:val="00D6290A"/>
    <w:rsid w:val="00D62911"/>
    <w:rsid w:val="00D62A30"/>
    <w:rsid w:val="00D62A59"/>
    <w:rsid w:val="00D62B8B"/>
    <w:rsid w:val="00D62BF1"/>
    <w:rsid w:val="00D62C2F"/>
    <w:rsid w:val="00D62DB1"/>
    <w:rsid w:val="00D62DC7"/>
    <w:rsid w:val="00D62E23"/>
    <w:rsid w:val="00D6331A"/>
    <w:rsid w:val="00D6369B"/>
    <w:rsid w:val="00D638BA"/>
    <w:rsid w:val="00D6394E"/>
    <w:rsid w:val="00D63CC1"/>
    <w:rsid w:val="00D63EFD"/>
    <w:rsid w:val="00D63F70"/>
    <w:rsid w:val="00D63F77"/>
    <w:rsid w:val="00D64110"/>
    <w:rsid w:val="00D6417F"/>
    <w:rsid w:val="00D643B9"/>
    <w:rsid w:val="00D644E5"/>
    <w:rsid w:val="00D64924"/>
    <w:rsid w:val="00D64A04"/>
    <w:rsid w:val="00D64AD8"/>
    <w:rsid w:val="00D64AEC"/>
    <w:rsid w:val="00D64B0C"/>
    <w:rsid w:val="00D64EDA"/>
    <w:rsid w:val="00D651B9"/>
    <w:rsid w:val="00D6522F"/>
    <w:rsid w:val="00D6541B"/>
    <w:rsid w:val="00D654CE"/>
    <w:rsid w:val="00D655B4"/>
    <w:rsid w:val="00D6562D"/>
    <w:rsid w:val="00D65660"/>
    <w:rsid w:val="00D656CA"/>
    <w:rsid w:val="00D6578B"/>
    <w:rsid w:val="00D65803"/>
    <w:rsid w:val="00D65D19"/>
    <w:rsid w:val="00D65E27"/>
    <w:rsid w:val="00D65EEB"/>
    <w:rsid w:val="00D65FE9"/>
    <w:rsid w:val="00D66126"/>
    <w:rsid w:val="00D662A3"/>
    <w:rsid w:val="00D662AA"/>
    <w:rsid w:val="00D663AF"/>
    <w:rsid w:val="00D664C2"/>
    <w:rsid w:val="00D665CC"/>
    <w:rsid w:val="00D6665A"/>
    <w:rsid w:val="00D66778"/>
    <w:rsid w:val="00D66783"/>
    <w:rsid w:val="00D66890"/>
    <w:rsid w:val="00D6694F"/>
    <w:rsid w:val="00D66CE6"/>
    <w:rsid w:val="00D66D98"/>
    <w:rsid w:val="00D66E59"/>
    <w:rsid w:val="00D66EC9"/>
    <w:rsid w:val="00D66F51"/>
    <w:rsid w:val="00D66FC6"/>
    <w:rsid w:val="00D670E7"/>
    <w:rsid w:val="00D6718E"/>
    <w:rsid w:val="00D671D8"/>
    <w:rsid w:val="00D6742A"/>
    <w:rsid w:val="00D6759F"/>
    <w:rsid w:val="00D67A6E"/>
    <w:rsid w:val="00D67A95"/>
    <w:rsid w:val="00D67B5D"/>
    <w:rsid w:val="00D70073"/>
    <w:rsid w:val="00D7010E"/>
    <w:rsid w:val="00D701B1"/>
    <w:rsid w:val="00D7039C"/>
    <w:rsid w:val="00D704B2"/>
    <w:rsid w:val="00D70548"/>
    <w:rsid w:val="00D7063F"/>
    <w:rsid w:val="00D7068D"/>
    <w:rsid w:val="00D706D6"/>
    <w:rsid w:val="00D70717"/>
    <w:rsid w:val="00D70766"/>
    <w:rsid w:val="00D70823"/>
    <w:rsid w:val="00D70825"/>
    <w:rsid w:val="00D70CD7"/>
    <w:rsid w:val="00D70E03"/>
    <w:rsid w:val="00D70FCD"/>
    <w:rsid w:val="00D70FFD"/>
    <w:rsid w:val="00D7106C"/>
    <w:rsid w:val="00D710FE"/>
    <w:rsid w:val="00D711C2"/>
    <w:rsid w:val="00D71681"/>
    <w:rsid w:val="00D7171B"/>
    <w:rsid w:val="00D7179F"/>
    <w:rsid w:val="00D718A2"/>
    <w:rsid w:val="00D719CB"/>
    <w:rsid w:val="00D71AE3"/>
    <w:rsid w:val="00D71DE7"/>
    <w:rsid w:val="00D71E54"/>
    <w:rsid w:val="00D72114"/>
    <w:rsid w:val="00D72181"/>
    <w:rsid w:val="00D72374"/>
    <w:rsid w:val="00D7243C"/>
    <w:rsid w:val="00D7286F"/>
    <w:rsid w:val="00D7295A"/>
    <w:rsid w:val="00D7296B"/>
    <w:rsid w:val="00D72977"/>
    <w:rsid w:val="00D72A11"/>
    <w:rsid w:val="00D72C34"/>
    <w:rsid w:val="00D72D8A"/>
    <w:rsid w:val="00D72EE0"/>
    <w:rsid w:val="00D72F10"/>
    <w:rsid w:val="00D73061"/>
    <w:rsid w:val="00D73074"/>
    <w:rsid w:val="00D7348C"/>
    <w:rsid w:val="00D734A9"/>
    <w:rsid w:val="00D735AD"/>
    <w:rsid w:val="00D73699"/>
    <w:rsid w:val="00D736A8"/>
    <w:rsid w:val="00D73771"/>
    <w:rsid w:val="00D73843"/>
    <w:rsid w:val="00D7386C"/>
    <w:rsid w:val="00D73AFA"/>
    <w:rsid w:val="00D73D35"/>
    <w:rsid w:val="00D73E20"/>
    <w:rsid w:val="00D73E34"/>
    <w:rsid w:val="00D73E50"/>
    <w:rsid w:val="00D73F81"/>
    <w:rsid w:val="00D7406F"/>
    <w:rsid w:val="00D74105"/>
    <w:rsid w:val="00D742E3"/>
    <w:rsid w:val="00D74591"/>
    <w:rsid w:val="00D747F2"/>
    <w:rsid w:val="00D74AEA"/>
    <w:rsid w:val="00D74B2A"/>
    <w:rsid w:val="00D74B8C"/>
    <w:rsid w:val="00D74BAF"/>
    <w:rsid w:val="00D74C3C"/>
    <w:rsid w:val="00D74C94"/>
    <w:rsid w:val="00D74DEC"/>
    <w:rsid w:val="00D74EFC"/>
    <w:rsid w:val="00D74F4D"/>
    <w:rsid w:val="00D74F75"/>
    <w:rsid w:val="00D75074"/>
    <w:rsid w:val="00D7527E"/>
    <w:rsid w:val="00D75371"/>
    <w:rsid w:val="00D75413"/>
    <w:rsid w:val="00D7568A"/>
    <w:rsid w:val="00D757D4"/>
    <w:rsid w:val="00D7585E"/>
    <w:rsid w:val="00D75871"/>
    <w:rsid w:val="00D758BC"/>
    <w:rsid w:val="00D758DE"/>
    <w:rsid w:val="00D75CCD"/>
    <w:rsid w:val="00D75DDD"/>
    <w:rsid w:val="00D75EDB"/>
    <w:rsid w:val="00D75F5D"/>
    <w:rsid w:val="00D75F67"/>
    <w:rsid w:val="00D760A0"/>
    <w:rsid w:val="00D76129"/>
    <w:rsid w:val="00D76216"/>
    <w:rsid w:val="00D763A5"/>
    <w:rsid w:val="00D76455"/>
    <w:rsid w:val="00D7655F"/>
    <w:rsid w:val="00D768E5"/>
    <w:rsid w:val="00D7695B"/>
    <w:rsid w:val="00D76C5D"/>
    <w:rsid w:val="00D76D1C"/>
    <w:rsid w:val="00D76D4F"/>
    <w:rsid w:val="00D77060"/>
    <w:rsid w:val="00D77453"/>
    <w:rsid w:val="00D77556"/>
    <w:rsid w:val="00D775F4"/>
    <w:rsid w:val="00D77707"/>
    <w:rsid w:val="00D77967"/>
    <w:rsid w:val="00D77B95"/>
    <w:rsid w:val="00D77C9D"/>
    <w:rsid w:val="00D77D0E"/>
    <w:rsid w:val="00D77DBA"/>
    <w:rsid w:val="00D77DCC"/>
    <w:rsid w:val="00D77F3D"/>
    <w:rsid w:val="00D77FC6"/>
    <w:rsid w:val="00D80096"/>
    <w:rsid w:val="00D80109"/>
    <w:rsid w:val="00D80255"/>
    <w:rsid w:val="00D8028A"/>
    <w:rsid w:val="00D803F9"/>
    <w:rsid w:val="00D804EF"/>
    <w:rsid w:val="00D80501"/>
    <w:rsid w:val="00D8061A"/>
    <w:rsid w:val="00D80627"/>
    <w:rsid w:val="00D807D4"/>
    <w:rsid w:val="00D809D2"/>
    <w:rsid w:val="00D80B0A"/>
    <w:rsid w:val="00D80B2C"/>
    <w:rsid w:val="00D80C5C"/>
    <w:rsid w:val="00D80D59"/>
    <w:rsid w:val="00D80DB3"/>
    <w:rsid w:val="00D80E8C"/>
    <w:rsid w:val="00D81353"/>
    <w:rsid w:val="00D81391"/>
    <w:rsid w:val="00D815A9"/>
    <w:rsid w:val="00D81634"/>
    <w:rsid w:val="00D81785"/>
    <w:rsid w:val="00D81835"/>
    <w:rsid w:val="00D8194E"/>
    <w:rsid w:val="00D8198E"/>
    <w:rsid w:val="00D81B4A"/>
    <w:rsid w:val="00D81BDA"/>
    <w:rsid w:val="00D81C16"/>
    <w:rsid w:val="00D81D77"/>
    <w:rsid w:val="00D81EAD"/>
    <w:rsid w:val="00D81ED0"/>
    <w:rsid w:val="00D81F0B"/>
    <w:rsid w:val="00D81F37"/>
    <w:rsid w:val="00D820C1"/>
    <w:rsid w:val="00D82313"/>
    <w:rsid w:val="00D824E2"/>
    <w:rsid w:val="00D82633"/>
    <w:rsid w:val="00D827AC"/>
    <w:rsid w:val="00D82990"/>
    <w:rsid w:val="00D82A1A"/>
    <w:rsid w:val="00D82B7C"/>
    <w:rsid w:val="00D82CB8"/>
    <w:rsid w:val="00D82D81"/>
    <w:rsid w:val="00D82DD9"/>
    <w:rsid w:val="00D82E71"/>
    <w:rsid w:val="00D831A8"/>
    <w:rsid w:val="00D836B7"/>
    <w:rsid w:val="00D8387E"/>
    <w:rsid w:val="00D83999"/>
    <w:rsid w:val="00D83BC0"/>
    <w:rsid w:val="00D83F86"/>
    <w:rsid w:val="00D8408D"/>
    <w:rsid w:val="00D84125"/>
    <w:rsid w:val="00D8421B"/>
    <w:rsid w:val="00D84319"/>
    <w:rsid w:val="00D8448C"/>
    <w:rsid w:val="00D844E5"/>
    <w:rsid w:val="00D844F9"/>
    <w:rsid w:val="00D845A2"/>
    <w:rsid w:val="00D84738"/>
    <w:rsid w:val="00D848B7"/>
    <w:rsid w:val="00D8495E"/>
    <w:rsid w:val="00D849A1"/>
    <w:rsid w:val="00D84A07"/>
    <w:rsid w:val="00D84C6F"/>
    <w:rsid w:val="00D84DA8"/>
    <w:rsid w:val="00D85087"/>
    <w:rsid w:val="00D8519D"/>
    <w:rsid w:val="00D851D7"/>
    <w:rsid w:val="00D8526E"/>
    <w:rsid w:val="00D852D7"/>
    <w:rsid w:val="00D85355"/>
    <w:rsid w:val="00D8572F"/>
    <w:rsid w:val="00D85787"/>
    <w:rsid w:val="00D85848"/>
    <w:rsid w:val="00D85A65"/>
    <w:rsid w:val="00D85AFA"/>
    <w:rsid w:val="00D85C12"/>
    <w:rsid w:val="00D85C39"/>
    <w:rsid w:val="00D85C59"/>
    <w:rsid w:val="00D85D71"/>
    <w:rsid w:val="00D86003"/>
    <w:rsid w:val="00D860F0"/>
    <w:rsid w:val="00D86149"/>
    <w:rsid w:val="00D861C8"/>
    <w:rsid w:val="00D86282"/>
    <w:rsid w:val="00D862E9"/>
    <w:rsid w:val="00D8631A"/>
    <w:rsid w:val="00D86320"/>
    <w:rsid w:val="00D864E0"/>
    <w:rsid w:val="00D86589"/>
    <w:rsid w:val="00D86673"/>
    <w:rsid w:val="00D8669F"/>
    <w:rsid w:val="00D866CE"/>
    <w:rsid w:val="00D868EC"/>
    <w:rsid w:val="00D8695F"/>
    <w:rsid w:val="00D86AE4"/>
    <w:rsid w:val="00D86B96"/>
    <w:rsid w:val="00D86BB8"/>
    <w:rsid w:val="00D86BEA"/>
    <w:rsid w:val="00D86DBF"/>
    <w:rsid w:val="00D86EE2"/>
    <w:rsid w:val="00D86EE8"/>
    <w:rsid w:val="00D86F6A"/>
    <w:rsid w:val="00D87184"/>
    <w:rsid w:val="00D87188"/>
    <w:rsid w:val="00D872F2"/>
    <w:rsid w:val="00D874E6"/>
    <w:rsid w:val="00D874F9"/>
    <w:rsid w:val="00D8782C"/>
    <w:rsid w:val="00D8784B"/>
    <w:rsid w:val="00D87881"/>
    <w:rsid w:val="00D87B8F"/>
    <w:rsid w:val="00D87D0B"/>
    <w:rsid w:val="00D87D67"/>
    <w:rsid w:val="00D87EEF"/>
    <w:rsid w:val="00D87F16"/>
    <w:rsid w:val="00D87F63"/>
    <w:rsid w:val="00D87F90"/>
    <w:rsid w:val="00D9017B"/>
    <w:rsid w:val="00D90201"/>
    <w:rsid w:val="00D90306"/>
    <w:rsid w:val="00D90342"/>
    <w:rsid w:val="00D904B1"/>
    <w:rsid w:val="00D90795"/>
    <w:rsid w:val="00D907D9"/>
    <w:rsid w:val="00D90804"/>
    <w:rsid w:val="00D90857"/>
    <w:rsid w:val="00D9096B"/>
    <w:rsid w:val="00D90A72"/>
    <w:rsid w:val="00D90CA6"/>
    <w:rsid w:val="00D90FBE"/>
    <w:rsid w:val="00D91078"/>
    <w:rsid w:val="00D9133B"/>
    <w:rsid w:val="00D91845"/>
    <w:rsid w:val="00D91856"/>
    <w:rsid w:val="00D91964"/>
    <w:rsid w:val="00D91A37"/>
    <w:rsid w:val="00D91A59"/>
    <w:rsid w:val="00D91AD3"/>
    <w:rsid w:val="00D91C76"/>
    <w:rsid w:val="00D91F0C"/>
    <w:rsid w:val="00D9209F"/>
    <w:rsid w:val="00D92216"/>
    <w:rsid w:val="00D92238"/>
    <w:rsid w:val="00D92258"/>
    <w:rsid w:val="00D92359"/>
    <w:rsid w:val="00D923BF"/>
    <w:rsid w:val="00D925BA"/>
    <w:rsid w:val="00D925C0"/>
    <w:rsid w:val="00D9282A"/>
    <w:rsid w:val="00D928A1"/>
    <w:rsid w:val="00D92A36"/>
    <w:rsid w:val="00D92B72"/>
    <w:rsid w:val="00D92D26"/>
    <w:rsid w:val="00D92DE7"/>
    <w:rsid w:val="00D92DEF"/>
    <w:rsid w:val="00D92F2A"/>
    <w:rsid w:val="00D92FAE"/>
    <w:rsid w:val="00D92FF8"/>
    <w:rsid w:val="00D930B9"/>
    <w:rsid w:val="00D932AB"/>
    <w:rsid w:val="00D932BD"/>
    <w:rsid w:val="00D932F9"/>
    <w:rsid w:val="00D93388"/>
    <w:rsid w:val="00D93516"/>
    <w:rsid w:val="00D9358A"/>
    <w:rsid w:val="00D935C8"/>
    <w:rsid w:val="00D93910"/>
    <w:rsid w:val="00D93967"/>
    <w:rsid w:val="00D93A7D"/>
    <w:rsid w:val="00D93CC0"/>
    <w:rsid w:val="00D93CDC"/>
    <w:rsid w:val="00D93CFE"/>
    <w:rsid w:val="00D93D1C"/>
    <w:rsid w:val="00D93D51"/>
    <w:rsid w:val="00D94222"/>
    <w:rsid w:val="00D94382"/>
    <w:rsid w:val="00D94416"/>
    <w:rsid w:val="00D9482C"/>
    <w:rsid w:val="00D9488A"/>
    <w:rsid w:val="00D94950"/>
    <w:rsid w:val="00D94962"/>
    <w:rsid w:val="00D949A7"/>
    <w:rsid w:val="00D94D43"/>
    <w:rsid w:val="00D94D5D"/>
    <w:rsid w:val="00D94F1E"/>
    <w:rsid w:val="00D94FB8"/>
    <w:rsid w:val="00D950B7"/>
    <w:rsid w:val="00D950E7"/>
    <w:rsid w:val="00D952EE"/>
    <w:rsid w:val="00D952FB"/>
    <w:rsid w:val="00D9530B"/>
    <w:rsid w:val="00D95348"/>
    <w:rsid w:val="00D95444"/>
    <w:rsid w:val="00D95454"/>
    <w:rsid w:val="00D9548F"/>
    <w:rsid w:val="00D955AE"/>
    <w:rsid w:val="00D955BD"/>
    <w:rsid w:val="00D956EB"/>
    <w:rsid w:val="00D957EC"/>
    <w:rsid w:val="00D95995"/>
    <w:rsid w:val="00D95B77"/>
    <w:rsid w:val="00D96108"/>
    <w:rsid w:val="00D962C0"/>
    <w:rsid w:val="00D9646C"/>
    <w:rsid w:val="00D96528"/>
    <w:rsid w:val="00D966C2"/>
    <w:rsid w:val="00D9673C"/>
    <w:rsid w:val="00D967D0"/>
    <w:rsid w:val="00D96996"/>
    <w:rsid w:val="00D96ABD"/>
    <w:rsid w:val="00D96D1D"/>
    <w:rsid w:val="00D96E1B"/>
    <w:rsid w:val="00D96E68"/>
    <w:rsid w:val="00D9711F"/>
    <w:rsid w:val="00D971C9"/>
    <w:rsid w:val="00D97206"/>
    <w:rsid w:val="00D972F6"/>
    <w:rsid w:val="00D97371"/>
    <w:rsid w:val="00D973AC"/>
    <w:rsid w:val="00D97493"/>
    <w:rsid w:val="00D97652"/>
    <w:rsid w:val="00D9787A"/>
    <w:rsid w:val="00D979EE"/>
    <w:rsid w:val="00D97F46"/>
    <w:rsid w:val="00D97F6C"/>
    <w:rsid w:val="00DA0036"/>
    <w:rsid w:val="00DA003B"/>
    <w:rsid w:val="00DA0489"/>
    <w:rsid w:val="00DA04B0"/>
    <w:rsid w:val="00DA0508"/>
    <w:rsid w:val="00DA052D"/>
    <w:rsid w:val="00DA0660"/>
    <w:rsid w:val="00DA07D4"/>
    <w:rsid w:val="00DA0A09"/>
    <w:rsid w:val="00DA106C"/>
    <w:rsid w:val="00DA117D"/>
    <w:rsid w:val="00DA141E"/>
    <w:rsid w:val="00DA1479"/>
    <w:rsid w:val="00DA1582"/>
    <w:rsid w:val="00DA1789"/>
    <w:rsid w:val="00DA17AD"/>
    <w:rsid w:val="00DA19A0"/>
    <w:rsid w:val="00DA1A3D"/>
    <w:rsid w:val="00DA1A45"/>
    <w:rsid w:val="00DA1B2E"/>
    <w:rsid w:val="00DA1B67"/>
    <w:rsid w:val="00DA1C7A"/>
    <w:rsid w:val="00DA1D47"/>
    <w:rsid w:val="00DA1E83"/>
    <w:rsid w:val="00DA2067"/>
    <w:rsid w:val="00DA226C"/>
    <w:rsid w:val="00DA2506"/>
    <w:rsid w:val="00DA28B3"/>
    <w:rsid w:val="00DA295D"/>
    <w:rsid w:val="00DA2AAA"/>
    <w:rsid w:val="00DA2C15"/>
    <w:rsid w:val="00DA2C46"/>
    <w:rsid w:val="00DA2CAF"/>
    <w:rsid w:val="00DA2D83"/>
    <w:rsid w:val="00DA2F0E"/>
    <w:rsid w:val="00DA300D"/>
    <w:rsid w:val="00DA3049"/>
    <w:rsid w:val="00DA3141"/>
    <w:rsid w:val="00DA3201"/>
    <w:rsid w:val="00DA33E9"/>
    <w:rsid w:val="00DA3428"/>
    <w:rsid w:val="00DA34A7"/>
    <w:rsid w:val="00DA3635"/>
    <w:rsid w:val="00DA3867"/>
    <w:rsid w:val="00DA38C8"/>
    <w:rsid w:val="00DA3916"/>
    <w:rsid w:val="00DA39C3"/>
    <w:rsid w:val="00DA3BB3"/>
    <w:rsid w:val="00DA3C37"/>
    <w:rsid w:val="00DA3CEF"/>
    <w:rsid w:val="00DA3D78"/>
    <w:rsid w:val="00DA3DE2"/>
    <w:rsid w:val="00DA404C"/>
    <w:rsid w:val="00DA40AE"/>
    <w:rsid w:val="00DA44B0"/>
    <w:rsid w:val="00DA45CA"/>
    <w:rsid w:val="00DA469F"/>
    <w:rsid w:val="00DA46D9"/>
    <w:rsid w:val="00DA4701"/>
    <w:rsid w:val="00DA4737"/>
    <w:rsid w:val="00DA4817"/>
    <w:rsid w:val="00DA49CE"/>
    <w:rsid w:val="00DA4C22"/>
    <w:rsid w:val="00DA4D97"/>
    <w:rsid w:val="00DA4F4F"/>
    <w:rsid w:val="00DA4FA1"/>
    <w:rsid w:val="00DA527D"/>
    <w:rsid w:val="00DA5295"/>
    <w:rsid w:val="00DA5563"/>
    <w:rsid w:val="00DA58E0"/>
    <w:rsid w:val="00DA5D53"/>
    <w:rsid w:val="00DA5D54"/>
    <w:rsid w:val="00DA5EF9"/>
    <w:rsid w:val="00DA601D"/>
    <w:rsid w:val="00DA6385"/>
    <w:rsid w:val="00DA66BE"/>
    <w:rsid w:val="00DA68BD"/>
    <w:rsid w:val="00DA6A2A"/>
    <w:rsid w:val="00DA6B2C"/>
    <w:rsid w:val="00DA6B7C"/>
    <w:rsid w:val="00DA6C1C"/>
    <w:rsid w:val="00DA6CCE"/>
    <w:rsid w:val="00DA6E62"/>
    <w:rsid w:val="00DA6F82"/>
    <w:rsid w:val="00DA718B"/>
    <w:rsid w:val="00DA71B0"/>
    <w:rsid w:val="00DA724F"/>
    <w:rsid w:val="00DA73B8"/>
    <w:rsid w:val="00DA740F"/>
    <w:rsid w:val="00DA7462"/>
    <w:rsid w:val="00DA7633"/>
    <w:rsid w:val="00DA7692"/>
    <w:rsid w:val="00DA773B"/>
    <w:rsid w:val="00DA7787"/>
    <w:rsid w:val="00DA7A50"/>
    <w:rsid w:val="00DA7B96"/>
    <w:rsid w:val="00DA7F47"/>
    <w:rsid w:val="00DA7FB7"/>
    <w:rsid w:val="00DB006B"/>
    <w:rsid w:val="00DB01D4"/>
    <w:rsid w:val="00DB038A"/>
    <w:rsid w:val="00DB0454"/>
    <w:rsid w:val="00DB0707"/>
    <w:rsid w:val="00DB078B"/>
    <w:rsid w:val="00DB07F6"/>
    <w:rsid w:val="00DB0B25"/>
    <w:rsid w:val="00DB0D34"/>
    <w:rsid w:val="00DB0D49"/>
    <w:rsid w:val="00DB0D95"/>
    <w:rsid w:val="00DB0DB5"/>
    <w:rsid w:val="00DB0E54"/>
    <w:rsid w:val="00DB0FB3"/>
    <w:rsid w:val="00DB10C7"/>
    <w:rsid w:val="00DB12A5"/>
    <w:rsid w:val="00DB12B6"/>
    <w:rsid w:val="00DB133C"/>
    <w:rsid w:val="00DB143E"/>
    <w:rsid w:val="00DB170A"/>
    <w:rsid w:val="00DB17B7"/>
    <w:rsid w:val="00DB1920"/>
    <w:rsid w:val="00DB19ED"/>
    <w:rsid w:val="00DB1BFF"/>
    <w:rsid w:val="00DB1D34"/>
    <w:rsid w:val="00DB1EA5"/>
    <w:rsid w:val="00DB1FDC"/>
    <w:rsid w:val="00DB1FE9"/>
    <w:rsid w:val="00DB2256"/>
    <w:rsid w:val="00DB2382"/>
    <w:rsid w:val="00DB2616"/>
    <w:rsid w:val="00DB275A"/>
    <w:rsid w:val="00DB2797"/>
    <w:rsid w:val="00DB2B52"/>
    <w:rsid w:val="00DB2BEE"/>
    <w:rsid w:val="00DB2CAF"/>
    <w:rsid w:val="00DB2E32"/>
    <w:rsid w:val="00DB2E70"/>
    <w:rsid w:val="00DB2E72"/>
    <w:rsid w:val="00DB3124"/>
    <w:rsid w:val="00DB3309"/>
    <w:rsid w:val="00DB347D"/>
    <w:rsid w:val="00DB3733"/>
    <w:rsid w:val="00DB3740"/>
    <w:rsid w:val="00DB3834"/>
    <w:rsid w:val="00DB3EAD"/>
    <w:rsid w:val="00DB41A2"/>
    <w:rsid w:val="00DB41E0"/>
    <w:rsid w:val="00DB43CF"/>
    <w:rsid w:val="00DB454A"/>
    <w:rsid w:val="00DB4658"/>
    <w:rsid w:val="00DB493C"/>
    <w:rsid w:val="00DB4951"/>
    <w:rsid w:val="00DB4A7F"/>
    <w:rsid w:val="00DB4B3D"/>
    <w:rsid w:val="00DB4D68"/>
    <w:rsid w:val="00DB4DB0"/>
    <w:rsid w:val="00DB4EE4"/>
    <w:rsid w:val="00DB4F3A"/>
    <w:rsid w:val="00DB503D"/>
    <w:rsid w:val="00DB513E"/>
    <w:rsid w:val="00DB517C"/>
    <w:rsid w:val="00DB5377"/>
    <w:rsid w:val="00DB5464"/>
    <w:rsid w:val="00DB55C2"/>
    <w:rsid w:val="00DB565C"/>
    <w:rsid w:val="00DB5743"/>
    <w:rsid w:val="00DB577B"/>
    <w:rsid w:val="00DB590B"/>
    <w:rsid w:val="00DB59DD"/>
    <w:rsid w:val="00DB5BB5"/>
    <w:rsid w:val="00DB5D28"/>
    <w:rsid w:val="00DB5DF4"/>
    <w:rsid w:val="00DB61C6"/>
    <w:rsid w:val="00DB62C2"/>
    <w:rsid w:val="00DB632B"/>
    <w:rsid w:val="00DB6334"/>
    <w:rsid w:val="00DB63C0"/>
    <w:rsid w:val="00DB654F"/>
    <w:rsid w:val="00DB6629"/>
    <w:rsid w:val="00DB697C"/>
    <w:rsid w:val="00DB6ADA"/>
    <w:rsid w:val="00DB6B2B"/>
    <w:rsid w:val="00DB6E8E"/>
    <w:rsid w:val="00DB6FB9"/>
    <w:rsid w:val="00DB7097"/>
    <w:rsid w:val="00DB70E9"/>
    <w:rsid w:val="00DB722F"/>
    <w:rsid w:val="00DB7230"/>
    <w:rsid w:val="00DB72A5"/>
    <w:rsid w:val="00DB7434"/>
    <w:rsid w:val="00DB78DF"/>
    <w:rsid w:val="00DB79C4"/>
    <w:rsid w:val="00DB7B03"/>
    <w:rsid w:val="00DB7B7F"/>
    <w:rsid w:val="00DB7DF9"/>
    <w:rsid w:val="00DB7F8F"/>
    <w:rsid w:val="00DC0161"/>
    <w:rsid w:val="00DC02C6"/>
    <w:rsid w:val="00DC0467"/>
    <w:rsid w:val="00DC05BC"/>
    <w:rsid w:val="00DC0608"/>
    <w:rsid w:val="00DC065A"/>
    <w:rsid w:val="00DC091B"/>
    <w:rsid w:val="00DC0926"/>
    <w:rsid w:val="00DC09F3"/>
    <w:rsid w:val="00DC0AED"/>
    <w:rsid w:val="00DC0C98"/>
    <w:rsid w:val="00DC0FA7"/>
    <w:rsid w:val="00DC1068"/>
    <w:rsid w:val="00DC10C9"/>
    <w:rsid w:val="00DC13E6"/>
    <w:rsid w:val="00DC1507"/>
    <w:rsid w:val="00DC15AE"/>
    <w:rsid w:val="00DC16D0"/>
    <w:rsid w:val="00DC1821"/>
    <w:rsid w:val="00DC18E1"/>
    <w:rsid w:val="00DC1960"/>
    <w:rsid w:val="00DC19DD"/>
    <w:rsid w:val="00DC1F4C"/>
    <w:rsid w:val="00DC2011"/>
    <w:rsid w:val="00DC21C3"/>
    <w:rsid w:val="00DC221E"/>
    <w:rsid w:val="00DC2554"/>
    <w:rsid w:val="00DC2597"/>
    <w:rsid w:val="00DC2953"/>
    <w:rsid w:val="00DC29CD"/>
    <w:rsid w:val="00DC2BF8"/>
    <w:rsid w:val="00DC2C0C"/>
    <w:rsid w:val="00DC2C4E"/>
    <w:rsid w:val="00DC2C7E"/>
    <w:rsid w:val="00DC2D24"/>
    <w:rsid w:val="00DC2D93"/>
    <w:rsid w:val="00DC2E4C"/>
    <w:rsid w:val="00DC3222"/>
    <w:rsid w:val="00DC33AF"/>
    <w:rsid w:val="00DC3430"/>
    <w:rsid w:val="00DC3585"/>
    <w:rsid w:val="00DC3696"/>
    <w:rsid w:val="00DC3A90"/>
    <w:rsid w:val="00DC3B8D"/>
    <w:rsid w:val="00DC3C91"/>
    <w:rsid w:val="00DC3DE3"/>
    <w:rsid w:val="00DC3EE5"/>
    <w:rsid w:val="00DC3FF8"/>
    <w:rsid w:val="00DC41A5"/>
    <w:rsid w:val="00DC427E"/>
    <w:rsid w:val="00DC4630"/>
    <w:rsid w:val="00DC464B"/>
    <w:rsid w:val="00DC47C5"/>
    <w:rsid w:val="00DC47EC"/>
    <w:rsid w:val="00DC4A5D"/>
    <w:rsid w:val="00DC4B8F"/>
    <w:rsid w:val="00DC4E07"/>
    <w:rsid w:val="00DC4E32"/>
    <w:rsid w:val="00DC4E72"/>
    <w:rsid w:val="00DC4F5D"/>
    <w:rsid w:val="00DC51EB"/>
    <w:rsid w:val="00DC5200"/>
    <w:rsid w:val="00DC52CF"/>
    <w:rsid w:val="00DC52DB"/>
    <w:rsid w:val="00DC53DD"/>
    <w:rsid w:val="00DC545A"/>
    <w:rsid w:val="00DC576C"/>
    <w:rsid w:val="00DC584B"/>
    <w:rsid w:val="00DC590F"/>
    <w:rsid w:val="00DC5969"/>
    <w:rsid w:val="00DC59CC"/>
    <w:rsid w:val="00DC5CBF"/>
    <w:rsid w:val="00DC5FDE"/>
    <w:rsid w:val="00DC62B6"/>
    <w:rsid w:val="00DC6365"/>
    <w:rsid w:val="00DC6447"/>
    <w:rsid w:val="00DC64A4"/>
    <w:rsid w:val="00DC6521"/>
    <w:rsid w:val="00DC6613"/>
    <w:rsid w:val="00DC667C"/>
    <w:rsid w:val="00DC66FD"/>
    <w:rsid w:val="00DC684E"/>
    <w:rsid w:val="00DC6970"/>
    <w:rsid w:val="00DC6E0F"/>
    <w:rsid w:val="00DC6F1F"/>
    <w:rsid w:val="00DC71B4"/>
    <w:rsid w:val="00DC75B3"/>
    <w:rsid w:val="00DC7617"/>
    <w:rsid w:val="00DC7993"/>
    <w:rsid w:val="00DC7A0D"/>
    <w:rsid w:val="00DC7A4C"/>
    <w:rsid w:val="00DC7A55"/>
    <w:rsid w:val="00DC7C66"/>
    <w:rsid w:val="00DC7ED5"/>
    <w:rsid w:val="00DC7F09"/>
    <w:rsid w:val="00DC7FD3"/>
    <w:rsid w:val="00DD016B"/>
    <w:rsid w:val="00DD024A"/>
    <w:rsid w:val="00DD0300"/>
    <w:rsid w:val="00DD0488"/>
    <w:rsid w:val="00DD04A6"/>
    <w:rsid w:val="00DD07F0"/>
    <w:rsid w:val="00DD0884"/>
    <w:rsid w:val="00DD089C"/>
    <w:rsid w:val="00DD0A3A"/>
    <w:rsid w:val="00DD0C54"/>
    <w:rsid w:val="00DD0C87"/>
    <w:rsid w:val="00DD0C95"/>
    <w:rsid w:val="00DD0CA2"/>
    <w:rsid w:val="00DD0EF2"/>
    <w:rsid w:val="00DD1189"/>
    <w:rsid w:val="00DD1624"/>
    <w:rsid w:val="00DD1695"/>
    <w:rsid w:val="00DD1849"/>
    <w:rsid w:val="00DD18DA"/>
    <w:rsid w:val="00DD1902"/>
    <w:rsid w:val="00DD1964"/>
    <w:rsid w:val="00DD1AB3"/>
    <w:rsid w:val="00DD1B06"/>
    <w:rsid w:val="00DD1C3A"/>
    <w:rsid w:val="00DD1CF9"/>
    <w:rsid w:val="00DD1D0D"/>
    <w:rsid w:val="00DD1E3A"/>
    <w:rsid w:val="00DD1E7C"/>
    <w:rsid w:val="00DD1FC9"/>
    <w:rsid w:val="00DD2088"/>
    <w:rsid w:val="00DD20D4"/>
    <w:rsid w:val="00DD20E7"/>
    <w:rsid w:val="00DD237D"/>
    <w:rsid w:val="00DD24AB"/>
    <w:rsid w:val="00DD2679"/>
    <w:rsid w:val="00DD26E1"/>
    <w:rsid w:val="00DD276B"/>
    <w:rsid w:val="00DD28C6"/>
    <w:rsid w:val="00DD299B"/>
    <w:rsid w:val="00DD29C2"/>
    <w:rsid w:val="00DD29F9"/>
    <w:rsid w:val="00DD2A8A"/>
    <w:rsid w:val="00DD2A95"/>
    <w:rsid w:val="00DD2AB0"/>
    <w:rsid w:val="00DD2E30"/>
    <w:rsid w:val="00DD2EFD"/>
    <w:rsid w:val="00DD2F06"/>
    <w:rsid w:val="00DD2F1D"/>
    <w:rsid w:val="00DD2FD8"/>
    <w:rsid w:val="00DD3098"/>
    <w:rsid w:val="00DD30AD"/>
    <w:rsid w:val="00DD3126"/>
    <w:rsid w:val="00DD3199"/>
    <w:rsid w:val="00DD3201"/>
    <w:rsid w:val="00DD320A"/>
    <w:rsid w:val="00DD3326"/>
    <w:rsid w:val="00DD336A"/>
    <w:rsid w:val="00DD33C5"/>
    <w:rsid w:val="00DD33DA"/>
    <w:rsid w:val="00DD358B"/>
    <w:rsid w:val="00DD36C9"/>
    <w:rsid w:val="00DD36D5"/>
    <w:rsid w:val="00DD376E"/>
    <w:rsid w:val="00DD3A04"/>
    <w:rsid w:val="00DD3BB6"/>
    <w:rsid w:val="00DD3BE0"/>
    <w:rsid w:val="00DD3D73"/>
    <w:rsid w:val="00DD3D92"/>
    <w:rsid w:val="00DD3D98"/>
    <w:rsid w:val="00DD3E00"/>
    <w:rsid w:val="00DD3E0C"/>
    <w:rsid w:val="00DD3E52"/>
    <w:rsid w:val="00DD4021"/>
    <w:rsid w:val="00DD41EA"/>
    <w:rsid w:val="00DD4210"/>
    <w:rsid w:val="00DD4221"/>
    <w:rsid w:val="00DD459E"/>
    <w:rsid w:val="00DD45FE"/>
    <w:rsid w:val="00DD4741"/>
    <w:rsid w:val="00DD4775"/>
    <w:rsid w:val="00DD4871"/>
    <w:rsid w:val="00DD4B51"/>
    <w:rsid w:val="00DD4C57"/>
    <w:rsid w:val="00DD4EEF"/>
    <w:rsid w:val="00DD52AF"/>
    <w:rsid w:val="00DD5335"/>
    <w:rsid w:val="00DD53FF"/>
    <w:rsid w:val="00DD54E9"/>
    <w:rsid w:val="00DD55BB"/>
    <w:rsid w:val="00DD57EF"/>
    <w:rsid w:val="00DD5AB0"/>
    <w:rsid w:val="00DD5F93"/>
    <w:rsid w:val="00DD6079"/>
    <w:rsid w:val="00DD6109"/>
    <w:rsid w:val="00DD6185"/>
    <w:rsid w:val="00DD62A4"/>
    <w:rsid w:val="00DD6495"/>
    <w:rsid w:val="00DD65C9"/>
    <w:rsid w:val="00DD6614"/>
    <w:rsid w:val="00DD6649"/>
    <w:rsid w:val="00DD6662"/>
    <w:rsid w:val="00DD6671"/>
    <w:rsid w:val="00DD667D"/>
    <w:rsid w:val="00DD672E"/>
    <w:rsid w:val="00DD675E"/>
    <w:rsid w:val="00DD67F0"/>
    <w:rsid w:val="00DD6818"/>
    <w:rsid w:val="00DD6905"/>
    <w:rsid w:val="00DD6DF2"/>
    <w:rsid w:val="00DD6E27"/>
    <w:rsid w:val="00DD71A2"/>
    <w:rsid w:val="00DD7250"/>
    <w:rsid w:val="00DD732D"/>
    <w:rsid w:val="00DD7546"/>
    <w:rsid w:val="00DD770E"/>
    <w:rsid w:val="00DD7723"/>
    <w:rsid w:val="00DD7AB6"/>
    <w:rsid w:val="00DD7C0F"/>
    <w:rsid w:val="00DD7D07"/>
    <w:rsid w:val="00DD7D69"/>
    <w:rsid w:val="00DD7F2B"/>
    <w:rsid w:val="00DD7FE6"/>
    <w:rsid w:val="00DE019D"/>
    <w:rsid w:val="00DE01C6"/>
    <w:rsid w:val="00DE02B9"/>
    <w:rsid w:val="00DE02CA"/>
    <w:rsid w:val="00DE0461"/>
    <w:rsid w:val="00DE04FB"/>
    <w:rsid w:val="00DE058A"/>
    <w:rsid w:val="00DE06D9"/>
    <w:rsid w:val="00DE074E"/>
    <w:rsid w:val="00DE0809"/>
    <w:rsid w:val="00DE0814"/>
    <w:rsid w:val="00DE0858"/>
    <w:rsid w:val="00DE0A2A"/>
    <w:rsid w:val="00DE0A32"/>
    <w:rsid w:val="00DE0A60"/>
    <w:rsid w:val="00DE0E98"/>
    <w:rsid w:val="00DE1054"/>
    <w:rsid w:val="00DE1162"/>
    <w:rsid w:val="00DE11F6"/>
    <w:rsid w:val="00DE12CF"/>
    <w:rsid w:val="00DE134A"/>
    <w:rsid w:val="00DE1399"/>
    <w:rsid w:val="00DE14AB"/>
    <w:rsid w:val="00DE14C9"/>
    <w:rsid w:val="00DE1592"/>
    <w:rsid w:val="00DE15EA"/>
    <w:rsid w:val="00DE16D5"/>
    <w:rsid w:val="00DE1721"/>
    <w:rsid w:val="00DE172C"/>
    <w:rsid w:val="00DE17D9"/>
    <w:rsid w:val="00DE1988"/>
    <w:rsid w:val="00DE1B45"/>
    <w:rsid w:val="00DE1C52"/>
    <w:rsid w:val="00DE2061"/>
    <w:rsid w:val="00DE211C"/>
    <w:rsid w:val="00DE2238"/>
    <w:rsid w:val="00DE260B"/>
    <w:rsid w:val="00DE2693"/>
    <w:rsid w:val="00DE26AA"/>
    <w:rsid w:val="00DE26EA"/>
    <w:rsid w:val="00DE2772"/>
    <w:rsid w:val="00DE27BF"/>
    <w:rsid w:val="00DE2913"/>
    <w:rsid w:val="00DE2A58"/>
    <w:rsid w:val="00DE2B27"/>
    <w:rsid w:val="00DE2B41"/>
    <w:rsid w:val="00DE2B97"/>
    <w:rsid w:val="00DE2CA5"/>
    <w:rsid w:val="00DE2CBD"/>
    <w:rsid w:val="00DE2FCB"/>
    <w:rsid w:val="00DE3103"/>
    <w:rsid w:val="00DE3273"/>
    <w:rsid w:val="00DE3387"/>
    <w:rsid w:val="00DE34DC"/>
    <w:rsid w:val="00DE3FCC"/>
    <w:rsid w:val="00DE40A8"/>
    <w:rsid w:val="00DE41D3"/>
    <w:rsid w:val="00DE4296"/>
    <w:rsid w:val="00DE4344"/>
    <w:rsid w:val="00DE45B3"/>
    <w:rsid w:val="00DE4713"/>
    <w:rsid w:val="00DE47B7"/>
    <w:rsid w:val="00DE490A"/>
    <w:rsid w:val="00DE4938"/>
    <w:rsid w:val="00DE49A2"/>
    <w:rsid w:val="00DE4B9B"/>
    <w:rsid w:val="00DE4C49"/>
    <w:rsid w:val="00DE4CCF"/>
    <w:rsid w:val="00DE5276"/>
    <w:rsid w:val="00DE585B"/>
    <w:rsid w:val="00DE5997"/>
    <w:rsid w:val="00DE5B2F"/>
    <w:rsid w:val="00DE5BC1"/>
    <w:rsid w:val="00DE5CBD"/>
    <w:rsid w:val="00DE5DD4"/>
    <w:rsid w:val="00DE5EBD"/>
    <w:rsid w:val="00DE5FE0"/>
    <w:rsid w:val="00DE61A8"/>
    <w:rsid w:val="00DE6236"/>
    <w:rsid w:val="00DE67F7"/>
    <w:rsid w:val="00DE687F"/>
    <w:rsid w:val="00DE68A9"/>
    <w:rsid w:val="00DE6A82"/>
    <w:rsid w:val="00DE6B62"/>
    <w:rsid w:val="00DE6B96"/>
    <w:rsid w:val="00DE6B9B"/>
    <w:rsid w:val="00DE6D2A"/>
    <w:rsid w:val="00DE6F0B"/>
    <w:rsid w:val="00DE6F60"/>
    <w:rsid w:val="00DE6FE7"/>
    <w:rsid w:val="00DE70F1"/>
    <w:rsid w:val="00DE7161"/>
    <w:rsid w:val="00DE717D"/>
    <w:rsid w:val="00DE71A8"/>
    <w:rsid w:val="00DE7488"/>
    <w:rsid w:val="00DE78BA"/>
    <w:rsid w:val="00DE79D0"/>
    <w:rsid w:val="00DE7CCB"/>
    <w:rsid w:val="00DE7D76"/>
    <w:rsid w:val="00DF0048"/>
    <w:rsid w:val="00DF0153"/>
    <w:rsid w:val="00DF0347"/>
    <w:rsid w:val="00DF03E3"/>
    <w:rsid w:val="00DF048B"/>
    <w:rsid w:val="00DF0544"/>
    <w:rsid w:val="00DF0737"/>
    <w:rsid w:val="00DF08C9"/>
    <w:rsid w:val="00DF0A5D"/>
    <w:rsid w:val="00DF0ABB"/>
    <w:rsid w:val="00DF0CBE"/>
    <w:rsid w:val="00DF0E25"/>
    <w:rsid w:val="00DF0FFF"/>
    <w:rsid w:val="00DF10AD"/>
    <w:rsid w:val="00DF10D4"/>
    <w:rsid w:val="00DF1226"/>
    <w:rsid w:val="00DF13B7"/>
    <w:rsid w:val="00DF1420"/>
    <w:rsid w:val="00DF1755"/>
    <w:rsid w:val="00DF181D"/>
    <w:rsid w:val="00DF19D8"/>
    <w:rsid w:val="00DF19F2"/>
    <w:rsid w:val="00DF1A34"/>
    <w:rsid w:val="00DF1D0C"/>
    <w:rsid w:val="00DF1DE9"/>
    <w:rsid w:val="00DF1F81"/>
    <w:rsid w:val="00DF21A8"/>
    <w:rsid w:val="00DF21DA"/>
    <w:rsid w:val="00DF2553"/>
    <w:rsid w:val="00DF2573"/>
    <w:rsid w:val="00DF258A"/>
    <w:rsid w:val="00DF280A"/>
    <w:rsid w:val="00DF2842"/>
    <w:rsid w:val="00DF292C"/>
    <w:rsid w:val="00DF2E10"/>
    <w:rsid w:val="00DF2E28"/>
    <w:rsid w:val="00DF2E65"/>
    <w:rsid w:val="00DF2E69"/>
    <w:rsid w:val="00DF2E9A"/>
    <w:rsid w:val="00DF2F84"/>
    <w:rsid w:val="00DF32A0"/>
    <w:rsid w:val="00DF3368"/>
    <w:rsid w:val="00DF3382"/>
    <w:rsid w:val="00DF3470"/>
    <w:rsid w:val="00DF3555"/>
    <w:rsid w:val="00DF3761"/>
    <w:rsid w:val="00DF3ADD"/>
    <w:rsid w:val="00DF3B15"/>
    <w:rsid w:val="00DF3B19"/>
    <w:rsid w:val="00DF3B26"/>
    <w:rsid w:val="00DF3B5B"/>
    <w:rsid w:val="00DF3B88"/>
    <w:rsid w:val="00DF3BEF"/>
    <w:rsid w:val="00DF3D26"/>
    <w:rsid w:val="00DF3D43"/>
    <w:rsid w:val="00DF3FD1"/>
    <w:rsid w:val="00DF413A"/>
    <w:rsid w:val="00DF4140"/>
    <w:rsid w:val="00DF4218"/>
    <w:rsid w:val="00DF4307"/>
    <w:rsid w:val="00DF43C4"/>
    <w:rsid w:val="00DF43FB"/>
    <w:rsid w:val="00DF4402"/>
    <w:rsid w:val="00DF4499"/>
    <w:rsid w:val="00DF451B"/>
    <w:rsid w:val="00DF45CF"/>
    <w:rsid w:val="00DF4644"/>
    <w:rsid w:val="00DF4801"/>
    <w:rsid w:val="00DF4974"/>
    <w:rsid w:val="00DF4B64"/>
    <w:rsid w:val="00DF4B9A"/>
    <w:rsid w:val="00DF4F62"/>
    <w:rsid w:val="00DF4FC4"/>
    <w:rsid w:val="00DF5013"/>
    <w:rsid w:val="00DF5222"/>
    <w:rsid w:val="00DF5409"/>
    <w:rsid w:val="00DF5419"/>
    <w:rsid w:val="00DF5446"/>
    <w:rsid w:val="00DF556E"/>
    <w:rsid w:val="00DF55D3"/>
    <w:rsid w:val="00DF55F0"/>
    <w:rsid w:val="00DF5690"/>
    <w:rsid w:val="00DF56FA"/>
    <w:rsid w:val="00DF5740"/>
    <w:rsid w:val="00DF5788"/>
    <w:rsid w:val="00DF5895"/>
    <w:rsid w:val="00DF5D02"/>
    <w:rsid w:val="00DF5DC8"/>
    <w:rsid w:val="00DF5E5E"/>
    <w:rsid w:val="00DF60DA"/>
    <w:rsid w:val="00DF61AD"/>
    <w:rsid w:val="00DF6443"/>
    <w:rsid w:val="00DF670E"/>
    <w:rsid w:val="00DF677F"/>
    <w:rsid w:val="00DF68E4"/>
    <w:rsid w:val="00DF6955"/>
    <w:rsid w:val="00DF6A18"/>
    <w:rsid w:val="00DF6A7A"/>
    <w:rsid w:val="00DF6B56"/>
    <w:rsid w:val="00DF6C24"/>
    <w:rsid w:val="00DF6FF5"/>
    <w:rsid w:val="00DF70D9"/>
    <w:rsid w:val="00DF70F3"/>
    <w:rsid w:val="00DF71C4"/>
    <w:rsid w:val="00DF7414"/>
    <w:rsid w:val="00DF7536"/>
    <w:rsid w:val="00DF7AA3"/>
    <w:rsid w:val="00DF7AC0"/>
    <w:rsid w:val="00DF7C5F"/>
    <w:rsid w:val="00DF7C81"/>
    <w:rsid w:val="00DF7C88"/>
    <w:rsid w:val="00E0004E"/>
    <w:rsid w:val="00E0014C"/>
    <w:rsid w:val="00E0028F"/>
    <w:rsid w:val="00E002D3"/>
    <w:rsid w:val="00E00348"/>
    <w:rsid w:val="00E003CE"/>
    <w:rsid w:val="00E003DE"/>
    <w:rsid w:val="00E0073C"/>
    <w:rsid w:val="00E0099F"/>
    <w:rsid w:val="00E00DE3"/>
    <w:rsid w:val="00E01353"/>
    <w:rsid w:val="00E01359"/>
    <w:rsid w:val="00E01614"/>
    <w:rsid w:val="00E01701"/>
    <w:rsid w:val="00E0174A"/>
    <w:rsid w:val="00E017BB"/>
    <w:rsid w:val="00E0188D"/>
    <w:rsid w:val="00E018CA"/>
    <w:rsid w:val="00E0197A"/>
    <w:rsid w:val="00E01AF0"/>
    <w:rsid w:val="00E01BC1"/>
    <w:rsid w:val="00E01C82"/>
    <w:rsid w:val="00E01CF7"/>
    <w:rsid w:val="00E01F0C"/>
    <w:rsid w:val="00E01F54"/>
    <w:rsid w:val="00E020A0"/>
    <w:rsid w:val="00E0220D"/>
    <w:rsid w:val="00E02314"/>
    <w:rsid w:val="00E02316"/>
    <w:rsid w:val="00E024A4"/>
    <w:rsid w:val="00E02564"/>
    <w:rsid w:val="00E026CD"/>
    <w:rsid w:val="00E027B0"/>
    <w:rsid w:val="00E02A05"/>
    <w:rsid w:val="00E02B54"/>
    <w:rsid w:val="00E02BC3"/>
    <w:rsid w:val="00E02CC6"/>
    <w:rsid w:val="00E02D13"/>
    <w:rsid w:val="00E02DA4"/>
    <w:rsid w:val="00E031FE"/>
    <w:rsid w:val="00E0321A"/>
    <w:rsid w:val="00E03228"/>
    <w:rsid w:val="00E03616"/>
    <w:rsid w:val="00E0373E"/>
    <w:rsid w:val="00E03973"/>
    <w:rsid w:val="00E03BA4"/>
    <w:rsid w:val="00E03BAE"/>
    <w:rsid w:val="00E03BE2"/>
    <w:rsid w:val="00E043E8"/>
    <w:rsid w:val="00E04443"/>
    <w:rsid w:val="00E045F5"/>
    <w:rsid w:val="00E046F3"/>
    <w:rsid w:val="00E0471B"/>
    <w:rsid w:val="00E04720"/>
    <w:rsid w:val="00E04761"/>
    <w:rsid w:val="00E048BE"/>
    <w:rsid w:val="00E0497B"/>
    <w:rsid w:val="00E04D3B"/>
    <w:rsid w:val="00E04E81"/>
    <w:rsid w:val="00E04EF4"/>
    <w:rsid w:val="00E0502E"/>
    <w:rsid w:val="00E05100"/>
    <w:rsid w:val="00E0519C"/>
    <w:rsid w:val="00E05220"/>
    <w:rsid w:val="00E0545F"/>
    <w:rsid w:val="00E0558E"/>
    <w:rsid w:val="00E057E3"/>
    <w:rsid w:val="00E05B07"/>
    <w:rsid w:val="00E05D2F"/>
    <w:rsid w:val="00E05F72"/>
    <w:rsid w:val="00E06069"/>
    <w:rsid w:val="00E060AE"/>
    <w:rsid w:val="00E060B0"/>
    <w:rsid w:val="00E0621D"/>
    <w:rsid w:val="00E062D7"/>
    <w:rsid w:val="00E063A6"/>
    <w:rsid w:val="00E0652A"/>
    <w:rsid w:val="00E065C3"/>
    <w:rsid w:val="00E06645"/>
    <w:rsid w:val="00E0680A"/>
    <w:rsid w:val="00E06893"/>
    <w:rsid w:val="00E06A6E"/>
    <w:rsid w:val="00E06DE9"/>
    <w:rsid w:val="00E07050"/>
    <w:rsid w:val="00E07103"/>
    <w:rsid w:val="00E072EA"/>
    <w:rsid w:val="00E0760D"/>
    <w:rsid w:val="00E07750"/>
    <w:rsid w:val="00E079B1"/>
    <w:rsid w:val="00E07A08"/>
    <w:rsid w:val="00E07ABA"/>
    <w:rsid w:val="00E07AC5"/>
    <w:rsid w:val="00E07BAD"/>
    <w:rsid w:val="00E07C8D"/>
    <w:rsid w:val="00E101DC"/>
    <w:rsid w:val="00E10270"/>
    <w:rsid w:val="00E10435"/>
    <w:rsid w:val="00E104D4"/>
    <w:rsid w:val="00E1052C"/>
    <w:rsid w:val="00E10730"/>
    <w:rsid w:val="00E1097A"/>
    <w:rsid w:val="00E109CD"/>
    <w:rsid w:val="00E10A43"/>
    <w:rsid w:val="00E10A69"/>
    <w:rsid w:val="00E10AFD"/>
    <w:rsid w:val="00E10D32"/>
    <w:rsid w:val="00E10F20"/>
    <w:rsid w:val="00E10FE7"/>
    <w:rsid w:val="00E10FE8"/>
    <w:rsid w:val="00E11121"/>
    <w:rsid w:val="00E11133"/>
    <w:rsid w:val="00E112DF"/>
    <w:rsid w:val="00E11493"/>
    <w:rsid w:val="00E1149A"/>
    <w:rsid w:val="00E1173C"/>
    <w:rsid w:val="00E11968"/>
    <w:rsid w:val="00E11B84"/>
    <w:rsid w:val="00E1229E"/>
    <w:rsid w:val="00E122E0"/>
    <w:rsid w:val="00E1241F"/>
    <w:rsid w:val="00E12471"/>
    <w:rsid w:val="00E1248B"/>
    <w:rsid w:val="00E124A1"/>
    <w:rsid w:val="00E125FA"/>
    <w:rsid w:val="00E12AF9"/>
    <w:rsid w:val="00E12BDA"/>
    <w:rsid w:val="00E12CA3"/>
    <w:rsid w:val="00E12CD5"/>
    <w:rsid w:val="00E12D41"/>
    <w:rsid w:val="00E12DD0"/>
    <w:rsid w:val="00E12FBE"/>
    <w:rsid w:val="00E13318"/>
    <w:rsid w:val="00E133A8"/>
    <w:rsid w:val="00E13633"/>
    <w:rsid w:val="00E137A9"/>
    <w:rsid w:val="00E13C33"/>
    <w:rsid w:val="00E13D73"/>
    <w:rsid w:val="00E13DD8"/>
    <w:rsid w:val="00E13E2A"/>
    <w:rsid w:val="00E1414F"/>
    <w:rsid w:val="00E14203"/>
    <w:rsid w:val="00E14365"/>
    <w:rsid w:val="00E1436C"/>
    <w:rsid w:val="00E143C5"/>
    <w:rsid w:val="00E1445B"/>
    <w:rsid w:val="00E14471"/>
    <w:rsid w:val="00E145A3"/>
    <w:rsid w:val="00E1469D"/>
    <w:rsid w:val="00E1469E"/>
    <w:rsid w:val="00E148EE"/>
    <w:rsid w:val="00E14961"/>
    <w:rsid w:val="00E14A3F"/>
    <w:rsid w:val="00E14AA3"/>
    <w:rsid w:val="00E14BA2"/>
    <w:rsid w:val="00E14BAA"/>
    <w:rsid w:val="00E14BFF"/>
    <w:rsid w:val="00E14CE6"/>
    <w:rsid w:val="00E14E6E"/>
    <w:rsid w:val="00E14EEC"/>
    <w:rsid w:val="00E15018"/>
    <w:rsid w:val="00E150EC"/>
    <w:rsid w:val="00E152CC"/>
    <w:rsid w:val="00E1534B"/>
    <w:rsid w:val="00E155E1"/>
    <w:rsid w:val="00E1569B"/>
    <w:rsid w:val="00E15743"/>
    <w:rsid w:val="00E157AD"/>
    <w:rsid w:val="00E1580B"/>
    <w:rsid w:val="00E159CC"/>
    <w:rsid w:val="00E159DD"/>
    <w:rsid w:val="00E15AE2"/>
    <w:rsid w:val="00E15C5C"/>
    <w:rsid w:val="00E15F95"/>
    <w:rsid w:val="00E15F99"/>
    <w:rsid w:val="00E16061"/>
    <w:rsid w:val="00E16281"/>
    <w:rsid w:val="00E1628D"/>
    <w:rsid w:val="00E1632A"/>
    <w:rsid w:val="00E16551"/>
    <w:rsid w:val="00E16604"/>
    <w:rsid w:val="00E1672A"/>
    <w:rsid w:val="00E16791"/>
    <w:rsid w:val="00E16862"/>
    <w:rsid w:val="00E16A03"/>
    <w:rsid w:val="00E16A94"/>
    <w:rsid w:val="00E16CA2"/>
    <w:rsid w:val="00E16DAC"/>
    <w:rsid w:val="00E16E46"/>
    <w:rsid w:val="00E16E8E"/>
    <w:rsid w:val="00E16EF2"/>
    <w:rsid w:val="00E16F80"/>
    <w:rsid w:val="00E17086"/>
    <w:rsid w:val="00E17317"/>
    <w:rsid w:val="00E1737F"/>
    <w:rsid w:val="00E174DA"/>
    <w:rsid w:val="00E17509"/>
    <w:rsid w:val="00E175CA"/>
    <w:rsid w:val="00E175F2"/>
    <w:rsid w:val="00E17695"/>
    <w:rsid w:val="00E178F8"/>
    <w:rsid w:val="00E17ACD"/>
    <w:rsid w:val="00E17B56"/>
    <w:rsid w:val="00E17B78"/>
    <w:rsid w:val="00E17C1D"/>
    <w:rsid w:val="00E17D7D"/>
    <w:rsid w:val="00E17D96"/>
    <w:rsid w:val="00E17E0E"/>
    <w:rsid w:val="00E17EA5"/>
    <w:rsid w:val="00E20047"/>
    <w:rsid w:val="00E20294"/>
    <w:rsid w:val="00E203B7"/>
    <w:rsid w:val="00E20522"/>
    <w:rsid w:val="00E205B5"/>
    <w:rsid w:val="00E20632"/>
    <w:rsid w:val="00E206CC"/>
    <w:rsid w:val="00E209F6"/>
    <w:rsid w:val="00E20B6D"/>
    <w:rsid w:val="00E20BCE"/>
    <w:rsid w:val="00E20F3A"/>
    <w:rsid w:val="00E210C5"/>
    <w:rsid w:val="00E211A2"/>
    <w:rsid w:val="00E21584"/>
    <w:rsid w:val="00E2164F"/>
    <w:rsid w:val="00E216B8"/>
    <w:rsid w:val="00E2170B"/>
    <w:rsid w:val="00E2177A"/>
    <w:rsid w:val="00E2193E"/>
    <w:rsid w:val="00E21C1A"/>
    <w:rsid w:val="00E21C4E"/>
    <w:rsid w:val="00E21F04"/>
    <w:rsid w:val="00E21FE1"/>
    <w:rsid w:val="00E2219C"/>
    <w:rsid w:val="00E221BE"/>
    <w:rsid w:val="00E221E8"/>
    <w:rsid w:val="00E222DD"/>
    <w:rsid w:val="00E2260E"/>
    <w:rsid w:val="00E22721"/>
    <w:rsid w:val="00E22857"/>
    <w:rsid w:val="00E228F7"/>
    <w:rsid w:val="00E22940"/>
    <w:rsid w:val="00E22963"/>
    <w:rsid w:val="00E22A37"/>
    <w:rsid w:val="00E22A47"/>
    <w:rsid w:val="00E22BCD"/>
    <w:rsid w:val="00E22D8F"/>
    <w:rsid w:val="00E22E9E"/>
    <w:rsid w:val="00E22ED3"/>
    <w:rsid w:val="00E22EDE"/>
    <w:rsid w:val="00E22F23"/>
    <w:rsid w:val="00E22F5C"/>
    <w:rsid w:val="00E22FA2"/>
    <w:rsid w:val="00E22FBF"/>
    <w:rsid w:val="00E2306D"/>
    <w:rsid w:val="00E2331F"/>
    <w:rsid w:val="00E234F8"/>
    <w:rsid w:val="00E23688"/>
    <w:rsid w:val="00E2375E"/>
    <w:rsid w:val="00E23878"/>
    <w:rsid w:val="00E238B8"/>
    <w:rsid w:val="00E23AC0"/>
    <w:rsid w:val="00E23B1A"/>
    <w:rsid w:val="00E23E73"/>
    <w:rsid w:val="00E23F4D"/>
    <w:rsid w:val="00E24066"/>
    <w:rsid w:val="00E24067"/>
    <w:rsid w:val="00E241C0"/>
    <w:rsid w:val="00E244EE"/>
    <w:rsid w:val="00E24598"/>
    <w:rsid w:val="00E2474E"/>
    <w:rsid w:val="00E248AA"/>
    <w:rsid w:val="00E2496C"/>
    <w:rsid w:val="00E24A41"/>
    <w:rsid w:val="00E24A56"/>
    <w:rsid w:val="00E24B6F"/>
    <w:rsid w:val="00E24C31"/>
    <w:rsid w:val="00E24C93"/>
    <w:rsid w:val="00E24DFB"/>
    <w:rsid w:val="00E2529C"/>
    <w:rsid w:val="00E252E9"/>
    <w:rsid w:val="00E253F3"/>
    <w:rsid w:val="00E2542B"/>
    <w:rsid w:val="00E25493"/>
    <w:rsid w:val="00E254CC"/>
    <w:rsid w:val="00E254CF"/>
    <w:rsid w:val="00E254F4"/>
    <w:rsid w:val="00E2564F"/>
    <w:rsid w:val="00E257BF"/>
    <w:rsid w:val="00E259B8"/>
    <w:rsid w:val="00E25A2F"/>
    <w:rsid w:val="00E25B4D"/>
    <w:rsid w:val="00E25CFA"/>
    <w:rsid w:val="00E25D87"/>
    <w:rsid w:val="00E25E66"/>
    <w:rsid w:val="00E25ED3"/>
    <w:rsid w:val="00E26095"/>
    <w:rsid w:val="00E260BC"/>
    <w:rsid w:val="00E26224"/>
    <w:rsid w:val="00E2624B"/>
    <w:rsid w:val="00E26427"/>
    <w:rsid w:val="00E26564"/>
    <w:rsid w:val="00E265CC"/>
    <w:rsid w:val="00E267A9"/>
    <w:rsid w:val="00E26814"/>
    <w:rsid w:val="00E26CE4"/>
    <w:rsid w:val="00E26F23"/>
    <w:rsid w:val="00E26F65"/>
    <w:rsid w:val="00E2716B"/>
    <w:rsid w:val="00E2728F"/>
    <w:rsid w:val="00E27342"/>
    <w:rsid w:val="00E27384"/>
    <w:rsid w:val="00E273F9"/>
    <w:rsid w:val="00E274C7"/>
    <w:rsid w:val="00E27559"/>
    <w:rsid w:val="00E27AA0"/>
    <w:rsid w:val="00E27C7F"/>
    <w:rsid w:val="00E27D3E"/>
    <w:rsid w:val="00E27D69"/>
    <w:rsid w:val="00E300B0"/>
    <w:rsid w:val="00E30299"/>
    <w:rsid w:val="00E304D7"/>
    <w:rsid w:val="00E30891"/>
    <w:rsid w:val="00E30955"/>
    <w:rsid w:val="00E30A58"/>
    <w:rsid w:val="00E30A99"/>
    <w:rsid w:val="00E30AC3"/>
    <w:rsid w:val="00E30D48"/>
    <w:rsid w:val="00E31465"/>
    <w:rsid w:val="00E315DB"/>
    <w:rsid w:val="00E31735"/>
    <w:rsid w:val="00E3194E"/>
    <w:rsid w:val="00E319BE"/>
    <w:rsid w:val="00E31A6D"/>
    <w:rsid w:val="00E31BDF"/>
    <w:rsid w:val="00E3201D"/>
    <w:rsid w:val="00E3214E"/>
    <w:rsid w:val="00E321CA"/>
    <w:rsid w:val="00E32289"/>
    <w:rsid w:val="00E324C2"/>
    <w:rsid w:val="00E3250C"/>
    <w:rsid w:val="00E325D4"/>
    <w:rsid w:val="00E32961"/>
    <w:rsid w:val="00E329A6"/>
    <w:rsid w:val="00E329D7"/>
    <w:rsid w:val="00E32B76"/>
    <w:rsid w:val="00E32C5A"/>
    <w:rsid w:val="00E32C75"/>
    <w:rsid w:val="00E32D61"/>
    <w:rsid w:val="00E32E2C"/>
    <w:rsid w:val="00E32E80"/>
    <w:rsid w:val="00E32ED6"/>
    <w:rsid w:val="00E33053"/>
    <w:rsid w:val="00E332E9"/>
    <w:rsid w:val="00E33899"/>
    <w:rsid w:val="00E339B9"/>
    <w:rsid w:val="00E33A4A"/>
    <w:rsid w:val="00E33C5E"/>
    <w:rsid w:val="00E33C76"/>
    <w:rsid w:val="00E33F96"/>
    <w:rsid w:val="00E33FE4"/>
    <w:rsid w:val="00E34228"/>
    <w:rsid w:val="00E342D8"/>
    <w:rsid w:val="00E34314"/>
    <w:rsid w:val="00E3437F"/>
    <w:rsid w:val="00E34444"/>
    <w:rsid w:val="00E347A4"/>
    <w:rsid w:val="00E34BE4"/>
    <w:rsid w:val="00E34C3F"/>
    <w:rsid w:val="00E34C76"/>
    <w:rsid w:val="00E34C98"/>
    <w:rsid w:val="00E34DF0"/>
    <w:rsid w:val="00E34F41"/>
    <w:rsid w:val="00E35052"/>
    <w:rsid w:val="00E350F5"/>
    <w:rsid w:val="00E3512B"/>
    <w:rsid w:val="00E351F9"/>
    <w:rsid w:val="00E3555A"/>
    <w:rsid w:val="00E35640"/>
    <w:rsid w:val="00E3590D"/>
    <w:rsid w:val="00E3591C"/>
    <w:rsid w:val="00E359DB"/>
    <w:rsid w:val="00E35A90"/>
    <w:rsid w:val="00E35BCF"/>
    <w:rsid w:val="00E35C57"/>
    <w:rsid w:val="00E35DAF"/>
    <w:rsid w:val="00E35E3B"/>
    <w:rsid w:val="00E35E51"/>
    <w:rsid w:val="00E35F55"/>
    <w:rsid w:val="00E360B4"/>
    <w:rsid w:val="00E360B8"/>
    <w:rsid w:val="00E3622D"/>
    <w:rsid w:val="00E3630D"/>
    <w:rsid w:val="00E36550"/>
    <w:rsid w:val="00E365CF"/>
    <w:rsid w:val="00E367AA"/>
    <w:rsid w:val="00E3682C"/>
    <w:rsid w:val="00E368AB"/>
    <w:rsid w:val="00E368F2"/>
    <w:rsid w:val="00E36A6B"/>
    <w:rsid w:val="00E36A9A"/>
    <w:rsid w:val="00E36AE9"/>
    <w:rsid w:val="00E36BC9"/>
    <w:rsid w:val="00E36DC6"/>
    <w:rsid w:val="00E36E20"/>
    <w:rsid w:val="00E36F61"/>
    <w:rsid w:val="00E36F7F"/>
    <w:rsid w:val="00E36FEB"/>
    <w:rsid w:val="00E37047"/>
    <w:rsid w:val="00E371BD"/>
    <w:rsid w:val="00E372E3"/>
    <w:rsid w:val="00E37351"/>
    <w:rsid w:val="00E37678"/>
    <w:rsid w:val="00E37711"/>
    <w:rsid w:val="00E37723"/>
    <w:rsid w:val="00E378C9"/>
    <w:rsid w:val="00E378E8"/>
    <w:rsid w:val="00E37C6F"/>
    <w:rsid w:val="00E37F22"/>
    <w:rsid w:val="00E4010A"/>
    <w:rsid w:val="00E40308"/>
    <w:rsid w:val="00E40326"/>
    <w:rsid w:val="00E40460"/>
    <w:rsid w:val="00E4073A"/>
    <w:rsid w:val="00E40825"/>
    <w:rsid w:val="00E40844"/>
    <w:rsid w:val="00E4085F"/>
    <w:rsid w:val="00E40A1F"/>
    <w:rsid w:val="00E40A72"/>
    <w:rsid w:val="00E40EA9"/>
    <w:rsid w:val="00E410B2"/>
    <w:rsid w:val="00E410E2"/>
    <w:rsid w:val="00E411E2"/>
    <w:rsid w:val="00E4128B"/>
    <w:rsid w:val="00E415A2"/>
    <w:rsid w:val="00E41669"/>
    <w:rsid w:val="00E416AF"/>
    <w:rsid w:val="00E41700"/>
    <w:rsid w:val="00E41707"/>
    <w:rsid w:val="00E41970"/>
    <w:rsid w:val="00E41AA3"/>
    <w:rsid w:val="00E41B96"/>
    <w:rsid w:val="00E41DF8"/>
    <w:rsid w:val="00E41EB8"/>
    <w:rsid w:val="00E41ED2"/>
    <w:rsid w:val="00E41F79"/>
    <w:rsid w:val="00E42072"/>
    <w:rsid w:val="00E420E7"/>
    <w:rsid w:val="00E4219D"/>
    <w:rsid w:val="00E424C8"/>
    <w:rsid w:val="00E426C8"/>
    <w:rsid w:val="00E42912"/>
    <w:rsid w:val="00E429D8"/>
    <w:rsid w:val="00E42A05"/>
    <w:rsid w:val="00E42A9F"/>
    <w:rsid w:val="00E42AAD"/>
    <w:rsid w:val="00E42ADE"/>
    <w:rsid w:val="00E42CA8"/>
    <w:rsid w:val="00E42DBE"/>
    <w:rsid w:val="00E42E5C"/>
    <w:rsid w:val="00E430E9"/>
    <w:rsid w:val="00E431E0"/>
    <w:rsid w:val="00E4326A"/>
    <w:rsid w:val="00E433BC"/>
    <w:rsid w:val="00E4352B"/>
    <w:rsid w:val="00E43716"/>
    <w:rsid w:val="00E43979"/>
    <w:rsid w:val="00E439FD"/>
    <w:rsid w:val="00E43A3F"/>
    <w:rsid w:val="00E43AAB"/>
    <w:rsid w:val="00E43BBC"/>
    <w:rsid w:val="00E43CBC"/>
    <w:rsid w:val="00E43DA0"/>
    <w:rsid w:val="00E43E1B"/>
    <w:rsid w:val="00E43E54"/>
    <w:rsid w:val="00E442B7"/>
    <w:rsid w:val="00E44327"/>
    <w:rsid w:val="00E44417"/>
    <w:rsid w:val="00E44486"/>
    <w:rsid w:val="00E44513"/>
    <w:rsid w:val="00E445DA"/>
    <w:rsid w:val="00E4464A"/>
    <w:rsid w:val="00E448EE"/>
    <w:rsid w:val="00E44B69"/>
    <w:rsid w:val="00E44C0E"/>
    <w:rsid w:val="00E44C43"/>
    <w:rsid w:val="00E44C80"/>
    <w:rsid w:val="00E4509E"/>
    <w:rsid w:val="00E45107"/>
    <w:rsid w:val="00E451BA"/>
    <w:rsid w:val="00E4537B"/>
    <w:rsid w:val="00E454D2"/>
    <w:rsid w:val="00E45634"/>
    <w:rsid w:val="00E45708"/>
    <w:rsid w:val="00E45797"/>
    <w:rsid w:val="00E457CF"/>
    <w:rsid w:val="00E457F0"/>
    <w:rsid w:val="00E459A1"/>
    <w:rsid w:val="00E459D3"/>
    <w:rsid w:val="00E459E8"/>
    <w:rsid w:val="00E45C8A"/>
    <w:rsid w:val="00E45E32"/>
    <w:rsid w:val="00E45ECB"/>
    <w:rsid w:val="00E4616A"/>
    <w:rsid w:val="00E462D4"/>
    <w:rsid w:val="00E4636B"/>
    <w:rsid w:val="00E464ED"/>
    <w:rsid w:val="00E4658C"/>
    <w:rsid w:val="00E468DB"/>
    <w:rsid w:val="00E46991"/>
    <w:rsid w:val="00E469D4"/>
    <w:rsid w:val="00E46A69"/>
    <w:rsid w:val="00E46FEE"/>
    <w:rsid w:val="00E47126"/>
    <w:rsid w:val="00E472C5"/>
    <w:rsid w:val="00E4736D"/>
    <w:rsid w:val="00E47402"/>
    <w:rsid w:val="00E475CA"/>
    <w:rsid w:val="00E47756"/>
    <w:rsid w:val="00E47AEF"/>
    <w:rsid w:val="00E47B31"/>
    <w:rsid w:val="00E47C98"/>
    <w:rsid w:val="00E47E7E"/>
    <w:rsid w:val="00E47EBE"/>
    <w:rsid w:val="00E47EEB"/>
    <w:rsid w:val="00E47F4B"/>
    <w:rsid w:val="00E47F4C"/>
    <w:rsid w:val="00E47FCA"/>
    <w:rsid w:val="00E5012A"/>
    <w:rsid w:val="00E502CF"/>
    <w:rsid w:val="00E50406"/>
    <w:rsid w:val="00E5043A"/>
    <w:rsid w:val="00E50659"/>
    <w:rsid w:val="00E5070D"/>
    <w:rsid w:val="00E507C9"/>
    <w:rsid w:val="00E507F4"/>
    <w:rsid w:val="00E508A6"/>
    <w:rsid w:val="00E50A1C"/>
    <w:rsid w:val="00E50CB1"/>
    <w:rsid w:val="00E50D6C"/>
    <w:rsid w:val="00E50EEF"/>
    <w:rsid w:val="00E51144"/>
    <w:rsid w:val="00E5117D"/>
    <w:rsid w:val="00E511F8"/>
    <w:rsid w:val="00E5149B"/>
    <w:rsid w:val="00E5151F"/>
    <w:rsid w:val="00E51581"/>
    <w:rsid w:val="00E51653"/>
    <w:rsid w:val="00E51838"/>
    <w:rsid w:val="00E518CF"/>
    <w:rsid w:val="00E518FF"/>
    <w:rsid w:val="00E51943"/>
    <w:rsid w:val="00E51AAC"/>
    <w:rsid w:val="00E51AFA"/>
    <w:rsid w:val="00E51E30"/>
    <w:rsid w:val="00E51E68"/>
    <w:rsid w:val="00E5202D"/>
    <w:rsid w:val="00E521A0"/>
    <w:rsid w:val="00E524A7"/>
    <w:rsid w:val="00E524BD"/>
    <w:rsid w:val="00E526AC"/>
    <w:rsid w:val="00E52A73"/>
    <w:rsid w:val="00E52B67"/>
    <w:rsid w:val="00E52EAD"/>
    <w:rsid w:val="00E52F68"/>
    <w:rsid w:val="00E5303F"/>
    <w:rsid w:val="00E530E0"/>
    <w:rsid w:val="00E5316B"/>
    <w:rsid w:val="00E53223"/>
    <w:rsid w:val="00E5340F"/>
    <w:rsid w:val="00E535DB"/>
    <w:rsid w:val="00E53A1E"/>
    <w:rsid w:val="00E53C70"/>
    <w:rsid w:val="00E53DFA"/>
    <w:rsid w:val="00E53EA7"/>
    <w:rsid w:val="00E53F97"/>
    <w:rsid w:val="00E54245"/>
    <w:rsid w:val="00E542B1"/>
    <w:rsid w:val="00E544A3"/>
    <w:rsid w:val="00E546C3"/>
    <w:rsid w:val="00E5483A"/>
    <w:rsid w:val="00E54937"/>
    <w:rsid w:val="00E54D4C"/>
    <w:rsid w:val="00E54DC4"/>
    <w:rsid w:val="00E54EB5"/>
    <w:rsid w:val="00E54FE5"/>
    <w:rsid w:val="00E54FF7"/>
    <w:rsid w:val="00E5500E"/>
    <w:rsid w:val="00E552D5"/>
    <w:rsid w:val="00E552E7"/>
    <w:rsid w:val="00E552ED"/>
    <w:rsid w:val="00E55425"/>
    <w:rsid w:val="00E555FC"/>
    <w:rsid w:val="00E55A63"/>
    <w:rsid w:val="00E55B9A"/>
    <w:rsid w:val="00E55BE6"/>
    <w:rsid w:val="00E55C98"/>
    <w:rsid w:val="00E55EC3"/>
    <w:rsid w:val="00E55F98"/>
    <w:rsid w:val="00E55FA8"/>
    <w:rsid w:val="00E56148"/>
    <w:rsid w:val="00E562AE"/>
    <w:rsid w:val="00E562F5"/>
    <w:rsid w:val="00E563CB"/>
    <w:rsid w:val="00E564CA"/>
    <w:rsid w:val="00E564F5"/>
    <w:rsid w:val="00E5676C"/>
    <w:rsid w:val="00E56971"/>
    <w:rsid w:val="00E569F0"/>
    <w:rsid w:val="00E56A87"/>
    <w:rsid w:val="00E56B06"/>
    <w:rsid w:val="00E56B12"/>
    <w:rsid w:val="00E56B67"/>
    <w:rsid w:val="00E56BE7"/>
    <w:rsid w:val="00E56FA5"/>
    <w:rsid w:val="00E57107"/>
    <w:rsid w:val="00E57327"/>
    <w:rsid w:val="00E57377"/>
    <w:rsid w:val="00E574B9"/>
    <w:rsid w:val="00E57820"/>
    <w:rsid w:val="00E57920"/>
    <w:rsid w:val="00E5799F"/>
    <w:rsid w:val="00E57A0E"/>
    <w:rsid w:val="00E57B6F"/>
    <w:rsid w:val="00E57C8D"/>
    <w:rsid w:val="00E57D86"/>
    <w:rsid w:val="00E57F45"/>
    <w:rsid w:val="00E60084"/>
    <w:rsid w:val="00E6021B"/>
    <w:rsid w:val="00E60417"/>
    <w:rsid w:val="00E60563"/>
    <w:rsid w:val="00E605E6"/>
    <w:rsid w:val="00E6066A"/>
    <w:rsid w:val="00E607EA"/>
    <w:rsid w:val="00E60822"/>
    <w:rsid w:val="00E60872"/>
    <w:rsid w:val="00E60C16"/>
    <w:rsid w:val="00E60CAD"/>
    <w:rsid w:val="00E61011"/>
    <w:rsid w:val="00E610C5"/>
    <w:rsid w:val="00E6127F"/>
    <w:rsid w:val="00E613BC"/>
    <w:rsid w:val="00E61462"/>
    <w:rsid w:val="00E61469"/>
    <w:rsid w:val="00E615A8"/>
    <w:rsid w:val="00E61664"/>
    <w:rsid w:val="00E61699"/>
    <w:rsid w:val="00E6177C"/>
    <w:rsid w:val="00E617CC"/>
    <w:rsid w:val="00E61A3F"/>
    <w:rsid w:val="00E61B34"/>
    <w:rsid w:val="00E61CE8"/>
    <w:rsid w:val="00E61D40"/>
    <w:rsid w:val="00E61DCC"/>
    <w:rsid w:val="00E61EE7"/>
    <w:rsid w:val="00E61EEA"/>
    <w:rsid w:val="00E62044"/>
    <w:rsid w:val="00E620FD"/>
    <w:rsid w:val="00E621BB"/>
    <w:rsid w:val="00E622ED"/>
    <w:rsid w:val="00E62327"/>
    <w:rsid w:val="00E6236E"/>
    <w:rsid w:val="00E62408"/>
    <w:rsid w:val="00E62596"/>
    <w:rsid w:val="00E625A4"/>
    <w:rsid w:val="00E62897"/>
    <w:rsid w:val="00E62929"/>
    <w:rsid w:val="00E62988"/>
    <w:rsid w:val="00E62B8D"/>
    <w:rsid w:val="00E62C25"/>
    <w:rsid w:val="00E62CC4"/>
    <w:rsid w:val="00E62DF0"/>
    <w:rsid w:val="00E62F0E"/>
    <w:rsid w:val="00E62F2C"/>
    <w:rsid w:val="00E62FDA"/>
    <w:rsid w:val="00E63199"/>
    <w:rsid w:val="00E632CC"/>
    <w:rsid w:val="00E632ED"/>
    <w:rsid w:val="00E633D1"/>
    <w:rsid w:val="00E633F1"/>
    <w:rsid w:val="00E63442"/>
    <w:rsid w:val="00E63451"/>
    <w:rsid w:val="00E635B6"/>
    <w:rsid w:val="00E637C3"/>
    <w:rsid w:val="00E63852"/>
    <w:rsid w:val="00E6392B"/>
    <w:rsid w:val="00E639AD"/>
    <w:rsid w:val="00E63A1B"/>
    <w:rsid w:val="00E63A8B"/>
    <w:rsid w:val="00E63AAB"/>
    <w:rsid w:val="00E63AEA"/>
    <w:rsid w:val="00E63D49"/>
    <w:rsid w:val="00E63DAE"/>
    <w:rsid w:val="00E64147"/>
    <w:rsid w:val="00E641C4"/>
    <w:rsid w:val="00E643D3"/>
    <w:rsid w:val="00E64464"/>
    <w:rsid w:val="00E64534"/>
    <w:rsid w:val="00E64ACA"/>
    <w:rsid w:val="00E64C0F"/>
    <w:rsid w:val="00E64EA2"/>
    <w:rsid w:val="00E65B23"/>
    <w:rsid w:val="00E65C0B"/>
    <w:rsid w:val="00E65CB7"/>
    <w:rsid w:val="00E65D5C"/>
    <w:rsid w:val="00E65E44"/>
    <w:rsid w:val="00E65E45"/>
    <w:rsid w:val="00E65ECD"/>
    <w:rsid w:val="00E65FDF"/>
    <w:rsid w:val="00E660B7"/>
    <w:rsid w:val="00E6612E"/>
    <w:rsid w:val="00E66564"/>
    <w:rsid w:val="00E6657A"/>
    <w:rsid w:val="00E6662F"/>
    <w:rsid w:val="00E667D8"/>
    <w:rsid w:val="00E66A46"/>
    <w:rsid w:val="00E66AB3"/>
    <w:rsid w:val="00E66AB5"/>
    <w:rsid w:val="00E66E74"/>
    <w:rsid w:val="00E66FB4"/>
    <w:rsid w:val="00E670AB"/>
    <w:rsid w:val="00E67140"/>
    <w:rsid w:val="00E67267"/>
    <w:rsid w:val="00E67357"/>
    <w:rsid w:val="00E67664"/>
    <w:rsid w:val="00E676F8"/>
    <w:rsid w:val="00E67820"/>
    <w:rsid w:val="00E678A9"/>
    <w:rsid w:val="00E67AA5"/>
    <w:rsid w:val="00E67B4E"/>
    <w:rsid w:val="00E67BA8"/>
    <w:rsid w:val="00E67CF2"/>
    <w:rsid w:val="00E67D2B"/>
    <w:rsid w:val="00E67DF9"/>
    <w:rsid w:val="00E67E09"/>
    <w:rsid w:val="00E67E0C"/>
    <w:rsid w:val="00E67E2F"/>
    <w:rsid w:val="00E67EAF"/>
    <w:rsid w:val="00E67F9F"/>
    <w:rsid w:val="00E70077"/>
    <w:rsid w:val="00E701FF"/>
    <w:rsid w:val="00E702D3"/>
    <w:rsid w:val="00E703A1"/>
    <w:rsid w:val="00E70708"/>
    <w:rsid w:val="00E707EC"/>
    <w:rsid w:val="00E7086F"/>
    <w:rsid w:val="00E70963"/>
    <w:rsid w:val="00E70C1A"/>
    <w:rsid w:val="00E70C1D"/>
    <w:rsid w:val="00E70ED7"/>
    <w:rsid w:val="00E70EE8"/>
    <w:rsid w:val="00E70F0B"/>
    <w:rsid w:val="00E71233"/>
    <w:rsid w:val="00E7149D"/>
    <w:rsid w:val="00E716FB"/>
    <w:rsid w:val="00E7186A"/>
    <w:rsid w:val="00E719D7"/>
    <w:rsid w:val="00E71A54"/>
    <w:rsid w:val="00E71AA6"/>
    <w:rsid w:val="00E71B0D"/>
    <w:rsid w:val="00E71F01"/>
    <w:rsid w:val="00E71F35"/>
    <w:rsid w:val="00E71FC8"/>
    <w:rsid w:val="00E721C8"/>
    <w:rsid w:val="00E722F1"/>
    <w:rsid w:val="00E7237C"/>
    <w:rsid w:val="00E72496"/>
    <w:rsid w:val="00E725CE"/>
    <w:rsid w:val="00E7270F"/>
    <w:rsid w:val="00E72869"/>
    <w:rsid w:val="00E728DF"/>
    <w:rsid w:val="00E72DAD"/>
    <w:rsid w:val="00E730CA"/>
    <w:rsid w:val="00E7316F"/>
    <w:rsid w:val="00E736E4"/>
    <w:rsid w:val="00E737A5"/>
    <w:rsid w:val="00E737A7"/>
    <w:rsid w:val="00E737AC"/>
    <w:rsid w:val="00E738C7"/>
    <w:rsid w:val="00E7390C"/>
    <w:rsid w:val="00E739E3"/>
    <w:rsid w:val="00E73B6F"/>
    <w:rsid w:val="00E73BC7"/>
    <w:rsid w:val="00E73C0D"/>
    <w:rsid w:val="00E73C3E"/>
    <w:rsid w:val="00E73C97"/>
    <w:rsid w:val="00E73E92"/>
    <w:rsid w:val="00E73FA8"/>
    <w:rsid w:val="00E73FC3"/>
    <w:rsid w:val="00E74210"/>
    <w:rsid w:val="00E7427A"/>
    <w:rsid w:val="00E74345"/>
    <w:rsid w:val="00E74383"/>
    <w:rsid w:val="00E74470"/>
    <w:rsid w:val="00E74748"/>
    <w:rsid w:val="00E747ED"/>
    <w:rsid w:val="00E74800"/>
    <w:rsid w:val="00E74807"/>
    <w:rsid w:val="00E7497E"/>
    <w:rsid w:val="00E74B1C"/>
    <w:rsid w:val="00E74B79"/>
    <w:rsid w:val="00E74BDE"/>
    <w:rsid w:val="00E74C59"/>
    <w:rsid w:val="00E74CE2"/>
    <w:rsid w:val="00E75028"/>
    <w:rsid w:val="00E751CB"/>
    <w:rsid w:val="00E752AB"/>
    <w:rsid w:val="00E752EF"/>
    <w:rsid w:val="00E75592"/>
    <w:rsid w:val="00E756DC"/>
    <w:rsid w:val="00E756E5"/>
    <w:rsid w:val="00E757BC"/>
    <w:rsid w:val="00E7589E"/>
    <w:rsid w:val="00E758DE"/>
    <w:rsid w:val="00E75A41"/>
    <w:rsid w:val="00E75C3B"/>
    <w:rsid w:val="00E75F42"/>
    <w:rsid w:val="00E75F6B"/>
    <w:rsid w:val="00E7604C"/>
    <w:rsid w:val="00E7605F"/>
    <w:rsid w:val="00E760BF"/>
    <w:rsid w:val="00E76440"/>
    <w:rsid w:val="00E765DC"/>
    <w:rsid w:val="00E766AF"/>
    <w:rsid w:val="00E766B3"/>
    <w:rsid w:val="00E766D9"/>
    <w:rsid w:val="00E76B68"/>
    <w:rsid w:val="00E76C76"/>
    <w:rsid w:val="00E76EC1"/>
    <w:rsid w:val="00E76FE1"/>
    <w:rsid w:val="00E7705B"/>
    <w:rsid w:val="00E77327"/>
    <w:rsid w:val="00E7733F"/>
    <w:rsid w:val="00E7745B"/>
    <w:rsid w:val="00E7747D"/>
    <w:rsid w:val="00E774F1"/>
    <w:rsid w:val="00E77608"/>
    <w:rsid w:val="00E7763D"/>
    <w:rsid w:val="00E77815"/>
    <w:rsid w:val="00E77896"/>
    <w:rsid w:val="00E778F4"/>
    <w:rsid w:val="00E779BD"/>
    <w:rsid w:val="00E77ADA"/>
    <w:rsid w:val="00E77AE2"/>
    <w:rsid w:val="00E77BE5"/>
    <w:rsid w:val="00E77D78"/>
    <w:rsid w:val="00E77E62"/>
    <w:rsid w:val="00E77E8E"/>
    <w:rsid w:val="00E77FEA"/>
    <w:rsid w:val="00E8000F"/>
    <w:rsid w:val="00E8007C"/>
    <w:rsid w:val="00E801A5"/>
    <w:rsid w:val="00E80262"/>
    <w:rsid w:val="00E80475"/>
    <w:rsid w:val="00E80587"/>
    <w:rsid w:val="00E80813"/>
    <w:rsid w:val="00E80974"/>
    <w:rsid w:val="00E80A5B"/>
    <w:rsid w:val="00E80B20"/>
    <w:rsid w:val="00E80C88"/>
    <w:rsid w:val="00E80D59"/>
    <w:rsid w:val="00E80FB2"/>
    <w:rsid w:val="00E81408"/>
    <w:rsid w:val="00E8169B"/>
    <w:rsid w:val="00E8173E"/>
    <w:rsid w:val="00E81A30"/>
    <w:rsid w:val="00E81A56"/>
    <w:rsid w:val="00E81B1B"/>
    <w:rsid w:val="00E81D2E"/>
    <w:rsid w:val="00E821E4"/>
    <w:rsid w:val="00E8256A"/>
    <w:rsid w:val="00E82802"/>
    <w:rsid w:val="00E82833"/>
    <w:rsid w:val="00E82A4F"/>
    <w:rsid w:val="00E82B10"/>
    <w:rsid w:val="00E82BF3"/>
    <w:rsid w:val="00E82C1C"/>
    <w:rsid w:val="00E82C27"/>
    <w:rsid w:val="00E82D37"/>
    <w:rsid w:val="00E82D57"/>
    <w:rsid w:val="00E82F93"/>
    <w:rsid w:val="00E8302A"/>
    <w:rsid w:val="00E8304C"/>
    <w:rsid w:val="00E832A6"/>
    <w:rsid w:val="00E834E5"/>
    <w:rsid w:val="00E835D2"/>
    <w:rsid w:val="00E83679"/>
    <w:rsid w:val="00E837AE"/>
    <w:rsid w:val="00E837DD"/>
    <w:rsid w:val="00E837FF"/>
    <w:rsid w:val="00E83859"/>
    <w:rsid w:val="00E83C21"/>
    <w:rsid w:val="00E83C76"/>
    <w:rsid w:val="00E83D7F"/>
    <w:rsid w:val="00E83DA7"/>
    <w:rsid w:val="00E840E2"/>
    <w:rsid w:val="00E84199"/>
    <w:rsid w:val="00E8440D"/>
    <w:rsid w:val="00E84474"/>
    <w:rsid w:val="00E844E9"/>
    <w:rsid w:val="00E848EE"/>
    <w:rsid w:val="00E849BE"/>
    <w:rsid w:val="00E84A45"/>
    <w:rsid w:val="00E84BA5"/>
    <w:rsid w:val="00E84E8C"/>
    <w:rsid w:val="00E85074"/>
    <w:rsid w:val="00E85103"/>
    <w:rsid w:val="00E85159"/>
    <w:rsid w:val="00E85251"/>
    <w:rsid w:val="00E853BF"/>
    <w:rsid w:val="00E85506"/>
    <w:rsid w:val="00E856B1"/>
    <w:rsid w:val="00E8571B"/>
    <w:rsid w:val="00E857FF"/>
    <w:rsid w:val="00E859DD"/>
    <w:rsid w:val="00E85A82"/>
    <w:rsid w:val="00E85B55"/>
    <w:rsid w:val="00E85E88"/>
    <w:rsid w:val="00E85F8C"/>
    <w:rsid w:val="00E860FB"/>
    <w:rsid w:val="00E86132"/>
    <w:rsid w:val="00E861BE"/>
    <w:rsid w:val="00E8628D"/>
    <w:rsid w:val="00E869CA"/>
    <w:rsid w:val="00E86A44"/>
    <w:rsid w:val="00E86A46"/>
    <w:rsid w:val="00E86A7B"/>
    <w:rsid w:val="00E86BA4"/>
    <w:rsid w:val="00E86C51"/>
    <w:rsid w:val="00E86CF3"/>
    <w:rsid w:val="00E86EA1"/>
    <w:rsid w:val="00E86F2A"/>
    <w:rsid w:val="00E86FB0"/>
    <w:rsid w:val="00E87035"/>
    <w:rsid w:val="00E8728B"/>
    <w:rsid w:val="00E873E1"/>
    <w:rsid w:val="00E87510"/>
    <w:rsid w:val="00E87803"/>
    <w:rsid w:val="00E8799F"/>
    <w:rsid w:val="00E87B9D"/>
    <w:rsid w:val="00E87D61"/>
    <w:rsid w:val="00E87E14"/>
    <w:rsid w:val="00E87F98"/>
    <w:rsid w:val="00E903AD"/>
    <w:rsid w:val="00E9042B"/>
    <w:rsid w:val="00E904F0"/>
    <w:rsid w:val="00E90653"/>
    <w:rsid w:val="00E906D8"/>
    <w:rsid w:val="00E90812"/>
    <w:rsid w:val="00E9098D"/>
    <w:rsid w:val="00E90AB4"/>
    <w:rsid w:val="00E90B11"/>
    <w:rsid w:val="00E90B5E"/>
    <w:rsid w:val="00E912EC"/>
    <w:rsid w:val="00E9136A"/>
    <w:rsid w:val="00E91550"/>
    <w:rsid w:val="00E9163D"/>
    <w:rsid w:val="00E916B2"/>
    <w:rsid w:val="00E91792"/>
    <w:rsid w:val="00E91931"/>
    <w:rsid w:val="00E9193F"/>
    <w:rsid w:val="00E91949"/>
    <w:rsid w:val="00E91A4E"/>
    <w:rsid w:val="00E91A7B"/>
    <w:rsid w:val="00E91B4F"/>
    <w:rsid w:val="00E91D7B"/>
    <w:rsid w:val="00E91EAD"/>
    <w:rsid w:val="00E91FB1"/>
    <w:rsid w:val="00E922E7"/>
    <w:rsid w:val="00E92399"/>
    <w:rsid w:val="00E92518"/>
    <w:rsid w:val="00E92656"/>
    <w:rsid w:val="00E926A1"/>
    <w:rsid w:val="00E92851"/>
    <w:rsid w:val="00E928A8"/>
    <w:rsid w:val="00E9299A"/>
    <w:rsid w:val="00E92A27"/>
    <w:rsid w:val="00E92A77"/>
    <w:rsid w:val="00E92B0B"/>
    <w:rsid w:val="00E92C93"/>
    <w:rsid w:val="00E92CA4"/>
    <w:rsid w:val="00E92D42"/>
    <w:rsid w:val="00E92DE4"/>
    <w:rsid w:val="00E92E8C"/>
    <w:rsid w:val="00E92F84"/>
    <w:rsid w:val="00E92FA5"/>
    <w:rsid w:val="00E93138"/>
    <w:rsid w:val="00E93141"/>
    <w:rsid w:val="00E93568"/>
    <w:rsid w:val="00E936BF"/>
    <w:rsid w:val="00E9375C"/>
    <w:rsid w:val="00E9397B"/>
    <w:rsid w:val="00E93AE6"/>
    <w:rsid w:val="00E93C05"/>
    <w:rsid w:val="00E94303"/>
    <w:rsid w:val="00E944C3"/>
    <w:rsid w:val="00E94520"/>
    <w:rsid w:val="00E94604"/>
    <w:rsid w:val="00E94609"/>
    <w:rsid w:val="00E94677"/>
    <w:rsid w:val="00E94707"/>
    <w:rsid w:val="00E949BF"/>
    <w:rsid w:val="00E94D6A"/>
    <w:rsid w:val="00E951E8"/>
    <w:rsid w:val="00E9529A"/>
    <w:rsid w:val="00E95348"/>
    <w:rsid w:val="00E95376"/>
    <w:rsid w:val="00E957A8"/>
    <w:rsid w:val="00E95944"/>
    <w:rsid w:val="00E95993"/>
    <w:rsid w:val="00E95BB6"/>
    <w:rsid w:val="00E95CF4"/>
    <w:rsid w:val="00E96060"/>
    <w:rsid w:val="00E960CD"/>
    <w:rsid w:val="00E9639D"/>
    <w:rsid w:val="00E96748"/>
    <w:rsid w:val="00E968A1"/>
    <w:rsid w:val="00E96AB3"/>
    <w:rsid w:val="00E96C81"/>
    <w:rsid w:val="00E970B8"/>
    <w:rsid w:val="00E970D7"/>
    <w:rsid w:val="00E97321"/>
    <w:rsid w:val="00E97373"/>
    <w:rsid w:val="00E9757A"/>
    <w:rsid w:val="00E9757C"/>
    <w:rsid w:val="00E97597"/>
    <w:rsid w:val="00E975AA"/>
    <w:rsid w:val="00E97695"/>
    <w:rsid w:val="00E97A35"/>
    <w:rsid w:val="00E97A63"/>
    <w:rsid w:val="00E97AEF"/>
    <w:rsid w:val="00E97B08"/>
    <w:rsid w:val="00E97DA7"/>
    <w:rsid w:val="00E97DF2"/>
    <w:rsid w:val="00E97FEF"/>
    <w:rsid w:val="00E9FED7"/>
    <w:rsid w:val="00EA0004"/>
    <w:rsid w:val="00EA00BD"/>
    <w:rsid w:val="00EA023A"/>
    <w:rsid w:val="00EA0410"/>
    <w:rsid w:val="00EA066A"/>
    <w:rsid w:val="00EA0831"/>
    <w:rsid w:val="00EA0911"/>
    <w:rsid w:val="00EA0A07"/>
    <w:rsid w:val="00EA0B3A"/>
    <w:rsid w:val="00EA0D30"/>
    <w:rsid w:val="00EA1125"/>
    <w:rsid w:val="00EA118D"/>
    <w:rsid w:val="00EA1233"/>
    <w:rsid w:val="00EA1298"/>
    <w:rsid w:val="00EA12C0"/>
    <w:rsid w:val="00EA1478"/>
    <w:rsid w:val="00EA1536"/>
    <w:rsid w:val="00EA1581"/>
    <w:rsid w:val="00EA15F6"/>
    <w:rsid w:val="00EA162C"/>
    <w:rsid w:val="00EA168D"/>
    <w:rsid w:val="00EA1AC3"/>
    <w:rsid w:val="00EA1B78"/>
    <w:rsid w:val="00EA1B89"/>
    <w:rsid w:val="00EA1CCE"/>
    <w:rsid w:val="00EA1E27"/>
    <w:rsid w:val="00EA1F95"/>
    <w:rsid w:val="00EA207C"/>
    <w:rsid w:val="00EA2101"/>
    <w:rsid w:val="00EA218B"/>
    <w:rsid w:val="00EA223C"/>
    <w:rsid w:val="00EA2357"/>
    <w:rsid w:val="00EA24A3"/>
    <w:rsid w:val="00EA268D"/>
    <w:rsid w:val="00EA269F"/>
    <w:rsid w:val="00EA2755"/>
    <w:rsid w:val="00EA2769"/>
    <w:rsid w:val="00EA294D"/>
    <w:rsid w:val="00EA2BAF"/>
    <w:rsid w:val="00EA2E3D"/>
    <w:rsid w:val="00EA302D"/>
    <w:rsid w:val="00EA31ED"/>
    <w:rsid w:val="00EA3284"/>
    <w:rsid w:val="00EA3409"/>
    <w:rsid w:val="00EA360F"/>
    <w:rsid w:val="00EA3738"/>
    <w:rsid w:val="00EA374B"/>
    <w:rsid w:val="00EA391C"/>
    <w:rsid w:val="00EA39F5"/>
    <w:rsid w:val="00EA3AF8"/>
    <w:rsid w:val="00EA3C84"/>
    <w:rsid w:val="00EA3E33"/>
    <w:rsid w:val="00EA3E99"/>
    <w:rsid w:val="00EA4012"/>
    <w:rsid w:val="00EA4080"/>
    <w:rsid w:val="00EA40B3"/>
    <w:rsid w:val="00EA40D3"/>
    <w:rsid w:val="00EA41B8"/>
    <w:rsid w:val="00EA4350"/>
    <w:rsid w:val="00EA43A3"/>
    <w:rsid w:val="00EA43DB"/>
    <w:rsid w:val="00EA44C9"/>
    <w:rsid w:val="00EA44DF"/>
    <w:rsid w:val="00EA48FD"/>
    <w:rsid w:val="00EA4A2D"/>
    <w:rsid w:val="00EA4AA6"/>
    <w:rsid w:val="00EA4B04"/>
    <w:rsid w:val="00EA4B6F"/>
    <w:rsid w:val="00EA4EFA"/>
    <w:rsid w:val="00EA4F56"/>
    <w:rsid w:val="00EA5203"/>
    <w:rsid w:val="00EA543C"/>
    <w:rsid w:val="00EA549B"/>
    <w:rsid w:val="00EA5624"/>
    <w:rsid w:val="00EA5654"/>
    <w:rsid w:val="00EA5662"/>
    <w:rsid w:val="00EA567B"/>
    <w:rsid w:val="00EA57C1"/>
    <w:rsid w:val="00EA5831"/>
    <w:rsid w:val="00EA5849"/>
    <w:rsid w:val="00EA5886"/>
    <w:rsid w:val="00EA5A8C"/>
    <w:rsid w:val="00EA5BE1"/>
    <w:rsid w:val="00EA5C13"/>
    <w:rsid w:val="00EA5C62"/>
    <w:rsid w:val="00EA5D90"/>
    <w:rsid w:val="00EA5F6B"/>
    <w:rsid w:val="00EA6107"/>
    <w:rsid w:val="00EA67A4"/>
    <w:rsid w:val="00EA6801"/>
    <w:rsid w:val="00EA680D"/>
    <w:rsid w:val="00EA6847"/>
    <w:rsid w:val="00EA6968"/>
    <w:rsid w:val="00EA69A4"/>
    <w:rsid w:val="00EA6D6F"/>
    <w:rsid w:val="00EA6D77"/>
    <w:rsid w:val="00EA7088"/>
    <w:rsid w:val="00EA71F4"/>
    <w:rsid w:val="00EA728C"/>
    <w:rsid w:val="00EA72A2"/>
    <w:rsid w:val="00EA734F"/>
    <w:rsid w:val="00EA75A0"/>
    <w:rsid w:val="00EA75BF"/>
    <w:rsid w:val="00EA75DD"/>
    <w:rsid w:val="00EA7846"/>
    <w:rsid w:val="00EA788F"/>
    <w:rsid w:val="00EA78E8"/>
    <w:rsid w:val="00EA795D"/>
    <w:rsid w:val="00EA7985"/>
    <w:rsid w:val="00EA7C19"/>
    <w:rsid w:val="00EA7C24"/>
    <w:rsid w:val="00EA7FD7"/>
    <w:rsid w:val="00EB009C"/>
    <w:rsid w:val="00EB0138"/>
    <w:rsid w:val="00EB0244"/>
    <w:rsid w:val="00EB034E"/>
    <w:rsid w:val="00EB04C2"/>
    <w:rsid w:val="00EB0578"/>
    <w:rsid w:val="00EB0615"/>
    <w:rsid w:val="00EB07EC"/>
    <w:rsid w:val="00EB0B75"/>
    <w:rsid w:val="00EB0C8E"/>
    <w:rsid w:val="00EB0D74"/>
    <w:rsid w:val="00EB0DB2"/>
    <w:rsid w:val="00EB0E0B"/>
    <w:rsid w:val="00EB1113"/>
    <w:rsid w:val="00EB12EF"/>
    <w:rsid w:val="00EB1326"/>
    <w:rsid w:val="00EB144E"/>
    <w:rsid w:val="00EB1748"/>
    <w:rsid w:val="00EB17E5"/>
    <w:rsid w:val="00EB18A3"/>
    <w:rsid w:val="00EB1A0D"/>
    <w:rsid w:val="00EB1A92"/>
    <w:rsid w:val="00EB1B0C"/>
    <w:rsid w:val="00EB1C0E"/>
    <w:rsid w:val="00EB1CF9"/>
    <w:rsid w:val="00EB1E62"/>
    <w:rsid w:val="00EB1F89"/>
    <w:rsid w:val="00EB204B"/>
    <w:rsid w:val="00EB20FF"/>
    <w:rsid w:val="00EB21B3"/>
    <w:rsid w:val="00EB22E1"/>
    <w:rsid w:val="00EB2375"/>
    <w:rsid w:val="00EB23D8"/>
    <w:rsid w:val="00EB2474"/>
    <w:rsid w:val="00EB25EF"/>
    <w:rsid w:val="00EB2633"/>
    <w:rsid w:val="00EB26AD"/>
    <w:rsid w:val="00EB288A"/>
    <w:rsid w:val="00EB28BE"/>
    <w:rsid w:val="00EB28C8"/>
    <w:rsid w:val="00EB296D"/>
    <w:rsid w:val="00EB2CD5"/>
    <w:rsid w:val="00EB2FB6"/>
    <w:rsid w:val="00EB2FCC"/>
    <w:rsid w:val="00EB2FE0"/>
    <w:rsid w:val="00EB32CF"/>
    <w:rsid w:val="00EB333A"/>
    <w:rsid w:val="00EB33C2"/>
    <w:rsid w:val="00EB350B"/>
    <w:rsid w:val="00EB369D"/>
    <w:rsid w:val="00EB396D"/>
    <w:rsid w:val="00EB3B01"/>
    <w:rsid w:val="00EB3B44"/>
    <w:rsid w:val="00EB3B60"/>
    <w:rsid w:val="00EB3D24"/>
    <w:rsid w:val="00EB3D2E"/>
    <w:rsid w:val="00EB40F3"/>
    <w:rsid w:val="00EB41A6"/>
    <w:rsid w:val="00EB423F"/>
    <w:rsid w:val="00EB43C9"/>
    <w:rsid w:val="00EB44C5"/>
    <w:rsid w:val="00EB452D"/>
    <w:rsid w:val="00EB45DC"/>
    <w:rsid w:val="00EB474F"/>
    <w:rsid w:val="00EB4A07"/>
    <w:rsid w:val="00EB4BCC"/>
    <w:rsid w:val="00EB4E3A"/>
    <w:rsid w:val="00EB4E70"/>
    <w:rsid w:val="00EB4FE9"/>
    <w:rsid w:val="00EB5078"/>
    <w:rsid w:val="00EB508D"/>
    <w:rsid w:val="00EB5197"/>
    <w:rsid w:val="00EB5204"/>
    <w:rsid w:val="00EB5208"/>
    <w:rsid w:val="00EB53B8"/>
    <w:rsid w:val="00EB5758"/>
    <w:rsid w:val="00EB57C6"/>
    <w:rsid w:val="00EB5895"/>
    <w:rsid w:val="00EB58AA"/>
    <w:rsid w:val="00EB5F49"/>
    <w:rsid w:val="00EB61DB"/>
    <w:rsid w:val="00EB620B"/>
    <w:rsid w:val="00EB64AD"/>
    <w:rsid w:val="00EB67BB"/>
    <w:rsid w:val="00EB6880"/>
    <w:rsid w:val="00EB6E6E"/>
    <w:rsid w:val="00EB6E90"/>
    <w:rsid w:val="00EB72E4"/>
    <w:rsid w:val="00EB7356"/>
    <w:rsid w:val="00EB73D1"/>
    <w:rsid w:val="00EB7542"/>
    <w:rsid w:val="00EB777A"/>
    <w:rsid w:val="00EB77F2"/>
    <w:rsid w:val="00EB789C"/>
    <w:rsid w:val="00EB7935"/>
    <w:rsid w:val="00EB79D7"/>
    <w:rsid w:val="00EB7ADD"/>
    <w:rsid w:val="00EB7B7B"/>
    <w:rsid w:val="00EB7CF5"/>
    <w:rsid w:val="00EB7E7F"/>
    <w:rsid w:val="00EB7E9A"/>
    <w:rsid w:val="00EB7F0F"/>
    <w:rsid w:val="00EC0083"/>
    <w:rsid w:val="00EC0097"/>
    <w:rsid w:val="00EC033F"/>
    <w:rsid w:val="00EC034E"/>
    <w:rsid w:val="00EC0437"/>
    <w:rsid w:val="00EC0585"/>
    <w:rsid w:val="00EC058F"/>
    <w:rsid w:val="00EC0763"/>
    <w:rsid w:val="00EC0A10"/>
    <w:rsid w:val="00EC0B80"/>
    <w:rsid w:val="00EC0B88"/>
    <w:rsid w:val="00EC0BB4"/>
    <w:rsid w:val="00EC0BFB"/>
    <w:rsid w:val="00EC0C4D"/>
    <w:rsid w:val="00EC0CA3"/>
    <w:rsid w:val="00EC0CF3"/>
    <w:rsid w:val="00EC0D8E"/>
    <w:rsid w:val="00EC0F37"/>
    <w:rsid w:val="00EC0FD7"/>
    <w:rsid w:val="00EC1022"/>
    <w:rsid w:val="00EC10F3"/>
    <w:rsid w:val="00EC11C4"/>
    <w:rsid w:val="00EC12B7"/>
    <w:rsid w:val="00EC17CB"/>
    <w:rsid w:val="00EC1812"/>
    <w:rsid w:val="00EC1884"/>
    <w:rsid w:val="00EC18F0"/>
    <w:rsid w:val="00EC19A6"/>
    <w:rsid w:val="00EC1BAC"/>
    <w:rsid w:val="00EC1C6F"/>
    <w:rsid w:val="00EC1D23"/>
    <w:rsid w:val="00EC1DFF"/>
    <w:rsid w:val="00EC1FA5"/>
    <w:rsid w:val="00EC1FCF"/>
    <w:rsid w:val="00EC20B1"/>
    <w:rsid w:val="00EC20F4"/>
    <w:rsid w:val="00EC21B2"/>
    <w:rsid w:val="00EC2299"/>
    <w:rsid w:val="00EC233D"/>
    <w:rsid w:val="00EC238C"/>
    <w:rsid w:val="00EC293A"/>
    <w:rsid w:val="00EC2972"/>
    <w:rsid w:val="00EC2A5F"/>
    <w:rsid w:val="00EC2B19"/>
    <w:rsid w:val="00EC2BB5"/>
    <w:rsid w:val="00EC2C47"/>
    <w:rsid w:val="00EC2DFD"/>
    <w:rsid w:val="00EC2E7F"/>
    <w:rsid w:val="00EC2F26"/>
    <w:rsid w:val="00EC2FCA"/>
    <w:rsid w:val="00EC3049"/>
    <w:rsid w:val="00EC3091"/>
    <w:rsid w:val="00EC3199"/>
    <w:rsid w:val="00EC3338"/>
    <w:rsid w:val="00EC39E7"/>
    <w:rsid w:val="00EC3A5F"/>
    <w:rsid w:val="00EC3B0A"/>
    <w:rsid w:val="00EC3B3A"/>
    <w:rsid w:val="00EC3C6C"/>
    <w:rsid w:val="00EC3D8F"/>
    <w:rsid w:val="00EC40AB"/>
    <w:rsid w:val="00EC40D4"/>
    <w:rsid w:val="00EC40EC"/>
    <w:rsid w:val="00EC4346"/>
    <w:rsid w:val="00EC4501"/>
    <w:rsid w:val="00EC4922"/>
    <w:rsid w:val="00EC4B96"/>
    <w:rsid w:val="00EC4C2B"/>
    <w:rsid w:val="00EC4D00"/>
    <w:rsid w:val="00EC4E08"/>
    <w:rsid w:val="00EC4E31"/>
    <w:rsid w:val="00EC4E97"/>
    <w:rsid w:val="00EC509F"/>
    <w:rsid w:val="00EC51DD"/>
    <w:rsid w:val="00EC5200"/>
    <w:rsid w:val="00EC5409"/>
    <w:rsid w:val="00EC55F9"/>
    <w:rsid w:val="00EC564C"/>
    <w:rsid w:val="00EC5B64"/>
    <w:rsid w:val="00EC5BF9"/>
    <w:rsid w:val="00EC5C91"/>
    <w:rsid w:val="00EC5CF9"/>
    <w:rsid w:val="00EC5DDA"/>
    <w:rsid w:val="00EC5E3B"/>
    <w:rsid w:val="00EC5E90"/>
    <w:rsid w:val="00EC5F87"/>
    <w:rsid w:val="00EC5FC1"/>
    <w:rsid w:val="00EC6014"/>
    <w:rsid w:val="00EC6284"/>
    <w:rsid w:val="00EC6435"/>
    <w:rsid w:val="00EC6840"/>
    <w:rsid w:val="00EC68E8"/>
    <w:rsid w:val="00EC6910"/>
    <w:rsid w:val="00EC6B19"/>
    <w:rsid w:val="00EC6B3F"/>
    <w:rsid w:val="00EC6BA6"/>
    <w:rsid w:val="00EC6D3B"/>
    <w:rsid w:val="00EC6D74"/>
    <w:rsid w:val="00EC710E"/>
    <w:rsid w:val="00EC7142"/>
    <w:rsid w:val="00EC7218"/>
    <w:rsid w:val="00EC723F"/>
    <w:rsid w:val="00EC74A5"/>
    <w:rsid w:val="00EC74F5"/>
    <w:rsid w:val="00EC74FB"/>
    <w:rsid w:val="00EC7574"/>
    <w:rsid w:val="00EC76C4"/>
    <w:rsid w:val="00EC76EC"/>
    <w:rsid w:val="00EC78FA"/>
    <w:rsid w:val="00EC792D"/>
    <w:rsid w:val="00EC7F0D"/>
    <w:rsid w:val="00ED009A"/>
    <w:rsid w:val="00ED0645"/>
    <w:rsid w:val="00ED06CA"/>
    <w:rsid w:val="00ED0721"/>
    <w:rsid w:val="00ED0748"/>
    <w:rsid w:val="00ED074C"/>
    <w:rsid w:val="00ED08EC"/>
    <w:rsid w:val="00ED0CB6"/>
    <w:rsid w:val="00ED0FD4"/>
    <w:rsid w:val="00ED12FD"/>
    <w:rsid w:val="00ED1437"/>
    <w:rsid w:val="00ED1785"/>
    <w:rsid w:val="00ED17A2"/>
    <w:rsid w:val="00ED192A"/>
    <w:rsid w:val="00ED194A"/>
    <w:rsid w:val="00ED1978"/>
    <w:rsid w:val="00ED1C07"/>
    <w:rsid w:val="00ED1C4C"/>
    <w:rsid w:val="00ED1CBB"/>
    <w:rsid w:val="00ED1D10"/>
    <w:rsid w:val="00ED1FFB"/>
    <w:rsid w:val="00ED205F"/>
    <w:rsid w:val="00ED2174"/>
    <w:rsid w:val="00ED2290"/>
    <w:rsid w:val="00ED237C"/>
    <w:rsid w:val="00ED239B"/>
    <w:rsid w:val="00ED24DF"/>
    <w:rsid w:val="00ED2528"/>
    <w:rsid w:val="00ED269E"/>
    <w:rsid w:val="00ED27B8"/>
    <w:rsid w:val="00ED2C62"/>
    <w:rsid w:val="00ED2CB8"/>
    <w:rsid w:val="00ED2CD3"/>
    <w:rsid w:val="00ED2D06"/>
    <w:rsid w:val="00ED305E"/>
    <w:rsid w:val="00ED308F"/>
    <w:rsid w:val="00ED30D6"/>
    <w:rsid w:val="00ED3241"/>
    <w:rsid w:val="00ED352A"/>
    <w:rsid w:val="00ED3A17"/>
    <w:rsid w:val="00ED3A1A"/>
    <w:rsid w:val="00ED3B23"/>
    <w:rsid w:val="00ED3C6B"/>
    <w:rsid w:val="00ED3DD3"/>
    <w:rsid w:val="00ED3E7F"/>
    <w:rsid w:val="00ED3EF6"/>
    <w:rsid w:val="00ED3EFC"/>
    <w:rsid w:val="00ED3F66"/>
    <w:rsid w:val="00ED3FBB"/>
    <w:rsid w:val="00ED4146"/>
    <w:rsid w:val="00ED4150"/>
    <w:rsid w:val="00ED41EC"/>
    <w:rsid w:val="00ED43EC"/>
    <w:rsid w:val="00ED4509"/>
    <w:rsid w:val="00ED464D"/>
    <w:rsid w:val="00ED470E"/>
    <w:rsid w:val="00ED4C77"/>
    <w:rsid w:val="00ED4CD5"/>
    <w:rsid w:val="00ED5169"/>
    <w:rsid w:val="00ED532A"/>
    <w:rsid w:val="00ED5502"/>
    <w:rsid w:val="00ED5542"/>
    <w:rsid w:val="00ED558E"/>
    <w:rsid w:val="00ED5764"/>
    <w:rsid w:val="00ED596F"/>
    <w:rsid w:val="00ED59B6"/>
    <w:rsid w:val="00ED5A8F"/>
    <w:rsid w:val="00ED5FB8"/>
    <w:rsid w:val="00ED6075"/>
    <w:rsid w:val="00ED6598"/>
    <w:rsid w:val="00ED6682"/>
    <w:rsid w:val="00ED6723"/>
    <w:rsid w:val="00ED673D"/>
    <w:rsid w:val="00ED693B"/>
    <w:rsid w:val="00ED6964"/>
    <w:rsid w:val="00ED6984"/>
    <w:rsid w:val="00ED6A71"/>
    <w:rsid w:val="00ED6AA5"/>
    <w:rsid w:val="00ED6AF8"/>
    <w:rsid w:val="00ED6B7E"/>
    <w:rsid w:val="00ED6C62"/>
    <w:rsid w:val="00ED6CE8"/>
    <w:rsid w:val="00ED6DAA"/>
    <w:rsid w:val="00ED6E89"/>
    <w:rsid w:val="00ED7073"/>
    <w:rsid w:val="00ED70A8"/>
    <w:rsid w:val="00ED7252"/>
    <w:rsid w:val="00ED7445"/>
    <w:rsid w:val="00ED74EC"/>
    <w:rsid w:val="00ED758E"/>
    <w:rsid w:val="00ED7720"/>
    <w:rsid w:val="00ED77B4"/>
    <w:rsid w:val="00ED77C9"/>
    <w:rsid w:val="00ED7917"/>
    <w:rsid w:val="00ED7D0C"/>
    <w:rsid w:val="00ED7E6F"/>
    <w:rsid w:val="00EE0127"/>
    <w:rsid w:val="00EE02B4"/>
    <w:rsid w:val="00EE02CF"/>
    <w:rsid w:val="00EE02F8"/>
    <w:rsid w:val="00EE0375"/>
    <w:rsid w:val="00EE0479"/>
    <w:rsid w:val="00EE05A7"/>
    <w:rsid w:val="00EE067B"/>
    <w:rsid w:val="00EE07F3"/>
    <w:rsid w:val="00EE090E"/>
    <w:rsid w:val="00EE09C9"/>
    <w:rsid w:val="00EE0BE3"/>
    <w:rsid w:val="00EE0C00"/>
    <w:rsid w:val="00EE0DC1"/>
    <w:rsid w:val="00EE0E49"/>
    <w:rsid w:val="00EE0EC3"/>
    <w:rsid w:val="00EE0EF8"/>
    <w:rsid w:val="00EE0F97"/>
    <w:rsid w:val="00EE1058"/>
    <w:rsid w:val="00EE1066"/>
    <w:rsid w:val="00EE11FA"/>
    <w:rsid w:val="00EE1451"/>
    <w:rsid w:val="00EE1477"/>
    <w:rsid w:val="00EE1501"/>
    <w:rsid w:val="00EE1589"/>
    <w:rsid w:val="00EE15AA"/>
    <w:rsid w:val="00EE15F6"/>
    <w:rsid w:val="00EE164D"/>
    <w:rsid w:val="00EE180D"/>
    <w:rsid w:val="00EE19DE"/>
    <w:rsid w:val="00EE1E25"/>
    <w:rsid w:val="00EE1E68"/>
    <w:rsid w:val="00EE1E81"/>
    <w:rsid w:val="00EE1EE1"/>
    <w:rsid w:val="00EE1FC1"/>
    <w:rsid w:val="00EE20ED"/>
    <w:rsid w:val="00EE21B8"/>
    <w:rsid w:val="00EE2254"/>
    <w:rsid w:val="00EE2258"/>
    <w:rsid w:val="00EE22D6"/>
    <w:rsid w:val="00EE2454"/>
    <w:rsid w:val="00EE253A"/>
    <w:rsid w:val="00EE258F"/>
    <w:rsid w:val="00EE26CF"/>
    <w:rsid w:val="00EE26FD"/>
    <w:rsid w:val="00EE27E2"/>
    <w:rsid w:val="00EE27FC"/>
    <w:rsid w:val="00EE284F"/>
    <w:rsid w:val="00EE290F"/>
    <w:rsid w:val="00EE291C"/>
    <w:rsid w:val="00EE2E42"/>
    <w:rsid w:val="00EE2E50"/>
    <w:rsid w:val="00EE2E79"/>
    <w:rsid w:val="00EE2F0F"/>
    <w:rsid w:val="00EE319E"/>
    <w:rsid w:val="00EE3253"/>
    <w:rsid w:val="00EE3286"/>
    <w:rsid w:val="00EE33BF"/>
    <w:rsid w:val="00EE355E"/>
    <w:rsid w:val="00EE3647"/>
    <w:rsid w:val="00EE36DE"/>
    <w:rsid w:val="00EE376D"/>
    <w:rsid w:val="00EE39C4"/>
    <w:rsid w:val="00EE3D22"/>
    <w:rsid w:val="00EE3D5A"/>
    <w:rsid w:val="00EE3D6F"/>
    <w:rsid w:val="00EE3F3F"/>
    <w:rsid w:val="00EE3F71"/>
    <w:rsid w:val="00EE3FA9"/>
    <w:rsid w:val="00EE40C4"/>
    <w:rsid w:val="00EE420E"/>
    <w:rsid w:val="00EE438A"/>
    <w:rsid w:val="00EE439B"/>
    <w:rsid w:val="00EE43C0"/>
    <w:rsid w:val="00EE4574"/>
    <w:rsid w:val="00EE4C45"/>
    <w:rsid w:val="00EE4EF3"/>
    <w:rsid w:val="00EE50B2"/>
    <w:rsid w:val="00EE55E7"/>
    <w:rsid w:val="00EE571B"/>
    <w:rsid w:val="00EE57C6"/>
    <w:rsid w:val="00EE57FB"/>
    <w:rsid w:val="00EE58F9"/>
    <w:rsid w:val="00EE5BF6"/>
    <w:rsid w:val="00EE5D63"/>
    <w:rsid w:val="00EE5D8D"/>
    <w:rsid w:val="00EE5EFF"/>
    <w:rsid w:val="00EE5F98"/>
    <w:rsid w:val="00EE61FD"/>
    <w:rsid w:val="00EE6307"/>
    <w:rsid w:val="00EE6381"/>
    <w:rsid w:val="00EE656C"/>
    <w:rsid w:val="00EE690C"/>
    <w:rsid w:val="00EE6B43"/>
    <w:rsid w:val="00EE6CFA"/>
    <w:rsid w:val="00EE6F37"/>
    <w:rsid w:val="00EE6FC5"/>
    <w:rsid w:val="00EE7037"/>
    <w:rsid w:val="00EE703B"/>
    <w:rsid w:val="00EE7321"/>
    <w:rsid w:val="00EE763D"/>
    <w:rsid w:val="00EE76B5"/>
    <w:rsid w:val="00EE790D"/>
    <w:rsid w:val="00EE7EFE"/>
    <w:rsid w:val="00EF0272"/>
    <w:rsid w:val="00EF0469"/>
    <w:rsid w:val="00EF047D"/>
    <w:rsid w:val="00EF058A"/>
    <w:rsid w:val="00EF05DF"/>
    <w:rsid w:val="00EF0634"/>
    <w:rsid w:val="00EF078F"/>
    <w:rsid w:val="00EF0840"/>
    <w:rsid w:val="00EF0A2F"/>
    <w:rsid w:val="00EF0A66"/>
    <w:rsid w:val="00EF0A9E"/>
    <w:rsid w:val="00EF0BF7"/>
    <w:rsid w:val="00EF0CA6"/>
    <w:rsid w:val="00EF1039"/>
    <w:rsid w:val="00EF110C"/>
    <w:rsid w:val="00EF12F1"/>
    <w:rsid w:val="00EF143E"/>
    <w:rsid w:val="00EF1611"/>
    <w:rsid w:val="00EF1701"/>
    <w:rsid w:val="00EF1745"/>
    <w:rsid w:val="00EF17EC"/>
    <w:rsid w:val="00EF185E"/>
    <w:rsid w:val="00EF1A69"/>
    <w:rsid w:val="00EF1AA5"/>
    <w:rsid w:val="00EF1C40"/>
    <w:rsid w:val="00EF1CBB"/>
    <w:rsid w:val="00EF1CF1"/>
    <w:rsid w:val="00EF1EB4"/>
    <w:rsid w:val="00EF1ED6"/>
    <w:rsid w:val="00EF20F9"/>
    <w:rsid w:val="00EF211C"/>
    <w:rsid w:val="00EF2171"/>
    <w:rsid w:val="00EF23AD"/>
    <w:rsid w:val="00EF2477"/>
    <w:rsid w:val="00EF2616"/>
    <w:rsid w:val="00EF282A"/>
    <w:rsid w:val="00EF2C32"/>
    <w:rsid w:val="00EF2C75"/>
    <w:rsid w:val="00EF2E37"/>
    <w:rsid w:val="00EF2FF1"/>
    <w:rsid w:val="00EF310C"/>
    <w:rsid w:val="00EF32E4"/>
    <w:rsid w:val="00EF336D"/>
    <w:rsid w:val="00EF3524"/>
    <w:rsid w:val="00EF366C"/>
    <w:rsid w:val="00EF36DB"/>
    <w:rsid w:val="00EF39C8"/>
    <w:rsid w:val="00EF3B5B"/>
    <w:rsid w:val="00EF3C3B"/>
    <w:rsid w:val="00EF3C4B"/>
    <w:rsid w:val="00EF3C6D"/>
    <w:rsid w:val="00EF3E02"/>
    <w:rsid w:val="00EF3FA1"/>
    <w:rsid w:val="00EF3FEB"/>
    <w:rsid w:val="00EF410B"/>
    <w:rsid w:val="00EF4124"/>
    <w:rsid w:val="00EF41E4"/>
    <w:rsid w:val="00EF42C0"/>
    <w:rsid w:val="00EF42D6"/>
    <w:rsid w:val="00EF4400"/>
    <w:rsid w:val="00EF4409"/>
    <w:rsid w:val="00EF4534"/>
    <w:rsid w:val="00EF4883"/>
    <w:rsid w:val="00EF48C3"/>
    <w:rsid w:val="00EF4B40"/>
    <w:rsid w:val="00EF4D75"/>
    <w:rsid w:val="00EF4ECE"/>
    <w:rsid w:val="00EF50A2"/>
    <w:rsid w:val="00EF523E"/>
    <w:rsid w:val="00EF548D"/>
    <w:rsid w:val="00EF55AF"/>
    <w:rsid w:val="00EF58EF"/>
    <w:rsid w:val="00EF5C82"/>
    <w:rsid w:val="00EF5C97"/>
    <w:rsid w:val="00EF5CB3"/>
    <w:rsid w:val="00EF5CE4"/>
    <w:rsid w:val="00EF5D0E"/>
    <w:rsid w:val="00EF5D60"/>
    <w:rsid w:val="00EF5ECB"/>
    <w:rsid w:val="00EF6192"/>
    <w:rsid w:val="00EF61D4"/>
    <w:rsid w:val="00EF61F4"/>
    <w:rsid w:val="00EF62FF"/>
    <w:rsid w:val="00EF6323"/>
    <w:rsid w:val="00EF63C8"/>
    <w:rsid w:val="00EF63F4"/>
    <w:rsid w:val="00EF6595"/>
    <w:rsid w:val="00EF6719"/>
    <w:rsid w:val="00EF6C2A"/>
    <w:rsid w:val="00EF6CC2"/>
    <w:rsid w:val="00EF6CE2"/>
    <w:rsid w:val="00EF6D14"/>
    <w:rsid w:val="00EF6E37"/>
    <w:rsid w:val="00EF6F32"/>
    <w:rsid w:val="00EF6F60"/>
    <w:rsid w:val="00EF6FF7"/>
    <w:rsid w:val="00EF7165"/>
    <w:rsid w:val="00EF71B2"/>
    <w:rsid w:val="00EF7314"/>
    <w:rsid w:val="00EF732B"/>
    <w:rsid w:val="00EF73B5"/>
    <w:rsid w:val="00EF76FC"/>
    <w:rsid w:val="00EF7B5D"/>
    <w:rsid w:val="00EF7C81"/>
    <w:rsid w:val="00EF7E15"/>
    <w:rsid w:val="00EF7F91"/>
    <w:rsid w:val="00EF7FB0"/>
    <w:rsid w:val="00F00163"/>
    <w:rsid w:val="00F005F0"/>
    <w:rsid w:val="00F00786"/>
    <w:rsid w:val="00F0080E"/>
    <w:rsid w:val="00F00818"/>
    <w:rsid w:val="00F00989"/>
    <w:rsid w:val="00F00A8B"/>
    <w:rsid w:val="00F00A9C"/>
    <w:rsid w:val="00F00C8C"/>
    <w:rsid w:val="00F00D34"/>
    <w:rsid w:val="00F00DF7"/>
    <w:rsid w:val="00F01002"/>
    <w:rsid w:val="00F0103F"/>
    <w:rsid w:val="00F0105C"/>
    <w:rsid w:val="00F010F9"/>
    <w:rsid w:val="00F0118D"/>
    <w:rsid w:val="00F012C8"/>
    <w:rsid w:val="00F013A6"/>
    <w:rsid w:val="00F013CE"/>
    <w:rsid w:val="00F01803"/>
    <w:rsid w:val="00F01BD4"/>
    <w:rsid w:val="00F01EC8"/>
    <w:rsid w:val="00F01F04"/>
    <w:rsid w:val="00F01F65"/>
    <w:rsid w:val="00F01F8B"/>
    <w:rsid w:val="00F01F90"/>
    <w:rsid w:val="00F020EA"/>
    <w:rsid w:val="00F02441"/>
    <w:rsid w:val="00F0254C"/>
    <w:rsid w:val="00F029BA"/>
    <w:rsid w:val="00F02AF8"/>
    <w:rsid w:val="00F02B63"/>
    <w:rsid w:val="00F02B84"/>
    <w:rsid w:val="00F02B95"/>
    <w:rsid w:val="00F02BCB"/>
    <w:rsid w:val="00F02C6E"/>
    <w:rsid w:val="00F02D31"/>
    <w:rsid w:val="00F02DA8"/>
    <w:rsid w:val="00F02FD3"/>
    <w:rsid w:val="00F030F0"/>
    <w:rsid w:val="00F032DA"/>
    <w:rsid w:val="00F033FC"/>
    <w:rsid w:val="00F0345D"/>
    <w:rsid w:val="00F0350B"/>
    <w:rsid w:val="00F036DA"/>
    <w:rsid w:val="00F03700"/>
    <w:rsid w:val="00F0371E"/>
    <w:rsid w:val="00F03811"/>
    <w:rsid w:val="00F038EB"/>
    <w:rsid w:val="00F03907"/>
    <w:rsid w:val="00F03A6A"/>
    <w:rsid w:val="00F03EF4"/>
    <w:rsid w:val="00F0411A"/>
    <w:rsid w:val="00F04156"/>
    <w:rsid w:val="00F0438F"/>
    <w:rsid w:val="00F043E3"/>
    <w:rsid w:val="00F0442D"/>
    <w:rsid w:val="00F0447D"/>
    <w:rsid w:val="00F04490"/>
    <w:rsid w:val="00F0460A"/>
    <w:rsid w:val="00F04748"/>
    <w:rsid w:val="00F048C1"/>
    <w:rsid w:val="00F04956"/>
    <w:rsid w:val="00F04A20"/>
    <w:rsid w:val="00F04B86"/>
    <w:rsid w:val="00F04BC3"/>
    <w:rsid w:val="00F04CB9"/>
    <w:rsid w:val="00F04D13"/>
    <w:rsid w:val="00F04D59"/>
    <w:rsid w:val="00F04E51"/>
    <w:rsid w:val="00F053C0"/>
    <w:rsid w:val="00F053FE"/>
    <w:rsid w:val="00F0567D"/>
    <w:rsid w:val="00F0568D"/>
    <w:rsid w:val="00F05883"/>
    <w:rsid w:val="00F058F4"/>
    <w:rsid w:val="00F0599A"/>
    <w:rsid w:val="00F05A78"/>
    <w:rsid w:val="00F05CDD"/>
    <w:rsid w:val="00F05D56"/>
    <w:rsid w:val="00F05D6D"/>
    <w:rsid w:val="00F05EA5"/>
    <w:rsid w:val="00F05FD8"/>
    <w:rsid w:val="00F062FB"/>
    <w:rsid w:val="00F06309"/>
    <w:rsid w:val="00F06349"/>
    <w:rsid w:val="00F063AF"/>
    <w:rsid w:val="00F063B1"/>
    <w:rsid w:val="00F064D8"/>
    <w:rsid w:val="00F0664E"/>
    <w:rsid w:val="00F0668A"/>
    <w:rsid w:val="00F066A1"/>
    <w:rsid w:val="00F0673A"/>
    <w:rsid w:val="00F06773"/>
    <w:rsid w:val="00F06864"/>
    <w:rsid w:val="00F0689F"/>
    <w:rsid w:val="00F06B56"/>
    <w:rsid w:val="00F06C56"/>
    <w:rsid w:val="00F06C79"/>
    <w:rsid w:val="00F06D09"/>
    <w:rsid w:val="00F06D47"/>
    <w:rsid w:val="00F06FA6"/>
    <w:rsid w:val="00F06FAF"/>
    <w:rsid w:val="00F071B5"/>
    <w:rsid w:val="00F0720D"/>
    <w:rsid w:val="00F07767"/>
    <w:rsid w:val="00F078F7"/>
    <w:rsid w:val="00F07995"/>
    <w:rsid w:val="00F07AC7"/>
    <w:rsid w:val="00F07ADE"/>
    <w:rsid w:val="00F07AFC"/>
    <w:rsid w:val="00F07D8F"/>
    <w:rsid w:val="00F07DE3"/>
    <w:rsid w:val="00F07DEF"/>
    <w:rsid w:val="00F07ECE"/>
    <w:rsid w:val="00F07F11"/>
    <w:rsid w:val="00F104ED"/>
    <w:rsid w:val="00F1066C"/>
    <w:rsid w:val="00F10734"/>
    <w:rsid w:val="00F1087F"/>
    <w:rsid w:val="00F109D9"/>
    <w:rsid w:val="00F10E5C"/>
    <w:rsid w:val="00F10FD2"/>
    <w:rsid w:val="00F10FDB"/>
    <w:rsid w:val="00F11069"/>
    <w:rsid w:val="00F1149B"/>
    <w:rsid w:val="00F116E0"/>
    <w:rsid w:val="00F11728"/>
    <w:rsid w:val="00F11815"/>
    <w:rsid w:val="00F11B9E"/>
    <w:rsid w:val="00F11E23"/>
    <w:rsid w:val="00F12308"/>
    <w:rsid w:val="00F123B4"/>
    <w:rsid w:val="00F123D3"/>
    <w:rsid w:val="00F12472"/>
    <w:rsid w:val="00F129F8"/>
    <w:rsid w:val="00F12A7E"/>
    <w:rsid w:val="00F12B61"/>
    <w:rsid w:val="00F12B90"/>
    <w:rsid w:val="00F12E02"/>
    <w:rsid w:val="00F1305A"/>
    <w:rsid w:val="00F1306F"/>
    <w:rsid w:val="00F130EC"/>
    <w:rsid w:val="00F13114"/>
    <w:rsid w:val="00F131D3"/>
    <w:rsid w:val="00F13448"/>
    <w:rsid w:val="00F13555"/>
    <w:rsid w:val="00F13848"/>
    <w:rsid w:val="00F1392B"/>
    <w:rsid w:val="00F139B5"/>
    <w:rsid w:val="00F13A8B"/>
    <w:rsid w:val="00F13C9C"/>
    <w:rsid w:val="00F13E60"/>
    <w:rsid w:val="00F13FB7"/>
    <w:rsid w:val="00F13FB9"/>
    <w:rsid w:val="00F14056"/>
    <w:rsid w:val="00F1408F"/>
    <w:rsid w:val="00F141F1"/>
    <w:rsid w:val="00F14486"/>
    <w:rsid w:val="00F145A3"/>
    <w:rsid w:val="00F145BF"/>
    <w:rsid w:val="00F14806"/>
    <w:rsid w:val="00F1483C"/>
    <w:rsid w:val="00F14962"/>
    <w:rsid w:val="00F14A41"/>
    <w:rsid w:val="00F14AC5"/>
    <w:rsid w:val="00F14B0C"/>
    <w:rsid w:val="00F14D8F"/>
    <w:rsid w:val="00F14FBD"/>
    <w:rsid w:val="00F1501C"/>
    <w:rsid w:val="00F1504C"/>
    <w:rsid w:val="00F15097"/>
    <w:rsid w:val="00F150F5"/>
    <w:rsid w:val="00F151A7"/>
    <w:rsid w:val="00F15386"/>
    <w:rsid w:val="00F155DE"/>
    <w:rsid w:val="00F1568A"/>
    <w:rsid w:val="00F156A3"/>
    <w:rsid w:val="00F1575D"/>
    <w:rsid w:val="00F1583D"/>
    <w:rsid w:val="00F15974"/>
    <w:rsid w:val="00F15D21"/>
    <w:rsid w:val="00F15EEB"/>
    <w:rsid w:val="00F15F2B"/>
    <w:rsid w:val="00F15F3D"/>
    <w:rsid w:val="00F15F40"/>
    <w:rsid w:val="00F1620C"/>
    <w:rsid w:val="00F16228"/>
    <w:rsid w:val="00F163AA"/>
    <w:rsid w:val="00F16791"/>
    <w:rsid w:val="00F1687C"/>
    <w:rsid w:val="00F16CE2"/>
    <w:rsid w:val="00F17069"/>
    <w:rsid w:val="00F17234"/>
    <w:rsid w:val="00F1723F"/>
    <w:rsid w:val="00F173C8"/>
    <w:rsid w:val="00F17488"/>
    <w:rsid w:val="00F174D1"/>
    <w:rsid w:val="00F178A3"/>
    <w:rsid w:val="00F17A49"/>
    <w:rsid w:val="00F17A6D"/>
    <w:rsid w:val="00F17DA1"/>
    <w:rsid w:val="00F17E24"/>
    <w:rsid w:val="00F17E81"/>
    <w:rsid w:val="00F17FB5"/>
    <w:rsid w:val="00F20136"/>
    <w:rsid w:val="00F202C1"/>
    <w:rsid w:val="00F203BF"/>
    <w:rsid w:val="00F203D5"/>
    <w:rsid w:val="00F203F9"/>
    <w:rsid w:val="00F2050C"/>
    <w:rsid w:val="00F20545"/>
    <w:rsid w:val="00F20B74"/>
    <w:rsid w:val="00F20C14"/>
    <w:rsid w:val="00F20C4A"/>
    <w:rsid w:val="00F20C52"/>
    <w:rsid w:val="00F20EEE"/>
    <w:rsid w:val="00F211B6"/>
    <w:rsid w:val="00F215AA"/>
    <w:rsid w:val="00F21698"/>
    <w:rsid w:val="00F216C8"/>
    <w:rsid w:val="00F21768"/>
    <w:rsid w:val="00F21853"/>
    <w:rsid w:val="00F2186B"/>
    <w:rsid w:val="00F219B3"/>
    <w:rsid w:val="00F21A1F"/>
    <w:rsid w:val="00F21A65"/>
    <w:rsid w:val="00F21A9B"/>
    <w:rsid w:val="00F21AF8"/>
    <w:rsid w:val="00F21B89"/>
    <w:rsid w:val="00F21CFF"/>
    <w:rsid w:val="00F21F3B"/>
    <w:rsid w:val="00F2210A"/>
    <w:rsid w:val="00F221C9"/>
    <w:rsid w:val="00F221E2"/>
    <w:rsid w:val="00F222C1"/>
    <w:rsid w:val="00F22319"/>
    <w:rsid w:val="00F225C5"/>
    <w:rsid w:val="00F22751"/>
    <w:rsid w:val="00F2292A"/>
    <w:rsid w:val="00F229B6"/>
    <w:rsid w:val="00F22A32"/>
    <w:rsid w:val="00F22A66"/>
    <w:rsid w:val="00F22CB6"/>
    <w:rsid w:val="00F22F94"/>
    <w:rsid w:val="00F23187"/>
    <w:rsid w:val="00F2330D"/>
    <w:rsid w:val="00F2337F"/>
    <w:rsid w:val="00F234A4"/>
    <w:rsid w:val="00F23601"/>
    <w:rsid w:val="00F2363D"/>
    <w:rsid w:val="00F237CF"/>
    <w:rsid w:val="00F23827"/>
    <w:rsid w:val="00F2385A"/>
    <w:rsid w:val="00F238A9"/>
    <w:rsid w:val="00F23ACF"/>
    <w:rsid w:val="00F23E05"/>
    <w:rsid w:val="00F23E4C"/>
    <w:rsid w:val="00F23E69"/>
    <w:rsid w:val="00F23F8F"/>
    <w:rsid w:val="00F2404D"/>
    <w:rsid w:val="00F241AE"/>
    <w:rsid w:val="00F24284"/>
    <w:rsid w:val="00F242A5"/>
    <w:rsid w:val="00F24310"/>
    <w:rsid w:val="00F243E2"/>
    <w:rsid w:val="00F2459E"/>
    <w:rsid w:val="00F2477E"/>
    <w:rsid w:val="00F24846"/>
    <w:rsid w:val="00F248BA"/>
    <w:rsid w:val="00F24970"/>
    <w:rsid w:val="00F24B2C"/>
    <w:rsid w:val="00F24F59"/>
    <w:rsid w:val="00F25041"/>
    <w:rsid w:val="00F250D1"/>
    <w:rsid w:val="00F251F3"/>
    <w:rsid w:val="00F2537B"/>
    <w:rsid w:val="00F25564"/>
    <w:rsid w:val="00F255C2"/>
    <w:rsid w:val="00F2570A"/>
    <w:rsid w:val="00F258BA"/>
    <w:rsid w:val="00F259DF"/>
    <w:rsid w:val="00F25DD9"/>
    <w:rsid w:val="00F25E8C"/>
    <w:rsid w:val="00F261D4"/>
    <w:rsid w:val="00F2626E"/>
    <w:rsid w:val="00F262A0"/>
    <w:rsid w:val="00F26339"/>
    <w:rsid w:val="00F26572"/>
    <w:rsid w:val="00F266AE"/>
    <w:rsid w:val="00F26A41"/>
    <w:rsid w:val="00F26A57"/>
    <w:rsid w:val="00F26BC7"/>
    <w:rsid w:val="00F26D3D"/>
    <w:rsid w:val="00F26D78"/>
    <w:rsid w:val="00F26E4F"/>
    <w:rsid w:val="00F27208"/>
    <w:rsid w:val="00F273BD"/>
    <w:rsid w:val="00F2747E"/>
    <w:rsid w:val="00F27627"/>
    <w:rsid w:val="00F2765A"/>
    <w:rsid w:val="00F27697"/>
    <w:rsid w:val="00F27721"/>
    <w:rsid w:val="00F277DC"/>
    <w:rsid w:val="00F27838"/>
    <w:rsid w:val="00F278A5"/>
    <w:rsid w:val="00F27A85"/>
    <w:rsid w:val="00F27D63"/>
    <w:rsid w:val="00F27D71"/>
    <w:rsid w:val="00F27D77"/>
    <w:rsid w:val="00F27EAD"/>
    <w:rsid w:val="00F27F28"/>
    <w:rsid w:val="00F3012A"/>
    <w:rsid w:val="00F30167"/>
    <w:rsid w:val="00F30168"/>
    <w:rsid w:val="00F3017F"/>
    <w:rsid w:val="00F301B0"/>
    <w:rsid w:val="00F30226"/>
    <w:rsid w:val="00F30320"/>
    <w:rsid w:val="00F30344"/>
    <w:rsid w:val="00F303D3"/>
    <w:rsid w:val="00F303D9"/>
    <w:rsid w:val="00F303E0"/>
    <w:rsid w:val="00F305A0"/>
    <w:rsid w:val="00F305FD"/>
    <w:rsid w:val="00F3075C"/>
    <w:rsid w:val="00F30C24"/>
    <w:rsid w:val="00F30CE2"/>
    <w:rsid w:val="00F30D24"/>
    <w:rsid w:val="00F30FA0"/>
    <w:rsid w:val="00F31030"/>
    <w:rsid w:val="00F3130D"/>
    <w:rsid w:val="00F31361"/>
    <w:rsid w:val="00F3162C"/>
    <w:rsid w:val="00F317A6"/>
    <w:rsid w:val="00F3191D"/>
    <w:rsid w:val="00F31A00"/>
    <w:rsid w:val="00F31B72"/>
    <w:rsid w:val="00F31BD2"/>
    <w:rsid w:val="00F31C1A"/>
    <w:rsid w:val="00F31C3D"/>
    <w:rsid w:val="00F321C6"/>
    <w:rsid w:val="00F32323"/>
    <w:rsid w:val="00F3236A"/>
    <w:rsid w:val="00F325BA"/>
    <w:rsid w:val="00F32683"/>
    <w:rsid w:val="00F327AC"/>
    <w:rsid w:val="00F328F5"/>
    <w:rsid w:val="00F32A45"/>
    <w:rsid w:val="00F32AE7"/>
    <w:rsid w:val="00F32B02"/>
    <w:rsid w:val="00F32B1B"/>
    <w:rsid w:val="00F32C42"/>
    <w:rsid w:val="00F32D45"/>
    <w:rsid w:val="00F32D95"/>
    <w:rsid w:val="00F32E34"/>
    <w:rsid w:val="00F32F86"/>
    <w:rsid w:val="00F32FE1"/>
    <w:rsid w:val="00F3344E"/>
    <w:rsid w:val="00F334B4"/>
    <w:rsid w:val="00F33709"/>
    <w:rsid w:val="00F338A3"/>
    <w:rsid w:val="00F33940"/>
    <w:rsid w:val="00F339ED"/>
    <w:rsid w:val="00F33B86"/>
    <w:rsid w:val="00F33C2A"/>
    <w:rsid w:val="00F33D22"/>
    <w:rsid w:val="00F33F10"/>
    <w:rsid w:val="00F341D2"/>
    <w:rsid w:val="00F341D7"/>
    <w:rsid w:val="00F34380"/>
    <w:rsid w:val="00F34385"/>
    <w:rsid w:val="00F343A0"/>
    <w:rsid w:val="00F344AB"/>
    <w:rsid w:val="00F345BC"/>
    <w:rsid w:val="00F34755"/>
    <w:rsid w:val="00F34963"/>
    <w:rsid w:val="00F3496E"/>
    <w:rsid w:val="00F349B8"/>
    <w:rsid w:val="00F349E0"/>
    <w:rsid w:val="00F34A1A"/>
    <w:rsid w:val="00F34A6B"/>
    <w:rsid w:val="00F34B6F"/>
    <w:rsid w:val="00F34BB4"/>
    <w:rsid w:val="00F34D26"/>
    <w:rsid w:val="00F34D71"/>
    <w:rsid w:val="00F34F29"/>
    <w:rsid w:val="00F34FAE"/>
    <w:rsid w:val="00F35123"/>
    <w:rsid w:val="00F3515B"/>
    <w:rsid w:val="00F351B2"/>
    <w:rsid w:val="00F3520A"/>
    <w:rsid w:val="00F35235"/>
    <w:rsid w:val="00F353A2"/>
    <w:rsid w:val="00F3541D"/>
    <w:rsid w:val="00F35546"/>
    <w:rsid w:val="00F35595"/>
    <w:rsid w:val="00F356ED"/>
    <w:rsid w:val="00F358DC"/>
    <w:rsid w:val="00F359E8"/>
    <w:rsid w:val="00F35A20"/>
    <w:rsid w:val="00F35C0E"/>
    <w:rsid w:val="00F35C27"/>
    <w:rsid w:val="00F36AAA"/>
    <w:rsid w:val="00F36B8E"/>
    <w:rsid w:val="00F36BF7"/>
    <w:rsid w:val="00F36C26"/>
    <w:rsid w:val="00F36D65"/>
    <w:rsid w:val="00F36E8E"/>
    <w:rsid w:val="00F3754D"/>
    <w:rsid w:val="00F37578"/>
    <w:rsid w:val="00F3757B"/>
    <w:rsid w:val="00F37785"/>
    <w:rsid w:val="00F379F9"/>
    <w:rsid w:val="00F37A75"/>
    <w:rsid w:val="00F37AA2"/>
    <w:rsid w:val="00F37B78"/>
    <w:rsid w:val="00F37B7D"/>
    <w:rsid w:val="00F37C9E"/>
    <w:rsid w:val="00F37D01"/>
    <w:rsid w:val="00F37DFB"/>
    <w:rsid w:val="00F400A2"/>
    <w:rsid w:val="00F40275"/>
    <w:rsid w:val="00F40380"/>
    <w:rsid w:val="00F40664"/>
    <w:rsid w:val="00F4069B"/>
    <w:rsid w:val="00F40776"/>
    <w:rsid w:val="00F40911"/>
    <w:rsid w:val="00F409D1"/>
    <w:rsid w:val="00F40AED"/>
    <w:rsid w:val="00F40B08"/>
    <w:rsid w:val="00F40B40"/>
    <w:rsid w:val="00F40CD1"/>
    <w:rsid w:val="00F40E3D"/>
    <w:rsid w:val="00F411E8"/>
    <w:rsid w:val="00F4141A"/>
    <w:rsid w:val="00F414ED"/>
    <w:rsid w:val="00F41528"/>
    <w:rsid w:val="00F41559"/>
    <w:rsid w:val="00F415EC"/>
    <w:rsid w:val="00F416B3"/>
    <w:rsid w:val="00F416CF"/>
    <w:rsid w:val="00F416F9"/>
    <w:rsid w:val="00F41C5B"/>
    <w:rsid w:val="00F41D46"/>
    <w:rsid w:val="00F41FB0"/>
    <w:rsid w:val="00F4210A"/>
    <w:rsid w:val="00F4211C"/>
    <w:rsid w:val="00F42248"/>
    <w:rsid w:val="00F425AA"/>
    <w:rsid w:val="00F425ED"/>
    <w:rsid w:val="00F42684"/>
    <w:rsid w:val="00F427AF"/>
    <w:rsid w:val="00F427F7"/>
    <w:rsid w:val="00F42804"/>
    <w:rsid w:val="00F42868"/>
    <w:rsid w:val="00F4287C"/>
    <w:rsid w:val="00F428AC"/>
    <w:rsid w:val="00F429C4"/>
    <w:rsid w:val="00F42A01"/>
    <w:rsid w:val="00F42D88"/>
    <w:rsid w:val="00F42ED7"/>
    <w:rsid w:val="00F42FEE"/>
    <w:rsid w:val="00F430D1"/>
    <w:rsid w:val="00F43105"/>
    <w:rsid w:val="00F431E8"/>
    <w:rsid w:val="00F432DB"/>
    <w:rsid w:val="00F43320"/>
    <w:rsid w:val="00F433FC"/>
    <w:rsid w:val="00F43486"/>
    <w:rsid w:val="00F43587"/>
    <w:rsid w:val="00F43707"/>
    <w:rsid w:val="00F437C0"/>
    <w:rsid w:val="00F43833"/>
    <w:rsid w:val="00F439CB"/>
    <w:rsid w:val="00F43A31"/>
    <w:rsid w:val="00F43A91"/>
    <w:rsid w:val="00F43FF7"/>
    <w:rsid w:val="00F441CB"/>
    <w:rsid w:val="00F441EB"/>
    <w:rsid w:val="00F44259"/>
    <w:rsid w:val="00F4443F"/>
    <w:rsid w:val="00F447B5"/>
    <w:rsid w:val="00F448D5"/>
    <w:rsid w:val="00F4498A"/>
    <w:rsid w:val="00F449EC"/>
    <w:rsid w:val="00F44ACA"/>
    <w:rsid w:val="00F44CAF"/>
    <w:rsid w:val="00F44D31"/>
    <w:rsid w:val="00F44D7E"/>
    <w:rsid w:val="00F44E1F"/>
    <w:rsid w:val="00F44FB1"/>
    <w:rsid w:val="00F452B2"/>
    <w:rsid w:val="00F45310"/>
    <w:rsid w:val="00F4539A"/>
    <w:rsid w:val="00F45560"/>
    <w:rsid w:val="00F4571E"/>
    <w:rsid w:val="00F4573B"/>
    <w:rsid w:val="00F4587E"/>
    <w:rsid w:val="00F45AFF"/>
    <w:rsid w:val="00F45B54"/>
    <w:rsid w:val="00F45D1E"/>
    <w:rsid w:val="00F45D53"/>
    <w:rsid w:val="00F45E3C"/>
    <w:rsid w:val="00F45F93"/>
    <w:rsid w:val="00F46098"/>
    <w:rsid w:val="00F460F6"/>
    <w:rsid w:val="00F46135"/>
    <w:rsid w:val="00F462F3"/>
    <w:rsid w:val="00F46633"/>
    <w:rsid w:val="00F467D2"/>
    <w:rsid w:val="00F46ACB"/>
    <w:rsid w:val="00F46B75"/>
    <w:rsid w:val="00F46CD1"/>
    <w:rsid w:val="00F46FDF"/>
    <w:rsid w:val="00F47193"/>
    <w:rsid w:val="00F47246"/>
    <w:rsid w:val="00F47252"/>
    <w:rsid w:val="00F4749B"/>
    <w:rsid w:val="00F4786E"/>
    <w:rsid w:val="00F47870"/>
    <w:rsid w:val="00F478F4"/>
    <w:rsid w:val="00F47B97"/>
    <w:rsid w:val="00F47CC9"/>
    <w:rsid w:val="00F47DD1"/>
    <w:rsid w:val="00F5007A"/>
    <w:rsid w:val="00F5021B"/>
    <w:rsid w:val="00F50832"/>
    <w:rsid w:val="00F508AA"/>
    <w:rsid w:val="00F508F4"/>
    <w:rsid w:val="00F50979"/>
    <w:rsid w:val="00F50A4B"/>
    <w:rsid w:val="00F50CBF"/>
    <w:rsid w:val="00F50D9B"/>
    <w:rsid w:val="00F50DB2"/>
    <w:rsid w:val="00F50E3C"/>
    <w:rsid w:val="00F51179"/>
    <w:rsid w:val="00F51279"/>
    <w:rsid w:val="00F513E6"/>
    <w:rsid w:val="00F51427"/>
    <w:rsid w:val="00F5144D"/>
    <w:rsid w:val="00F5152C"/>
    <w:rsid w:val="00F515BC"/>
    <w:rsid w:val="00F5178D"/>
    <w:rsid w:val="00F51873"/>
    <w:rsid w:val="00F51EFC"/>
    <w:rsid w:val="00F521F4"/>
    <w:rsid w:val="00F52260"/>
    <w:rsid w:val="00F52281"/>
    <w:rsid w:val="00F52385"/>
    <w:rsid w:val="00F52413"/>
    <w:rsid w:val="00F52593"/>
    <w:rsid w:val="00F52878"/>
    <w:rsid w:val="00F52914"/>
    <w:rsid w:val="00F52A2E"/>
    <w:rsid w:val="00F52BE9"/>
    <w:rsid w:val="00F52CCA"/>
    <w:rsid w:val="00F52D6C"/>
    <w:rsid w:val="00F52DE8"/>
    <w:rsid w:val="00F52E73"/>
    <w:rsid w:val="00F52F00"/>
    <w:rsid w:val="00F5320B"/>
    <w:rsid w:val="00F53443"/>
    <w:rsid w:val="00F53534"/>
    <w:rsid w:val="00F535BB"/>
    <w:rsid w:val="00F536EE"/>
    <w:rsid w:val="00F5376B"/>
    <w:rsid w:val="00F53831"/>
    <w:rsid w:val="00F539E5"/>
    <w:rsid w:val="00F539F7"/>
    <w:rsid w:val="00F53F07"/>
    <w:rsid w:val="00F53FF5"/>
    <w:rsid w:val="00F54010"/>
    <w:rsid w:val="00F5457C"/>
    <w:rsid w:val="00F545F0"/>
    <w:rsid w:val="00F545FC"/>
    <w:rsid w:val="00F54606"/>
    <w:rsid w:val="00F5476D"/>
    <w:rsid w:val="00F5487E"/>
    <w:rsid w:val="00F548A3"/>
    <w:rsid w:val="00F5490C"/>
    <w:rsid w:val="00F54B6B"/>
    <w:rsid w:val="00F54BE7"/>
    <w:rsid w:val="00F54DA4"/>
    <w:rsid w:val="00F54DCA"/>
    <w:rsid w:val="00F54DE6"/>
    <w:rsid w:val="00F54E4B"/>
    <w:rsid w:val="00F54F48"/>
    <w:rsid w:val="00F550BA"/>
    <w:rsid w:val="00F5526E"/>
    <w:rsid w:val="00F552AE"/>
    <w:rsid w:val="00F552CD"/>
    <w:rsid w:val="00F55495"/>
    <w:rsid w:val="00F554FD"/>
    <w:rsid w:val="00F5560B"/>
    <w:rsid w:val="00F5564B"/>
    <w:rsid w:val="00F5565D"/>
    <w:rsid w:val="00F55790"/>
    <w:rsid w:val="00F558DC"/>
    <w:rsid w:val="00F55A3F"/>
    <w:rsid w:val="00F55BC3"/>
    <w:rsid w:val="00F55BD7"/>
    <w:rsid w:val="00F55BDC"/>
    <w:rsid w:val="00F55F89"/>
    <w:rsid w:val="00F56095"/>
    <w:rsid w:val="00F562C8"/>
    <w:rsid w:val="00F563F0"/>
    <w:rsid w:val="00F56745"/>
    <w:rsid w:val="00F5677D"/>
    <w:rsid w:val="00F5677E"/>
    <w:rsid w:val="00F567A6"/>
    <w:rsid w:val="00F568B9"/>
    <w:rsid w:val="00F56AB5"/>
    <w:rsid w:val="00F56CD0"/>
    <w:rsid w:val="00F56E69"/>
    <w:rsid w:val="00F56FD7"/>
    <w:rsid w:val="00F5707B"/>
    <w:rsid w:val="00F571AD"/>
    <w:rsid w:val="00F57351"/>
    <w:rsid w:val="00F573E5"/>
    <w:rsid w:val="00F573F9"/>
    <w:rsid w:val="00F57461"/>
    <w:rsid w:val="00F57483"/>
    <w:rsid w:val="00F5771D"/>
    <w:rsid w:val="00F57877"/>
    <w:rsid w:val="00F57891"/>
    <w:rsid w:val="00F578AD"/>
    <w:rsid w:val="00F578CF"/>
    <w:rsid w:val="00F57A8B"/>
    <w:rsid w:val="00F57A99"/>
    <w:rsid w:val="00F57B46"/>
    <w:rsid w:val="00F57D51"/>
    <w:rsid w:val="00F60010"/>
    <w:rsid w:val="00F6013B"/>
    <w:rsid w:val="00F60150"/>
    <w:rsid w:val="00F60382"/>
    <w:rsid w:val="00F60659"/>
    <w:rsid w:val="00F607DD"/>
    <w:rsid w:val="00F60A4D"/>
    <w:rsid w:val="00F60B9B"/>
    <w:rsid w:val="00F60E66"/>
    <w:rsid w:val="00F60E9F"/>
    <w:rsid w:val="00F60EEA"/>
    <w:rsid w:val="00F61032"/>
    <w:rsid w:val="00F6104F"/>
    <w:rsid w:val="00F61059"/>
    <w:rsid w:val="00F61159"/>
    <w:rsid w:val="00F611DA"/>
    <w:rsid w:val="00F6120E"/>
    <w:rsid w:val="00F612A2"/>
    <w:rsid w:val="00F61489"/>
    <w:rsid w:val="00F615AC"/>
    <w:rsid w:val="00F617D4"/>
    <w:rsid w:val="00F6194A"/>
    <w:rsid w:val="00F61963"/>
    <w:rsid w:val="00F61A4D"/>
    <w:rsid w:val="00F61E23"/>
    <w:rsid w:val="00F61E85"/>
    <w:rsid w:val="00F61FDB"/>
    <w:rsid w:val="00F6219B"/>
    <w:rsid w:val="00F621B0"/>
    <w:rsid w:val="00F622A5"/>
    <w:rsid w:val="00F62831"/>
    <w:rsid w:val="00F62958"/>
    <w:rsid w:val="00F62B03"/>
    <w:rsid w:val="00F62D70"/>
    <w:rsid w:val="00F62E21"/>
    <w:rsid w:val="00F62F8A"/>
    <w:rsid w:val="00F63188"/>
    <w:rsid w:val="00F631DF"/>
    <w:rsid w:val="00F63329"/>
    <w:rsid w:val="00F63578"/>
    <w:rsid w:val="00F636EC"/>
    <w:rsid w:val="00F6374D"/>
    <w:rsid w:val="00F63795"/>
    <w:rsid w:val="00F63E35"/>
    <w:rsid w:val="00F64160"/>
    <w:rsid w:val="00F643A0"/>
    <w:rsid w:val="00F643CE"/>
    <w:rsid w:val="00F6447E"/>
    <w:rsid w:val="00F6467D"/>
    <w:rsid w:val="00F64867"/>
    <w:rsid w:val="00F64970"/>
    <w:rsid w:val="00F64C8F"/>
    <w:rsid w:val="00F650DF"/>
    <w:rsid w:val="00F65170"/>
    <w:rsid w:val="00F651FB"/>
    <w:rsid w:val="00F65303"/>
    <w:rsid w:val="00F65317"/>
    <w:rsid w:val="00F65507"/>
    <w:rsid w:val="00F656A4"/>
    <w:rsid w:val="00F6585F"/>
    <w:rsid w:val="00F6586E"/>
    <w:rsid w:val="00F65C84"/>
    <w:rsid w:val="00F65D42"/>
    <w:rsid w:val="00F65EAF"/>
    <w:rsid w:val="00F65F56"/>
    <w:rsid w:val="00F65F8D"/>
    <w:rsid w:val="00F660D9"/>
    <w:rsid w:val="00F663A3"/>
    <w:rsid w:val="00F665B1"/>
    <w:rsid w:val="00F665D0"/>
    <w:rsid w:val="00F66601"/>
    <w:rsid w:val="00F666D7"/>
    <w:rsid w:val="00F668FB"/>
    <w:rsid w:val="00F6698A"/>
    <w:rsid w:val="00F66ABA"/>
    <w:rsid w:val="00F66B2E"/>
    <w:rsid w:val="00F66B55"/>
    <w:rsid w:val="00F66C35"/>
    <w:rsid w:val="00F66C96"/>
    <w:rsid w:val="00F66E6B"/>
    <w:rsid w:val="00F66E71"/>
    <w:rsid w:val="00F6701A"/>
    <w:rsid w:val="00F6716A"/>
    <w:rsid w:val="00F67290"/>
    <w:rsid w:val="00F67343"/>
    <w:rsid w:val="00F67375"/>
    <w:rsid w:val="00F6744C"/>
    <w:rsid w:val="00F675D1"/>
    <w:rsid w:val="00F67957"/>
    <w:rsid w:val="00F6796F"/>
    <w:rsid w:val="00F679C8"/>
    <w:rsid w:val="00F67ABD"/>
    <w:rsid w:val="00F67D9F"/>
    <w:rsid w:val="00F67E45"/>
    <w:rsid w:val="00F67E4F"/>
    <w:rsid w:val="00F67FF5"/>
    <w:rsid w:val="00F7024C"/>
    <w:rsid w:val="00F70579"/>
    <w:rsid w:val="00F7068E"/>
    <w:rsid w:val="00F706A7"/>
    <w:rsid w:val="00F70779"/>
    <w:rsid w:val="00F70904"/>
    <w:rsid w:val="00F7091A"/>
    <w:rsid w:val="00F70A8E"/>
    <w:rsid w:val="00F70A9B"/>
    <w:rsid w:val="00F70BBF"/>
    <w:rsid w:val="00F70BDF"/>
    <w:rsid w:val="00F70DD3"/>
    <w:rsid w:val="00F70E23"/>
    <w:rsid w:val="00F70E3B"/>
    <w:rsid w:val="00F70E95"/>
    <w:rsid w:val="00F70EA3"/>
    <w:rsid w:val="00F70EB7"/>
    <w:rsid w:val="00F70F64"/>
    <w:rsid w:val="00F70FF6"/>
    <w:rsid w:val="00F7100D"/>
    <w:rsid w:val="00F71108"/>
    <w:rsid w:val="00F714BE"/>
    <w:rsid w:val="00F7162D"/>
    <w:rsid w:val="00F71690"/>
    <w:rsid w:val="00F716D3"/>
    <w:rsid w:val="00F716ED"/>
    <w:rsid w:val="00F719E5"/>
    <w:rsid w:val="00F719EA"/>
    <w:rsid w:val="00F71BAF"/>
    <w:rsid w:val="00F71C07"/>
    <w:rsid w:val="00F71DD0"/>
    <w:rsid w:val="00F71E91"/>
    <w:rsid w:val="00F7205F"/>
    <w:rsid w:val="00F72111"/>
    <w:rsid w:val="00F7228C"/>
    <w:rsid w:val="00F722C2"/>
    <w:rsid w:val="00F722D7"/>
    <w:rsid w:val="00F7230E"/>
    <w:rsid w:val="00F72364"/>
    <w:rsid w:val="00F72493"/>
    <w:rsid w:val="00F72529"/>
    <w:rsid w:val="00F7271D"/>
    <w:rsid w:val="00F7279B"/>
    <w:rsid w:val="00F7281D"/>
    <w:rsid w:val="00F72BEE"/>
    <w:rsid w:val="00F72C18"/>
    <w:rsid w:val="00F72CFE"/>
    <w:rsid w:val="00F72D2E"/>
    <w:rsid w:val="00F72ED4"/>
    <w:rsid w:val="00F73018"/>
    <w:rsid w:val="00F7301A"/>
    <w:rsid w:val="00F7305E"/>
    <w:rsid w:val="00F7312F"/>
    <w:rsid w:val="00F73132"/>
    <w:rsid w:val="00F73263"/>
    <w:rsid w:val="00F7329E"/>
    <w:rsid w:val="00F733D3"/>
    <w:rsid w:val="00F73415"/>
    <w:rsid w:val="00F73532"/>
    <w:rsid w:val="00F735AF"/>
    <w:rsid w:val="00F73656"/>
    <w:rsid w:val="00F736A2"/>
    <w:rsid w:val="00F73742"/>
    <w:rsid w:val="00F737BA"/>
    <w:rsid w:val="00F73808"/>
    <w:rsid w:val="00F73830"/>
    <w:rsid w:val="00F7383B"/>
    <w:rsid w:val="00F739AC"/>
    <w:rsid w:val="00F73A0C"/>
    <w:rsid w:val="00F73A4B"/>
    <w:rsid w:val="00F73D93"/>
    <w:rsid w:val="00F73DF4"/>
    <w:rsid w:val="00F73F1C"/>
    <w:rsid w:val="00F74144"/>
    <w:rsid w:val="00F74155"/>
    <w:rsid w:val="00F743E0"/>
    <w:rsid w:val="00F7476A"/>
    <w:rsid w:val="00F747F9"/>
    <w:rsid w:val="00F74A50"/>
    <w:rsid w:val="00F74A58"/>
    <w:rsid w:val="00F74AE7"/>
    <w:rsid w:val="00F74E79"/>
    <w:rsid w:val="00F74E82"/>
    <w:rsid w:val="00F75152"/>
    <w:rsid w:val="00F7518E"/>
    <w:rsid w:val="00F75296"/>
    <w:rsid w:val="00F75306"/>
    <w:rsid w:val="00F75314"/>
    <w:rsid w:val="00F75470"/>
    <w:rsid w:val="00F755FD"/>
    <w:rsid w:val="00F756D1"/>
    <w:rsid w:val="00F75806"/>
    <w:rsid w:val="00F758D7"/>
    <w:rsid w:val="00F75958"/>
    <w:rsid w:val="00F75DAF"/>
    <w:rsid w:val="00F75DF3"/>
    <w:rsid w:val="00F75E44"/>
    <w:rsid w:val="00F75F14"/>
    <w:rsid w:val="00F76142"/>
    <w:rsid w:val="00F7627A"/>
    <w:rsid w:val="00F765A4"/>
    <w:rsid w:val="00F7672A"/>
    <w:rsid w:val="00F76AB6"/>
    <w:rsid w:val="00F76B08"/>
    <w:rsid w:val="00F76CAF"/>
    <w:rsid w:val="00F77185"/>
    <w:rsid w:val="00F7730E"/>
    <w:rsid w:val="00F77468"/>
    <w:rsid w:val="00F77487"/>
    <w:rsid w:val="00F77591"/>
    <w:rsid w:val="00F77644"/>
    <w:rsid w:val="00F7765C"/>
    <w:rsid w:val="00F77768"/>
    <w:rsid w:val="00F779ED"/>
    <w:rsid w:val="00F77BC7"/>
    <w:rsid w:val="00F77C67"/>
    <w:rsid w:val="00F77CAB"/>
    <w:rsid w:val="00F77D2A"/>
    <w:rsid w:val="00F77E80"/>
    <w:rsid w:val="00F77F3E"/>
    <w:rsid w:val="00F800A4"/>
    <w:rsid w:val="00F80469"/>
    <w:rsid w:val="00F80483"/>
    <w:rsid w:val="00F80510"/>
    <w:rsid w:val="00F80706"/>
    <w:rsid w:val="00F808D0"/>
    <w:rsid w:val="00F80A2D"/>
    <w:rsid w:val="00F80AE2"/>
    <w:rsid w:val="00F80E9F"/>
    <w:rsid w:val="00F80F44"/>
    <w:rsid w:val="00F80FF2"/>
    <w:rsid w:val="00F81012"/>
    <w:rsid w:val="00F81148"/>
    <w:rsid w:val="00F81614"/>
    <w:rsid w:val="00F81C09"/>
    <w:rsid w:val="00F81C0C"/>
    <w:rsid w:val="00F81CB6"/>
    <w:rsid w:val="00F820FD"/>
    <w:rsid w:val="00F8214C"/>
    <w:rsid w:val="00F82226"/>
    <w:rsid w:val="00F82342"/>
    <w:rsid w:val="00F8246E"/>
    <w:rsid w:val="00F8271B"/>
    <w:rsid w:val="00F827AC"/>
    <w:rsid w:val="00F82897"/>
    <w:rsid w:val="00F82ADA"/>
    <w:rsid w:val="00F82B55"/>
    <w:rsid w:val="00F82C57"/>
    <w:rsid w:val="00F82D8A"/>
    <w:rsid w:val="00F8340D"/>
    <w:rsid w:val="00F8349C"/>
    <w:rsid w:val="00F834CC"/>
    <w:rsid w:val="00F835E8"/>
    <w:rsid w:val="00F8362F"/>
    <w:rsid w:val="00F83768"/>
    <w:rsid w:val="00F83982"/>
    <w:rsid w:val="00F8398A"/>
    <w:rsid w:val="00F83AE3"/>
    <w:rsid w:val="00F83C23"/>
    <w:rsid w:val="00F83E24"/>
    <w:rsid w:val="00F83E8B"/>
    <w:rsid w:val="00F83EAA"/>
    <w:rsid w:val="00F83F6F"/>
    <w:rsid w:val="00F83FDB"/>
    <w:rsid w:val="00F842C3"/>
    <w:rsid w:val="00F84303"/>
    <w:rsid w:val="00F845D2"/>
    <w:rsid w:val="00F846BA"/>
    <w:rsid w:val="00F84755"/>
    <w:rsid w:val="00F84786"/>
    <w:rsid w:val="00F84D96"/>
    <w:rsid w:val="00F84EC4"/>
    <w:rsid w:val="00F84F00"/>
    <w:rsid w:val="00F84F6F"/>
    <w:rsid w:val="00F84FC0"/>
    <w:rsid w:val="00F8511D"/>
    <w:rsid w:val="00F852D4"/>
    <w:rsid w:val="00F8575C"/>
    <w:rsid w:val="00F85A15"/>
    <w:rsid w:val="00F85CE3"/>
    <w:rsid w:val="00F85F72"/>
    <w:rsid w:val="00F86238"/>
    <w:rsid w:val="00F86290"/>
    <w:rsid w:val="00F86362"/>
    <w:rsid w:val="00F86387"/>
    <w:rsid w:val="00F8644D"/>
    <w:rsid w:val="00F86468"/>
    <w:rsid w:val="00F86530"/>
    <w:rsid w:val="00F86570"/>
    <w:rsid w:val="00F86640"/>
    <w:rsid w:val="00F86891"/>
    <w:rsid w:val="00F86A37"/>
    <w:rsid w:val="00F86B9B"/>
    <w:rsid w:val="00F86B9E"/>
    <w:rsid w:val="00F86C8B"/>
    <w:rsid w:val="00F86E4B"/>
    <w:rsid w:val="00F86E9D"/>
    <w:rsid w:val="00F8718F"/>
    <w:rsid w:val="00F87341"/>
    <w:rsid w:val="00F8743C"/>
    <w:rsid w:val="00F8762B"/>
    <w:rsid w:val="00F87768"/>
    <w:rsid w:val="00F87842"/>
    <w:rsid w:val="00F87A7A"/>
    <w:rsid w:val="00F87AD8"/>
    <w:rsid w:val="00F87B1B"/>
    <w:rsid w:val="00F87E1B"/>
    <w:rsid w:val="00F87E9A"/>
    <w:rsid w:val="00F90112"/>
    <w:rsid w:val="00F9011B"/>
    <w:rsid w:val="00F9036A"/>
    <w:rsid w:val="00F90453"/>
    <w:rsid w:val="00F9059B"/>
    <w:rsid w:val="00F90877"/>
    <w:rsid w:val="00F908E2"/>
    <w:rsid w:val="00F90911"/>
    <w:rsid w:val="00F90B9B"/>
    <w:rsid w:val="00F90D29"/>
    <w:rsid w:val="00F90DE5"/>
    <w:rsid w:val="00F90E9A"/>
    <w:rsid w:val="00F90EB1"/>
    <w:rsid w:val="00F90FE8"/>
    <w:rsid w:val="00F91225"/>
    <w:rsid w:val="00F9152B"/>
    <w:rsid w:val="00F915FE"/>
    <w:rsid w:val="00F916EB"/>
    <w:rsid w:val="00F917D4"/>
    <w:rsid w:val="00F91F7C"/>
    <w:rsid w:val="00F92044"/>
    <w:rsid w:val="00F92160"/>
    <w:rsid w:val="00F921E8"/>
    <w:rsid w:val="00F92326"/>
    <w:rsid w:val="00F92383"/>
    <w:rsid w:val="00F923C8"/>
    <w:rsid w:val="00F92449"/>
    <w:rsid w:val="00F92653"/>
    <w:rsid w:val="00F92721"/>
    <w:rsid w:val="00F927D0"/>
    <w:rsid w:val="00F92BF5"/>
    <w:rsid w:val="00F92E5F"/>
    <w:rsid w:val="00F9304A"/>
    <w:rsid w:val="00F93078"/>
    <w:rsid w:val="00F93176"/>
    <w:rsid w:val="00F932B2"/>
    <w:rsid w:val="00F93325"/>
    <w:rsid w:val="00F9336E"/>
    <w:rsid w:val="00F933BF"/>
    <w:rsid w:val="00F93428"/>
    <w:rsid w:val="00F93528"/>
    <w:rsid w:val="00F9376A"/>
    <w:rsid w:val="00F937B6"/>
    <w:rsid w:val="00F939DB"/>
    <w:rsid w:val="00F93A24"/>
    <w:rsid w:val="00F93BFC"/>
    <w:rsid w:val="00F94004"/>
    <w:rsid w:val="00F9401C"/>
    <w:rsid w:val="00F9426B"/>
    <w:rsid w:val="00F94380"/>
    <w:rsid w:val="00F946A7"/>
    <w:rsid w:val="00F9488F"/>
    <w:rsid w:val="00F948CB"/>
    <w:rsid w:val="00F948CE"/>
    <w:rsid w:val="00F94921"/>
    <w:rsid w:val="00F94A37"/>
    <w:rsid w:val="00F94AA6"/>
    <w:rsid w:val="00F94ADE"/>
    <w:rsid w:val="00F94CAE"/>
    <w:rsid w:val="00F94F16"/>
    <w:rsid w:val="00F94FB8"/>
    <w:rsid w:val="00F94FC3"/>
    <w:rsid w:val="00F9521D"/>
    <w:rsid w:val="00F95246"/>
    <w:rsid w:val="00F9537E"/>
    <w:rsid w:val="00F9563A"/>
    <w:rsid w:val="00F957AA"/>
    <w:rsid w:val="00F957FD"/>
    <w:rsid w:val="00F95804"/>
    <w:rsid w:val="00F958BC"/>
    <w:rsid w:val="00F95D4C"/>
    <w:rsid w:val="00F95EB6"/>
    <w:rsid w:val="00F95FC0"/>
    <w:rsid w:val="00F9604B"/>
    <w:rsid w:val="00F96115"/>
    <w:rsid w:val="00F96490"/>
    <w:rsid w:val="00F965DD"/>
    <w:rsid w:val="00F96719"/>
    <w:rsid w:val="00F967D4"/>
    <w:rsid w:val="00F96A5D"/>
    <w:rsid w:val="00F96CAF"/>
    <w:rsid w:val="00F96D68"/>
    <w:rsid w:val="00F96D97"/>
    <w:rsid w:val="00F96EF7"/>
    <w:rsid w:val="00F96F0E"/>
    <w:rsid w:val="00F9732D"/>
    <w:rsid w:val="00F97385"/>
    <w:rsid w:val="00F97513"/>
    <w:rsid w:val="00F975F0"/>
    <w:rsid w:val="00F978FF"/>
    <w:rsid w:val="00F979F6"/>
    <w:rsid w:val="00F97B7B"/>
    <w:rsid w:val="00F97C32"/>
    <w:rsid w:val="00F97CC9"/>
    <w:rsid w:val="00F97F04"/>
    <w:rsid w:val="00FA0312"/>
    <w:rsid w:val="00FA0526"/>
    <w:rsid w:val="00FA05F0"/>
    <w:rsid w:val="00FA06B3"/>
    <w:rsid w:val="00FA0707"/>
    <w:rsid w:val="00FA074E"/>
    <w:rsid w:val="00FA0795"/>
    <w:rsid w:val="00FA083C"/>
    <w:rsid w:val="00FA08A1"/>
    <w:rsid w:val="00FA0A7A"/>
    <w:rsid w:val="00FA0B68"/>
    <w:rsid w:val="00FA0BD4"/>
    <w:rsid w:val="00FA11AB"/>
    <w:rsid w:val="00FA11C2"/>
    <w:rsid w:val="00FA122D"/>
    <w:rsid w:val="00FA12BC"/>
    <w:rsid w:val="00FA1335"/>
    <w:rsid w:val="00FA13F2"/>
    <w:rsid w:val="00FA142D"/>
    <w:rsid w:val="00FA1437"/>
    <w:rsid w:val="00FA1485"/>
    <w:rsid w:val="00FA159B"/>
    <w:rsid w:val="00FA15E9"/>
    <w:rsid w:val="00FA1977"/>
    <w:rsid w:val="00FA1A92"/>
    <w:rsid w:val="00FA1C53"/>
    <w:rsid w:val="00FA1C97"/>
    <w:rsid w:val="00FA1C9A"/>
    <w:rsid w:val="00FA1F3A"/>
    <w:rsid w:val="00FA1F40"/>
    <w:rsid w:val="00FA2292"/>
    <w:rsid w:val="00FA22E1"/>
    <w:rsid w:val="00FA2449"/>
    <w:rsid w:val="00FA25C8"/>
    <w:rsid w:val="00FA26C2"/>
    <w:rsid w:val="00FA2768"/>
    <w:rsid w:val="00FA27B2"/>
    <w:rsid w:val="00FA27CC"/>
    <w:rsid w:val="00FA2874"/>
    <w:rsid w:val="00FA2AC8"/>
    <w:rsid w:val="00FA2E77"/>
    <w:rsid w:val="00FA2EAF"/>
    <w:rsid w:val="00FA314B"/>
    <w:rsid w:val="00FA32B6"/>
    <w:rsid w:val="00FA3317"/>
    <w:rsid w:val="00FA33C6"/>
    <w:rsid w:val="00FA3709"/>
    <w:rsid w:val="00FA3723"/>
    <w:rsid w:val="00FA375C"/>
    <w:rsid w:val="00FA37AA"/>
    <w:rsid w:val="00FA37E4"/>
    <w:rsid w:val="00FA3D5C"/>
    <w:rsid w:val="00FA3DCF"/>
    <w:rsid w:val="00FA3E5E"/>
    <w:rsid w:val="00FA3EAE"/>
    <w:rsid w:val="00FA3ED0"/>
    <w:rsid w:val="00FA3EF6"/>
    <w:rsid w:val="00FA40E3"/>
    <w:rsid w:val="00FA425F"/>
    <w:rsid w:val="00FA436B"/>
    <w:rsid w:val="00FA43C9"/>
    <w:rsid w:val="00FA4461"/>
    <w:rsid w:val="00FA44B9"/>
    <w:rsid w:val="00FA4545"/>
    <w:rsid w:val="00FA4709"/>
    <w:rsid w:val="00FA481B"/>
    <w:rsid w:val="00FA4846"/>
    <w:rsid w:val="00FA48A0"/>
    <w:rsid w:val="00FA4AF1"/>
    <w:rsid w:val="00FA4BB1"/>
    <w:rsid w:val="00FA4D25"/>
    <w:rsid w:val="00FA4F30"/>
    <w:rsid w:val="00FA54E8"/>
    <w:rsid w:val="00FA5510"/>
    <w:rsid w:val="00FA5576"/>
    <w:rsid w:val="00FA5685"/>
    <w:rsid w:val="00FA579E"/>
    <w:rsid w:val="00FA5932"/>
    <w:rsid w:val="00FA5AEB"/>
    <w:rsid w:val="00FA5C80"/>
    <w:rsid w:val="00FA5FA0"/>
    <w:rsid w:val="00FA61A4"/>
    <w:rsid w:val="00FA6410"/>
    <w:rsid w:val="00FA6552"/>
    <w:rsid w:val="00FA661C"/>
    <w:rsid w:val="00FA6B26"/>
    <w:rsid w:val="00FA6C33"/>
    <w:rsid w:val="00FA6D22"/>
    <w:rsid w:val="00FA6DA7"/>
    <w:rsid w:val="00FA6E6C"/>
    <w:rsid w:val="00FA6F7A"/>
    <w:rsid w:val="00FA732E"/>
    <w:rsid w:val="00FA74EE"/>
    <w:rsid w:val="00FA777A"/>
    <w:rsid w:val="00FA778A"/>
    <w:rsid w:val="00FA7816"/>
    <w:rsid w:val="00FA79F3"/>
    <w:rsid w:val="00FA7BAC"/>
    <w:rsid w:val="00FA7BF7"/>
    <w:rsid w:val="00FA7DD3"/>
    <w:rsid w:val="00FB0555"/>
    <w:rsid w:val="00FB0A59"/>
    <w:rsid w:val="00FB0BF5"/>
    <w:rsid w:val="00FB0C16"/>
    <w:rsid w:val="00FB0DF6"/>
    <w:rsid w:val="00FB0EB8"/>
    <w:rsid w:val="00FB0ECC"/>
    <w:rsid w:val="00FB0EE8"/>
    <w:rsid w:val="00FB0FCD"/>
    <w:rsid w:val="00FB10E5"/>
    <w:rsid w:val="00FB1167"/>
    <w:rsid w:val="00FB1473"/>
    <w:rsid w:val="00FB177B"/>
    <w:rsid w:val="00FB185B"/>
    <w:rsid w:val="00FB1903"/>
    <w:rsid w:val="00FB193B"/>
    <w:rsid w:val="00FB1A2D"/>
    <w:rsid w:val="00FB1A83"/>
    <w:rsid w:val="00FB1AD4"/>
    <w:rsid w:val="00FB1CC1"/>
    <w:rsid w:val="00FB1E22"/>
    <w:rsid w:val="00FB1F40"/>
    <w:rsid w:val="00FB24C5"/>
    <w:rsid w:val="00FB26DB"/>
    <w:rsid w:val="00FB29EE"/>
    <w:rsid w:val="00FB2A07"/>
    <w:rsid w:val="00FB2A15"/>
    <w:rsid w:val="00FB2B5D"/>
    <w:rsid w:val="00FB2B86"/>
    <w:rsid w:val="00FB2C65"/>
    <w:rsid w:val="00FB2CF4"/>
    <w:rsid w:val="00FB2E7B"/>
    <w:rsid w:val="00FB3090"/>
    <w:rsid w:val="00FB309F"/>
    <w:rsid w:val="00FB315E"/>
    <w:rsid w:val="00FB3351"/>
    <w:rsid w:val="00FB3448"/>
    <w:rsid w:val="00FB34D6"/>
    <w:rsid w:val="00FB3669"/>
    <w:rsid w:val="00FB36F4"/>
    <w:rsid w:val="00FB3A2F"/>
    <w:rsid w:val="00FB3AF7"/>
    <w:rsid w:val="00FB3C1E"/>
    <w:rsid w:val="00FB3D7E"/>
    <w:rsid w:val="00FB3DF7"/>
    <w:rsid w:val="00FB3F63"/>
    <w:rsid w:val="00FB4175"/>
    <w:rsid w:val="00FB419B"/>
    <w:rsid w:val="00FB41B8"/>
    <w:rsid w:val="00FB4235"/>
    <w:rsid w:val="00FB424B"/>
    <w:rsid w:val="00FB4360"/>
    <w:rsid w:val="00FB439D"/>
    <w:rsid w:val="00FB43A2"/>
    <w:rsid w:val="00FB4416"/>
    <w:rsid w:val="00FB4467"/>
    <w:rsid w:val="00FB45F6"/>
    <w:rsid w:val="00FB4685"/>
    <w:rsid w:val="00FB4693"/>
    <w:rsid w:val="00FB46A3"/>
    <w:rsid w:val="00FB4777"/>
    <w:rsid w:val="00FB490F"/>
    <w:rsid w:val="00FB4924"/>
    <w:rsid w:val="00FB4A6F"/>
    <w:rsid w:val="00FB4C7A"/>
    <w:rsid w:val="00FB4DBF"/>
    <w:rsid w:val="00FB4DD3"/>
    <w:rsid w:val="00FB4E50"/>
    <w:rsid w:val="00FB4FC3"/>
    <w:rsid w:val="00FB5076"/>
    <w:rsid w:val="00FB50A7"/>
    <w:rsid w:val="00FB5119"/>
    <w:rsid w:val="00FB51B3"/>
    <w:rsid w:val="00FB523C"/>
    <w:rsid w:val="00FB5262"/>
    <w:rsid w:val="00FB5418"/>
    <w:rsid w:val="00FB5665"/>
    <w:rsid w:val="00FB579B"/>
    <w:rsid w:val="00FB59C4"/>
    <w:rsid w:val="00FB5A08"/>
    <w:rsid w:val="00FB5B61"/>
    <w:rsid w:val="00FB5CD6"/>
    <w:rsid w:val="00FB5D0B"/>
    <w:rsid w:val="00FB5DA9"/>
    <w:rsid w:val="00FB5E61"/>
    <w:rsid w:val="00FB5F82"/>
    <w:rsid w:val="00FB6000"/>
    <w:rsid w:val="00FB63D2"/>
    <w:rsid w:val="00FB65E0"/>
    <w:rsid w:val="00FB6872"/>
    <w:rsid w:val="00FB6882"/>
    <w:rsid w:val="00FB68B1"/>
    <w:rsid w:val="00FB68BC"/>
    <w:rsid w:val="00FB6934"/>
    <w:rsid w:val="00FB6A98"/>
    <w:rsid w:val="00FB6AAE"/>
    <w:rsid w:val="00FB6B4A"/>
    <w:rsid w:val="00FB6E20"/>
    <w:rsid w:val="00FB6E4A"/>
    <w:rsid w:val="00FB6F8B"/>
    <w:rsid w:val="00FB7071"/>
    <w:rsid w:val="00FB71CB"/>
    <w:rsid w:val="00FB721C"/>
    <w:rsid w:val="00FB72B8"/>
    <w:rsid w:val="00FB732E"/>
    <w:rsid w:val="00FB7540"/>
    <w:rsid w:val="00FB7873"/>
    <w:rsid w:val="00FB787D"/>
    <w:rsid w:val="00FB7986"/>
    <w:rsid w:val="00FB7CFB"/>
    <w:rsid w:val="00FB7DBF"/>
    <w:rsid w:val="00FB7E60"/>
    <w:rsid w:val="00FB7EF0"/>
    <w:rsid w:val="00FB7F36"/>
    <w:rsid w:val="00FB7F84"/>
    <w:rsid w:val="00FC003E"/>
    <w:rsid w:val="00FC01F5"/>
    <w:rsid w:val="00FC02D2"/>
    <w:rsid w:val="00FC0334"/>
    <w:rsid w:val="00FC0438"/>
    <w:rsid w:val="00FC0461"/>
    <w:rsid w:val="00FC0471"/>
    <w:rsid w:val="00FC05F5"/>
    <w:rsid w:val="00FC060B"/>
    <w:rsid w:val="00FC088F"/>
    <w:rsid w:val="00FC08DE"/>
    <w:rsid w:val="00FC08E6"/>
    <w:rsid w:val="00FC0985"/>
    <w:rsid w:val="00FC0A70"/>
    <w:rsid w:val="00FC0B9A"/>
    <w:rsid w:val="00FC0CFA"/>
    <w:rsid w:val="00FC1489"/>
    <w:rsid w:val="00FC14BA"/>
    <w:rsid w:val="00FC14C6"/>
    <w:rsid w:val="00FC175A"/>
    <w:rsid w:val="00FC1774"/>
    <w:rsid w:val="00FC1832"/>
    <w:rsid w:val="00FC1DA2"/>
    <w:rsid w:val="00FC1F4A"/>
    <w:rsid w:val="00FC1FCA"/>
    <w:rsid w:val="00FC2125"/>
    <w:rsid w:val="00FC2143"/>
    <w:rsid w:val="00FC215C"/>
    <w:rsid w:val="00FC223A"/>
    <w:rsid w:val="00FC2427"/>
    <w:rsid w:val="00FC24B7"/>
    <w:rsid w:val="00FC267E"/>
    <w:rsid w:val="00FC2805"/>
    <w:rsid w:val="00FC2AB8"/>
    <w:rsid w:val="00FC2F61"/>
    <w:rsid w:val="00FC3009"/>
    <w:rsid w:val="00FC31AB"/>
    <w:rsid w:val="00FC3602"/>
    <w:rsid w:val="00FC381A"/>
    <w:rsid w:val="00FC3B81"/>
    <w:rsid w:val="00FC3E31"/>
    <w:rsid w:val="00FC3FD8"/>
    <w:rsid w:val="00FC40A5"/>
    <w:rsid w:val="00FC4117"/>
    <w:rsid w:val="00FC415B"/>
    <w:rsid w:val="00FC41AC"/>
    <w:rsid w:val="00FC437A"/>
    <w:rsid w:val="00FC44E1"/>
    <w:rsid w:val="00FC4596"/>
    <w:rsid w:val="00FC45E8"/>
    <w:rsid w:val="00FC4690"/>
    <w:rsid w:val="00FC4720"/>
    <w:rsid w:val="00FC4810"/>
    <w:rsid w:val="00FC4A48"/>
    <w:rsid w:val="00FC4C6E"/>
    <w:rsid w:val="00FC4C89"/>
    <w:rsid w:val="00FC4CB5"/>
    <w:rsid w:val="00FC4E21"/>
    <w:rsid w:val="00FC5478"/>
    <w:rsid w:val="00FC57BE"/>
    <w:rsid w:val="00FC5847"/>
    <w:rsid w:val="00FC58B2"/>
    <w:rsid w:val="00FC5976"/>
    <w:rsid w:val="00FC59E0"/>
    <w:rsid w:val="00FC59FF"/>
    <w:rsid w:val="00FC5ADA"/>
    <w:rsid w:val="00FC5B62"/>
    <w:rsid w:val="00FC5C95"/>
    <w:rsid w:val="00FC5D93"/>
    <w:rsid w:val="00FC5D9B"/>
    <w:rsid w:val="00FC5E8A"/>
    <w:rsid w:val="00FC6058"/>
    <w:rsid w:val="00FC644E"/>
    <w:rsid w:val="00FC64D0"/>
    <w:rsid w:val="00FC650B"/>
    <w:rsid w:val="00FC67FF"/>
    <w:rsid w:val="00FC693F"/>
    <w:rsid w:val="00FC6946"/>
    <w:rsid w:val="00FC6C31"/>
    <w:rsid w:val="00FC6CF3"/>
    <w:rsid w:val="00FC6D04"/>
    <w:rsid w:val="00FC6FD0"/>
    <w:rsid w:val="00FC70EA"/>
    <w:rsid w:val="00FC720E"/>
    <w:rsid w:val="00FC72B2"/>
    <w:rsid w:val="00FC731E"/>
    <w:rsid w:val="00FC746A"/>
    <w:rsid w:val="00FC74E4"/>
    <w:rsid w:val="00FC7884"/>
    <w:rsid w:val="00FC7BC8"/>
    <w:rsid w:val="00FC7C2A"/>
    <w:rsid w:val="00FC7DB3"/>
    <w:rsid w:val="00FD01A2"/>
    <w:rsid w:val="00FD0231"/>
    <w:rsid w:val="00FD024C"/>
    <w:rsid w:val="00FD0342"/>
    <w:rsid w:val="00FD06FB"/>
    <w:rsid w:val="00FD0A52"/>
    <w:rsid w:val="00FD0ACB"/>
    <w:rsid w:val="00FD0B99"/>
    <w:rsid w:val="00FD0C01"/>
    <w:rsid w:val="00FD0D82"/>
    <w:rsid w:val="00FD1359"/>
    <w:rsid w:val="00FD144B"/>
    <w:rsid w:val="00FD157D"/>
    <w:rsid w:val="00FD16E9"/>
    <w:rsid w:val="00FD17ED"/>
    <w:rsid w:val="00FD1849"/>
    <w:rsid w:val="00FD1881"/>
    <w:rsid w:val="00FD198D"/>
    <w:rsid w:val="00FD1A4F"/>
    <w:rsid w:val="00FD1B72"/>
    <w:rsid w:val="00FD1D9A"/>
    <w:rsid w:val="00FD1F3C"/>
    <w:rsid w:val="00FD2201"/>
    <w:rsid w:val="00FD24A4"/>
    <w:rsid w:val="00FD2524"/>
    <w:rsid w:val="00FD2724"/>
    <w:rsid w:val="00FD2783"/>
    <w:rsid w:val="00FD2800"/>
    <w:rsid w:val="00FD297E"/>
    <w:rsid w:val="00FD2BF3"/>
    <w:rsid w:val="00FD2E04"/>
    <w:rsid w:val="00FD2F6A"/>
    <w:rsid w:val="00FD2F71"/>
    <w:rsid w:val="00FD2FBD"/>
    <w:rsid w:val="00FD307E"/>
    <w:rsid w:val="00FD3128"/>
    <w:rsid w:val="00FD31C1"/>
    <w:rsid w:val="00FD31F3"/>
    <w:rsid w:val="00FD3323"/>
    <w:rsid w:val="00FD3350"/>
    <w:rsid w:val="00FD3472"/>
    <w:rsid w:val="00FD34D9"/>
    <w:rsid w:val="00FD36D9"/>
    <w:rsid w:val="00FD388F"/>
    <w:rsid w:val="00FD3A0E"/>
    <w:rsid w:val="00FD3A58"/>
    <w:rsid w:val="00FD3A8D"/>
    <w:rsid w:val="00FD3DA2"/>
    <w:rsid w:val="00FD3EF4"/>
    <w:rsid w:val="00FD40D6"/>
    <w:rsid w:val="00FD4391"/>
    <w:rsid w:val="00FD4488"/>
    <w:rsid w:val="00FD4565"/>
    <w:rsid w:val="00FD46FD"/>
    <w:rsid w:val="00FD48E8"/>
    <w:rsid w:val="00FD49FF"/>
    <w:rsid w:val="00FD4A6B"/>
    <w:rsid w:val="00FD4A76"/>
    <w:rsid w:val="00FD4C73"/>
    <w:rsid w:val="00FD4D54"/>
    <w:rsid w:val="00FD5151"/>
    <w:rsid w:val="00FD5372"/>
    <w:rsid w:val="00FD5434"/>
    <w:rsid w:val="00FD5468"/>
    <w:rsid w:val="00FD55D4"/>
    <w:rsid w:val="00FD55DB"/>
    <w:rsid w:val="00FD569C"/>
    <w:rsid w:val="00FD5AD9"/>
    <w:rsid w:val="00FD5B59"/>
    <w:rsid w:val="00FD5DFF"/>
    <w:rsid w:val="00FD5EE4"/>
    <w:rsid w:val="00FD609F"/>
    <w:rsid w:val="00FD61DD"/>
    <w:rsid w:val="00FD6362"/>
    <w:rsid w:val="00FD63BB"/>
    <w:rsid w:val="00FD6444"/>
    <w:rsid w:val="00FD65BD"/>
    <w:rsid w:val="00FD6696"/>
    <w:rsid w:val="00FD671A"/>
    <w:rsid w:val="00FD68AB"/>
    <w:rsid w:val="00FD6952"/>
    <w:rsid w:val="00FD6BE6"/>
    <w:rsid w:val="00FD6CF3"/>
    <w:rsid w:val="00FD6DDD"/>
    <w:rsid w:val="00FD6E22"/>
    <w:rsid w:val="00FD6EA5"/>
    <w:rsid w:val="00FD6EAD"/>
    <w:rsid w:val="00FD6F34"/>
    <w:rsid w:val="00FD7089"/>
    <w:rsid w:val="00FD70C2"/>
    <w:rsid w:val="00FD7441"/>
    <w:rsid w:val="00FD76DC"/>
    <w:rsid w:val="00FD77DD"/>
    <w:rsid w:val="00FD79A9"/>
    <w:rsid w:val="00FD7ACB"/>
    <w:rsid w:val="00FD7BE8"/>
    <w:rsid w:val="00FD7BEE"/>
    <w:rsid w:val="00FD7C23"/>
    <w:rsid w:val="00FD7D51"/>
    <w:rsid w:val="00FD7E65"/>
    <w:rsid w:val="00FD7E97"/>
    <w:rsid w:val="00FD7EC9"/>
    <w:rsid w:val="00FDABB1"/>
    <w:rsid w:val="00FE006A"/>
    <w:rsid w:val="00FE011B"/>
    <w:rsid w:val="00FE017E"/>
    <w:rsid w:val="00FE0195"/>
    <w:rsid w:val="00FE02D5"/>
    <w:rsid w:val="00FE0338"/>
    <w:rsid w:val="00FE0357"/>
    <w:rsid w:val="00FE04E0"/>
    <w:rsid w:val="00FE063D"/>
    <w:rsid w:val="00FE090A"/>
    <w:rsid w:val="00FE0AED"/>
    <w:rsid w:val="00FE0CCA"/>
    <w:rsid w:val="00FE0F5E"/>
    <w:rsid w:val="00FE122E"/>
    <w:rsid w:val="00FE13D3"/>
    <w:rsid w:val="00FE145F"/>
    <w:rsid w:val="00FE18E6"/>
    <w:rsid w:val="00FE190C"/>
    <w:rsid w:val="00FE19C3"/>
    <w:rsid w:val="00FE1B76"/>
    <w:rsid w:val="00FE1E5E"/>
    <w:rsid w:val="00FE201A"/>
    <w:rsid w:val="00FE22AD"/>
    <w:rsid w:val="00FE22BB"/>
    <w:rsid w:val="00FE2355"/>
    <w:rsid w:val="00FE2426"/>
    <w:rsid w:val="00FE25C6"/>
    <w:rsid w:val="00FE25EB"/>
    <w:rsid w:val="00FE261A"/>
    <w:rsid w:val="00FE27F2"/>
    <w:rsid w:val="00FE2860"/>
    <w:rsid w:val="00FE289C"/>
    <w:rsid w:val="00FE28AD"/>
    <w:rsid w:val="00FE28C8"/>
    <w:rsid w:val="00FE28EB"/>
    <w:rsid w:val="00FE2B59"/>
    <w:rsid w:val="00FE2B93"/>
    <w:rsid w:val="00FE2BE7"/>
    <w:rsid w:val="00FE2C5D"/>
    <w:rsid w:val="00FE2D94"/>
    <w:rsid w:val="00FE2DA9"/>
    <w:rsid w:val="00FE2FB2"/>
    <w:rsid w:val="00FE2FC2"/>
    <w:rsid w:val="00FE3058"/>
    <w:rsid w:val="00FE3082"/>
    <w:rsid w:val="00FE3102"/>
    <w:rsid w:val="00FE32DA"/>
    <w:rsid w:val="00FE36F9"/>
    <w:rsid w:val="00FE398D"/>
    <w:rsid w:val="00FE3B0F"/>
    <w:rsid w:val="00FE3D1C"/>
    <w:rsid w:val="00FE413B"/>
    <w:rsid w:val="00FE4140"/>
    <w:rsid w:val="00FE41CB"/>
    <w:rsid w:val="00FE4207"/>
    <w:rsid w:val="00FE4352"/>
    <w:rsid w:val="00FE4366"/>
    <w:rsid w:val="00FE445F"/>
    <w:rsid w:val="00FE4625"/>
    <w:rsid w:val="00FE474F"/>
    <w:rsid w:val="00FE4770"/>
    <w:rsid w:val="00FE48AB"/>
    <w:rsid w:val="00FE4A7A"/>
    <w:rsid w:val="00FE4B7F"/>
    <w:rsid w:val="00FE4CF3"/>
    <w:rsid w:val="00FE4D36"/>
    <w:rsid w:val="00FE4E7D"/>
    <w:rsid w:val="00FE5021"/>
    <w:rsid w:val="00FE50FB"/>
    <w:rsid w:val="00FE528C"/>
    <w:rsid w:val="00FE537E"/>
    <w:rsid w:val="00FE566C"/>
    <w:rsid w:val="00FE58CF"/>
    <w:rsid w:val="00FE5B62"/>
    <w:rsid w:val="00FE5C30"/>
    <w:rsid w:val="00FE5C6F"/>
    <w:rsid w:val="00FE5C77"/>
    <w:rsid w:val="00FE5C9F"/>
    <w:rsid w:val="00FE5CD3"/>
    <w:rsid w:val="00FE5CF7"/>
    <w:rsid w:val="00FE5D8F"/>
    <w:rsid w:val="00FE5EA7"/>
    <w:rsid w:val="00FE5EEF"/>
    <w:rsid w:val="00FE60A8"/>
    <w:rsid w:val="00FE619A"/>
    <w:rsid w:val="00FE620D"/>
    <w:rsid w:val="00FE6311"/>
    <w:rsid w:val="00FE6386"/>
    <w:rsid w:val="00FE6461"/>
    <w:rsid w:val="00FE655B"/>
    <w:rsid w:val="00FE665E"/>
    <w:rsid w:val="00FE6738"/>
    <w:rsid w:val="00FE6843"/>
    <w:rsid w:val="00FE6885"/>
    <w:rsid w:val="00FE68C1"/>
    <w:rsid w:val="00FE696E"/>
    <w:rsid w:val="00FE6B74"/>
    <w:rsid w:val="00FE6BD6"/>
    <w:rsid w:val="00FE6D23"/>
    <w:rsid w:val="00FE6D87"/>
    <w:rsid w:val="00FE6FAB"/>
    <w:rsid w:val="00FE6FD8"/>
    <w:rsid w:val="00FE74CF"/>
    <w:rsid w:val="00FE7611"/>
    <w:rsid w:val="00FE7778"/>
    <w:rsid w:val="00FE7869"/>
    <w:rsid w:val="00FE7A7F"/>
    <w:rsid w:val="00FE7B31"/>
    <w:rsid w:val="00FE7B90"/>
    <w:rsid w:val="00FE7D43"/>
    <w:rsid w:val="00FE7EAF"/>
    <w:rsid w:val="00FF01A8"/>
    <w:rsid w:val="00FF01B7"/>
    <w:rsid w:val="00FF024E"/>
    <w:rsid w:val="00FF02AF"/>
    <w:rsid w:val="00FF04BD"/>
    <w:rsid w:val="00FF05D4"/>
    <w:rsid w:val="00FF0854"/>
    <w:rsid w:val="00FF0880"/>
    <w:rsid w:val="00FF08EB"/>
    <w:rsid w:val="00FF09A8"/>
    <w:rsid w:val="00FF0B99"/>
    <w:rsid w:val="00FF0BB3"/>
    <w:rsid w:val="00FF0CCC"/>
    <w:rsid w:val="00FF0CFF"/>
    <w:rsid w:val="00FF0D43"/>
    <w:rsid w:val="00FF0D84"/>
    <w:rsid w:val="00FF0ECC"/>
    <w:rsid w:val="00FF1114"/>
    <w:rsid w:val="00FF12AC"/>
    <w:rsid w:val="00FF12BF"/>
    <w:rsid w:val="00FF133F"/>
    <w:rsid w:val="00FF134B"/>
    <w:rsid w:val="00FF13F4"/>
    <w:rsid w:val="00FF14A3"/>
    <w:rsid w:val="00FF18ED"/>
    <w:rsid w:val="00FF1906"/>
    <w:rsid w:val="00FF1954"/>
    <w:rsid w:val="00FF1995"/>
    <w:rsid w:val="00FF217A"/>
    <w:rsid w:val="00FF21BD"/>
    <w:rsid w:val="00FF2232"/>
    <w:rsid w:val="00FF2466"/>
    <w:rsid w:val="00FF2616"/>
    <w:rsid w:val="00FF2805"/>
    <w:rsid w:val="00FF280D"/>
    <w:rsid w:val="00FF284A"/>
    <w:rsid w:val="00FF2AC5"/>
    <w:rsid w:val="00FF2CC4"/>
    <w:rsid w:val="00FF2CDF"/>
    <w:rsid w:val="00FF2D2F"/>
    <w:rsid w:val="00FF3050"/>
    <w:rsid w:val="00FF310E"/>
    <w:rsid w:val="00FF339B"/>
    <w:rsid w:val="00FF34D5"/>
    <w:rsid w:val="00FF357D"/>
    <w:rsid w:val="00FF3692"/>
    <w:rsid w:val="00FF3736"/>
    <w:rsid w:val="00FF37CD"/>
    <w:rsid w:val="00FF37DF"/>
    <w:rsid w:val="00FF380D"/>
    <w:rsid w:val="00FF3A3B"/>
    <w:rsid w:val="00FF3B07"/>
    <w:rsid w:val="00FF3FAB"/>
    <w:rsid w:val="00FF422F"/>
    <w:rsid w:val="00FF4246"/>
    <w:rsid w:val="00FF4565"/>
    <w:rsid w:val="00FF4570"/>
    <w:rsid w:val="00FF45F0"/>
    <w:rsid w:val="00FF464F"/>
    <w:rsid w:val="00FF4670"/>
    <w:rsid w:val="00FF47C9"/>
    <w:rsid w:val="00FF4898"/>
    <w:rsid w:val="00FF4A1B"/>
    <w:rsid w:val="00FF4B44"/>
    <w:rsid w:val="00FF4CD1"/>
    <w:rsid w:val="00FF4E13"/>
    <w:rsid w:val="00FF537D"/>
    <w:rsid w:val="00FF53BA"/>
    <w:rsid w:val="00FF55DD"/>
    <w:rsid w:val="00FF565D"/>
    <w:rsid w:val="00FF5736"/>
    <w:rsid w:val="00FF5782"/>
    <w:rsid w:val="00FF57A0"/>
    <w:rsid w:val="00FF5858"/>
    <w:rsid w:val="00FF5935"/>
    <w:rsid w:val="00FF593E"/>
    <w:rsid w:val="00FF59AA"/>
    <w:rsid w:val="00FF5C4C"/>
    <w:rsid w:val="00FF5E12"/>
    <w:rsid w:val="00FF5E81"/>
    <w:rsid w:val="00FF5FEB"/>
    <w:rsid w:val="00FF6243"/>
    <w:rsid w:val="00FF636F"/>
    <w:rsid w:val="00FF638A"/>
    <w:rsid w:val="00FF6443"/>
    <w:rsid w:val="00FF6493"/>
    <w:rsid w:val="00FF697D"/>
    <w:rsid w:val="00FF6980"/>
    <w:rsid w:val="00FF69CD"/>
    <w:rsid w:val="00FF69F0"/>
    <w:rsid w:val="00FF6A16"/>
    <w:rsid w:val="00FF6B48"/>
    <w:rsid w:val="00FF6C36"/>
    <w:rsid w:val="00FF6F54"/>
    <w:rsid w:val="00FF6F6D"/>
    <w:rsid w:val="00FF70DC"/>
    <w:rsid w:val="00FF7181"/>
    <w:rsid w:val="00FF72F4"/>
    <w:rsid w:val="00FF73B2"/>
    <w:rsid w:val="00FF73FE"/>
    <w:rsid w:val="00FF7432"/>
    <w:rsid w:val="00FF746A"/>
    <w:rsid w:val="00FF77E8"/>
    <w:rsid w:val="00FF7AB7"/>
    <w:rsid w:val="00FF7ACE"/>
    <w:rsid w:val="00FF7AED"/>
    <w:rsid w:val="00FF7BB4"/>
    <w:rsid w:val="00FF7CE3"/>
    <w:rsid w:val="00FF7CE6"/>
    <w:rsid w:val="00FF7D8B"/>
    <w:rsid w:val="01033DAB"/>
    <w:rsid w:val="0103BBE5"/>
    <w:rsid w:val="0108AC41"/>
    <w:rsid w:val="010CF251"/>
    <w:rsid w:val="01121AFA"/>
    <w:rsid w:val="01127500"/>
    <w:rsid w:val="01141532"/>
    <w:rsid w:val="0118CF07"/>
    <w:rsid w:val="011BCE37"/>
    <w:rsid w:val="01250E63"/>
    <w:rsid w:val="01251022"/>
    <w:rsid w:val="01362EA3"/>
    <w:rsid w:val="0143FA5A"/>
    <w:rsid w:val="014BF470"/>
    <w:rsid w:val="014C7E1F"/>
    <w:rsid w:val="014F9016"/>
    <w:rsid w:val="015B3017"/>
    <w:rsid w:val="0161390F"/>
    <w:rsid w:val="0163C29E"/>
    <w:rsid w:val="0166D8CA"/>
    <w:rsid w:val="01670DE2"/>
    <w:rsid w:val="01698352"/>
    <w:rsid w:val="017348B3"/>
    <w:rsid w:val="01895D05"/>
    <w:rsid w:val="01994BA7"/>
    <w:rsid w:val="019F5B89"/>
    <w:rsid w:val="01A47B4C"/>
    <w:rsid w:val="01AD50CB"/>
    <w:rsid w:val="01ADF1C9"/>
    <w:rsid w:val="01AFD9CD"/>
    <w:rsid w:val="01BBBC2B"/>
    <w:rsid w:val="01C3A470"/>
    <w:rsid w:val="01C9C066"/>
    <w:rsid w:val="01CDB31F"/>
    <w:rsid w:val="01DABE68"/>
    <w:rsid w:val="01DEA18E"/>
    <w:rsid w:val="01DFFAF8"/>
    <w:rsid w:val="01F06434"/>
    <w:rsid w:val="01F9442C"/>
    <w:rsid w:val="020823B8"/>
    <w:rsid w:val="020A0EFD"/>
    <w:rsid w:val="020C581F"/>
    <w:rsid w:val="021D3DE2"/>
    <w:rsid w:val="022AFAEA"/>
    <w:rsid w:val="02449B64"/>
    <w:rsid w:val="024771F2"/>
    <w:rsid w:val="024C4C9D"/>
    <w:rsid w:val="024DDFE9"/>
    <w:rsid w:val="02512D90"/>
    <w:rsid w:val="02556EB1"/>
    <w:rsid w:val="0255E5F3"/>
    <w:rsid w:val="0256B96D"/>
    <w:rsid w:val="025799B6"/>
    <w:rsid w:val="025C7EF1"/>
    <w:rsid w:val="025E4491"/>
    <w:rsid w:val="02689443"/>
    <w:rsid w:val="02701D9D"/>
    <w:rsid w:val="02722911"/>
    <w:rsid w:val="027F7E7F"/>
    <w:rsid w:val="027FDA39"/>
    <w:rsid w:val="02806168"/>
    <w:rsid w:val="0282EDD8"/>
    <w:rsid w:val="02838C9E"/>
    <w:rsid w:val="028EC2DE"/>
    <w:rsid w:val="029AE15A"/>
    <w:rsid w:val="029CF1A1"/>
    <w:rsid w:val="02A6F719"/>
    <w:rsid w:val="02A955C4"/>
    <w:rsid w:val="02AA634A"/>
    <w:rsid w:val="02AD98EE"/>
    <w:rsid w:val="02B1A547"/>
    <w:rsid w:val="02B6929D"/>
    <w:rsid w:val="02B6F1BF"/>
    <w:rsid w:val="02C5FE7D"/>
    <w:rsid w:val="02C617EB"/>
    <w:rsid w:val="02CFACC2"/>
    <w:rsid w:val="02D0C97D"/>
    <w:rsid w:val="02D1B761"/>
    <w:rsid w:val="02D1BB49"/>
    <w:rsid w:val="02D5BB16"/>
    <w:rsid w:val="02D9FD81"/>
    <w:rsid w:val="02DB8677"/>
    <w:rsid w:val="02E0584A"/>
    <w:rsid w:val="02F978B1"/>
    <w:rsid w:val="02FB0F8D"/>
    <w:rsid w:val="030C1C91"/>
    <w:rsid w:val="030DF5C1"/>
    <w:rsid w:val="031BA80B"/>
    <w:rsid w:val="0336B712"/>
    <w:rsid w:val="033DCC72"/>
    <w:rsid w:val="0348EC49"/>
    <w:rsid w:val="034ADFA8"/>
    <w:rsid w:val="034ED5F9"/>
    <w:rsid w:val="03677D17"/>
    <w:rsid w:val="0368B6BB"/>
    <w:rsid w:val="036CABC4"/>
    <w:rsid w:val="0370BACC"/>
    <w:rsid w:val="03746C90"/>
    <w:rsid w:val="03776939"/>
    <w:rsid w:val="037B2D42"/>
    <w:rsid w:val="0385E7AD"/>
    <w:rsid w:val="0393787B"/>
    <w:rsid w:val="0398A9D8"/>
    <w:rsid w:val="039D8E4B"/>
    <w:rsid w:val="039DCF23"/>
    <w:rsid w:val="03A0267E"/>
    <w:rsid w:val="03A2C584"/>
    <w:rsid w:val="03A70930"/>
    <w:rsid w:val="03B2482A"/>
    <w:rsid w:val="03BC4ECC"/>
    <w:rsid w:val="03BD208C"/>
    <w:rsid w:val="03BE2A97"/>
    <w:rsid w:val="03CFDDBE"/>
    <w:rsid w:val="03D744EC"/>
    <w:rsid w:val="03DB8B6B"/>
    <w:rsid w:val="03E33B27"/>
    <w:rsid w:val="03E8AB3B"/>
    <w:rsid w:val="03EFB93C"/>
    <w:rsid w:val="03F39E20"/>
    <w:rsid w:val="03F488C6"/>
    <w:rsid w:val="03F4B548"/>
    <w:rsid w:val="03F7C80A"/>
    <w:rsid w:val="04036F63"/>
    <w:rsid w:val="04052261"/>
    <w:rsid w:val="0405CF40"/>
    <w:rsid w:val="040921C8"/>
    <w:rsid w:val="041269E6"/>
    <w:rsid w:val="041408D7"/>
    <w:rsid w:val="041B203F"/>
    <w:rsid w:val="041BCCCF"/>
    <w:rsid w:val="041D86A9"/>
    <w:rsid w:val="042670AF"/>
    <w:rsid w:val="043731B9"/>
    <w:rsid w:val="0443693C"/>
    <w:rsid w:val="0443AA08"/>
    <w:rsid w:val="0448575B"/>
    <w:rsid w:val="044CE477"/>
    <w:rsid w:val="0451F75F"/>
    <w:rsid w:val="045917A9"/>
    <w:rsid w:val="045CF638"/>
    <w:rsid w:val="045D8B75"/>
    <w:rsid w:val="0469929D"/>
    <w:rsid w:val="0470584E"/>
    <w:rsid w:val="04750617"/>
    <w:rsid w:val="04755CEE"/>
    <w:rsid w:val="0477DE37"/>
    <w:rsid w:val="04877731"/>
    <w:rsid w:val="048E8C35"/>
    <w:rsid w:val="04913003"/>
    <w:rsid w:val="04963A3F"/>
    <w:rsid w:val="0497C0D2"/>
    <w:rsid w:val="049A2047"/>
    <w:rsid w:val="04A0D2DF"/>
    <w:rsid w:val="04A8C456"/>
    <w:rsid w:val="04A8F903"/>
    <w:rsid w:val="04B4F6BE"/>
    <w:rsid w:val="04B53961"/>
    <w:rsid w:val="04C7633B"/>
    <w:rsid w:val="04C8146F"/>
    <w:rsid w:val="04C9B9F6"/>
    <w:rsid w:val="04D8E314"/>
    <w:rsid w:val="04D90E74"/>
    <w:rsid w:val="04DA7A94"/>
    <w:rsid w:val="04DBE6A0"/>
    <w:rsid w:val="04E100D8"/>
    <w:rsid w:val="04E49ED6"/>
    <w:rsid w:val="04F8C640"/>
    <w:rsid w:val="04FA3DA1"/>
    <w:rsid w:val="05027F0D"/>
    <w:rsid w:val="050680A9"/>
    <w:rsid w:val="05107CD5"/>
    <w:rsid w:val="0529639E"/>
    <w:rsid w:val="052CFDC5"/>
    <w:rsid w:val="053E4D08"/>
    <w:rsid w:val="0545DB04"/>
    <w:rsid w:val="05485254"/>
    <w:rsid w:val="054E641F"/>
    <w:rsid w:val="05501D2D"/>
    <w:rsid w:val="0552B745"/>
    <w:rsid w:val="055FBB97"/>
    <w:rsid w:val="0566FDEB"/>
    <w:rsid w:val="056ACE14"/>
    <w:rsid w:val="056C4077"/>
    <w:rsid w:val="056C6F8D"/>
    <w:rsid w:val="056E1017"/>
    <w:rsid w:val="05702427"/>
    <w:rsid w:val="0579E8D9"/>
    <w:rsid w:val="057AD451"/>
    <w:rsid w:val="057C9D04"/>
    <w:rsid w:val="0580ED44"/>
    <w:rsid w:val="0581C5E1"/>
    <w:rsid w:val="058923E2"/>
    <w:rsid w:val="059E9417"/>
    <w:rsid w:val="05A7B659"/>
    <w:rsid w:val="05A935DD"/>
    <w:rsid w:val="05AE100D"/>
    <w:rsid w:val="05C5D240"/>
    <w:rsid w:val="05C90699"/>
    <w:rsid w:val="05CF2727"/>
    <w:rsid w:val="05D170C0"/>
    <w:rsid w:val="05D2CC36"/>
    <w:rsid w:val="05E005C5"/>
    <w:rsid w:val="05E641FA"/>
    <w:rsid w:val="05EE1470"/>
    <w:rsid w:val="05F11C96"/>
    <w:rsid w:val="05F3F7AD"/>
    <w:rsid w:val="0604F3FB"/>
    <w:rsid w:val="0609B3E8"/>
    <w:rsid w:val="06289D22"/>
    <w:rsid w:val="062D8ACC"/>
    <w:rsid w:val="0635D86B"/>
    <w:rsid w:val="0647DCAE"/>
    <w:rsid w:val="064BE51D"/>
    <w:rsid w:val="0652689E"/>
    <w:rsid w:val="06632BDA"/>
    <w:rsid w:val="0667ADBD"/>
    <w:rsid w:val="067510AE"/>
    <w:rsid w:val="0677892B"/>
    <w:rsid w:val="067A3724"/>
    <w:rsid w:val="067B6EC1"/>
    <w:rsid w:val="067BF6A0"/>
    <w:rsid w:val="067E6984"/>
    <w:rsid w:val="068DB638"/>
    <w:rsid w:val="068F5961"/>
    <w:rsid w:val="0690D07B"/>
    <w:rsid w:val="0692A2E5"/>
    <w:rsid w:val="069ABC10"/>
    <w:rsid w:val="069DBE3E"/>
    <w:rsid w:val="06A37C8F"/>
    <w:rsid w:val="06A4237A"/>
    <w:rsid w:val="06B5AA6B"/>
    <w:rsid w:val="06B76255"/>
    <w:rsid w:val="06BB7295"/>
    <w:rsid w:val="06C0904F"/>
    <w:rsid w:val="06CEA16C"/>
    <w:rsid w:val="06D45F84"/>
    <w:rsid w:val="06D5B05E"/>
    <w:rsid w:val="06D7A049"/>
    <w:rsid w:val="06E25495"/>
    <w:rsid w:val="06EA40C8"/>
    <w:rsid w:val="06EB6E11"/>
    <w:rsid w:val="06ED287B"/>
    <w:rsid w:val="07108A3F"/>
    <w:rsid w:val="0710AFB6"/>
    <w:rsid w:val="0717C55F"/>
    <w:rsid w:val="071D6463"/>
    <w:rsid w:val="07237DCC"/>
    <w:rsid w:val="072A1BA8"/>
    <w:rsid w:val="072DAA69"/>
    <w:rsid w:val="072EEA3F"/>
    <w:rsid w:val="073100C1"/>
    <w:rsid w:val="07352917"/>
    <w:rsid w:val="073BC46F"/>
    <w:rsid w:val="0749E316"/>
    <w:rsid w:val="074B8185"/>
    <w:rsid w:val="074C68B7"/>
    <w:rsid w:val="074E91F0"/>
    <w:rsid w:val="074EBBF3"/>
    <w:rsid w:val="075477EB"/>
    <w:rsid w:val="0759992B"/>
    <w:rsid w:val="07625F28"/>
    <w:rsid w:val="07651643"/>
    <w:rsid w:val="076D80E0"/>
    <w:rsid w:val="07736732"/>
    <w:rsid w:val="07756C7A"/>
    <w:rsid w:val="077D35F9"/>
    <w:rsid w:val="077F568F"/>
    <w:rsid w:val="0787CCC1"/>
    <w:rsid w:val="078D2E10"/>
    <w:rsid w:val="078DF6CC"/>
    <w:rsid w:val="078E0354"/>
    <w:rsid w:val="0790AAC9"/>
    <w:rsid w:val="0793F896"/>
    <w:rsid w:val="07A1FF39"/>
    <w:rsid w:val="07A4E2E3"/>
    <w:rsid w:val="07B9A642"/>
    <w:rsid w:val="07BFE25C"/>
    <w:rsid w:val="07C3128A"/>
    <w:rsid w:val="07C55BAD"/>
    <w:rsid w:val="07C86D45"/>
    <w:rsid w:val="07CB5B92"/>
    <w:rsid w:val="07D1751D"/>
    <w:rsid w:val="07D3DEEC"/>
    <w:rsid w:val="07E4775F"/>
    <w:rsid w:val="07E6110A"/>
    <w:rsid w:val="07F01F5A"/>
    <w:rsid w:val="07F4F30A"/>
    <w:rsid w:val="07F94619"/>
    <w:rsid w:val="08068468"/>
    <w:rsid w:val="080EC186"/>
    <w:rsid w:val="081268CC"/>
    <w:rsid w:val="08138FB9"/>
    <w:rsid w:val="0814C3F3"/>
    <w:rsid w:val="08171024"/>
    <w:rsid w:val="08223A60"/>
    <w:rsid w:val="08229FA9"/>
    <w:rsid w:val="08265462"/>
    <w:rsid w:val="08327318"/>
    <w:rsid w:val="08340713"/>
    <w:rsid w:val="083E09F1"/>
    <w:rsid w:val="083EB983"/>
    <w:rsid w:val="08403942"/>
    <w:rsid w:val="084059B4"/>
    <w:rsid w:val="08473104"/>
    <w:rsid w:val="0849B312"/>
    <w:rsid w:val="0850D9B1"/>
    <w:rsid w:val="08589CAA"/>
    <w:rsid w:val="085A4841"/>
    <w:rsid w:val="085CFBC2"/>
    <w:rsid w:val="085F3EE2"/>
    <w:rsid w:val="08621780"/>
    <w:rsid w:val="0863A98C"/>
    <w:rsid w:val="086624D3"/>
    <w:rsid w:val="08681BA6"/>
    <w:rsid w:val="086924A1"/>
    <w:rsid w:val="08703B3B"/>
    <w:rsid w:val="087F3341"/>
    <w:rsid w:val="088C3674"/>
    <w:rsid w:val="089AF703"/>
    <w:rsid w:val="089F394E"/>
    <w:rsid w:val="08A7B712"/>
    <w:rsid w:val="08AD5A54"/>
    <w:rsid w:val="08AF10CC"/>
    <w:rsid w:val="08B150C9"/>
    <w:rsid w:val="08C3E269"/>
    <w:rsid w:val="08C46D40"/>
    <w:rsid w:val="08DB2521"/>
    <w:rsid w:val="08E29C39"/>
    <w:rsid w:val="08E5C42A"/>
    <w:rsid w:val="08E82A55"/>
    <w:rsid w:val="08FE66BC"/>
    <w:rsid w:val="091337B8"/>
    <w:rsid w:val="0915DDA3"/>
    <w:rsid w:val="0916F38D"/>
    <w:rsid w:val="091BAD3D"/>
    <w:rsid w:val="09258D7F"/>
    <w:rsid w:val="092BC167"/>
    <w:rsid w:val="0932EF9A"/>
    <w:rsid w:val="093AD75F"/>
    <w:rsid w:val="093B5679"/>
    <w:rsid w:val="0942028F"/>
    <w:rsid w:val="0943892A"/>
    <w:rsid w:val="0952CE42"/>
    <w:rsid w:val="095BA287"/>
    <w:rsid w:val="095F11A3"/>
    <w:rsid w:val="095F35C8"/>
    <w:rsid w:val="096232CC"/>
    <w:rsid w:val="09678DDA"/>
    <w:rsid w:val="096A9A44"/>
    <w:rsid w:val="09707FB6"/>
    <w:rsid w:val="0973BB4A"/>
    <w:rsid w:val="097765F8"/>
    <w:rsid w:val="097D74E9"/>
    <w:rsid w:val="0989B4F9"/>
    <w:rsid w:val="098CB459"/>
    <w:rsid w:val="0997A63C"/>
    <w:rsid w:val="0999E2B1"/>
    <w:rsid w:val="099A348A"/>
    <w:rsid w:val="099F1CD6"/>
    <w:rsid w:val="09B3360C"/>
    <w:rsid w:val="09BDE0B6"/>
    <w:rsid w:val="09CDF1B1"/>
    <w:rsid w:val="09D49F4F"/>
    <w:rsid w:val="09D752B0"/>
    <w:rsid w:val="09D99E32"/>
    <w:rsid w:val="09D9CC06"/>
    <w:rsid w:val="09E52A53"/>
    <w:rsid w:val="09E5AC99"/>
    <w:rsid w:val="09E7D420"/>
    <w:rsid w:val="09E9435E"/>
    <w:rsid w:val="09EF3D01"/>
    <w:rsid w:val="09F52C1D"/>
    <w:rsid w:val="09F88354"/>
    <w:rsid w:val="0A018796"/>
    <w:rsid w:val="0A0CB17C"/>
    <w:rsid w:val="0A1A7EB0"/>
    <w:rsid w:val="0A2AAFA8"/>
    <w:rsid w:val="0A3ED185"/>
    <w:rsid w:val="0A411E28"/>
    <w:rsid w:val="0A4213EE"/>
    <w:rsid w:val="0A487E59"/>
    <w:rsid w:val="0A4C0AA8"/>
    <w:rsid w:val="0A50A084"/>
    <w:rsid w:val="0A5E26C9"/>
    <w:rsid w:val="0A5F15D5"/>
    <w:rsid w:val="0A605DF6"/>
    <w:rsid w:val="0A616773"/>
    <w:rsid w:val="0A6174DE"/>
    <w:rsid w:val="0A6B9932"/>
    <w:rsid w:val="0A6CC95A"/>
    <w:rsid w:val="0A847BF2"/>
    <w:rsid w:val="0A8ECFA8"/>
    <w:rsid w:val="0A928C20"/>
    <w:rsid w:val="0A982C92"/>
    <w:rsid w:val="0A9A7377"/>
    <w:rsid w:val="0AA42189"/>
    <w:rsid w:val="0AA68663"/>
    <w:rsid w:val="0AABB334"/>
    <w:rsid w:val="0AAC54DE"/>
    <w:rsid w:val="0AB1119A"/>
    <w:rsid w:val="0AB4957F"/>
    <w:rsid w:val="0ABD1E49"/>
    <w:rsid w:val="0ABFE73A"/>
    <w:rsid w:val="0AC0F43D"/>
    <w:rsid w:val="0AC539D2"/>
    <w:rsid w:val="0ADC6D77"/>
    <w:rsid w:val="0ADCCDD9"/>
    <w:rsid w:val="0ADEF877"/>
    <w:rsid w:val="0AE06FB5"/>
    <w:rsid w:val="0AE2BB7A"/>
    <w:rsid w:val="0AE6C234"/>
    <w:rsid w:val="0AE8C8A8"/>
    <w:rsid w:val="0AEE238B"/>
    <w:rsid w:val="0AF702FA"/>
    <w:rsid w:val="0AF75761"/>
    <w:rsid w:val="0AF905D9"/>
    <w:rsid w:val="0AFFCBDF"/>
    <w:rsid w:val="0B022DD0"/>
    <w:rsid w:val="0B02AC1F"/>
    <w:rsid w:val="0B07F8D3"/>
    <w:rsid w:val="0B0A4798"/>
    <w:rsid w:val="0B1F5615"/>
    <w:rsid w:val="0B27B1C9"/>
    <w:rsid w:val="0B27BB3D"/>
    <w:rsid w:val="0B27FB99"/>
    <w:rsid w:val="0B326F56"/>
    <w:rsid w:val="0B329E89"/>
    <w:rsid w:val="0B33E0E5"/>
    <w:rsid w:val="0B389750"/>
    <w:rsid w:val="0B3BF03A"/>
    <w:rsid w:val="0B44EAA6"/>
    <w:rsid w:val="0B452E0A"/>
    <w:rsid w:val="0B45F895"/>
    <w:rsid w:val="0B489493"/>
    <w:rsid w:val="0B49929B"/>
    <w:rsid w:val="0B5CD516"/>
    <w:rsid w:val="0B6B3F25"/>
    <w:rsid w:val="0B6B4C61"/>
    <w:rsid w:val="0B6D47FA"/>
    <w:rsid w:val="0B73B8D9"/>
    <w:rsid w:val="0B7631E7"/>
    <w:rsid w:val="0B764B79"/>
    <w:rsid w:val="0B81ACC2"/>
    <w:rsid w:val="0B836D32"/>
    <w:rsid w:val="0B8BBBEA"/>
    <w:rsid w:val="0B919330"/>
    <w:rsid w:val="0B92AB39"/>
    <w:rsid w:val="0B975D31"/>
    <w:rsid w:val="0BA19342"/>
    <w:rsid w:val="0BA6905E"/>
    <w:rsid w:val="0BAE01BE"/>
    <w:rsid w:val="0BB188B9"/>
    <w:rsid w:val="0BB6EFF7"/>
    <w:rsid w:val="0BC01DC1"/>
    <w:rsid w:val="0BC3492B"/>
    <w:rsid w:val="0BC63772"/>
    <w:rsid w:val="0BD3D011"/>
    <w:rsid w:val="0BD448F1"/>
    <w:rsid w:val="0BD57065"/>
    <w:rsid w:val="0BE4A874"/>
    <w:rsid w:val="0BEA6F94"/>
    <w:rsid w:val="0BECE140"/>
    <w:rsid w:val="0BF12864"/>
    <w:rsid w:val="0BF13410"/>
    <w:rsid w:val="0BF4A961"/>
    <w:rsid w:val="0BF91133"/>
    <w:rsid w:val="0C02597F"/>
    <w:rsid w:val="0C025D20"/>
    <w:rsid w:val="0C05FDC3"/>
    <w:rsid w:val="0C13100E"/>
    <w:rsid w:val="0C1A632A"/>
    <w:rsid w:val="0C2C9DCF"/>
    <w:rsid w:val="0C323676"/>
    <w:rsid w:val="0C33FEB8"/>
    <w:rsid w:val="0C34BBA8"/>
    <w:rsid w:val="0C3D0C09"/>
    <w:rsid w:val="0C4090B2"/>
    <w:rsid w:val="0C438317"/>
    <w:rsid w:val="0C46F646"/>
    <w:rsid w:val="0C4FA505"/>
    <w:rsid w:val="0C50A173"/>
    <w:rsid w:val="0C5D44E9"/>
    <w:rsid w:val="0C606935"/>
    <w:rsid w:val="0C6188DA"/>
    <w:rsid w:val="0C733F03"/>
    <w:rsid w:val="0C7765E0"/>
    <w:rsid w:val="0C77A887"/>
    <w:rsid w:val="0C8017C2"/>
    <w:rsid w:val="0C815378"/>
    <w:rsid w:val="0CABA94D"/>
    <w:rsid w:val="0CADC520"/>
    <w:rsid w:val="0CAE8BC9"/>
    <w:rsid w:val="0CB4EB9D"/>
    <w:rsid w:val="0CBCCCEC"/>
    <w:rsid w:val="0CCD8615"/>
    <w:rsid w:val="0CD28C12"/>
    <w:rsid w:val="0CD38F12"/>
    <w:rsid w:val="0CD84763"/>
    <w:rsid w:val="0CE539B4"/>
    <w:rsid w:val="0CF3849D"/>
    <w:rsid w:val="0CF8FA86"/>
    <w:rsid w:val="0D09C864"/>
    <w:rsid w:val="0D0D84D9"/>
    <w:rsid w:val="0D10EC12"/>
    <w:rsid w:val="0D140405"/>
    <w:rsid w:val="0D14962A"/>
    <w:rsid w:val="0D17FF6A"/>
    <w:rsid w:val="0D1C301D"/>
    <w:rsid w:val="0D1DABBB"/>
    <w:rsid w:val="0D1E05A7"/>
    <w:rsid w:val="0D2248A7"/>
    <w:rsid w:val="0D2934C7"/>
    <w:rsid w:val="0D2C8D1D"/>
    <w:rsid w:val="0D3061A3"/>
    <w:rsid w:val="0D328231"/>
    <w:rsid w:val="0D347DF2"/>
    <w:rsid w:val="0D35B1F7"/>
    <w:rsid w:val="0D35CACD"/>
    <w:rsid w:val="0D38AD54"/>
    <w:rsid w:val="0D3CDFBA"/>
    <w:rsid w:val="0D3D8A8B"/>
    <w:rsid w:val="0D4225F6"/>
    <w:rsid w:val="0D515D3C"/>
    <w:rsid w:val="0D515EC5"/>
    <w:rsid w:val="0D54D144"/>
    <w:rsid w:val="0D637D1D"/>
    <w:rsid w:val="0D6526FD"/>
    <w:rsid w:val="0D68AF8C"/>
    <w:rsid w:val="0D6D7234"/>
    <w:rsid w:val="0D71B601"/>
    <w:rsid w:val="0D7572D9"/>
    <w:rsid w:val="0D860B69"/>
    <w:rsid w:val="0D8811D4"/>
    <w:rsid w:val="0D8A244F"/>
    <w:rsid w:val="0D97201E"/>
    <w:rsid w:val="0DB576A9"/>
    <w:rsid w:val="0DB9A225"/>
    <w:rsid w:val="0DC6315D"/>
    <w:rsid w:val="0DCE04B9"/>
    <w:rsid w:val="0DD00C7C"/>
    <w:rsid w:val="0DD5BA6D"/>
    <w:rsid w:val="0DD65F4F"/>
    <w:rsid w:val="0DEC62C5"/>
    <w:rsid w:val="0DF04B83"/>
    <w:rsid w:val="0DF27B96"/>
    <w:rsid w:val="0E030AFE"/>
    <w:rsid w:val="0E17FC7A"/>
    <w:rsid w:val="0E1F2472"/>
    <w:rsid w:val="0E21294E"/>
    <w:rsid w:val="0E2630F6"/>
    <w:rsid w:val="0E358189"/>
    <w:rsid w:val="0E40D357"/>
    <w:rsid w:val="0E4B6AA3"/>
    <w:rsid w:val="0E5B1D81"/>
    <w:rsid w:val="0E60506B"/>
    <w:rsid w:val="0E71BC8F"/>
    <w:rsid w:val="0E760732"/>
    <w:rsid w:val="0E760B89"/>
    <w:rsid w:val="0E795432"/>
    <w:rsid w:val="0E8B8F5F"/>
    <w:rsid w:val="0E916581"/>
    <w:rsid w:val="0E926F7E"/>
    <w:rsid w:val="0E93DAC6"/>
    <w:rsid w:val="0E9884F8"/>
    <w:rsid w:val="0EA354F5"/>
    <w:rsid w:val="0EB1DE29"/>
    <w:rsid w:val="0EB52C93"/>
    <w:rsid w:val="0ECDAFBF"/>
    <w:rsid w:val="0ECF17DA"/>
    <w:rsid w:val="0EDDE40A"/>
    <w:rsid w:val="0EDEA59D"/>
    <w:rsid w:val="0EE6796E"/>
    <w:rsid w:val="0EE8C198"/>
    <w:rsid w:val="0EE91161"/>
    <w:rsid w:val="0EEF0D9E"/>
    <w:rsid w:val="0EF38F0E"/>
    <w:rsid w:val="0EF4705B"/>
    <w:rsid w:val="0EF9725A"/>
    <w:rsid w:val="0EF9FC65"/>
    <w:rsid w:val="0EFA9914"/>
    <w:rsid w:val="0F0070CA"/>
    <w:rsid w:val="0F068645"/>
    <w:rsid w:val="0F082E97"/>
    <w:rsid w:val="0F0B3FAA"/>
    <w:rsid w:val="0F0BF51E"/>
    <w:rsid w:val="0F18B3AA"/>
    <w:rsid w:val="0F37D659"/>
    <w:rsid w:val="0F38E7D4"/>
    <w:rsid w:val="0F3C2DC1"/>
    <w:rsid w:val="0F3C715E"/>
    <w:rsid w:val="0F3E6D4B"/>
    <w:rsid w:val="0F44185E"/>
    <w:rsid w:val="0F45495A"/>
    <w:rsid w:val="0F48A309"/>
    <w:rsid w:val="0F4E3608"/>
    <w:rsid w:val="0F51B581"/>
    <w:rsid w:val="0F542D8E"/>
    <w:rsid w:val="0F57F3B1"/>
    <w:rsid w:val="0F58FD0C"/>
    <w:rsid w:val="0F59750D"/>
    <w:rsid w:val="0F599C61"/>
    <w:rsid w:val="0F5E8127"/>
    <w:rsid w:val="0F5F8EA8"/>
    <w:rsid w:val="0F624BA6"/>
    <w:rsid w:val="0F670CBF"/>
    <w:rsid w:val="0F6A3C1D"/>
    <w:rsid w:val="0F6D180F"/>
    <w:rsid w:val="0F785FC5"/>
    <w:rsid w:val="0F7D612E"/>
    <w:rsid w:val="0F80F9B0"/>
    <w:rsid w:val="0F88DDCF"/>
    <w:rsid w:val="0F89B432"/>
    <w:rsid w:val="0F91E965"/>
    <w:rsid w:val="0F96A2CB"/>
    <w:rsid w:val="0FA4B354"/>
    <w:rsid w:val="0FA5A81B"/>
    <w:rsid w:val="0FA5ED1F"/>
    <w:rsid w:val="0FBA46CF"/>
    <w:rsid w:val="0FBA7B60"/>
    <w:rsid w:val="0FC1469E"/>
    <w:rsid w:val="0FC69BF1"/>
    <w:rsid w:val="0FC96861"/>
    <w:rsid w:val="0FCF9C68"/>
    <w:rsid w:val="0FDDEAC3"/>
    <w:rsid w:val="0FE3DC80"/>
    <w:rsid w:val="0FEA0C22"/>
    <w:rsid w:val="0FEA3DE2"/>
    <w:rsid w:val="0FF0C278"/>
    <w:rsid w:val="1000DDE7"/>
    <w:rsid w:val="100B10C1"/>
    <w:rsid w:val="100E26F4"/>
    <w:rsid w:val="10142989"/>
    <w:rsid w:val="10158461"/>
    <w:rsid w:val="101A4C0C"/>
    <w:rsid w:val="1020BD99"/>
    <w:rsid w:val="1029299B"/>
    <w:rsid w:val="10393F86"/>
    <w:rsid w:val="103A3450"/>
    <w:rsid w:val="103A502B"/>
    <w:rsid w:val="1061C56A"/>
    <w:rsid w:val="106220AF"/>
    <w:rsid w:val="1066FA9D"/>
    <w:rsid w:val="1069718B"/>
    <w:rsid w:val="106A7BDF"/>
    <w:rsid w:val="10704EB1"/>
    <w:rsid w:val="107DCCD1"/>
    <w:rsid w:val="108D0FC5"/>
    <w:rsid w:val="108DC09F"/>
    <w:rsid w:val="10971266"/>
    <w:rsid w:val="109DF500"/>
    <w:rsid w:val="10B910E2"/>
    <w:rsid w:val="10B9BD5C"/>
    <w:rsid w:val="10C26FBB"/>
    <w:rsid w:val="10C6CBA9"/>
    <w:rsid w:val="10C7AF87"/>
    <w:rsid w:val="10C7B019"/>
    <w:rsid w:val="10CDF0C6"/>
    <w:rsid w:val="10D03AE4"/>
    <w:rsid w:val="10D1E0CA"/>
    <w:rsid w:val="10D760D6"/>
    <w:rsid w:val="10D8AA95"/>
    <w:rsid w:val="10E4E095"/>
    <w:rsid w:val="10E92ADE"/>
    <w:rsid w:val="10ECA845"/>
    <w:rsid w:val="10F17026"/>
    <w:rsid w:val="10F23DB8"/>
    <w:rsid w:val="10F2F5CB"/>
    <w:rsid w:val="1106367D"/>
    <w:rsid w:val="110A08BD"/>
    <w:rsid w:val="110ECC8C"/>
    <w:rsid w:val="1122A210"/>
    <w:rsid w:val="11333824"/>
    <w:rsid w:val="1133E32C"/>
    <w:rsid w:val="113610D7"/>
    <w:rsid w:val="113FF5D6"/>
    <w:rsid w:val="114DC5C7"/>
    <w:rsid w:val="114F34E2"/>
    <w:rsid w:val="11546804"/>
    <w:rsid w:val="1156EC63"/>
    <w:rsid w:val="1167E042"/>
    <w:rsid w:val="11730F24"/>
    <w:rsid w:val="1181DB4D"/>
    <w:rsid w:val="118463D5"/>
    <w:rsid w:val="11905027"/>
    <w:rsid w:val="119BE015"/>
    <w:rsid w:val="119BF9D3"/>
    <w:rsid w:val="119D66FA"/>
    <w:rsid w:val="11A0A377"/>
    <w:rsid w:val="11BB7E4C"/>
    <w:rsid w:val="11E8A15D"/>
    <w:rsid w:val="11E93A04"/>
    <w:rsid w:val="11ED73F6"/>
    <w:rsid w:val="11EE390B"/>
    <w:rsid w:val="11F2C4E4"/>
    <w:rsid w:val="12001D55"/>
    <w:rsid w:val="1200FBAD"/>
    <w:rsid w:val="1211B233"/>
    <w:rsid w:val="12130643"/>
    <w:rsid w:val="1213BAB7"/>
    <w:rsid w:val="122245BB"/>
    <w:rsid w:val="122664BF"/>
    <w:rsid w:val="1234DB8B"/>
    <w:rsid w:val="123A786F"/>
    <w:rsid w:val="123AD9C5"/>
    <w:rsid w:val="123E1781"/>
    <w:rsid w:val="124ADB95"/>
    <w:rsid w:val="125B6B1D"/>
    <w:rsid w:val="125D93A0"/>
    <w:rsid w:val="12620F74"/>
    <w:rsid w:val="1263B58E"/>
    <w:rsid w:val="1263DA5D"/>
    <w:rsid w:val="126566BC"/>
    <w:rsid w:val="12678A7A"/>
    <w:rsid w:val="1267A450"/>
    <w:rsid w:val="126DCE4A"/>
    <w:rsid w:val="12761C6F"/>
    <w:rsid w:val="12769A77"/>
    <w:rsid w:val="127EC8F1"/>
    <w:rsid w:val="128D532D"/>
    <w:rsid w:val="129033F3"/>
    <w:rsid w:val="12919815"/>
    <w:rsid w:val="12924D6E"/>
    <w:rsid w:val="1293E900"/>
    <w:rsid w:val="12A38DD1"/>
    <w:rsid w:val="12A795A6"/>
    <w:rsid w:val="12A9432D"/>
    <w:rsid w:val="12AFC4FF"/>
    <w:rsid w:val="12C61402"/>
    <w:rsid w:val="12C6EC06"/>
    <w:rsid w:val="12C7D4AB"/>
    <w:rsid w:val="12C8B55E"/>
    <w:rsid w:val="12D6F929"/>
    <w:rsid w:val="12D7252A"/>
    <w:rsid w:val="12DE2E68"/>
    <w:rsid w:val="12E1AE7C"/>
    <w:rsid w:val="12E9E4BD"/>
    <w:rsid w:val="12E9EC94"/>
    <w:rsid w:val="12F25983"/>
    <w:rsid w:val="12F2DE54"/>
    <w:rsid w:val="13041FEB"/>
    <w:rsid w:val="13056582"/>
    <w:rsid w:val="13096EA4"/>
    <w:rsid w:val="130D1000"/>
    <w:rsid w:val="130E6CE1"/>
    <w:rsid w:val="131B2152"/>
    <w:rsid w:val="131DF783"/>
    <w:rsid w:val="1320524B"/>
    <w:rsid w:val="1325E86C"/>
    <w:rsid w:val="1326A8CE"/>
    <w:rsid w:val="132B4585"/>
    <w:rsid w:val="13331FF4"/>
    <w:rsid w:val="133B747D"/>
    <w:rsid w:val="133C6B47"/>
    <w:rsid w:val="1342FF59"/>
    <w:rsid w:val="13443159"/>
    <w:rsid w:val="1348CCD6"/>
    <w:rsid w:val="134900D4"/>
    <w:rsid w:val="134BF8E7"/>
    <w:rsid w:val="1354440E"/>
    <w:rsid w:val="13555C0B"/>
    <w:rsid w:val="135D9029"/>
    <w:rsid w:val="13644A39"/>
    <w:rsid w:val="13672F37"/>
    <w:rsid w:val="1368AE56"/>
    <w:rsid w:val="136D77A4"/>
    <w:rsid w:val="137181A9"/>
    <w:rsid w:val="1377DDBB"/>
    <w:rsid w:val="13797BE3"/>
    <w:rsid w:val="13904DF6"/>
    <w:rsid w:val="139B6812"/>
    <w:rsid w:val="13A008A0"/>
    <w:rsid w:val="13AA2F4E"/>
    <w:rsid w:val="13AD4F13"/>
    <w:rsid w:val="13AFE87D"/>
    <w:rsid w:val="13C3BB8B"/>
    <w:rsid w:val="13CBDCA3"/>
    <w:rsid w:val="13CE19A0"/>
    <w:rsid w:val="13CE83CA"/>
    <w:rsid w:val="13D069D9"/>
    <w:rsid w:val="13E3E310"/>
    <w:rsid w:val="13E8F9B2"/>
    <w:rsid w:val="13ED8216"/>
    <w:rsid w:val="13F4BB14"/>
    <w:rsid w:val="13FEDCD5"/>
    <w:rsid w:val="1401A2F3"/>
    <w:rsid w:val="14039298"/>
    <w:rsid w:val="14136DBE"/>
    <w:rsid w:val="1421CC7C"/>
    <w:rsid w:val="142ACB9E"/>
    <w:rsid w:val="142CCF14"/>
    <w:rsid w:val="143954F9"/>
    <w:rsid w:val="143DBA50"/>
    <w:rsid w:val="14437A43"/>
    <w:rsid w:val="144E72E7"/>
    <w:rsid w:val="144EA543"/>
    <w:rsid w:val="14678BD0"/>
    <w:rsid w:val="146BC017"/>
    <w:rsid w:val="14790B19"/>
    <w:rsid w:val="147959D1"/>
    <w:rsid w:val="147C31B1"/>
    <w:rsid w:val="147EFE12"/>
    <w:rsid w:val="148B3DD1"/>
    <w:rsid w:val="148F8072"/>
    <w:rsid w:val="1490DF84"/>
    <w:rsid w:val="1497C887"/>
    <w:rsid w:val="14C1F948"/>
    <w:rsid w:val="14C30E46"/>
    <w:rsid w:val="14D8CD88"/>
    <w:rsid w:val="14DB5A64"/>
    <w:rsid w:val="14EB282C"/>
    <w:rsid w:val="14F6CB27"/>
    <w:rsid w:val="14F72926"/>
    <w:rsid w:val="14FD5730"/>
    <w:rsid w:val="14FF8469"/>
    <w:rsid w:val="15025E1B"/>
    <w:rsid w:val="15089B3B"/>
    <w:rsid w:val="15176923"/>
    <w:rsid w:val="1517983D"/>
    <w:rsid w:val="1533193C"/>
    <w:rsid w:val="153AB697"/>
    <w:rsid w:val="1544865B"/>
    <w:rsid w:val="154628E1"/>
    <w:rsid w:val="15474AEB"/>
    <w:rsid w:val="154A02FF"/>
    <w:rsid w:val="154E37E4"/>
    <w:rsid w:val="1553762E"/>
    <w:rsid w:val="155C0661"/>
    <w:rsid w:val="155DF935"/>
    <w:rsid w:val="155F31D9"/>
    <w:rsid w:val="156157BD"/>
    <w:rsid w:val="15644B20"/>
    <w:rsid w:val="1566DDD9"/>
    <w:rsid w:val="157C21D4"/>
    <w:rsid w:val="15811C6C"/>
    <w:rsid w:val="1584E21C"/>
    <w:rsid w:val="15871B9B"/>
    <w:rsid w:val="1588D1BD"/>
    <w:rsid w:val="158D6C1B"/>
    <w:rsid w:val="1591D3BE"/>
    <w:rsid w:val="15925136"/>
    <w:rsid w:val="15943D4A"/>
    <w:rsid w:val="1596D0A0"/>
    <w:rsid w:val="1598E8BE"/>
    <w:rsid w:val="15A087E2"/>
    <w:rsid w:val="15AE26F8"/>
    <w:rsid w:val="15AFB313"/>
    <w:rsid w:val="15B13E17"/>
    <w:rsid w:val="15B8081C"/>
    <w:rsid w:val="15B8DBAE"/>
    <w:rsid w:val="15B99718"/>
    <w:rsid w:val="15C4C806"/>
    <w:rsid w:val="15CE753C"/>
    <w:rsid w:val="15D011F5"/>
    <w:rsid w:val="15D9C0CD"/>
    <w:rsid w:val="15DC2A24"/>
    <w:rsid w:val="15DE778A"/>
    <w:rsid w:val="15E19A67"/>
    <w:rsid w:val="15E43C94"/>
    <w:rsid w:val="15F0C95B"/>
    <w:rsid w:val="15F27F06"/>
    <w:rsid w:val="15F52BC6"/>
    <w:rsid w:val="15FD678C"/>
    <w:rsid w:val="15FD859A"/>
    <w:rsid w:val="16050543"/>
    <w:rsid w:val="160DF264"/>
    <w:rsid w:val="160E8217"/>
    <w:rsid w:val="160FE598"/>
    <w:rsid w:val="161FA4EA"/>
    <w:rsid w:val="1622D003"/>
    <w:rsid w:val="1626E3D5"/>
    <w:rsid w:val="162A2245"/>
    <w:rsid w:val="162D3ABA"/>
    <w:rsid w:val="1633F6CB"/>
    <w:rsid w:val="1634546D"/>
    <w:rsid w:val="16387690"/>
    <w:rsid w:val="16418FF8"/>
    <w:rsid w:val="1644F3DC"/>
    <w:rsid w:val="1646DA78"/>
    <w:rsid w:val="16486C39"/>
    <w:rsid w:val="1653B653"/>
    <w:rsid w:val="165B3FB9"/>
    <w:rsid w:val="165E1E17"/>
    <w:rsid w:val="1668F7B5"/>
    <w:rsid w:val="166C1052"/>
    <w:rsid w:val="166D94CB"/>
    <w:rsid w:val="16759DB1"/>
    <w:rsid w:val="168042E4"/>
    <w:rsid w:val="168B642C"/>
    <w:rsid w:val="1694AA5D"/>
    <w:rsid w:val="1699C081"/>
    <w:rsid w:val="169D5AB4"/>
    <w:rsid w:val="16A5A4CA"/>
    <w:rsid w:val="16A995DF"/>
    <w:rsid w:val="16B004FA"/>
    <w:rsid w:val="16B65BFD"/>
    <w:rsid w:val="16BDEE87"/>
    <w:rsid w:val="16BEBA79"/>
    <w:rsid w:val="16C8EFF2"/>
    <w:rsid w:val="16C964DC"/>
    <w:rsid w:val="16D0B687"/>
    <w:rsid w:val="16DD90E6"/>
    <w:rsid w:val="16E6A57D"/>
    <w:rsid w:val="16EA5EE6"/>
    <w:rsid w:val="16FC8069"/>
    <w:rsid w:val="16FE11C8"/>
    <w:rsid w:val="16FFE5AF"/>
    <w:rsid w:val="16FFFDF5"/>
    <w:rsid w:val="170CC8D9"/>
    <w:rsid w:val="170F4763"/>
    <w:rsid w:val="1710B3F8"/>
    <w:rsid w:val="17247D3B"/>
    <w:rsid w:val="172488ED"/>
    <w:rsid w:val="172717D8"/>
    <w:rsid w:val="172E7550"/>
    <w:rsid w:val="173756A0"/>
    <w:rsid w:val="173B3D32"/>
    <w:rsid w:val="173B6475"/>
    <w:rsid w:val="1743C0B3"/>
    <w:rsid w:val="1746B0A1"/>
    <w:rsid w:val="174EA025"/>
    <w:rsid w:val="17540063"/>
    <w:rsid w:val="1757C035"/>
    <w:rsid w:val="175CD4FB"/>
    <w:rsid w:val="17725048"/>
    <w:rsid w:val="17749C8C"/>
    <w:rsid w:val="17761B5E"/>
    <w:rsid w:val="177ECA19"/>
    <w:rsid w:val="17886962"/>
    <w:rsid w:val="17893C71"/>
    <w:rsid w:val="1796844F"/>
    <w:rsid w:val="179D6535"/>
    <w:rsid w:val="179FFE4C"/>
    <w:rsid w:val="17B311EF"/>
    <w:rsid w:val="17B33809"/>
    <w:rsid w:val="17BBDED4"/>
    <w:rsid w:val="17BBFAB2"/>
    <w:rsid w:val="17BE3C6F"/>
    <w:rsid w:val="17C47124"/>
    <w:rsid w:val="17C50D00"/>
    <w:rsid w:val="17C87F3F"/>
    <w:rsid w:val="17CB18AE"/>
    <w:rsid w:val="17D083EE"/>
    <w:rsid w:val="17D28C24"/>
    <w:rsid w:val="17D93188"/>
    <w:rsid w:val="17DBAD46"/>
    <w:rsid w:val="17E123E3"/>
    <w:rsid w:val="17F84571"/>
    <w:rsid w:val="18004F61"/>
    <w:rsid w:val="18070A9D"/>
    <w:rsid w:val="180E3742"/>
    <w:rsid w:val="1810891F"/>
    <w:rsid w:val="1812C626"/>
    <w:rsid w:val="181A018A"/>
    <w:rsid w:val="181AF82C"/>
    <w:rsid w:val="181E9C5C"/>
    <w:rsid w:val="1833C9D6"/>
    <w:rsid w:val="184A835B"/>
    <w:rsid w:val="184C58DD"/>
    <w:rsid w:val="184EF43E"/>
    <w:rsid w:val="18533476"/>
    <w:rsid w:val="1858B269"/>
    <w:rsid w:val="185FCF59"/>
    <w:rsid w:val="1872424B"/>
    <w:rsid w:val="18754254"/>
    <w:rsid w:val="1879B817"/>
    <w:rsid w:val="187A176A"/>
    <w:rsid w:val="187E0065"/>
    <w:rsid w:val="18866717"/>
    <w:rsid w:val="188B6C19"/>
    <w:rsid w:val="189A7B10"/>
    <w:rsid w:val="189EB472"/>
    <w:rsid w:val="189F419E"/>
    <w:rsid w:val="18A969F9"/>
    <w:rsid w:val="18C1E322"/>
    <w:rsid w:val="18CBDECB"/>
    <w:rsid w:val="18CD61E2"/>
    <w:rsid w:val="18CEA3A0"/>
    <w:rsid w:val="18D6E507"/>
    <w:rsid w:val="18E98FDC"/>
    <w:rsid w:val="18ED6CB1"/>
    <w:rsid w:val="18EE803F"/>
    <w:rsid w:val="18FF5AC0"/>
    <w:rsid w:val="1902D999"/>
    <w:rsid w:val="191071E9"/>
    <w:rsid w:val="192191B7"/>
    <w:rsid w:val="192A9C3E"/>
    <w:rsid w:val="192D5E07"/>
    <w:rsid w:val="192ED1A7"/>
    <w:rsid w:val="192F54CC"/>
    <w:rsid w:val="1931EF4D"/>
    <w:rsid w:val="19324838"/>
    <w:rsid w:val="19371B98"/>
    <w:rsid w:val="1944DA29"/>
    <w:rsid w:val="1949BD15"/>
    <w:rsid w:val="194D1C09"/>
    <w:rsid w:val="1950C1A3"/>
    <w:rsid w:val="1953BBB7"/>
    <w:rsid w:val="1960D39B"/>
    <w:rsid w:val="196AA702"/>
    <w:rsid w:val="196B2DE9"/>
    <w:rsid w:val="196BD4F8"/>
    <w:rsid w:val="1971D377"/>
    <w:rsid w:val="1982333E"/>
    <w:rsid w:val="198988A9"/>
    <w:rsid w:val="199082F6"/>
    <w:rsid w:val="1998EFDA"/>
    <w:rsid w:val="199A82D8"/>
    <w:rsid w:val="199D49AA"/>
    <w:rsid w:val="19A49FA8"/>
    <w:rsid w:val="19A50106"/>
    <w:rsid w:val="19AAF7B9"/>
    <w:rsid w:val="19ABC988"/>
    <w:rsid w:val="19B3746B"/>
    <w:rsid w:val="19B6B18C"/>
    <w:rsid w:val="19B7AE99"/>
    <w:rsid w:val="19BF6E52"/>
    <w:rsid w:val="19C5C4C2"/>
    <w:rsid w:val="19C785FC"/>
    <w:rsid w:val="19CEE4E1"/>
    <w:rsid w:val="19D45C40"/>
    <w:rsid w:val="19E102A1"/>
    <w:rsid w:val="19E33614"/>
    <w:rsid w:val="19F146A5"/>
    <w:rsid w:val="19FA2810"/>
    <w:rsid w:val="19FE27EC"/>
    <w:rsid w:val="1A038E02"/>
    <w:rsid w:val="1A093B3D"/>
    <w:rsid w:val="1A0B6857"/>
    <w:rsid w:val="1A11F3A2"/>
    <w:rsid w:val="1A15AD75"/>
    <w:rsid w:val="1A15ED7C"/>
    <w:rsid w:val="1A1620CE"/>
    <w:rsid w:val="1A16DC49"/>
    <w:rsid w:val="1A20101B"/>
    <w:rsid w:val="1A2F14D6"/>
    <w:rsid w:val="1A3C6482"/>
    <w:rsid w:val="1A3E736D"/>
    <w:rsid w:val="1A3FC1DA"/>
    <w:rsid w:val="1A41B3F6"/>
    <w:rsid w:val="1A5923C1"/>
    <w:rsid w:val="1A62F014"/>
    <w:rsid w:val="1A6F8869"/>
    <w:rsid w:val="1A737981"/>
    <w:rsid w:val="1A756D4A"/>
    <w:rsid w:val="1A7BF6B7"/>
    <w:rsid w:val="1A7EEE9E"/>
    <w:rsid w:val="1A8AA987"/>
    <w:rsid w:val="1A8F27C3"/>
    <w:rsid w:val="1A97E479"/>
    <w:rsid w:val="1A996066"/>
    <w:rsid w:val="1AB1405B"/>
    <w:rsid w:val="1AC09DC9"/>
    <w:rsid w:val="1AC40D3E"/>
    <w:rsid w:val="1AD342B9"/>
    <w:rsid w:val="1AD390E5"/>
    <w:rsid w:val="1AD4A5E1"/>
    <w:rsid w:val="1ADEE8A1"/>
    <w:rsid w:val="1AE6E2C4"/>
    <w:rsid w:val="1AE7A87A"/>
    <w:rsid w:val="1AE8095B"/>
    <w:rsid w:val="1AEB865F"/>
    <w:rsid w:val="1AF4CED6"/>
    <w:rsid w:val="1AF91ED7"/>
    <w:rsid w:val="1AFA6E6D"/>
    <w:rsid w:val="1B03927C"/>
    <w:rsid w:val="1B0568CC"/>
    <w:rsid w:val="1B12F520"/>
    <w:rsid w:val="1B152B05"/>
    <w:rsid w:val="1B275BBB"/>
    <w:rsid w:val="1B31340B"/>
    <w:rsid w:val="1B3443FA"/>
    <w:rsid w:val="1B373E51"/>
    <w:rsid w:val="1B3FC385"/>
    <w:rsid w:val="1B409EC1"/>
    <w:rsid w:val="1B4C15EB"/>
    <w:rsid w:val="1B5ADC9E"/>
    <w:rsid w:val="1B5B8AD3"/>
    <w:rsid w:val="1B5DC7A0"/>
    <w:rsid w:val="1B626E58"/>
    <w:rsid w:val="1B62DA23"/>
    <w:rsid w:val="1B63CAFF"/>
    <w:rsid w:val="1B6523C0"/>
    <w:rsid w:val="1B6E4F47"/>
    <w:rsid w:val="1B721C75"/>
    <w:rsid w:val="1B7BB035"/>
    <w:rsid w:val="1B811B3C"/>
    <w:rsid w:val="1B841845"/>
    <w:rsid w:val="1B8FA8AF"/>
    <w:rsid w:val="1B99D8FA"/>
    <w:rsid w:val="1BA3A61A"/>
    <w:rsid w:val="1BA54D66"/>
    <w:rsid w:val="1BA59189"/>
    <w:rsid w:val="1BB0B471"/>
    <w:rsid w:val="1BB29D2C"/>
    <w:rsid w:val="1BB36114"/>
    <w:rsid w:val="1BBB2172"/>
    <w:rsid w:val="1BC148A0"/>
    <w:rsid w:val="1BC6C2A8"/>
    <w:rsid w:val="1BD45FB2"/>
    <w:rsid w:val="1BD9FA96"/>
    <w:rsid w:val="1BE4C9B1"/>
    <w:rsid w:val="1BE6B9EA"/>
    <w:rsid w:val="1BE9E0D8"/>
    <w:rsid w:val="1BEB02C4"/>
    <w:rsid w:val="1BF103DC"/>
    <w:rsid w:val="1BF21C48"/>
    <w:rsid w:val="1BF32E18"/>
    <w:rsid w:val="1BF3D881"/>
    <w:rsid w:val="1BF4190F"/>
    <w:rsid w:val="1BFB1C1B"/>
    <w:rsid w:val="1BFDBC06"/>
    <w:rsid w:val="1BFF841F"/>
    <w:rsid w:val="1C07DE9B"/>
    <w:rsid w:val="1C108188"/>
    <w:rsid w:val="1C151021"/>
    <w:rsid w:val="1C16DA4B"/>
    <w:rsid w:val="1C1ED6AD"/>
    <w:rsid w:val="1C25323E"/>
    <w:rsid w:val="1C25B1AD"/>
    <w:rsid w:val="1C2D6FF9"/>
    <w:rsid w:val="1C315715"/>
    <w:rsid w:val="1C34BC66"/>
    <w:rsid w:val="1C385398"/>
    <w:rsid w:val="1C459AD4"/>
    <w:rsid w:val="1C4A5300"/>
    <w:rsid w:val="1C4AB1E9"/>
    <w:rsid w:val="1C4F6CCE"/>
    <w:rsid w:val="1C6564B7"/>
    <w:rsid w:val="1C6604D3"/>
    <w:rsid w:val="1C6ABE9D"/>
    <w:rsid w:val="1C71F695"/>
    <w:rsid w:val="1C73030F"/>
    <w:rsid w:val="1C769AE7"/>
    <w:rsid w:val="1C7C170B"/>
    <w:rsid w:val="1C7E6BA3"/>
    <w:rsid w:val="1C85DAFA"/>
    <w:rsid w:val="1C916027"/>
    <w:rsid w:val="1C960738"/>
    <w:rsid w:val="1C98DD13"/>
    <w:rsid w:val="1C99D1EF"/>
    <w:rsid w:val="1CA1A3FA"/>
    <w:rsid w:val="1CB610DD"/>
    <w:rsid w:val="1CBF9656"/>
    <w:rsid w:val="1CD1DC77"/>
    <w:rsid w:val="1CD383CF"/>
    <w:rsid w:val="1CD6E5FB"/>
    <w:rsid w:val="1CD756AF"/>
    <w:rsid w:val="1CD7E5A3"/>
    <w:rsid w:val="1CDD8C2C"/>
    <w:rsid w:val="1CE184CD"/>
    <w:rsid w:val="1CE56D81"/>
    <w:rsid w:val="1CE855B5"/>
    <w:rsid w:val="1CEF5936"/>
    <w:rsid w:val="1CEFFCF2"/>
    <w:rsid w:val="1CF333A1"/>
    <w:rsid w:val="1CFA200F"/>
    <w:rsid w:val="1CFA357E"/>
    <w:rsid w:val="1D05CA57"/>
    <w:rsid w:val="1D05F9A0"/>
    <w:rsid w:val="1D109F0C"/>
    <w:rsid w:val="1D1B42C5"/>
    <w:rsid w:val="1D27FFFF"/>
    <w:rsid w:val="1D2EE623"/>
    <w:rsid w:val="1D31F44F"/>
    <w:rsid w:val="1D322658"/>
    <w:rsid w:val="1D359700"/>
    <w:rsid w:val="1D35AAFF"/>
    <w:rsid w:val="1D43E959"/>
    <w:rsid w:val="1D4618E7"/>
    <w:rsid w:val="1D4E3560"/>
    <w:rsid w:val="1D562CEF"/>
    <w:rsid w:val="1D5CB73E"/>
    <w:rsid w:val="1D61332A"/>
    <w:rsid w:val="1D61C04A"/>
    <w:rsid w:val="1D6376DF"/>
    <w:rsid w:val="1D64BD0D"/>
    <w:rsid w:val="1D6810E0"/>
    <w:rsid w:val="1D6AF4FF"/>
    <w:rsid w:val="1D6E6534"/>
    <w:rsid w:val="1D89B364"/>
    <w:rsid w:val="1D8E731E"/>
    <w:rsid w:val="1D8E7FDB"/>
    <w:rsid w:val="1D92AC34"/>
    <w:rsid w:val="1D9368F4"/>
    <w:rsid w:val="1DA40A7F"/>
    <w:rsid w:val="1DA45C7A"/>
    <w:rsid w:val="1DC30570"/>
    <w:rsid w:val="1DC436A4"/>
    <w:rsid w:val="1DCF674A"/>
    <w:rsid w:val="1DD3852A"/>
    <w:rsid w:val="1DD3A479"/>
    <w:rsid w:val="1DD6E175"/>
    <w:rsid w:val="1DD9D6B4"/>
    <w:rsid w:val="1DDBAD99"/>
    <w:rsid w:val="1DDCA600"/>
    <w:rsid w:val="1DDCC7CD"/>
    <w:rsid w:val="1DDDA3DC"/>
    <w:rsid w:val="1DDDAA26"/>
    <w:rsid w:val="1DDFD9B9"/>
    <w:rsid w:val="1DE3AD70"/>
    <w:rsid w:val="1DE70956"/>
    <w:rsid w:val="1DF41A59"/>
    <w:rsid w:val="1E0832AA"/>
    <w:rsid w:val="1E0FF731"/>
    <w:rsid w:val="1E17094D"/>
    <w:rsid w:val="1E21B275"/>
    <w:rsid w:val="1E39B8B5"/>
    <w:rsid w:val="1E3D4EB8"/>
    <w:rsid w:val="1E40C4EC"/>
    <w:rsid w:val="1E4153E6"/>
    <w:rsid w:val="1E46996A"/>
    <w:rsid w:val="1E4AEB64"/>
    <w:rsid w:val="1E513586"/>
    <w:rsid w:val="1E57F75E"/>
    <w:rsid w:val="1E5A30BC"/>
    <w:rsid w:val="1E6377EC"/>
    <w:rsid w:val="1E63ABA7"/>
    <w:rsid w:val="1E63C210"/>
    <w:rsid w:val="1E6ABA13"/>
    <w:rsid w:val="1E6B6FC3"/>
    <w:rsid w:val="1E71D83A"/>
    <w:rsid w:val="1E725296"/>
    <w:rsid w:val="1E819727"/>
    <w:rsid w:val="1E88CD6A"/>
    <w:rsid w:val="1E8CC40A"/>
    <w:rsid w:val="1E8E2115"/>
    <w:rsid w:val="1E985301"/>
    <w:rsid w:val="1E99BF40"/>
    <w:rsid w:val="1E9A24AB"/>
    <w:rsid w:val="1E9B237A"/>
    <w:rsid w:val="1EA3568F"/>
    <w:rsid w:val="1EA50AE7"/>
    <w:rsid w:val="1EAFDCB7"/>
    <w:rsid w:val="1EB6A3E7"/>
    <w:rsid w:val="1EB985A8"/>
    <w:rsid w:val="1EBF7ADD"/>
    <w:rsid w:val="1EC08D0F"/>
    <w:rsid w:val="1ECBE45E"/>
    <w:rsid w:val="1ED2E044"/>
    <w:rsid w:val="1ED5A705"/>
    <w:rsid w:val="1EDA8EB0"/>
    <w:rsid w:val="1EDEF66B"/>
    <w:rsid w:val="1EE53877"/>
    <w:rsid w:val="1EE58D4C"/>
    <w:rsid w:val="1EEB6D9F"/>
    <w:rsid w:val="1EED72D4"/>
    <w:rsid w:val="1EEDF47E"/>
    <w:rsid w:val="1EF3D4DD"/>
    <w:rsid w:val="1EF88337"/>
    <w:rsid w:val="1F03B9B3"/>
    <w:rsid w:val="1F042DEB"/>
    <w:rsid w:val="1F071A3C"/>
    <w:rsid w:val="1F08DBC4"/>
    <w:rsid w:val="1F2357B0"/>
    <w:rsid w:val="1F28A2D6"/>
    <w:rsid w:val="1F2A0233"/>
    <w:rsid w:val="1F32BEC2"/>
    <w:rsid w:val="1F411E1B"/>
    <w:rsid w:val="1F4558C0"/>
    <w:rsid w:val="1F4664B0"/>
    <w:rsid w:val="1F4952F1"/>
    <w:rsid w:val="1F602B75"/>
    <w:rsid w:val="1F849687"/>
    <w:rsid w:val="1F85D7AA"/>
    <w:rsid w:val="1F8D8396"/>
    <w:rsid w:val="1F97CAD7"/>
    <w:rsid w:val="1FA4C53D"/>
    <w:rsid w:val="1FA65C2F"/>
    <w:rsid w:val="1FB91D88"/>
    <w:rsid w:val="1FCF07F9"/>
    <w:rsid w:val="1FD63552"/>
    <w:rsid w:val="1FDFD42A"/>
    <w:rsid w:val="1FF23138"/>
    <w:rsid w:val="1FF25D2A"/>
    <w:rsid w:val="1FF6B794"/>
    <w:rsid w:val="2002C11A"/>
    <w:rsid w:val="200E9CE6"/>
    <w:rsid w:val="20117CCE"/>
    <w:rsid w:val="2014FFD1"/>
    <w:rsid w:val="201FC534"/>
    <w:rsid w:val="20231481"/>
    <w:rsid w:val="202A4B79"/>
    <w:rsid w:val="202B12C8"/>
    <w:rsid w:val="203078E6"/>
    <w:rsid w:val="2032F225"/>
    <w:rsid w:val="2035209B"/>
    <w:rsid w:val="20352FEF"/>
    <w:rsid w:val="2038CC45"/>
    <w:rsid w:val="203C3CE8"/>
    <w:rsid w:val="20421610"/>
    <w:rsid w:val="204F913E"/>
    <w:rsid w:val="205C53BB"/>
    <w:rsid w:val="20601A16"/>
    <w:rsid w:val="2064ED82"/>
    <w:rsid w:val="206A1323"/>
    <w:rsid w:val="206BD3AE"/>
    <w:rsid w:val="206D336B"/>
    <w:rsid w:val="20712704"/>
    <w:rsid w:val="20760439"/>
    <w:rsid w:val="20778134"/>
    <w:rsid w:val="207827C3"/>
    <w:rsid w:val="207C7B63"/>
    <w:rsid w:val="2081B417"/>
    <w:rsid w:val="2086512B"/>
    <w:rsid w:val="208C078D"/>
    <w:rsid w:val="2096BD2B"/>
    <w:rsid w:val="20B0CAA1"/>
    <w:rsid w:val="20C4A372"/>
    <w:rsid w:val="20C4AB8C"/>
    <w:rsid w:val="20C8A9E7"/>
    <w:rsid w:val="20CD0E49"/>
    <w:rsid w:val="20D18F14"/>
    <w:rsid w:val="20D43A79"/>
    <w:rsid w:val="20E3F833"/>
    <w:rsid w:val="20E4DD0E"/>
    <w:rsid w:val="20EC56D7"/>
    <w:rsid w:val="20F399C7"/>
    <w:rsid w:val="20F65392"/>
    <w:rsid w:val="20FD7862"/>
    <w:rsid w:val="20FDAA85"/>
    <w:rsid w:val="20FF7834"/>
    <w:rsid w:val="2105CE51"/>
    <w:rsid w:val="210F7EF7"/>
    <w:rsid w:val="2118127C"/>
    <w:rsid w:val="21217BCA"/>
    <w:rsid w:val="21227EFF"/>
    <w:rsid w:val="2129BB7B"/>
    <w:rsid w:val="2138B828"/>
    <w:rsid w:val="21798D70"/>
    <w:rsid w:val="21815567"/>
    <w:rsid w:val="218265C9"/>
    <w:rsid w:val="2187B220"/>
    <w:rsid w:val="2196089C"/>
    <w:rsid w:val="219667F3"/>
    <w:rsid w:val="219C62D3"/>
    <w:rsid w:val="219EB511"/>
    <w:rsid w:val="21A0FEE8"/>
    <w:rsid w:val="21A689BD"/>
    <w:rsid w:val="21AA719F"/>
    <w:rsid w:val="21B3192E"/>
    <w:rsid w:val="21B60C58"/>
    <w:rsid w:val="21BA25E9"/>
    <w:rsid w:val="21BEFDB1"/>
    <w:rsid w:val="21C41871"/>
    <w:rsid w:val="21C74EE3"/>
    <w:rsid w:val="21CAC791"/>
    <w:rsid w:val="21DA6F89"/>
    <w:rsid w:val="21DB8BB4"/>
    <w:rsid w:val="21E6ABFB"/>
    <w:rsid w:val="21F226D2"/>
    <w:rsid w:val="21F905FE"/>
    <w:rsid w:val="220024EC"/>
    <w:rsid w:val="2212D0AE"/>
    <w:rsid w:val="2217DB54"/>
    <w:rsid w:val="221DF541"/>
    <w:rsid w:val="222451DD"/>
    <w:rsid w:val="22254522"/>
    <w:rsid w:val="22262634"/>
    <w:rsid w:val="222BD116"/>
    <w:rsid w:val="222C4EF2"/>
    <w:rsid w:val="22323A25"/>
    <w:rsid w:val="22369693"/>
    <w:rsid w:val="223DC6DA"/>
    <w:rsid w:val="223FAF99"/>
    <w:rsid w:val="22425A8F"/>
    <w:rsid w:val="22452044"/>
    <w:rsid w:val="2245AC83"/>
    <w:rsid w:val="22544D5B"/>
    <w:rsid w:val="22566CA1"/>
    <w:rsid w:val="2260524B"/>
    <w:rsid w:val="2261214A"/>
    <w:rsid w:val="2264ACD7"/>
    <w:rsid w:val="22662777"/>
    <w:rsid w:val="226E4A17"/>
    <w:rsid w:val="226F2927"/>
    <w:rsid w:val="2272C901"/>
    <w:rsid w:val="22744412"/>
    <w:rsid w:val="22836789"/>
    <w:rsid w:val="2285C16C"/>
    <w:rsid w:val="229E03A9"/>
    <w:rsid w:val="229E11B4"/>
    <w:rsid w:val="22A05E1C"/>
    <w:rsid w:val="22A1E44F"/>
    <w:rsid w:val="22A7DC63"/>
    <w:rsid w:val="22AAAC92"/>
    <w:rsid w:val="22ABBA33"/>
    <w:rsid w:val="22AF18E8"/>
    <w:rsid w:val="22B2FF10"/>
    <w:rsid w:val="22BAB63F"/>
    <w:rsid w:val="22BAE9F9"/>
    <w:rsid w:val="22C157CE"/>
    <w:rsid w:val="22C92D9F"/>
    <w:rsid w:val="22D8ED44"/>
    <w:rsid w:val="22E83266"/>
    <w:rsid w:val="22EC260D"/>
    <w:rsid w:val="22EF9B55"/>
    <w:rsid w:val="22F006BC"/>
    <w:rsid w:val="22F7EFF0"/>
    <w:rsid w:val="2300B376"/>
    <w:rsid w:val="23064C2F"/>
    <w:rsid w:val="230AA4B5"/>
    <w:rsid w:val="230B18E0"/>
    <w:rsid w:val="2310E524"/>
    <w:rsid w:val="23177668"/>
    <w:rsid w:val="231C87ED"/>
    <w:rsid w:val="231D6D5C"/>
    <w:rsid w:val="232B1B73"/>
    <w:rsid w:val="232D4F49"/>
    <w:rsid w:val="232F4862"/>
    <w:rsid w:val="2334AD75"/>
    <w:rsid w:val="234B67C3"/>
    <w:rsid w:val="234B77E3"/>
    <w:rsid w:val="234E3944"/>
    <w:rsid w:val="234E889A"/>
    <w:rsid w:val="23527C56"/>
    <w:rsid w:val="2354097F"/>
    <w:rsid w:val="23629572"/>
    <w:rsid w:val="236C6D50"/>
    <w:rsid w:val="2375A389"/>
    <w:rsid w:val="2378B97E"/>
    <w:rsid w:val="2380643F"/>
    <w:rsid w:val="238AB219"/>
    <w:rsid w:val="2390C23F"/>
    <w:rsid w:val="23943788"/>
    <w:rsid w:val="23952BD5"/>
    <w:rsid w:val="23A97F45"/>
    <w:rsid w:val="23B1F8B3"/>
    <w:rsid w:val="23BF5BDE"/>
    <w:rsid w:val="23C42E7B"/>
    <w:rsid w:val="23C6606B"/>
    <w:rsid w:val="23C6695B"/>
    <w:rsid w:val="23CCB9EB"/>
    <w:rsid w:val="23CD5F34"/>
    <w:rsid w:val="23D31ECF"/>
    <w:rsid w:val="23D59B8C"/>
    <w:rsid w:val="23D8144D"/>
    <w:rsid w:val="23DB40EC"/>
    <w:rsid w:val="23DFDFAD"/>
    <w:rsid w:val="23E7E398"/>
    <w:rsid w:val="23E983CC"/>
    <w:rsid w:val="23ECDE5E"/>
    <w:rsid w:val="23FC039C"/>
    <w:rsid w:val="23FD25B1"/>
    <w:rsid w:val="2400EC9B"/>
    <w:rsid w:val="2404A052"/>
    <w:rsid w:val="240FE7AB"/>
    <w:rsid w:val="24140A15"/>
    <w:rsid w:val="24145EF9"/>
    <w:rsid w:val="2414EAA3"/>
    <w:rsid w:val="2416B949"/>
    <w:rsid w:val="24200C85"/>
    <w:rsid w:val="2426BC6C"/>
    <w:rsid w:val="2430FAAF"/>
    <w:rsid w:val="2434BB4B"/>
    <w:rsid w:val="243B1329"/>
    <w:rsid w:val="2445A4F2"/>
    <w:rsid w:val="244E779D"/>
    <w:rsid w:val="245211ED"/>
    <w:rsid w:val="245761EE"/>
    <w:rsid w:val="2459CD4A"/>
    <w:rsid w:val="246104FB"/>
    <w:rsid w:val="246F344F"/>
    <w:rsid w:val="247BE237"/>
    <w:rsid w:val="2483242F"/>
    <w:rsid w:val="2485FD7B"/>
    <w:rsid w:val="2489787C"/>
    <w:rsid w:val="248B3E77"/>
    <w:rsid w:val="2495B65D"/>
    <w:rsid w:val="2497A9DC"/>
    <w:rsid w:val="249D6497"/>
    <w:rsid w:val="24A18D95"/>
    <w:rsid w:val="24A66371"/>
    <w:rsid w:val="24D895A1"/>
    <w:rsid w:val="24D8BC8E"/>
    <w:rsid w:val="24DA5BED"/>
    <w:rsid w:val="24DE2BFB"/>
    <w:rsid w:val="24E1F2BF"/>
    <w:rsid w:val="24E3C6B1"/>
    <w:rsid w:val="24E3CC14"/>
    <w:rsid w:val="24E643A3"/>
    <w:rsid w:val="24EACB7D"/>
    <w:rsid w:val="24EB0422"/>
    <w:rsid w:val="24F56C84"/>
    <w:rsid w:val="25160B92"/>
    <w:rsid w:val="25206EB3"/>
    <w:rsid w:val="252CE495"/>
    <w:rsid w:val="25350477"/>
    <w:rsid w:val="25354EF9"/>
    <w:rsid w:val="253B8092"/>
    <w:rsid w:val="2540559A"/>
    <w:rsid w:val="254299C7"/>
    <w:rsid w:val="2555F244"/>
    <w:rsid w:val="255F39A6"/>
    <w:rsid w:val="25606537"/>
    <w:rsid w:val="25619689"/>
    <w:rsid w:val="25640BC4"/>
    <w:rsid w:val="256BD3BC"/>
    <w:rsid w:val="256F7DEC"/>
    <w:rsid w:val="25716236"/>
    <w:rsid w:val="25794AC6"/>
    <w:rsid w:val="2582CC9D"/>
    <w:rsid w:val="259614AA"/>
    <w:rsid w:val="259781F4"/>
    <w:rsid w:val="259E04DB"/>
    <w:rsid w:val="25A8FAE1"/>
    <w:rsid w:val="25ACD515"/>
    <w:rsid w:val="25B0DD25"/>
    <w:rsid w:val="25B7290E"/>
    <w:rsid w:val="25B9724B"/>
    <w:rsid w:val="25C5D7F8"/>
    <w:rsid w:val="25CF69FA"/>
    <w:rsid w:val="25D00451"/>
    <w:rsid w:val="25D0D2A9"/>
    <w:rsid w:val="25DCB3DC"/>
    <w:rsid w:val="25DD54F1"/>
    <w:rsid w:val="25DDA8F4"/>
    <w:rsid w:val="25E29658"/>
    <w:rsid w:val="25E54B35"/>
    <w:rsid w:val="25EEAD24"/>
    <w:rsid w:val="25F1D815"/>
    <w:rsid w:val="25F394C0"/>
    <w:rsid w:val="25F9C41D"/>
    <w:rsid w:val="25FAD2C8"/>
    <w:rsid w:val="25FD3579"/>
    <w:rsid w:val="261668B1"/>
    <w:rsid w:val="2620C378"/>
    <w:rsid w:val="26235D4D"/>
    <w:rsid w:val="262C00D2"/>
    <w:rsid w:val="262CC3E3"/>
    <w:rsid w:val="2632D65A"/>
    <w:rsid w:val="26347476"/>
    <w:rsid w:val="26357173"/>
    <w:rsid w:val="263A511D"/>
    <w:rsid w:val="263B61E9"/>
    <w:rsid w:val="263CDFFC"/>
    <w:rsid w:val="26464851"/>
    <w:rsid w:val="264CB447"/>
    <w:rsid w:val="264CC3ED"/>
    <w:rsid w:val="2659CD7E"/>
    <w:rsid w:val="266011A2"/>
    <w:rsid w:val="26618E8E"/>
    <w:rsid w:val="26636582"/>
    <w:rsid w:val="266E7143"/>
    <w:rsid w:val="2670B99C"/>
    <w:rsid w:val="2673343A"/>
    <w:rsid w:val="26782B95"/>
    <w:rsid w:val="267BD47C"/>
    <w:rsid w:val="2681EC22"/>
    <w:rsid w:val="26829810"/>
    <w:rsid w:val="2684EDE9"/>
    <w:rsid w:val="26869A60"/>
    <w:rsid w:val="26898297"/>
    <w:rsid w:val="26A168AD"/>
    <w:rsid w:val="26A47827"/>
    <w:rsid w:val="26A70B01"/>
    <w:rsid w:val="26AFDD45"/>
    <w:rsid w:val="26B7B937"/>
    <w:rsid w:val="26C732D5"/>
    <w:rsid w:val="26C9CC37"/>
    <w:rsid w:val="26C9E218"/>
    <w:rsid w:val="26CB2B4B"/>
    <w:rsid w:val="26D023EA"/>
    <w:rsid w:val="26D59972"/>
    <w:rsid w:val="26D65D0E"/>
    <w:rsid w:val="26D66C73"/>
    <w:rsid w:val="26D7208E"/>
    <w:rsid w:val="26DC8AE8"/>
    <w:rsid w:val="26DF3C72"/>
    <w:rsid w:val="26E0832A"/>
    <w:rsid w:val="26E1FDCA"/>
    <w:rsid w:val="26E41CCD"/>
    <w:rsid w:val="26E6C839"/>
    <w:rsid w:val="26E91F14"/>
    <w:rsid w:val="26EF0CA2"/>
    <w:rsid w:val="26F659CE"/>
    <w:rsid w:val="26F6E431"/>
    <w:rsid w:val="26F7BE33"/>
    <w:rsid w:val="26FD792F"/>
    <w:rsid w:val="2700074F"/>
    <w:rsid w:val="27033042"/>
    <w:rsid w:val="2703611D"/>
    <w:rsid w:val="2703D1FF"/>
    <w:rsid w:val="270570BD"/>
    <w:rsid w:val="270CD31D"/>
    <w:rsid w:val="2712C950"/>
    <w:rsid w:val="2712D2B3"/>
    <w:rsid w:val="2714C6C5"/>
    <w:rsid w:val="271C06A6"/>
    <w:rsid w:val="271FD072"/>
    <w:rsid w:val="27223CA7"/>
    <w:rsid w:val="27289C2A"/>
    <w:rsid w:val="272FD073"/>
    <w:rsid w:val="273CB526"/>
    <w:rsid w:val="274A546A"/>
    <w:rsid w:val="274DA6C0"/>
    <w:rsid w:val="274DF7D7"/>
    <w:rsid w:val="274FF075"/>
    <w:rsid w:val="2752BBCC"/>
    <w:rsid w:val="2753C4F5"/>
    <w:rsid w:val="275CE4BC"/>
    <w:rsid w:val="2765D2EE"/>
    <w:rsid w:val="276C1172"/>
    <w:rsid w:val="2771388B"/>
    <w:rsid w:val="2774D27C"/>
    <w:rsid w:val="277CC36C"/>
    <w:rsid w:val="2785A242"/>
    <w:rsid w:val="2787242B"/>
    <w:rsid w:val="2795C697"/>
    <w:rsid w:val="27967DDD"/>
    <w:rsid w:val="2796C00C"/>
    <w:rsid w:val="2799858D"/>
    <w:rsid w:val="27A7E495"/>
    <w:rsid w:val="27A92749"/>
    <w:rsid w:val="27A98F76"/>
    <w:rsid w:val="27A9BBFB"/>
    <w:rsid w:val="27AA4422"/>
    <w:rsid w:val="27AB2F12"/>
    <w:rsid w:val="27C07399"/>
    <w:rsid w:val="27C6BF04"/>
    <w:rsid w:val="27CB5F66"/>
    <w:rsid w:val="27CE38D8"/>
    <w:rsid w:val="27D033DD"/>
    <w:rsid w:val="27D0CA8B"/>
    <w:rsid w:val="27D8E42C"/>
    <w:rsid w:val="27E04CD3"/>
    <w:rsid w:val="27E854E4"/>
    <w:rsid w:val="27E8DA45"/>
    <w:rsid w:val="27F09E08"/>
    <w:rsid w:val="27FA211F"/>
    <w:rsid w:val="27FB8D3B"/>
    <w:rsid w:val="2805C65D"/>
    <w:rsid w:val="280BD46F"/>
    <w:rsid w:val="281CD7AF"/>
    <w:rsid w:val="2829292C"/>
    <w:rsid w:val="2829E0BD"/>
    <w:rsid w:val="2830FCB8"/>
    <w:rsid w:val="2832739E"/>
    <w:rsid w:val="283C1831"/>
    <w:rsid w:val="28443DA8"/>
    <w:rsid w:val="284F2BEE"/>
    <w:rsid w:val="285164AA"/>
    <w:rsid w:val="2857A2E6"/>
    <w:rsid w:val="285A35D0"/>
    <w:rsid w:val="285DB8D8"/>
    <w:rsid w:val="2860257D"/>
    <w:rsid w:val="2864DE3D"/>
    <w:rsid w:val="2867BA9A"/>
    <w:rsid w:val="286E38A3"/>
    <w:rsid w:val="286FA585"/>
    <w:rsid w:val="2872E833"/>
    <w:rsid w:val="287AE7DF"/>
    <w:rsid w:val="2885B3CE"/>
    <w:rsid w:val="28863C44"/>
    <w:rsid w:val="2886E45D"/>
    <w:rsid w:val="288925C1"/>
    <w:rsid w:val="288A09EE"/>
    <w:rsid w:val="288EAC03"/>
    <w:rsid w:val="2891F644"/>
    <w:rsid w:val="2896FC45"/>
    <w:rsid w:val="289F8788"/>
    <w:rsid w:val="28A0F6A8"/>
    <w:rsid w:val="28A3EE91"/>
    <w:rsid w:val="28B27F92"/>
    <w:rsid w:val="28B3D83E"/>
    <w:rsid w:val="28B6EB77"/>
    <w:rsid w:val="28B74547"/>
    <w:rsid w:val="28B91C94"/>
    <w:rsid w:val="28C338A1"/>
    <w:rsid w:val="28C7128F"/>
    <w:rsid w:val="28C7E7C1"/>
    <w:rsid w:val="28CFF3BA"/>
    <w:rsid w:val="28DF4E17"/>
    <w:rsid w:val="28E4FE04"/>
    <w:rsid w:val="28EC4A09"/>
    <w:rsid w:val="28F10FAB"/>
    <w:rsid w:val="28F53B8F"/>
    <w:rsid w:val="28F89356"/>
    <w:rsid w:val="29007CCC"/>
    <w:rsid w:val="2904E2FF"/>
    <w:rsid w:val="29070539"/>
    <w:rsid w:val="290AA26F"/>
    <w:rsid w:val="290F508B"/>
    <w:rsid w:val="29152359"/>
    <w:rsid w:val="2918BBDF"/>
    <w:rsid w:val="291AB4A3"/>
    <w:rsid w:val="29202B57"/>
    <w:rsid w:val="29237A3B"/>
    <w:rsid w:val="2929C52C"/>
    <w:rsid w:val="2936FA5B"/>
    <w:rsid w:val="293FB30E"/>
    <w:rsid w:val="294051A4"/>
    <w:rsid w:val="29420846"/>
    <w:rsid w:val="29423795"/>
    <w:rsid w:val="294C9B68"/>
    <w:rsid w:val="295712DE"/>
    <w:rsid w:val="296024FA"/>
    <w:rsid w:val="296E9226"/>
    <w:rsid w:val="296F0B82"/>
    <w:rsid w:val="2971526D"/>
    <w:rsid w:val="2971F5A0"/>
    <w:rsid w:val="29781935"/>
    <w:rsid w:val="297854D8"/>
    <w:rsid w:val="297A97E8"/>
    <w:rsid w:val="297BBE8F"/>
    <w:rsid w:val="29838C01"/>
    <w:rsid w:val="2984EDE4"/>
    <w:rsid w:val="298ADE13"/>
    <w:rsid w:val="29A18918"/>
    <w:rsid w:val="29A82D99"/>
    <w:rsid w:val="29AE313E"/>
    <w:rsid w:val="29AFCE21"/>
    <w:rsid w:val="29B55693"/>
    <w:rsid w:val="29BB65FC"/>
    <w:rsid w:val="29BD9F3F"/>
    <w:rsid w:val="29BE0B33"/>
    <w:rsid w:val="29C957AB"/>
    <w:rsid w:val="29CA8F38"/>
    <w:rsid w:val="29DC5DFD"/>
    <w:rsid w:val="29DC83F2"/>
    <w:rsid w:val="29DE22B0"/>
    <w:rsid w:val="29EC7C23"/>
    <w:rsid w:val="29F1867B"/>
    <w:rsid w:val="29FB6C6C"/>
    <w:rsid w:val="29FCEA59"/>
    <w:rsid w:val="29FF37E2"/>
    <w:rsid w:val="29FF8804"/>
    <w:rsid w:val="2A126786"/>
    <w:rsid w:val="2A191E7A"/>
    <w:rsid w:val="2A2AC7C5"/>
    <w:rsid w:val="2A2BFCF3"/>
    <w:rsid w:val="2A30BFF8"/>
    <w:rsid w:val="2A38F492"/>
    <w:rsid w:val="2A5F2BF9"/>
    <w:rsid w:val="2A63E013"/>
    <w:rsid w:val="2A664D1B"/>
    <w:rsid w:val="2A67719E"/>
    <w:rsid w:val="2A731CA8"/>
    <w:rsid w:val="2A8634AE"/>
    <w:rsid w:val="2A8987DE"/>
    <w:rsid w:val="2A8A0822"/>
    <w:rsid w:val="2A8AD6F5"/>
    <w:rsid w:val="2A9070D0"/>
    <w:rsid w:val="2A92929C"/>
    <w:rsid w:val="2A9633FB"/>
    <w:rsid w:val="2A971C80"/>
    <w:rsid w:val="2AA37AB4"/>
    <w:rsid w:val="2AA8AEC2"/>
    <w:rsid w:val="2AB89F71"/>
    <w:rsid w:val="2AC1AF89"/>
    <w:rsid w:val="2AC4566B"/>
    <w:rsid w:val="2ACA3DB7"/>
    <w:rsid w:val="2ACEEA63"/>
    <w:rsid w:val="2AD613AF"/>
    <w:rsid w:val="2ADB6923"/>
    <w:rsid w:val="2AE01ED8"/>
    <w:rsid w:val="2AE69393"/>
    <w:rsid w:val="2AE74294"/>
    <w:rsid w:val="2AEBCA7F"/>
    <w:rsid w:val="2AEFED23"/>
    <w:rsid w:val="2AF61974"/>
    <w:rsid w:val="2AF96419"/>
    <w:rsid w:val="2AFBDD8F"/>
    <w:rsid w:val="2B11F4A9"/>
    <w:rsid w:val="2B14CFC7"/>
    <w:rsid w:val="2B196042"/>
    <w:rsid w:val="2B1DBB1B"/>
    <w:rsid w:val="2B235157"/>
    <w:rsid w:val="2B26D37D"/>
    <w:rsid w:val="2B2DCC25"/>
    <w:rsid w:val="2B2F6531"/>
    <w:rsid w:val="2B3142C0"/>
    <w:rsid w:val="2B3950B7"/>
    <w:rsid w:val="2B3E8218"/>
    <w:rsid w:val="2B443128"/>
    <w:rsid w:val="2B535A45"/>
    <w:rsid w:val="2B5CC99E"/>
    <w:rsid w:val="2B5D022D"/>
    <w:rsid w:val="2B619669"/>
    <w:rsid w:val="2B63C522"/>
    <w:rsid w:val="2B669DE3"/>
    <w:rsid w:val="2B6A0B0B"/>
    <w:rsid w:val="2B6FEA82"/>
    <w:rsid w:val="2B71C9B4"/>
    <w:rsid w:val="2B76E361"/>
    <w:rsid w:val="2B8BADCD"/>
    <w:rsid w:val="2B96626A"/>
    <w:rsid w:val="2B9E68AE"/>
    <w:rsid w:val="2BA399B7"/>
    <w:rsid w:val="2BA5922D"/>
    <w:rsid w:val="2BA99DA6"/>
    <w:rsid w:val="2BAAEBCB"/>
    <w:rsid w:val="2BAB7516"/>
    <w:rsid w:val="2BAEA1F3"/>
    <w:rsid w:val="2BB22629"/>
    <w:rsid w:val="2BBB8C89"/>
    <w:rsid w:val="2BC49031"/>
    <w:rsid w:val="2BC5B256"/>
    <w:rsid w:val="2BC5DF94"/>
    <w:rsid w:val="2BCD3DE5"/>
    <w:rsid w:val="2BDC6A80"/>
    <w:rsid w:val="2BDF9C7C"/>
    <w:rsid w:val="2BE17B9C"/>
    <w:rsid w:val="2BE36084"/>
    <w:rsid w:val="2BE6E74A"/>
    <w:rsid w:val="2BF1CAD5"/>
    <w:rsid w:val="2BFC24BE"/>
    <w:rsid w:val="2BFC9663"/>
    <w:rsid w:val="2BFCF439"/>
    <w:rsid w:val="2C05527D"/>
    <w:rsid w:val="2C0AD4C2"/>
    <w:rsid w:val="2C0B6B50"/>
    <w:rsid w:val="2C0C2CD1"/>
    <w:rsid w:val="2C0DC789"/>
    <w:rsid w:val="2C23E756"/>
    <w:rsid w:val="2C280EBC"/>
    <w:rsid w:val="2C322FA1"/>
    <w:rsid w:val="2C3DD758"/>
    <w:rsid w:val="2C405986"/>
    <w:rsid w:val="2C43B347"/>
    <w:rsid w:val="2C469926"/>
    <w:rsid w:val="2C4B35BC"/>
    <w:rsid w:val="2C5A36A7"/>
    <w:rsid w:val="2C5BF90F"/>
    <w:rsid w:val="2C5F38DB"/>
    <w:rsid w:val="2C668FFE"/>
    <w:rsid w:val="2C68C1C8"/>
    <w:rsid w:val="2C6A95EC"/>
    <w:rsid w:val="2C6DFA1F"/>
    <w:rsid w:val="2C6E44FE"/>
    <w:rsid w:val="2C6ED3E3"/>
    <w:rsid w:val="2C6F2C85"/>
    <w:rsid w:val="2C77D9FF"/>
    <w:rsid w:val="2C7BD6B2"/>
    <w:rsid w:val="2C8E24B7"/>
    <w:rsid w:val="2C8F3F7F"/>
    <w:rsid w:val="2C9C4328"/>
    <w:rsid w:val="2C9FFDCC"/>
    <w:rsid w:val="2CB1DD98"/>
    <w:rsid w:val="2CB6741F"/>
    <w:rsid w:val="2CBD2606"/>
    <w:rsid w:val="2CC0D49B"/>
    <w:rsid w:val="2CC9594F"/>
    <w:rsid w:val="2CCEBC43"/>
    <w:rsid w:val="2CD63838"/>
    <w:rsid w:val="2CE80007"/>
    <w:rsid w:val="2CEF24CF"/>
    <w:rsid w:val="2CFA8288"/>
    <w:rsid w:val="2CFACC13"/>
    <w:rsid w:val="2D060052"/>
    <w:rsid w:val="2D1187FD"/>
    <w:rsid w:val="2D161494"/>
    <w:rsid w:val="2D1BE243"/>
    <w:rsid w:val="2D227B89"/>
    <w:rsid w:val="2D29951E"/>
    <w:rsid w:val="2D2A59EA"/>
    <w:rsid w:val="2D2CB016"/>
    <w:rsid w:val="2D39FDE7"/>
    <w:rsid w:val="2D435C8B"/>
    <w:rsid w:val="2D566899"/>
    <w:rsid w:val="2D57689A"/>
    <w:rsid w:val="2D595296"/>
    <w:rsid w:val="2D71C232"/>
    <w:rsid w:val="2D783B2C"/>
    <w:rsid w:val="2D7C5CE5"/>
    <w:rsid w:val="2D7E72B0"/>
    <w:rsid w:val="2D8DC5EC"/>
    <w:rsid w:val="2D954FB7"/>
    <w:rsid w:val="2D9B2AF7"/>
    <w:rsid w:val="2D9CC08B"/>
    <w:rsid w:val="2D9F594F"/>
    <w:rsid w:val="2DAA84F3"/>
    <w:rsid w:val="2DABD256"/>
    <w:rsid w:val="2DAC79A0"/>
    <w:rsid w:val="2DB0BB27"/>
    <w:rsid w:val="2DB0F884"/>
    <w:rsid w:val="2DB12ABE"/>
    <w:rsid w:val="2DB35400"/>
    <w:rsid w:val="2DB4008A"/>
    <w:rsid w:val="2DBAA8FC"/>
    <w:rsid w:val="2DBEC240"/>
    <w:rsid w:val="2DC645A1"/>
    <w:rsid w:val="2DC647D6"/>
    <w:rsid w:val="2DCF2963"/>
    <w:rsid w:val="2DDCAACF"/>
    <w:rsid w:val="2DDEF5D7"/>
    <w:rsid w:val="2DE056EB"/>
    <w:rsid w:val="2DE7E9C6"/>
    <w:rsid w:val="2DEAA1B3"/>
    <w:rsid w:val="2DEF5AC4"/>
    <w:rsid w:val="2DF795B7"/>
    <w:rsid w:val="2DFCD4A0"/>
    <w:rsid w:val="2DFF47DE"/>
    <w:rsid w:val="2DFFC817"/>
    <w:rsid w:val="2E03B99E"/>
    <w:rsid w:val="2E053659"/>
    <w:rsid w:val="2E189911"/>
    <w:rsid w:val="2E254DF0"/>
    <w:rsid w:val="2E28C254"/>
    <w:rsid w:val="2E2DED23"/>
    <w:rsid w:val="2E38D9E2"/>
    <w:rsid w:val="2E3AE022"/>
    <w:rsid w:val="2E42E98E"/>
    <w:rsid w:val="2E4B3B53"/>
    <w:rsid w:val="2E541D68"/>
    <w:rsid w:val="2E56D610"/>
    <w:rsid w:val="2E5D758B"/>
    <w:rsid w:val="2E60FBBD"/>
    <w:rsid w:val="2E63FFF2"/>
    <w:rsid w:val="2E6900E9"/>
    <w:rsid w:val="2E77D235"/>
    <w:rsid w:val="2E7ABA9F"/>
    <w:rsid w:val="2E81700D"/>
    <w:rsid w:val="2E877960"/>
    <w:rsid w:val="2E8A4B13"/>
    <w:rsid w:val="2E90C605"/>
    <w:rsid w:val="2E9426D6"/>
    <w:rsid w:val="2EAAC015"/>
    <w:rsid w:val="2EB2B2CE"/>
    <w:rsid w:val="2ECA6398"/>
    <w:rsid w:val="2ECD866C"/>
    <w:rsid w:val="2ED1EB37"/>
    <w:rsid w:val="2ED39E3C"/>
    <w:rsid w:val="2ED5208E"/>
    <w:rsid w:val="2ED596ED"/>
    <w:rsid w:val="2EDC822E"/>
    <w:rsid w:val="2EEC33A7"/>
    <w:rsid w:val="2EED5370"/>
    <w:rsid w:val="2EF1CD71"/>
    <w:rsid w:val="2EF84BB0"/>
    <w:rsid w:val="2EF909C7"/>
    <w:rsid w:val="2F039BF2"/>
    <w:rsid w:val="2F0EE811"/>
    <w:rsid w:val="2F21DEE8"/>
    <w:rsid w:val="2F22F1E5"/>
    <w:rsid w:val="2F272428"/>
    <w:rsid w:val="2F299733"/>
    <w:rsid w:val="2F336C2B"/>
    <w:rsid w:val="2F3837E0"/>
    <w:rsid w:val="2F4B2F3F"/>
    <w:rsid w:val="2F4D63EA"/>
    <w:rsid w:val="2F5E897E"/>
    <w:rsid w:val="2F662A60"/>
    <w:rsid w:val="2F6DD7FB"/>
    <w:rsid w:val="2F71B797"/>
    <w:rsid w:val="2F7C03F2"/>
    <w:rsid w:val="2F7D7FFE"/>
    <w:rsid w:val="2F7E4B11"/>
    <w:rsid w:val="2F80E6AA"/>
    <w:rsid w:val="2F84E624"/>
    <w:rsid w:val="2F8B6A7E"/>
    <w:rsid w:val="2F8BE5A0"/>
    <w:rsid w:val="2F901951"/>
    <w:rsid w:val="2F911B43"/>
    <w:rsid w:val="2F9267CA"/>
    <w:rsid w:val="2F93C660"/>
    <w:rsid w:val="2F9EEAE3"/>
    <w:rsid w:val="2FA64E4D"/>
    <w:rsid w:val="2FA6C96D"/>
    <w:rsid w:val="2FAC3541"/>
    <w:rsid w:val="2FAFFF34"/>
    <w:rsid w:val="2FB3E703"/>
    <w:rsid w:val="2FB98E5A"/>
    <w:rsid w:val="2FBA145D"/>
    <w:rsid w:val="2FC22BC8"/>
    <w:rsid w:val="2FD25FEC"/>
    <w:rsid w:val="2FD9235A"/>
    <w:rsid w:val="2FD9859B"/>
    <w:rsid w:val="2FDA14D9"/>
    <w:rsid w:val="2FDF1EFB"/>
    <w:rsid w:val="2FE2A784"/>
    <w:rsid w:val="2FE5F12D"/>
    <w:rsid w:val="2FE678A4"/>
    <w:rsid w:val="2FEE17C8"/>
    <w:rsid w:val="2FF2BFD4"/>
    <w:rsid w:val="2FF445DE"/>
    <w:rsid w:val="2FF4D50C"/>
    <w:rsid w:val="2FF64951"/>
    <w:rsid w:val="2FFDAF33"/>
    <w:rsid w:val="2FFDEA8D"/>
    <w:rsid w:val="2FFFB1BC"/>
    <w:rsid w:val="30000B86"/>
    <w:rsid w:val="300A6886"/>
    <w:rsid w:val="300C1ABA"/>
    <w:rsid w:val="30157FB0"/>
    <w:rsid w:val="301B0921"/>
    <w:rsid w:val="30203A88"/>
    <w:rsid w:val="3024BEB9"/>
    <w:rsid w:val="3028781E"/>
    <w:rsid w:val="302F37FF"/>
    <w:rsid w:val="302F76AA"/>
    <w:rsid w:val="303D2B08"/>
    <w:rsid w:val="30477567"/>
    <w:rsid w:val="304DB1C0"/>
    <w:rsid w:val="304F7EB0"/>
    <w:rsid w:val="30502D5C"/>
    <w:rsid w:val="30709723"/>
    <w:rsid w:val="3077E249"/>
    <w:rsid w:val="307B11D7"/>
    <w:rsid w:val="307C024C"/>
    <w:rsid w:val="308FAE91"/>
    <w:rsid w:val="309E01B4"/>
    <w:rsid w:val="30A1AF11"/>
    <w:rsid w:val="30A2F87E"/>
    <w:rsid w:val="30A5FE54"/>
    <w:rsid w:val="30A9751A"/>
    <w:rsid w:val="30AF1175"/>
    <w:rsid w:val="30B4263B"/>
    <w:rsid w:val="30B47E9A"/>
    <w:rsid w:val="30B6ACD6"/>
    <w:rsid w:val="30BC315F"/>
    <w:rsid w:val="30BE2C64"/>
    <w:rsid w:val="30BEC09E"/>
    <w:rsid w:val="30BF5122"/>
    <w:rsid w:val="30BF728C"/>
    <w:rsid w:val="30CF3E6F"/>
    <w:rsid w:val="30DD50E1"/>
    <w:rsid w:val="30EA659C"/>
    <w:rsid w:val="30EB99FB"/>
    <w:rsid w:val="30F1B47A"/>
    <w:rsid w:val="30FB9C60"/>
    <w:rsid w:val="3100265F"/>
    <w:rsid w:val="3104579F"/>
    <w:rsid w:val="310C67B9"/>
    <w:rsid w:val="311A6DED"/>
    <w:rsid w:val="311EE3B1"/>
    <w:rsid w:val="311FCABE"/>
    <w:rsid w:val="3127665C"/>
    <w:rsid w:val="31333A3E"/>
    <w:rsid w:val="313CD799"/>
    <w:rsid w:val="314AD4F0"/>
    <w:rsid w:val="3163BA8F"/>
    <w:rsid w:val="3164F0F1"/>
    <w:rsid w:val="31718379"/>
    <w:rsid w:val="31753AD0"/>
    <w:rsid w:val="317AADEE"/>
    <w:rsid w:val="3186CC57"/>
    <w:rsid w:val="318AE845"/>
    <w:rsid w:val="318F824D"/>
    <w:rsid w:val="3191C43C"/>
    <w:rsid w:val="319B8016"/>
    <w:rsid w:val="319CCE99"/>
    <w:rsid w:val="31A8B1C7"/>
    <w:rsid w:val="31A96B8F"/>
    <w:rsid w:val="31AAC6ED"/>
    <w:rsid w:val="31B703BE"/>
    <w:rsid w:val="31B741E6"/>
    <w:rsid w:val="31B75DA9"/>
    <w:rsid w:val="31C8F6C6"/>
    <w:rsid w:val="31CBADBC"/>
    <w:rsid w:val="31CEB64B"/>
    <w:rsid w:val="31D2FCED"/>
    <w:rsid w:val="31DFCB1B"/>
    <w:rsid w:val="31E0AEF3"/>
    <w:rsid w:val="31E0BBC6"/>
    <w:rsid w:val="31E7122F"/>
    <w:rsid w:val="31E9C64A"/>
    <w:rsid w:val="31EC8EFB"/>
    <w:rsid w:val="31F3BF40"/>
    <w:rsid w:val="31F81190"/>
    <w:rsid w:val="320470FC"/>
    <w:rsid w:val="3204C119"/>
    <w:rsid w:val="320E24FA"/>
    <w:rsid w:val="32186C4F"/>
    <w:rsid w:val="321D0DAC"/>
    <w:rsid w:val="322414D2"/>
    <w:rsid w:val="3231C26F"/>
    <w:rsid w:val="32371CDD"/>
    <w:rsid w:val="323F9FE5"/>
    <w:rsid w:val="3241FA34"/>
    <w:rsid w:val="32421816"/>
    <w:rsid w:val="32514776"/>
    <w:rsid w:val="32537F9E"/>
    <w:rsid w:val="325B3841"/>
    <w:rsid w:val="32684FA0"/>
    <w:rsid w:val="326BC035"/>
    <w:rsid w:val="3275D52D"/>
    <w:rsid w:val="32893E53"/>
    <w:rsid w:val="3289F928"/>
    <w:rsid w:val="329E6E28"/>
    <w:rsid w:val="32A047A4"/>
    <w:rsid w:val="32A564BA"/>
    <w:rsid w:val="32A75743"/>
    <w:rsid w:val="32B78E24"/>
    <w:rsid w:val="32CAC5EE"/>
    <w:rsid w:val="32CB2F98"/>
    <w:rsid w:val="32CEDBC2"/>
    <w:rsid w:val="32E1263D"/>
    <w:rsid w:val="32E626A5"/>
    <w:rsid w:val="32F093A1"/>
    <w:rsid w:val="32FC9B7D"/>
    <w:rsid w:val="33077D4E"/>
    <w:rsid w:val="330AE9A4"/>
    <w:rsid w:val="3313F8D8"/>
    <w:rsid w:val="33156184"/>
    <w:rsid w:val="33161694"/>
    <w:rsid w:val="33176A72"/>
    <w:rsid w:val="3317CE48"/>
    <w:rsid w:val="33199F35"/>
    <w:rsid w:val="331EED37"/>
    <w:rsid w:val="331F8BB6"/>
    <w:rsid w:val="3324297B"/>
    <w:rsid w:val="33363CFD"/>
    <w:rsid w:val="333EC6FC"/>
    <w:rsid w:val="333F4F9F"/>
    <w:rsid w:val="33456F6D"/>
    <w:rsid w:val="334816ED"/>
    <w:rsid w:val="334A2D97"/>
    <w:rsid w:val="334ADDE2"/>
    <w:rsid w:val="334C3846"/>
    <w:rsid w:val="334D6158"/>
    <w:rsid w:val="335570C4"/>
    <w:rsid w:val="335644FF"/>
    <w:rsid w:val="3360D2E7"/>
    <w:rsid w:val="33614076"/>
    <w:rsid w:val="3367225F"/>
    <w:rsid w:val="33728444"/>
    <w:rsid w:val="337322E2"/>
    <w:rsid w:val="337812B0"/>
    <w:rsid w:val="337A0F2A"/>
    <w:rsid w:val="337D0AFD"/>
    <w:rsid w:val="337E8D34"/>
    <w:rsid w:val="33A54649"/>
    <w:rsid w:val="33A550D4"/>
    <w:rsid w:val="33A74C30"/>
    <w:rsid w:val="33ACBDA9"/>
    <w:rsid w:val="33B4EF20"/>
    <w:rsid w:val="33C117E7"/>
    <w:rsid w:val="33C57772"/>
    <w:rsid w:val="33C9563E"/>
    <w:rsid w:val="33CA4B60"/>
    <w:rsid w:val="33CD7030"/>
    <w:rsid w:val="33D52D96"/>
    <w:rsid w:val="33D9AE3E"/>
    <w:rsid w:val="33E1C05F"/>
    <w:rsid w:val="33EB3B05"/>
    <w:rsid w:val="33EF020E"/>
    <w:rsid w:val="33F12F06"/>
    <w:rsid w:val="33F1978E"/>
    <w:rsid w:val="33F77478"/>
    <w:rsid w:val="33FB4894"/>
    <w:rsid w:val="33FC2C3A"/>
    <w:rsid w:val="33FF167A"/>
    <w:rsid w:val="34047148"/>
    <w:rsid w:val="34145904"/>
    <w:rsid w:val="3416AE2F"/>
    <w:rsid w:val="341ABD97"/>
    <w:rsid w:val="341C5F24"/>
    <w:rsid w:val="343287BB"/>
    <w:rsid w:val="34336088"/>
    <w:rsid w:val="34370103"/>
    <w:rsid w:val="34374AC2"/>
    <w:rsid w:val="345503BC"/>
    <w:rsid w:val="345A01A2"/>
    <w:rsid w:val="345F6BEA"/>
    <w:rsid w:val="346BB2F0"/>
    <w:rsid w:val="346C0148"/>
    <w:rsid w:val="346E7A6F"/>
    <w:rsid w:val="34708ED5"/>
    <w:rsid w:val="34737D12"/>
    <w:rsid w:val="34798F07"/>
    <w:rsid w:val="347A1A51"/>
    <w:rsid w:val="34807F8F"/>
    <w:rsid w:val="34852EDF"/>
    <w:rsid w:val="34884597"/>
    <w:rsid w:val="348AC302"/>
    <w:rsid w:val="348CDD8A"/>
    <w:rsid w:val="348D58CD"/>
    <w:rsid w:val="349296FE"/>
    <w:rsid w:val="3499A537"/>
    <w:rsid w:val="34A80AF0"/>
    <w:rsid w:val="34B2C3CD"/>
    <w:rsid w:val="34BA48BB"/>
    <w:rsid w:val="34C3FE24"/>
    <w:rsid w:val="34CE66C8"/>
    <w:rsid w:val="34D43175"/>
    <w:rsid w:val="34D4625B"/>
    <w:rsid w:val="34D892D8"/>
    <w:rsid w:val="34E7B8F9"/>
    <w:rsid w:val="34EFFCDE"/>
    <w:rsid w:val="34F0C62A"/>
    <w:rsid w:val="34F3E35F"/>
    <w:rsid w:val="34F6A9C4"/>
    <w:rsid w:val="34F75F71"/>
    <w:rsid w:val="34FC218C"/>
    <w:rsid w:val="3507A624"/>
    <w:rsid w:val="3508BCB0"/>
    <w:rsid w:val="350E7C24"/>
    <w:rsid w:val="3515DBBE"/>
    <w:rsid w:val="35199398"/>
    <w:rsid w:val="351CC2C0"/>
    <w:rsid w:val="352A6CAA"/>
    <w:rsid w:val="353674B2"/>
    <w:rsid w:val="3549DC52"/>
    <w:rsid w:val="3558CC5C"/>
    <w:rsid w:val="356481DA"/>
    <w:rsid w:val="356D4A5B"/>
    <w:rsid w:val="356E3C6F"/>
    <w:rsid w:val="357238E8"/>
    <w:rsid w:val="35728341"/>
    <w:rsid w:val="357B65FF"/>
    <w:rsid w:val="357DF2F9"/>
    <w:rsid w:val="35840F3B"/>
    <w:rsid w:val="35844313"/>
    <w:rsid w:val="35868B2A"/>
    <w:rsid w:val="35909E5D"/>
    <w:rsid w:val="359B00CE"/>
    <w:rsid w:val="35A45FA3"/>
    <w:rsid w:val="35A7A15C"/>
    <w:rsid w:val="35AE13FE"/>
    <w:rsid w:val="35B6020F"/>
    <w:rsid w:val="35BD97BA"/>
    <w:rsid w:val="35C367B2"/>
    <w:rsid w:val="35C4503F"/>
    <w:rsid w:val="35C62C2A"/>
    <w:rsid w:val="35C9C359"/>
    <w:rsid w:val="35D49FB4"/>
    <w:rsid w:val="35D5A174"/>
    <w:rsid w:val="35D65D85"/>
    <w:rsid w:val="35DBAAD5"/>
    <w:rsid w:val="35E94A5B"/>
    <w:rsid w:val="35EC8A5C"/>
    <w:rsid w:val="35F383EC"/>
    <w:rsid w:val="35F3FC09"/>
    <w:rsid w:val="35F9662E"/>
    <w:rsid w:val="35FC1B9A"/>
    <w:rsid w:val="36012857"/>
    <w:rsid w:val="3604D395"/>
    <w:rsid w:val="360BA3C1"/>
    <w:rsid w:val="36220560"/>
    <w:rsid w:val="3622D5E3"/>
    <w:rsid w:val="36286717"/>
    <w:rsid w:val="362FB462"/>
    <w:rsid w:val="362FEEAB"/>
    <w:rsid w:val="3630AF1B"/>
    <w:rsid w:val="3630DF6E"/>
    <w:rsid w:val="36394684"/>
    <w:rsid w:val="363E3C7F"/>
    <w:rsid w:val="364626E6"/>
    <w:rsid w:val="364BBBC0"/>
    <w:rsid w:val="365C78A1"/>
    <w:rsid w:val="365D12D6"/>
    <w:rsid w:val="366BAE3B"/>
    <w:rsid w:val="366E8F10"/>
    <w:rsid w:val="3677061F"/>
    <w:rsid w:val="367C21E9"/>
    <w:rsid w:val="367CA097"/>
    <w:rsid w:val="367CC8F2"/>
    <w:rsid w:val="3682BB1E"/>
    <w:rsid w:val="36830C19"/>
    <w:rsid w:val="3699F2BC"/>
    <w:rsid w:val="36A956FC"/>
    <w:rsid w:val="36AA9521"/>
    <w:rsid w:val="36BB00D2"/>
    <w:rsid w:val="36C6E28D"/>
    <w:rsid w:val="36C92C9B"/>
    <w:rsid w:val="36CBDD5D"/>
    <w:rsid w:val="36D4E32B"/>
    <w:rsid w:val="36E39A7E"/>
    <w:rsid w:val="36EB9BEE"/>
    <w:rsid w:val="36EFADD2"/>
    <w:rsid w:val="36F03898"/>
    <w:rsid w:val="36F4B172"/>
    <w:rsid w:val="36F5CB8B"/>
    <w:rsid w:val="36F61438"/>
    <w:rsid w:val="36F97EA3"/>
    <w:rsid w:val="36FA7FD5"/>
    <w:rsid w:val="36FB6185"/>
    <w:rsid w:val="36FBABE3"/>
    <w:rsid w:val="3701AA5D"/>
    <w:rsid w:val="3701F931"/>
    <w:rsid w:val="3704CC93"/>
    <w:rsid w:val="370CC94F"/>
    <w:rsid w:val="370D6B8B"/>
    <w:rsid w:val="370F1ACD"/>
    <w:rsid w:val="371041BA"/>
    <w:rsid w:val="37158E2E"/>
    <w:rsid w:val="3715D5AC"/>
    <w:rsid w:val="37189BDE"/>
    <w:rsid w:val="371A23C7"/>
    <w:rsid w:val="37209351"/>
    <w:rsid w:val="372702C2"/>
    <w:rsid w:val="37280F2A"/>
    <w:rsid w:val="372816F1"/>
    <w:rsid w:val="372A9EC3"/>
    <w:rsid w:val="372B61FB"/>
    <w:rsid w:val="37395582"/>
    <w:rsid w:val="373E3088"/>
    <w:rsid w:val="3744ED8C"/>
    <w:rsid w:val="374B6E76"/>
    <w:rsid w:val="37599BC5"/>
    <w:rsid w:val="375A60B2"/>
    <w:rsid w:val="375DAF61"/>
    <w:rsid w:val="375F7E68"/>
    <w:rsid w:val="37649AF9"/>
    <w:rsid w:val="377001F4"/>
    <w:rsid w:val="377420B4"/>
    <w:rsid w:val="377B05F0"/>
    <w:rsid w:val="37896BE5"/>
    <w:rsid w:val="3795417D"/>
    <w:rsid w:val="37A39A8D"/>
    <w:rsid w:val="37A66421"/>
    <w:rsid w:val="37B3990B"/>
    <w:rsid w:val="37B83CF1"/>
    <w:rsid w:val="37B95B8A"/>
    <w:rsid w:val="37CD9BE8"/>
    <w:rsid w:val="37D36D2D"/>
    <w:rsid w:val="37DC40DE"/>
    <w:rsid w:val="37E3516F"/>
    <w:rsid w:val="37E6C11B"/>
    <w:rsid w:val="37E75903"/>
    <w:rsid w:val="37F418F6"/>
    <w:rsid w:val="37F99EC8"/>
    <w:rsid w:val="3805F92B"/>
    <w:rsid w:val="3806F8DF"/>
    <w:rsid w:val="380966B1"/>
    <w:rsid w:val="380DAC23"/>
    <w:rsid w:val="3819EC45"/>
    <w:rsid w:val="381BC1B6"/>
    <w:rsid w:val="38208CE6"/>
    <w:rsid w:val="382B4FFB"/>
    <w:rsid w:val="3832B46F"/>
    <w:rsid w:val="3838E869"/>
    <w:rsid w:val="3839E56B"/>
    <w:rsid w:val="383A59BE"/>
    <w:rsid w:val="383E4C2F"/>
    <w:rsid w:val="38426882"/>
    <w:rsid w:val="38427474"/>
    <w:rsid w:val="384ABA10"/>
    <w:rsid w:val="384D9FFE"/>
    <w:rsid w:val="3852ADFA"/>
    <w:rsid w:val="38540C8C"/>
    <w:rsid w:val="385F4921"/>
    <w:rsid w:val="3872BDC0"/>
    <w:rsid w:val="387315B6"/>
    <w:rsid w:val="388A1B72"/>
    <w:rsid w:val="388CC7A7"/>
    <w:rsid w:val="389EACD3"/>
    <w:rsid w:val="38A8381B"/>
    <w:rsid w:val="38A955D2"/>
    <w:rsid w:val="38AA5570"/>
    <w:rsid w:val="38AA8A50"/>
    <w:rsid w:val="38ABB14D"/>
    <w:rsid w:val="38B0BE8F"/>
    <w:rsid w:val="38B2F7B3"/>
    <w:rsid w:val="38B673EF"/>
    <w:rsid w:val="38CC747E"/>
    <w:rsid w:val="38CDBA4A"/>
    <w:rsid w:val="38D0DFDD"/>
    <w:rsid w:val="38D12F67"/>
    <w:rsid w:val="38D19451"/>
    <w:rsid w:val="38D79D14"/>
    <w:rsid w:val="38DBFAED"/>
    <w:rsid w:val="38F59246"/>
    <w:rsid w:val="38F860A9"/>
    <w:rsid w:val="38FBD508"/>
    <w:rsid w:val="39022C23"/>
    <w:rsid w:val="39121622"/>
    <w:rsid w:val="39136249"/>
    <w:rsid w:val="3915109B"/>
    <w:rsid w:val="391883A0"/>
    <w:rsid w:val="391B84F2"/>
    <w:rsid w:val="392DCB89"/>
    <w:rsid w:val="392EC42A"/>
    <w:rsid w:val="3932DB17"/>
    <w:rsid w:val="393A59AF"/>
    <w:rsid w:val="3942800B"/>
    <w:rsid w:val="39435634"/>
    <w:rsid w:val="39439CCD"/>
    <w:rsid w:val="395A4B62"/>
    <w:rsid w:val="395E66D7"/>
    <w:rsid w:val="3975E332"/>
    <w:rsid w:val="397992AB"/>
    <w:rsid w:val="397A4B01"/>
    <w:rsid w:val="398617BD"/>
    <w:rsid w:val="398D5836"/>
    <w:rsid w:val="3998A29E"/>
    <w:rsid w:val="399CCD59"/>
    <w:rsid w:val="39A9CDCB"/>
    <w:rsid w:val="39AA4E91"/>
    <w:rsid w:val="39C0D33D"/>
    <w:rsid w:val="39C0DEC8"/>
    <w:rsid w:val="39C50AAC"/>
    <w:rsid w:val="39C78EF4"/>
    <w:rsid w:val="39CDA88D"/>
    <w:rsid w:val="39CE7CEC"/>
    <w:rsid w:val="39F0FB17"/>
    <w:rsid w:val="39F80D78"/>
    <w:rsid w:val="39F97B51"/>
    <w:rsid w:val="39FA07AA"/>
    <w:rsid w:val="39FB4A3E"/>
    <w:rsid w:val="39FDDA62"/>
    <w:rsid w:val="3A0057F2"/>
    <w:rsid w:val="3A02FD5A"/>
    <w:rsid w:val="3A097753"/>
    <w:rsid w:val="3A0C5753"/>
    <w:rsid w:val="3A0ECD4E"/>
    <w:rsid w:val="3A165B7D"/>
    <w:rsid w:val="3A1E743C"/>
    <w:rsid w:val="3A287970"/>
    <w:rsid w:val="3A336861"/>
    <w:rsid w:val="3A3759E3"/>
    <w:rsid w:val="3A453D55"/>
    <w:rsid w:val="3A48AE8C"/>
    <w:rsid w:val="3A4F3CCD"/>
    <w:rsid w:val="3A524A23"/>
    <w:rsid w:val="3A5998BF"/>
    <w:rsid w:val="3A625BFB"/>
    <w:rsid w:val="3A644339"/>
    <w:rsid w:val="3A6C88C5"/>
    <w:rsid w:val="3A701771"/>
    <w:rsid w:val="3A7F11C3"/>
    <w:rsid w:val="3A85D9A3"/>
    <w:rsid w:val="3AA883F0"/>
    <w:rsid w:val="3AA9244D"/>
    <w:rsid w:val="3AAFD88C"/>
    <w:rsid w:val="3AB07565"/>
    <w:rsid w:val="3AB0931C"/>
    <w:rsid w:val="3AB28A24"/>
    <w:rsid w:val="3AB42A89"/>
    <w:rsid w:val="3AB46CFF"/>
    <w:rsid w:val="3AB75CFC"/>
    <w:rsid w:val="3AC44611"/>
    <w:rsid w:val="3AD10B9E"/>
    <w:rsid w:val="3AD5ED4F"/>
    <w:rsid w:val="3AD61AEE"/>
    <w:rsid w:val="3AD92C48"/>
    <w:rsid w:val="3ADAEF72"/>
    <w:rsid w:val="3ADF1A65"/>
    <w:rsid w:val="3AE06E99"/>
    <w:rsid w:val="3AE2B5FA"/>
    <w:rsid w:val="3AE44CBB"/>
    <w:rsid w:val="3AE56F31"/>
    <w:rsid w:val="3AE9AA10"/>
    <w:rsid w:val="3AEB56AE"/>
    <w:rsid w:val="3AF41ED1"/>
    <w:rsid w:val="3AF70DB6"/>
    <w:rsid w:val="3AFD59C6"/>
    <w:rsid w:val="3B076953"/>
    <w:rsid w:val="3B09ABCC"/>
    <w:rsid w:val="3B0B1570"/>
    <w:rsid w:val="3B153B13"/>
    <w:rsid w:val="3B1B009E"/>
    <w:rsid w:val="3B1D459D"/>
    <w:rsid w:val="3B23BEB0"/>
    <w:rsid w:val="3B24DD45"/>
    <w:rsid w:val="3B25C393"/>
    <w:rsid w:val="3B2BB045"/>
    <w:rsid w:val="3B38ACE8"/>
    <w:rsid w:val="3B5093BE"/>
    <w:rsid w:val="3B5CE94B"/>
    <w:rsid w:val="3B5FDCF6"/>
    <w:rsid w:val="3B6D12EB"/>
    <w:rsid w:val="3B751290"/>
    <w:rsid w:val="3B76CCE2"/>
    <w:rsid w:val="3B7D090F"/>
    <w:rsid w:val="3B8CE1EE"/>
    <w:rsid w:val="3B9116C6"/>
    <w:rsid w:val="3B928CC1"/>
    <w:rsid w:val="3B9445DD"/>
    <w:rsid w:val="3B9B1866"/>
    <w:rsid w:val="3BA0535B"/>
    <w:rsid w:val="3BA54509"/>
    <w:rsid w:val="3BBC9CB6"/>
    <w:rsid w:val="3BBE84F8"/>
    <w:rsid w:val="3BC73730"/>
    <w:rsid w:val="3BCC5626"/>
    <w:rsid w:val="3BD513FF"/>
    <w:rsid w:val="3BD98FA8"/>
    <w:rsid w:val="3BE3EC79"/>
    <w:rsid w:val="3BE86B5F"/>
    <w:rsid w:val="3BF27005"/>
    <w:rsid w:val="3BF8BDD2"/>
    <w:rsid w:val="3BFA02DE"/>
    <w:rsid w:val="3BFDD09F"/>
    <w:rsid w:val="3BFF8384"/>
    <w:rsid w:val="3C03B5F0"/>
    <w:rsid w:val="3C09509E"/>
    <w:rsid w:val="3C0A5518"/>
    <w:rsid w:val="3C0ACD2C"/>
    <w:rsid w:val="3C0F42FF"/>
    <w:rsid w:val="3C1C122B"/>
    <w:rsid w:val="3C26A586"/>
    <w:rsid w:val="3C2B6D53"/>
    <w:rsid w:val="3C3C3F00"/>
    <w:rsid w:val="3C553B9C"/>
    <w:rsid w:val="3C569A00"/>
    <w:rsid w:val="3C6D5EA5"/>
    <w:rsid w:val="3C6D6871"/>
    <w:rsid w:val="3C6F84F3"/>
    <w:rsid w:val="3C6FF90D"/>
    <w:rsid w:val="3C79FB93"/>
    <w:rsid w:val="3C82B5E4"/>
    <w:rsid w:val="3C848DA7"/>
    <w:rsid w:val="3C8FAA96"/>
    <w:rsid w:val="3C9ACE9C"/>
    <w:rsid w:val="3CA5B500"/>
    <w:rsid w:val="3CB585BB"/>
    <w:rsid w:val="3CC22E03"/>
    <w:rsid w:val="3CC4D26C"/>
    <w:rsid w:val="3CC61BBA"/>
    <w:rsid w:val="3CD0945D"/>
    <w:rsid w:val="3CD5EEC9"/>
    <w:rsid w:val="3CD76825"/>
    <w:rsid w:val="3CDA8148"/>
    <w:rsid w:val="3CE46955"/>
    <w:rsid w:val="3CEFF47C"/>
    <w:rsid w:val="3CFB345D"/>
    <w:rsid w:val="3D0102BA"/>
    <w:rsid w:val="3D0976A2"/>
    <w:rsid w:val="3D0AA261"/>
    <w:rsid w:val="3D150286"/>
    <w:rsid w:val="3D180DC8"/>
    <w:rsid w:val="3D1CEE9D"/>
    <w:rsid w:val="3D28FA5A"/>
    <w:rsid w:val="3D2A419A"/>
    <w:rsid w:val="3D2A56A0"/>
    <w:rsid w:val="3D33ECA6"/>
    <w:rsid w:val="3D3FA0DF"/>
    <w:rsid w:val="3D41BC86"/>
    <w:rsid w:val="3D48B697"/>
    <w:rsid w:val="3D4DD891"/>
    <w:rsid w:val="3D5334B9"/>
    <w:rsid w:val="3D5A80AD"/>
    <w:rsid w:val="3D65C390"/>
    <w:rsid w:val="3D6638D3"/>
    <w:rsid w:val="3D6AF3A6"/>
    <w:rsid w:val="3D6D0800"/>
    <w:rsid w:val="3D6E720D"/>
    <w:rsid w:val="3D707AD4"/>
    <w:rsid w:val="3D715B70"/>
    <w:rsid w:val="3D719C76"/>
    <w:rsid w:val="3D71DCD0"/>
    <w:rsid w:val="3D7AE053"/>
    <w:rsid w:val="3D7FCC7A"/>
    <w:rsid w:val="3D86AC37"/>
    <w:rsid w:val="3D93E041"/>
    <w:rsid w:val="3D997857"/>
    <w:rsid w:val="3D9BF549"/>
    <w:rsid w:val="3D9C4774"/>
    <w:rsid w:val="3D9F0A27"/>
    <w:rsid w:val="3DA2A501"/>
    <w:rsid w:val="3DA3A47E"/>
    <w:rsid w:val="3DA3BE69"/>
    <w:rsid w:val="3DA682C7"/>
    <w:rsid w:val="3DA88ED8"/>
    <w:rsid w:val="3DAAFBE2"/>
    <w:rsid w:val="3DAB2D52"/>
    <w:rsid w:val="3DB7E4FE"/>
    <w:rsid w:val="3DBAC43A"/>
    <w:rsid w:val="3DBDBD31"/>
    <w:rsid w:val="3DC19AD4"/>
    <w:rsid w:val="3DC7543B"/>
    <w:rsid w:val="3DCB13C6"/>
    <w:rsid w:val="3DD0394E"/>
    <w:rsid w:val="3DD07A6B"/>
    <w:rsid w:val="3DD3CB9E"/>
    <w:rsid w:val="3DD85B54"/>
    <w:rsid w:val="3DDCD68C"/>
    <w:rsid w:val="3DDFC8CF"/>
    <w:rsid w:val="3DE5D214"/>
    <w:rsid w:val="3E0010BF"/>
    <w:rsid w:val="3E005AE1"/>
    <w:rsid w:val="3E04EF75"/>
    <w:rsid w:val="3E071624"/>
    <w:rsid w:val="3E0BD7FC"/>
    <w:rsid w:val="3E102E8B"/>
    <w:rsid w:val="3E127175"/>
    <w:rsid w:val="3E160364"/>
    <w:rsid w:val="3E17B4F1"/>
    <w:rsid w:val="3E1BA510"/>
    <w:rsid w:val="3E3515E2"/>
    <w:rsid w:val="3E37B834"/>
    <w:rsid w:val="3E3B10D7"/>
    <w:rsid w:val="3E3B439A"/>
    <w:rsid w:val="3E3DDC1C"/>
    <w:rsid w:val="3E3FC0D0"/>
    <w:rsid w:val="3E412462"/>
    <w:rsid w:val="3E43665C"/>
    <w:rsid w:val="3E664D39"/>
    <w:rsid w:val="3E7276C3"/>
    <w:rsid w:val="3E7EF332"/>
    <w:rsid w:val="3EA0F391"/>
    <w:rsid w:val="3EA0F4A1"/>
    <w:rsid w:val="3EA35B94"/>
    <w:rsid w:val="3EA6E709"/>
    <w:rsid w:val="3EA73D07"/>
    <w:rsid w:val="3EA9B124"/>
    <w:rsid w:val="3EAF3AD8"/>
    <w:rsid w:val="3ECC53CE"/>
    <w:rsid w:val="3ECDB8A4"/>
    <w:rsid w:val="3ED2071D"/>
    <w:rsid w:val="3ED6508A"/>
    <w:rsid w:val="3EDB8B6B"/>
    <w:rsid w:val="3EEBAEA7"/>
    <w:rsid w:val="3EF0359C"/>
    <w:rsid w:val="3EFA988F"/>
    <w:rsid w:val="3EFAA580"/>
    <w:rsid w:val="3F01362C"/>
    <w:rsid w:val="3F03BB08"/>
    <w:rsid w:val="3F0769EC"/>
    <w:rsid w:val="3F0DB97C"/>
    <w:rsid w:val="3F11AC16"/>
    <w:rsid w:val="3F21AB8B"/>
    <w:rsid w:val="3F22CDB4"/>
    <w:rsid w:val="3F23036B"/>
    <w:rsid w:val="3F230978"/>
    <w:rsid w:val="3F257D93"/>
    <w:rsid w:val="3F27EDA8"/>
    <w:rsid w:val="3F2ADA51"/>
    <w:rsid w:val="3F2B70AA"/>
    <w:rsid w:val="3F2FB671"/>
    <w:rsid w:val="3F34C2CF"/>
    <w:rsid w:val="3F39C6D1"/>
    <w:rsid w:val="3F433CBD"/>
    <w:rsid w:val="3F44C57B"/>
    <w:rsid w:val="3F463AFE"/>
    <w:rsid w:val="3F46CF63"/>
    <w:rsid w:val="3F46FE31"/>
    <w:rsid w:val="3F49246B"/>
    <w:rsid w:val="3F4DD341"/>
    <w:rsid w:val="3F526A4C"/>
    <w:rsid w:val="3F5B61E0"/>
    <w:rsid w:val="3F5BFB87"/>
    <w:rsid w:val="3F62E186"/>
    <w:rsid w:val="3F775B6B"/>
    <w:rsid w:val="3F7E26B8"/>
    <w:rsid w:val="3F7FCF63"/>
    <w:rsid w:val="3F838572"/>
    <w:rsid w:val="3F9C8CAB"/>
    <w:rsid w:val="3FA32542"/>
    <w:rsid w:val="3FB951B7"/>
    <w:rsid w:val="3FD07843"/>
    <w:rsid w:val="3FD17587"/>
    <w:rsid w:val="3FD5EA20"/>
    <w:rsid w:val="3FD879E7"/>
    <w:rsid w:val="3FDA171E"/>
    <w:rsid w:val="3FDD37C6"/>
    <w:rsid w:val="3FE53B72"/>
    <w:rsid w:val="3FEBA830"/>
    <w:rsid w:val="3FED4A96"/>
    <w:rsid w:val="3FF49251"/>
    <w:rsid w:val="3FF7E3A8"/>
    <w:rsid w:val="3FF81D78"/>
    <w:rsid w:val="3FF878E4"/>
    <w:rsid w:val="3FFF9C70"/>
    <w:rsid w:val="40011456"/>
    <w:rsid w:val="4013AA6B"/>
    <w:rsid w:val="40156961"/>
    <w:rsid w:val="4015FAB1"/>
    <w:rsid w:val="401F904B"/>
    <w:rsid w:val="4020AB8D"/>
    <w:rsid w:val="4025291A"/>
    <w:rsid w:val="4028AC3A"/>
    <w:rsid w:val="402AECEE"/>
    <w:rsid w:val="402E55DE"/>
    <w:rsid w:val="40380A52"/>
    <w:rsid w:val="403C9AD8"/>
    <w:rsid w:val="403CF182"/>
    <w:rsid w:val="4045E9B4"/>
    <w:rsid w:val="404BCC87"/>
    <w:rsid w:val="404C6345"/>
    <w:rsid w:val="40566183"/>
    <w:rsid w:val="405AD1D3"/>
    <w:rsid w:val="4062E1E4"/>
    <w:rsid w:val="406C0F8E"/>
    <w:rsid w:val="40789B00"/>
    <w:rsid w:val="407AE423"/>
    <w:rsid w:val="407EDBAD"/>
    <w:rsid w:val="408B6FA9"/>
    <w:rsid w:val="40966559"/>
    <w:rsid w:val="40972CDB"/>
    <w:rsid w:val="40A1037E"/>
    <w:rsid w:val="40A3C6B7"/>
    <w:rsid w:val="40A46D2C"/>
    <w:rsid w:val="40BCACA0"/>
    <w:rsid w:val="40CED699"/>
    <w:rsid w:val="40D17F09"/>
    <w:rsid w:val="40D31FDA"/>
    <w:rsid w:val="40D83A68"/>
    <w:rsid w:val="40D94EDB"/>
    <w:rsid w:val="40E3EC30"/>
    <w:rsid w:val="40EBC766"/>
    <w:rsid w:val="40F2664C"/>
    <w:rsid w:val="40FBF117"/>
    <w:rsid w:val="40FFC172"/>
    <w:rsid w:val="4104FFCB"/>
    <w:rsid w:val="41083A63"/>
    <w:rsid w:val="410EF9BF"/>
    <w:rsid w:val="41235092"/>
    <w:rsid w:val="412A1C2E"/>
    <w:rsid w:val="412C4E64"/>
    <w:rsid w:val="4136DCB0"/>
    <w:rsid w:val="413BE222"/>
    <w:rsid w:val="413E0499"/>
    <w:rsid w:val="4144A1FE"/>
    <w:rsid w:val="4154082E"/>
    <w:rsid w:val="41593B0D"/>
    <w:rsid w:val="41613EC8"/>
    <w:rsid w:val="416281DC"/>
    <w:rsid w:val="418CAFA7"/>
    <w:rsid w:val="418DB0C2"/>
    <w:rsid w:val="419DBE28"/>
    <w:rsid w:val="41A28735"/>
    <w:rsid w:val="41A4C6CB"/>
    <w:rsid w:val="41AE57B5"/>
    <w:rsid w:val="41BFEA7A"/>
    <w:rsid w:val="41C911C4"/>
    <w:rsid w:val="41CF65FB"/>
    <w:rsid w:val="41D0516A"/>
    <w:rsid w:val="41D595AB"/>
    <w:rsid w:val="41E9DFBE"/>
    <w:rsid w:val="41EBC8F6"/>
    <w:rsid w:val="41EE020F"/>
    <w:rsid w:val="41EE6889"/>
    <w:rsid w:val="41F414AA"/>
    <w:rsid w:val="41F44431"/>
    <w:rsid w:val="41F6E962"/>
    <w:rsid w:val="4207436F"/>
    <w:rsid w:val="420A224E"/>
    <w:rsid w:val="420D0A35"/>
    <w:rsid w:val="420D0AC3"/>
    <w:rsid w:val="421820FE"/>
    <w:rsid w:val="421C8145"/>
    <w:rsid w:val="421F56A9"/>
    <w:rsid w:val="422621EE"/>
    <w:rsid w:val="422CADA0"/>
    <w:rsid w:val="422D208E"/>
    <w:rsid w:val="423461AD"/>
    <w:rsid w:val="4247C191"/>
    <w:rsid w:val="424C2900"/>
    <w:rsid w:val="4250E592"/>
    <w:rsid w:val="42521CED"/>
    <w:rsid w:val="42546901"/>
    <w:rsid w:val="42562CCE"/>
    <w:rsid w:val="425AB74A"/>
    <w:rsid w:val="426094E8"/>
    <w:rsid w:val="42624F80"/>
    <w:rsid w:val="426421DA"/>
    <w:rsid w:val="42660DE6"/>
    <w:rsid w:val="42695790"/>
    <w:rsid w:val="426DDA12"/>
    <w:rsid w:val="426FDE79"/>
    <w:rsid w:val="42717E1F"/>
    <w:rsid w:val="427540C1"/>
    <w:rsid w:val="427EA987"/>
    <w:rsid w:val="42850C7F"/>
    <w:rsid w:val="42988503"/>
    <w:rsid w:val="429A3A13"/>
    <w:rsid w:val="42A7F929"/>
    <w:rsid w:val="42AFE965"/>
    <w:rsid w:val="42B4A7E9"/>
    <w:rsid w:val="42BB7FC6"/>
    <w:rsid w:val="42BC3256"/>
    <w:rsid w:val="42C77FA0"/>
    <w:rsid w:val="42D063F3"/>
    <w:rsid w:val="42D601A4"/>
    <w:rsid w:val="42D6C6DA"/>
    <w:rsid w:val="42E050CE"/>
    <w:rsid w:val="42E63B2B"/>
    <w:rsid w:val="42E86124"/>
    <w:rsid w:val="42ED1A4C"/>
    <w:rsid w:val="42F31088"/>
    <w:rsid w:val="42F4A244"/>
    <w:rsid w:val="43010E77"/>
    <w:rsid w:val="43058209"/>
    <w:rsid w:val="430B7C41"/>
    <w:rsid w:val="430F54A9"/>
    <w:rsid w:val="4314FDF2"/>
    <w:rsid w:val="431757F1"/>
    <w:rsid w:val="4317939C"/>
    <w:rsid w:val="4317EAEF"/>
    <w:rsid w:val="43201AE8"/>
    <w:rsid w:val="4325253A"/>
    <w:rsid w:val="43283EDC"/>
    <w:rsid w:val="43312A2C"/>
    <w:rsid w:val="433CE035"/>
    <w:rsid w:val="433D5889"/>
    <w:rsid w:val="43400B20"/>
    <w:rsid w:val="4346EB30"/>
    <w:rsid w:val="4351720D"/>
    <w:rsid w:val="4352F733"/>
    <w:rsid w:val="43573AF0"/>
    <w:rsid w:val="435BEEA2"/>
    <w:rsid w:val="4367FF84"/>
    <w:rsid w:val="436C381C"/>
    <w:rsid w:val="436E2904"/>
    <w:rsid w:val="4371C2F2"/>
    <w:rsid w:val="43822674"/>
    <w:rsid w:val="43A25A19"/>
    <w:rsid w:val="43B3A196"/>
    <w:rsid w:val="43B5F106"/>
    <w:rsid w:val="43C1FCA6"/>
    <w:rsid w:val="43C7AABD"/>
    <w:rsid w:val="43CA25BA"/>
    <w:rsid w:val="43D5B189"/>
    <w:rsid w:val="43DD7A62"/>
    <w:rsid w:val="43E5C493"/>
    <w:rsid w:val="43E6F4D6"/>
    <w:rsid w:val="43EBA4DB"/>
    <w:rsid w:val="43EFEAF8"/>
    <w:rsid w:val="43F0DCB9"/>
    <w:rsid w:val="43F336E0"/>
    <w:rsid w:val="43F64BA0"/>
    <w:rsid w:val="43F9A8D9"/>
    <w:rsid w:val="4401267E"/>
    <w:rsid w:val="441119BF"/>
    <w:rsid w:val="44114B40"/>
    <w:rsid w:val="4416B9A2"/>
    <w:rsid w:val="441D38FD"/>
    <w:rsid w:val="44263F6F"/>
    <w:rsid w:val="442C349F"/>
    <w:rsid w:val="442CD672"/>
    <w:rsid w:val="442FF46B"/>
    <w:rsid w:val="4435A7C8"/>
    <w:rsid w:val="4439E6A5"/>
    <w:rsid w:val="443B59FF"/>
    <w:rsid w:val="443EEFB9"/>
    <w:rsid w:val="443F1B5E"/>
    <w:rsid w:val="443F2377"/>
    <w:rsid w:val="4448442E"/>
    <w:rsid w:val="444A1A38"/>
    <w:rsid w:val="444A8B63"/>
    <w:rsid w:val="444ACD66"/>
    <w:rsid w:val="444F1747"/>
    <w:rsid w:val="444F3E2B"/>
    <w:rsid w:val="44577BB5"/>
    <w:rsid w:val="4477BD5A"/>
    <w:rsid w:val="4477E209"/>
    <w:rsid w:val="4482EA5A"/>
    <w:rsid w:val="4486F888"/>
    <w:rsid w:val="44972C26"/>
    <w:rsid w:val="44B1462D"/>
    <w:rsid w:val="44B4FF30"/>
    <w:rsid w:val="44C13E69"/>
    <w:rsid w:val="44C1D954"/>
    <w:rsid w:val="44C81688"/>
    <w:rsid w:val="44CA6A58"/>
    <w:rsid w:val="44D59986"/>
    <w:rsid w:val="44DA5711"/>
    <w:rsid w:val="44DCBBF4"/>
    <w:rsid w:val="44E56DE2"/>
    <w:rsid w:val="44F2E048"/>
    <w:rsid w:val="44FDD543"/>
    <w:rsid w:val="45054710"/>
    <w:rsid w:val="4505D56A"/>
    <w:rsid w:val="4505F980"/>
    <w:rsid w:val="4507B356"/>
    <w:rsid w:val="450E4672"/>
    <w:rsid w:val="450E9E76"/>
    <w:rsid w:val="451363AC"/>
    <w:rsid w:val="45150388"/>
    <w:rsid w:val="4519E4BF"/>
    <w:rsid w:val="451A8CDC"/>
    <w:rsid w:val="451A9290"/>
    <w:rsid w:val="451EA2E9"/>
    <w:rsid w:val="451F01EB"/>
    <w:rsid w:val="45200BF4"/>
    <w:rsid w:val="4520689F"/>
    <w:rsid w:val="4520FD13"/>
    <w:rsid w:val="452405FD"/>
    <w:rsid w:val="45293F2D"/>
    <w:rsid w:val="4529767D"/>
    <w:rsid w:val="4531C6F0"/>
    <w:rsid w:val="453408C4"/>
    <w:rsid w:val="453DE04D"/>
    <w:rsid w:val="453E0A9D"/>
    <w:rsid w:val="454872DA"/>
    <w:rsid w:val="454DAD7D"/>
    <w:rsid w:val="455589D2"/>
    <w:rsid w:val="455DE6E3"/>
    <w:rsid w:val="456014EE"/>
    <w:rsid w:val="4561388F"/>
    <w:rsid w:val="456144E8"/>
    <w:rsid w:val="4565454F"/>
    <w:rsid w:val="45656F77"/>
    <w:rsid w:val="456DDAC7"/>
    <w:rsid w:val="457DB4E3"/>
    <w:rsid w:val="458915B1"/>
    <w:rsid w:val="458DD60B"/>
    <w:rsid w:val="459000D7"/>
    <w:rsid w:val="4594FA4B"/>
    <w:rsid w:val="459BC6FB"/>
    <w:rsid w:val="459C0A91"/>
    <w:rsid w:val="45A54FDA"/>
    <w:rsid w:val="45ACFF70"/>
    <w:rsid w:val="45AEED29"/>
    <w:rsid w:val="45B09734"/>
    <w:rsid w:val="45C1613D"/>
    <w:rsid w:val="45CB9615"/>
    <w:rsid w:val="45CD914F"/>
    <w:rsid w:val="45CE368A"/>
    <w:rsid w:val="45D2B32A"/>
    <w:rsid w:val="45D70913"/>
    <w:rsid w:val="45DCB2A5"/>
    <w:rsid w:val="45E2CFC8"/>
    <w:rsid w:val="45E3758A"/>
    <w:rsid w:val="45E5B263"/>
    <w:rsid w:val="45F494E3"/>
    <w:rsid w:val="45FC8803"/>
    <w:rsid w:val="4602EB01"/>
    <w:rsid w:val="46072BAE"/>
    <w:rsid w:val="4608E522"/>
    <w:rsid w:val="460E3884"/>
    <w:rsid w:val="460FE5EC"/>
    <w:rsid w:val="461095E2"/>
    <w:rsid w:val="4615611B"/>
    <w:rsid w:val="4625D071"/>
    <w:rsid w:val="462D6220"/>
    <w:rsid w:val="462E9670"/>
    <w:rsid w:val="463EE799"/>
    <w:rsid w:val="4647089D"/>
    <w:rsid w:val="46491C1A"/>
    <w:rsid w:val="464ED647"/>
    <w:rsid w:val="465A3BF0"/>
    <w:rsid w:val="465C60EB"/>
    <w:rsid w:val="4661057D"/>
    <w:rsid w:val="46646062"/>
    <w:rsid w:val="46693106"/>
    <w:rsid w:val="4674B5E5"/>
    <w:rsid w:val="467A5A66"/>
    <w:rsid w:val="467A63C7"/>
    <w:rsid w:val="468F5839"/>
    <w:rsid w:val="46B2009E"/>
    <w:rsid w:val="46B91626"/>
    <w:rsid w:val="46BD5EEA"/>
    <w:rsid w:val="46C02AEE"/>
    <w:rsid w:val="46C3431E"/>
    <w:rsid w:val="46D5F279"/>
    <w:rsid w:val="46D6FFEA"/>
    <w:rsid w:val="46D70AE0"/>
    <w:rsid w:val="46D79599"/>
    <w:rsid w:val="46DC84B9"/>
    <w:rsid w:val="46DCFA84"/>
    <w:rsid w:val="46E449A7"/>
    <w:rsid w:val="46E8E337"/>
    <w:rsid w:val="46EE0B55"/>
    <w:rsid w:val="46F12F29"/>
    <w:rsid w:val="47039786"/>
    <w:rsid w:val="4705F291"/>
    <w:rsid w:val="470974BA"/>
    <w:rsid w:val="470BE042"/>
    <w:rsid w:val="470D29FE"/>
    <w:rsid w:val="47119055"/>
    <w:rsid w:val="471D409F"/>
    <w:rsid w:val="471EEBD4"/>
    <w:rsid w:val="4722B21A"/>
    <w:rsid w:val="472A1DD8"/>
    <w:rsid w:val="47337572"/>
    <w:rsid w:val="473513DE"/>
    <w:rsid w:val="4738C3C2"/>
    <w:rsid w:val="4742E964"/>
    <w:rsid w:val="47483261"/>
    <w:rsid w:val="4750349E"/>
    <w:rsid w:val="47537FA5"/>
    <w:rsid w:val="4758631F"/>
    <w:rsid w:val="47599EC4"/>
    <w:rsid w:val="4761496E"/>
    <w:rsid w:val="476675D5"/>
    <w:rsid w:val="47685714"/>
    <w:rsid w:val="47692F5F"/>
    <w:rsid w:val="47864669"/>
    <w:rsid w:val="478839C0"/>
    <w:rsid w:val="478ED98B"/>
    <w:rsid w:val="478F2F88"/>
    <w:rsid w:val="479218D9"/>
    <w:rsid w:val="4797625D"/>
    <w:rsid w:val="479CFAD2"/>
    <w:rsid w:val="479F80F5"/>
    <w:rsid w:val="47A4CC1A"/>
    <w:rsid w:val="47AE7B8A"/>
    <w:rsid w:val="47B10AA4"/>
    <w:rsid w:val="47BB03CB"/>
    <w:rsid w:val="47BFC13A"/>
    <w:rsid w:val="47C246D3"/>
    <w:rsid w:val="47C7BCD6"/>
    <w:rsid w:val="47CCD331"/>
    <w:rsid w:val="47D1B0B9"/>
    <w:rsid w:val="47D68696"/>
    <w:rsid w:val="47D91958"/>
    <w:rsid w:val="47DB248C"/>
    <w:rsid w:val="47EA37A3"/>
    <w:rsid w:val="47FDDD46"/>
    <w:rsid w:val="480FA5B3"/>
    <w:rsid w:val="4810D08D"/>
    <w:rsid w:val="4813A1C0"/>
    <w:rsid w:val="481550C7"/>
    <w:rsid w:val="481D9A34"/>
    <w:rsid w:val="482B9F1C"/>
    <w:rsid w:val="4841ADBB"/>
    <w:rsid w:val="48465D6B"/>
    <w:rsid w:val="485DC712"/>
    <w:rsid w:val="485E5E29"/>
    <w:rsid w:val="485E74F6"/>
    <w:rsid w:val="48631136"/>
    <w:rsid w:val="486A5A92"/>
    <w:rsid w:val="486E1E93"/>
    <w:rsid w:val="486EF0CB"/>
    <w:rsid w:val="48896400"/>
    <w:rsid w:val="488BE348"/>
    <w:rsid w:val="489C7EE4"/>
    <w:rsid w:val="48A0A5BD"/>
    <w:rsid w:val="48A26DF8"/>
    <w:rsid w:val="48A7DA27"/>
    <w:rsid w:val="48A804F9"/>
    <w:rsid w:val="48B37DEA"/>
    <w:rsid w:val="48BDE26D"/>
    <w:rsid w:val="48BEBEE2"/>
    <w:rsid w:val="48C475C5"/>
    <w:rsid w:val="48C7B908"/>
    <w:rsid w:val="48CA8E2E"/>
    <w:rsid w:val="48D15800"/>
    <w:rsid w:val="48DB2BC3"/>
    <w:rsid w:val="48E15B83"/>
    <w:rsid w:val="48E45A7C"/>
    <w:rsid w:val="48E93DA7"/>
    <w:rsid w:val="48FC3B06"/>
    <w:rsid w:val="49006C67"/>
    <w:rsid w:val="49008BF9"/>
    <w:rsid w:val="49009AA6"/>
    <w:rsid w:val="49053154"/>
    <w:rsid w:val="4915906B"/>
    <w:rsid w:val="492704AB"/>
    <w:rsid w:val="4928BA08"/>
    <w:rsid w:val="492AF51F"/>
    <w:rsid w:val="492C33A3"/>
    <w:rsid w:val="492C3908"/>
    <w:rsid w:val="493128DE"/>
    <w:rsid w:val="49392468"/>
    <w:rsid w:val="493D45B1"/>
    <w:rsid w:val="493FB62F"/>
    <w:rsid w:val="494D7E10"/>
    <w:rsid w:val="494D8237"/>
    <w:rsid w:val="494E228C"/>
    <w:rsid w:val="4953140F"/>
    <w:rsid w:val="49587CB5"/>
    <w:rsid w:val="495887C7"/>
    <w:rsid w:val="495A0486"/>
    <w:rsid w:val="495A0AED"/>
    <w:rsid w:val="4964DEE8"/>
    <w:rsid w:val="49656091"/>
    <w:rsid w:val="496A9ACD"/>
    <w:rsid w:val="4970067F"/>
    <w:rsid w:val="49735AD1"/>
    <w:rsid w:val="4978E6FB"/>
    <w:rsid w:val="497DD515"/>
    <w:rsid w:val="499EDBE5"/>
    <w:rsid w:val="49ABEEF8"/>
    <w:rsid w:val="49BA89CF"/>
    <w:rsid w:val="49BA9F19"/>
    <w:rsid w:val="49C3CBAD"/>
    <w:rsid w:val="49C7E7E9"/>
    <w:rsid w:val="49C97651"/>
    <w:rsid w:val="49CB6496"/>
    <w:rsid w:val="49D019CE"/>
    <w:rsid w:val="49D85DB9"/>
    <w:rsid w:val="49DC9C11"/>
    <w:rsid w:val="49F6E597"/>
    <w:rsid w:val="4A046CBE"/>
    <w:rsid w:val="4A0741AB"/>
    <w:rsid w:val="4A0B583D"/>
    <w:rsid w:val="4A0D1CF5"/>
    <w:rsid w:val="4A0FE2DC"/>
    <w:rsid w:val="4A1DE59E"/>
    <w:rsid w:val="4A21795D"/>
    <w:rsid w:val="4A24F9C5"/>
    <w:rsid w:val="4A289E6B"/>
    <w:rsid w:val="4A295CFC"/>
    <w:rsid w:val="4A3063E7"/>
    <w:rsid w:val="4A31CBFB"/>
    <w:rsid w:val="4A337D59"/>
    <w:rsid w:val="4A44161C"/>
    <w:rsid w:val="4A46807B"/>
    <w:rsid w:val="4A484361"/>
    <w:rsid w:val="4A4AE06D"/>
    <w:rsid w:val="4A697282"/>
    <w:rsid w:val="4A69DB3B"/>
    <w:rsid w:val="4A6E5BEA"/>
    <w:rsid w:val="4A711250"/>
    <w:rsid w:val="4A75BEF9"/>
    <w:rsid w:val="4A79E7EC"/>
    <w:rsid w:val="4A889E22"/>
    <w:rsid w:val="4A941E2A"/>
    <w:rsid w:val="4A9625D8"/>
    <w:rsid w:val="4A98AAA2"/>
    <w:rsid w:val="4A9CB9F0"/>
    <w:rsid w:val="4AA4F399"/>
    <w:rsid w:val="4AAC4D80"/>
    <w:rsid w:val="4AB67003"/>
    <w:rsid w:val="4AB7C672"/>
    <w:rsid w:val="4AC03F03"/>
    <w:rsid w:val="4AC9B44D"/>
    <w:rsid w:val="4AD1597E"/>
    <w:rsid w:val="4AD2BC65"/>
    <w:rsid w:val="4AD5383E"/>
    <w:rsid w:val="4AD6E4FD"/>
    <w:rsid w:val="4AD7CC0C"/>
    <w:rsid w:val="4AE09523"/>
    <w:rsid w:val="4AE9C01D"/>
    <w:rsid w:val="4AED601B"/>
    <w:rsid w:val="4AF3C5B7"/>
    <w:rsid w:val="4AF8CAA6"/>
    <w:rsid w:val="4AFD8A29"/>
    <w:rsid w:val="4B081703"/>
    <w:rsid w:val="4B110E07"/>
    <w:rsid w:val="4B1D750E"/>
    <w:rsid w:val="4B24655C"/>
    <w:rsid w:val="4B2AE25E"/>
    <w:rsid w:val="4B2C7B2C"/>
    <w:rsid w:val="4B3DC216"/>
    <w:rsid w:val="4B46FE3E"/>
    <w:rsid w:val="4B4900FE"/>
    <w:rsid w:val="4B4E2ABB"/>
    <w:rsid w:val="4B5B73AF"/>
    <w:rsid w:val="4B5CE48D"/>
    <w:rsid w:val="4B6B187E"/>
    <w:rsid w:val="4B6B1CB1"/>
    <w:rsid w:val="4B6EF35E"/>
    <w:rsid w:val="4B796909"/>
    <w:rsid w:val="4B7DA0CD"/>
    <w:rsid w:val="4B863AFA"/>
    <w:rsid w:val="4B8B23D4"/>
    <w:rsid w:val="4B9BE8D1"/>
    <w:rsid w:val="4B9DF720"/>
    <w:rsid w:val="4B9EA1A2"/>
    <w:rsid w:val="4BA2C16D"/>
    <w:rsid w:val="4BB64304"/>
    <w:rsid w:val="4BC0AE95"/>
    <w:rsid w:val="4BC4983F"/>
    <w:rsid w:val="4BC77503"/>
    <w:rsid w:val="4BCAEA47"/>
    <w:rsid w:val="4BCC0A8D"/>
    <w:rsid w:val="4BD21310"/>
    <w:rsid w:val="4BD4AEE2"/>
    <w:rsid w:val="4BD557EB"/>
    <w:rsid w:val="4BD5BFD6"/>
    <w:rsid w:val="4BD63DF8"/>
    <w:rsid w:val="4BD837A4"/>
    <w:rsid w:val="4BDB4E3F"/>
    <w:rsid w:val="4BDD3790"/>
    <w:rsid w:val="4BF3CECC"/>
    <w:rsid w:val="4BFFFD3B"/>
    <w:rsid w:val="4C04D6BC"/>
    <w:rsid w:val="4C093E92"/>
    <w:rsid w:val="4C0A24F3"/>
    <w:rsid w:val="4C0E98B3"/>
    <w:rsid w:val="4C1896F0"/>
    <w:rsid w:val="4C220DCC"/>
    <w:rsid w:val="4C26FC0B"/>
    <w:rsid w:val="4C2CE1A7"/>
    <w:rsid w:val="4C2D5054"/>
    <w:rsid w:val="4C36FFE5"/>
    <w:rsid w:val="4C394987"/>
    <w:rsid w:val="4C5C700B"/>
    <w:rsid w:val="4C643B56"/>
    <w:rsid w:val="4C64F7CC"/>
    <w:rsid w:val="4C6642B2"/>
    <w:rsid w:val="4C6FCA17"/>
    <w:rsid w:val="4C704876"/>
    <w:rsid w:val="4C70A688"/>
    <w:rsid w:val="4C789915"/>
    <w:rsid w:val="4C7AC0D7"/>
    <w:rsid w:val="4C87419A"/>
    <w:rsid w:val="4C9CC2D5"/>
    <w:rsid w:val="4C9F52B0"/>
    <w:rsid w:val="4CA01733"/>
    <w:rsid w:val="4CA2DBB3"/>
    <w:rsid w:val="4CABA834"/>
    <w:rsid w:val="4CB33CC0"/>
    <w:rsid w:val="4CB9D27D"/>
    <w:rsid w:val="4CC4C1CE"/>
    <w:rsid w:val="4CC4E45A"/>
    <w:rsid w:val="4CC577CD"/>
    <w:rsid w:val="4CD35E5F"/>
    <w:rsid w:val="4CD67578"/>
    <w:rsid w:val="4CDD8FE3"/>
    <w:rsid w:val="4CDF49FC"/>
    <w:rsid w:val="4CEB7351"/>
    <w:rsid w:val="4CEE61E8"/>
    <w:rsid w:val="4CEF3490"/>
    <w:rsid w:val="4D03E6AF"/>
    <w:rsid w:val="4D05EA02"/>
    <w:rsid w:val="4D13C757"/>
    <w:rsid w:val="4D1CD63D"/>
    <w:rsid w:val="4D1E22FA"/>
    <w:rsid w:val="4D1FEB81"/>
    <w:rsid w:val="4D23B19E"/>
    <w:rsid w:val="4D2E6E90"/>
    <w:rsid w:val="4D2ECDE3"/>
    <w:rsid w:val="4D36616F"/>
    <w:rsid w:val="4D380F43"/>
    <w:rsid w:val="4D3B422E"/>
    <w:rsid w:val="4D44330E"/>
    <w:rsid w:val="4D44C5BF"/>
    <w:rsid w:val="4D465F94"/>
    <w:rsid w:val="4D489A77"/>
    <w:rsid w:val="4D4FA6F2"/>
    <w:rsid w:val="4D503B52"/>
    <w:rsid w:val="4D53BCA1"/>
    <w:rsid w:val="4D5A6EA3"/>
    <w:rsid w:val="4D5EB9E9"/>
    <w:rsid w:val="4D668ABD"/>
    <w:rsid w:val="4D6AD40F"/>
    <w:rsid w:val="4D71F882"/>
    <w:rsid w:val="4D744325"/>
    <w:rsid w:val="4D7A260F"/>
    <w:rsid w:val="4D86E0CF"/>
    <w:rsid w:val="4D929016"/>
    <w:rsid w:val="4D9E2256"/>
    <w:rsid w:val="4D9EC192"/>
    <w:rsid w:val="4DAAE132"/>
    <w:rsid w:val="4DB4C652"/>
    <w:rsid w:val="4DB75B0C"/>
    <w:rsid w:val="4DD89BD1"/>
    <w:rsid w:val="4DD9E1FE"/>
    <w:rsid w:val="4DDA73F2"/>
    <w:rsid w:val="4DE2D986"/>
    <w:rsid w:val="4DE49DE0"/>
    <w:rsid w:val="4DF3C712"/>
    <w:rsid w:val="4DF4A473"/>
    <w:rsid w:val="4DFE9425"/>
    <w:rsid w:val="4E0880AC"/>
    <w:rsid w:val="4E0E87CD"/>
    <w:rsid w:val="4E1568C7"/>
    <w:rsid w:val="4E289AAE"/>
    <w:rsid w:val="4E2911D1"/>
    <w:rsid w:val="4E2A789A"/>
    <w:rsid w:val="4E2C2EB7"/>
    <w:rsid w:val="4E2C41C2"/>
    <w:rsid w:val="4E40B6C9"/>
    <w:rsid w:val="4E5164B4"/>
    <w:rsid w:val="4E5318AD"/>
    <w:rsid w:val="4E5AF1EC"/>
    <w:rsid w:val="4E655DE5"/>
    <w:rsid w:val="4E6BB8AF"/>
    <w:rsid w:val="4E6D85FD"/>
    <w:rsid w:val="4E6DB71E"/>
    <w:rsid w:val="4E6F23C6"/>
    <w:rsid w:val="4E7573F4"/>
    <w:rsid w:val="4E798998"/>
    <w:rsid w:val="4E7A1AAC"/>
    <w:rsid w:val="4E7CD947"/>
    <w:rsid w:val="4E8BC211"/>
    <w:rsid w:val="4E952F38"/>
    <w:rsid w:val="4EAB3459"/>
    <w:rsid w:val="4EB3C58A"/>
    <w:rsid w:val="4EB530FC"/>
    <w:rsid w:val="4EBEB7D9"/>
    <w:rsid w:val="4ECD8BAE"/>
    <w:rsid w:val="4ED1B0DB"/>
    <w:rsid w:val="4ED42BF3"/>
    <w:rsid w:val="4EE0F9DB"/>
    <w:rsid w:val="4EE4CC45"/>
    <w:rsid w:val="4EEE8854"/>
    <w:rsid w:val="4EEFB5C5"/>
    <w:rsid w:val="4EFCAF48"/>
    <w:rsid w:val="4F0070F3"/>
    <w:rsid w:val="4F02872E"/>
    <w:rsid w:val="4F0BAAC8"/>
    <w:rsid w:val="4F0CD560"/>
    <w:rsid w:val="4F0FA26A"/>
    <w:rsid w:val="4F101A95"/>
    <w:rsid w:val="4F18B876"/>
    <w:rsid w:val="4F1E297D"/>
    <w:rsid w:val="4F2C2B5C"/>
    <w:rsid w:val="4F34ABDF"/>
    <w:rsid w:val="4F4096B3"/>
    <w:rsid w:val="4F41B5D3"/>
    <w:rsid w:val="4F4C1504"/>
    <w:rsid w:val="4F522155"/>
    <w:rsid w:val="4F523865"/>
    <w:rsid w:val="4F539624"/>
    <w:rsid w:val="4F5994FA"/>
    <w:rsid w:val="4F60F7A4"/>
    <w:rsid w:val="4F642464"/>
    <w:rsid w:val="4F76DDE5"/>
    <w:rsid w:val="4F7E6175"/>
    <w:rsid w:val="4F84564C"/>
    <w:rsid w:val="4F9DB0A1"/>
    <w:rsid w:val="4FA6EC2D"/>
    <w:rsid w:val="4FB1E62E"/>
    <w:rsid w:val="4FB3EE5C"/>
    <w:rsid w:val="4FBD4232"/>
    <w:rsid w:val="4FC1B2AB"/>
    <w:rsid w:val="4FC1E9DA"/>
    <w:rsid w:val="4FC2D74E"/>
    <w:rsid w:val="4FC33BDD"/>
    <w:rsid w:val="4FC34641"/>
    <w:rsid w:val="4FC850BD"/>
    <w:rsid w:val="4FCCB614"/>
    <w:rsid w:val="4FD185B5"/>
    <w:rsid w:val="4FD5DBA0"/>
    <w:rsid w:val="4FD9C5EC"/>
    <w:rsid w:val="4FDA2757"/>
    <w:rsid w:val="4FE151A7"/>
    <w:rsid w:val="4FEA84FA"/>
    <w:rsid w:val="4FF67E05"/>
    <w:rsid w:val="4FFA9D5C"/>
    <w:rsid w:val="4FFECBDB"/>
    <w:rsid w:val="4FFFA092"/>
    <w:rsid w:val="4FFFB811"/>
    <w:rsid w:val="50031B73"/>
    <w:rsid w:val="5004F811"/>
    <w:rsid w:val="5007C32B"/>
    <w:rsid w:val="5008B2B4"/>
    <w:rsid w:val="500B54CF"/>
    <w:rsid w:val="5014B119"/>
    <w:rsid w:val="50185E10"/>
    <w:rsid w:val="5018B85A"/>
    <w:rsid w:val="501938A2"/>
    <w:rsid w:val="501BAF33"/>
    <w:rsid w:val="501BEEC3"/>
    <w:rsid w:val="501ECDAE"/>
    <w:rsid w:val="5024F8DF"/>
    <w:rsid w:val="504128BB"/>
    <w:rsid w:val="504A30E2"/>
    <w:rsid w:val="504FAC9A"/>
    <w:rsid w:val="5054A14A"/>
    <w:rsid w:val="505FA0A6"/>
    <w:rsid w:val="506183A4"/>
    <w:rsid w:val="5064A4D8"/>
    <w:rsid w:val="5065CD60"/>
    <w:rsid w:val="506ACE1B"/>
    <w:rsid w:val="50701754"/>
    <w:rsid w:val="5071A754"/>
    <w:rsid w:val="5073270E"/>
    <w:rsid w:val="50734B94"/>
    <w:rsid w:val="5075C0CC"/>
    <w:rsid w:val="5078483C"/>
    <w:rsid w:val="507AB860"/>
    <w:rsid w:val="507BA355"/>
    <w:rsid w:val="507C3FAE"/>
    <w:rsid w:val="5084ACE9"/>
    <w:rsid w:val="508C102A"/>
    <w:rsid w:val="5092E4D1"/>
    <w:rsid w:val="509B318D"/>
    <w:rsid w:val="509EDEC0"/>
    <w:rsid w:val="509FD163"/>
    <w:rsid w:val="50A4225B"/>
    <w:rsid w:val="50A439DC"/>
    <w:rsid w:val="50ABDD5C"/>
    <w:rsid w:val="50B93DF3"/>
    <w:rsid w:val="50BE44F9"/>
    <w:rsid w:val="50C576A9"/>
    <w:rsid w:val="50CB8EA7"/>
    <w:rsid w:val="50D6E50C"/>
    <w:rsid w:val="50E00C06"/>
    <w:rsid w:val="50E9F56C"/>
    <w:rsid w:val="50EEC6E0"/>
    <w:rsid w:val="50F570CF"/>
    <w:rsid w:val="50F7FC85"/>
    <w:rsid w:val="510062EB"/>
    <w:rsid w:val="5104F2A6"/>
    <w:rsid w:val="510718CB"/>
    <w:rsid w:val="51078934"/>
    <w:rsid w:val="5115315B"/>
    <w:rsid w:val="511B235A"/>
    <w:rsid w:val="5129BAE2"/>
    <w:rsid w:val="512D792B"/>
    <w:rsid w:val="513B567E"/>
    <w:rsid w:val="51408B18"/>
    <w:rsid w:val="51438533"/>
    <w:rsid w:val="51496F73"/>
    <w:rsid w:val="514CCCF9"/>
    <w:rsid w:val="5153DC8A"/>
    <w:rsid w:val="515C78FB"/>
    <w:rsid w:val="5161E177"/>
    <w:rsid w:val="516E6D04"/>
    <w:rsid w:val="51720D4C"/>
    <w:rsid w:val="51724BFD"/>
    <w:rsid w:val="51765589"/>
    <w:rsid w:val="517920B2"/>
    <w:rsid w:val="517EC97F"/>
    <w:rsid w:val="518B88CA"/>
    <w:rsid w:val="518DE7F4"/>
    <w:rsid w:val="518F0199"/>
    <w:rsid w:val="5194A811"/>
    <w:rsid w:val="519840BC"/>
    <w:rsid w:val="519A9F4A"/>
    <w:rsid w:val="51ABDFC1"/>
    <w:rsid w:val="51B2149B"/>
    <w:rsid w:val="51B75E84"/>
    <w:rsid w:val="51BCB28B"/>
    <w:rsid w:val="51BCF39A"/>
    <w:rsid w:val="51BD6238"/>
    <w:rsid w:val="51BDA566"/>
    <w:rsid w:val="51C59E54"/>
    <w:rsid w:val="51C9DA81"/>
    <w:rsid w:val="51D4D488"/>
    <w:rsid w:val="51D764B0"/>
    <w:rsid w:val="51DB585B"/>
    <w:rsid w:val="51E917CA"/>
    <w:rsid w:val="51F1F998"/>
    <w:rsid w:val="51F36C4C"/>
    <w:rsid w:val="521747FD"/>
    <w:rsid w:val="521AFADB"/>
    <w:rsid w:val="521CE8EB"/>
    <w:rsid w:val="521E05C9"/>
    <w:rsid w:val="5225B791"/>
    <w:rsid w:val="52299D68"/>
    <w:rsid w:val="522B9DD2"/>
    <w:rsid w:val="523654B2"/>
    <w:rsid w:val="523D2D75"/>
    <w:rsid w:val="52401494"/>
    <w:rsid w:val="524465C6"/>
    <w:rsid w:val="52488048"/>
    <w:rsid w:val="524FB894"/>
    <w:rsid w:val="525060F1"/>
    <w:rsid w:val="525073A2"/>
    <w:rsid w:val="525A5C5C"/>
    <w:rsid w:val="52702921"/>
    <w:rsid w:val="527050B1"/>
    <w:rsid w:val="5271C8DD"/>
    <w:rsid w:val="5277F44A"/>
    <w:rsid w:val="527AFF39"/>
    <w:rsid w:val="527F5A9E"/>
    <w:rsid w:val="527F65B8"/>
    <w:rsid w:val="527FC03B"/>
    <w:rsid w:val="52812319"/>
    <w:rsid w:val="5283FD8B"/>
    <w:rsid w:val="52877D5F"/>
    <w:rsid w:val="5289436C"/>
    <w:rsid w:val="528AFBDE"/>
    <w:rsid w:val="529C47DC"/>
    <w:rsid w:val="52A0C7E0"/>
    <w:rsid w:val="52A125C2"/>
    <w:rsid w:val="52A8D24F"/>
    <w:rsid w:val="52B1B4B5"/>
    <w:rsid w:val="52B6468F"/>
    <w:rsid w:val="52B6839E"/>
    <w:rsid w:val="52C8EDA4"/>
    <w:rsid w:val="52E3EEF3"/>
    <w:rsid w:val="52E55E73"/>
    <w:rsid w:val="52EADF34"/>
    <w:rsid w:val="52ECECEA"/>
    <w:rsid w:val="52F0215B"/>
    <w:rsid w:val="52F0D81A"/>
    <w:rsid w:val="52F5F55E"/>
    <w:rsid w:val="52F69999"/>
    <w:rsid w:val="52F80D8F"/>
    <w:rsid w:val="52F9F88C"/>
    <w:rsid w:val="52FAAD73"/>
    <w:rsid w:val="52FAFE69"/>
    <w:rsid w:val="53006E29"/>
    <w:rsid w:val="5303B681"/>
    <w:rsid w:val="5304C7C7"/>
    <w:rsid w:val="53080D21"/>
    <w:rsid w:val="53170684"/>
    <w:rsid w:val="5317A0B1"/>
    <w:rsid w:val="5334127B"/>
    <w:rsid w:val="533D2C78"/>
    <w:rsid w:val="5341892E"/>
    <w:rsid w:val="5342B539"/>
    <w:rsid w:val="5345FC8E"/>
    <w:rsid w:val="534D3677"/>
    <w:rsid w:val="535010A7"/>
    <w:rsid w:val="536AA936"/>
    <w:rsid w:val="538359CB"/>
    <w:rsid w:val="53836961"/>
    <w:rsid w:val="538C5B22"/>
    <w:rsid w:val="538FDED0"/>
    <w:rsid w:val="539129CD"/>
    <w:rsid w:val="53A0D848"/>
    <w:rsid w:val="53A34B12"/>
    <w:rsid w:val="53A8C13B"/>
    <w:rsid w:val="53A9A4AB"/>
    <w:rsid w:val="53AC02E5"/>
    <w:rsid w:val="53B2B8D0"/>
    <w:rsid w:val="53BB635A"/>
    <w:rsid w:val="53BCEC0F"/>
    <w:rsid w:val="53CC8F6A"/>
    <w:rsid w:val="53CD44D1"/>
    <w:rsid w:val="53D042E1"/>
    <w:rsid w:val="53D28169"/>
    <w:rsid w:val="53DC6726"/>
    <w:rsid w:val="53DD9072"/>
    <w:rsid w:val="53E99AAF"/>
    <w:rsid w:val="53EB2E39"/>
    <w:rsid w:val="53F0690B"/>
    <w:rsid w:val="53F0A3C4"/>
    <w:rsid w:val="53F776C8"/>
    <w:rsid w:val="53FA8289"/>
    <w:rsid w:val="53FD787C"/>
    <w:rsid w:val="53FE85CC"/>
    <w:rsid w:val="53FEF2DA"/>
    <w:rsid w:val="54044A2F"/>
    <w:rsid w:val="541013AB"/>
    <w:rsid w:val="54173056"/>
    <w:rsid w:val="5417D595"/>
    <w:rsid w:val="54193E54"/>
    <w:rsid w:val="54244409"/>
    <w:rsid w:val="542B785C"/>
    <w:rsid w:val="542E7379"/>
    <w:rsid w:val="5436BA21"/>
    <w:rsid w:val="543DC8D0"/>
    <w:rsid w:val="544A7854"/>
    <w:rsid w:val="544C165B"/>
    <w:rsid w:val="544D5603"/>
    <w:rsid w:val="544E7D3C"/>
    <w:rsid w:val="545365FC"/>
    <w:rsid w:val="546C53CE"/>
    <w:rsid w:val="546D7A64"/>
    <w:rsid w:val="54728236"/>
    <w:rsid w:val="547384E8"/>
    <w:rsid w:val="54785D89"/>
    <w:rsid w:val="5478F349"/>
    <w:rsid w:val="5481233F"/>
    <w:rsid w:val="5487B3C9"/>
    <w:rsid w:val="549308B2"/>
    <w:rsid w:val="549C5256"/>
    <w:rsid w:val="54A40FCD"/>
    <w:rsid w:val="54A54963"/>
    <w:rsid w:val="54A64AB4"/>
    <w:rsid w:val="54B30C09"/>
    <w:rsid w:val="54B3F1FB"/>
    <w:rsid w:val="54BD07EF"/>
    <w:rsid w:val="54BF22D6"/>
    <w:rsid w:val="54C00BCE"/>
    <w:rsid w:val="54C1AC10"/>
    <w:rsid w:val="54E14E10"/>
    <w:rsid w:val="54E1704C"/>
    <w:rsid w:val="54E3F767"/>
    <w:rsid w:val="54E7F8F5"/>
    <w:rsid w:val="54EC734E"/>
    <w:rsid w:val="54F6DDFE"/>
    <w:rsid w:val="54FCA535"/>
    <w:rsid w:val="5500E410"/>
    <w:rsid w:val="550862A0"/>
    <w:rsid w:val="5514165A"/>
    <w:rsid w:val="5520E468"/>
    <w:rsid w:val="5522B72D"/>
    <w:rsid w:val="55265B54"/>
    <w:rsid w:val="552938E6"/>
    <w:rsid w:val="55393CB8"/>
    <w:rsid w:val="55398C66"/>
    <w:rsid w:val="553F2DAE"/>
    <w:rsid w:val="5544559E"/>
    <w:rsid w:val="55593E97"/>
    <w:rsid w:val="555BE582"/>
    <w:rsid w:val="55659E86"/>
    <w:rsid w:val="5569272D"/>
    <w:rsid w:val="556AF9E1"/>
    <w:rsid w:val="556B20C2"/>
    <w:rsid w:val="556C57F1"/>
    <w:rsid w:val="556D7FC8"/>
    <w:rsid w:val="5576A8CE"/>
    <w:rsid w:val="5577403C"/>
    <w:rsid w:val="557B1F15"/>
    <w:rsid w:val="5587F7D1"/>
    <w:rsid w:val="558C7EDA"/>
    <w:rsid w:val="5592E360"/>
    <w:rsid w:val="55988290"/>
    <w:rsid w:val="5599A9DB"/>
    <w:rsid w:val="55B87A4A"/>
    <w:rsid w:val="55CFC3DB"/>
    <w:rsid w:val="55D53D87"/>
    <w:rsid w:val="55D5AB35"/>
    <w:rsid w:val="55D9B995"/>
    <w:rsid w:val="55DD72CE"/>
    <w:rsid w:val="55DDDC10"/>
    <w:rsid w:val="55E94D68"/>
    <w:rsid w:val="55E9EA17"/>
    <w:rsid w:val="55F48E49"/>
    <w:rsid w:val="55F7398A"/>
    <w:rsid w:val="56087B4A"/>
    <w:rsid w:val="560F8224"/>
    <w:rsid w:val="5612E23A"/>
    <w:rsid w:val="5619368C"/>
    <w:rsid w:val="5625694C"/>
    <w:rsid w:val="562BAD8E"/>
    <w:rsid w:val="564C2CB5"/>
    <w:rsid w:val="564E17BE"/>
    <w:rsid w:val="5650ED43"/>
    <w:rsid w:val="56567451"/>
    <w:rsid w:val="5669BE89"/>
    <w:rsid w:val="56720031"/>
    <w:rsid w:val="5673D6DD"/>
    <w:rsid w:val="5674ADFC"/>
    <w:rsid w:val="5681F17E"/>
    <w:rsid w:val="56877E75"/>
    <w:rsid w:val="568C1AF0"/>
    <w:rsid w:val="568F47AB"/>
    <w:rsid w:val="568FF237"/>
    <w:rsid w:val="5692A117"/>
    <w:rsid w:val="5692BFEA"/>
    <w:rsid w:val="56A3F1B4"/>
    <w:rsid w:val="56A4788E"/>
    <w:rsid w:val="56A57458"/>
    <w:rsid w:val="56AF1D03"/>
    <w:rsid w:val="56BDB982"/>
    <w:rsid w:val="56C27BF5"/>
    <w:rsid w:val="56C43E77"/>
    <w:rsid w:val="56C92629"/>
    <w:rsid w:val="56CD6308"/>
    <w:rsid w:val="56D8151A"/>
    <w:rsid w:val="56DA764C"/>
    <w:rsid w:val="56F1D63A"/>
    <w:rsid w:val="56F31F12"/>
    <w:rsid w:val="56F54414"/>
    <w:rsid w:val="5709876B"/>
    <w:rsid w:val="571116EB"/>
    <w:rsid w:val="571331D0"/>
    <w:rsid w:val="571593A9"/>
    <w:rsid w:val="5715D86E"/>
    <w:rsid w:val="571620C0"/>
    <w:rsid w:val="571A2220"/>
    <w:rsid w:val="571F6281"/>
    <w:rsid w:val="57227B2C"/>
    <w:rsid w:val="572474D6"/>
    <w:rsid w:val="573C10C2"/>
    <w:rsid w:val="5742D5F6"/>
    <w:rsid w:val="57490558"/>
    <w:rsid w:val="574A3693"/>
    <w:rsid w:val="5751C392"/>
    <w:rsid w:val="57590D06"/>
    <w:rsid w:val="575B7C60"/>
    <w:rsid w:val="575FFF69"/>
    <w:rsid w:val="57607445"/>
    <w:rsid w:val="57639FAE"/>
    <w:rsid w:val="5765E1AE"/>
    <w:rsid w:val="5772FB1B"/>
    <w:rsid w:val="57731370"/>
    <w:rsid w:val="57782708"/>
    <w:rsid w:val="577B225D"/>
    <w:rsid w:val="5786B429"/>
    <w:rsid w:val="579174B8"/>
    <w:rsid w:val="5798E2F3"/>
    <w:rsid w:val="579B0F8E"/>
    <w:rsid w:val="579BDC9E"/>
    <w:rsid w:val="579FEF9A"/>
    <w:rsid w:val="57A26C34"/>
    <w:rsid w:val="57AD699B"/>
    <w:rsid w:val="57B590CC"/>
    <w:rsid w:val="57BDB0ED"/>
    <w:rsid w:val="57BFDDF2"/>
    <w:rsid w:val="57CDC275"/>
    <w:rsid w:val="57D5BD23"/>
    <w:rsid w:val="57D6DC2E"/>
    <w:rsid w:val="57DF20BA"/>
    <w:rsid w:val="57E12985"/>
    <w:rsid w:val="57F077FD"/>
    <w:rsid w:val="58032764"/>
    <w:rsid w:val="580EAF61"/>
    <w:rsid w:val="58118CEA"/>
    <w:rsid w:val="5812CFCD"/>
    <w:rsid w:val="58135587"/>
    <w:rsid w:val="5817F5DE"/>
    <w:rsid w:val="58188B22"/>
    <w:rsid w:val="581DEBD1"/>
    <w:rsid w:val="5822C66F"/>
    <w:rsid w:val="58268827"/>
    <w:rsid w:val="58274887"/>
    <w:rsid w:val="582ADE57"/>
    <w:rsid w:val="58387CDD"/>
    <w:rsid w:val="583F6BA8"/>
    <w:rsid w:val="584F0DC0"/>
    <w:rsid w:val="584FAC73"/>
    <w:rsid w:val="5856DEC4"/>
    <w:rsid w:val="585A31B6"/>
    <w:rsid w:val="585EABCF"/>
    <w:rsid w:val="58623C6C"/>
    <w:rsid w:val="5863A117"/>
    <w:rsid w:val="586E68DB"/>
    <w:rsid w:val="5870FED2"/>
    <w:rsid w:val="58782128"/>
    <w:rsid w:val="587964BD"/>
    <w:rsid w:val="5880E797"/>
    <w:rsid w:val="5886CAA0"/>
    <w:rsid w:val="588C270C"/>
    <w:rsid w:val="58A07992"/>
    <w:rsid w:val="58A47F35"/>
    <w:rsid w:val="58A4E169"/>
    <w:rsid w:val="58AE9971"/>
    <w:rsid w:val="58B12CCD"/>
    <w:rsid w:val="58B4CCFB"/>
    <w:rsid w:val="58B8BBCA"/>
    <w:rsid w:val="58C1F1DD"/>
    <w:rsid w:val="58C2D1CD"/>
    <w:rsid w:val="58D1A4A1"/>
    <w:rsid w:val="58D3E153"/>
    <w:rsid w:val="58DBBC68"/>
    <w:rsid w:val="58E0991D"/>
    <w:rsid w:val="58E5397C"/>
    <w:rsid w:val="58E8EBD2"/>
    <w:rsid w:val="58EE903E"/>
    <w:rsid w:val="58EF0DC2"/>
    <w:rsid w:val="58F0B8DC"/>
    <w:rsid w:val="58F33C92"/>
    <w:rsid w:val="58FC9E6B"/>
    <w:rsid w:val="59065810"/>
    <w:rsid w:val="590C018C"/>
    <w:rsid w:val="591CFCDD"/>
    <w:rsid w:val="59243665"/>
    <w:rsid w:val="5932BD3E"/>
    <w:rsid w:val="59413227"/>
    <w:rsid w:val="5943AA9C"/>
    <w:rsid w:val="5943D9BC"/>
    <w:rsid w:val="59493BB8"/>
    <w:rsid w:val="594C5D12"/>
    <w:rsid w:val="594CCBDD"/>
    <w:rsid w:val="59532CAC"/>
    <w:rsid w:val="5953E6BB"/>
    <w:rsid w:val="5957001A"/>
    <w:rsid w:val="5959CCC2"/>
    <w:rsid w:val="595A3C37"/>
    <w:rsid w:val="596190B7"/>
    <w:rsid w:val="59684157"/>
    <w:rsid w:val="596C8360"/>
    <w:rsid w:val="596DD84B"/>
    <w:rsid w:val="596F455A"/>
    <w:rsid w:val="5974EAD1"/>
    <w:rsid w:val="59755098"/>
    <w:rsid w:val="5975B39D"/>
    <w:rsid w:val="5983ACAD"/>
    <w:rsid w:val="5983E2EA"/>
    <w:rsid w:val="59887F4F"/>
    <w:rsid w:val="598C3E7C"/>
    <w:rsid w:val="598D8125"/>
    <w:rsid w:val="5990576C"/>
    <w:rsid w:val="59949398"/>
    <w:rsid w:val="59A364D2"/>
    <w:rsid w:val="59A74A9F"/>
    <w:rsid w:val="59B0EEDF"/>
    <w:rsid w:val="59B6BE1B"/>
    <w:rsid w:val="59BC43A7"/>
    <w:rsid w:val="59BF58FB"/>
    <w:rsid w:val="59C7AD8D"/>
    <w:rsid w:val="59E38B30"/>
    <w:rsid w:val="59E9F268"/>
    <w:rsid w:val="59EBA76F"/>
    <w:rsid w:val="59F2128B"/>
    <w:rsid w:val="59F25BF8"/>
    <w:rsid w:val="59F6D2A3"/>
    <w:rsid w:val="5A0280AF"/>
    <w:rsid w:val="5A087F3B"/>
    <w:rsid w:val="5A0955E2"/>
    <w:rsid w:val="5A0B146B"/>
    <w:rsid w:val="5A108785"/>
    <w:rsid w:val="5A10CD3A"/>
    <w:rsid w:val="5A14B0E3"/>
    <w:rsid w:val="5A22E1A0"/>
    <w:rsid w:val="5A27B547"/>
    <w:rsid w:val="5A2A4C58"/>
    <w:rsid w:val="5A2CDF5B"/>
    <w:rsid w:val="5A3497AA"/>
    <w:rsid w:val="5A435503"/>
    <w:rsid w:val="5A44E267"/>
    <w:rsid w:val="5A526EC0"/>
    <w:rsid w:val="5A52F81E"/>
    <w:rsid w:val="5A59D710"/>
    <w:rsid w:val="5A5E2DB3"/>
    <w:rsid w:val="5A67D5F0"/>
    <w:rsid w:val="5A7D469B"/>
    <w:rsid w:val="5A7DAE63"/>
    <w:rsid w:val="5A82B952"/>
    <w:rsid w:val="5A87BEB3"/>
    <w:rsid w:val="5A8D424C"/>
    <w:rsid w:val="5A97B7B6"/>
    <w:rsid w:val="5A97EFC9"/>
    <w:rsid w:val="5A9BB651"/>
    <w:rsid w:val="5AA43338"/>
    <w:rsid w:val="5AB415DF"/>
    <w:rsid w:val="5ABBFBF9"/>
    <w:rsid w:val="5ABDD2F2"/>
    <w:rsid w:val="5ACAEBAE"/>
    <w:rsid w:val="5ACF19BC"/>
    <w:rsid w:val="5AD14E57"/>
    <w:rsid w:val="5AD20F7D"/>
    <w:rsid w:val="5AD40C11"/>
    <w:rsid w:val="5AD7AD6B"/>
    <w:rsid w:val="5ADF60C7"/>
    <w:rsid w:val="5AE01E2D"/>
    <w:rsid w:val="5AE41914"/>
    <w:rsid w:val="5AF1D00C"/>
    <w:rsid w:val="5AF69586"/>
    <w:rsid w:val="5AF69DF8"/>
    <w:rsid w:val="5AF7797E"/>
    <w:rsid w:val="5AFCCD98"/>
    <w:rsid w:val="5AFD1A57"/>
    <w:rsid w:val="5AFD657C"/>
    <w:rsid w:val="5B1E4E9B"/>
    <w:rsid w:val="5B2012FE"/>
    <w:rsid w:val="5B242247"/>
    <w:rsid w:val="5B249E23"/>
    <w:rsid w:val="5B25610A"/>
    <w:rsid w:val="5B2E53C7"/>
    <w:rsid w:val="5B33539C"/>
    <w:rsid w:val="5B405D6F"/>
    <w:rsid w:val="5B40B3C5"/>
    <w:rsid w:val="5B40C483"/>
    <w:rsid w:val="5B41E3B5"/>
    <w:rsid w:val="5B449045"/>
    <w:rsid w:val="5B45A0F7"/>
    <w:rsid w:val="5B4BD6D1"/>
    <w:rsid w:val="5B4EB7F9"/>
    <w:rsid w:val="5B572934"/>
    <w:rsid w:val="5B5E3E16"/>
    <w:rsid w:val="5B6A9E5E"/>
    <w:rsid w:val="5B6C58DD"/>
    <w:rsid w:val="5B711B05"/>
    <w:rsid w:val="5B746CAC"/>
    <w:rsid w:val="5B7FD782"/>
    <w:rsid w:val="5B80BC41"/>
    <w:rsid w:val="5B85779E"/>
    <w:rsid w:val="5B8DE834"/>
    <w:rsid w:val="5B8EEF44"/>
    <w:rsid w:val="5B962095"/>
    <w:rsid w:val="5B9DA097"/>
    <w:rsid w:val="5BA40307"/>
    <w:rsid w:val="5BB2C9A8"/>
    <w:rsid w:val="5BB4B8E6"/>
    <w:rsid w:val="5BBFA2B5"/>
    <w:rsid w:val="5BC03498"/>
    <w:rsid w:val="5BC17F62"/>
    <w:rsid w:val="5BC37451"/>
    <w:rsid w:val="5BC477D1"/>
    <w:rsid w:val="5BCE8251"/>
    <w:rsid w:val="5BD38D51"/>
    <w:rsid w:val="5BD47B67"/>
    <w:rsid w:val="5BEE1984"/>
    <w:rsid w:val="5C0173B3"/>
    <w:rsid w:val="5C034DA3"/>
    <w:rsid w:val="5C043B40"/>
    <w:rsid w:val="5C04D530"/>
    <w:rsid w:val="5C0A86D8"/>
    <w:rsid w:val="5C12D229"/>
    <w:rsid w:val="5C192E74"/>
    <w:rsid w:val="5C1B9E57"/>
    <w:rsid w:val="5C1C24A8"/>
    <w:rsid w:val="5C1D9368"/>
    <w:rsid w:val="5C206B35"/>
    <w:rsid w:val="5C22EC29"/>
    <w:rsid w:val="5C2595CC"/>
    <w:rsid w:val="5C2DFD1B"/>
    <w:rsid w:val="5C2E65C5"/>
    <w:rsid w:val="5C368F12"/>
    <w:rsid w:val="5C44D30B"/>
    <w:rsid w:val="5C4B0A06"/>
    <w:rsid w:val="5C4B5D20"/>
    <w:rsid w:val="5C54F5CB"/>
    <w:rsid w:val="5C583882"/>
    <w:rsid w:val="5C69A6EC"/>
    <w:rsid w:val="5C6C57F6"/>
    <w:rsid w:val="5C754385"/>
    <w:rsid w:val="5C80CE8F"/>
    <w:rsid w:val="5C8488D8"/>
    <w:rsid w:val="5C868E2E"/>
    <w:rsid w:val="5C90C2BC"/>
    <w:rsid w:val="5C91CE59"/>
    <w:rsid w:val="5C933974"/>
    <w:rsid w:val="5C959D3B"/>
    <w:rsid w:val="5CA16FC2"/>
    <w:rsid w:val="5CACB7A8"/>
    <w:rsid w:val="5CB378AF"/>
    <w:rsid w:val="5CBC497A"/>
    <w:rsid w:val="5CBD0623"/>
    <w:rsid w:val="5CC828F3"/>
    <w:rsid w:val="5CC89D14"/>
    <w:rsid w:val="5CD60AE7"/>
    <w:rsid w:val="5CDCC174"/>
    <w:rsid w:val="5CE04527"/>
    <w:rsid w:val="5CEFCD51"/>
    <w:rsid w:val="5CF2300F"/>
    <w:rsid w:val="5CF4FE3D"/>
    <w:rsid w:val="5CF512A7"/>
    <w:rsid w:val="5CFB7789"/>
    <w:rsid w:val="5CFD5E1B"/>
    <w:rsid w:val="5D0A2AE4"/>
    <w:rsid w:val="5D0DAE86"/>
    <w:rsid w:val="5D0DF2BE"/>
    <w:rsid w:val="5D198A9A"/>
    <w:rsid w:val="5D1A9339"/>
    <w:rsid w:val="5D1C2DF8"/>
    <w:rsid w:val="5D1C37FD"/>
    <w:rsid w:val="5D1E3C5E"/>
    <w:rsid w:val="5D23D89B"/>
    <w:rsid w:val="5D2AB407"/>
    <w:rsid w:val="5D31F04B"/>
    <w:rsid w:val="5D347282"/>
    <w:rsid w:val="5D4C4345"/>
    <w:rsid w:val="5D4C5A58"/>
    <w:rsid w:val="5D50B582"/>
    <w:rsid w:val="5D520E93"/>
    <w:rsid w:val="5D537E69"/>
    <w:rsid w:val="5D568D46"/>
    <w:rsid w:val="5D639B0F"/>
    <w:rsid w:val="5D6985F8"/>
    <w:rsid w:val="5D6A1CAA"/>
    <w:rsid w:val="5D71D439"/>
    <w:rsid w:val="5D80360E"/>
    <w:rsid w:val="5D80BF8C"/>
    <w:rsid w:val="5D829C87"/>
    <w:rsid w:val="5D86DD27"/>
    <w:rsid w:val="5D8ADA9D"/>
    <w:rsid w:val="5D8BE8B1"/>
    <w:rsid w:val="5D939215"/>
    <w:rsid w:val="5D93C3EF"/>
    <w:rsid w:val="5D9D7418"/>
    <w:rsid w:val="5D9EB19E"/>
    <w:rsid w:val="5DA0CF83"/>
    <w:rsid w:val="5DA86DD8"/>
    <w:rsid w:val="5DAA89C4"/>
    <w:rsid w:val="5DB46AD4"/>
    <w:rsid w:val="5DB7BCAB"/>
    <w:rsid w:val="5DB7DB74"/>
    <w:rsid w:val="5DBB7BCD"/>
    <w:rsid w:val="5DBEF8D0"/>
    <w:rsid w:val="5DC3AF26"/>
    <w:rsid w:val="5DC4BEBA"/>
    <w:rsid w:val="5DD5F72A"/>
    <w:rsid w:val="5DD65008"/>
    <w:rsid w:val="5DDB1051"/>
    <w:rsid w:val="5DE420B6"/>
    <w:rsid w:val="5DEE999E"/>
    <w:rsid w:val="5DF619AA"/>
    <w:rsid w:val="5E011CB8"/>
    <w:rsid w:val="5E087AF9"/>
    <w:rsid w:val="5E0D3D97"/>
    <w:rsid w:val="5E0EFBB7"/>
    <w:rsid w:val="5E103659"/>
    <w:rsid w:val="5E12C58A"/>
    <w:rsid w:val="5E14DCD9"/>
    <w:rsid w:val="5E1E62DB"/>
    <w:rsid w:val="5E2E39B0"/>
    <w:rsid w:val="5E420434"/>
    <w:rsid w:val="5E4789C9"/>
    <w:rsid w:val="5E4A98F0"/>
    <w:rsid w:val="5E51679C"/>
    <w:rsid w:val="5E61368D"/>
    <w:rsid w:val="5E6987A9"/>
    <w:rsid w:val="5E6F2798"/>
    <w:rsid w:val="5E6F73EB"/>
    <w:rsid w:val="5E7058D9"/>
    <w:rsid w:val="5E707E51"/>
    <w:rsid w:val="5E7BFFD3"/>
    <w:rsid w:val="5E7C8765"/>
    <w:rsid w:val="5E7CA893"/>
    <w:rsid w:val="5E8A31F2"/>
    <w:rsid w:val="5E8E43CC"/>
    <w:rsid w:val="5E920317"/>
    <w:rsid w:val="5E95FAF6"/>
    <w:rsid w:val="5E96CE2C"/>
    <w:rsid w:val="5E97101A"/>
    <w:rsid w:val="5E9D709C"/>
    <w:rsid w:val="5E9D7315"/>
    <w:rsid w:val="5EA45B7D"/>
    <w:rsid w:val="5EB63BC8"/>
    <w:rsid w:val="5EB99C75"/>
    <w:rsid w:val="5EBAF91E"/>
    <w:rsid w:val="5EC2B874"/>
    <w:rsid w:val="5EC7E15F"/>
    <w:rsid w:val="5ECB2C33"/>
    <w:rsid w:val="5ECE5069"/>
    <w:rsid w:val="5ED5126E"/>
    <w:rsid w:val="5ED570CC"/>
    <w:rsid w:val="5ED6B0D1"/>
    <w:rsid w:val="5ED77182"/>
    <w:rsid w:val="5EDCF6B2"/>
    <w:rsid w:val="5EE3AE2F"/>
    <w:rsid w:val="5EE437CC"/>
    <w:rsid w:val="5EEA0302"/>
    <w:rsid w:val="5EF19D9A"/>
    <w:rsid w:val="5EF2EA61"/>
    <w:rsid w:val="5EF30D6C"/>
    <w:rsid w:val="5EF9E46E"/>
    <w:rsid w:val="5F022E82"/>
    <w:rsid w:val="5F0BE99F"/>
    <w:rsid w:val="5F142A7B"/>
    <w:rsid w:val="5F18FD72"/>
    <w:rsid w:val="5F1E80AD"/>
    <w:rsid w:val="5F38CE0F"/>
    <w:rsid w:val="5F3A821D"/>
    <w:rsid w:val="5F447767"/>
    <w:rsid w:val="5F476E12"/>
    <w:rsid w:val="5F4C252F"/>
    <w:rsid w:val="5F5090C8"/>
    <w:rsid w:val="5F535DF1"/>
    <w:rsid w:val="5F5C3C8F"/>
    <w:rsid w:val="5F5CA0ED"/>
    <w:rsid w:val="5F70E726"/>
    <w:rsid w:val="5F783381"/>
    <w:rsid w:val="5F78E410"/>
    <w:rsid w:val="5F7F902D"/>
    <w:rsid w:val="5F808D5A"/>
    <w:rsid w:val="5F818206"/>
    <w:rsid w:val="5F8429F7"/>
    <w:rsid w:val="5F8632B8"/>
    <w:rsid w:val="5F8BC3DE"/>
    <w:rsid w:val="5F8BCB2B"/>
    <w:rsid w:val="5F951674"/>
    <w:rsid w:val="5F98555A"/>
    <w:rsid w:val="5F98C5E7"/>
    <w:rsid w:val="5F990293"/>
    <w:rsid w:val="5F9C6829"/>
    <w:rsid w:val="5F9DB1E6"/>
    <w:rsid w:val="5FA170A4"/>
    <w:rsid w:val="5FB76A0F"/>
    <w:rsid w:val="5FC0FFAD"/>
    <w:rsid w:val="5FC2796E"/>
    <w:rsid w:val="5FC66749"/>
    <w:rsid w:val="5FD9FE29"/>
    <w:rsid w:val="5FDD72D4"/>
    <w:rsid w:val="5FE73873"/>
    <w:rsid w:val="5FF547B8"/>
    <w:rsid w:val="5FF80C31"/>
    <w:rsid w:val="6001BB3A"/>
    <w:rsid w:val="60024553"/>
    <w:rsid w:val="6002F412"/>
    <w:rsid w:val="60030661"/>
    <w:rsid w:val="60031783"/>
    <w:rsid w:val="6008F1C7"/>
    <w:rsid w:val="600C0D7F"/>
    <w:rsid w:val="600FB8A8"/>
    <w:rsid w:val="601B79B8"/>
    <w:rsid w:val="601BD6D8"/>
    <w:rsid w:val="601C6242"/>
    <w:rsid w:val="60227E50"/>
    <w:rsid w:val="6029564A"/>
    <w:rsid w:val="602C040B"/>
    <w:rsid w:val="60347953"/>
    <w:rsid w:val="603A9F53"/>
    <w:rsid w:val="603C6608"/>
    <w:rsid w:val="603EA1C7"/>
    <w:rsid w:val="603F6B1D"/>
    <w:rsid w:val="603FB69C"/>
    <w:rsid w:val="604465D7"/>
    <w:rsid w:val="60458E8B"/>
    <w:rsid w:val="6046B6AC"/>
    <w:rsid w:val="604FA5DC"/>
    <w:rsid w:val="604FEF69"/>
    <w:rsid w:val="60534328"/>
    <w:rsid w:val="605356A0"/>
    <w:rsid w:val="60584302"/>
    <w:rsid w:val="6061B70E"/>
    <w:rsid w:val="60730CC2"/>
    <w:rsid w:val="60762091"/>
    <w:rsid w:val="60764AAA"/>
    <w:rsid w:val="607E77A5"/>
    <w:rsid w:val="6082C4AD"/>
    <w:rsid w:val="60874F70"/>
    <w:rsid w:val="608AAB74"/>
    <w:rsid w:val="6094EF53"/>
    <w:rsid w:val="609A76F4"/>
    <w:rsid w:val="609C5D0C"/>
    <w:rsid w:val="609D4968"/>
    <w:rsid w:val="60A13852"/>
    <w:rsid w:val="60A54537"/>
    <w:rsid w:val="60A650B5"/>
    <w:rsid w:val="60ABE7D1"/>
    <w:rsid w:val="60ABFA8A"/>
    <w:rsid w:val="60B5FEA5"/>
    <w:rsid w:val="60BEA8E5"/>
    <w:rsid w:val="60CA5802"/>
    <w:rsid w:val="60CB5035"/>
    <w:rsid w:val="60D6675F"/>
    <w:rsid w:val="60E05E45"/>
    <w:rsid w:val="60E2E83F"/>
    <w:rsid w:val="60F56BCC"/>
    <w:rsid w:val="60FF72F8"/>
    <w:rsid w:val="610371B9"/>
    <w:rsid w:val="6103B1A5"/>
    <w:rsid w:val="611290D2"/>
    <w:rsid w:val="61242DD9"/>
    <w:rsid w:val="612890A0"/>
    <w:rsid w:val="612D37DB"/>
    <w:rsid w:val="612D97F1"/>
    <w:rsid w:val="612F412A"/>
    <w:rsid w:val="613E1E5E"/>
    <w:rsid w:val="613EB84F"/>
    <w:rsid w:val="614BDF1C"/>
    <w:rsid w:val="6150910D"/>
    <w:rsid w:val="615841FB"/>
    <w:rsid w:val="61596A13"/>
    <w:rsid w:val="6159DBC4"/>
    <w:rsid w:val="615B237F"/>
    <w:rsid w:val="616AD06D"/>
    <w:rsid w:val="6185FDF2"/>
    <w:rsid w:val="61860589"/>
    <w:rsid w:val="618E31D7"/>
    <w:rsid w:val="619B28E7"/>
    <w:rsid w:val="61A20131"/>
    <w:rsid w:val="61A4F905"/>
    <w:rsid w:val="61AA1D98"/>
    <w:rsid w:val="61B03CCA"/>
    <w:rsid w:val="61BBF233"/>
    <w:rsid w:val="61BC3E11"/>
    <w:rsid w:val="61C08BCC"/>
    <w:rsid w:val="61C5AE3C"/>
    <w:rsid w:val="61CEE321"/>
    <w:rsid w:val="61D060F8"/>
    <w:rsid w:val="61D28138"/>
    <w:rsid w:val="61D65EC7"/>
    <w:rsid w:val="61D6F82C"/>
    <w:rsid w:val="61D742E9"/>
    <w:rsid w:val="61E01B3C"/>
    <w:rsid w:val="61E865A4"/>
    <w:rsid w:val="61E86949"/>
    <w:rsid w:val="61EA5D08"/>
    <w:rsid w:val="61F0D1AB"/>
    <w:rsid w:val="61F16DCD"/>
    <w:rsid w:val="61F592D2"/>
    <w:rsid w:val="61F9F4D4"/>
    <w:rsid w:val="6200A105"/>
    <w:rsid w:val="6204B878"/>
    <w:rsid w:val="62086E87"/>
    <w:rsid w:val="620E99E0"/>
    <w:rsid w:val="620F50A1"/>
    <w:rsid w:val="6210F4F4"/>
    <w:rsid w:val="62172EAB"/>
    <w:rsid w:val="621A8E70"/>
    <w:rsid w:val="621FE5D4"/>
    <w:rsid w:val="6223D993"/>
    <w:rsid w:val="62245603"/>
    <w:rsid w:val="62280373"/>
    <w:rsid w:val="6230F1F4"/>
    <w:rsid w:val="623A64E9"/>
    <w:rsid w:val="623F0029"/>
    <w:rsid w:val="6242FF8F"/>
    <w:rsid w:val="624F6BF0"/>
    <w:rsid w:val="62592BED"/>
    <w:rsid w:val="6263A8A5"/>
    <w:rsid w:val="626D74A1"/>
    <w:rsid w:val="6284F325"/>
    <w:rsid w:val="62868E48"/>
    <w:rsid w:val="628AFDF7"/>
    <w:rsid w:val="628C27E9"/>
    <w:rsid w:val="6290D8AB"/>
    <w:rsid w:val="6292B399"/>
    <w:rsid w:val="629ACCE0"/>
    <w:rsid w:val="629FD134"/>
    <w:rsid w:val="62ACC11E"/>
    <w:rsid w:val="62AFFE4D"/>
    <w:rsid w:val="62B3D530"/>
    <w:rsid w:val="62B910FF"/>
    <w:rsid w:val="62C258A6"/>
    <w:rsid w:val="62DC5985"/>
    <w:rsid w:val="62DF9630"/>
    <w:rsid w:val="62E8F733"/>
    <w:rsid w:val="62F9DED4"/>
    <w:rsid w:val="62FABBFA"/>
    <w:rsid w:val="62FE57BE"/>
    <w:rsid w:val="62FF2286"/>
    <w:rsid w:val="62FFB852"/>
    <w:rsid w:val="630423B4"/>
    <w:rsid w:val="630BC31F"/>
    <w:rsid w:val="630D7779"/>
    <w:rsid w:val="6312C37D"/>
    <w:rsid w:val="63155DCA"/>
    <w:rsid w:val="63180EC8"/>
    <w:rsid w:val="6319344A"/>
    <w:rsid w:val="631B4DFD"/>
    <w:rsid w:val="631E4A92"/>
    <w:rsid w:val="63365C11"/>
    <w:rsid w:val="633C78EA"/>
    <w:rsid w:val="633F075F"/>
    <w:rsid w:val="63483893"/>
    <w:rsid w:val="6351C4AC"/>
    <w:rsid w:val="635AB8C4"/>
    <w:rsid w:val="635DDD3D"/>
    <w:rsid w:val="635E2307"/>
    <w:rsid w:val="6361812A"/>
    <w:rsid w:val="63719BC5"/>
    <w:rsid w:val="63726DC0"/>
    <w:rsid w:val="63775269"/>
    <w:rsid w:val="637D3DA1"/>
    <w:rsid w:val="637F6202"/>
    <w:rsid w:val="63884042"/>
    <w:rsid w:val="638B786E"/>
    <w:rsid w:val="639131FE"/>
    <w:rsid w:val="63930502"/>
    <w:rsid w:val="6397A43F"/>
    <w:rsid w:val="63A3CE78"/>
    <w:rsid w:val="63A5FD60"/>
    <w:rsid w:val="63A607BE"/>
    <w:rsid w:val="63B1D9BD"/>
    <w:rsid w:val="63B35325"/>
    <w:rsid w:val="63BBE094"/>
    <w:rsid w:val="63BD5DD2"/>
    <w:rsid w:val="63CA4E3E"/>
    <w:rsid w:val="63D0E892"/>
    <w:rsid w:val="63D39D50"/>
    <w:rsid w:val="63D64238"/>
    <w:rsid w:val="63E14384"/>
    <w:rsid w:val="63E27D0F"/>
    <w:rsid w:val="63E57521"/>
    <w:rsid w:val="63E5782B"/>
    <w:rsid w:val="63F5F753"/>
    <w:rsid w:val="63FBB2F7"/>
    <w:rsid w:val="64063E21"/>
    <w:rsid w:val="64086527"/>
    <w:rsid w:val="64093C57"/>
    <w:rsid w:val="640D189F"/>
    <w:rsid w:val="6410E36A"/>
    <w:rsid w:val="64150F96"/>
    <w:rsid w:val="6415AECA"/>
    <w:rsid w:val="6418E188"/>
    <w:rsid w:val="641D1A2E"/>
    <w:rsid w:val="642B6A16"/>
    <w:rsid w:val="644C1CEB"/>
    <w:rsid w:val="64551D79"/>
    <w:rsid w:val="645E487D"/>
    <w:rsid w:val="64631865"/>
    <w:rsid w:val="6467570B"/>
    <w:rsid w:val="64684868"/>
    <w:rsid w:val="6470F02B"/>
    <w:rsid w:val="6477DAE4"/>
    <w:rsid w:val="6479BDDB"/>
    <w:rsid w:val="6479FA88"/>
    <w:rsid w:val="647C0C32"/>
    <w:rsid w:val="647CE348"/>
    <w:rsid w:val="6483C887"/>
    <w:rsid w:val="6484E152"/>
    <w:rsid w:val="64880544"/>
    <w:rsid w:val="648F7085"/>
    <w:rsid w:val="6492E35B"/>
    <w:rsid w:val="649406CF"/>
    <w:rsid w:val="64A34399"/>
    <w:rsid w:val="64B157DB"/>
    <w:rsid w:val="64B3A443"/>
    <w:rsid w:val="64B86795"/>
    <w:rsid w:val="64C290D4"/>
    <w:rsid w:val="64C2E018"/>
    <w:rsid w:val="64C3CA51"/>
    <w:rsid w:val="64C83104"/>
    <w:rsid w:val="64D2D4EA"/>
    <w:rsid w:val="64D31892"/>
    <w:rsid w:val="64D5092E"/>
    <w:rsid w:val="64D79DB5"/>
    <w:rsid w:val="64DACCA4"/>
    <w:rsid w:val="64DB62E2"/>
    <w:rsid w:val="64E14B9D"/>
    <w:rsid w:val="64E318C4"/>
    <w:rsid w:val="64E44BBB"/>
    <w:rsid w:val="64ECD776"/>
    <w:rsid w:val="64ED828F"/>
    <w:rsid w:val="64F35CE2"/>
    <w:rsid w:val="64F3841A"/>
    <w:rsid w:val="64F51C5B"/>
    <w:rsid w:val="64F6C570"/>
    <w:rsid w:val="64FB2CBA"/>
    <w:rsid w:val="6503B01B"/>
    <w:rsid w:val="650F78CB"/>
    <w:rsid w:val="650F836F"/>
    <w:rsid w:val="65136F29"/>
    <w:rsid w:val="6515A854"/>
    <w:rsid w:val="6516E816"/>
    <w:rsid w:val="651EDE95"/>
    <w:rsid w:val="6521DF9D"/>
    <w:rsid w:val="65275F2A"/>
    <w:rsid w:val="652D1239"/>
    <w:rsid w:val="6530A2E4"/>
    <w:rsid w:val="6536383A"/>
    <w:rsid w:val="653714C7"/>
    <w:rsid w:val="654753CF"/>
    <w:rsid w:val="654DDEE4"/>
    <w:rsid w:val="6555F0DA"/>
    <w:rsid w:val="65563E45"/>
    <w:rsid w:val="6561AF9F"/>
    <w:rsid w:val="656C1332"/>
    <w:rsid w:val="6576E57A"/>
    <w:rsid w:val="6584C589"/>
    <w:rsid w:val="658B06F8"/>
    <w:rsid w:val="6596987B"/>
    <w:rsid w:val="65990584"/>
    <w:rsid w:val="659942F6"/>
    <w:rsid w:val="659A9F8A"/>
    <w:rsid w:val="659CDDC9"/>
    <w:rsid w:val="65A0279D"/>
    <w:rsid w:val="65A424AF"/>
    <w:rsid w:val="65B3B45E"/>
    <w:rsid w:val="65B3D537"/>
    <w:rsid w:val="65B41625"/>
    <w:rsid w:val="65B63A7D"/>
    <w:rsid w:val="65BD38C3"/>
    <w:rsid w:val="65BD86C9"/>
    <w:rsid w:val="65BD89EC"/>
    <w:rsid w:val="65BE1831"/>
    <w:rsid w:val="65C59718"/>
    <w:rsid w:val="65C67E30"/>
    <w:rsid w:val="65CBB745"/>
    <w:rsid w:val="65D477EB"/>
    <w:rsid w:val="65DAA014"/>
    <w:rsid w:val="65DC1C0F"/>
    <w:rsid w:val="65EABCDA"/>
    <w:rsid w:val="65FC4833"/>
    <w:rsid w:val="65FE590E"/>
    <w:rsid w:val="6601304C"/>
    <w:rsid w:val="66052F18"/>
    <w:rsid w:val="660A564E"/>
    <w:rsid w:val="66100892"/>
    <w:rsid w:val="661F678D"/>
    <w:rsid w:val="6631990A"/>
    <w:rsid w:val="6633F8A4"/>
    <w:rsid w:val="66394EF7"/>
    <w:rsid w:val="663F1AD3"/>
    <w:rsid w:val="664101DB"/>
    <w:rsid w:val="66482B79"/>
    <w:rsid w:val="664C2E23"/>
    <w:rsid w:val="6654050A"/>
    <w:rsid w:val="665531CD"/>
    <w:rsid w:val="665D772E"/>
    <w:rsid w:val="6666F508"/>
    <w:rsid w:val="6669BFC7"/>
    <w:rsid w:val="666A194C"/>
    <w:rsid w:val="66808B0A"/>
    <w:rsid w:val="66953A00"/>
    <w:rsid w:val="66984C99"/>
    <w:rsid w:val="6699C9C7"/>
    <w:rsid w:val="66A45363"/>
    <w:rsid w:val="66A482DA"/>
    <w:rsid w:val="66A81404"/>
    <w:rsid w:val="66AA06F5"/>
    <w:rsid w:val="66AA8C3E"/>
    <w:rsid w:val="66AF8800"/>
    <w:rsid w:val="66B2D468"/>
    <w:rsid w:val="66B824DB"/>
    <w:rsid w:val="66BEF50A"/>
    <w:rsid w:val="66C1419D"/>
    <w:rsid w:val="66C14F7C"/>
    <w:rsid w:val="66D5825C"/>
    <w:rsid w:val="66DAB8B4"/>
    <w:rsid w:val="66DC48C5"/>
    <w:rsid w:val="66DEE843"/>
    <w:rsid w:val="66E1B58A"/>
    <w:rsid w:val="66E42C21"/>
    <w:rsid w:val="66F26A6D"/>
    <w:rsid w:val="66FBC6CB"/>
    <w:rsid w:val="670A456D"/>
    <w:rsid w:val="670D6243"/>
    <w:rsid w:val="671047FC"/>
    <w:rsid w:val="6713D4F6"/>
    <w:rsid w:val="671960FD"/>
    <w:rsid w:val="672C61EB"/>
    <w:rsid w:val="67331489"/>
    <w:rsid w:val="673B2C31"/>
    <w:rsid w:val="673BA02C"/>
    <w:rsid w:val="673F7E55"/>
    <w:rsid w:val="6742F666"/>
    <w:rsid w:val="6747E38E"/>
    <w:rsid w:val="67507CC7"/>
    <w:rsid w:val="67522CB2"/>
    <w:rsid w:val="675AC8A2"/>
    <w:rsid w:val="675D53EF"/>
    <w:rsid w:val="675EF250"/>
    <w:rsid w:val="6761E6EE"/>
    <w:rsid w:val="6762482A"/>
    <w:rsid w:val="6766C411"/>
    <w:rsid w:val="6768409D"/>
    <w:rsid w:val="676984FE"/>
    <w:rsid w:val="676D2571"/>
    <w:rsid w:val="67713A05"/>
    <w:rsid w:val="67727A5F"/>
    <w:rsid w:val="67822A58"/>
    <w:rsid w:val="67861D1E"/>
    <w:rsid w:val="6792B639"/>
    <w:rsid w:val="6796A32C"/>
    <w:rsid w:val="679E0EB2"/>
    <w:rsid w:val="67A0BBB7"/>
    <w:rsid w:val="67AA6943"/>
    <w:rsid w:val="67B128CF"/>
    <w:rsid w:val="67C7389B"/>
    <w:rsid w:val="67DB2175"/>
    <w:rsid w:val="67DE2A83"/>
    <w:rsid w:val="67E34AA4"/>
    <w:rsid w:val="67F1A699"/>
    <w:rsid w:val="67F1ABB6"/>
    <w:rsid w:val="67F1B653"/>
    <w:rsid w:val="67F4856F"/>
    <w:rsid w:val="680073CB"/>
    <w:rsid w:val="68027C88"/>
    <w:rsid w:val="6807AF81"/>
    <w:rsid w:val="680EF6C0"/>
    <w:rsid w:val="680FCC01"/>
    <w:rsid w:val="681088C9"/>
    <w:rsid w:val="681429E0"/>
    <w:rsid w:val="68165132"/>
    <w:rsid w:val="681A4BF1"/>
    <w:rsid w:val="6820C70E"/>
    <w:rsid w:val="682EEF2B"/>
    <w:rsid w:val="684197DC"/>
    <w:rsid w:val="684C262B"/>
    <w:rsid w:val="6851CE44"/>
    <w:rsid w:val="685A3240"/>
    <w:rsid w:val="685FA5C9"/>
    <w:rsid w:val="686F15BE"/>
    <w:rsid w:val="687236F0"/>
    <w:rsid w:val="68780BAC"/>
    <w:rsid w:val="68839643"/>
    <w:rsid w:val="68863378"/>
    <w:rsid w:val="688CB42B"/>
    <w:rsid w:val="688E1B1D"/>
    <w:rsid w:val="689382FB"/>
    <w:rsid w:val="6899BD07"/>
    <w:rsid w:val="68A0BD0C"/>
    <w:rsid w:val="68A1BF62"/>
    <w:rsid w:val="68BFCC81"/>
    <w:rsid w:val="68C28350"/>
    <w:rsid w:val="68C3081D"/>
    <w:rsid w:val="68C61D15"/>
    <w:rsid w:val="68D7D491"/>
    <w:rsid w:val="68D804FD"/>
    <w:rsid w:val="68E0EA62"/>
    <w:rsid w:val="68E92AB8"/>
    <w:rsid w:val="68FAE8FE"/>
    <w:rsid w:val="690079FD"/>
    <w:rsid w:val="6901F965"/>
    <w:rsid w:val="69068D80"/>
    <w:rsid w:val="690940B5"/>
    <w:rsid w:val="690B67D1"/>
    <w:rsid w:val="690F1589"/>
    <w:rsid w:val="69176F53"/>
    <w:rsid w:val="691E93A0"/>
    <w:rsid w:val="69216406"/>
    <w:rsid w:val="6925A0F3"/>
    <w:rsid w:val="6927ABD1"/>
    <w:rsid w:val="692926A5"/>
    <w:rsid w:val="692B09ED"/>
    <w:rsid w:val="693361F4"/>
    <w:rsid w:val="6934280F"/>
    <w:rsid w:val="69397B35"/>
    <w:rsid w:val="693E475A"/>
    <w:rsid w:val="6947E437"/>
    <w:rsid w:val="69480601"/>
    <w:rsid w:val="694F2E3F"/>
    <w:rsid w:val="695B2EAF"/>
    <w:rsid w:val="695CC3F6"/>
    <w:rsid w:val="695DB783"/>
    <w:rsid w:val="696C255F"/>
    <w:rsid w:val="69748F81"/>
    <w:rsid w:val="6976D51F"/>
    <w:rsid w:val="69932EF8"/>
    <w:rsid w:val="699B3CC7"/>
    <w:rsid w:val="699EEC88"/>
    <w:rsid w:val="69A71190"/>
    <w:rsid w:val="69B691B0"/>
    <w:rsid w:val="69DD876F"/>
    <w:rsid w:val="69E23A65"/>
    <w:rsid w:val="69F33E29"/>
    <w:rsid w:val="69FB8919"/>
    <w:rsid w:val="69FF9DEF"/>
    <w:rsid w:val="6A03175B"/>
    <w:rsid w:val="6A0E4312"/>
    <w:rsid w:val="6A1329F1"/>
    <w:rsid w:val="6A1C2670"/>
    <w:rsid w:val="6A1E2833"/>
    <w:rsid w:val="6A222230"/>
    <w:rsid w:val="6A2A2957"/>
    <w:rsid w:val="6A34B1C8"/>
    <w:rsid w:val="6A399866"/>
    <w:rsid w:val="6A495A32"/>
    <w:rsid w:val="6A572BE2"/>
    <w:rsid w:val="6A5AFAC6"/>
    <w:rsid w:val="6A635894"/>
    <w:rsid w:val="6A648FDC"/>
    <w:rsid w:val="6A701504"/>
    <w:rsid w:val="6A733819"/>
    <w:rsid w:val="6A74AF52"/>
    <w:rsid w:val="6A7833AB"/>
    <w:rsid w:val="6A7CF0C4"/>
    <w:rsid w:val="6A809961"/>
    <w:rsid w:val="6A87F745"/>
    <w:rsid w:val="6A8A0952"/>
    <w:rsid w:val="6A8FF561"/>
    <w:rsid w:val="6A93DBE5"/>
    <w:rsid w:val="6A94520C"/>
    <w:rsid w:val="6A9D4DB0"/>
    <w:rsid w:val="6A9F92FD"/>
    <w:rsid w:val="6AA022D9"/>
    <w:rsid w:val="6AAD6610"/>
    <w:rsid w:val="6AAE598D"/>
    <w:rsid w:val="6ABC0186"/>
    <w:rsid w:val="6AC8C4CE"/>
    <w:rsid w:val="6ACCEA53"/>
    <w:rsid w:val="6AD27782"/>
    <w:rsid w:val="6AD46105"/>
    <w:rsid w:val="6AD607D7"/>
    <w:rsid w:val="6AE69DB1"/>
    <w:rsid w:val="6AEA8643"/>
    <w:rsid w:val="6AF200E1"/>
    <w:rsid w:val="6B0B4E8B"/>
    <w:rsid w:val="6B0CE620"/>
    <w:rsid w:val="6B17F27A"/>
    <w:rsid w:val="6B17F816"/>
    <w:rsid w:val="6B221EDC"/>
    <w:rsid w:val="6B298BA6"/>
    <w:rsid w:val="6B312D64"/>
    <w:rsid w:val="6B3AB338"/>
    <w:rsid w:val="6B416700"/>
    <w:rsid w:val="6B438CE9"/>
    <w:rsid w:val="6B438E3D"/>
    <w:rsid w:val="6B4C1DCE"/>
    <w:rsid w:val="6B4EA83A"/>
    <w:rsid w:val="6B5A16BB"/>
    <w:rsid w:val="6B5BBC12"/>
    <w:rsid w:val="6B636A84"/>
    <w:rsid w:val="6B68E8B5"/>
    <w:rsid w:val="6B6D16AE"/>
    <w:rsid w:val="6B71543C"/>
    <w:rsid w:val="6B75B82E"/>
    <w:rsid w:val="6B78E880"/>
    <w:rsid w:val="6B7D4A65"/>
    <w:rsid w:val="6B7ECF16"/>
    <w:rsid w:val="6B8504FB"/>
    <w:rsid w:val="6B870EDB"/>
    <w:rsid w:val="6B888692"/>
    <w:rsid w:val="6B8C6047"/>
    <w:rsid w:val="6B991230"/>
    <w:rsid w:val="6B9EB2C1"/>
    <w:rsid w:val="6B9FDD39"/>
    <w:rsid w:val="6BA08DED"/>
    <w:rsid w:val="6BA9FB05"/>
    <w:rsid w:val="6BAD70D5"/>
    <w:rsid w:val="6BB0D60B"/>
    <w:rsid w:val="6BB1BE67"/>
    <w:rsid w:val="6BBB632B"/>
    <w:rsid w:val="6BBE828E"/>
    <w:rsid w:val="6BC018BF"/>
    <w:rsid w:val="6BC0E871"/>
    <w:rsid w:val="6BC12C28"/>
    <w:rsid w:val="6BC3B8A0"/>
    <w:rsid w:val="6BD1B710"/>
    <w:rsid w:val="6BD3E257"/>
    <w:rsid w:val="6BD57038"/>
    <w:rsid w:val="6BD6E79A"/>
    <w:rsid w:val="6BD772D2"/>
    <w:rsid w:val="6BD7A11A"/>
    <w:rsid w:val="6BD9BA1A"/>
    <w:rsid w:val="6BDFB92A"/>
    <w:rsid w:val="6BE7C63C"/>
    <w:rsid w:val="6BEB9483"/>
    <w:rsid w:val="6BF2F381"/>
    <w:rsid w:val="6BF41600"/>
    <w:rsid w:val="6BF8E35D"/>
    <w:rsid w:val="6BFE65D7"/>
    <w:rsid w:val="6BFE6C15"/>
    <w:rsid w:val="6BFFD5D1"/>
    <w:rsid w:val="6C0201E8"/>
    <w:rsid w:val="6C060397"/>
    <w:rsid w:val="6C0A7DFD"/>
    <w:rsid w:val="6C0D22F0"/>
    <w:rsid w:val="6C0E7743"/>
    <w:rsid w:val="6C0F913F"/>
    <w:rsid w:val="6C1143C8"/>
    <w:rsid w:val="6C13D47D"/>
    <w:rsid w:val="6C142925"/>
    <w:rsid w:val="6C21AD66"/>
    <w:rsid w:val="6C249A9B"/>
    <w:rsid w:val="6C260323"/>
    <w:rsid w:val="6C26EB82"/>
    <w:rsid w:val="6C2DB653"/>
    <w:rsid w:val="6C30F627"/>
    <w:rsid w:val="6C34975C"/>
    <w:rsid w:val="6C349873"/>
    <w:rsid w:val="6C3648C3"/>
    <w:rsid w:val="6C3651C1"/>
    <w:rsid w:val="6C3797FE"/>
    <w:rsid w:val="6C3A63FF"/>
    <w:rsid w:val="6C4B7684"/>
    <w:rsid w:val="6C4BC176"/>
    <w:rsid w:val="6C5B2870"/>
    <w:rsid w:val="6C5E01DF"/>
    <w:rsid w:val="6C5FB3F8"/>
    <w:rsid w:val="6C734A06"/>
    <w:rsid w:val="6C79704B"/>
    <w:rsid w:val="6C7FE811"/>
    <w:rsid w:val="6C8AE300"/>
    <w:rsid w:val="6C906F34"/>
    <w:rsid w:val="6C9CC77A"/>
    <w:rsid w:val="6C9DA90C"/>
    <w:rsid w:val="6CA5236B"/>
    <w:rsid w:val="6CA5CF23"/>
    <w:rsid w:val="6CAE2DA7"/>
    <w:rsid w:val="6CBEF3A0"/>
    <w:rsid w:val="6CC23ED4"/>
    <w:rsid w:val="6CCAD3B4"/>
    <w:rsid w:val="6CCB5710"/>
    <w:rsid w:val="6CD46EA4"/>
    <w:rsid w:val="6CD8E168"/>
    <w:rsid w:val="6CD9103E"/>
    <w:rsid w:val="6CDB80B3"/>
    <w:rsid w:val="6CE12D91"/>
    <w:rsid w:val="6CE3B726"/>
    <w:rsid w:val="6CEED8D8"/>
    <w:rsid w:val="6CF95FDC"/>
    <w:rsid w:val="6CF9995F"/>
    <w:rsid w:val="6CFDDC20"/>
    <w:rsid w:val="6D045972"/>
    <w:rsid w:val="6D052C3D"/>
    <w:rsid w:val="6D053D4E"/>
    <w:rsid w:val="6D055081"/>
    <w:rsid w:val="6D181A28"/>
    <w:rsid w:val="6D2069FF"/>
    <w:rsid w:val="6D22624C"/>
    <w:rsid w:val="6D2384DE"/>
    <w:rsid w:val="6D278E4C"/>
    <w:rsid w:val="6D34A3D8"/>
    <w:rsid w:val="6D3B07BD"/>
    <w:rsid w:val="6D3E17A8"/>
    <w:rsid w:val="6D40CFAC"/>
    <w:rsid w:val="6D684760"/>
    <w:rsid w:val="6D6BC3C5"/>
    <w:rsid w:val="6D6E7A44"/>
    <w:rsid w:val="6D7D0CE2"/>
    <w:rsid w:val="6D7D0F1B"/>
    <w:rsid w:val="6D7ED387"/>
    <w:rsid w:val="6D84EF61"/>
    <w:rsid w:val="6D909D44"/>
    <w:rsid w:val="6D97A384"/>
    <w:rsid w:val="6D981D71"/>
    <w:rsid w:val="6D9FBD69"/>
    <w:rsid w:val="6DA77239"/>
    <w:rsid w:val="6DA9A347"/>
    <w:rsid w:val="6DB9A39D"/>
    <w:rsid w:val="6DBB995A"/>
    <w:rsid w:val="6DD23363"/>
    <w:rsid w:val="6DDD7FC0"/>
    <w:rsid w:val="6DE36C9A"/>
    <w:rsid w:val="6DE83D77"/>
    <w:rsid w:val="6DEF289E"/>
    <w:rsid w:val="6DF33EC2"/>
    <w:rsid w:val="6E07E90E"/>
    <w:rsid w:val="6E095D5F"/>
    <w:rsid w:val="6E0F3399"/>
    <w:rsid w:val="6E123A0E"/>
    <w:rsid w:val="6E1A5F45"/>
    <w:rsid w:val="6E287F84"/>
    <w:rsid w:val="6E336F84"/>
    <w:rsid w:val="6E3FDC82"/>
    <w:rsid w:val="6E40E4F5"/>
    <w:rsid w:val="6E4A837A"/>
    <w:rsid w:val="6E4E501C"/>
    <w:rsid w:val="6E50E0EE"/>
    <w:rsid w:val="6E5BB2DD"/>
    <w:rsid w:val="6E625317"/>
    <w:rsid w:val="6E6729CE"/>
    <w:rsid w:val="6E6A28F4"/>
    <w:rsid w:val="6E6F55AB"/>
    <w:rsid w:val="6E7B7307"/>
    <w:rsid w:val="6E910ED2"/>
    <w:rsid w:val="6E967E4D"/>
    <w:rsid w:val="6E9815D3"/>
    <w:rsid w:val="6EA0CD7C"/>
    <w:rsid w:val="6EA55708"/>
    <w:rsid w:val="6EAAA478"/>
    <w:rsid w:val="6EAD2F0D"/>
    <w:rsid w:val="6EB00427"/>
    <w:rsid w:val="6EB0AF97"/>
    <w:rsid w:val="6EC3C5DF"/>
    <w:rsid w:val="6ECA8B10"/>
    <w:rsid w:val="6ECAA38C"/>
    <w:rsid w:val="6ED2B0DE"/>
    <w:rsid w:val="6ED49850"/>
    <w:rsid w:val="6ED776FC"/>
    <w:rsid w:val="6EDFB1F7"/>
    <w:rsid w:val="6EDFE272"/>
    <w:rsid w:val="6EE2B349"/>
    <w:rsid w:val="6EE33F37"/>
    <w:rsid w:val="6EE8BD99"/>
    <w:rsid w:val="6EEB93B4"/>
    <w:rsid w:val="6EF173CC"/>
    <w:rsid w:val="6EF17E0F"/>
    <w:rsid w:val="6EF4F3B4"/>
    <w:rsid w:val="6EF5077E"/>
    <w:rsid w:val="6EF703CE"/>
    <w:rsid w:val="6EF865AF"/>
    <w:rsid w:val="6F04F2E3"/>
    <w:rsid w:val="6F09FA9E"/>
    <w:rsid w:val="6F0C0242"/>
    <w:rsid w:val="6F17E63D"/>
    <w:rsid w:val="6F1B65A1"/>
    <w:rsid w:val="6F2C69DA"/>
    <w:rsid w:val="6F36E56E"/>
    <w:rsid w:val="6F39FF02"/>
    <w:rsid w:val="6F4E7968"/>
    <w:rsid w:val="6F51453A"/>
    <w:rsid w:val="6F540705"/>
    <w:rsid w:val="6F600D00"/>
    <w:rsid w:val="6F66CA40"/>
    <w:rsid w:val="6F69F61E"/>
    <w:rsid w:val="6F6E9BB9"/>
    <w:rsid w:val="6F716049"/>
    <w:rsid w:val="6F751277"/>
    <w:rsid w:val="6F753BA3"/>
    <w:rsid w:val="6F7DA262"/>
    <w:rsid w:val="6F7ED833"/>
    <w:rsid w:val="6F84CDF3"/>
    <w:rsid w:val="6F90CF1E"/>
    <w:rsid w:val="6F926B72"/>
    <w:rsid w:val="6F92D853"/>
    <w:rsid w:val="6FA2F7F5"/>
    <w:rsid w:val="6FA36BDE"/>
    <w:rsid w:val="6FA3F749"/>
    <w:rsid w:val="6FA50E12"/>
    <w:rsid w:val="6FA9103B"/>
    <w:rsid w:val="6FB1E59A"/>
    <w:rsid w:val="6FB56EAF"/>
    <w:rsid w:val="6FB78EF2"/>
    <w:rsid w:val="6FBA57D5"/>
    <w:rsid w:val="6FCF2AA5"/>
    <w:rsid w:val="6FD86504"/>
    <w:rsid w:val="6FD8AAC9"/>
    <w:rsid w:val="6FE55A3C"/>
    <w:rsid w:val="6FE5A299"/>
    <w:rsid w:val="6FE8EFBB"/>
    <w:rsid w:val="6FED9AA9"/>
    <w:rsid w:val="6FF2B6D9"/>
    <w:rsid w:val="6FF61095"/>
    <w:rsid w:val="6FF8B1FD"/>
    <w:rsid w:val="70062F94"/>
    <w:rsid w:val="700B4EFE"/>
    <w:rsid w:val="70256F12"/>
    <w:rsid w:val="702857E1"/>
    <w:rsid w:val="7029F1E0"/>
    <w:rsid w:val="702D08A4"/>
    <w:rsid w:val="70354AC3"/>
    <w:rsid w:val="703E5FED"/>
    <w:rsid w:val="70449815"/>
    <w:rsid w:val="7059C1DE"/>
    <w:rsid w:val="705A00A7"/>
    <w:rsid w:val="70689B1D"/>
    <w:rsid w:val="70699DC0"/>
    <w:rsid w:val="706FF100"/>
    <w:rsid w:val="7073EA47"/>
    <w:rsid w:val="707B9F17"/>
    <w:rsid w:val="707F33F7"/>
    <w:rsid w:val="70966C7F"/>
    <w:rsid w:val="709ECC16"/>
    <w:rsid w:val="70A4030B"/>
    <w:rsid w:val="70AA0A64"/>
    <w:rsid w:val="70C1F2FB"/>
    <w:rsid w:val="70C8E305"/>
    <w:rsid w:val="70CF2C55"/>
    <w:rsid w:val="70CF9DC2"/>
    <w:rsid w:val="70CFC30E"/>
    <w:rsid w:val="70D3EA78"/>
    <w:rsid w:val="70DAE731"/>
    <w:rsid w:val="70E5B963"/>
    <w:rsid w:val="70E91E0A"/>
    <w:rsid w:val="70EAAB13"/>
    <w:rsid w:val="70EB6BF8"/>
    <w:rsid w:val="70EBB22C"/>
    <w:rsid w:val="70FF4F23"/>
    <w:rsid w:val="7101ECE9"/>
    <w:rsid w:val="7104D3F5"/>
    <w:rsid w:val="71078422"/>
    <w:rsid w:val="710BD3BC"/>
    <w:rsid w:val="710CA543"/>
    <w:rsid w:val="7111FA09"/>
    <w:rsid w:val="711BA02D"/>
    <w:rsid w:val="711E9E6E"/>
    <w:rsid w:val="71235A0B"/>
    <w:rsid w:val="7129BD76"/>
    <w:rsid w:val="712BC728"/>
    <w:rsid w:val="712C271C"/>
    <w:rsid w:val="712DBD19"/>
    <w:rsid w:val="71301B68"/>
    <w:rsid w:val="713829CA"/>
    <w:rsid w:val="713933D3"/>
    <w:rsid w:val="7144BBBF"/>
    <w:rsid w:val="7146EB38"/>
    <w:rsid w:val="71542F0E"/>
    <w:rsid w:val="715AC758"/>
    <w:rsid w:val="715BA417"/>
    <w:rsid w:val="715DA445"/>
    <w:rsid w:val="71648C65"/>
    <w:rsid w:val="716D0A1A"/>
    <w:rsid w:val="7172FE8B"/>
    <w:rsid w:val="71793EAF"/>
    <w:rsid w:val="717B1CD1"/>
    <w:rsid w:val="7199F7E4"/>
    <w:rsid w:val="719BB213"/>
    <w:rsid w:val="719FA556"/>
    <w:rsid w:val="71A200E7"/>
    <w:rsid w:val="71A28451"/>
    <w:rsid w:val="71A736D9"/>
    <w:rsid w:val="71A8C111"/>
    <w:rsid w:val="71AAE8BC"/>
    <w:rsid w:val="71B3A7C0"/>
    <w:rsid w:val="71B3B29D"/>
    <w:rsid w:val="71B6C37B"/>
    <w:rsid w:val="71B7BEB7"/>
    <w:rsid w:val="71BA95DB"/>
    <w:rsid w:val="71BC51CE"/>
    <w:rsid w:val="71BDD914"/>
    <w:rsid w:val="71CABEAB"/>
    <w:rsid w:val="71CC4E11"/>
    <w:rsid w:val="71D4E4D7"/>
    <w:rsid w:val="71DDF84B"/>
    <w:rsid w:val="71E7B4E2"/>
    <w:rsid w:val="71ED9467"/>
    <w:rsid w:val="71EE23E4"/>
    <w:rsid w:val="71F23B7A"/>
    <w:rsid w:val="7201AA7F"/>
    <w:rsid w:val="7209BC16"/>
    <w:rsid w:val="720F8555"/>
    <w:rsid w:val="722D69F8"/>
    <w:rsid w:val="72349E59"/>
    <w:rsid w:val="7236F0B1"/>
    <w:rsid w:val="724061D3"/>
    <w:rsid w:val="72426E5D"/>
    <w:rsid w:val="72475B39"/>
    <w:rsid w:val="724D2FFD"/>
    <w:rsid w:val="7255729B"/>
    <w:rsid w:val="7255CE21"/>
    <w:rsid w:val="726626D2"/>
    <w:rsid w:val="726CE805"/>
    <w:rsid w:val="72704AED"/>
    <w:rsid w:val="727A33C0"/>
    <w:rsid w:val="727C491C"/>
    <w:rsid w:val="727E29DD"/>
    <w:rsid w:val="727E5899"/>
    <w:rsid w:val="728F4289"/>
    <w:rsid w:val="7293E3BA"/>
    <w:rsid w:val="7297FD98"/>
    <w:rsid w:val="72997437"/>
    <w:rsid w:val="729CBB3A"/>
    <w:rsid w:val="729E8598"/>
    <w:rsid w:val="72A7B6A3"/>
    <w:rsid w:val="72A8DC82"/>
    <w:rsid w:val="72B77D94"/>
    <w:rsid w:val="72B98B1C"/>
    <w:rsid w:val="72C4B1B7"/>
    <w:rsid w:val="72CBB98C"/>
    <w:rsid w:val="72CEC872"/>
    <w:rsid w:val="72D21A1B"/>
    <w:rsid w:val="72D6C768"/>
    <w:rsid w:val="72DABFE0"/>
    <w:rsid w:val="72DC3A35"/>
    <w:rsid w:val="72E4757A"/>
    <w:rsid w:val="72E5DD40"/>
    <w:rsid w:val="72E5FF7A"/>
    <w:rsid w:val="72F12424"/>
    <w:rsid w:val="72F36207"/>
    <w:rsid w:val="72F3A303"/>
    <w:rsid w:val="72F92362"/>
    <w:rsid w:val="72FAC1A0"/>
    <w:rsid w:val="73115F56"/>
    <w:rsid w:val="7312FAB9"/>
    <w:rsid w:val="7316AC0B"/>
    <w:rsid w:val="73247E80"/>
    <w:rsid w:val="732E30DE"/>
    <w:rsid w:val="73313DCF"/>
    <w:rsid w:val="73349796"/>
    <w:rsid w:val="7343C743"/>
    <w:rsid w:val="73567DBE"/>
    <w:rsid w:val="73568BF2"/>
    <w:rsid w:val="735AFB97"/>
    <w:rsid w:val="735BD3B1"/>
    <w:rsid w:val="736052E0"/>
    <w:rsid w:val="7366A0C3"/>
    <w:rsid w:val="7367A2BB"/>
    <w:rsid w:val="736C61A5"/>
    <w:rsid w:val="736F6902"/>
    <w:rsid w:val="73741388"/>
    <w:rsid w:val="739133BF"/>
    <w:rsid w:val="7392A9A4"/>
    <w:rsid w:val="7394E9E9"/>
    <w:rsid w:val="73A7F430"/>
    <w:rsid w:val="73AABD3A"/>
    <w:rsid w:val="73AD3903"/>
    <w:rsid w:val="73AD74EE"/>
    <w:rsid w:val="73AE85BF"/>
    <w:rsid w:val="73AEE28C"/>
    <w:rsid w:val="73AF2F2F"/>
    <w:rsid w:val="73BBE7D9"/>
    <w:rsid w:val="73C646B8"/>
    <w:rsid w:val="73C6FF36"/>
    <w:rsid w:val="73C78B71"/>
    <w:rsid w:val="73C9A816"/>
    <w:rsid w:val="73C9ACA3"/>
    <w:rsid w:val="73CDD81D"/>
    <w:rsid w:val="73DAA395"/>
    <w:rsid w:val="73DE04C3"/>
    <w:rsid w:val="73DF0EDD"/>
    <w:rsid w:val="73EB02E9"/>
    <w:rsid w:val="73F208EA"/>
    <w:rsid w:val="74122DA1"/>
    <w:rsid w:val="741614EA"/>
    <w:rsid w:val="7416F436"/>
    <w:rsid w:val="7418E2D7"/>
    <w:rsid w:val="741FFDCD"/>
    <w:rsid w:val="7439A924"/>
    <w:rsid w:val="743AAA70"/>
    <w:rsid w:val="744D12B3"/>
    <w:rsid w:val="744DB1B0"/>
    <w:rsid w:val="744E161B"/>
    <w:rsid w:val="7457C944"/>
    <w:rsid w:val="7459D2B9"/>
    <w:rsid w:val="746401D6"/>
    <w:rsid w:val="7476B1AF"/>
    <w:rsid w:val="74797AB3"/>
    <w:rsid w:val="7480EC3C"/>
    <w:rsid w:val="748D0F8C"/>
    <w:rsid w:val="74904666"/>
    <w:rsid w:val="749A448B"/>
    <w:rsid w:val="74A6FEBD"/>
    <w:rsid w:val="74A824BA"/>
    <w:rsid w:val="74AAA915"/>
    <w:rsid w:val="74ADD030"/>
    <w:rsid w:val="74AEE948"/>
    <w:rsid w:val="74C33400"/>
    <w:rsid w:val="74CD4736"/>
    <w:rsid w:val="74D24D0E"/>
    <w:rsid w:val="74E42335"/>
    <w:rsid w:val="74E6E6B3"/>
    <w:rsid w:val="74E794D3"/>
    <w:rsid w:val="74E7A4AF"/>
    <w:rsid w:val="74ECC012"/>
    <w:rsid w:val="74ECF653"/>
    <w:rsid w:val="74F120A0"/>
    <w:rsid w:val="74F3DAB4"/>
    <w:rsid w:val="74F695CC"/>
    <w:rsid w:val="74F7ADB9"/>
    <w:rsid w:val="74FA06CF"/>
    <w:rsid w:val="751545A8"/>
    <w:rsid w:val="75165DB9"/>
    <w:rsid w:val="7517F630"/>
    <w:rsid w:val="751A3183"/>
    <w:rsid w:val="75206807"/>
    <w:rsid w:val="75232A79"/>
    <w:rsid w:val="7526A8E1"/>
    <w:rsid w:val="752B12E4"/>
    <w:rsid w:val="752D1296"/>
    <w:rsid w:val="753BBA54"/>
    <w:rsid w:val="75471725"/>
    <w:rsid w:val="75487C23"/>
    <w:rsid w:val="754B17F5"/>
    <w:rsid w:val="754E18DC"/>
    <w:rsid w:val="755287FE"/>
    <w:rsid w:val="7560BA27"/>
    <w:rsid w:val="756EF381"/>
    <w:rsid w:val="7570C3C8"/>
    <w:rsid w:val="75771901"/>
    <w:rsid w:val="757D1AC2"/>
    <w:rsid w:val="7582D725"/>
    <w:rsid w:val="75866CAB"/>
    <w:rsid w:val="7588A7E3"/>
    <w:rsid w:val="7589EC95"/>
    <w:rsid w:val="758C2FE3"/>
    <w:rsid w:val="758DA0C6"/>
    <w:rsid w:val="758DB432"/>
    <w:rsid w:val="759038CA"/>
    <w:rsid w:val="75999F49"/>
    <w:rsid w:val="75A2A706"/>
    <w:rsid w:val="75B324F1"/>
    <w:rsid w:val="75B4652B"/>
    <w:rsid w:val="75C1E66C"/>
    <w:rsid w:val="75C55DAC"/>
    <w:rsid w:val="75C9B735"/>
    <w:rsid w:val="75CF4C22"/>
    <w:rsid w:val="75D58625"/>
    <w:rsid w:val="75E0C34A"/>
    <w:rsid w:val="75E1AB35"/>
    <w:rsid w:val="75E7B795"/>
    <w:rsid w:val="75E8CE76"/>
    <w:rsid w:val="75F1380D"/>
    <w:rsid w:val="75F5349A"/>
    <w:rsid w:val="75F69501"/>
    <w:rsid w:val="75FF819E"/>
    <w:rsid w:val="760C4C01"/>
    <w:rsid w:val="760E1288"/>
    <w:rsid w:val="76115F1D"/>
    <w:rsid w:val="7613FEEF"/>
    <w:rsid w:val="76223948"/>
    <w:rsid w:val="76312EA0"/>
    <w:rsid w:val="7635AA97"/>
    <w:rsid w:val="76467139"/>
    <w:rsid w:val="764994FE"/>
    <w:rsid w:val="764A7BA7"/>
    <w:rsid w:val="764E21D4"/>
    <w:rsid w:val="764EE802"/>
    <w:rsid w:val="764F8C4B"/>
    <w:rsid w:val="765337AB"/>
    <w:rsid w:val="76677919"/>
    <w:rsid w:val="766F6438"/>
    <w:rsid w:val="7673B394"/>
    <w:rsid w:val="76857394"/>
    <w:rsid w:val="76920515"/>
    <w:rsid w:val="76924FD9"/>
    <w:rsid w:val="76A00889"/>
    <w:rsid w:val="76A0BE92"/>
    <w:rsid w:val="76B1C2F0"/>
    <w:rsid w:val="76B320CB"/>
    <w:rsid w:val="76B42596"/>
    <w:rsid w:val="76B62E2B"/>
    <w:rsid w:val="76C1170F"/>
    <w:rsid w:val="76C31ADA"/>
    <w:rsid w:val="76C43D3A"/>
    <w:rsid w:val="76D063BF"/>
    <w:rsid w:val="76D9442F"/>
    <w:rsid w:val="76D9933D"/>
    <w:rsid w:val="76DCB8F6"/>
    <w:rsid w:val="76EC95BF"/>
    <w:rsid w:val="76EFB274"/>
    <w:rsid w:val="76FEB04B"/>
    <w:rsid w:val="76FF0C46"/>
    <w:rsid w:val="77001524"/>
    <w:rsid w:val="771AF59F"/>
    <w:rsid w:val="771C44CA"/>
    <w:rsid w:val="772D72A0"/>
    <w:rsid w:val="772EF5A5"/>
    <w:rsid w:val="7735C93A"/>
    <w:rsid w:val="77401BBF"/>
    <w:rsid w:val="774171C8"/>
    <w:rsid w:val="774A7ADD"/>
    <w:rsid w:val="774F530F"/>
    <w:rsid w:val="7750E43B"/>
    <w:rsid w:val="775A9BCD"/>
    <w:rsid w:val="775F3B12"/>
    <w:rsid w:val="7760D766"/>
    <w:rsid w:val="7764FE94"/>
    <w:rsid w:val="77699ADB"/>
    <w:rsid w:val="776BA930"/>
    <w:rsid w:val="77729976"/>
    <w:rsid w:val="777C0198"/>
    <w:rsid w:val="777DBE40"/>
    <w:rsid w:val="777F0811"/>
    <w:rsid w:val="77A06EAE"/>
    <w:rsid w:val="77A363FB"/>
    <w:rsid w:val="77A3C8F5"/>
    <w:rsid w:val="77A748FC"/>
    <w:rsid w:val="77ACC9BD"/>
    <w:rsid w:val="77AFAE27"/>
    <w:rsid w:val="77B4C9AA"/>
    <w:rsid w:val="77C1DB77"/>
    <w:rsid w:val="77C4A405"/>
    <w:rsid w:val="77C50558"/>
    <w:rsid w:val="77C693FC"/>
    <w:rsid w:val="77CA5637"/>
    <w:rsid w:val="77D1638E"/>
    <w:rsid w:val="77DE70F1"/>
    <w:rsid w:val="77E13DFD"/>
    <w:rsid w:val="77E22370"/>
    <w:rsid w:val="77E8462C"/>
    <w:rsid w:val="77F35352"/>
    <w:rsid w:val="78024BE3"/>
    <w:rsid w:val="7811AB05"/>
    <w:rsid w:val="78217405"/>
    <w:rsid w:val="78263DB7"/>
    <w:rsid w:val="78290BE3"/>
    <w:rsid w:val="783B3F98"/>
    <w:rsid w:val="783CEB56"/>
    <w:rsid w:val="7840FB44"/>
    <w:rsid w:val="7842034F"/>
    <w:rsid w:val="7850818C"/>
    <w:rsid w:val="7858D2BF"/>
    <w:rsid w:val="7868AA5C"/>
    <w:rsid w:val="786A82E2"/>
    <w:rsid w:val="78743116"/>
    <w:rsid w:val="7876E8C5"/>
    <w:rsid w:val="7876E97E"/>
    <w:rsid w:val="787EF146"/>
    <w:rsid w:val="7886B3B9"/>
    <w:rsid w:val="7887FF8E"/>
    <w:rsid w:val="788D5056"/>
    <w:rsid w:val="788DD947"/>
    <w:rsid w:val="7894476E"/>
    <w:rsid w:val="789A8D35"/>
    <w:rsid w:val="789D2C1A"/>
    <w:rsid w:val="78A5DBB6"/>
    <w:rsid w:val="78A5E4CF"/>
    <w:rsid w:val="78A7A32C"/>
    <w:rsid w:val="78ABB3A7"/>
    <w:rsid w:val="78B207D2"/>
    <w:rsid w:val="78C5CCCC"/>
    <w:rsid w:val="78CEB25A"/>
    <w:rsid w:val="78CEC5B1"/>
    <w:rsid w:val="78D3EE81"/>
    <w:rsid w:val="78DB6E37"/>
    <w:rsid w:val="78E34D55"/>
    <w:rsid w:val="78EC049D"/>
    <w:rsid w:val="78F27870"/>
    <w:rsid w:val="78F37F6A"/>
    <w:rsid w:val="78F474C0"/>
    <w:rsid w:val="78F60E50"/>
    <w:rsid w:val="78F709B5"/>
    <w:rsid w:val="79007A3C"/>
    <w:rsid w:val="7901CAB0"/>
    <w:rsid w:val="790501EE"/>
    <w:rsid w:val="7919A533"/>
    <w:rsid w:val="791BB286"/>
    <w:rsid w:val="7921B0DB"/>
    <w:rsid w:val="792327DE"/>
    <w:rsid w:val="792BD062"/>
    <w:rsid w:val="792C301B"/>
    <w:rsid w:val="7948A2F7"/>
    <w:rsid w:val="794CAFDF"/>
    <w:rsid w:val="7951A2EF"/>
    <w:rsid w:val="79554556"/>
    <w:rsid w:val="79557F0A"/>
    <w:rsid w:val="79643DD6"/>
    <w:rsid w:val="7966BA39"/>
    <w:rsid w:val="79688CCD"/>
    <w:rsid w:val="796A81F8"/>
    <w:rsid w:val="797DEAA8"/>
    <w:rsid w:val="798FD9B8"/>
    <w:rsid w:val="79907FA8"/>
    <w:rsid w:val="799AE0E3"/>
    <w:rsid w:val="79A60E3A"/>
    <w:rsid w:val="79ACFC4F"/>
    <w:rsid w:val="79ADA56A"/>
    <w:rsid w:val="79B0FD6B"/>
    <w:rsid w:val="79B1A8F8"/>
    <w:rsid w:val="79B8830E"/>
    <w:rsid w:val="79CC3C7D"/>
    <w:rsid w:val="79D5DA2E"/>
    <w:rsid w:val="79D9E477"/>
    <w:rsid w:val="79D9FF26"/>
    <w:rsid w:val="79DB11A3"/>
    <w:rsid w:val="79DB503B"/>
    <w:rsid w:val="79EE9ABF"/>
    <w:rsid w:val="7A0E8102"/>
    <w:rsid w:val="7A11DC89"/>
    <w:rsid w:val="7A123C90"/>
    <w:rsid w:val="7A1F536D"/>
    <w:rsid w:val="7A1FF48C"/>
    <w:rsid w:val="7A2434CA"/>
    <w:rsid w:val="7A247CB0"/>
    <w:rsid w:val="7A2FBE19"/>
    <w:rsid w:val="7A4151D8"/>
    <w:rsid w:val="7A45F053"/>
    <w:rsid w:val="7A475D41"/>
    <w:rsid w:val="7A4BE311"/>
    <w:rsid w:val="7A52A5DF"/>
    <w:rsid w:val="7A54A963"/>
    <w:rsid w:val="7A55257D"/>
    <w:rsid w:val="7A56428C"/>
    <w:rsid w:val="7A628A52"/>
    <w:rsid w:val="7A65422D"/>
    <w:rsid w:val="7A6A51A1"/>
    <w:rsid w:val="7A6B0860"/>
    <w:rsid w:val="7A6C41DC"/>
    <w:rsid w:val="7A7CA6E8"/>
    <w:rsid w:val="7A7FA293"/>
    <w:rsid w:val="7A8C1BD8"/>
    <w:rsid w:val="7A8C1C50"/>
    <w:rsid w:val="7A8CB084"/>
    <w:rsid w:val="7A95F93F"/>
    <w:rsid w:val="7A9AD253"/>
    <w:rsid w:val="7AABB47D"/>
    <w:rsid w:val="7AABF960"/>
    <w:rsid w:val="7AB2F9A5"/>
    <w:rsid w:val="7AB6F572"/>
    <w:rsid w:val="7AB71C13"/>
    <w:rsid w:val="7ABA72F6"/>
    <w:rsid w:val="7ABF1B0A"/>
    <w:rsid w:val="7AC4D822"/>
    <w:rsid w:val="7AC50F18"/>
    <w:rsid w:val="7AC6A4E0"/>
    <w:rsid w:val="7ACF1C29"/>
    <w:rsid w:val="7AE41438"/>
    <w:rsid w:val="7AE6C28A"/>
    <w:rsid w:val="7AF3A08C"/>
    <w:rsid w:val="7AF8174B"/>
    <w:rsid w:val="7AFC92CC"/>
    <w:rsid w:val="7B0568AF"/>
    <w:rsid w:val="7B06A87D"/>
    <w:rsid w:val="7B0745DC"/>
    <w:rsid w:val="7B0CF4E8"/>
    <w:rsid w:val="7B118672"/>
    <w:rsid w:val="7B1BACA0"/>
    <w:rsid w:val="7B1FD22F"/>
    <w:rsid w:val="7B233A80"/>
    <w:rsid w:val="7B2D51F9"/>
    <w:rsid w:val="7B3056BB"/>
    <w:rsid w:val="7B32A5A0"/>
    <w:rsid w:val="7B37A0CA"/>
    <w:rsid w:val="7B39616A"/>
    <w:rsid w:val="7B3C834B"/>
    <w:rsid w:val="7B3F24E3"/>
    <w:rsid w:val="7B4F6D43"/>
    <w:rsid w:val="7B69B4FB"/>
    <w:rsid w:val="7B76AAB5"/>
    <w:rsid w:val="7B78B1D3"/>
    <w:rsid w:val="7B7F4CBC"/>
    <w:rsid w:val="7B84804C"/>
    <w:rsid w:val="7B85D48E"/>
    <w:rsid w:val="7B951486"/>
    <w:rsid w:val="7B9AAA2A"/>
    <w:rsid w:val="7B9BF3E5"/>
    <w:rsid w:val="7B9C7F5C"/>
    <w:rsid w:val="7BB5115F"/>
    <w:rsid w:val="7BCC3101"/>
    <w:rsid w:val="7BD95156"/>
    <w:rsid w:val="7BDDD3E9"/>
    <w:rsid w:val="7BDFF622"/>
    <w:rsid w:val="7BE4BF10"/>
    <w:rsid w:val="7BF18CB1"/>
    <w:rsid w:val="7BF67E11"/>
    <w:rsid w:val="7C00B880"/>
    <w:rsid w:val="7C109272"/>
    <w:rsid w:val="7C1EB96B"/>
    <w:rsid w:val="7C23AF26"/>
    <w:rsid w:val="7C26A4B4"/>
    <w:rsid w:val="7C2A32AB"/>
    <w:rsid w:val="7C377A3A"/>
    <w:rsid w:val="7C4024D3"/>
    <w:rsid w:val="7C4C2F09"/>
    <w:rsid w:val="7C518CD4"/>
    <w:rsid w:val="7C53A75B"/>
    <w:rsid w:val="7C55E8A6"/>
    <w:rsid w:val="7C58DD06"/>
    <w:rsid w:val="7C60601F"/>
    <w:rsid w:val="7C60745D"/>
    <w:rsid w:val="7C63E4A6"/>
    <w:rsid w:val="7C77C0E3"/>
    <w:rsid w:val="7C7A755E"/>
    <w:rsid w:val="7C81BA0B"/>
    <w:rsid w:val="7C91F25A"/>
    <w:rsid w:val="7C9C076A"/>
    <w:rsid w:val="7C9EDAF3"/>
    <w:rsid w:val="7CAA9D32"/>
    <w:rsid w:val="7CAEFF74"/>
    <w:rsid w:val="7CB48B4B"/>
    <w:rsid w:val="7CB6ADCA"/>
    <w:rsid w:val="7CBCBC26"/>
    <w:rsid w:val="7CC16B2E"/>
    <w:rsid w:val="7CC5F097"/>
    <w:rsid w:val="7CC6F0A2"/>
    <w:rsid w:val="7CCAAC2A"/>
    <w:rsid w:val="7CCFA486"/>
    <w:rsid w:val="7CE3E347"/>
    <w:rsid w:val="7CE4AEAB"/>
    <w:rsid w:val="7CEB68EE"/>
    <w:rsid w:val="7CEC7306"/>
    <w:rsid w:val="7CF5019E"/>
    <w:rsid w:val="7CF61E9F"/>
    <w:rsid w:val="7CFAF0C3"/>
    <w:rsid w:val="7D0962B2"/>
    <w:rsid w:val="7D1046B6"/>
    <w:rsid w:val="7D128AB0"/>
    <w:rsid w:val="7D151059"/>
    <w:rsid w:val="7D19DABE"/>
    <w:rsid w:val="7D262DCF"/>
    <w:rsid w:val="7D2698D4"/>
    <w:rsid w:val="7D26F482"/>
    <w:rsid w:val="7D27BCDA"/>
    <w:rsid w:val="7D288492"/>
    <w:rsid w:val="7D2D59A3"/>
    <w:rsid w:val="7D302082"/>
    <w:rsid w:val="7D30FC66"/>
    <w:rsid w:val="7D339902"/>
    <w:rsid w:val="7D33DAC5"/>
    <w:rsid w:val="7D4A7951"/>
    <w:rsid w:val="7D4B3CBE"/>
    <w:rsid w:val="7D4BDF53"/>
    <w:rsid w:val="7D52163A"/>
    <w:rsid w:val="7D546BC6"/>
    <w:rsid w:val="7D5D37B8"/>
    <w:rsid w:val="7D632751"/>
    <w:rsid w:val="7D65CA49"/>
    <w:rsid w:val="7D65D268"/>
    <w:rsid w:val="7D704E86"/>
    <w:rsid w:val="7D75EB93"/>
    <w:rsid w:val="7D7630B2"/>
    <w:rsid w:val="7D7CA617"/>
    <w:rsid w:val="7D7FD9D5"/>
    <w:rsid w:val="7D8F864D"/>
    <w:rsid w:val="7D954840"/>
    <w:rsid w:val="7D9B0BEE"/>
    <w:rsid w:val="7D9C3E04"/>
    <w:rsid w:val="7D9C76C8"/>
    <w:rsid w:val="7D9FFA6C"/>
    <w:rsid w:val="7DA6FCDD"/>
    <w:rsid w:val="7DA9618A"/>
    <w:rsid w:val="7DB642EC"/>
    <w:rsid w:val="7DBC3F61"/>
    <w:rsid w:val="7DC001CF"/>
    <w:rsid w:val="7DC6B490"/>
    <w:rsid w:val="7DD44BE6"/>
    <w:rsid w:val="7DDCDA74"/>
    <w:rsid w:val="7DE3C2DA"/>
    <w:rsid w:val="7DE3F045"/>
    <w:rsid w:val="7DE5943B"/>
    <w:rsid w:val="7DF2C530"/>
    <w:rsid w:val="7DF87AD0"/>
    <w:rsid w:val="7DF9FF30"/>
    <w:rsid w:val="7DFE5688"/>
    <w:rsid w:val="7E02896F"/>
    <w:rsid w:val="7E03205D"/>
    <w:rsid w:val="7E091679"/>
    <w:rsid w:val="7E0CAB04"/>
    <w:rsid w:val="7E0FBB1B"/>
    <w:rsid w:val="7E10D3B4"/>
    <w:rsid w:val="7E114299"/>
    <w:rsid w:val="7E228C7E"/>
    <w:rsid w:val="7E32C397"/>
    <w:rsid w:val="7E3C8B7A"/>
    <w:rsid w:val="7E483DCB"/>
    <w:rsid w:val="7E5D9D99"/>
    <w:rsid w:val="7E60ADEC"/>
    <w:rsid w:val="7E686FC8"/>
    <w:rsid w:val="7E6A8867"/>
    <w:rsid w:val="7E6E6856"/>
    <w:rsid w:val="7E7008C5"/>
    <w:rsid w:val="7E76AE44"/>
    <w:rsid w:val="7E796562"/>
    <w:rsid w:val="7E7B9E6A"/>
    <w:rsid w:val="7E8521E6"/>
    <w:rsid w:val="7E8EDB6F"/>
    <w:rsid w:val="7E90D484"/>
    <w:rsid w:val="7E97F601"/>
    <w:rsid w:val="7E9AA2F2"/>
    <w:rsid w:val="7E9B86CC"/>
    <w:rsid w:val="7E9BB1E8"/>
    <w:rsid w:val="7EA08D52"/>
    <w:rsid w:val="7EA712EC"/>
    <w:rsid w:val="7EA900A2"/>
    <w:rsid w:val="7EC31482"/>
    <w:rsid w:val="7ED0E206"/>
    <w:rsid w:val="7ED4138A"/>
    <w:rsid w:val="7ED5E646"/>
    <w:rsid w:val="7ED834F5"/>
    <w:rsid w:val="7EDC9512"/>
    <w:rsid w:val="7EDF4D1B"/>
    <w:rsid w:val="7EDFE69B"/>
    <w:rsid w:val="7EE44129"/>
    <w:rsid w:val="7EE74F0A"/>
    <w:rsid w:val="7EF454F4"/>
    <w:rsid w:val="7EF5DA40"/>
    <w:rsid w:val="7EF9CCB0"/>
    <w:rsid w:val="7EFC2E53"/>
    <w:rsid w:val="7F00C2DC"/>
    <w:rsid w:val="7F04F28F"/>
    <w:rsid w:val="7F051A45"/>
    <w:rsid w:val="7F062675"/>
    <w:rsid w:val="7F062DC9"/>
    <w:rsid w:val="7F0BECCA"/>
    <w:rsid w:val="7F0C0EA2"/>
    <w:rsid w:val="7F1452E2"/>
    <w:rsid w:val="7F147763"/>
    <w:rsid w:val="7F1D1349"/>
    <w:rsid w:val="7F1E2074"/>
    <w:rsid w:val="7F1EC279"/>
    <w:rsid w:val="7F2A63A7"/>
    <w:rsid w:val="7F2A8855"/>
    <w:rsid w:val="7F2F3D5E"/>
    <w:rsid w:val="7F36EB28"/>
    <w:rsid w:val="7F4530C0"/>
    <w:rsid w:val="7F4EB66D"/>
    <w:rsid w:val="7F50CFB0"/>
    <w:rsid w:val="7F51FAF8"/>
    <w:rsid w:val="7F56DEDC"/>
    <w:rsid w:val="7F5B1817"/>
    <w:rsid w:val="7F5C1954"/>
    <w:rsid w:val="7F5C7166"/>
    <w:rsid w:val="7F69ECC5"/>
    <w:rsid w:val="7F6DA966"/>
    <w:rsid w:val="7F6E6B87"/>
    <w:rsid w:val="7F6F7C2B"/>
    <w:rsid w:val="7F827728"/>
    <w:rsid w:val="7F8D5149"/>
    <w:rsid w:val="7F91BBD0"/>
    <w:rsid w:val="7F9541C3"/>
    <w:rsid w:val="7F975493"/>
    <w:rsid w:val="7F97BF66"/>
    <w:rsid w:val="7F9A4445"/>
    <w:rsid w:val="7F9AD047"/>
    <w:rsid w:val="7FA14206"/>
    <w:rsid w:val="7FA1A663"/>
    <w:rsid w:val="7FA319EA"/>
    <w:rsid w:val="7FA57392"/>
    <w:rsid w:val="7FB02C95"/>
    <w:rsid w:val="7FB245B1"/>
    <w:rsid w:val="7FBB9F1E"/>
    <w:rsid w:val="7FBF91F7"/>
    <w:rsid w:val="7FC2E68C"/>
    <w:rsid w:val="7FC2ECBB"/>
    <w:rsid w:val="7FCA5B42"/>
    <w:rsid w:val="7FCFB1E9"/>
    <w:rsid w:val="7FD3AAF6"/>
    <w:rsid w:val="7FDB3A01"/>
    <w:rsid w:val="7FDF9A36"/>
    <w:rsid w:val="7FE5D443"/>
    <w:rsid w:val="7FEE252E"/>
    <w:rsid w:val="7FEE788D"/>
    <w:rsid w:val="7FFE71D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4E7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qFormat="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0"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0"/>
    <w:lsdException w:name="List Number" w:uiPriority="30"/>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uiPriority="0"/>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0"/>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semiHidden="1" w:uiPriority="34" w:qFormat="1"/>
    <w:lsdException w:name="Quote" w:semiHidden="1" w:uiPriority="0" w:qFormat="1"/>
    <w:lsdException w:name="Intense Quote" w:semiHidden="1"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0" w:qFormat="1"/>
    <w:lsdException w:name="Intense Emphasis" w:semiHidden="1" w:uiPriority="0" w:qFormat="1"/>
    <w:lsdException w:name="Subtle Reference" w:semiHidden="1" w:uiPriority="0" w:qFormat="1"/>
    <w:lsdException w:name="Intense Reference" w:semiHidden="1" w:uiPriority="0" w:qFormat="1"/>
    <w:lsdException w:name="Book Title" w:semiHidden="1" w:uiPriority="0" w:qFormat="1"/>
    <w:lsdException w:name="Bibliography" w:semiHidden="1"/>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5D7A"/>
    <w:pPr>
      <w:spacing w:after="120" w:line="264" w:lineRule="auto"/>
      <w:jc w:val="both"/>
    </w:pPr>
    <w:rPr>
      <w:sz w:val="22"/>
    </w:rPr>
  </w:style>
  <w:style w:type="paragraph" w:styleId="Heading1">
    <w:name w:val="heading 1"/>
    <w:basedOn w:val="Normal"/>
    <w:next w:val="Normal"/>
    <w:uiPriority w:val="10"/>
    <w:qFormat/>
    <w:pPr>
      <w:keepNext/>
      <w:numPr>
        <w:numId w:val="13"/>
      </w:numPr>
      <w:spacing w:before="480"/>
      <w:outlineLvl w:val="0"/>
    </w:pPr>
    <w:rPr>
      <w:b/>
      <w:smallCaps/>
      <w:sz w:val="26"/>
    </w:rPr>
  </w:style>
  <w:style w:type="paragraph" w:styleId="Heading2">
    <w:name w:val="heading 2"/>
    <w:basedOn w:val="Normal"/>
    <w:next w:val="Normal"/>
    <w:uiPriority w:val="10"/>
    <w:qFormat/>
    <w:pPr>
      <w:keepNext/>
      <w:numPr>
        <w:ilvl w:val="1"/>
        <w:numId w:val="13"/>
      </w:numPr>
      <w:tabs>
        <w:tab w:val="clear" w:pos="1729"/>
        <w:tab w:val="num" w:pos="595"/>
      </w:tabs>
      <w:spacing w:before="420"/>
      <w:ind w:left="595"/>
      <w:outlineLvl w:val="1"/>
    </w:pPr>
    <w:rPr>
      <w:b/>
      <w:sz w:val="26"/>
    </w:rPr>
  </w:style>
  <w:style w:type="paragraph" w:styleId="Heading3">
    <w:name w:val="heading 3"/>
    <w:basedOn w:val="Normal"/>
    <w:next w:val="Normal"/>
    <w:uiPriority w:val="10"/>
    <w:qFormat/>
    <w:pPr>
      <w:keepNext/>
      <w:numPr>
        <w:ilvl w:val="2"/>
        <w:numId w:val="13"/>
      </w:numPr>
      <w:spacing w:before="360"/>
      <w:outlineLvl w:val="2"/>
    </w:pPr>
    <w:rPr>
      <w:b/>
      <w:sz w:val="24"/>
    </w:rPr>
  </w:style>
  <w:style w:type="paragraph" w:styleId="Heading4">
    <w:name w:val="heading 4"/>
    <w:basedOn w:val="Normal"/>
    <w:next w:val="Normal"/>
    <w:uiPriority w:val="10"/>
    <w:qFormat/>
    <w:pPr>
      <w:numPr>
        <w:ilvl w:val="3"/>
        <w:numId w:val="13"/>
      </w:numPr>
      <w:spacing w:before="360"/>
      <w:outlineLvl w:val="3"/>
    </w:pPr>
    <w:rPr>
      <w:b/>
    </w:rPr>
  </w:style>
  <w:style w:type="paragraph" w:styleId="Heading5">
    <w:name w:val="heading 5"/>
    <w:basedOn w:val="Normal"/>
    <w:next w:val="Normal"/>
    <w:semiHidden/>
    <w:pPr>
      <w:keepNext/>
      <w:numPr>
        <w:ilvl w:val="4"/>
        <w:numId w:val="13"/>
      </w:numPr>
      <w:outlineLvl w:val="4"/>
    </w:pPr>
  </w:style>
  <w:style w:type="paragraph" w:styleId="Heading6">
    <w:name w:val="heading 6"/>
    <w:basedOn w:val="Normal"/>
    <w:next w:val="Normal"/>
    <w:semiHidden/>
    <w:pPr>
      <w:keepNext/>
      <w:numPr>
        <w:ilvl w:val="5"/>
        <w:numId w:val="13"/>
      </w:numPr>
      <w:outlineLvl w:val="5"/>
    </w:pPr>
  </w:style>
  <w:style w:type="paragraph" w:styleId="Heading7">
    <w:name w:val="heading 7"/>
    <w:basedOn w:val="Normal"/>
    <w:next w:val="Normal"/>
    <w:semiHidden/>
    <w:pPr>
      <w:keepNext/>
      <w:numPr>
        <w:ilvl w:val="6"/>
        <w:numId w:val="13"/>
      </w:numPr>
      <w:outlineLvl w:val="6"/>
    </w:pPr>
  </w:style>
  <w:style w:type="paragraph" w:styleId="Heading8">
    <w:name w:val="heading 8"/>
    <w:basedOn w:val="Normal"/>
    <w:next w:val="Normal"/>
    <w:semiHidden/>
    <w:pPr>
      <w:keepNext/>
      <w:numPr>
        <w:ilvl w:val="7"/>
        <w:numId w:val="13"/>
      </w:numPr>
      <w:outlineLvl w:val="7"/>
    </w:pPr>
  </w:style>
  <w:style w:type="paragraph" w:styleId="Heading9">
    <w:name w:val="heading 9"/>
    <w:basedOn w:val="Normal"/>
    <w:next w:val="Normal"/>
    <w:semiHidden/>
    <w:pPr>
      <w:keepNext/>
      <w:numPr>
        <w:ilvl w:val="8"/>
        <w:numId w:val="1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croTextChar">
    <w:name w:val="Macro Text Char"/>
    <w:basedOn w:val="DefaultParagraphFont"/>
    <w:uiPriority w:val="5"/>
    <w:qFormat/>
    <w:rPr>
      <w:rFonts w:ascii="Courier New" w:hAnsi="Courier New"/>
      <w:sz w:val="20"/>
    </w:rPr>
  </w:style>
  <w:style w:type="character" w:customStyle="1" w:styleId="Heading1Char">
    <w:name w:val="Heading 1 Char"/>
    <w:uiPriority w:val="10"/>
    <w:rsid w:val="00506262"/>
    <w:rPr>
      <w:b/>
      <w:smallCaps/>
      <w:sz w:val="26"/>
    </w:rPr>
  </w:style>
  <w:style w:type="character" w:customStyle="1" w:styleId="Heading2Char">
    <w:name w:val="Heading 2 Char"/>
    <w:uiPriority w:val="10"/>
    <w:rsid w:val="00506262"/>
    <w:rPr>
      <w:b/>
      <w:sz w:val="26"/>
    </w:rPr>
  </w:style>
  <w:style w:type="character" w:customStyle="1" w:styleId="Heading3Char">
    <w:name w:val="Heading 3 Char"/>
    <w:rsid w:val="00506262"/>
    <w:rPr>
      <w:b/>
    </w:rPr>
  </w:style>
  <w:style w:type="character" w:customStyle="1" w:styleId="Heading4Char">
    <w:name w:val="Heading 4 Char"/>
    <w:rsid w:val="00506262"/>
    <w:rPr>
      <w:b/>
      <w:sz w:val="22"/>
    </w:rPr>
  </w:style>
  <w:style w:type="character" w:customStyle="1" w:styleId="Heading5Char">
    <w:name w:val="Heading 5 Char"/>
    <w:rsid w:val="00506262"/>
    <w:rPr>
      <w:sz w:val="22"/>
    </w:rPr>
  </w:style>
  <w:style w:type="character" w:customStyle="1" w:styleId="Heading6Char">
    <w:name w:val="Heading 6 Char"/>
    <w:rsid w:val="00506262"/>
    <w:rPr>
      <w:sz w:val="22"/>
    </w:rPr>
  </w:style>
  <w:style w:type="character" w:customStyle="1" w:styleId="Heading7Char">
    <w:name w:val="Heading 7 Char"/>
    <w:rsid w:val="00506262"/>
    <w:rPr>
      <w:sz w:val="22"/>
    </w:rPr>
  </w:style>
  <w:style w:type="character" w:customStyle="1" w:styleId="Heading8Char">
    <w:name w:val="Heading 8 Char"/>
    <w:rsid w:val="00506262"/>
    <w:rPr>
      <w:sz w:val="22"/>
    </w:rPr>
  </w:style>
  <w:style w:type="character" w:customStyle="1" w:styleId="Heading9Char">
    <w:name w:val="Heading 9 Char"/>
    <w:rsid w:val="00506262"/>
    <w:rPr>
      <w:sz w:val="22"/>
    </w:rPr>
  </w:style>
  <w:style w:type="character" w:customStyle="1" w:styleId="TitleChar">
    <w:name w:val="Title Char"/>
    <w:rsid w:val="00506262"/>
    <w:rPr>
      <w:b/>
      <w:kern w:val="28"/>
      <w:sz w:val="48"/>
    </w:rPr>
  </w:style>
  <w:style w:type="paragraph" w:styleId="Subtitle">
    <w:name w:val="Subtitle"/>
    <w:basedOn w:val="Normal"/>
    <w:next w:val="Normal"/>
    <w:link w:val="SubtitleChar"/>
    <w:qFormat/>
    <w:rsid w:val="00506262"/>
    <w:pPr>
      <w:numPr>
        <w:ilvl w:val="1"/>
      </w:numPr>
      <w:spacing w:after="240" w:line="240" w:lineRule="auto"/>
      <w:jc w:val="left"/>
    </w:pPr>
    <w:rPr>
      <w:rFonts w:ascii="Aptos Display" w:eastAsia="Yu Gothic Light" w:hAnsi="Aptos Display"/>
      <w:color w:val="156082"/>
      <w:sz w:val="28"/>
      <w:szCs w:val="28"/>
    </w:rPr>
  </w:style>
  <w:style w:type="character" w:customStyle="1" w:styleId="SubtitleChar">
    <w:name w:val="Subtitle Char"/>
    <w:basedOn w:val="DefaultParagraphFont"/>
    <w:link w:val="Subtitle"/>
    <w:rsid w:val="00506262"/>
    <w:rPr>
      <w:rFonts w:ascii="Aptos Display" w:eastAsia="Yu Gothic Light" w:hAnsi="Aptos Display"/>
      <w:color w:val="156082"/>
      <w:sz w:val="28"/>
      <w:szCs w:val="28"/>
    </w:rPr>
  </w:style>
  <w:style w:type="paragraph" w:styleId="Quote">
    <w:name w:val="Quote"/>
    <w:basedOn w:val="Normal"/>
    <w:next w:val="Normal"/>
    <w:link w:val="QuoteChar"/>
    <w:qFormat/>
    <w:rsid w:val="00506262"/>
    <w:pPr>
      <w:spacing w:before="120" w:line="259" w:lineRule="auto"/>
      <w:ind w:left="720"/>
      <w:jc w:val="left"/>
    </w:pPr>
    <w:rPr>
      <w:rFonts w:ascii="Aptos" w:eastAsia="Yu Gothic" w:hAnsi="Aptos" w:cs="Arial"/>
      <w:color w:val="0E2841"/>
      <w:sz w:val="24"/>
      <w:szCs w:val="24"/>
    </w:rPr>
  </w:style>
  <w:style w:type="character" w:customStyle="1" w:styleId="QuoteChar">
    <w:name w:val="Quote Char"/>
    <w:basedOn w:val="DefaultParagraphFont"/>
    <w:link w:val="Quote"/>
    <w:rsid w:val="00506262"/>
    <w:rPr>
      <w:rFonts w:ascii="Aptos" w:eastAsia="Yu Gothic" w:hAnsi="Aptos" w:cs="Arial"/>
      <w:color w:val="0E2841"/>
      <w:szCs w:val="24"/>
    </w:rPr>
  </w:style>
  <w:style w:type="paragraph" w:styleId="ListParagraph">
    <w:name w:val="List Paragraph"/>
    <w:aliases w:val="Dot pt,F5 List Paragraph,List Paragraph1,No Spacing1,List Paragraph Char Char Char,Indicator Text,Numbered Para 1,Bullet 1,Bullet Points,List Paragraph2,MAIN CONTENT,Normal numbered,List Paragraph12,Recommendatio,List Paragraph 1,L,LISTA"/>
    <w:basedOn w:val="Normal"/>
    <w:link w:val="ListParagraphChar"/>
    <w:uiPriority w:val="34"/>
    <w:qFormat/>
    <w:rsid w:val="00506262"/>
    <w:pPr>
      <w:spacing w:after="160" w:line="259" w:lineRule="auto"/>
      <w:ind w:left="720"/>
      <w:contextualSpacing/>
      <w:jc w:val="left"/>
    </w:pPr>
    <w:rPr>
      <w:rFonts w:ascii="Aptos" w:eastAsia="Yu Gothic" w:hAnsi="Aptos" w:cs="Arial"/>
      <w:szCs w:val="22"/>
    </w:rPr>
  </w:style>
  <w:style w:type="character" w:styleId="IntenseEmphasis">
    <w:name w:val="Intense Emphasis"/>
    <w:qFormat/>
    <w:rsid w:val="00506262"/>
    <w:rPr>
      <w:b/>
      <w:bCs/>
      <w:i/>
      <w:iCs/>
    </w:rPr>
  </w:style>
  <w:style w:type="paragraph" w:styleId="IntenseQuote">
    <w:name w:val="Intense Quote"/>
    <w:basedOn w:val="Normal"/>
    <w:next w:val="Normal"/>
    <w:link w:val="IntenseQuoteChar"/>
    <w:qFormat/>
    <w:rsid w:val="00506262"/>
    <w:pPr>
      <w:spacing w:before="100" w:beforeAutospacing="1" w:after="240" w:line="240" w:lineRule="auto"/>
      <w:ind w:left="720"/>
      <w:jc w:val="center"/>
    </w:pPr>
    <w:rPr>
      <w:rFonts w:ascii="Aptos Display" w:eastAsia="Yu Gothic Light" w:hAnsi="Aptos Display"/>
      <w:color w:val="0E2841"/>
      <w:spacing w:val="-6"/>
      <w:sz w:val="32"/>
      <w:szCs w:val="32"/>
    </w:rPr>
  </w:style>
  <w:style w:type="character" w:customStyle="1" w:styleId="IntenseQuoteChar">
    <w:name w:val="Intense Quote Char"/>
    <w:basedOn w:val="DefaultParagraphFont"/>
    <w:link w:val="IntenseQuote"/>
    <w:rsid w:val="00506262"/>
    <w:rPr>
      <w:rFonts w:ascii="Aptos Display" w:eastAsia="Yu Gothic Light" w:hAnsi="Aptos Display"/>
      <w:color w:val="0E2841"/>
      <w:spacing w:val="-6"/>
      <w:sz w:val="32"/>
      <w:szCs w:val="32"/>
    </w:rPr>
  </w:style>
  <w:style w:type="character" w:styleId="IntenseReference">
    <w:name w:val="Intense Reference"/>
    <w:qFormat/>
    <w:rsid w:val="00506262"/>
    <w:rPr>
      <w:b/>
      <w:bCs/>
      <w:smallCaps/>
      <w:color w:val="0E2841"/>
      <w:u w:val="single"/>
    </w:rPr>
  </w:style>
  <w:style w:type="character" w:customStyle="1" w:styleId="Marker">
    <w:name w:val="Marker"/>
    <w:rsid w:val="00506262"/>
    <w:rPr>
      <w:color w:val="0000FF"/>
      <w:shd w:val="clear" w:color="auto" w:fill="auto"/>
    </w:rPr>
  </w:style>
  <w:style w:type="paragraph" w:customStyle="1" w:styleId="Pagedecouverture">
    <w:name w:val="Page de couverture"/>
    <w:basedOn w:val="Normal"/>
    <w:next w:val="Normal"/>
    <w:rsid w:val="00506262"/>
    <w:pPr>
      <w:spacing w:after="0" w:line="240" w:lineRule="auto"/>
    </w:pPr>
    <w:rPr>
      <w:rFonts w:eastAsia="Yu Gothic"/>
      <w:sz w:val="24"/>
      <w:szCs w:val="22"/>
    </w:rPr>
  </w:style>
  <w:style w:type="paragraph" w:customStyle="1" w:styleId="FooterCoverPage">
    <w:name w:val="Footer Cover Page"/>
    <w:basedOn w:val="Normal"/>
    <w:link w:val="FooterCoverPageChar"/>
    <w:rsid w:val="00506262"/>
    <w:pPr>
      <w:tabs>
        <w:tab w:val="center" w:pos="4535"/>
        <w:tab w:val="right" w:pos="9071"/>
        <w:tab w:val="right" w:pos="9921"/>
      </w:tabs>
      <w:spacing w:before="360" w:after="0" w:line="240" w:lineRule="auto"/>
      <w:ind w:left="-850" w:right="-850"/>
      <w:jc w:val="left"/>
    </w:pPr>
    <w:rPr>
      <w:sz w:val="24"/>
    </w:rPr>
  </w:style>
  <w:style w:type="character" w:customStyle="1" w:styleId="FooterCoverPageChar">
    <w:name w:val="Footer Cover Page Char"/>
    <w:link w:val="FooterCoverPage"/>
    <w:rsid w:val="00506262"/>
  </w:style>
  <w:style w:type="paragraph" w:customStyle="1" w:styleId="FooterSensitivity">
    <w:name w:val="Footer Sensitivity"/>
    <w:basedOn w:val="Normal"/>
    <w:link w:val="FooterSensitivityChar"/>
    <w:rsid w:val="0050626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link w:val="FooterSensitivity"/>
    <w:rsid w:val="00506262"/>
    <w:rPr>
      <w:b/>
      <w:sz w:val="32"/>
    </w:rPr>
  </w:style>
  <w:style w:type="paragraph" w:customStyle="1" w:styleId="HeaderCoverPage">
    <w:name w:val="Header Cover Page"/>
    <w:basedOn w:val="Normal"/>
    <w:link w:val="HeaderCoverPageChar"/>
    <w:rsid w:val="00506262"/>
    <w:pPr>
      <w:tabs>
        <w:tab w:val="center" w:pos="4535"/>
        <w:tab w:val="right" w:pos="9071"/>
      </w:tabs>
      <w:spacing w:line="240" w:lineRule="auto"/>
    </w:pPr>
    <w:rPr>
      <w:sz w:val="24"/>
    </w:rPr>
  </w:style>
  <w:style w:type="character" w:customStyle="1" w:styleId="HeaderCoverPageChar">
    <w:name w:val="Header Cover Page Char"/>
    <w:link w:val="HeaderCoverPage"/>
    <w:rsid w:val="00506262"/>
  </w:style>
  <w:style w:type="paragraph" w:customStyle="1" w:styleId="HeaderSensitivity">
    <w:name w:val="Header Sensitivity"/>
    <w:basedOn w:val="Normal"/>
    <w:link w:val="HeaderSensitivityChar"/>
    <w:rsid w:val="00506262"/>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link w:val="HeaderSensitivity"/>
    <w:rsid w:val="00506262"/>
    <w:rPr>
      <w:b/>
      <w:sz w:val="32"/>
    </w:rPr>
  </w:style>
  <w:style w:type="paragraph" w:customStyle="1" w:styleId="HeaderSensitivityRight">
    <w:name w:val="Header Sensitivity Right"/>
    <w:basedOn w:val="Normal"/>
    <w:link w:val="HeaderSensitivityRightChar"/>
    <w:rsid w:val="00506262"/>
    <w:pPr>
      <w:spacing w:line="240" w:lineRule="auto"/>
      <w:jc w:val="right"/>
    </w:pPr>
    <w:rPr>
      <w:sz w:val="28"/>
    </w:rPr>
  </w:style>
  <w:style w:type="character" w:customStyle="1" w:styleId="HeaderSensitivityRightChar">
    <w:name w:val="Header Sensitivity Right Char"/>
    <w:link w:val="HeaderSensitivityRight"/>
    <w:rsid w:val="00506262"/>
    <w:rPr>
      <w:sz w:val="28"/>
    </w:rPr>
  </w:style>
  <w:style w:type="character" w:styleId="CommentReference">
    <w:name w:val="annotation reference"/>
    <w:uiPriority w:val="99"/>
    <w:rsid w:val="00506262"/>
    <w:rPr>
      <w:sz w:val="16"/>
      <w:szCs w:val="16"/>
    </w:rPr>
  </w:style>
  <w:style w:type="paragraph" w:styleId="CommentText">
    <w:name w:val="annotation text"/>
    <w:basedOn w:val="Normal"/>
    <w:link w:val="CommentTextChar"/>
    <w:uiPriority w:val="99"/>
    <w:rsid w:val="00506262"/>
    <w:pPr>
      <w:spacing w:after="160" w:line="240" w:lineRule="auto"/>
      <w:jc w:val="left"/>
    </w:pPr>
    <w:rPr>
      <w:rFonts w:ascii="Aptos" w:eastAsia="Yu Gothic" w:hAnsi="Aptos" w:cs="Arial"/>
      <w:sz w:val="20"/>
    </w:rPr>
  </w:style>
  <w:style w:type="character" w:customStyle="1" w:styleId="CommentTextChar">
    <w:name w:val="Comment Text Char"/>
    <w:basedOn w:val="DefaultParagraphFont"/>
    <w:link w:val="CommentText"/>
    <w:uiPriority w:val="99"/>
    <w:rsid w:val="00506262"/>
    <w:rPr>
      <w:rFonts w:ascii="Aptos" w:eastAsia="Yu Gothic" w:hAnsi="Aptos" w:cs="Arial"/>
      <w:sz w:val="20"/>
    </w:rPr>
  </w:style>
  <w:style w:type="paragraph" w:styleId="CommentSubject">
    <w:name w:val="annotation subject"/>
    <w:basedOn w:val="CommentText"/>
    <w:next w:val="CommentText"/>
    <w:link w:val="CommentSubjectChar"/>
    <w:rsid w:val="00506262"/>
    <w:rPr>
      <w:b/>
      <w:bCs/>
    </w:rPr>
  </w:style>
  <w:style w:type="character" w:customStyle="1" w:styleId="CommentSubjectChar">
    <w:name w:val="Comment Subject Char"/>
    <w:basedOn w:val="CommentTextChar"/>
    <w:link w:val="CommentSubject"/>
    <w:rsid w:val="00506262"/>
    <w:rPr>
      <w:rFonts w:ascii="Aptos" w:eastAsia="Yu Gothic" w:hAnsi="Aptos" w:cs="Arial"/>
      <w:b/>
      <w:bCs/>
      <w:sz w:val="20"/>
    </w:rPr>
  </w:style>
  <w:style w:type="character" w:customStyle="1" w:styleId="ListParagraphChar">
    <w:name w:val="List Paragraph Char"/>
    <w:aliases w:val="Dot pt Char,F5 List Paragraph Char,List Paragraph1 Char,No Spacing1 Char,List Paragraph Char Char Char Char,Indicator Text Char,Numbered Para 1 Char,Bullet 1 Char,Bullet Points Char,List Paragraph2 Char,MAIN CONTENT Char,L Char"/>
    <w:basedOn w:val="DefaultParagraphFont"/>
    <w:link w:val="ListParagraph"/>
    <w:uiPriority w:val="34"/>
    <w:qFormat/>
    <w:locked/>
    <w:rsid w:val="00506262"/>
    <w:rPr>
      <w:rFonts w:ascii="Aptos" w:eastAsia="Yu Gothic" w:hAnsi="Aptos" w:cs="Arial"/>
      <w:sz w:val="22"/>
      <w:szCs w:val="22"/>
    </w:rPr>
  </w:style>
  <w:style w:type="paragraph" w:styleId="Revision">
    <w:name w:val="Revision"/>
    <w:hidden/>
    <w:rsid w:val="00506262"/>
    <w:rPr>
      <w:rFonts w:ascii="Aptos" w:eastAsia="Yu Gothic" w:hAnsi="Aptos" w:cs="Arial"/>
      <w:sz w:val="22"/>
      <w:szCs w:val="22"/>
    </w:rPr>
  </w:style>
  <w:style w:type="paragraph" w:customStyle="1" w:styleId="Text1">
    <w:name w:val="Text 1"/>
    <w:basedOn w:val="Normal"/>
    <w:rsid w:val="00506262"/>
    <w:pPr>
      <w:spacing w:after="240" w:line="240" w:lineRule="auto"/>
      <w:ind w:left="482"/>
    </w:pPr>
    <w:rPr>
      <w:sz w:val="24"/>
    </w:rPr>
  </w:style>
  <w:style w:type="paragraph" w:customStyle="1" w:styleId="Body">
    <w:name w:val="Body"/>
    <w:basedOn w:val="Normal"/>
    <w:link w:val="BodyChar"/>
    <w:qFormat/>
    <w:rsid w:val="00506262"/>
    <w:pPr>
      <w:spacing w:before="120" w:line="240" w:lineRule="auto"/>
    </w:pPr>
    <w:rPr>
      <w:rFonts w:ascii="EC Square Sans Pro" w:hAnsi="EC Square Sans Pro"/>
      <w:sz w:val="24"/>
      <w:szCs w:val="24"/>
    </w:rPr>
  </w:style>
  <w:style w:type="character" w:customStyle="1" w:styleId="BodyChar">
    <w:name w:val="Body Char"/>
    <w:link w:val="Body"/>
    <w:rsid w:val="00506262"/>
    <w:rPr>
      <w:rFonts w:ascii="EC Square Sans Pro" w:hAnsi="EC Square Sans Pro"/>
      <w:szCs w:val="24"/>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uiPriority w:val="99"/>
    <w:qFormat/>
    <w:rsid w:val="00506262"/>
    <w:rPr>
      <w:sz w:val="20"/>
    </w:rPr>
  </w:style>
  <w:style w:type="paragraph" w:customStyle="1" w:styleId="Nota">
    <w:name w:val="Nota"/>
    <w:aliases w:val="Char1,(NECG) Footnote Reference,fr,Appel note de bas de p,o,Style 6,Signature Ch, Char1,Footnote Reference_LVL6,Footnote Reference_LVL61,Footnote Reference_LVL62,Footnote Reference_LVL63,Footnote Reference_LVL64,Odwo&lt;0142&gt;anie przypisu,SUPER"/>
    <w:basedOn w:val="Normal"/>
    <w:link w:val="FootnoteReference"/>
    <w:locked/>
    <w:rsid w:val="00506262"/>
    <w:pPr>
      <w:spacing w:after="160" w:line="240" w:lineRule="exact"/>
    </w:pPr>
    <w:rPr>
      <w:sz w:val="24"/>
      <w:vertAlign w:val="superscript"/>
    </w:rPr>
  </w:style>
  <w:style w:type="character" w:customStyle="1" w:styleId="cf01">
    <w:name w:val="cf01"/>
    <w:rsid w:val="00506262"/>
    <w:rPr>
      <w:rFonts w:ascii="Segoe UI" w:hAnsi="Segoe UI" w:cs="Segoe UI" w:hint="default"/>
      <w:sz w:val="18"/>
      <w:szCs w:val="18"/>
    </w:rPr>
  </w:style>
  <w:style w:type="character" w:customStyle="1" w:styleId="Mention">
    <w:name w:val="Mention"/>
    <w:rsid w:val="00506262"/>
    <w:rPr>
      <w:color w:val="2B579A"/>
      <w:shd w:val="clear" w:color="auto" w:fill="E1DFDD"/>
    </w:rPr>
  </w:style>
  <w:style w:type="paragraph" w:customStyle="1" w:styleId="BVIfnrChar1CharCharChar">
    <w:name w:val="BVI fnr Char1 Char Char Char"/>
    <w:aliases w:val="BVI fnr Car Car Char1 Char Char Char,BVI fnr Car Char1 Char Char Char,BVI fnr Car Car Car Car Char Char1 Char Char"/>
    <w:basedOn w:val="Normal"/>
    <w:uiPriority w:val="99"/>
    <w:rsid w:val="00506262"/>
    <w:pPr>
      <w:spacing w:after="160" w:line="240" w:lineRule="exact"/>
      <w:jc w:val="left"/>
    </w:pPr>
    <w:rPr>
      <w:rFonts w:ascii="Aptos" w:eastAsia="Yu Gothic" w:hAnsi="Aptos" w:cs="Arial"/>
      <w:kern w:val="2"/>
      <w:szCs w:val="22"/>
      <w:vertAlign w:val="superscript"/>
    </w:rPr>
  </w:style>
  <w:style w:type="character" w:styleId="Hyperlink">
    <w:name w:val="Hyperlink"/>
    <w:uiPriority w:val="99"/>
    <w:rsid w:val="00506262"/>
    <w:rPr>
      <w:color w:val="467886"/>
      <w:u w:val="single"/>
    </w:rPr>
  </w:style>
  <w:style w:type="character" w:styleId="FollowedHyperlink">
    <w:name w:val="FollowedHyperlink"/>
    <w:rsid w:val="00506262"/>
    <w:rPr>
      <w:color w:val="96607D"/>
      <w:u w:val="single"/>
    </w:rPr>
  </w:style>
  <w:style w:type="character" w:customStyle="1" w:styleId="UnresolvedMention">
    <w:name w:val="Unresolved Mention"/>
    <w:rsid w:val="00506262"/>
    <w:rPr>
      <w:color w:val="605E5C"/>
      <w:shd w:val="clear" w:color="auto" w:fill="E1DFDD"/>
    </w:rPr>
  </w:style>
  <w:style w:type="paragraph" w:customStyle="1" w:styleId="Languesfaisantfoi">
    <w:name w:val="Langues faisant foi"/>
    <w:basedOn w:val="Normal"/>
    <w:next w:val="Normal"/>
    <w:rsid w:val="00506262"/>
    <w:pPr>
      <w:spacing w:before="360" w:after="240" w:line="240" w:lineRule="auto"/>
      <w:jc w:val="center"/>
    </w:pPr>
    <w:rPr>
      <w:rFonts w:eastAsia="Yu Gothic"/>
      <w:sz w:val="24"/>
      <w:szCs w:val="22"/>
    </w:rPr>
  </w:style>
  <w:style w:type="paragraph" w:customStyle="1" w:styleId="LanguesfaisantfoiPagedecouverture">
    <w:name w:val="Langues faisant foi (Page de couverture)"/>
    <w:basedOn w:val="Normal"/>
    <w:next w:val="Normal"/>
    <w:rsid w:val="00506262"/>
    <w:pPr>
      <w:spacing w:before="360" w:after="240" w:line="240" w:lineRule="auto"/>
      <w:jc w:val="center"/>
    </w:pPr>
    <w:rPr>
      <w:rFonts w:eastAsia="Yu Gothic"/>
      <w:sz w:val="24"/>
      <w:szCs w:val="22"/>
    </w:rPr>
  </w:style>
  <w:style w:type="paragraph" w:customStyle="1" w:styleId="IntrtEEE">
    <w:name w:val="Intérêt EEE"/>
    <w:basedOn w:val="Languesfaisantfoi"/>
    <w:next w:val="Normal"/>
    <w:rsid w:val="00506262"/>
    <w:pPr>
      <w:spacing w:after="0"/>
    </w:pPr>
  </w:style>
  <w:style w:type="paragraph" w:customStyle="1" w:styleId="IntrtEEEPagedecouverture">
    <w:name w:val="Intérêt EEE (Page de couverture)"/>
    <w:basedOn w:val="IntrtEEE"/>
    <w:next w:val="Normal"/>
    <w:rsid w:val="00506262"/>
  </w:style>
  <w:style w:type="character" w:styleId="Strong">
    <w:name w:val="Strong"/>
    <w:uiPriority w:val="22"/>
    <w:qFormat/>
    <w:rsid w:val="00506262"/>
    <w:rPr>
      <w:b/>
      <w:bCs/>
    </w:rPr>
  </w:style>
  <w:style w:type="character" w:styleId="Emphasis">
    <w:name w:val="Emphasis"/>
    <w:uiPriority w:val="20"/>
    <w:qFormat/>
    <w:rsid w:val="00506262"/>
    <w:rPr>
      <w:i/>
      <w:iCs/>
    </w:rPr>
  </w:style>
  <w:style w:type="paragraph" w:styleId="NoSpacing">
    <w:name w:val="No Spacing"/>
    <w:qFormat/>
    <w:rsid w:val="00506262"/>
    <w:rPr>
      <w:rFonts w:ascii="Aptos" w:eastAsia="Yu Gothic" w:hAnsi="Aptos" w:cs="Arial"/>
      <w:sz w:val="22"/>
      <w:szCs w:val="22"/>
    </w:rPr>
  </w:style>
  <w:style w:type="character" w:styleId="SubtleEmphasis">
    <w:name w:val="Subtle Emphasis"/>
    <w:qFormat/>
    <w:rsid w:val="00506262"/>
    <w:rPr>
      <w:i/>
      <w:iCs/>
      <w:color w:val="595959"/>
    </w:rPr>
  </w:style>
  <w:style w:type="character" w:styleId="SubtleReference">
    <w:name w:val="Subtle Reference"/>
    <w:qFormat/>
    <w:rsid w:val="00506262"/>
    <w:rPr>
      <w:smallCaps/>
      <w:color w:val="595959"/>
      <w:u w:val="none" w:color="7F7F7F"/>
      <w:bdr w:val="none" w:sz="0" w:space="0" w:color="auto"/>
    </w:rPr>
  </w:style>
  <w:style w:type="character" w:styleId="BookTitle">
    <w:name w:val="Book Title"/>
    <w:qFormat/>
    <w:rsid w:val="00506262"/>
    <w:rPr>
      <w:b/>
      <w:bCs/>
      <w:smallCaps/>
      <w:spacing w:val="10"/>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tref,16 Point,Superscript 6 Point,Footnote Reference Number,Знак сноски-FN,BVI fnr,footnote ref,4_G,[0],FR"/>
    <w:link w:val="Nota"/>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4"/>
      </w:numPr>
      <w:spacing w:after="360"/>
      <w:outlineLvl w:val="0"/>
    </w:pPr>
    <w:rPr>
      <w:b/>
      <w:sz w:val="36"/>
    </w:rPr>
  </w:style>
  <w:style w:type="paragraph" w:styleId="Caption">
    <w:name w:val="caption"/>
    <w:basedOn w:val="Normal"/>
    <w:next w:val="Normal"/>
    <w:semiHidden/>
    <w:pPr>
      <w:spacing w:before="120"/>
    </w:pPr>
    <w:rPr>
      <w:b/>
      <w:i/>
    </w:rPr>
  </w:style>
  <w:style w:type="paragraph" w:customStyle="1" w:styleId="ChapterTitle">
    <w:name w:val="ChapterTitle"/>
    <w:basedOn w:val="Normal"/>
    <w:next w:val="SectionTitle"/>
    <w:uiPriority w:val="43"/>
    <w:qFormat/>
    <w:pPr>
      <w:keepNext/>
      <w:spacing w:before="720" w:after="360"/>
      <w:jc w:val="center"/>
      <w:outlineLvl w:val="0"/>
    </w:pPr>
    <w:rPr>
      <w:b/>
      <w:sz w:val="36"/>
    </w:rPr>
  </w:style>
  <w:style w:type="paragraph" w:customStyle="1" w:styleId="Contact">
    <w:name w:val="Contact"/>
    <w:basedOn w:val="Normal"/>
    <w:semiHidden/>
    <w:pPr>
      <w:spacing w:before="480" w:after="240"/>
      <w:ind w:left="567" w:hanging="567"/>
      <w:jc w:val="left"/>
    </w:pPr>
  </w:style>
  <w:style w:type="paragraph" w:customStyle="1" w:styleId="ContNum">
    <w:name w:val="ContNum"/>
    <w:basedOn w:val="Normal"/>
    <w:uiPriority w:val="20"/>
    <w:qFormat/>
    <w:pPr>
      <w:numPr>
        <w:numId w:val="5"/>
      </w:numPr>
    </w:pPr>
  </w:style>
  <w:style w:type="paragraph" w:customStyle="1" w:styleId="ContNumLevel2">
    <w:name w:val="ContNum (Level 2)"/>
    <w:basedOn w:val="Normal"/>
    <w:uiPriority w:val="20"/>
    <w:pPr>
      <w:numPr>
        <w:ilvl w:val="1"/>
        <w:numId w:val="5"/>
      </w:numPr>
    </w:pPr>
  </w:style>
  <w:style w:type="paragraph" w:customStyle="1" w:styleId="ContNumLevel3">
    <w:name w:val="ContNum (Level 3)"/>
    <w:basedOn w:val="Normal"/>
    <w:uiPriority w:val="20"/>
    <w:pPr>
      <w:numPr>
        <w:ilvl w:val="2"/>
        <w:numId w:val="5"/>
      </w:numPr>
    </w:pPr>
  </w:style>
  <w:style w:type="paragraph" w:styleId="Date">
    <w:name w:val="Date"/>
    <w:basedOn w:val="Normal"/>
    <w:next w:val="References"/>
    <w:semiHidden/>
    <w:pPr>
      <w:spacing w:after="0"/>
      <w:ind w:left="5102" w:right="-567"/>
    </w:pPr>
  </w:style>
  <w:style w:type="paragraph" w:styleId="EndnoteText">
    <w:name w:val="endnote text"/>
    <w:basedOn w:val="Normal"/>
    <w:semiHidden/>
    <w:pPr>
      <w:ind w:left="357" w:hanging="357"/>
    </w:pPr>
    <w:rPr>
      <w:sz w:val="20"/>
    </w:rPr>
  </w:style>
  <w:style w:type="paragraph" w:customStyle="1" w:styleId="FigureBody">
    <w:name w:val="Figure Body"/>
    <w:basedOn w:val="Normal"/>
    <w:next w:val="FigureSource"/>
    <w:uiPriority w:val="99"/>
    <w:semiHidden/>
    <w:unhideWhenUsed/>
    <w:pPr>
      <w:keepNext/>
      <w:spacing w:after="40" w:line="240" w:lineRule="auto"/>
    </w:pPr>
  </w:style>
  <w:style w:type="paragraph" w:customStyle="1" w:styleId="FigureSource">
    <w:name w:val="Figure Source"/>
    <w:basedOn w:val="Normal"/>
    <w:next w:val="Normal"/>
    <w:uiPriority w:val="99"/>
    <w:semiHidden/>
    <w:unhideWhenUsed/>
    <w:pPr>
      <w:spacing w:after="240" w:line="240" w:lineRule="auto"/>
    </w:pPr>
    <w:rPr>
      <w:sz w:val="18"/>
    </w:rPr>
  </w:style>
  <w:style w:type="paragraph" w:customStyle="1" w:styleId="FigureTitle">
    <w:name w:val="Figure Title"/>
    <w:basedOn w:val="Normal"/>
    <w:next w:val="FigureBody"/>
    <w:uiPriority w:val="99"/>
    <w:semiHidden/>
    <w:unhideWhenUsed/>
    <w:pPr>
      <w:keepNext/>
      <w:spacing w:before="120"/>
    </w:pPr>
    <w:rPr>
      <w:b/>
      <w:i/>
    </w:rPr>
  </w:style>
  <w:style w:type="paragraph" w:customStyle="1" w:styleId="FITTable">
    <w:name w:val="FIT Table"/>
    <w:basedOn w:val="Normal"/>
    <w:semiHidden/>
    <w:pPr>
      <w:spacing w:before="60" w:after="60"/>
    </w:pPr>
  </w:style>
  <w:style w:type="paragraph" w:customStyle="1" w:styleId="FooterLine">
    <w:name w:val="Footer Line"/>
    <w:basedOn w:val="Footer"/>
    <w:next w:val="Footer"/>
    <w:semiHidden/>
    <w:pPr>
      <w:pBdr>
        <w:top w:val="single" w:sz="4" w:space="1" w:color="auto"/>
      </w:pBdr>
      <w:tabs>
        <w:tab w:val="right" w:pos="8646"/>
      </w:tabs>
      <w:spacing w:before="120"/>
      <w:ind w:right="0"/>
    </w:pPr>
  </w:style>
  <w:style w:type="paragraph" w:styleId="FootnoteText">
    <w:name w:val="footnote text"/>
    <w:aliases w:val="Footnote TextCSR,Fußnotentextf,Note de bas de page Car Car Car Car Car Car Car Car Car Car,Note de bas de page Car Car Car Car,Note de bas de page Car Car Car Car Car Car Car Car Car,ft,Footnote,Fußnote, Char Char Car,fn,Char Char Car,Ch"/>
    <w:basedOn w:val="Normal"/>
    <w:uiPriority w:val="99"/>
    <w:qFormat/>
    <w:pPr>
      <w:ind w:left="357" w:hanging="357"/>
    </w:pPr>
    <w:rPr>
      <w:sz w:val="20"/>
    </w:rPr>
  </w:style>
  <w:style w:type="paragraph" w:customStyle="1" w:styleId="Glossary">
    <w:name w:val="Glossary"/>
    <w:basedOn w:val="Normal"/>
    <w:semiHidden/>
    <w:pPr>
      <w:tabs>
        <w:tab w:val="left" w:pos="2835"/>
      </w:tabs>
      <w:ind w:left="2835" w:hanging="2835"/>
      <w:jc w:val="left"/>
    </w:pPr>
  </w:style>
  <w:style w:type="paragraph" w:customStyle="1" w:styleId="GlossaryHeading">
    <w:name w:val="GlossaryHeading"/>
    <w:basedOn w:val="Normal"/>
    <w:semiHidden/>
    <w:pPr>
      <w:spacing w:after="480"/>
      <w:jc w:val="center"/>
      <w:outlineLvl w:val="0"/>
    </w:pPr>
    <w:rPr>
      <w:rFonts w:ascii="Times New Roman Bold" w:hAnsi="Times New Roman Bold"/>
      <w:b/>
      <w:sz w:val="32"/>
    </w:rPr>
  </w:style>
  <w:style w:type="paragraph" w:customStyle="1" w:styleId="HistoryTable">
    <w:name w:val="HistoryTable"/>
    <w:basedOn w:val="Normal"/>
    <w:semiHidden/>
    <w:pPr>
      <w:spacing w:before="60" w:after="60"/>
    </w:pPr>
    <w:rPr>
      <w:sz w:val="20"/>
    </w:rPr>
  </w:style>
  <w:style w:type="paragraph" w:customStyle="1" w:styleId="HistTableHeading">
    <w:name w:val="HistTableHeading"/>
    <w:basedOn w:val="Normal"/>
    <w:next w:val="HistoryTable"/>
    <w:semiHidden/>
    <w:pPr>
      <w:jc w:val="center"/>
    </w:pPr>
    <w:rPr>
      <w:rFonts w:ascii="Times New Roman Bold" w:hAnsi="Times New Roman Bold"/>
      <w:b/>
      <w:sz w:val="32"/>
    </w:rPr>
  </w:style>
  <w:style w:type="paragraph" w:customStyle="1" w:styleId="LegalNumPar">
    <w:name w:val="LegalNumPar"/>
    <w:basedOn w:val="Normal"/>
    <w:uiPriority w:val="20"/>
    <w:qFormat/>
    <w:pPr>
      <w:numPr>
        <w:numId w:val="6"/>
      </w:numPr>
      <w:spacing w:line="360" w:lineRule="auto"/>
    </w:pPr>
    <w:rPr>
      <w:sz w:val="24"/>
    </w:rPr>
  </w:style>
  <w:style w:type="paragraph" w:customStyle="1" w:styleId="LegalNumPar2">
    <w:name w:val="LegalNumPar2"/>
    <w:basedOn w:val="Normal"/>
    <w:uiPriority w:val="20"/>
    <w:pPr>
      <w:numPr>
        <w:ilvl w:val="1"/>
        <w:numId w:val="6"/>
      </w:numPr>
      <w:spacing w:line="360" w:lineRule="auto"/>
    </w:pPr>
    <w:rPr>
      <w:sz w:val="24"/>
    </w:rPr>
  </w:style>
  <w:style w:type="paragraph" w:customStyle="1" w:styleId="LegalNumPar3">
    <w:name w:val="LegalNumPar3"/>
    <w:basedOn w:val="Normal"/>
    <w:uiPriority w:val="20"/>
    <w:pPr>
      <w:numPr>
        <w:ilvl w:val="2"/>
        <w:numId w:val="6"/>
      </w:numPr>
      <w:spacing w:line="360" w:lineRule="auto"/>
    </w:pPr>
    <w:rPr>
      <w:sz w:val="24"/>
    </w:rPr>
  </w:style>
  <w:style w:type="paragraph" w:styleId="ListBullet">
    <w:name w:val="List Bullet"/>
    <w:basedOn w:val="Normal"/>
    <w:uiPriority w:val="35"/>
    <w:pPr>
      <w:numPr>
        <w:numId w:val="12"/>
      </w:numPr>
      <w:contextualSpacing/>
    </w:pPr>
  </w:style>
  <w:style w:type="paragraph" w:customStyle="1" w:styleId="ListBulletLevel2">
    <w:name w:val="List Bullet (Level 2)"/>
    <w:basedOn w:val="Normal"/>
    <w:uiPriority w:val="35"/>
    <w:semiHidden/>
    <w:unhideWhenUsed/>
    <w:pPr>
      <w:numPr>
        <w:ilvl w:val="1"/>
        <w:numId w:val="12"/>
      </w:numPr>
      <w:contextualSpacing/>
    </w:pPr>
  </w:style>
  <w:style w:type="paragraph" w:customStyle="1" w:styleId="ListBulletLevel3">
    <w:name w:val="List Bullet (Level 3)"/>
    <w:basedOn w:val="Normal"/>
    <w:uiPriority w:val="35"/>
    <w:semiHidden/>
    <w:unhideWhenUsed/>
    <w:pPr>
      <w:numPr>
        <w:ilvl w:val="2"/>
        <w:numId w:val="12"/>
      </w:numPr>
      <w:contextualSpacing/>
    </w:pPr>
  </w:style>
  <w:style w:type="paragraph" w:customStyle="1" w:styleId="ListBulletLevel4">
    <w:name w:val="List Bullet (Level 4)"/>
    <w:basedOn w:val="Normal"/>
    <w:uiPriority w:val="35"/>
    <w:semiHidden/>
    <w:unhideWhenUsed/>
    <w:pPr>
      <w:numPr>
        <w:ilvl w:val="3"/>
        <w:numId w:val="12"/>
      </w:numPr>
      <w:contextualSpacing/>
    </w:pPr>
  </w:style>
  <w:style w:type="paragraph" w:customStyle="1" w:styleId="ListDash">
    <w:name w:val="List Dash"/>
    <w:basedOn w:val="Normal"/>
    <w:uiPriority w:val="35"/>
    <w:pPr>
      <w:numPr>
        <w:numId w:val="10"/>
      </w:numPr>
      <w:contextualSpacing/>
    </w:pPr>
  </w:style>
  <w:style w:type="paragraph" w:customStyle="1" w:styleId="ListDashLevel2">
    <w:name w:val="List Dash (Level 2)"/>
    <w:basedOn w:val="Normal"/>
    <w:uiPriority w:val="35"/>
    <w:unhideWhenUsed/>
    <w:pPr>
      <w:numPr>
        <w:ilvl w:val="1"/>
        <w:numId w:val="10"/>
      </w:numPr>
      <w:contextualSpacing/>
    </w:pPr>
  </w:style>
  <w:style w:type="paragraph" w:customStyle="1" w:styleId="ListDashLevel3">
    <w:name w:val="List Dash (Level 3)"/>
    <w:basedOn w:val="Normal"/>
    <w:uiPriority w:val="35"/>
    <w:semiHidden/>
    <w:unhideWhenUsed/>
    <w:pPr>
      <w:numPr>
        <w:ilvl w:val="2"/>
        <w:numId w:val="10"/>
      </w:numPr>
      <w:contextualSpacing/>
    </w:pPr>
  </w:style>
  <w:style w:type="paragraph" w:customStyle="1" w:styleId="ListDashLevel4">
    <w:name w:val="List Dash (Level 4)"/>
    <w:basedOn w:val="Normal"/>
    <w:uiPriority w:val="35"/>
    <w:semiHidden/>
    <w:unhideWhenUsed/>
    <w:pPr>
      <w:numPr>
        <w:ilvl w:val="3"/>
        <w:numId w:val="10"/>
      </w:numPr>
      <w:contextualSpacing/>
    </w:pPr>
  </w:style>
  <w:style w:type="paragraph" w:styleId="ListNumber">
    <w:name w:val="List Number"/>
    <w:basedOn w:val="Normal"/>
    <w:uiPriority w:val="30"/>
    <w:pPr>
      <w:numPr>
        <w:numId w:val="11"/>
      </w:numPr>
      <w:contextualSpacing/>
    </w:pPr>
  </w:style>
  <w:style w:type="paragraph" w:customStyle="1" w:styleId="ListNumberLevel2">
    <w:name w:val="List Number (Level 2)"/>
    <w:basedOn w:val="Normal"/>
    <w:uiPriority w:val="30"/>
    <w:pPr>
      <w:numPr>
        <w:ilvl w:val="1"/>
        <w:numId w:val="11"/>
      </w:numPr>
      <w:ind w:left="908" w:hanging="454"/>
      <w:contextualSpacing/>
    </w:pPr>
  </w:style>
  <w:style w:type="paragraph" w:customStyle="1" w:styleId="ListNumberLevel3">
    <w:name w:val="List Number (Level 3)"/>
    <w:basedOn w:val="Normal"/>
    <w:uiPriority w:val="30"/>
    <w:pPr>
      <w:numPr>
        <w:ilvl w:val="2"/>
        <w:numId w:val="11"/>
      </w:numPr>
      <w:contextualSpacing/>
    </w:pPr>
  </w:style>
  <w:style w:type="paragraph" w:customStyle="1" w:styleId="ListNumberLevel4">
    <w:name w:val="List Number (Level 4)"/>
    <w:basedOn w:val="Normal"/>
    <w:uiPriority w:val="30"/>
    <w:pPr>
      <w:numPr>
        <w:ilvl w:val="3"/>
        <w:numId w:val="11"/>
      </w:numPr>
      <w:ind w:left="1815" w:hanging="454"/>
      <w:contextualSpacing/>
    </w:pPr>
  </w:style>
  <w:style w:type="paragraph" w:customStyle="1" w:styleId="Marking">
    <w:name w:val="Marking"/>
    <w:basedOn w:val="Normal"/>
    <w:semiHidden/>
    <w:pPr>
      <w:spacing w:line="240" w:lineRule="auto"/>
      <w:ind w:left="5102" w:right="-680"/>
      <w:contextualSpacing/>
      <w:jc w:val="left"/>
    </w:pPr>
    <w:rPr>
      <w:sz w:val="28"/>
    </w:rPr>
  </w:style>
  <w:style w:type="paragraph" w:customStyle="1" w:styleId="NumPar1">
    <w:name w:val="NumPar 1"/>
    <w:basedOn w:val="Heading1"/>
    <w:uiPriority w:val="20"/>
    <w:qFormat/>
    <w:pPr>
      <w:keepNext w:val="0"/>
      <w:spacing w:before="0"/>
      <w:ind w:left="0" w:firstLine="0"/>
      <w:outlineLvl w:val="9"/>
    </w:pPr>
    <w:rPr>
      <w:b w:val="0"/>
      <w:smallCaps w:val="0"/>
      <w:sz w:val="22"/>
    </w:rPr>
  </w:style>
  <w:style w:type="paragraph" w:customStyle="1" w:styleId="NumPar2">
    <w:name w:val="NumPar 2"/>
    <w:basedOn w:val="Heading2"/>
    <w:uiPriority w:val="20"/>
    <w:qFormat/>
    <w:pPr>
      <w:keepNext w:val="0"/>
      <w:spacing w:before="0"/>
      <w:ind w:left="0" w:firstLine="0"/>
      <w:outlineLvl w:val="9"/>
    </w:pPr>
    <w:rPr>
      <w:b w:val="0"/>
      <w:sz w:val="22"/>
    </w:rPr>
  </w:style>
  <w:style w:type="paragraph" w:customStyle="1" w:styleId="NumPar3">
    <w:name w:val="NumPar 3"/>
    <w:basedOn w:val="Heading3"/>
    <w:uiPriority w:val="20"/>
    <w:qFormat/>
    <w:pPr>
      <w:keepNext w:val="0"/>
      <w:spacing w:before="0"/>
      <w:ind w:left="0" w:firstLine="0"/>
      <w:outlineLvl w:val="9"/>
    </w:pPr>
    <w:rPr>
      <w:b w:val="0"/>
      <w:sz w:val="22"/>
    </w:rPr>
  </w:style>
  <w:style w:type="paragraph" w:customStyle="1" w:styleId="NumPar4">
    <w:name w:val="NumPar 4"/>
    <w:basedOn w:val="Heading4"/>
    <w:uiPriority w:val="20"/>
    <w:qFormat/>
    <w:pPr>
      <w:spacing w:before="0"/>
      <w:ind w:left="0" w:firstLine="0"/>
      <w:outlineLvl w:val="9"/>
    </w:pPr>
    <w:rPr>
      <w:b w:val="0"/>
    </w:rPr>
  </w:style>
  <w:style w:type="paragraph" w:customStyle="1" w:styleId="PartTitle">
    <w:name w:val="PartTitle"/>
    <w:basedOn w:val="Normal"/>
    <w:next w:val="ChapterTitle"/>
    <w:uiPriority w:val="42"/>
    <w:qFormat/>
    <w:pPr>
      <w:keepNext/>
      <w:pageBreakBefore/>
      <w:spacing w:after="360"/>
      <w:jc w:val="center"/>
      <w:outlineLvl w:val="0"/>
    </w:pPr>
    <w:rPr>
      <w:b/>
      <w:sz w:val="52"/>
    </w:rPr>
  </w:style>
  <w:style w:type="paragraph" w:customStyle="1" w:styleId="References">
    <w:name w:val="References"/>
    <w:semiHidden/>
    <w:pPr>
      <w:tabs>
        <w:tab w:val="num" w:pos="397"/>
        <w:tab w:val="num" w:pos="709"/>
      </w:tabs>
      <w:ind w:left="709" w:hanging="709"/>
    </w:pPr>
  </w:style>
  <w:style w:type="paragraph" w:customStyle="1" w:styleId="SectionTitle">
    <w:name w:val="SectionTitle"/>
    <w:basedOn w:val="Normal"/>
    <w:next w:val="Heading1"/>
    <w:uiPriority w:val="44"/>
    <w:qFormat/>
    <w:pPr>
      <w:keepNext/>
      <w:spacing w:before="720" w:after="360"/>
      <w:contextualSpacing/>
      <w:jc w:val="center"/>
      <w:outlineLvl w:val="0"/>
    </w:pPr>
    <w:rPr>
      <w:rFonts w:ascii="Times New Roman Bold" w:hAnsi="Times New Roman Bold"/>
      <w:b/>
      <w:smallCaps/>
      <w:sz w:val="32"/>
    </w:rPr>
  </w:style>
  <w:style w:type="paragraph" w:customStyle="1" w:styleId="SubTitle1">
    <w:name w:val="SubTitle 1"/>
    <w:basedOn w:val="Normal"/>
    <w:next w:val="Normal"/>
    <w:uiPriority w:val="41"/>
    <w:qFormat/>
    <w:pPr>
      <w:spacing w:before="360" w:after="2000"/>
      <w:jc w:val="center"/>
    </w:pPr>
    <w:rPr>
      <w:b/>
      <w:sz w:val="40"/>
    </w:rPr>
  </w:style>
  <w:style w:type="paragraph" w:customStyle="1" w:styleId="SubTitle2">
    <w:name w:val="SubTitle 2"/>
    <w:basedOn w:val="Normal"/>
    <w:uiPriority w:val="41"/>
    <w:qFormat/>
    <w:pPr>
      <w:spacing w:after="280"/>
      <w:jc w:val="center"/>
    </w:pPr>
    <w:rPr>
      <w:b/>
      <w:sz w:val="32"/>
    </w:rPr>
  </w:style>
  <w:style w:type="paragraph" w:customStyle="1" w:styleId="TableListBullet">
    <w:name w:val="Table List Bullet"/>
    <w:basedOn w:val="TableText"/>
    <w:uiPriority w:val="55"/>
    <w:pPr>
      <w:numPr>
        <w:numId w:val="9"/>
      </w:numPr>
    </w:pPr>
  </w:style>
  <w:style w:type="paragraph" w:customStyle="1" w:styleId="TableListBulletLevel2">
    <w:name w:val="Table List Bullet (Level 2)"/>
    <w:basedOn w:val="TableText"/>
    <w:uiPriority w:val="55"/>
    <w:semiHidden/>
    <w:unhideWhenUsed/>
    <w:pPr>
      <w:numPr>
        <w:ilvl w:val="1"/>
        <w:numId w:val="9"/>
      </w:numPr>
    </w:pPr>
  </w:style>
  <w:style w:type="paragraph" w:customStyle="1" w:styleId="TableListBulletLevel3">
    <w:name w:val="Table List Bullet (Level 3)"/>
    <w:basedOn w:val="TableText"/>
    <w:uiPriority w:val="55"/>
    <w:semiHidden/>
    <w:unhideWhenUsed/>
    <w:pPr>
      <w:numPr>
        <w:ilvl w:val="2"/>
        <w:numId w:val="9"/>
      </w:numPr>
    </w:pPr>
  </w:style>
  <w:style w:type="paragraph" w:customStyle="1" w:styleId="TableListBulletLevel4">
    <w:name w:val="Table List Bullet (Level 4)"/>
    <w:basedOn w:val="TableText"/>
    <w:uiPriority w:val="55"/>
    <w:semiHidden/>
    <w:unhideWhenUsed/>
    <w:pPr>
      <w:numPr>
        <w:ilvl w:val="3"/>
        <w:numId w:val="9"/>
      </w:numPr>
    </w:pPr>
  </w:style>
  <w:style w:type="paragraph" w:customStyle="1" w:styleId="TableListDash">
    <w:name w:val="Table List Dash"/>
    <w:basedOn w:val="TableText"/>
    <w:uiPriority w:val="55"/>
    <w:pPr>
      <w:numPr>
        <w:numId w:val="8"/>
      </w:numPr>
    </w:pPr>
  </w:style>
  <w:style w:type="paragraph" w:customStyle="1" w:styleId="TableListDashLevel2">
    <w:name w:val="Table List Dash (Level 2)"/>
    <w:basedOn w:val="TableText"/>
    <w:uiPriority w:val="55"/>
    <w:semiHidden/>
    <w:unhideWhenUsed/>
    <w:pPr>
      <w:numPr>
        <w:ilvl w:val="1"/>
        <w:numId w:val="8"/>
      </w:numPr>
    </w:pPr>
  </w:style>
  <w:style w:type="paragraph" w:customStyle="1" w:styleId="TableListDashLevel3">
    <w:name w:val="Table List Dash (Level 3)"/>
    <w:basedOn w:val="TableText"/>
    <w:uiPriority w:val="55"/>
    <w:semiHidden/>
    <w:unhideWhenUsed/>
    <w:pPr>
      <w:numPr>
        <w:ilvl w:val="2"/>
        <w:numId w:val="8"/>
      </w:numPr>
    </w:pPr>
  </w:style>
  <w:style w:type="paragraph" w:customStyle="1" w:styleId="TableListDashLevel4">
    <w:name w:val="Table List Dash (Level 4)"/>
    <w:basedOn w:val="TableText"/>
    <w:uiPriority w:val="55"/>
    <w:semiHidden/>
    <w:unhideWhenUsed/>
    <w:pPr>
      <w:numPr>
        <w:ilvl w:val="3"/>
        <w:numId w:val="8"/>
      </w:numPr>
    </w:pPr>
  </w:style>
  <w:style w:type="paragraph" w:customStyle="1" w:styleId="TableListNumber">
    <w:name w:val="Table List Number"/>
    <w:basedOn w:val="TableText"/>
    <w:uiPriority w:val="55"/>
    <w:pPr>
      <w:numPr>
        <w:numId w:val="7"/>
      </w:numPr>
    </w:pPr>
  </w:style>
  <w:style w:type="paragraph" w:customStyle="1" w:styleId="TableListNumberLevel2">
    <w:name w:val="Table List Number (Level 2)"/>
    <w:basedOn w:val="TableText"/>
    <w:uiPriority w:val="55"/>
    <w:semiHidden/>
    <w:unhideWhenUsed/>
    <w:pPr>
      <w:numPr>
        <w:ilvl w:val="1"/>
        <w:numId w:val="7"/>
      </w:numPr>
    </w:pPr>
  </w:style>
  <w:style w:type="paragraph" w:customStyle="1" w:styleId="TableListNumberLevel3">
    <w:name w:val="Table List Number (Level 3)"/>
    <w:basedOn w:val="TableText"/>
    <w:uiPriority w:val="55"/>
    <w:semiHidden/>
    <w:unhideWhenUsed/>
    <w:pPr>
      <w:numPr>
        <w:ilvl w:val="2"/>
        <w:numId w:val="7"/>
      </w:numPr>
    </w:pPr>
  </w:style>
  <w:style w:type="paragraph" w:customStyle="1" w:styleId="TableListNumberLevel4">
    <w:name w:val="Table List Number (Level 4)"/>
    <w:basedOn w:val="TableText"/>
    <w:uiPriority w:val="55"/>
    <w:semiHidden/>
    <w:unhideWhenUsed/>
    <w:pPr>
      <w:numPr>
        <w:ilvl w:val="3"/>
        <w:numId w:val="7"/>
      </w:numPr>
    </w:pPr>
  </w:style>
  <w:style w:type="paragraph" w:customStyle="1" w:styleId="TableSource">
    <w:name w:val="Table Source"/>
    <w:basedOn w:val="Normal"/>
    <w:next w:val="Normal"/>
    <w:uiPriority w:val="99"/>
    <w:semiHidden/>
    <w:unhideWhenUsed/>
    <w:pPr>
      <w:spacing w:after="240"/>
    </w:pPr>
    <w:rPr>
      <w:sz w:val="18"/>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before="120"/>
    </w:pPr>
    <w:rPr>
      <w:b/>
      <w:i/>
    </w:rPr>
  </w:style>
  <w:style w:type="paragraph" w:styleId="Title">
    <w:name w:val="Title"/>
    <w:basedOn w:val="Normal"/>
    <w:next w:val="SubTitle1"/>
    <w:uiPriority w:val="40"/>
    <w:qFormat/>
    <w:pPr>
      <w:spacing w:before="3200" w:after="480"/>
      <w:jc w:val="center"/>
    </w:pPr>
    <w:rPr>
      <w:b/>
      <w:kern w:val="28"/>
      <w:sz w:val="48"/>
    </w:rPr>
  </w:style>
  <w:style w:type="paragraph" w:styleId="TOC1">
    <w:name w:val="toc 1"/>
    <w:basedOn w:val="Normal"/>
    <w:next w:val="Normal"/>
    <w:semiHidden/>
    <w:pPr>
      <w:tabs>
        <w:tab w:val="left" w:pos="595"/>
        <w:tab w:val="right" w:leader="dot" w:pos="8640"/>
      </w:tabs>
      <w:spacing w:before="240" w:after="60" w:line="240" w:lineRule="auto"/>
      <w:ind w:left="595" w:right="720" w:hanging="595"/>
    </w:pPr>
    <w:rPr>
      <w:b/>
      <w:sz w:val="20"/>
    </w:rPr>
  </w:style>
  <w:style w:type="paragraph" w:styleId="TOC2">
    <w:name w:val="toc 2"/>
    <w:basedOn w:val="Normal"/>
    <w:next w:val="Normal"/>
    <w:uiPriority w:val="39"/>
    <w:pPr>
      <w:tabs>
        <w:tab w:val="left" w:pos="595"/>
        <w:tab w:val="right" w:leader="dot" w:pos="8640"/>
      </w:tabs>
      <w:spacing w:after="60" w:line="240" w:lineRule="auto"/>
      <w:ind w:left="595" w:right="720" w:hanging="595"/>
    </w:pPr>
    <w:rPr>
      <w:noProof/>
      <w:sz w:val="20"/>
    </w:rPr>
  </w:style>
  <w:style w:type="paragraph" w:styleId="TOC3">
    <w:name w:val="toc 3"/>
    <w:basedOn w:val="Normal"/>
    <w:next w:val="Normal"/>
    <w:semiHidden/>
    <w:pPr>
      <w:tabs>
        <w:tab w:val="left" w:pos="1446"/>
        <w:tab w:val="right" w:leader="dot" w:pos="8640"/>
      </w:tabs>
      <w:spacing w:after="60" w:line="240" w:lineRule="auto"/>
      <w:ind w:left="1445" w:right="720" w:hanging="850"/>
    </w:pPr>
    <w:rPr>
      <w:sz w:val="20"/>
    </w:rPr>
  </w:style>
  <w:style w:type="paragraph" w:styleId="TOC4">
    <w:name w:val="toc 4"/>
    <w:basedOn w:val="Normal"/>
    <w:next w:val="Normal"/>
    <w:semiHidden/>
    <w:pPr>
      <w:tabs>
        <w:tab w:val="left" w:pos="1446"/>
        <w:tab w:val="right" w:leader="dot" w:pos="8640"/>
      </w:tabs>
      <w:spacing w:after="60" w:line="240" w:lineRule="auto"/>
      <w:ind w:left="1445" w:right="720" w:hanging="850"/>
    </w:pPr>
    <w:rPr>
      <w:noProof/>
      <w:sz w:val="20"/>
    </w:rPr>
  </w:style>
  <w:style w:type="paragraph" w:styleId="TOC5">
    <w:name w:val="toc 5"/>
    <w:basedOn w:val="Normal"/>
    <w:next w:val="Normal"/>
    <w:semiHidden/>
    <w:pPr>
      <w:tabs>
        <w:tab w:val="left" w:pos="595"/>
        <w:tab w:val="right" w:leader="dot" w:pos="8640"/>
      </w:tabs>
      <w:spacing w:before="240" w:after="60" w:line="240" w:lineRule="auto"/>
      <w:ind w:right="720"/>
    </w:pPr>
    <w:rPr>
      <w:b/>
      <w:sz w:val="20"/>
    </w:rPr>
  </w:style>
  <w:style w:type="paragraph" w:styleId="TOC6">
    <w:name w:val="toc 6"/>
    <w:basedOn w:val="Normal"/>
    <w:next w:val="Normal"/>
    <w:semiHidden/>
    <w:pPr>
      <w:tabs>
        <w:tab w:val="left" w:pos="595"/>
        <w:tab w:val="right" w:leader="dot" w:pos="8640"/>
      </w:tabs>
      <w:spacing w:before="240" w:after="60" w:line="240" w:lineRule="auto"/>
      <w:ind w:left="1446" w:right="720" w:hanging="1446"/>
    </w:pPr>
    <w:rPr>
      <w:b/>
      <w:sz w:val="20"/>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jc w:val="center"/>
    </w:pPr>
    <w:rPr>
      <w:rFonts w:ascii="Times New Roman Bold" w:hAnsi="Times New Roman Bold"/>
      <w:b/>
      <w:sz w:val="32"/>
    </w:rPr>
  </w:style>
  <w:style w:type="paragraph" w:customStyle="1" w:styleId="ZCom">
    <w:name w:val="Z_Com"/>
    <w:basedOn w:val="Normal"/>
    <w:next w:val="ZDGName"/>
    <w:semiHidden/>
    <w:pPr>
      <w:widowControl w:val="0"/>
      <w:spacing w:before="90" w:after="0" w:line="240" w:lineRule="auto"/>
      <w:ind w:right="85"/>
      <w:jc w:val="left"/>
    </w:pPr>
    <w:rPr>
      <w:sz w:val="24"/>
    </w:rPr>
  </w:style>
  <w:style w:type="paragraph" w:customStyle="1" w:styleId="ZDGName">
    <w:name w:val="Z_DGName"/>
    <w:basedOn w:val="Normal"/>
    <w:semiHidden/>
    <w:pPr>
      <w:widowControl w:val="0"/>
      <w:spacing w:after="0" w:line="240" w:lineRule="auto"/>
      <w:ind w:right="85"/>
      <w:jc w:val="left"/>
    </w:pPr>
    <w:rPr>
      <w:sz w:val="16"/>
    </w:rPr>
  </w:style>
  <w:style w:type="paragraph" w:customStyle="1" w:styleId="ZFlag">
    <w:name w:val="Z_Flag"/>
    <w:basedOn w:val="Normal"/>
    <w:next w:val="Normal"/>
    <w:semiHidden/>
    <w:pPr>
      <w:widowControl w:val="0"/>
      <w:spacing w:after="0"/>
      <w:ind w:right="85"/>
    </w:pPr>
  </w:style>
  <w:style w:type="paragraph" w:customStyle="1" w:styleId="Citation">
    <w:name w:val="Citation"/>
    <w:basedOn w:val="Normal"/>
    <w:link w:val="CitationChar"/>
    <w:uiPriority w:val="5"/>
    <w:qFormat/>
    <w:pPr>
      <w:ind w:left="454" w:right="454"/>
    </w:pPr>
    <w:rPr>
      <w:i/>
    </w:rPr>
  </w:style>
  <w:style w:type="character" w:customStyle="1" w:styleId="CitationChar">
    <w:name w:val="Citation Char"/>
    <w:link w:val="Citation"/>
    <w:uiPriority w:val="5"/>
    <w:qFormat/>
    <w:rPr>
      <w:i/>
    </w:rPr>
  </w:style>
  <w:style w:type="paragraph" w:styleId="Footer">
    <w:name w:val="footer"/>
    <w:basedOn w:val="Normal"/>
    <w:link w:val="FooterChar"/>
    <w:uiPriority w:val="99"/>
    <w:pPr>
      <w:spacing w:after="0" w:line="240" w:lineRule="auto"/>
      <w:ind w:right="-567"/>
    </w:pPr>
    <w:rPr>
      <w:sz w:val="16"/>
    </w:rPr>
  </w:style>
  <w:style w:type="character" w:customStyle="1" w:styleId="FooterChar">
    <w:name w:val="Footer Char"/>
    <w:link w:val="Footer"/>
    <w:uiPriority w:val="99"/>
    <w:rPr>
      <w:sz w:val="16"/>
    </w:rPr>
  </w:style>
  <w:style w:type="paragraph" w:styleId="Header">
    <w:name w:val="header"/>
    <w:basedOn w:val="Normal"/>
    <w:link w:val="HeaderChar"/>
    <w:semiHidden/>
    <w:pPr>
      <w:tabs>
        <w:tab w:val="center" w:pos="4150"/>
        <w:tab w:val="right" w:pos="8306"/>
      </w:tabs>
    </w:pPr>
  </w:style>
  <w:style w:type="character" w:customStyle="1" w:styleId="HeaderChar">
    <w:name w:val="Header Char"/>
    <w:basedOn w:val="DefaultParagraphFont"/>
    <w:link w:val="Header"/>
    <w:semiHidden/>
    <w:rPr>
      <w:sz w:val="24"/>
    </w:rPr>
  </w:style>
  <w:style w:type="paragraph" w:styleId="MacroText">
    <w:name w:val="macro"/>
    <w:basedOn w:val="Normal"/>
    <w:link w:val="MacroTextChar1"/>
    <w:uiPriority w:val="5"/>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0"/>
    </w:rPr>
  </w:style>
  <w:style w:type="character" w:customStyle="1" w:styleId="MacroTextChar1">
    <w:name w:val="Macro Text Char1"/>
    <w:basedOn w:val="DefaultParagraphFont"/>
    <w:link w:val="MacroText"/>
    <w:uiPriority w:val="5"/>
    <w:qFormat/>
    <w:rPr>
      <w:rFonts w:ascii="Courier New" w:hAnsi="Courier New"/>
      <w:sz w:val="20"/>
    </w:rPr>
  </w:style>
  <w:style w:type="table" w:customStyle="1" w:styleId="EurolookClassicBlue">
    <w:name w:val="Eurolook Classic Blue"/>
    <w:basedOn w:val="TableNormal"/>
    <w:uiPriority w:val="80"/>
    <w:pPr>
      <w:spacing w:after="240"/>
    </w:pPr>
    <w:tblPr/>
    <w:tblStylePr w:type="firstRow">
      <w:rPr>
        <w:color w:val="FFFFFF"/>
      </w:rPr>
    </w:tblStylePr>
    <w:tblStylePr w:type="firstCol">
      <w:rPr>
        <w:color w:val="004494"/>
      </w:rPr>
    </w:tblStylePr>
  </w:style>
  <w:style w:type="table" w:customStyle="1" w:styleId="EurolookClassicGrey">
    <w:name w:val="Eurolook Classic Grey"/>
    <w:basedOn w:val="TableNormal"/>
    <w:uiPriority w:val="80"/>
    <w:pPr>
      <w:spacing w:after="240"/>
    </w:pPr>
    <w:tblPr/>
    <w:tblStylePr w:type="firstRow">
      <w:rPr>
        <w:color w:val="FFFFFF"/>
      </w:rPr>
    </w:tblStylePr>
    <w:tblStylePr w:type="firstCol">
      <w:rPr>
        <w:color w:val="646567"/>
      </w:rPr>
    </w:tblStylePr>
  </w:style>
  <w:style w:type="table" w:customStyle="1" w:styleId="EurolookClassicOlive">
    <w:name w:val="Eurolook Classic Olive"/>
    <w:basedOn w:val="TableNormal"/>
    <w:uiPriority w:val="80"/>
    <w:pPr>
      <w:spacing w:after="240"/>
    </w:pPr>
    <w:tblPr/>
    <w:tblStylePr w:type="firstRow">
      <w:rPr>
        <w:color w:val="FFFFFF"/>
      </w:rPr>
    </w:tblStylePr>
    <w:tblStylePr w:type="firstCol">
      <w:rPr>
        <w:color w:val="4E7849"/>
      </w:rPr>
    </w:tblStylePr>
  </w:style>
  <w:style w:type="table" w:customStyle="1" w:styleId="EurolookClassicPetrol">
    <w:name w:val="Eurolook Classic Petrol"/>
    <w:basedOn w:val="TableNormal"/>
    <w:uiPriority w:val="80"/>
    <w:pPr>
      <w:spacing w:after="240"/>
    </w:pPr>
    <w:tblPr/>
    <w:tblStylePr w:type="firstRow">
      <w:rPr>
        <w:color w:val="FFFFFF"/>
      </w:rPr>
    </w:tblStylePr>
    <w:tblStylePr w:type="firstCol">
      <w:rPr>
        <w:color w:val="007D98"/>
      </w:rPr>
    </w:tblStylePr>
  </w:style>
  <w:style w:type="table" w:customStyle="1" w:styleId="EurolookClassicPurple">
    <w:name w:val="Eurolook Classic Purple"/>
    <w:basedOn w:val="TableNormal"/>
    <w:uiPriority w:val="80"/>
    <w:pPr>
      <w:spacing w:after="240"/>
    </w:pPr>
    <w:tblPr/>
    <w:tblStylePr w:type="firstRow">
      <w:rPr>
        <w:color w:val="FFFFFF"/>
      </w:rPr>
    </w:tblStylePr>
    <w:tblStylePr w:type="firstCol">
      <w:rPr>
        <w:color w:val="771D7B"/>
      </w:rPr>
    </w:tblStylePr>
  </w:style>
  <w:style w:type="table" w:customStyle="1" w:styleId="EurolookClassicRust">
    <w:name w:val="Eurolook Classic Rust"/>
    <w:basedOn w:val="TableNormal"/>
    <w:uiPriority w:val="80"/>
    <w:pPr>
      <w:spacing w:after="240"/>
    </w:pPr>
    <w:tblPr/>
    <w:tblStylePr w:type="firstRow">
      <w:rPr>
        <w:color w:val="FFFFFF"/>
      </w:rPr>
    </w:tblStylePr>
    <w:tblStylePr w:type="firstCol">
      <w:rPr>
        <w:color w:val="BF4B36"/>
      </w:rPr>
    </w:tblStylePr>
  </w:style>
  <w:style w:type="table" w:customStyle="1" w:styleId="EurolookLightBlue">
    <w:name w:val="Eurolook Light Blue"/>
    <w:basedOn w:val="TableNormal"/>
    <w:uiPriority w:val="80"/>
    <w:pPr>
      <w:spacing w:after="240"/>
    </w:pPr>
    <w:tblPr/>
    <w:tblStylePr w:type="firstRow">
      <w:rPr>
        <w:b w:val="0"/>
        <w:smallCaps/>
        <w:color w:val="004494"/>
      </w:rPr>
    </w:tblStylePr>
    <w:tblStylePr w:type="lastRow">
      <w:rPr>
        <w:b w:val="0"/>
      </w:rPr>
    </w:tblStylePr>
    <w:tblStylePr w:type="firstCol">
      <w:rPr>
        <w:b w:val="0"/>
        <w:color w:val="000000"/>
      </w:rPr>
    </w:tblStylePr>
  </w:style>
  <w:style w:type="table" w:customStyle="1" w:styleId="EurolookLightGrey">
    <w:name w:val="Eurolook Light Grey"/>
    <w:basedOn w:val="TableNormal"/>
    <w:uiPriority w:val="80"/>
    <w:pPr>
      <w:spacing w:after="240"/>
    </w:pPr>
    <w:tblPr/>
    <w:tblStylePr w:type="firstRow">
      <w:rPr>
        <w:b w:val="0"/>
        <w:smallCaps/>
        <w:color w:val="646567"/>
      </w:rPr>
    </w:tblStylePr>
    <w:tblStylePr w:type="lastRow">
      <w:rPr>
        <w:b w:val="0"/>
      </w:rPr>
    </w:tblStylePr>
    <w:tblStylePr w:type="firstCol">
      <w:rPr>
        <w:color w:val="000000"/>
      </w:rPr>
    </w:tblStylePr>
  </w:style>
  <w:style w:type="table" w:customStyle="1" w:styleId="EurolookLightOlive">
    <w:name w:val="Eurolook Light Olive"/>
    <w:basedOn w:val="TableNormal"/>
    <w:uiPriority w:val="80"/>
    <w:pPr>
      <w:spacing w:after="240"/>
    </w:pPr>
    <w:tblPr/>
    <w:tblStylePr w:type="firstRow">
      <w:rPr>
        <w:b w:val="0"/>
        <w:smallCaps/>
        <w:color w:val="4E7849"/>
      </w:rPr>
    </w:tblStylePr>
    <w:tblStylePr w:type="lastRow">
      <w:rPr>
        <w:b w:val="0"/>
      </w:rPr>
    </w:tblStylePr>
    <w:tblStylePr w:type="firstCol">
      <w:rPr>
        <w:color w:val="000000"/>
      </w:rPr>
    </w:tblStylePr>
  </w:style>
  <w:style w:type="table" w:customStyle="1" w:styleId="EurolookLightPetrol">
    <w:name w:val="Eurolook Light Petrol"/>
    <w:basedOn w:val="TableNormal"/>
    <w:uiPriority w:val="80"/>
    <w:pPr>
      <w:spacing w:after="240"/>
    </w:pPr>
    <w:tblPr/>
    <w:tblStylePr w:type="firstRow">
      <w:rPr>
        <w:b w:val="0"/>
        <w:smallCaps/>
        <w:color w:val="007D98"/>
      </w:rPr>
    </w:tblStylePr>
    <w:tblStylePr w:type="lastRow">
      <w:rPr>
        <w:b w:val="0"/>
      </w:rPr>
    </w:tblStylePr>
    <w:tblStylePr w:type="firstCol">
      <w:rPr>
        <w:color w:val="000000"/>
      </w:rPr>
    </w:tblStylePr>
  </w:style>
  <w:style w:type="table" w:customStyle="1" w:styleId="EurolookLightPurple">
    <w:name w:val="Eurolook Light Purple"/>
    <w:basedOn w:val="TableNormal"/>
    <w:uiPriority w:val="80"/>
    <w:pPr>
      <w:spacing w:after="240"/>
    </w:pPr>
    <w:tblPr/>
    <w:tblStylePr w:type="firstRow">
      <w:rPr>
        <w:b w:val="0"/>
        <w:smallCaps/>
        <w:color w:val="771D7B"/>
      </w:rPr>
    </w:tblStylePr>
    <w:tblStylePr w:type="lastRow">
      <w:rPr>
        <w:b w:val="0"/>
      </w:rPr>
    </w:tblStylePr>
    <w:tblStylePr w:type="firstCol">
      <w:rPr>
        <w:color w:val="000000"/>
      </w:rPr>
    </w:tblStylePr>
  </w:style>
  <w:style w:type="table" w:customStyle="1" w:styleId="EurolookLightRust">
    <w:name w:val="Eurolook Light Rust"/>
    <w:basedOn w:val="TableNormal"/>
    <w:uiPriority w:val="80"/>
    <w:pPr>
      <w:spacing w:after="240"/>
    </w:pPr>
    <w:tblPr/>
    <w:tblStylePr w:type="firstRow">
      <w:rPr>
        <w:b w:val="0"/>
        <w:smallCaps/>
        <w:color w:val="BF4B36"/>
      </w:rPr>
    </w:tblStylePr>
    <w:tblStylePr w:type="lastRow">
      <w:rPr>
        <w:b w:val="0"/>
      </w:rPr>
    </w:tblStylePr>
    <w:tblStylePr w:type="firstCol">
      <w:rPr>
        <w:color w:val="000000"/>
      </w:rPr>
    </w:tblStylePr>
  </w:style>
  <w:style w:type="table" w:customStyle="1" w:styleId="EurolookTable">
    <w:name w:val="Eurolook Table"/>
    <w:semiHidden/>
    <w:tblPr>
      <w:tblCellMar>
        <w:top w:w="0" w:type="dxa"/>
        <w:left w:w="0" w:type="dxa"/>
        <w:bottom w:w="0" w:type="dxa"/>
        <w:right w:w="0" w:type="dxa"/>
      </w:tblCellMar>
    </w:tblPr>
    <w:tblStylePr w:type="firstRow">
      <w:rPr>
        <w:b/>
      </w:rPr>
    </w:tblStylePr>
  </w:style>
  <w:style w:type="table" w:customStyle="1" w:styleId="PropertiesTable">
    <w:name w:val="Properties Table"/>
    <w:basedOn w:val="TableNormal"/>
    <w:semiHidden/>
    <w:pPr>
      <w:spacing w:after="120" w:line="264" w:lineRule="auto"/>
    </w:pPr>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pPr>
    <w:tblPr/>
  </w:style>
  <w:style w:type="table" w:customStyle="1" w:styleId="TableLetterhead">
    <w:name w:val="Table Letterhead"/>
    <w:basedOn w:val="TableNormal"/>
    <w:semiHidden/>
    <w:tblPr/>
  </w:style>
  <w:style w:type="paragraph" w:styleId="ListBullet2">
    <w:name w:val="List Bullet 2"/>
    <w:basedOn w:val="Normal"/>
    <w:uiPriority w:val="99"/>
    <w:semiHidden/>
    <w:rsid w:val="00BA181E"/>
    <w:pPr>
      <w:numPr>
        <w:numId w:val="14"/>
      </w:numPr>
      <w:contextualSpacing/>
    </w:pPr>
  </w:style>
  <w:style w:type="paragraph" w:styleId="NormalWeb">
    <w:name w:val="Normal (Web)"/>
    <w:basedOn w:val="Normal"/>
    <w:uiPriority w:val="99"/>
    <w:semiHidden/>
    <w:unhideWhenUsed/>
    <w:rsid w:val="003F4C51"/>
    <w:pPr>
      <w:spacing w:before="100" w:beforeAutospacing="1" w:after="100" w:afterAutospacing="1" w:line="240" w:lineRule="auto"/>
      <w:jc w:val="left"/>
    </w:pPr>
    <w:rPr>
      <w:sz w:val="24"/>
      <w:szCs w:val="24"/>
    </w:rPr>
  </w:style>
  <w:style w:type="character" w:styleId="EndnoteReference">
    <w:name w:val="endnote reference"/>
    <w:basedOn w:val="DefaultParagraphFont"/>
    <w:uiPriority w:val="99"/>
    <w:semiHidden/>
    <w:rsid w:val="00742E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2782">
      <w:bodyDiv w:val="1"/>
      <w:marLeft w:val="0"/>
      <w:marRight w:val="0"/>
      <w:marTop w:val="0"/>
      <w:marBottom w:val="0"/>
      <w:divBdr>
        <w:top w:val="none" w:sz="0" w:space="0" w:color="auto"/>
        <w:left w:val="none" w:sz="0" w:space="0" w:color="auto"/>
        <w:bottom w:val="none" w:sz="0" w:space="0" w:color="auto"/>
        <w:right w:val="none" w:sz="0" w:space="0" w:color="auto"/>
      </w:divBdr>
    </w:div>
    <w:div w:id="24641548">
      <w:bodyDiv w:val="1"/>
      <w:marLeft w:val="0"/>
      <w:marRight w:val="0"/>
      <w:marTop w:val="0"/>
      <w:marBottom w:val="0"/>
      <w:divBdr>
        <w:top w:val="none" w:sz="0" w:space="0" w:color="auto"/>
        <w:left w:val="none" w:sz="0" w:space="0" w:color="auto"/>
        <w:bottom w:val="none" w:sz="0" w:space="0" w:color="auto"/>
        <w:right w:val="none" w:sz="0" w:space="0" w:color="auto"/>
      </w:divBdr>
    </w:div>
    <w:div w:id="44722854">
      <w:bodyDiv w:val="1"/>
      <w:marLeft w:val="0"/>
      <w:marRight w:val="0"/>
      <w:marTop w:val="0"/>
      <w:marBottom w:val="0"/>
      <w:divBdr>
        <w:top w:val="none" w:sz="0" w:space="0" w:color="auto"/>
        <w:left w:val="none" w:sz="0" w:space="0" w:color="auto"/>
        <w:bottom w:val="none" w:sz="0" w:space="0" w:color="auto"/>
        <w:right w:val="none" w:sz="0" w:space="0" w:color="auto"/>
      </w:divBdr>
    </w:div>
    <w:div w:id="54397838">
      <w:bodyDiv w:val="1"/>
      <w:marLeft w:val="0"/>
      <w:marRight w:val="0"/>
      <w:marTop w:val="0"/>
      <w:marBottom w:val="0"/>
      <w:divBdr>
        <w:top w:val="none" w:sz="0" w:space="0" w:color="auto"/>
        <w:left w:val="none" w:sz="0" w:space="0" w:color="auto"/>
        <w:bottom w:val="none" w:sz="0" w:space="0" w:color="auto"/>
        <w:right w:val="none" w:sz="0" w:space="0" w:color="auto"/>
      </w:divBdr>
    </w:div>
    <w:div w:id="93937933">
      <w:bodyDiv w:val="1"/>
      <w:marLeft w:val="0"/>
      <w:marRight w:val="0"/>
      <w:marTop w:val="0"/>
      <w:marBottom w:val="0"/>
      <w:divBdr>
        <w:top w:val="none" w:sz="0" w:space="0" w:color="auto"/>
        <w:left w:val="none" w:sz="0" w:space="0" w:color="auto"/>
        <w:bottom w:val="none" w:sz="0" w:space="0" w:color="auto"/>
        <w:right w:val="none" w:sz="0" w:space="0" w:color="auto"/>
      </w:divBdr>
    </w:div>
    <w:div w:id="101196595">
      <w:bodyDiv w:val="1"/>
      <w:marLeft w:val="0"/>
      <w:marRight w:val="0"/>
      <w:marTop w:val="0"/>
      <w:marBottom w:val="0"/>
      <w:divBdr>
        <w:top w:val="none" w:sz="0" w:space="0" w:color="auto"/>
        <w:left w:val="none" w:sz="0" w:space="0" w:color="auto"/>
        <w:bottom w:val="none" w:sz="0" w:space="0" w:color="auto"/>
        <w:right w:val="none" w:sz="0" w:space="0" w:color="auto"/>
      </w:divBdr>
    </w:div>
    <w:div w:id="106194258">
      <w:bodyDiv w:val="1"/>
      <w:marLeft w:val="0"/>
      <w:marRight w:val="0"/>
      <w:marTop w:val="0"/>
      <w:marBottom w:val="0"/>
      <w:divBdr>
        <w:top w:val="none" w:sz="0" w:space="0" w:color="auto"/>
        <w:left w:val="none" w:sz="0" w:space="0" w:color="auto"/>
        <w:bottom w:val="none" w:sz="0" w:space="0" w:color="auto"/>
        <w:right w:val="none" w:sz="0" w:space="0" w:color="auto"/>
      </w:divBdr>
    </w:div>
    <w:div w:id="122433300">
      <w:bodyDiv w:val="1"/>
      <w:marLeft w:val="0"/>
      <w:marRight w:val="0"/>
      <w:marTop w:val="0"/>
      <w:marBottom w:val="0"/>
      <w:divBdr>
        <w:top w:val="none" w:sz="0" w:space="0" w:color="auto"/>
        <w:left w:val="none" w:sz="0" w:space="0" w:color="auto"/>
        <w:bottom w:val="none" w:sz="0" w:space="0" w:color="auto"/>
        <w:right w:val="none" w:sz="0" w:space="0" w:color="auto"/>
      </w:divBdr>
    </w:div>
    <w:div w:id="175465985">
      <w:bodyDiv w:val="1"/>
      <w:marLeft w:val="0"/>
      <w:marRight w:val="0"/>
      <w:marTop w:val="0"/>
      <w:marBottom w:val="0"/>
      <w:divBdr>
        <w:top w:val="none" w:sz="0" w:space="0" w:color="auto"/>
        <w:left w:val="none" w:sz="0" w:space="0" w:color="auto"/>
        <w:bottom w:val="none" w:sz="0" w:space="0" w:color="auto"/>
        <w:right w:val="none" w:sz="0" w:space="0" w:color="auto"/>
      </w:divBdr>
    </w:div>
    <w:div w:id="229314622">
      <w:bodyDiv w:val="1"/>
      <w:marLeft w:val="0"/>
      <w:marRight w:val="0"/>
      <w:marTop w:val="0"/>
      <w:marBottom w:val="0"/>
      <w:divBdr>
        <w:top w:val="none" w:sz="0" w:space="0" w:color="auto"/>
        <w:left w:val="none" w:sz="0" w:space="0" w:color="auto"/>
        <w:bottom w:val="none" w:sz="0" w:space="0" w:color="auto"/>
        <w:right w:val="none" w:sz="0" w:space="0" w:color="auto"/>
      </w:divBdr>
    </w:div>
    <w:div w:id="290599346">
      <w:bodyDiv w:val="1"/>
      <w:marLeft w:val="0"/>
      <w:marRight w:val="0"/>
      <w:marTop w:val="0"/>
      <w:marBottom w:val="0"/>
      <w:divBdr>
        <w:top w:val="none" w:sz="0" w:space="0" w:color="auto"/>
        <w:left w:val="none" w:sz="0" w:space="0" w:color="auto"/>
        <w:bottom w:val="none" w:sz="0" w:space="0" w:color="auto"/>
        <w:right w:val="none" w:sz="0" w:space="0" w:color="auto"/>
      </w:divBdr>
      <w:divsChild>
        <w:div w:id="447435327">
          <w:marLeft w:val="0"/>
          <w:marRight w:val="0"/>
          <w:marTop w:val="0"/>
          <w:marBottom w:val="0"/>
          <w:divBdr>
            <w:top w:val="none" w:sz="0" w:space="0" w:color="auto"/>
            <w:left w:val="none" w:sz="0" w:space="0" w:color="auto"/>
            <w:bottom w:val="none" w:sz="0" w:space="0" w:color="auto"/>
            <w:right w:val="none" w:sz="0" w:space="0" w:color="auto"/>
          </w:divBdr>
          <w:divsChild>
            <w:div w:id="43235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558587">
      <w:bodyDiv w:val="1"/>
      <w:marLeft w:val="0"/>
      <w:marRight w:val="0"/>
      <w:marTop w:val="0"/>
      <w:marBottom w:val="0"/>
      <w:divBdr>
        <w:top w:val="none" w:sz="0" w:space="0" w:color="auto"/>
        <w:left w:val="none" w:sz="0" w:space="0" w:color="auto"/>
        <w:bottom w:val="none" w:sz="0" w:space="0" w:color="auto"/>
        <w:right w:val="none" w:sz="0" w:space="0" w:color="auto"/>
      </w:divBdr>
    </w:div>
    <w:div w:id="314455133">
      <w:bodyDiv w:val="1"/>
      <w:marLeft w:val="0"/>
      <w:marRight w:val="0"/>
      <w:marTop w:val="0"/>
      <w:marBottom w:val="0"/>
      <w:divBdr>
        <w:top w:val="none" w:sz="0" w:space="0" w:color="auto"/>
        <w:left w:val="none" w:sz="0" w:space="0" w:color="auto"/>
        <w:bottom w:val="none" w:sz="0" w:space="0" w:color="auto"/>
        <w:right w:val="none" w:sz="0" w:space="0" w:color="auto"/>
      </w:divBdr>
    </w:div>
    <w:div w:id="355813328">
      <w:bodyDiv w:val="1"/>
      <w:marLeft w:val="0"/>
      <w:marRight w:val="0"/>
      <w:marTop w:val="0"/>
      <w:marBottom w:val="0"/>
      <w:divBdr>
        <w:top w:val="none" w:sz="0" w:space="0" w:color="auto"/>
        <w:left w:val="none" w:sz="0" w:space="0" w:color="auto"/>
        <w:bottom w:val="none" w:sz="0" w:space="0" w:color="auto"/>
        <w:right w:val="none" w:sz="0" w:space="0" w:color="auto"/>
      </w:divBdr>
    </w:div>
    <w:div w:id="374474197">
      <w:bodyDiv w:val="1"/>
      <w:marLeft w:val="0"/>
      <w:marRight w:val="0"/>
      <w:marTop w:val="0"/>
      <w:marBottom w:val="0"/>
      <w:divBdr>
        <w:top w:val="none" w:sz="0" w:space="0" w:color="auto"/>
        <w:left w:val="none" w:sz="0" w:space="0" w:color="auto"/>
        <w:bottom w:val="none" w:sz="0" w:space="0" w:color="auto"/>
        <w:right w:val="none" w:sz="0" w:space="0" w:color="auto"/>
      </w:divBdr>
    </w:div>
    <w:div w:id="381758030">
      <w:bodyDiv w:val="1"/>
      <w:marLeft w:val="0"/>
      <w:marRight w:val="0"/>
      <w:marTop w:val="0"/>
      <w:marBottom w:val="0"/>
      <w:divBdr>
        <w:top w:val="none" w:sz="0" w:space="0" w:color="auto"/>
        <w:left w:val="none" w:sz="0" w:space="0" w:color="auto"/>
        <w:bottom w:val="none" w:sz="0" w:space="0" w:color="auto"/>
        <w:right w:val="none" w:sz="0" w:space="0" w:color="auto"/>
      </w:divBdr>
    </w:div>
    <w:div w:id="391124171">
      <w:bodyDiv w:val="1"/>
      <w:marLeft w:val="0"/>
      <w:marRight w:val="0"/>
      <w:marTop w:val="0"/>
      <w:marBottom w:val="0"/>
      <w:divBdr>
        <w:top w:val="none" w:sz="0" w:space="0" w:color="auto"/>
        <w:left w:val="none" w:sz="0" w:space="0" w:color="auto"/>
        <w:bottom w:val="none" w:sz="0" w:space="0" w:color="auto"/>
        <w:right w:val="none" w:sz="0" w:space="0" w:color="auto"/>
      </w:divBdr>
    </w:div>
    <w:div w:id="408118570">
      <w:bodyDiv w:val="1"/>
      <w:marLeft w:val="0"/>
      <w:marRight w:val="0"/>
      <w:marTop w:val="0"/>
      <w:marBottom w:val="0"/>
      <w:divBdr>
        <w:top w:val="none" w:sz="0" w:space="0" w:color="auto"/>
        <w:left w:val="none" w:sz="0" w:space="0" w:color="auto"/>
        <w:bottom w:val="none" w:sz="0" w:space="0" w:color="auto"/>
        <w:right w:val="none" w:sz="0" w:space="0" w:color="auto"/>
      </w:divBdr>
      <w:divsChild>
        <w:div w:id="1986154682">
          <w:marLeft w:val="547"/>
          <w:marRight w:val="0"/>
          <w:marTop w:val="0"/>
          <w:marBottom w:val="0"/>
          <w:divBdr>
            <w:top w:val="none" w:sz="0" w:space="0" w:color="auto"/>
            <w:left w:val="none" w:sz="0" w:space="0" w:color="auto"/>
            <w:bottom w:val="none" w:sz="0" w:space="0" w:color="auto"/>
            <w:right w:val="none" w:sz="0" w:space="0" w:color="auto"/>
          </w:divBdr>
        </w:div>
      </w:divsChild>
    </w:div>
    <w:div w:id="637761592">
      <w:bodyDiv w:val="1"/>
      <w:marLeft w:val="0"/>
      <w:marRight w:val="0"/>
      <w:marTop w:val="0"/>
      <w:marBottom w:val="0"/>
      <w:divBdr>
        <w:top w:val="none" w:sz="0" w:space="0" w:color="auto"/>
        <w:left w:val="none" w:sz="0" w:space="0" w:color="auto"/>
        <w:bottom w:val="none" w:sz="0" w:space="0" w:color="auto"/>
        <w:right w:val="none" w:sz="0" w:space="0" w:color="auto"/>
      </w:divBdr>
    </w:div>
    <w:div w:id="639581236">
      <w:bodyDiv w:val="1"/>
      <w:marLeft w:val="0"/>
      <w:marRight w:val="0"/>
      <w:marTop w:val="0"/>
      <w:marBottom w:val="0"/>
      <w:divBdr>
        <w:top w:val="none" w:sz="0" w:space="0" w:color="auto"/>
        <w:left w:val="none" w:sz="0" w:space="0" w:color="auto"/>
        <w:bottom w:val="none" w:sz="0" w:space="0" w:color="auto"/>
        <w:right w:val="none" w:sz="0" w:space="0" w:color="auto"/>
      </w:divBdr>
    </w:div>
    <w:div w:id="639768893">
      <w:bodyDiv w:val="1"/>
      <w:marLeft w:val="0"/>
      <w:marRight w:val="0"/>
      <w:marTop w:val="0"/>
      <w:marBottom w:val="0"/>
      <w:divBdr>
        <w:top w:val="none" w:sz="0" w:space="0" w:color="auto"/>
        <w:left w:val="none" w:sz="0" w:space="0" w:color="auto"/>
        <w:bottom w:val="none" w:sz="0" w:space="0" w:color="auto"/>
        <w:right w:val="none" w:sz="0" w:space="0" w:color="auto"/>
      </w:divBdr>
    </w:div>
    <w:div w:id="660885703">
      <w:bodyDiv w:val="1"/>
      <w:marLeft w:val="0"/>
      <w:marRight w:val="0"/>
      <w:marTop w:val="0"/>
      <w:marBottom w:val="0"/>
      <w:divBdr>
        <w:top w:val="none" w:sz="0" w:space="0" w:color="auto"/>
        <w:left w:val="none" w:sz="0" w:space="0" w:color="auto"/>
        <w:bottom w:val="none" w:sz="0" w:space="0" w:color="auto"/>
        <w:right w:val="none" w:sz="0" w:space="0" w:color="auto"/>
      </w:divBdr>
    </w:div>
    <w:div w:id="664282475">
      <w:bodyDiv w:val="1"/>
      <w:marLeft w:val="0"/>
      <w:marRight w:val="0"/>
      <w:marTop w:val="0"/>
      <w:marBottom w:val="0"/>
      <w:divBdr>
        <w:top w:val="none" w:sz="0" w:space="0" w:color="auto"/>
        <w:left w:val="none" w:sz="0" w:space="0" w:color="auto"/>
        <w:bottom w:val="none" w:sz="0" w:space="0" w:color="auto"/>
        <w:right w:val="none" w:sz="0" w:space="0" w:color="auto"/>
      </w:divBdr>
      <w:divsChild>
        <w:div w:id="1485198012">
          <w:marLeft w:val="0"/>
          <w:marRight w:val="0"/>
          <w:marTop w:val="0"/>
          <w:marBottom w:val="0"/>
          <w:divBdr>
            <w:top w:val="none" w:sz="0" w:space="0" w:color="auto"/>
            <w:left w:val="none" w:sz="0" w:space="0" w:color="auto"/>
            <w:bottom w:val="none" w:sz="0" w:space="0" w:color="auto"/>
            <w:right w:val="none" w:sz="0" w:space="0" w:color="auto"/>
          </w:divBdr>
          <w:divsChild>
            <w:div w:id="4936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850078">
      <w:bodyDiv w:val="1"/>
      <w:marLeft w:val="0"/>
      <w:marRight w:val="0"/>
      <w:marTop w:val="0"/>
      <w:marBottom w:val="0"/>
      <w:divBdr>
        <w:top w:val="none" w:sz="0" w:space="0" w:color="auto"/>
        <w:left w:val="none" w:sz="0" w:space="0" w:color="auto"/>
        <w:bottom w:val="none" w:sz="0" w:space="0" w:color="auto"/>
        <w:right w:val="none" w:sz="0" w:space="0" w:color="auto"/>
      </w:divBdr>
    </w:div>
    <w:div w:id="719863356">
      <w:bodyDiv w:val="1"/>
      <w:marLeft w:val="0"/>
      <w:marRight w:val="0"/>
      <w:marTop w:val="0"/>
      <w:marBottom w:val="0"/>
      <w:divBdr>
        <w:top w:val="none" w:sz="0" w:space="0" w:color="auto"/>
        <w:left w:val="none" w:sz="0" w:space="0" w:color="auto"/>
        <w:bottom w:val="none" w:sz="0" w:space="0" w:color="auto"/>
        <w:right w:val="none" w:sz="0" w:space="0" w:color="auto"/>
      </w:divBdr>
    </w:div>
    <w:div w:id="726995602">
      <w:bodyDiv w:val="1"/>
      <w:marLeft w:val="0"/>
      <w:marRight w:val="0"/>
      <w:marTop w:val="0"/>
      <w:marBottom w:val="0"/>
      <w:divBdr>
        <w:top w:val="none" w:sz="0" w:space="0" w:color="auto"/>
        <w:left w:val="none" w:sz="0" w:space="0" w:color="auto"/>
        <w:bottom w:val="none" w:sz="0" w:space="0" w:color="auto"/>
        <w:right w:val="none" w:sz="0" w:space="0" w:color="auto"/>
      </w:divBdr>
      <w:divsChild>
        <w:div w:id="2082945656">
          <w:marLeft w:val="547"/>
          <w:marRight w:val="0"/>
          <w:marTop w:val="0"/>
          <w:marBottom w:val="0"/>
          <w:divBdr>
            <w:top w:val="none" w:sz="0" w:space="0" w:color="auto"/>
            <w:left w:val="none" w:sz="0" w:space="0" w:color="auto"/>
            <w:bottom w:val="none" w:sz="0" w:space="0" w:color="auto"/>
            <w:right w:val="none" w:sz="0" w:space="0" w:color="auto"/>
          </w:divBdr>
        </w:div>
      </w:divsChild>
    </w:div>
    <w:div w:id="892346434">
      <w:bodyDiv w:val="1"/>
      <w:marLeft w:val="0"/>
      <w:marRight w:val="0"/>
      <w:marTop w:val="0"/>
      <w:marBottom w:val="0"/>
      <w:divBdr>
        <w:top w:val="none" w:sz="0" w:space="0" w:color="auto"/>
        <w:left w:val="none" w:sz="0" w:space="0" w:color="auto"/>
        <w:bottom w:val="none" w:sz="0" w:space="0" w:color="auto"/>
        <w:right w:val="none" w:sz="0" w:space="0" w:color="auto"/>
      </w:divBdr>
      <w:divsChild>
        <w:div w:id="1620062743">
          <w:marLeft w:val="0"/>
          <w:marRight w:val="0"/>
          <w:marTop w:val="0"/>
          <w:marBottom w:val="0"/>
          <w:divBdr>
            <w:top w:val="none" w:sz="0" w:space="0" w:color="auto"/>
            <w:left w:val="none" w:sz="0" w:space="0" w:color="auto"/>
            <w:bottom w:val="none" w:sz="0" w:space="0" w:color="auto"/>
            <w:right w:val="none" w:sz="0" w:space="0" w:color="auto"/>
          </w:divBdr>
          <w:divsChild>
            <w:div w:id="137226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536859">
      <w:bodyDiv w:val="1"/>
      <w:marLeft w:val="0"/>
      <w:marRight w:val="0"/>
      <w:marTop w:val="0"/>
      <w:marBottom w:val="0"/>
      <w:divBdr>
        <w:top w:val="none" w:sz="0" w:space="0" w:color="auto"/>
        <w:left w:val="none" w:sz="0" w:space="0" w:color="auto"/>
        <w:bottom w:val="none" w:sz="0" w:space="0" w:color="auto"/>
        <w:right w:val="none" w:sz="0" w:space="0" w:color="auto"/>
      </w:divBdr>
    </w:div>
    <w:div w:id="932588216">
      <w:bodyDiv w:val="1"/>
      <w:marLeft w:val="0"/>
      <w:marRight w:val="0"/>
      <w:marTop w:val="0"/>
      <w:marBottom w:val="0"/>
      <w:divBdr>
        <w:top w:val="none" w:sz="0" w:space="0" w:color="auto"/>
        <w:left w:val="none" w:sz="0" w:space="0" w:color="auto"/>
        <w:bottom w:val="none" w:sz="0" w:space="0" w:color="auto"/>
        <w:right w:val="none" w:sz="0" w:space="0" w:color="auto"/>
      </w:divBdr>
    </w:div>
    <w:div w:id="939870060">
      <w:bodyDiv w:val="1"/>
      <w:marLeft w:val="0"/>
      <w:marRight w:val="0"/>
      <w:marTop w:val="0"/>
      <w:marBottom w:val="0"/>
      <w:divBdr>
        <w:top w:val="none" w:sz="0" w:space="0" w:color="auto"/>
        <w:left w:val="none" w:sz="0" w:space="0" w:color="auto"/>
        <w:bottom w:val="none" w:sz="0" w:space="0" w:color="auto"/>
        <w:right w:val="none" w:sz="0" w:space="0" w:color="auto"/>
      </w:divBdr>
    </w:div>
    <w:div w:id="961688498">
      <w:bodyDiv w:val="1"/>
      <w:marLeft w:val="0"/>
      <w:marRight w:val="0"/>
      <w:marTop w:val="0"/>
      <w:marBottom w:val="0"/>
      <w:divBdr>
        <w:top w:val="none" w:sz="0" w:space="0" w:color="auto"/>
        <w:left w:val="none" w:sz="0" w:space="0" w:color="auto"/>
        <w:bottom w:val="none" w:sz="0" w:space="0" w:color="auto"/>
        <w:right w:val="none" w:sz="0" w:space="0" w:color="auto"/>
      </w:divBdr>
      <w:divsChild>
        <w:div w:id="663364951">
          <w:marLeft w:val="0"/>
          <w:marRight w:val="0"/>
          <w:marTop w:val="0"/>
          <w:marBottom w:val="0"/>
          <w:divBdr>
            <w:top w:val="none" w:sz="0" w:space="0" w:color="auto"/>
            <w:left w:val="none" w:sz="0" w:space="0" w:color="auto"/>
            <w:bottom w:val="none" w:sz="0" w:space="0" w:color="auto"/>
            <w:right w:val="none" w:sz="0" w:space="0" w:color="auto"/>
          </w:divBdr>
          <w:divsChild>
            <w:div w:id="468518083">
              <w:marLeft w:val="0"/>
              <w:marRight w:val="0"/>
              <w:marTop w:val="0"/>
              <w:marBottom w:val="0"/>
              <w:divBdr>
                <w:top w:val="none" w:sz="0" w:space="0" w:color="auto"/>
                <w:left w:val="none" w:sz="0" w:space="0" w:color="auto"/>
                <w:bottom w:val="none" w:sz="0" w:space="0" w:color="auto"/>
                <w:right w:val="none" w:sz="0" w:space="0" w:color="auto"/>
              </w:divBdr>
            </w:div>
            <w:div w:id="899638288">
              <w:marLeft w:val="0"/>
              <w:marRight w:val="0"/>
              <w:marTop w:val="0"/>
              <w:marBottom w:val="0"/>
              <w:divBdr>
                <w:top w:val="none" w:sz="0" w:space="0" w:color="auto"/>
                <w:left w:val="none" w:sz="0" w:space="0" w:color="auto"/>
                <w:bottom w:val="none" w:sz="0" w:space="0" w:color="auto"/>
                <w:right w:val="none" w:sz="0" w:space="0" w:color="auto"/>
              </w:divBdr>
            </w:div>
            <w:div w:id="1562137614">
              <w:marLeft w:val="0"/>
              <w:marRight w:val="0"/>
              <w:marTop w:val="0"/>
              <w:marBottom w:val="0"/>
              <w:divBdr>
                <w:top w:val="none" w:sz="0" w:space="0" w:color="auto"/>
                <w:left w:val="none" w:sz="0" w:space="0" w:color="auto"/>
                <w:bottom w:val="none" w:sz="0" w:space="0" w:color="auto"/>
                <w:right w:val="none" w:sz="0" w:space="0" w:color="auto"/>
              </w:divBdr>
            </w:div>
            <w:div w:id="1952274111">
              <w:marLeft w:val="0"/>
              <w:marRight w:val="0"/>
              <w:marTop w:val="0"/>
              <w:marBottom w:val="0"/>
              <w:divBdr>
                <w:top w:val="none" w:sz="0" w:space="0" w:color="auto"/>
                <w:left w:val="none" w:sz="0" w:space="0" w:color="auto"/>
                <w:bottom w:val="none" w:sz="0" w:space="0" w:color="auto"/>
                <w:right w:val="none" w:sz="0" w:space="0" w:color="auto"/>
              </w:divBdr>
            </w:div>
          </w:divsChild>
        </w:div>
        <w:div w:id="1048530824">
          <w:marLeft w:val="0"/>
          <w:marRight w:val="0"/>
          <w:marTop w:val="0"/>
          <w:marBottom w:val="0"/>
          <w:divBdr>
            <w:top w:val="none" w:sz="0" w:space="0" w:color="auto"/>
            <w:left w:val="none" w:sz="0" w:space="0" w:color="auto"/>
            <w:bottom w:val="none" w:sz="0" w:space="0" w:color="auto"/>
            <w:right w:val="none" w:sz="0" w:space="0" w:color="auto"/>
          </w:divBdr>
          <w:divsChild>
            <w:div w:id="20484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70663">
      <w:bodyDiv w:val="1"/>
      <w:marLeft w:val="0"/>
      <w:marRight w:val="0"/>
      <w:marTop w:val="0"/>
      <w:marBottom w:val="0"/>
      <w:divBdr>
        <w:top w:val="none" w:sz="0" w:space="0" w:color="auto"/>
        <w:left w:val="none" w:sz="0" w:space="0" w:color="auto"/>
        <w:bottom w:val="none" w:sz="0" w:space="0" w:color="auto"/>
        <w:right w:val="none" w:sz="0" w:space="0" w:color="auto"/>
      </w:divBdr>
    </w:div>
    <w:div w:id="978338480">
      <w:bodyDiv w:val="1"/>
      <w:marLeft w:val="0"/>
      <w:marRight w:val="0"/>
      <w:marTop w:val="0"/>
      <w:marBottom w:val="0"/>
      <w:divBdr>
        <w:top w:val="none" w:sz="0" w:space="0" w:color="auto"/>
        <w:left w:val="none" w:sz="0" w:space="0" w:color="auto"/>
        <w:bottom w:val="none" w:sz="0" w:space="0" w:color="auto"/>
        <w:right w:val="none" w:sz="0" w:space="0" w:color="auto"/>
      </w:divBdr>
    </w:div>
    <w:div w:id="985427284">
      <w:bodyDiv w:val="1"/>
      <w:marLeft w:val="0"/>
      <w:marRight w:val="0"/>
      <w:marTop w:val="0"/>
      <w:marBottom w:val="0"/>
      <w:divBdr>
        <w:top w:val="none" w:sz="0" w:space="0" w:color="auto"/>
        <w:left w:val="none" w:sz="0" w:space="0" w:color="auto"/>
        <w:bottom w:val="none" w:sz="0" w:space="0" w:color="auto"/>
        <w:right w:val="none" w:sz="0" w:space="0" w:color="auto"/>
      </w:divBdr>
    </w:div>
    <w:div w:id="1017852349">
      <w:bodyDiv w:val="1"/>
      <w:marLeft w:val="0"/>
      <w:marRight w:val="0"/>
      <w:marTop w:val="0"/>
      <w:marBottom w:val="0"/>
      <w:divBdr>
        <w:top w:val="none" w:sz="0" w:space="0" w:color="auto"/>
        <w:left w:val="none" w:sz="0" w:space="0" w:color="auto"/>
        <w:bottom w:val="none" w:sz="0" w:space="0" w:color="auto"/>
        <w:right w:val="none" w:sz="0" w:space="0" w:color="auto"/>
      </w:divBdr>
    </w:div>
    <w:div w:id="1128747039">
      <w:bodyDiv w:val="1"/>
      <w:marLeft w:val="0"/>
      <w:marRight w:val="0"/>
      <w:marTop w:val="0"/>
      <w:marBottom w:val="0"/>
      <w:divBdr>
        <w:top w:val="none" w:sz="0" w:space="0" w:color="auto"/>
        <w:left w:val="none" w:sz="0" w:space="0" w:color="auto"/>
        <w:bottom w:val="none" w:sz="0" w:space="0" w:color="auto"/>
        <w:right w:val="none" w:sz="0" w:space="0" w:color="auto"/>
      </w:divBdr>
    </w:div>
    <w:div w:id="1154025243">
      <w:bodyDiv w:val="1"/>
      <w:marLeft w:val="0"/>
      <w:marRight w:val="0"/>
      <w:marTop w:val="0"/>
      <w:marBottom w:val="0"/>
      <w:divBdr>
        <w:top w:val="none" w:sz="0" w:space="0" w:color="auto"/>
        <w:left w:val="none" w:sz="0" w:space="0" w:color="auto"/>
        <w:bottom w:val="none" w:sz="0" w:space="0" w:color="auto"/>
        <w:right w:val="none" w:sz="0" w:space="0" w:color="auto"/>
      </w:divBdr>
      <w:divsChild>
        <w:div w:id="1665359576">
          <w:marLeft w:val="0"/>
          <w:marRight w:val="0"/>
          <w:marTop w:val="0"/>
          <w:marBottom w:val="0"/>
          <w:divBdr>
            <w:top w:val="none" w:sz="0" w:space="0" w:color="auto"/>
            <w:left w:val="none" w:sz="0" w:space="0" w:color="auto"/>
            <w:bottom w:val="none" w:sz="0" w:space="0" w:color="auto"/>
            <w:right w:val="none" w:sz="0" w:space="0" w:color="auto"/>
          </w:divBdr>
          <w:divsChild>
            <w:div w:id="185097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6027">
      <w:bodyDiv w:val="1"/>
      <w:marLeft w:val="0"/>
      <w:marRight w:val="0"/>
      <w:marTop w:val="0"/>
      <w:marBottom w:val="0"/>
      <w:divBdr>
        <w:top w:val="none" w:sz="0" w:space="0" w:color="auto"/>
        <w:left w:val="none" w:sz="0" w:space="0" w:color="auto"/>
        <w:bottom w:val="none" w:sz="0" w:space="0" w:color="auto"/>
        <w:right w:val="none" w:sz="0" w:space="0" w:color="auto"/>
      </w:divBdr>
      <w:divsChild>
        <w:div w:id="382213411">
          <w:marLeft w:val="547"/>
          <w:marRight w:val="0"/>
          <w:marTop w:val="0"/>
          <w:marBottom w:val="0"/>
          <w:divBdr>
            <w:top w:val="none" w:sz="0" w:space="0" w:color="auto"/>
            <w:left w:val="none" w:sz="0" w:space="0" w:color="auto"/>
            <w:bottom w:val="none" w:sz="0" w:space="0" w:color="auto"/>
            <w:right w:val="none" w:sz="0" w:space="0" w:color="auto"/>
          </w:divBdr>
        </w:div>
      </w:divsChild>
    </w:div>
    <w:div w:id="1205631608">
      <w:bodyDiv w:val="1"/>
      <w:marLeft w:val="0"/>
      <w:marRight w:val="0"/>
      <w:marTop w:val="0"/>
      <w:marBottom w:val="0"/>
      <w:divBdr>
        <w:top w:val="none" w:sz="0" w:space="0" w:color="auto"/>
        <w:left w:val="none" w:sz="0" w:space="0" w:color="auto"/>
        <w:bottom w:val="none" w:sz="0" w:space="0" w:color="auto"/>
        <w:right w:val="none" w:sz="0" w:space="0" w:color="auto"/>
      </w:divBdr>
      <w:divsChild>
        <w:div w:id="67385216">
          <w:marLeft w:val="0"/>
          <w:marRight w:val="0"/>
          <w:marTop w:val="0"/>
          <w:marBottom w:val="0"/>
          <w:divBdr>
            <w:top w:val="none" w:sz="0" w:space="0" w:color="auto"/>
            <w:left w:val="none" w:sz="0" w:space="0" w:color="auto"/>
            <w:bottom w:val="none" w:sz="0" w:space="0" w:color="auto"/>
            <w:right w:val="none" w:sz="0" w:space="0" w:color="auto"/>
          </w:divBdr>
        </w:div>
        <w:div w:id="992754539">
          <w:marLeft w:val="0"/>
          <w:marRight w:val="0"/>
          <w:marTop w:val="0"/>
          <w:marBottom w:val="0"/>
          <w:divBdr>
            <w:top w:val="none" w:sz="0" w:space="0" w:color="auto"/>
            <w:left w:val="none" w:sz="0" w:space="0" w:color="auto"/>
            <w:bottom w:val="none" w:sz="0" w:space="0" w:color="auto"/>
            <w:right w:val="none" w:sz="0" w:space="0" w:color="auto"/>
          </w:divBdr>
        </w:div>
        <w:div w:id="1896351122">
          <w:marLeft w:val="0"/>
          <w:marRight w:val="0"/>
          <w:marTop w:val="0"/>
          <w:marBottom w:val="0"/>
          <w:divBdr>
            <w:top w:val="none" w:sz="0" w:space="0" w:color="auto"/>
            <w:left w:val="none" w:sz="0" w:space="0" w:color="auto"/>
            <w:bottom w:val="none" w:sz="0" w:space="0" w:color="auto"/>
            <w:right w:val="none" w:sz="0" w:space="0" w:color="auto"/>
          </w:divBdr>
        </w:div>
      </w:divsChild>
    </w:div>
    <w:div w:id="1217861318">
      <w:bodyDiv w:val="1"/>
      <w:marLeft w:val="0"/>
      <w:marRight w:val="0"/>
      <w:marTop w:val="0"/>
      <w:marBottom w:val="0"/>
      <w:divBdr>
        <w:top w:val="none" w:sz="0" w:space="0" w:color="auto"/>
        <w:left w:val="none" w:sz="0" w:space="0" w:color="auto"/>
        <w:bottom w:val="none" w:sz="0" w:space="0" w:color="auto"/>
        <w:right w:val="none" w:sz="0" w:space="0" w:color="auto"/>
      </w:divBdr>
    </w:div>
    <w:div w:id="1224682364">
      <w:bodyDiv w:val="1"/>
      <w:marLeft w:val="0"/>
      <w:marRight w:val="0"/>
      <w:marTop w:val="0"/>
      <w:marBottom w:val="0"/>
      <w:divBdr>
        <w:top w:val="none" w:sz="0" w:space="0" w:color="auto"/>
        <w:left w:val="none" w:sz="0" w:space="0" w:color="auto"/>
        <w:bottom w:val="none" w:sz="0" w:space="0" w:color="auto"/>
        <w:right w:val="none" w:sz="0" w:space="0" w:color="auto"/>
      </w:divBdr>
    </w:div>
    <w:div w:id="1266420883">
      <w:bodyDiv w:val="1"/>
      <w:marLeft w:val="0"/>
      <w:marRight w:val="0"/>
      <w:marTop w:val="0"/>
      <w:marBottom w:val="0"/>
      <w:divBdr>
        <w:top w:val="none" w:sz="0" w:space="0" w:color="auto"/>
        <w:left w:val="none" w:sz="0" w:space="0" w:color="auto"/>
        <w:bottom w:val="none" w:sz="0" w:space="0" w:color="auto"/>
        <w:right w:val="none" w:sz="0" w:space="0" w:color="auto"/>
      </w:divBdr>
    </w:div>
    <w:div w:id="1296983870">
      <w:bodyDiv w:val="1"/>
      <w:marLeft w:val="0"/>
      <w:marRight w:val="0"/>
      <w:marTop w:val="0"/>
      <w:marBottom w:val="0"/>
      <w:divBdr>
        <w:top w:val="none" w:sz="0" w:space="0" w:color="auto"/>
        <w:left w:val="none" w:sz="0" w:space="0" w:color="auto"/>
        <w:bottom w:val="none" w:sz="0" w:space="0" w:color="auto"/>
        <w:right w:val="none" w:sz="0" w:space="0" w:color="auto"/>
      </w:divBdr>
    </w:div>
    <w:div w:id="1318650475">
      <w:bodyDiv w:val="1"/>
      <w:marLeft w:val="0"/>
      <w:marRight w:val="0"/>
      <w:marTop w:val="0"/>
      <w:marBottom w:val="0"/>
      <w:divBdr>
        <w:top w:val="none" w:sz="0" w:space="0" w:color="auto"/>
        <w:left w:val="none" w:sz="0" w:space="0" w:color="auto"/>
        <w:bottom w:val="none" w:sz="0" w:space="0" w:color="auto"/>
        <w:right w:val="none" w:sz="0" w:space="0" w:color="auto"/>
      </w:divBdr>
    </w:div>
    <w:div w:id="1347252723">
      <w:bodyDiv w:val="1"/>
      <w:marLeft w:val="0"/>
      <w:marRight w:val="0"/>
      <w:marTop w:val="0"/>
      <w:marBottom w:val="0"/>
      <w:divBdr>
        <w:top w:val="none" w:sz="0" w:space="0" w:color="auto"/>
        <w:left w:val="none" w:sz="0" w:space="0" w:color="auto"/>
        <w:bottom w:val="none" w:sz="0" w:space="0" w:color="auto"/>
        <w:right w:val="none" w:sz="0" w:space="0" w:color="auto"/>
      </w:divBdr>
    </w:div>
    <w:div w:id="1459178266">
      <w:bodyDiv w:val="1"/>
      <w:marLeft w:val="0"/>
      <w:marRight w:val="0"/>
      <w:marTop w:val="0"/>
      <w:marBottom w:val="0"/>
      <w:divBdr>
        <w:top w:val="none" w:sz="0" w:space="0" w:color="auto"/>
        <w:left w:val="none" w:sz="0" w:space="0" w:color="auto"/>
        <w:bottom w:val="none" w:sz="0" w:space="0" w:color="auto"/>
        <w:right w:val="none" w:sz="0" w:space="0" w:color="auto"/>
      </w:divBdr>
    </w:div>
    <w:div w:id="1499805038">
      <w:bodyDiv w:val="1"/>
      <w:marLeft w:val="0"/>
      <w:marRight w:val="0"/>
      <w:marTop w:val="0"/>
      <w:marBottom w:val="0"/>
      <w:divBdr>
        <w:top w:val="none" w:sz="0" w:space="0" w:color="auto"/>
        <w:left w:val="none" w:sz="0" w:space="0" w:color="auto"/>
        <w:bottom w:val="none" w:sz="0" w:space="0" w:color="auto"/>
        <w:right w:val="none" w:sz="0" w:space="0" w:color="auto"/>
      </w:divBdr>
    </w:div>
    <w:div w:id="1509252460">
      <w:bodyDiv w:val="1"/>
      <w:marLeft w:val="0"/>
      <w:marRight w:val="0"/>
      <w:marTop w:val="0"/>
      <w:marBottom w:val="0"/>
      <w:divBdr>
        <w:top w:val="none" w:sz="0" w:space="0" w:color="auto"/>
        <w:left w:val="none" w:sz="0" w:space="0" w:color="auto"/>
        <w:bottom w:val="none" w:sz="0" w:space="0" w:color="auto"/>
        <w:right w:val="none" w:sz="0" w:space="0" w:color="auto"/>
      </w:divBdr>
    </w:div>
    <w:div w:id="1529565076">
      <w:bodyDiv w:val="1"/>
      <w:marLeft w:val="0"/>
      <w:marRight w:val="0"/>
      <w:marTop w:val="0"/>
      <w:marBottom w:val="0"/>
      <w:divBdr>
        <w:top w:val="none" w:sz="0" w:space="0" w:color="auto"/>
        <w:left w:val="none" w:sz="0" w:space="0" w:color="auto"/>
        <w:bottom w:val="none" w:sz="0" w:space="0" w:color="auto"/>
        <w:right w:val="none" w:sz="0" w:space="0" w:color="auto"/>
      </w:divBdr>
    </w:div>
    <w:div w:id="1530992545">
      <w:bodyDiv w:val="1"/>
      <w:marLeft w:val="0"/>
      <w:marRight w:val="0"/>
      <w:marTop w:val="0"/>
      <w:marBottom w:val="0"/>
      <w:divBdr>
        <w:top w:val="none" w:sz="0" w:space="0" w:color="auto"/>
        <w:left w:val="none" w:sz="0" w:space="0" w:color="auto"/>
        <w:bottom w:val="none" w:sz="0" w:space="0" w:color="auto"/>
        <w:right w:val="none" w:sz="0" w:space="0" w:color="auto"/>
      </w:divBdr>
    </w:div>
    <w:div w:id="1571037176">
      <w:bodyDiv w:val="1"/>
      <w:marLeft w:val="0"/>
      <w:marRight w:val="0"/>
      <w:marTop w:val="0"/>
      <w:marBottom w:val="0"/>
      <w:divBdr>
        <w:top w:val="none" w:sz="0" w:space="0" w:color="auto"/>
        <w:left w:val="none" w:sz="0" w:space="0" w:color="auto"/>
        <w:bottom w:val="none" w:sz="0" w:space="0" w:color="auto"/>
        <w:right w:val="none" w:sz="0" w:space="0" w:color="auto"/>
      </w:divBdr>
    </w:div>
    <w:div w:id="1578397399">
      <w:bodyDiv w:val="1"/>
      <w:marLeft w:val="0"/>
      <w:marRight w:val="0"/>
      <w:marTop w:val="0"/>
      <w:marBottom w:val="0"/>
      <w:divBdr>
        <w:top w:val="none" w:sz="0" w:space="0" w:color="auto"/>
        <w:left w:val="none" w:sz="0" w:space="0" w:color="auto"/>
        <w:bottom w:val="none" w:sz="0" w:space="0" w:color="auto"/>
        <w:right w:val="none" w:sz="0" w:space="0" w:color="auto"/>
      </w:divBdr>
    </w:div>
    <w:div w:id="1594588410">
      <w:bodyDiv w:val="1"/>
      <w:marLeft w:val="0"/>
      <w:marRight w:val="0"/>
      <w:marTop w:val="0"/>
      <w:marBottom w:val="0"/>
      <w:divBdr>
        <w:top w:val="none" w:sz="0" w:space="0" w:color="auto"/>
        <w:left w:val="none" w:sz="0" w:space="0" w:color="auto"/>
        <w:bottom w:val="none" w:sz="0" w:space="0" w:color="auto"/>
        <w:right w:val="none" w:sz="0" w:space="0" w:color="auto"/>
      </w:divBdr>
      <w:divsChild>
        <w:div w:id="1040325254">
          <w:marLeft w:val="0"/>
          <w:marRight w:val="0"/>
          <w:marTop w:val="0"/>
          <w:marBottom w:val="0"/>
          <w:divBdr>
            <w:top w:val="none" w:sz="0" w:space="0" w:color="auto"/>
            <w:left w:val="none" w:sz="0" w:space="0" w:color="auto"/>
            <w:bottom w:val="none" w:sz="0" w:space="0" w:color="auto"/>
            <w:right w:val="none" w:sz="0" w:space="0" w:color="auto"/>
          </w:divBdr>
          <w:divsChild>
            <w:div w:id="52824106">
              <w:marLeft w:val="0"/>
              <w:marRight w:val="0"/>
              <w:marTop w:val="0"/>
              <w:marBottom w:val="0"/>
              <w:divBdr>
                <w:top w:val="none" w:sz="0" w:space="0" w:color="auto"/>
                <w:left w:val="none" w:sz="0" w:space="0" w:color="auto"/>
                <w:bottom w:val="none" w:sz="0" w:space="0" w:color="auto"/>
                <w:right w:val="none" w:sz="0" w:space="0" w:color="auto"/>
              </w:divBdr>
            </w:div>
            <w:div w:id="970138239">
              <w:marLeft w:val="0"/>
              <w:marRight w:val="0"/>
              <w:marTop w:val="0"/>
              <w:marBottom w:val="0"/>
              <w:divBdr>
                <w:top w:val="none" w:sz="0" w:space="0" w:color="auto"/>
                <w:left w:val="none" w:sz="0" w:space="0" w:color="auto"/>
                <w:bottom w:val="none" w:sz="0" w:space="0" w:color="auto"/>
                <w:right w:val="none" w:sz="0" w:space="0" w:color="auto"/>
              </w:divBdr>
            </w:div>
            <w:div w:id="1032805641">
              <w:marLeft w:val="0"/>
              <w:marRight w:val="0"/>
              <w:marTop w:val="0"/>
              <w:marBottom w:val="0"/>
              <w:divBdr>
                <w:top w:val="none" w:sz="0" w:space="0" w:color="auto"/>
                <w:left w:val="none" w:sz="0" w:space="0" w:color="auto"/>
                <w:bottom w:val="none" w:sz="0" w:space="0" w:color="auto"/>
                <w:right w:val="none" w:sz="0" w:space="0" w:color="auto"/>
              </w:divBdr>
            </w:div>
            <w:div w:id="1632399064">
              <w:marLeft w:val="0"/>
              <w:marRight w:val="0"/>
              <w:marTop w:val="0"/>
              <w:marBottom w:val="0"/>
              <w:divBdr>
                <w:top w:val="none" w:sz="0" w:space="0" w:color="auto"/>
                <w:left w:val="none" w:sz="0" w:space="0" w:color="auto"/>
                <w:bottom w:val="none" w:sz="0" w:space="0" w:color="auto"/>
                <w:right w:val="none" w:sz="0" w:space="0" w:color="auto"/>
              </w:divBdr>
            </w:div>
          </w:divsChild>
        </w:div>
        <w:div w:id="2102797607">
          <w:marLeft w:val="0"/>
          <w:marRight w:val="0"/>
          <w:marTop w:val="0"/>
          <w:marBottom w:val="0"/>
          <w:divBdr>
            <w:top w:val="none" w:sz="0" w:space="0" w:color="auto"/>
            <w:left w:val="none" w:sz="0" w:space="0" w:color="auto"/>
            <w:bottom w:val="none" w:sz="0" w:space="0" w:color="auto"/>
            <w:right w:val="none" w:sz="0" w:space="0" w:color="auto"/>
          </w:divBdr>
          <w:divsChild>
            <w:div w:id="143887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25687">
      <w:bodyDiv w:val="1"/>
      <w:marLeft w:val="0"/>
      <w:marRight w:val="0"/>
      <w:marTop w:val="0"/>
      <w:marBottom w:val="0"/>
      <w:divBdr>
        <w:top w:val="none" w:sz="0" w:space="0" w:color="auto"/>
        <w:left w:val="none" w:sz="0" w:space="0" w:color="auto"/>
        <w:bottom w:val="none" w:sz="0" w:space="0" w:color="auto"/>
        <w:right w:val="none" w:sz="0" w:space="0" w:color="auto"/>
      </w:divBdr>
    </w:div>
    <w:div w:id="1627349017">
      <w:bodyDiv w:val="1"/>
      <w:marLeft w:val="0"/>
      <w:marRight w:val="0"/>
      <w:marTop w:val="0"/>
      <w:marBottom w:val="0"/>
      <w:divBdr>
        <w:top w:val="none" w:sz="0" w:space="0" w:color="auto"/>
        <w:left w:val="none" w:sz="0" w:space="0" w:color="auto"/>
        <w:bottom w:val="none" w:sz="0" w:space="0" w:color="auto"/>
        <w:right w:val="none" w:sz="0" w:space="0" w:color="auto"/>
      </w:divBdr>
    </w:div>
    <w:div w:id="1643342003">
      <w:bodyDiv w:val="1"/>
      <w:marLeft w:val="0"/>
      <w:marRight w:val="0"/>
      <w:marTop w:val="0"/>
      <w:marBottom w:val="0"/>
      <w:divBdr>
        <w:top w:val="none" w:sz="0" w:space="0" w:color="auto"/>
        <w:left w:val="none" w:sz="0" w:space="0" w:color="auto"/>
        <w:bottom w:val="none" w:sz="0" w:space="0" w:color="auto"/>
        <w:right w:val="none" w:sz="0" w:space="0" w:color="auto"/>
      </w:divBdr>
    </w:div>
    <w:div w:id="1677000896">
      <w:bodyDiv w:val="1"/>
      <w:marLeft w:val="0"/>
      <w:marRight w:val="0"/>
      <w:marTop w:val="0"/>
      <w:marBottom w:val="0"/>
      <w:divBdr>
        <w:top w:val="none" w:sz="0" w:space="0" w:color="auto"/>
        <w:left w:val="none" w:sz="0" w:space="0" w:color="auto"/>
        <w:bottom w:val="none" w:sz="0" w:space="0" w:color="auto"/>
        <w:right w:val="none" w:sz="0" w:space="0" w:color="auto"/>
      </w:divBdr>
    </w:div>
    <w:div w:id="1696534923">
      <w:bodyDiv w:val="1"/>
      <w:marLeft w:val="0"/>
      <w:marRight w:val="0"/>
      <w:marTop w:val="0"/>
      <w:marBottom w:val="0"/>
      <w:divBdr>
        <w:top w:val="none" w:sz="0" w:space="0" w:color="auto"/>
        <w:left w:val="none" w:sz="0" w:space="0" w:color="auto"/>
        <w:bottom w:val="none" w:sz="0" w:space="0" w:color="auto"/>
        <w:right w:val="none" w:sz="0" w:space="0" w:color="auto"/>
      </w:divBdr>
    </w:div>
    <w:div w:id="1827891509">
      <w:bodyDiv w:val="1"/>
      <w:marLeft w:val="0"/>
      <w:marRight w:val="0"/>
      <w:marTop w:val="0"/>
      <w:marBottom w:val="0"/>
      <w:divBdr>
        <w:top w:val="none" w:sz="0" w:space="0" w:color="auto"/>
        <w:left w:val="none" w:sz="0" w:space="0" w:color="auto"/>
        <w:bottom w:val="none" w:sz="0" w:space="0" w:color="auto"/>
        <w:right w:val="none" w:sz="0" w:space="0" w:color="auto"/>
      </w:divBdr>
      <w:divsChild>
        <w:div w:id="362828428">
          <w:marLeft w:val="0"/>
          <w:marRight w:val="0"/>
          <w:marTop w:val="0"/>
          <w:marBottom w:val="0"/>
          <w:divBdr>
            <w:top w:val="none" w:sz="0" w:space="0" w:color="auto"/>
            <w:left w:val="none" w:sz="0" w:space="0" w:color="auto"/>
            <w:bottom w:val="none" w:sz="0" w:space="0" w:color="auto"/>
            <w:right w:val="none" w:sz="0" w:space="0" w:color="auto"/>
          </w:divBdr>
        </w:div>
        <w:div w:id="1561089366">
          <w:marLeft w:val="0"/>
          <w:marRight w:val="0"/>
          <w:marTop w:val="0"/>
          <w:marBottom w:val="0"/>
          <w:divBdr>
            <w:top w:val="none" w:sz="0" w:space="0" w:color="auto"/>
            <w:left w:val="none" w:sz="0" w:space="0" w:color="auto"/>
            <w:bottom w:val="none" w:sz="0" w:space="0" w:color="auto"/>
            <w:right w:val="none" w:sz="0" w:space="0" w:color="auto"/>
          </w:divBdr>
        </w:div>
      </w:divsChild>
    </w:div>
    <w:div w:id="1830095194">
      <w:bodyDiv w:val="1"/>
      <w:marLeft w:val="0"/>
      <w:marRight w:val="0"/>
      <w:marTop w:val="0"/>
      <w:marBottom w:val="0"/>
      <w:divBdr>
        <w:top w:val="none" w:sz="0" w:space="0" w:color="auto"/>
        <w:left w:val="none" w:sz="0" w:space="0" w:color="auto"/>
        <w:bottom w:val="none" w:sz="0" w:space="0" w:color="auto"/>
        <w:right w:val="none" w:sz="0" w:space="0" w:color="auto"/>
      </w:divBdr>
      <w:divsChild>
        <w:div w:id="447549761">
          <w:marLeft w:val="0"/>
          <w:marRight w:val="0"/>
          <w:marTop w:val="0"/>
          <w:marBottom w:val="0"/>
          <w:divBdr>
            <w:top w:val="none" w:sz="0" w:space="0" w:color="auto"/>
            <w:left w:val="none" w:sz="0" w:space="0" w:color="auto"/>
            <w:bottom w:val="none" w:sz="0" w:space="0" w:color="auto"/>
            <w:right w:val="none" w:sz="0" w:space="0" w:color="auto"/>
          </w:divBdr>
        </w:div>
        <w:div w:id="622155359">
          <w:marLeft w:val="0"/>
          <w:marRight w:val="0"/>
          <w:marTop w:val="0"/>
          <w:marBottom w:val="0"/>
          <w:divBdr>
            <w:top w:val="none" w:sz="0" w:space="0" w:color="auto"/>
            <w:left w:val="none" w:sz="0" w:space="0" w:color="auto"/>
            <w:bottom w:val="none" w:sz="0" w:space="0" w:color="auto"/>
            <w:right w:val="none" w:sz="0" w:space="0" w:color="auto"/>
          </w:divBdr>
        </w:div>
        <w:div w:id="665322357">
          <w:marLeft w:val="0"/>
          <w:marRight w:val="0"/>
          <w:marTop w:val="0"/>
          <w:marBottom w:val="0"/>
          <w:divBdr>
            <w:top w:val="none" w:sz="0" w:space="0" w:color="auto"/>
            <w:left w:val="none" w:sz="0" w:space="0" w:color="auto"/>
            <w:bottom w:val="none" w:sz="0" w:space="0" w:color="auto"/>
            <w:right w:val="none" w:sz="0" w:space="0" w:color="auto"/>
          </w:divBdr>
        </w:div>
      </w:divsChild>
    </w:div>
    <w:div w:id="1840537489">
      <w:bodyDiv w:val="1"/>
      <w:marLeft w:val="0"/>
      <w:marRight w:val="0"/>
      <w:marTop w:val="0"/>
      <w:marBottom w:val="0"/>
      <w:divBdr>
        <w:top w:val="none" w:sz="0" w:space="0" w:color="auto"/>
        <w:left w:val="none" w:sz="0" w:space="0" w:color="auto"/>
        <w:bottom w:val="none" w:sz="0" w:space="0" w:color="auto"/>
        <w:right w:val="none" w:sz="0" w:space="0" w:color="auto"/>
      </w:divBdr>
    </w:div>
    <w:div w:id="1852066388">
      <w:bodyDiv w:val="1"/>
      <w:marLeft w:val="0"/>
      <w:marRight w:val="0"/>
      <w:marTop w:val="0"/>
      <w:marBottom w:val="0"/>
      <w:divBdr>
        <w:top w:val="none" w:sz="0" w:space="0" w:color="auto"/>
        <w:left w:val="none" w:sz="0" w:space="0" w:color="auto"/>
        <w:bottom w:val="none" w:sz="0" w:space="0" w:color="auto"/>
        <w:right w:val="none" w:sz="0" w:space="0" w:color="auto"/>
      </w:divBdr>
    </w:div>
    <w:div w:id="1866361253">
      <w:bodyDiv w:val="1"/>
      <w:marLeft w:val="0"/>
      <w:marRight w:val="0"/>
      <w:marTop w:val="0"/>
      <w:marBottom w:val="0"/>
      <w:divBdr>
        <w:top w:val="none" w:sz="0" w:space="0" w:color="auto"/>
        <w:left w:val="none" w:sz="0" w:space="0" w:color="auto"/>
        <w:bottom w:val="none" w:sz="0" w:space="0" w:color="auto"/>
        <w:right w:val="none" w:sz="0" w:space="0" w:color="auto"/>
      </w:divBdr>
    </w:div>
    <w:div w:id="1917397863">
      <w:bodyDiv w:val="1"/>
      <w:marLeft w:val="0"/>
      <w:marRight w:val="0"/>
      <w:marTop w:val="0"/>
      <w:marBottom w:val="0"/>
      <w:divBdr>
        <w:top w:val="none" w:sz="0" w:space="0" w:color="auto"/>
        <w:left w:val="none" w:sz="0" w:space="0" w:color="auto"/>
        <w:bottom w:val="none" w:sz="0" w:space="0" w:color="auto"/>
        <w:right w:val="none" w:sz="0" w:space="0" w:color="auto"/>
      </w:divBdr>
    </w:div>
    <w:div w:id="1927031239">
      <w:bodyDiv w:val="1"/>
      <w:marLeft w:val="0"/>
      <w:marRight w:val="0"/>
      <w:marTop w:val="0"/>
      <w:marBottom w:val="0"/>
      <w:divBdr>
        <w:top w:val="none" w:sz="0" w:space="0" w:color="auto"/>
        <w:left w:val="none" w:sz="0" w:space="0" w:color="auto"/>
        <w:bottom w:val="none" w:sz="0" w:space="0" w:color="auto"/>
        <w:right w:val="none" w:sz="0" w:space="0" w:color="auto"/>
      </w:divBdr>
      <w:divsChild>
        <w:div w:id="1728187639">
          <w:marLeft w:val="0"/>
          <w:marRight w:val="0"/>
          <w:marTop w:val="0"/>
          <w:marBottom w:val="0"/>
          <w:divBdr>
            <w:top w:val="none" w:sz="0" w:space="0" w:color="auto"/>
            <w:left w:val="none" w:sz="0" w:space="0" w:color="auto"/>
            <w:bottom w:val="none" w:sz="0" w:space="0" w:color="auto"/>
            <w:right w:val="none" w:sz="0" w:space="0" w:color="auto"/>
          </w:divBdr>
        </w:div>
        <w:div w:id="1935892039">
          <w:marLeft w:val="0"/>
          <w:marRight w:val="0"/>
          <w:marTop w:val="0"/>
          <w:marBottom w:val="0"/>
          <w:divBdr>
            <w:top w:val="none" w:sz="0" w:space="0" w:color="auto"/>
            <w:left w:val="none" w:sz="0" w:space="0" w:color="auto"/>
            <w:bottom w:val="none" w:sz="0" w:space="0" w:color="auto"/>
            <w:right w:val="none" w:sz="0" w:space="0" w:color="auto"/>
          </w:divBdr>
        </w:div>
      </w:divsChild>
    </w:div>
    <w:div w:id="1934044001">
      <w:bodyDiv w:val="1"/>
      <w:marLeft w:val="0"/>
      <w:marRight w:val="0"/>
      <w:marTop w:val="0"/>
      <w:marBottom w:val="0"/>
      <w:divBdr>
        <w:top w:val="none" w:sz="0" w:space="0" w:color="auto"/>
        <w:left w:val="none" w:sz="0" w:space="0" w:color="auto"/>
        <w:bottom w:val="none" w:sz="0" w:space="0" w:color="auto"/>
        <w:right w:val="none" w:sz="0" w:space="0" w:color="auto"/>
      </w:divBdr>
    </w:div>
    <w:div w:id="1961103963">
      <w:bodyDiv w:val="1"/>
      <w:marLeft w:val="0"/>
      <w:marRight w:val="0"/>
      <w:marTop w:val="0"/>
      <w:marBottom w:val="0"/>
      <w:divBdr>
        <w:top w:val="none" w:sz="0" w:space="0" w:color="auto"/>
        <w:left w:val="none" w:sz="0" w:space="0" w:color="auto"/>
        <w:bottom w:val="none" w:sz="0" w:space="0" w:color="auto"/>
        <w:right w:val="none" w:sz="0" w:space="0" w:color="auto"/>
      </w:divBdr>
      <w:divsChild>
        <w:div w:id="161631864">
          <w:marLeft w:val="547"/>
          <w:marRight w:val="0"/>
          <w:marTop w:val="0"/>
          <w:marBottom w:val="0"/>
          <w:divBdr>
            <w:top w:val="none" w:sz="0" w:space="0" w:color="auto"/>
            <w:left w:val="none" w:sz="0" w:space="0" w:color="auto"/>
            <w:bottom w:val="none" w:sz="0" w:space="0" w:color="auto"/>
            <w:right w:val="none" w:sz="0" w:space="0" w:color="auto"/>
          </w:divBdr>
        </w:div>
      </w:divsChild>
    </w:div>
    <w:div w:id="1971354543">
      <w:bodyDiv w:val="1"/>
      <w:marLeft w:val="0"/>
      <w:marRight w:val="0"/>
      <w:marTop w:val="0"/>
      <w:marBottom w:val="0"/>
      <w:divBdr>
        <w:top w:val="none" w:sz="0" w:space="0" w:color="auto"/>
        <w:left w:val="none" w:sz="0" w:space="0" w:color="auto"/>
        <w:bottom w:val="none" w:sz="0" w:space="0" w:color="auto"/>
        <w:right w:val="none" w:sz="0" w:space="0" w:color="auto"/>
      </w:divBdr>
    </w:div>
    <w:div w:id="1993022742">
      <w:bodyDiv w:val="1"/>
      <w:marLeft w:val="0"/>
      <w:marRight w:val="0"/>
      <w:marTop w:val="0"/>
      <w:marBottom w:val="0"/>
      <w:divBdr>
        <w:top w:val="none" w:sz="0" w:space="0" w:color="auto"/>
        <w:left w:val="none" w:sz="0" w:space="0" w:color="auto"/>
        <w:bottom w:val="none" w:sz="0" w:space="0" w:color="auto"/>
        <w:right w:val="none" w:sz="0" w:space="0" w:color="auto"/>
      </w:divBdr>
    </w:div>
    <w:div w:id="2017269346">
      <w:bodyDiv w:val="1"/>
      <w:marLeft w:val="0"/>
      <w:marRight w:val="0"/>
      <w:marTop w:val="0"/>
      <w:marBottom w:val="0"/>
      <w:divBdr>
        <w:top w:val="none" w:sz="0" w:space="0" w:color="auto"/>
        <w:left w:val="none" w:sz="0" w:space="0" w:color="auto"/>
        <w:bottom w:val="none" w:sz="0" w:space="0" w:color="auto"/>
        <w:right w:val="none" w:sz="0" w:space="0" w:color="auto"/>
      </w:divBdr>
    </w:div>
    <w:div w:id="2031297150">
      <w:bodyDiv w:val="1"/>
      <w:marLeft w:val="0"/>
      <w:marRight w:val="0"/>
      <w:marTop w:val="0"/>
      <w:marBottom w:val="0"/>
      <w:divBdr>
        <w:top w:val="none" w:sz="0" w:space="0" w:color="auto"/>
        <w:left w:val="none" w:sz="0" w:space="0" w:color="auto"/>
        <w:bottom w:val="none" w:sz="0" w:space="0" w:color="auto"/>
        <w:right w:val="none" w:sz="0" w:space="0" w:color="auto"/>
      </w:divBdr>
    </w:div>
    <w:div w:id="2073234240">
      <w:bodyDiv w:val="1"/>
      <w:marLeft w:val="0"/>
      <w:marRight w:val="0"/>
      <w:marTop w:val="0"/>
      <w:marBottom w:val="0"/>
      <w:divBdr>
        <w:top w:val="none" w:sz="0" w:space="0" w:color="auto"/>
        <w:left w:val="none" w:sz="0" w:space="0" w:color="auto"/>
        <w:bottom w:val="none" w:sz="0" w:space="0" w:color="auto"/>
        <w:right w:val="none" w:sz="0" w:space="0" w:color="auto"/>
      </w:divBdr>
    </w:div>
    <w:div w:id="2093501607">
      <w:bodyDiv w:val="1"/>
      <w:marLeft w:val="0"/>
      <w:marRight w:val="0"/>
      <w:marTop w:val="0"/>
      <w:marBottom w:val="0"/>
      <w:divBdr>
        <w:top w:val="none" w:sz="0" w:space="0" w:color="auto"/>
        <w:left w:val="none" w:sz="0" w:space="0" w:color="auto"/>
        <w:bottom w:val="none" w:sz="0" w:space="0" w:color="auto"/>
        <w:right w:val="none" w:sz="0" w:space="0" w:color="auto"/>
      </w:divBdr>
    </w:div>
    <w:div w:id="2116705195">
      <w:bodyDiv w:val="1"/>
      <w:marLeft w:val="0"/>
      <w:marRight w:val="0"/>
      <w:marTop w:val="0"/>
      <w:marBottom w:val="0"/>
      <w:divBdr>
        <w:top w:val="none" w:sz="0" w:space="0" w:color="auto"/>
        <w:left w:val="none" w:sz="0" w:space="0" w:color="auto"/>
        <w:bottom w:val="none" w:sz="0" w:space="0" w:color="auto"/>
        <w:right w:val="none" w:sz="0" w:space="0" w:color="auto"/>
      </w:divBdr>
    </w:div>
    <w:div w:id="2127966332">
      <w:bodyDiv w:val="1"/>
      <w:marLeft w:val="0"/>
      <w:marRight w:val="0"/>
      <w:marTop w:val="0"/>
      <w:marBottom w:val="0"/>
      <w:divBdr>
        <w:top w:val="none" w:sz="0" w:space="0" w:color="auto"/>
        <w:left w:val="none" w:sz="0" w:space="0" w:color="auto"/>
        <w:bottom w:val="none" w:sz="0" w:space="0" w:color="auto"/>
        <w:right w:val="none" w:sz="0" w:space="0" w:color="auto"/>
      </w:divBdr>
      <w:divsChild>
        <w:div w:id="1057318362">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diagramColors" Target="diagrams/colors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oe.int/fr/web/portal/-/migration-challenges-council-of-europe-ministers-call-for-political-declaration-on-rights" TargetMode="External"/><Relationship Id="rId13" Type="http://schemas.openxmlformats.org/officeDocument/2006/relationships/hyperlink" Target="https://www.icao.int/sites/default/files/Meetings/a42/Documents/WP/wp_449_fr.pdf" TargetMode="External"/><Relationship Id="rId18" Type="http://schemas.openxmlformats.org/officeDocument/2006/relationships/hyperlink" Target="https://data.europa.eu/doi/10.2837/0004501" TargetMode="External"/><Relationship Id="rId26" Type="http://schemas.openxmlformats.org/officeDocument/2006/relationships/hyperlink" Target="http://data.europa.eu/eli/C/2025/5129/oj" TargetMode="External"/><Relationship Id="rId39" Type="http://schemas.openxmlformats.org/officeDocument/2006/relationships/hyperlink" Target="https://rural-vision.europa.eu/action-plan_fr" TargetMode="External"/><Relationship Id="rId3" Type="http://schemas.openxmlformats.org/officeDocument/2006/relationships/hyperlink" Target="https://ec.europa.eu/eurostat/statistics-explained/index.php?title=Temporary_protection_for_persons_fleeing_Ukraine_-_monthly_statistics" TargetMode="External"/><Relationship Id="rId21" Type="http://schemas.openxmlformats.org/officeDocument/2006/relationships/hyperlink" Target="https://reforms-investments.ec.europa.eu/technical-support-instrument-0/flagship-technical-support-projects/tsi-2025-flagship-supporting-member-states-implementation-new-pact-migration-and-asylum_en?prefLang=fr" TargetMode="External"/><Relationship Id="rId34" Type="http://schemas.openxmlformats.org/officeDocument/2006/relationships/hyperlink" Target="http://data.europa.eu/eli/dir/2024/1233/oj" TargetMode="External"/><Relationship Id="rId7" Type="http://schemas.openxmlformats.org/officeDocument/2006/relationships/hyperlink" Target="https://eur-lex.europa.eu/legal-content/FR/TXT/HTML/?uri=CELEX:52025JC0026" TargetMode="External"/><Relationship Id="rId12" Type="http://schemas.openxmlformats.org/officeDocument/2006/relationships/hyperlink" Target="https://ec.europa.eu/commission/presscorner/api/files/document/print/fr/ip_25_2229/IP_25_2229_FR.pdf" TargetMode="External"/><Relationship Id="rId17" Type="http://schemas.openxmlformats.org/officeDocument/2006/relationships/hyperlink" Target="https://eur-lex.europa.eu/legal-content/FR/TXT/?uri=celex:52024PC0670" TargetMode="External"/><Relationship Id="rId25" Type="http://schemas.openxmlformats.org/officeDocument/2006/relationships/hyperlink" Target="https://research-and-innovation.ec.europa.eu/research-area/social-sciences-and-humanities/migration-and-mobility_en?prefLang=fr" TargetMode="External"/><Relationship Id="rId33" Type="http://schemas.openxmlformats.org/officeDocument/2006/relationships/hyperlink" Target="http://data.europa.eu/eli/reco/2023/2611/oj" TargetMode="External"/><Relationship Id="rId38" Type="http://schemas.openxmlformats.org/officeDocument/2006/relationships/hyperlink" Target="https://www.urbanagenda.urban-initiative.eu/" TargetMode="External"/><Relationship Id="rId2" Type="http://schemas.openxmlformats.org/officeDocument/2006/relationships/hyperlink" Target="https://www.europol.europa.eu/crime-areas/migrant-smuggling" TargetMode="External"/><Relationship Id="rId16" Type="http://schemas.openxmlformats.org/officeDocument/2006/relationships/hyperlink" Target="https://eur-lex.europa.eu/legal-content/FR/TXT/HTML/?uri=CELEX:52024DC0570" TargetMode="External"/><Relationship Id="rId20" Type="http://schemas.openxmlformats.org/officeDocument/2006/relationships/hyperlink" Target="https://eur-lex.europa.eu/legal-content/FR/TXT/?uri=celex:52024DC0251" TargetMode="External"/><Relationship Id="rId29" Type="http://schemas.openxmlformats.org/officeDocument/2006/relationships/hyperlink" Target="https://eur-lex.europa.eu/legal-content/FR/TXT/?uri=celex:52025PC0101" TargetMode="External"/><Relationship Id="rId1" Type="http://schemas.openxmlformats.org/officeDocument/2006/relationships/hyperlink" Target="https://eur-lex.europa.eu/legal-content/FR/ALL/?uri=CELEX:52025DC0795" TargetMode="External"/><Relationship Id="rId6" Type="http://schemas.openxmlformats.org/officeDocument/2006/relationships/hyperlink" Target="http://data.europa.eu/eli/reg/2024/1351/oj" TargetMode="External"/><Relationship Id="rId11" Type="http://schemas.openxmlformats.org/officeDocument/2006/relationships/hyperlink" Target="https://home-affairs.ec.europa.eu/document/download/54b4208d-d928-4177-aac3-c70c4f6b2745_en?filename=Global%20Alliance%20Joint%20Declaration_final.pdf" TargetMode="External"/><Relationship Id="rId24" Type="http://schemas.openxmlformats.org/officeDocument/2006/relationships/hyperlink" Target="http://data.europa.eu/eli/dec_impl/2025/2642/oj" TargetMode="External"/><Relationship Id="rId32" Type="http://schemas.openxmlformats.org/officeDocument/2006/relationships/hyperlink" Target="https://eur-lex.europa.eu/legal-content/FR/TXT/?uri=CELEX:52023DC0577" TargetMode="External"/><Relationship Id="rId37" Type="http://schemas.openxmlformats.org/officeDocument/2006/relationships/hyperlink" Target="https://ec.europa.eu/regional_policy/information-sources/publications/communications/2025/eu-agenda-for-cities-2025_fr" TargetMode="External"/><Relationship Id="rId40" Type="http://schemas.openxmlformats.org/officeDocument/2006/relationships/hyperlink" Target="https://eur-lex.europa.eu/legal-content/FR/TXT/?uri=celex:52025PC0551" TargetMode="External"/><Relationship Id="rId5" Type="http://schemas.openxmlformats.org/officeDocument/2006/relationships/hyperlink" Target="https://ec.europa.eu/eurostat/statistics-explained/index.php?title=Residence_permits_%E2%80%93_statistics_on_authorisations_to_reside_and_work" TargetMode="External"/><Relationship Id="rId15" Type="http://schemas.openxmlformats.org/officeDocument/2006/relationships/hyperlink" Target="http://data.europa.eu/eli/dec/2025/702/oj" TargetMode="External"/><Relationship Id="rId23" Type="http://schemas.openxmlformats.org/officeDocument/2006/relationships/hyperlink" Target="https://eur-lex.europa.eu/legal-content/FR/TXT/?uri=celex:52025PC0259" TargetMode="External"/><Relationship Id="rId28" Type="http://schemas.openxmlformats.org/officeDocument/2006/relationships/hyperlink" Target="http://data.europa.eu/eli/reg/2024/1349/oj" TargetMode="External"/><Relationship Id="rId36" Type="http://schemas.openxmlformats.org/officeDocument/2006/relationships/hyperlink" Target="https://eur-lex.europa.eu/legal-content/EN/TXT/?uri=CELEX%3A52025SC0162" TargetMode="External"/><Relationship Id="rId10" Type="http://schemas.openxmlformats.org/officeDocument/2006/relationships/hyperlink" Target="https://international-partnerships.ec.europa.eu/policies/programming/projects/migrant-protection-return-and-reintegration-programme-sub-saharan-africa-mprr-ssa_fr" TargetMode="External"/><Relationship Id="rId19" Type="http://schemas.openxmlformats.org/officeDocument/2006/relationships/hyperlink" Target="http://data.europa.eu/eli/reg/2024/1689/oj" TargetMode="External"/><Relationship Id="rId31" Type="http://schemas.openxmlformats.org/officeDocument/2006/relationships/hyperlink" Target="https://eur-lex.europa.eu/legal-content/FR/TXT/?uri=CELEX:52025DC0090" TargetMode="External"/><Relationship Id="rId4" Type="http://schemas.openxmlformats.org/officeDocument/2006/relationships/hyperlink" Target="https://ec.europa.eu/eurostat/web/interactive-publications/migration-2025%23international-protection" TargetMode="External"/><Relationship Id="rId9" Type="http://schemas.openxmlformats.org/officeDocument/2006/relationships/hyperlink" Target="https://www.coe.int/fr/web/portal/-/migration-challenges-council-of-europe-ministers-call-for-political-declaration-on-rights" TargetMode="External"/><Relationship Id="rId14" Type="http://schemas.openxmlformats.org/officeDocument/2006/relationships/hyperlink" Target="https://eur-lex.europa.eu/legal-content/FR/TXT/?uri=celex:52023PC0755" TargetMode="External"/><Relationship Id="rId22" Type="http://schemas.openxmlformats.org/officeDocument/2006/relationships/hyperlink" Target="https://eur-lex.europa.eu/legal-content/FR/TXT/?uri=celex:52025PC0186" TargetMode="External"/><Relationship Id="rId27" Type="http://schemas.openxmlformats.org/officeDocument/2006/relationships/hyperlink" Target="https://eur-lex.europa.eu/legal-content/FR/TXT/?uri=celex:52025PC0101" TargetMode="External"/><Relationship Id="rId30" Type="http://schemas.openxmlformats.org/officeDocument/2006/relationships/hyperlink" Target="https://eur-lex.europa.eu/legal-content/FR/TXT/?uri=celex:52023DC0032" TargetMode="External"/><Relationship Id="rId35" Type="http://schemas.openxmlformats.org/officeDocument/2006/relationships/hyperlink" Target="https://eur-lex.europa.eu/legal-content/FR/TXT/?uri=CELEX%3A52020DC0758"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51B5A2-9015-4EE5-AF31-83A7F30D50D6}"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IE"/>
        </a:p>
      </dgm:t>
    </dgm:pt>
    <dgm:pt modelId="{A6787417-C5D1-48C5-8432-6B838686BE93}">
      <dgm:prSet phldrT="[Text]"/>
      <dgm:spPr>
        <a:effectLst/>
      </dgm:spPr>
      <dgm:t>
        <a:bodyPr/>
        <a:lstStyle/>
        <a:p>
          <a:pPr algn="ctr"/>
          <a:r>
            <a:rPr lang="fr-FR" b="1"/>
            <a:t>Renforcer la diplomatie migratoire</a:t>
          </a:r>
        </a:p>
      </dgm:t>
    </dgm:pt>
    <dgm:pt modelId="{F9F280D8-6EF9-448E-A349-914F20E1FAC6}" type="parTrans" cxnId="{6021C729-71E4-4E64-856E-C9831ACD1084}">
      <dgm:prSet/>
      <dgm:spPr/>
      <dgm:t>
        <a:bodyPr/>
        <a:lstStyle/>
        <a:p>
          <a:pPr algn="ctr"/>
          <a:endParaRPr lang="en-IE"/>
        </a:p>
      </dgm:t>
    </dgm:pt>
    <dgm:pt modelId="{1A3290D5-C3B4-46C3-AE10-8803EB6A53BC}" type="sibTrans" cxnId="{6021C729-71E4-4E64-856E-C9831ACD1084}">
      <dgm:prSet/>
      <dgm:spPr/>
      <dgm:t>
        <a:bodyPr/>
        <a:lstStyle/>
        <a:p>
          <a:pPr algn="ctr"/>
          <a:endParaRPr lang="en-IE"/>
        </a:p>
      </dgm:t>
    </dgm:pt>
    <dgm:pt modelId="{92EC63AC-F29B-4028-B2ED-6990503DD3DF}">
      <dgm:prSet phldrT="[Text]"/>
      <dgm:spPr>
        <a:solidFill>
          <a:srgbClr val="00B0F0"/>
        </a:solidFill>
      </dgm:spPr>
      <dgm:t>
        <a:bodyPr/>
        <a:lstStyle/>
        <a:p>
          <a:pPr algn="ctr"/>
          <a:r>
            <a:rPr lang="fr-FR" b="1"/>
            <a:t>Des frontières de l’UE solides pour renforcer les contrôles et la sécurité </a:t>
          </a:r>
        </a:p>
      </dgm:t>
    </dgm:pt>
    <dgm:pt modelId="{143C49D9-4DE3-4AF0-84C0-752DA730FF05}" type="parTrans" cxnId="{0E58A91B-FBD2-48FA-8B88-D45DD7B1AB33}">
      <dgm:prSet/>
      <dgm:spPr/>
      <dgm:t>
        <a:bodyPr/>
        <a:lstStyle/>
        <a:p>
          <a:pPr algn="ctr"/>
          <a:endParaRPr lang="en-IE"/>
        </a:p>
      </dgm:t>
    </dgm:pt>
    <dgm:pt modelId="{C464ED3B-30FF-42F2-9D4D-3DD9D25A9BD2}" type="sibTrans" cxnId="{0E58A91B-FBD2-48FA-8B88-D45DD7B1AB33}">
      <dgm:prSet/>
      <dgm:spPr/>
      <dgm:t>
        <a:bodyPr/>
        <a:lstStyle/>
        <a:p>
          <a:pPr algn="ctr"/>
          <a:endParaRPr lang="en-IE"/>
        </a:p>
      </dgm:t>
    </dgm:pt>
    <dgm:pt modelId="{9711D5AE-56D1-4A9A-887B-9B993F57E529}">
      <dgm:prSet phldrT="[Text]"/>
      <dgm:spPr>
        <a:solidFill>
          <a:srgbClr val="FFC000"/>
        </a:solidFill>
      </dgm:spPr>
      <dgm:t>
        <a:bodyPr/>
        <a:lstStyle/>
        <a:p>
          <a:pPr algn="ctr"/>
          <a:r>
            <a:rPr lang="fr-FR" b="1"/>
            <a:t>Un système d’asile et de migration équitable, ferme et adaptable</a:t>
          </a:r>
        </a:p>
      </dgm:t>
    </dgm:pt>
    <dgm:pt modelId="{C55129B6-9BCA-40BB-8420-1B3DD9022954}" type="parTrans" cxnId="{8241D8EB-BA9E-4C2E-BF4B-8094A82F0F91}">
      <dgm:prSet/>
      <dgm:spPr/>
      <dgm:t>
        <a:bodyPr/>
        <a:lstStyle/>
        <a:p>
          <a:pPr algn="ctr"/>
          <a:endParaRPr lang="en-IE"/>
        </a:p>
      </dgm:t>
    </dgm:pt>
    <dgm:pt modelId="{2BE23030-3383-4B45-A6FC-59111E306E7A}" type="sibTrans" cxnId="{8241D8EB-BA9E-4C2E-BF4B-8094A82F0F91}">
      <dgm:prSet/>
      <dgm:spPr/>
      <dgm:t>
        <a:bodyPr/>
        <a:lstStyle/>
        <a:p>
          <a:pPr algn="ctr"/>
          <a:endParaRPr lang="en-IE"/>
        </a:p>
      </dgm:t>
    </dgm:pt>
    <dgm:pt modelId="{4CA348E3-BD6F-4C2F-B2CC-BFCD00AF09D1}">
      <dgm:prSet phldrT="[Text]"/>
      <dgm:spPr>
        <a:solidFill>
          <a:srgbClr val="C00000"/>
        </a:solidFill>
      </dgm:spPr>
      <dgm:t>
        <a:bodyPr/>
        <a:lstStyle/>
        <a:p>
          <a:pPr algn="ctr"/>
          <a:r>
            <a:rPr lang="fr-FR" b="1"/>
            <a:t>Un retour et une réadmission plus efficaces</a:t>
          </a:r>
        </a:p>
      </dgm:t>
    </dgm:pt>
    <dgm:pt modelId="{FB707D26-10D9-4325-9DE9-749139DC5FC6}" type="parTrans" cxnId="{39F8508D-5A2D-4E71-AAAA-F54CFCECE549}">
      <dgm:prSet/>
      <dgm:spPr/>
      <dgm:t>
        <a:bodyPr/>
        <a:lstStyle/>
        <a:p>
          <a:pPr algn="ctr"/>
          <a:endParaRPr lang="en-IE"/>
        </a:p>
      </dgm:t>
    </dgm:pt>
    <dgm:pt modelId="{1993B95D-785B-4265-8302-93121184C31D}" type="sibTrans" cxnId="{39F8508D-5A2D-4E71-AAAA-F54CFCECE549}">
      <dgm:prSet/>
      <dgm:spPr/>
      <dgm:t>
        <a:bodyPr/>
        <a:lstStyle/>
        <a:p>
          <a:pPr algn="ctr"/>
          <a:endParaRPr lang="en-IE"/>
        </a:p>
      </dgm:t>
    </dgm:pt>
    <dgm:pt modelId="{263C6530-0552-4E86-9CC8-9C1DC0FD796F}">
      <dgm:prSet phldrT="[Text]"/>
      <dgm:spPr>
        <a:solidFill>
          <a:srgbClr val="92D050"/>
        </a:solidFill>
      </dgm:spPr>
      <dgm:t>
        <a:bodyPr/>
        <a:lstStyle/>
        <a:p>
          <a:pPr algn="ctr"/>
          <a:r>
            <a:rPr lang="fr-FR" b="1"/>
            <a:t>Mobilité de la main-d’œuvre et des talents pour stimuler la compétitivité </a:t>
          </a:r>
        </a:p>
      </dgm:t>
    </dgm:pt>
    <dgm:pt modelId="{BCFCFDA1-1294-4D2E-B75C-F3DB5A8F4F6D}" type="parTrans" cxnId="{69450836-4C2B-4C22-BBA0-0A0F721E89C3}">
      <dgm:prSet/>
      <dgm:spPr/>
      <dgm:t>
        <a:bodyPr/>
        <a:lstStyle/>
        <a:p>
          <a:pPr algn="ctr"/>
          <a:endParaRPr lang="en-IE"/>
        </a:p>
      </dgm:t>
    </dgm:pt>
    <dgm:pt modelId="{992D572C-E286-431A-8A35-53E502D0E119}" type="sibTrans" cxnId="{69450836-4C2B-4C22-BBA0-0A0F721E89C3}">
      <dgm:prSet/>
      <dgm:spPr/>
      <dgm:t>
        <a:bodyPr/>
        <a:lstStyle/>
        <a:p>
          <a:pPr algn="ctr"/>
          <a:endParaRPr lang="en-IE"/>
        </a:p>
      </dgm:t>
    </dgm:pt>
    <dgm:pt modelId="{C87917FA-AE27-4157-B643-39C3FFDA73AC}" type="pres">
      <dgm:prSet presAssocID="{8951B5A2-9015-4EE5-AF31-83A7F30D50D6}" presName="diagram" presStyleCnt="0">
        <dgm:presLayoutVars>
          <dgm:dir/>
          <dgm:resizeHandles val="exact"/>
        </dgm:presLayoutVars>
      </dgm:prSet>
      <dgm:spPr/>
      <dgm:t>
        <a:bodyPr/>
        <a:lstStyle/>
        <a:p>
          <a:endParaRPr lang="en-US"/>
        </a:p>
      </dgm:t>
    </dgm:pt>
    <dgm:pt modelId="{30239140-E3D0-40AF-A53A-493CA1FCFDDD}" type="pres">
      <dgm:prSet presAssocID="{A6787417-C5D1-48C5-8432-6B838686BE93}" presName="node" presStyleLbl="node1" presStyleIdx="0" presStyleCnt="5">
        <dgm:presLayoutVars>
          <dgm:bulletEnabled val="1"/>
        </dgm:presLayoutVars>
      </dgm:prSet>
      <dgm:spPr/>
      <dgm:t>
        <a:bodyPr/>
        <a:lstStyle/>
        <a:p>
          <a:endParaRPr lang="en-US"/>
        </a:p>
      </dgm:t>
    </dgm:pt>
    <dgm:pt modelId="{6ADCC155-FD85-4B0F-B7AB-D0CF1FFDD737}" type="pres">
      <dgm:prSet presAssocID="{1A3290D5-C3B4-46C3-AE10-8803EB6A53BC}" presName="sibTrans" presStyleCnt="0"/>
      <dgm:spPr/>
    </dgm:pt>
    <dgm:pt modelId="{DFFB9137-12B4-4A25-BE23-1813F4B6C6D2}" type="pres">
      <dgm:prSet presAssocID="{92EC63AC-F29B-4028-B2ED-6990503DD3DF}" presName="node" presStyleLbl="node1" presStyleIdx="1" presStyleCnt="5">
        <dgm:presLayoutVars>
          <dgm:bulletEnabled val="1"/>
        </dgm:presLayoutVars>
      </dgm:prSet>
      <dgm:spPr/>
      <dgm:t>
        <a:bodyPr/>
        <a:lstStyle/>
        <a:p>
          <a:endParaRPr lang="en-US"/>
        </a:p>
      </dgm:t>
    </dgm:pt>
    <dgm:pt modelId="{39D12B65-3C45-4BE4-8E3D-CF8D7D072431}" type="pres">
      <dgm:prSet presAssocID="{C464ED3B-30FF-42F2-9D4D-3DD9D25A9BD2}" presName="sibTrans" presStyleCnt="0"/>
      <dgm:spPr/>
    </dgm:pt>
    <dgm:pt modelId="{297A4C50-6A87-44C2-959B-16651383982A}" type="pres">
      <dgm:prSet presAssocID="{9711D5AE-56D1-4A9A-887B-9B993F57E529}" presName="node" presStyleLbl="node1" presStyleIdx="2" presStyleCnt="5">
        <dgm:presLayoutVars>
          <dgm:bulletEnabled val="1"/>
        </dgm:presLayoutVars>
      </dgm:prSet>
      <dgm:spPr/>
      <dgm:t>
        <a:bodyPr/>
        <a:lstStyle/>
        <a:p>
          <a:endParaRPr lang="en-US"/>
        </a:p>
      </dgm:t>
    </dgm:pt>
    <dgm:pt modelId="{86D1CCFF-7A24-42EA-BE29-DAA1736E5311}" type="pres">
      <dgm:prSet presAssocID="{2BE23030-3383-4B45-A6FC-59111E306E7A}" presName="sibTrans" presStyleCnt="0"/>
      <dgm:spPr/>
    </dgm:pt>
    <dgm:pt modelId="{A893A532-32B7-4B57-B09D-ADB74E2D8EFB}" type="pres">
      <dgm:prSet presAssocID="{4CA348E3-BD6F-4C2F-B2CC-BFCD00AF09D1}" presName="node" presStyleLbl="node1" presStyleIdx="3" presStyleCnt="5">
        <dgm:presLayoutVars>
          <dgm:bulletEnabled val="1"/>
        </dgm:presLayoutVars>
      </dgm:prSet>
      <dgm:spPr/>
      <dgm:t>
        <a:bodyPr/>
        <a:lstStyle/>
        <a:p>
          <a:endParaRPr lang="en-US"/>
        </a:p>
      </dgm:t>
    </dgm:pt>
    <dgm:pt modelId="{55607590-194C-4CB1-A5C9-CA20EAB48A68}" type="pres">
      <dgm:prSet presAssocID="{1993B95D-785B-4265-8302-93121184C31D}" presName="sibTrans" presStyleCnt="0"/>
      <dgm:spPr/>
    </dgm:pt>
    <dgm:pt modelId="{F431542A-4819-4635-9E4D-EDDC9FA6906D}" type="pres">
      <dgm:prSet presAssocID="{263C6530-0552-4E86-9CC8-9C1DC0FD796F}" presName="node" presStyleLbl="node1" presStyleIdx="4" presStyleCnt="5">
        <dgm:presLayoutVars>
          <dgm:bulletEnabled val="1"/>
        </dgm:presLayoutVars>
      </dgm:prSet>
      <dgm:spPr/>
      <dgm:t>
        <a:bodyPr/>
        <a:lstStyle/>
        <a:p>
          <a:endParaRPr lang="en-US"/>
        </a:p>
      </dgm:t>
    </dgm:pt>
  </dgm:ptLst>
  <dgm:cxnLst>
    <dgm:cxn modelId="{39F8508D-5A2D-4E71-AAAA-F54CFCECE549}" srcId="{8951B5A2-9015-4EE5-AF31-83A7F30D50D6}" destId="{4CA348E3-BD6F-4C2F-B2CC-BFCD00AF09D1}" srcOrd="3" destOrd="0" parTransId="{FB707D26-10D9-4325-9DE9-749139DC5FC6}" sibTransId="{1993B95D-785B-4265-8302-93121184C31D}"/>
    <dgm:cxn modelId="{D2F0663B-7884-4422-A101-8D9A7463DA61}" type="presOf" srcId="{263C6530-0552-4E86-9CC8-9C1DC0FD796F}" destId="{F431542A-4819-4635-9E4D-EDDC9FA6906D}" srcOrd="0" destOrd="0" presId="urn:microsoft.com/office/officeart/2005/8/layout/default"/>
    <dgm:cxn modelId="{5C8A4975-89FE-420C-9DB5-64C6E3C4A3FF}" type="presOf" srcId="{92EC63AC-F29B-4028-B2ED-6990503DD3DF}" destId="{DFFB9137-12B4-4A25-BE23-1813F4B6C6D2}" srcOrd="0" destOrd="0" presId="urn:microsoft.com/office/officeart/2005/8/layout/default"/>
    <dgm:cxn modelId="{BF1BC6CE-FE79-46B5-A90A-5478A6418D45}" type="presOf" srcId="{9711D5AE-56D1-4A9A-887B-9B993F57E529}" destId="{297A4C50-6A87-44C2-959B-16651383982A}" srcOrd="0" destOrd="0" presId="urn:microsoft.com/office/officeart/2005/8/layout/default"/>
    <dgm:cxn modelId="{A1D5A16A-B90E-4E5A-80A6-98E1CA28D6FB}" type="presOf" srcId="{4CA348E3-BD6F-4C2F-B2CC-BFCD00AF09D1}" destId="{A893A532-32B7-4B57-B09D-ADB74E2D8EFB}" srcOrd="0" destOrd="0" presId="urn:microsoft.com/office/officeart/2005/8/layout/default"/>
    <dgm:cxn modelId="{6F3B40DD-F3E9-4E6D-A588-3AE9BC980FC9}" type="presOf" srcId="{A6787417-C5D1-48C5-8432-6B838686BE93}" destId="{30239140-E3D0-40AF-A53A-493CA1FCFDDD}" srcOrd="0" destOrd="0" presId="urn:microsoft.com/office/officeart/2005/8/layout/default"/>
    <dgm:cxn modelId="{0E58A91B-FBD2-48FA-8B88-D45DD7B1AB33}" srcId="{8951B5A2-9015-4EE5-AF31-83A7F30D50D6}" destId="{92EC63AC-F29B-4028-B2ED-6990503DD3DF}" srcOrd="1" destOrd="0" parTransId="{143C49D9-4DE3-4AF0-84C0-752DA730FF05}" sibTransId="{C464ED3B-30FF-42F2-9D4D-3DD9D25A9BD2}"/>
    <dgm:cxn modelId="{69450836-4C2B-4C22-BBA0-0A0F721E89C3}" srcId="{8951B5A2-9015-4EE5-AF31-83A7F30D50D6}" destId="{263C6530-0552-4E86-9CC8-9C1DC0FD796F}" srcOrd="4" destOrd="0" parTransId="{BCFCFDA1-1294-4D2E-B75C-F3DB5A8F4F6D}" sibTransId="{992D572C-E286-431A-8A35-53E502D0E119}"/>
    <dgm:cxn modelId="{E05DFE66-044E-4B66-8440-FFA9E278F8BB}" type="presOf" srcId="{8951B5A2-9015-4EE5-AF31-83A7F30D50D6}" destId="{C87917FA-AE27-4157-B643-39C3FFDA73AC}" srcOrd="0" destOrd="0" presId="urn:microsoft.com/office/officeart/2005/8/layout/default"/>
    <dgm:cxn modelId="{6021C729-71E4-4E64-856E-C9831ACD1084}" srcId="{8951B5A2-9015-4EE5-AF31-83A7F30D50D6}" destId="{A6787417-C5D1-48C5-8432-6B838686BE93}" srcOrd="0" destOrd="0" parTransId="{F9F280D8-6EF9-448E-A349-914F20E1FAC6}" sibTransId="{1A3290D5-C3B4-46C3-AE10-8803EB6A53BC}"/>
    <dgm:cxn modelId="{8241D8EB-BA9E-4C2E-BF4B-8094A82F0F91}" srcId="{8951B5A2-9015-4EE5-AF31-83A7F30D50D6}" destId="{9711D5AE-56D1-4A9A-887B-9B993F57E529}" srcOrd="2" destOrd="0" parTransId="{C55129B6-9BCA-40BB-8420-1B3DD9022954}" sibTransId="{2BE23030-3383-4B45-A6FC-59111E306E7A}"/>
    <dgm:cxn modelId="{A040F6B0-3F0C-4793-8A2A-6065269ADE45}" type="presParOf" srcId="{C87917FA-AE27-4157-B643-39C3FFDA73AC}" destId="{30239140-E3D0-40AF-A53A-493CA1FCFDDD}" srcOrd="0" destOrd="0" presId="urn:microsoft.com/office/officeart/2005/8/layout/default"/>
    <dgm:cxn modelId="{00448303-48B3-411A-9E6B-662CD9A1FC56}" type="presParOf" srcId="{C87917FA-AE27-4157-B643-39C3FFDA73AC}" destId="{6ADCC155-FD85-4B0F-B7AB-D0CF1FFDD737}" srcOrd="1" destOrd="0" presId="urn:microsoft.com/office/officeart/2005/8/layout/default"/>
    <dgm:cxn modelId="{F7F4141F-625D-4C38-848F-8408A53B768C}" type="presParOf" srcId="{C87917FA-AE27-4157-B643-39C3FFDA73AC}" destId="{DFFB9137-12B4-4A25-BE23-1813F4B6C6D2}" srcOrd="2" destOrd="0" presId="urn:microsoft.com/office/officeart/2005/8/layout/default"/>
    <dgm:cxn modelId="{AAA47F1E-433E-4608-B088-65A126520AF4}" type="presParOf" srcId="{C87917FA-AE27-4157-B643-39C3FFDA73AC}" destId="{39D12B65-3C45-4BE4-8E3D-CF8D7D072431}" srcOrd="3" destOrd="0" presId="urn:microsoft.com/office/officeart/2005/8/layout/default"/>
    <dgm:cxn modelId="{642C9633-DE34-498D-A91F-F69251C6D330}" type="presParOf" srcId="{C87917FA-AE27-4157-B643-39C3FFDA73AC}" destId="{297A4C50-6A87-44C2-959B-16651383982A}" srcOrd="4" destOrd="0" presId="urn:microsoft.com/office/officeart/2005/8/layout/default"/>
    <dgm:cxn modelId="{F35C83B0-19B7-40DF-9548-E159F0B84095}" type="presParOf" srcId="{C87917FA-AE27-4157-B643-39C3FFDA73AC}" destId="{86D1CCFF-7A24-42EA-BE29-DAA1736E5311}" srcOrd="5" destOrd="0" presId="urn:microsoft.com/office/officeart/2005/8/layout/default"/>
    <dgm:cxn modelId="{ECF21622-2A7A-4A62-86D9-D5328B1D2A4A}" type="presParOf" srcId="{C87917FA-AE27-4157-B643-39C3FFDA73AC}" destId="{A893A532-32B7-4B57-B09D-ADB74E2D8EFB}" srcOrd="6" destOrd="0" presId="urn:microsoft.com/office/officeart/2005/8/layout/default"/>
    <dgm:cxn modelId="{F5330885-5431-43D9-B64E-2D0929ED0875}" type="presParOf" srcId="{C87917FA-AE27-4157-B643-39C3FFDA73AC}" destId="{55607590-194C-4CB1-A5C9-CA20EAB48A68}" srcOrd="7" destOrd="0" presId="urn:microsoft.com/office/officeart/2005/8/layout/default"/>
    <dgm:cxn modelId="{7BFF4430-5BCE-44D2-AF2C-8877CD53BC70}" type="presParOf" srcId="{C87917FA-AE27-4157-B643-39C3FFDA73AC}" destId="{F431542A-4819-4635-9E4D-EDDC9FA6906D}" srcOrd="8" destOrd="0" presId="urn:microsoft.com/office/officeart/2005/8/layout/default"/>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0239140-E3D0-40AF-A53A-493CA1FCFDDD}">
      <dsp:nvSpPr>
        <dsp:cNvPr id="0" name=""/>
        <dsp:cNvSpPr/>
      </dsp:nvSpPr>
      <dsp:spPr>
        <a:xfrm>
          <a:off x="228248" y="1285"/>
          <a:ext cx="1404791" cy="842874"/>
        </a:xfrm>
        <a:prstGeom prst="rect">
          <a:avLst/>
        </a:prstGeom>
        <a:solidFill>
          <a:schemeClr val="accent1">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b="1" kern="1200"/>
            <a:t>Renforcer la diplomatie migratoire</a:t>
          </a:r>
        </a:p>
      </dsp:txBody>
      <dsp:txXfrm>
        <a:off x="228248" y="1285"/>
        <a:ext cx="1404791" cy="842874"/>
      </dsp:txXfrm>
    </dsp:sp>
    <dsp:sp modelId="{DFFB9137-12B4-4A25-BE23-1813F4B6C6D2}">
      <dsp:nvSpPr>
        <dsp:cNvPr id="0" name=""/>
        <dsp:cNvSpPr/>
      </dsp:nvSpPr>
      <dsp:spPr>
        <a:xfrm>
          <a:off x="1773518" y="1285"/>
          <a:ext cx="1404791" cy="842874"/>
        </a:xfrm>
        <a:prstGeom prst="rect">
          <a:avLst/>
        </a:prstGeom>
        <a:solidFill>
          <a:srgbClr val="00B0F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b="1" kern="1200"/>
            <a:t>Des frontières de l’UE solides pour renforcer les contrôles et la sécurité </a:t>
          </a:r>
        </a:p>
      </dsp:txBody>
      <dsp:txXfrm>
        <a:off x="1773518" y="1285"/>
        <a:ext cx="1404791" cy="842874"/>
      </dsp:txXfrm>
    </dsp:sp>
    <dsp:sp modelId="{297A4C50-6A87-44C2-959B-16651383982A}">
      <dsp:nvSpPr>
        <dsp:cNvPr id="0" name=""/>
        <dsp:cNvSpPr/>
      </dsp:nvSpPr>
      <dsp:spPr>
        <a:xfrm>
          <a:off x="3318788" y="1285"/>
          <a:ext cx="1404791" cy="842874"/>
        </a:xfrm>
        <a:prstGeom prst="rect">
          <a:avLst/>
        </a:prstGeom>
        <a:solidFill>
          <a:srgbClr val="FFC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b="1" kern="1200"/>
            <a:t>Un système d’asile et de migration équitable, ferme et adaptable</a:t>
          </a:r>
        </a:p>
      </dsp:txBody>
      <dsp:txXfrm>
        <a:off x="3318788" y="1285"/>
        <a:ext cx="1404791" cy="842874"/>
      </dsp:txXfrm>
    </dsp:sp>
    <dsp:sp modelId="{A893A532-32B7-4B57-B09D-ADB74E2D8EFB}">
      <dsp:nvSpPr>
        <dsp:cNvPr id="0" name=""/>
        <dsp:cNvSpPr/>
      </dsp:nvSpPr>
      <dsp:spPr>
        <a:xfrm>
          <a:off x="1000883" y="984639"/>
          <a:ext cx="1404791" cy="842874"/>
        </a:xfrm>
        <a:prstGeom prst="rect">
          <a:avLst/>
        </a:prstGeom>
        <a:solidFill>
          <a:srgbClr val="C0000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b="1" kern="1200"/>
            <a:t>Un retour et une réadmission plus efficaces</a:t>
          </a:r>
        </a:p>
      </dsp:txBody>
      <dsp:txXfrm>
        <a:off x="1000883" y="984639"/>
        <a:ext cx="1404791" cy="842874"/>
      </dsp:txXfrm>
    </dsp:sp>
    <dsp:sp modelId="{F431542A-4819-4635-9E4D-EDDC9FA6906D}">
      <dsp:nvSpPr>
        <dsp:cNvPr id="0" name=""/>
        <dsp:cNvSpPr/>
      </dsp:nvSpPr>
      <dsp:spPr>
        <a:xfrm>
          <a:off x="2546153" y="984639"/>
          <a:ext cx="1404791" cy="842874"/>
        </a:xfrm>
        <a:prstGeom prst="rect">
          <a:avLst/>
        </a:prstGeom>
        <a:solidFill>
          <a:srgbClr val="92D050"/>
        </a:solidFill>
        <a:ln w="1905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fr-FR" sz="1000" b="1" kern="1200"/>
            <a:t>Mobilité de la main-d’œuvre et des talents pour stimuler la compétitivité </a:t>
          </a:r>
        </a:p>
      </dsp:txBody>
      <dsp:txXfrm>
        <a:off x="2546153" y="984639"/>
        <a:ext cx="1404791" cy="842874"/>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Author Role="Creator" AuthorRoleName="Writer" AuthorRoleDisplayName="Writer" AuthorRoleId="a4fbaff4-b07c-48b4-a21e-e7b9eedf3796">
  <Id>cf0cb32d-339b-4d4d-b5b2-08db22f585cd</Id>
  <Names>
    <Latin>
      <FirstName>Olivier</FirstName>
      <LastName>BERGEAU</LastName>
    </Latin>
    <Greek>
      <FirstName/>
      <LastName/>
    </Greek>
    <Cyrillic>
      <FirstName/>
      <LastName/>
    </Cyrillic>
    <DocumentScript>
      <FirstName>Olivier</FirstName>
      <LastName>BERGEAU</LastName>
      <FullName>Olivier BERGEAU</FullName>
    </DocumentScript>
  </Names>
  <Initials>OB</Initials>
  <Gender>m</Gender>
  <Email>Olivier.BERGEAU@ec.europa.eu</Email>
  <Service>HOME.A.4</Service>
  <Function ADCode="40" ShowInSignature="true" ShowInHeader="false" HeaderText="">Deputy Head of Unit</Function>
  <WebAddress/>
  <FunctionalMailbox/>
  <InheritedWebAddress>WebAddress</InheritedWebAddress>
  <OrgaEntity1>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1>
  <OrgaEntity2>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2>
  <OrgaEntity3>
    <Id>c0cf20e2-e187-4d48-849e-8cac04ce4c72</Id>
    <LogicalLevel>3</LogicalLevel>
    <Name>HOME.A.4</Name>
    <HeadLine1>A.4 – Legal affairs</HeadLine1>
    <HeadLine2/>
    <PrimaryAddressId>f03b5801-04c9-4931-aa17-c6d6c70bc579</PrimaryAddressId>
    <SecondaryAddressId/>
    <WebAddress/>
    <InheritedWebAddress>WebAddress</InheritedWebAddress>
    <ShowInHeader>true</ShowInHeader>
  </OrgaEntity3>
  <Hierarchy>
    <OrgaEntity>
      <Id>bb42cf15-e01c-4371-aa80-221cebdf1d8b</Id>
      <LogicalLevel>1</LogicalLevel>
      <Name>HOME</Name>
      <HeadLine1>DIRECTORATE-GENERAL FOR MIGRATION AND HOME AFFAIRS</HeadLine1>
      <HeadLine2/>
      <PrimaryAddressId>f03b5801-04c9-4931-aa17-c6d6c70bc579</PrimaryAddressId>
      <SecondaryAddressId/>
      <WebAddress>WebAddress</WebAddress>
      <InheritedWebAddress>WebAddress</InheritedWebAddress>
      <ShowInHeader>true</ShowInHeader>
    </OrgaEntity>
    <OrgaEntity>
      <Id>2f982468-7831-4ee7-ad82-e51ddd34badb</Id>
      <LogicalLevel>2</LogicalLevel>
      <Name>HOME.A</Name>
      <HeadLine1>Directorate A – International &amp; Horizontal Affairs</HeadLine1>
      <HeadLine2/>
      <PrimaryAddressId>f03b5801-04c9-4931-aa17-c6d6c70bc579</PrimaryAddressId>
      <SecondaryAddressId/>
      <WebAddress/>
      <InheritedWebAddress>WebAddress</InheritedWebAddress>
      <ShowInHeader>true</ShowInHeader>
    </OrgaEntity>
    <OrgaEntity>
      <Id>c0cf20e2-e187-4d48-849e-8cac04ce4c72</Id>
      <LogicalLevel>3</LogicalLevel>
      <Name>HOME.A.4</Name>
      <HeadLine1>A.4 – Legal affairs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+32 229-92656</Phone>
    <Office>LX46 06/163</Office>
  </MainWorkplace>
  <Workplaces>
    <Workplace IsMain="true">
      <AddressId>f03b5801-04c9-4931-aa17-c6d6c70bc579</AddressId>
      <Fax/>
      <Phone>+32 229-92656</Phone>
      <Office>LX46 06/163</Office>
    </Workplace>
  </Workplaces>
</Author>
</file>

<file path=customXml/item2.xml><?xml version="1.0" encoding="utf-8"?>
<EurolookProperties>
  <ProductCustomizationId>EC</ProductCustomizationId>
  <Created>
    <Version>10.0.47847.0</Version>
    <Date>2025-10-31T22:34:59</Date>
    <Language>EN</Language>
    <Note>Created using 'Convert To Eurolook'</Note>
  </Created>
  <Edited>
    <Version/>
    <Date/>
  </Edited>
  <DocumentModel>
    <Id>34954475-997f-4cb0-a95b-7f65298f3d8c</Id>
    <Name>Report (long)</Name>
  </DocumentModel>
  <CustomTemplate>
    <Id/>
    <Name/>
  </CustomTemplate>
  <DocumentDate>2025-10-31T22:34:59</DocumentDate>
  <DocumentVersion>0.1</DocumentVersion>
  <CompatibilityMode>Eurolook10</CompatibilityMode>
  <DocumentMetadata>
    <EC_SecurityDistributionWorkingGroup MetadataSerializationType="SimpleValue"/>
    <EC_SecurityDistributionDG MetadataSerializationType="SimpleValue"/>
    <EC_SecurityDateMarkingDate MetadataSerializationType="SimpleValue"/>
    <EC_SecurityDateMarkingEvent MetadataSerializationType="SimpleValue"/>
    <EC_SecurityReleasability MetadataSerializationType="SimpleValue"/>
    <EC_SecurityDateMarking MetadataSerializationType="SimpleValue"/>
    <EC_SecurityMarking MetadataSerializationType="SimpleValue"/>
    <EC_SecurityDistributionSpecialHandling MetadataSerializationType="SimpleValue"/>
    <EC_SecurityDistributionSensitive MetadataSerializationType="SimpleValue"/>
  </DocumentMetadata>
</EurolookProperties>
</file>

<file path=customXml/item3.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SecurityEmbargo>EMBARGO UNTIL</SecurityEmbargo>
  <Contact>Contact:</Contact>
  <Contacts>Contacts:</Contacts>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TOCHeading>Table of Contents</TOCHeading>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DecisionLetter-SpecialHandlingFootnote>Special handling instructions are given at </DecisionLetter-SpecialHandlingFootnote>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TechHistoryCreatedBy>Document created by</TechHistoryCreatedBy>
  <TechHistoryDate>Date</TechHistoryDate>
  <TechHistory>Document History</TechHistory>
  <TechHistoryComment>Comment</TechHistoryComment>
  <TechHistoryVersion>Version</TechHistoryVersion>
  <SecurityStaffMatter>Staff Matter</SecurityStaffMatter>
  <LabelFormattedTableSeqEC>Table {field: SEQ Table \* ARABIC }: </LabelFormattedTableSeqEC>
  <SecurityMediationServiceMatter>Mediation Service</SecurityMediationServiceMatter>
  <SecurityReleasable>RELEASABLE TO:</SecurityReleasable>
  <TechPropsRefno>Reference Number:</TechPropsRefno>
  <TechPropsRevised>Revised by:</TechPropsRevised>
  <TechPropsVersion>Version:</TechPropsVersion>
  <TechPropsApproved>Approved by:</TechPropsApproved>
  <TechPropsAuthors>Authors:</TechPropsAuthors>
  <TechPropsPublic>Public:</TechPropsPublic>
  <TechPropsDate>Date:</TechPropsDate>
  <TechFooterVersion>Version</TechFooterVersion>
  <TechFooterDated>en date du</TechFooterDated>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LabelFormattedFigureSeqEC>Figure {field: SEQ Figure \* ARABIC }: </LabelFormattedFigureSeqEC>
  <COMPSpecialHandlingLabel>COMP</COMPSpecialHandlingLabel>
  <COMPSpecialHandlingHyperlink>{field:HYPERLINK "https://europa.eu/!db43PX" |https://europa.eu/!db43PX }</COMPSpecialHandlingHyperlink>
  <DateFormatShort>dd/MM/yyyy</DateFormatShort>
  <DateFormatLong>d MMMM yyyy</DateFormatLong>
</Text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A0E0E-BE05-476A-80CF-6B984A867F82}">
  <ds:schemaRefs/>
</ds:datastoreItem>
</file>

<file path=customXml/itemProps2.xml><?xml version="1.0" encoding="utf-8"?>
<ds:datastoreItem xmlns:ds="http://schemas.openxmlformats.org/officeDocument/2006/customXml" ds:itemID="{D3EA5527-7367-4268-9D83-5125C98D0ED2}">
  <ds:schemaRefs/>
</ds:datastoreItem>
</file>

<file path=customXml/itemProps3.xml><?xml version="1.0" encoding="utf-8"?>
<ds:datastoreItem xmlns:ds="http://schemas.openxmlformats.org/officeDocument/2006/customXml" ds:itemID="{4EF90DE6-88B6-4264-9629-4D8DFDFE87D2}">
  <ds:schemaRefs/>
</ds:datastoreItem>
</file>

<file path=customXml/itemProps4.xml><?xml version="1.0" encoding="utf-8"?>
<ds:datastoreItem xmlns:ds="http://schemas.openxmlformats.org/officeDocument/2006/customXml" ds:itemID="{BB8311A1-8C4C-45CC-A0FF-433AEE1C0BE0}">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10</Pages>
  <Words>14946</Words>
  <Characters>85193</Characters>
  <Application>Microsoft Office Word</Application>
  <DocSecurity>0</DocSecurity>
  <PresentationFormat>Microsoft Word 14.0</PresentationFormat>
  <Lines>709</Lines>
  <Paragraphs>199</Paragraphs>
  <ScaleCrop>true</ScaleCrop>
  <Manager/>
  <Company/>
  <LinksUpToDate>false</LinksUpToDate>
  <CharactersWithSpaces>99940</CharactersWithSpaces>
  <SharedDoc>false</SharedDoc>
  <HLinks>
    <vt:vector size="240" baseType="variant">
      <vt:variant>
        <vt:i4>1114132</vt:i4>
      </vt:variant>
      <vt:variant>
        <vt:i4>117</vt:i4>
      </vt:variant>
      <vt:variant>
        <vt:i4>0</vt:i4>
      </vt:variant>
      <vt:variant>
        <vt:i4>5</vt:i4>
      </vt:variant>
      <vt:variant>
        <vt:lpwstr>https://eur-lex.europa.eu/legal-content/EN/TXT/?uri=celex:52025PC0551</vt:lpwstr>
      </vt:variant>
      <vt:variant>
        <vt:lpwstr/>
      </vt:variant>
      <vt:variant>
        <vt:i4>4849779</vt:i4>
      </vt:variant>
      <vt:variant>
        <vt:i4>114</vt:i4>
      </vt:variant>
      <vt:variant>
        <vt:i4>0</vt:i4>
      </vt:variant>
      <vt:variant>
        <vt:i4>5</vt:i4>
      </vt:variant>
      <vt:variant>
        <vt:lpwstr>https://rural-vision.europa.eu/action-plan_en</vt:lpwstr>
      </vt:variant>
      <vt:variant>
        <vt:lpwstr/>
      </vt:variant>
      <vt:variant>
        <vt:i4>1441816</vt:i4>
      </vt:variant>
      <vt:variant>
        <vt:i4>111</vt:i4>
      </vt:variant>
      <vt:variant>
        <vt:i4>0</vt:i4>
      </vt:variant>
      <vt:variant>
        <vt:i4>5</vt:i4>
      </vt:variant>
      <vt:variant>
        <vt:lpwstr>https://www.urbanagenda.urban-initiative.eu/</vt:lpwstr>
      </vt:variant>
      <vt:variant>
        <vt:lpwstr/>
      </vt:variant>
      <vt:variant>
        <vt:i4>3801134</vt:i4>
      </vt:variant>
      <vt:variant>
        <vt:i4>108</vt:i4>
      </vt:variant>
      <vt:variant>
        <vt:i4>0</vt:i4>
      </vt:variant>
      <vt:variant>
        <vt:i4>5</vt:i4>
      </vt:variant>
      <vt:variant>
        <vt:lpwstr>https://ec.europa.eu/regional_policy/information-sources/publications/communications/2025/eu-agenda-for-cities-2025_en</vt:lpwstr>
      </vt:variant>
      <vt:variant>
        <vt:lpwstr/>
      </vt:variant>
      <vt:variant>
        <vt:i4>7274531</vt:i4>
      </vt:variant>
      <vt:variant>
        <vt:i4>105</vt:i4>
      </vt:variant>
      <vt:variant>
        <vt:i4>0</vt:i4>
      </vt:variant>
      <vt:variant>
        <vt:i4>5</vt:i4>
      </vt:variant>
      <vt:variant>
        <vt:lpwstr>https://eur-lex.europa.eu/legal-content/EN/TXT/?uri=CELEX%3A52025SC0162</vt:lpwstr>
      </vt:variant>
      <vt:variant>
        <vt:lpwstr/>
      </vt:variant>
      <vt:variant>
        <vt:i4>8060960</vt:i4>
      </vt:variant>
      <vt:variant>
        <vt:i4>102</vt:i4>
      </vt:variant>
      <vt:variant>
        <vt:i4>0</vt:i4>
      </vt:variant>
      <vt:variant>
        <vt:i4>5</vt:i4>
      </vt:variant>
      <vt:variant>
        <vt:lpwstr>https://eur-lex.europa.eu/legal-content/EN/TXT/?uri=CELEX%3A52020DC0758</vt:lpwstr>
      </vt:variant>
      <vt:variant>
        <vt:lpwstr/>
      </vt:variant>
      <vt:variant>
        <vt:i4>6422638</vt:i4>
      </vt:variant>
      <vt:variant>
        <vt:i4>99</vt:i4>
      </vt:variant>
      <vt:variant>
        <vt:i4>0</vt:i4>
      </vt:variant>
      <vt:variant>
        <vt:i4>5</vt:i4>
      </vt:variant>
      <vt:variant>
        <vt:lpwstr>http://data.europa.eu/eli/dir/2024/1233/oj</vt:lpwstr>
      </vt:variant>
      <vt:variant>
        <vt:lpwstr/>
      </vt:variant>
      <vt:variant>
        <vt:i4>2752552</vt:i4>
      </vt:variant>
      <vt:variant>
        <vt:i4>96</vt:i4>
      </vt:variant>
      <vt:variant>
        <vt:i4>0</vt:i4>
      </vt:variant>
      <vt:variant>
        <vt:i4>5</vt:i4>
      </vt:variant>
      <vt:variant>
        <vt:lpwstr>http://data.europa.eu/eli/reco/2023/2611/oj</vt:lpwstr>
      </vt:variant>
      <vt:variant>
        <vt:lpwstr/>
      </vt:variant>
      <vt:variant>
        <vt:i4>8192019</vt:i4>
      </vt:variant>
      <vt:variant>
        <vt:i4>93</vt:i4>
      </vt:variant>
      <vt:variant>
        <vt:i4>0</vt:i4>
      </vt:variant>
      <vt:variant>
        <vt:i4>5</vt:i4>
      </vt:variant>
      <vt:variant>
        <vt:lpwstr>https://commission.europa.eu/topics/research-and-innovation/choose-europe_en</vt:lpwstr>
      </vt:variant>
      <vt:variant>
        <vt:lpwstr/>
      </vt:variant>
      <vt:variant>
        <vt:i4>589841</vt:i4>
      </vt:variant>
      <vt:variant>
        <vt:i4>90</vt:i4>
      </vt:variant>
      <vt:variant>
        <vt:i4>0</vt:i4>
      </vt:variant>
      <vt:variant>
        <vt:i4>5</vt:i4>
      </vt:variant>
      <vt:variant>
        <vt:lpwstr>https://eur-lex.europa.eu/legal-content/EN/TXT/?uri=celex:52025DC0090</vt:lpwstr>
      </vt:variant>
      <vt:variant>
        <vt:lpwstr/>
      </vt:variant>
      <vt:variant>
        <vt:i4>196631</vt:i4>
      </vt:variant>
      <vt:variant>
        <vt:i4>87</vt:i4>
      </vt:variant>
      <vt:variant>
        <vt:i4>0</vt:i4>
      </vt:variant>
      <vt:variant>
        <vt:i4>5</vt:i4>
      </vt:variant>
      <vt:variant>
        <vt:lpwstr>https://eur-lex.europa.eu/legal-content/EN/TXT/?uri=celex:52023DC0032</vt:lpwstr>
      </vt:variant>
      <vt:variant>
        <vt:lpwstr/>
      </vt:variant>
      <vt:variant>
        <vt:i4>1310736</vt:i4>
      </vt:variant>
      <vt:variant>
        <vt:i4>84</vt:i4>
      </vt:variant>
      <vt:variant>
        <vt:i4>0</vt:i4>
      </vt:variant>
      <vt:variant>
        <vt:i4>5</vt:i4>
      </vt:variant>
      <vt:variant>
        <vt:lpwstr>https://eur-lex.europa.eu/legal-content/EN/TXT/?uri=celex:52025PC0101</vt:lpwstr>
      </vt:variant>
      <vt:variant>
        <vt:lpwstr/>
      </vt:variant>
      <vt:variant>
        <vt:i4>6881382</vt:i4>
      </vt:variant>
      <vt:variant>
        <vt:i4>81</vt:i4>
      </vt:variant>
      <vt:variant>
        <vt:i4>0</vt:i4>
      </vt:variant>
      <vt:variant>
        <vt:i4>5</vt:i4>
      </vt:variant>
      <vt:variant>
        <vt:lpwstr>http://data.europa.eu/eli/reg/2024/1349/oj</vt:lpwstr>
      </vt:variant>
      <vt:variant>
        <vt:lpwstr/>
      </vt:variant>
      <vt:variant>
        <vt:i4>1310736</vt:i4>
      </vt:variant>
      <vt:variant>
        <vt:i4>78</vt:i4>
      </vt:variant>
      <vt:variant>
        <vt:i4>0</vt:i4>
      </vt:variant>
      <vt:variant>
        <vt:i4>5</vt:i4>
      </vt:variant>
      <vt:variant>
        <vt:lpwstr>https://eur-lex.europa.eu/legal-content/EN/TXT/?uri=celex:52025PC0101</vt:lpwstr>
      </vt:variant>
      <vt:variant>
        <vt:lpwstr/>
      </vt:variant>
      <vt:variant>
        <vt:i4>983058</vt:i4>
      </vt:variant>
      <vt:variant>
        <vt:i4>75</vt:i4>
      </vt:variant>
      <vt:variant>
        <vt:i4>0</vt:i4>
      </vt:variant>
      <vt:variant>
        <vt:i4>5</vt:i4>
      </vt:variant>
      <vt:variant>
        <vt:lpwstr>http://data.europa.eu/eli/C/2025/5129/oj</vt:lpwstr>
      </vt:variant>
      <vt:variant>
        <vt:lpwstr/>
      </vt:variant>
      <vt:variant>
        <vt:i4>3080274</vt:i4>
      </vt:variant>
      <vt:variant>
        <vt:i4>72</vt:i4>
      </vt:variant>
      <vt:variant>
        <vt:i4>0</vt:i4>
      </vt:variant>
      <vt:variant>
        <vt:i4>5</vt:i4>
      </vt:variant>
      <vt:variant>
        <vt:lpwstr>https://research-and-innovation.ec.europa.eu/research-area/social-sciences-and-humanities/migration-and-mobility_en</vt:lpwstr>
      </vt:variant>
      <vt:variant>
        <vt:lpwstr/>
      </vt:variant>
      <vt:variant>
        <vt:i4>1572900</vt:i4>
      </vt:variant>
      <vt:variant>
        <vt:i4>69</vt:i4>
      </vt:variant>
      <vt:variant>
        <vt:i4>0</vt:i4>
      </vt:variant>
      <vt:variant>
        <vt:i4>5</vt:i4>
      </vt:variant>
      <vt:variant>
        <vt:lpwstr>http://data.europa.eu/eli/dec_impl/2025/2642/oj</vt:lpwstr>
      </vt:variant>
      <vt:variant>
        <vt:lpwstr/>
      </vt:variant>
      <vt:variant>
        <vt:i4>1114131</vt:i4>
      </vt:variant>
      <vt:variant>
        <vt:i4>66</vt:i4>
      </vt:variant>
      <vt:variant>
        <vt:i4>0</vt:i4>
      </vt:variant>
      <vt:variant>
        <vt:i4>5</vt:i4>
      </vt:variant>
      <vt:variant>
        <vt:lpwstr>https://eur-lex.europa.eu/legal-content/EN/TXT/?uri=celex:52025PC0259</vt:lpwstr>
      </vt:variant>
      <vt:variant>
        <vt:lpwstr/>
      </vt:variant>
      <vt:variant>
        <vt:i4>1835024</vt:i4>
      </vt:variant>
      <vt:variant>
        <vt:i4>63</vt:i4>
      </vt:variant>
      <vt:variant>
        <vt:i4>0</vt:i4>
      </vt:variant>
      <vt:variant>
        <vt:i4>5</vt:i4>
      </vt:variant>
      <vt:variant>
        <vt:lpwstr>https://eur-lex.europa.eu/legal-content/EN/TXT/?uri=celex:52025PC0186</vt:lpwstr>
      </vt:variant>
      <vt:variant>
        <vt:lpwstr/>
      </vt:variant>
      <vt:variant>
        <vt:i4>7798852</vt:i4>
      </vt:variant>
      <vt:variant>
        <vt:i4>60</vt:i4>
      </vt:variant>
      <vt:variant>
        <vt:i4>0</vt:i4>
      </vt:variant>
      <vt:variant>
        <vt:i4>5</vt:i4>
      </vt:variant>
      <vt:variant>
        <vt:lpwstr>https://reform-support.ec.europa.eu/our-projects/flagship-technical-support-projects/tsi-2025-flagship-supporting-member-states-implementation-new-pact-migration-and-asylum_en</vt:lpwstr>
      </vt:variant>
      <vt:variant>
        <vt:lpwstr>:~:text=This%20Flagship%20aims%20to%20provide%20tailor%20made%20expertise,Profile%20Tool%20for%20Third%20Country%20Nationals%20and%20others.</vt:lpwstr>
      </vt:variant>
      <vt:variant>
        <vt:i4>327698</vt:i4>
      </vt:variant>
      <vt:variant>
        <vt:i4>57</vt:i4>
      </vt:variant>
      <vt:variant>
        <vt:i4>0</vt:i4>
      </vt:variant>
      <vt:variant>
        <vt:i4>5</vt:i4>
      </vt:variant>
      <vt:variant>
        <vt:lpwstr>https://eur-lex.europa.eu/legal-content/EN/TXT/?uri=celex:52024DC0251</vt:lpwstr>
      </vt:variant>
      <vt:variant>
        <vt:lpwstr/>
      </vt:variant>
      <vt:variant>
        <vt:i4>6619235</vt:i4>
      </vt:variant>
      <vt:variant>
        <vt:i4>54</vt:i4>
      </vt:variant>
      <vt:variant>
        <vt:i4>0</vt:i4>
      </vt:variant>
      <vt:variant>
        <vt:i4>5</vt:i4>
      </vt:variant>
      <vt:variant>
        <vt:lpwstr>http://data.europa.eu/eli/reg/2024/1689/oj</vt:lpwstr>
      </vt:variant>
      <vt:variant>
        <vt:lpwstr/>
      </vt:variant>
      <vt:variant>
        <vt:i4>3407909</vt:i4>
      </vt:variant>
      <vt:variant>
        <vt:i4>51</vt:i4>
      </vt:variant>
      <vt:variant>
        <vt:i4>0</vt:i4>
      </vt:variant>
      <vt:variant>
        <vt:i4>5</vt:i4>
      </vt:variant>
      <vt:variant>
        <vt:lpwstr>https://data.europa.eu/doi/10.2837/0004501</vt:lpwstr>
      </vt:variant>
      <vt:variant>
        <vt:lpwstr/>
      </vt:variant>
      <vt:variant>
        <vt:i4>1245206</vt:i4>
      </vt:variant>
      <vt:variant>
        <vt:i4>48</vt:i4>
      </vt:variant>
      <vt:variant>
        <vt:i4>0</vt:i4>
      </vt:variant>
      <vt:variant>
        <vt:i4>5</vt:i4>
      </vt:variant>
      <vt:variant>
        <vt:lpwstr>https://eur-lex.europa.eu/legal-content/EN/TXT/?uri=celex:52024PC0670</vt:lpwstr>
      </vt:variant>
      <vt:variant>
        <vt:lpwstr/>
      </vt:variant>
      <vt:variant>
        <vt:i4>3670056</vt:i4>
      </vt:variant>
      <vt:variant>
        <vt:i4>45</vt:i4>
      </vt:variant>
      <vt:variant>
        <vt:i4>0</vt:i4>
      </vt:variant>
      <vt:variant>
        <vt:i4>5</vt:i4>
      </vt:variant>
      <vt:variant>
        <vt:lpwstr>https://eur-lex.europa.eu/legal-content/EN/TXT/HTML/?uri=CELEX:52024DC0570</vt:lpwstr>
      </vt:variant>
      <vt:variant>
        <vt:lpwstr/>
      </vt:variant>
      <vt:variant>
        <vt:i4>4653098</vt:i4>
      </vt:variant>
      <vt:variant>
        <vt:i4>42</vt:i4>
      </vt:variant>
      <vt:variant>
        <vt:i4>0</vt:i4>
      </vt:variant>
      <vt:variant>
        <vt:i4>5</vt:i4>
      </vt:variant>
      <vt:variant>
        <vt:lpwstr>https://international-partnerships.ec.europa.eu/policies/programming/projects/migrant-protection-return-and-reintegration-programme-sub-saharan-africa-mprr-ssa_en</vt:lpwstr>
      </vt:variant>
      <vt:variant>
        <vt:lpwstr/>
      </vt:variant>
      <vt:variant>
        <vt:i4>4325390</vt:i4>
      </vt:variant>
      <vt:variant>
        <vt:i4>39</vt:i4>
      </vt:variant>
      <vt:variant>
        <vt:i4>0</vt:i4>
      </vt:variant>
      <vt:variant>
        <vt:i4>5</vt:i4>
      </vt:variant>
      <vt:variant>
        <vt:lpwstr>http://data.europa.eu/eli/dec/2025/702/oj</vt:lpwstr>
      </vt:variant>
      <vt:variant>
        <vt:lpwstr/>
      </vt:variant>
      <vt:variant>
        <vt:i4>458845</vt:i4>
      </vt:variant>
      <vt:variant>
        <vt:i4>36</vt:i4>
      </vt:variant>
      <vt:variant>
        <vt:i4>0</vt:i4>
      </vt:variant>
      <vt:variant>
        <vt:i4>5</vt:i4>
      </vt:variant>
      <vt:variant>
        <vt:lpwstr>https://www.unhcr.org/refugee-statistics</vt:lpwstr>
      </vt:variant>
      <vt:variant>
        <vt:lpwstr/>
      </vt:variant>
      <vt:variant>
        <vt:i4>1114128</vt:i4>
      </vt:variant>
      <vt:variant>
        <vt:i4>33</vt:i4>
      </vt:variant>
      <vt:variant>
        <vt:i4>0</vt:i4>
      </vt:variant>
      <vt:variant>
        <vt:i4>5</vt:i4>
      </vt:variant>
      <vt:variant>
        <vt:lpwstr>https://eur-lex.europa.eu/legal-content/EN/TXT/?uri=celex:52023PC0755</vt:lpwstr>
      </vt:variant>
      <vt:variant>
        <vt:lpwstr/>
      </vt:variant>
      <vt:variant>
        <vt:i4>655426</vt:i4>
      </vt:variant>
      <vt:variant>
        <vt:i4>30</vt:i4>
      </vt:variant>
      <vt:variant>
        <vt:i4>0</vt:i4>
      </vt:variant>
      <vt:variant>
        <vt:i4>5</vt:i4>
      </vt:variant>
      <vt:variant>
        <vt:lpwstr>https://www.icao.int/sites/default/files/Meetings/a42/Documents/WP/wp_449_en.pdf</vt:lpwstr>
      </vt:variant>
      <vt:variant>
        <vt:lpwstr/>
      </vt:variant>
      <vt:variant>
        <vt:i4>6684799</vt:i4>
      </vt:variant>
      <vt:variant>
        <vt:i4>27</vt:i4>
      </vt:variant>
      <vt:variant>
        <vt:i4>0</vt:i4>
      </vt:variant>
      <vt:variant>
        <vt:i4>5</vt:i4>
      </vt:variant>
      <vt:variant>
        <vt:lpwstr>https://home-affairs.ec.europa.eu/system/files/2023-06/Toolbox addressing the use of commercial means of transport to facilitate irregular migration to the EU.pdf</vt:lpwstr>
      </vt:variant>
      <vt:variant>
        <vt:lpwstr/>
      </vt:variant>
      <vt:variant>
        <vt:i4>2228299</vt:i4>
      </vt:variant>
      <vt:variant>
        <vt:i4>24</vt:i4>
      </vt:variant>
      <vt:variant>
        <vt:i4>0</vt:i4>
      </vt:variant>
      <vt:variant>
        <vt:i4>5</vt:i4>
      </vt:variant>
      <vt:variant>
        <vt:lpwstr>https://ec.europa.eu/commission/presscorner/api/files/document/print/en/ip_25_2229/IP_25_2229_EN.pdf</vt:lpwstr>
      </vt:variant>
      <vt:variant>
        <vt:lpwstr/>
      </vt:variant>
      <vt:variant>
        <vt:i4>3604529</vt:i4>
      </vt:variant>
      <vt:variant>
        <vt:i4>21</vt:i4>
      </vt:variant>
      <vt:variant>
        <vt:i4>0</vt:i4>
      </vt:variant>
      <vt:variant>
        <vt:i4>5</vt:i4>
      </vt:variant>
      <vt:variant>
        <vt:lpwstr>https://home-affairs.ec.europa.eu/document/download/54b4208d-d928-4177-aac3-c70c4f6b2745_en?filename=Global%20Alliance%20Joint%20Declaration_final.pdf</vt:lpwstr>
      </vt:variant>
      <vt:variant>
        <vt:lpwstr/>
      </vt:variant>
      <vt:variant>
        <vt:i4>4653098</vt:i4>
      </vt:variant>
      <vt:variant>
        <vt:i4>18</vt:i4>
      </vt:variant>
      <vt:variant>
        <vt:i4>0</vt:i4>
      </vt:variant>
      <vt:variant>
        <vt:i4>5</vt:i4>
      </vt:variant>
      <vt:variant>
        <vt:lpwstr>https://international-partnerships.ec.europa.eu/policies/programming/projects/migrant-protection-return-and-reintegration-programme-sub-saharan-africa-mprr-ssa_en</vt:lpwstr>
      </vt:variant>
      <vt:variant>
        <vt:lpwstr/>
      </vt:variant>
      <vt:variant>
        <vt:i4>4915290</vt:i4>
      </vt:variant>
      <vt:variant>
        <vt:i4>15</vt:i4>
      </vt:variant>
      <vt:variant>
        <vt:i4>0</vt:i4>
      </vt:variant>
      <vt:variant>
        <vt:i4>5</vt:i4>
      </vt:variant>
      <vt:variant>
        <vt:lpwstr>https://www.coe.int/en/web/portal/-/migration-challenges-council-of-europe-ministers-call-for-political-declaration-on-rights</vt:lpwstr>
      </vt:variant>
      <vt:variant>
        <vt:lpwstr/>
      </vt:variant>
      <vt:variant>
        <vt:i4>3801123</vt:i4>
      </vt:variant>
      <vt:variant>
        <vt:i4>12</vt:i4>
      </vt:variant>
      <vt:variant>
        <vt:i4>0</vt:i4>
      </vt:variant>
      <vt:variant>
        <vt:i4>5</vt:i4>
      </vt:variant>
      <vt:variant>
        <vt:lpwstr>https://eur-lex.europa.eu/legal-content/EN/TXT/HTML/?uri=CELEX:52025JC0026</vt:lpwstr>
      </vt:variant>
      <vt:variant>
        <vt:lpwstr/>
      </vt:variant>
      <vt:variant>
        <vt:i4>6815854</vt:i4>
      </vt:variant>
      <vt:variant>
        <vt:i4>9</vt:i4>
      </vt:variant>
      <vt:variant>
        <vt:i4>0</vt:i4>
      </vt:variant>
      <vt:variant>
        <vt:i4>5</vt:i4>
      </vt:variant>
      <vt:variant>
        <vt:lpwstr>http://data.europa.eu/eli/reg/2024/1351/oj</vt:lpwstr>
      </vt:variant>
      <vt:variant>
        <vt:lpwstr/>
      </vt:variant>
      <vt:variant>
        <vt:i4>3866643</vt:i4>
      </vt:variant>
      <vt:variant>
        <vt:i4>6</vt:i4>
      </vt:variant>
      <vt:variant>
        <vt:i4>0</vt:i4>
      </vt:variant>
      <vt:variant>
        <vt:i4>5</vt:i4>
      </vt:variant>
      <vt:variant>
        <vt:lpwstr>https://ec.europa.eu/eurostat/statistics-explained/index.php?title=Residence_permits_%E2%80%93_statistics_on_authorisations_to_reside_and_work</vt:lpwstr>
      </vt:variant>
      <vt:variant>
        <vt:lpwstr/>
      </vt:variant>
      <vt:variant>
        <vt:i4>4522014</vt:i4>
      </vt:variant>
      <vt:variant>
        <vt:i4>3</vt:i4>
      </vt:variant>
      <vt:variant>
        <vt:i4>0</vt:i4>
      </vt:variant>
      <vt:variant>
        <vt:i4>5</vt:i4>
      </vt:variant>
      <vt:variant>
        <vt:lpwstr>https://ec.europa.eu/eurostat/web/interactive-publications/migration-2025</vt:lpwstr>
      </vt:variant>
      <vt:variant>
        <vt:lpwstr>international-protection</vt:lpwstr>
      </vt:variant>
      <vt:variant>
        <vt:i4>3735659</vt:i4>
      </vt:variant>
      <vt:variant>
        <vt:i4>0</vt:i4>
      </vt:variant>
      <vt:variant>
        <vt:i4>0</vt:i4>
      </vt:variant>
      <vt:variant>
        <vt:i4>5</vt:i4>
      </vt:variant>
      <vt:variant>
        <vt:lpwstr>https://ec.europa.eu/eurostat/statistics-explained/index.php?title=Temporary_protection_for_persons_fleeing_Ukraine_-_monthly_statistics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2026-01-27T16:00:00Z</dcterms:created>
  <dcterms:modified xsi:type="dcterms:W3CDTF">2026-02-24T16:32:00Z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2026-01-27T14:49:14Z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e43df963-c21b-4c60-b902-90f4a2c3375d</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CP-012</vt:lpwstr>
  </property>
</Properties>
</file>