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D5668A" w14:textId="54490A42" w:rsidR="006049C0" w:rsidRDefault="00D7144F" w:rsidP="00D7144F">
      <w:pPr>
        <w:pStyle w:val="Pagedecouverture"/>
        <w:rPr>
          <w:noProof/>
        </w:rPr>
      </w:pPr>
      <w:bookmarkStart w:id="0" w:name="_Toc212842540"/>
      <w:bookmarkStart w:id="1" w:name="LW_BM_COVERPAGE"/>
      <w:r>
        <w:rPr>
          <w:noProof/>
        </w:rPr>
        <w:pict w14:anchorId="6B651E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FFC863D-F209-4B6B-97A7-7345F1918C1A" style="width:455.25pt;height:271.5pt">
            <v:imagedata r:id="rId11" o:title=""/>
          </v:shape>
        </w:pict>
      </w:r>
    </w:p>
    <w:bookmarkEnd w:id="1"/>
    <w:p w14:paraId="3CF1F36B" w14:textId="77777777" w:rsidR="006049C0" w:rsidRDefault="006049C0" w:rsidP="006049C0">
      <w:pPr>
        <w:rPr>
          <w:noProof/>
        </w:rPr>
        <w:sectPr w:rsidR="006049C0" w:rsidSect="00D7144F">
          <w:headerReference w:type="even" r:id="rId12"/>
          <w:headerReference w:type="default" r:id="rId13"/>
          <w:footerReference w:type="even" r:id="rId14"/>
          <w:footerReference w:type="default" r:id="rId15"/>
          <w:headerReference w:type="first" r:id="rId16"/>
          <w:footerReference w:type="first" r:id="rId17"/>
          <w:endnotePr>
            <w:numFmt w:val="lowerLetter"/>
          </w:endnotePr>
          <w:pgSz w:w="11906" w:h="16838"/>
          <w:pgMar w:top="1134" w:right="1417" w:bottom="1134" w:left="1417" w:header="709" w:footer="709" w:gutter="0"/>
          <w:pgNumType w:start="0"/>
          <w:cols w:space="720"/>
          <w:docGrid w:linePitch="326"/>
        </w:sectPr>
      </w:pPr>
    </w:p>
    <w:p w14:paraId="020F784D" w14:textId="4045C675" w:rsidR="00506262" w:rsidRPr="00B5212B" w:rsidRDefault="72A7B6A3" w:rsidP="00E5070D">
      <w:pPr>
        <w:pStyle w:val="Heading1"/>
        <w:spacing w:before="0"/>
        <w:rPr>
          <w:noProof/>
        </w:rPr>
      </w:pPr>
      <w:bookmarkStart w:id="2" w:name="_GoBack"/>
      <w:bookmarkEnd w:id="2"/>
      <w:r>
        <w:rPr>
          <w:noProof/>
        </w:rPr>
        <w:lastRenderedPageBreak/>
        <w:t>Introducere</w:t>
      </w:r>
      <w:bookmarkEnd w:id="0"/>
    </w:p>
    <w:p w14:paraId="5D97D1BC" w14:textId="0C3DFE35" w:rsidR="00413162" w:rsidRPr="000E464F" w:rsidRDefault="00413162" w:rsidP="00413162">
      <w:pPr>
        <w:spacing w:line="240" w:lineRule="auto"/>
        <w:rPr>
          <w:noProof/>
          <w:sz w:val="24"/>
          <w:szCs w:val="24"/>
        </w:rPr>
      </w:pPr>
      <w:r>
        <w:rPr>
          <w:noProof/>
          <w:sz w:val="24"/>
        </w:rPr>
        <w:t xml:space="preserve">Îndeplinirea obiectivelor legate de migrație este și va continua să fie o prioritate politică. Cetățenii se așteaptă la o politică în materie de migrație și azil echitabilă și fermă, care să asigure gestionarea eficace a migrației fără a aduce atingere valorilor europene. </w:t>
      </w:r>
    </w:p>
    <w:p w14:paraId="24560B57" w14:textId="77777777" w:rsidR="00413162" w:rsidRPr="000E464F" w:rsidRDefault="00413162" w:rsidP="00413162">
      <w:pPr>
        <w:spacing w:line="240" w:lineRule="auto"/>
        <w:rPr>
          <w:noProof/>
          <w:sz w:val="24"/>
          <w:szCs w:val="24"/>
        </w:rPr>
      </w:pPr>
      <w:r>
        <w:rPr>
          <w:noProof/>
          <w:sz w:val="24"/>
        </w:rPr>
        <w:t xml:space="preserve">Bazându-se pe progresele constante înregistrate în ultimii ani, Uniunea Europeană deschide acum un nou capitol. Comisia și statele membre au colaborat îndeaproape pentru a </w:t>
      </w:r>
      <w:r>
        <w:rPr>
          <w:b/>
          <w:noProof/>
          <w:sz w:val="24"/>
        </w:rPr>
        <w:t>reduce migrația ilegală și pentru a asigura o gestionare mai eficientă a migrației</w:t>
      </w:r>
      <w:r>
        <w:rPr>
          <w:noProof/>
          <w:sz w:val="24"/>
        </w:rPr>
        <w:t>. Combinația de reforme prevăzute de Pactul privind migrația și azilul (pactul), care asigură un echilibru între solidaritate și responsabilitate, o diplomație fermă în domeniul migrației și o cooperare operațională eficace în interiorul și în afara Uniunii, dă rezultate, în special printr-o reducere treptată a numărului de sosiri ilegale începând din 2023 (</w:t>
      </w:r>
      <w:r>
        <w:rPr>
          <w:rStyle w:val="FootnoteReference"/>
          <w:rFonts w:eastAsia="Yu Gothic"/>
          <w:noProof/>
        </w:rPr>
        <w:footnoteReference w:id="2"/>
      </w:r>
      <w:r>
        <w:rPr>
          <w:noProof/>
          <w:sz w:val="24"/>
        </w:rPr>
        <w:t xml:space="preserve">). </w:t>
      </w:r>
    </w:p>
    <w:p w14:paraId="13FDCD9E" w14:textId="77777777" w:rsidR="00413162" w:rsidRPr="000E464F" w:rsidRDefault="00413162" w:rsidP="00413162">
      <w:pPr>
        <w:spacing w:line="240" w:lineRule="auto"/>
        <w:rPr>
          <w:noProof/>
          <w:sz w:val="24"/>
          <w:szCs w:val="24"/>
        </w:rPr>
      </w:pPr>
      <w:r>
        <w:rPr>
          <w:noProof/>
          <w:sz w:val="24"/>
        </w:rPr>
        <w:t xml:space="preserve">O abordare a UE în ceea ce privește gestionarea migrației este indispensabilă pentru a răspunde așteptărilor cetățenilor, o abordare prin care UE să demonstreze că este în măsură </w:t>
      </w:r>
      <w:r>
        <w:rPr>
          <w:b/>
          <w:noProof/>
          <w:sz w:val="24"/>
        </w:rPr>
        <w:t>să prevină migrația ilegală</w:t>
      </w:r>
      <w:r>
        <w:rPr>
          <w:noProof/>
          <w:sz w:val="24"/>
        </w:rPr>
        <w:t xml:space="preserve"> și să submineze activitatea rețelelor infracționale de introducere ilegală de migranți, </w:t>
      </w:r>
      <w:r>
        <w:rPr>
          <w:b/>
          <w:noProof/>
          <w:sz w:val="24"/>
        </w:rPr>
        <w:t>să protejeze persoanele</w:t>
      </w:r>
      <w:r>
        <w:rPr>
          <w:noProof/>
          <w:sz w:val="24"/>
        </w:rPr>
        <w:t xml:space="preserve"> care fug din calea războiului și a persecuțiilor și </w:t>
      </w:r>
      <w:r>
        <w:rPr>
          <w:b/>
          <w:noProof/>
          <w:sz w:val="24"/>
        </w:rPr>
        <w:t>să încurajeze talentele</w:t>
      </w:r>
      <w:r>
        <w:rPr>
          <w:noProof/>
          <w:sz w:val="24"/>
        </w:rPr>
        <w:t xml:space="preserve"> să vină în UE pentru a spori competitivitatea economiei noastre. </w:t>
      </w:r>
    </w:p>
    <w:p w14:paraId="0AC5E50B" w14:textId="7336A3E7" w:rsidR="00413162" w:rsidRPr="000E464F" w:rsidRDefault="008203F2" w:rsidP="00413162">
      <w:pPr>
        <w:spacing w:line="240" w:lineRule="auto"/>
        <w:rPr>
          <w:noProof/>
          <w:sz w:val="24"/>
          <w:szCs w:val="24"/>
        </w:rPr>
      </w:pPr>
      <w:bookmarkStart w:id="3" w:name="_Hlk219874760"/>
      <w:bookmarkStart w:id="4" w:name="_Hlk219874777"/>
      <w:r>
        <w:rPr>
          <w:noProof/>
          <w:sz w:val="24"/>
        </w:rPr>
        <w:t xml:space="preserve">Majoritatea migranților care sosesc ilegal în Uniune și </w:t>
      </w:r>
      <w:bookmarkEnd w:id="3"/>
      <w:r>
        <w:rPr>
          <w:noProof/>
          <w:sz w:val="24"/>
        </w:rPr>
        <w:t>care se află în situație de ședere ilegală pe teritoriul acesteia nu sunt eligibili pentru nicio formă de protecție și nu au drept de ședere</w:t>
      </w:r>
      <w:bookmarkEnd w:id="4"/>
      <w:r>
        <w:rPr>
          <w:noProof/>
          <w:sz w:val="24"/>
        </w:rPr>
        <w:t> (</w:t>
      </w:r>
      <w:r>
        <w:rPr>
          <w:rStyle w:val="FootnoteReference"/>
          <w:rFonts w:eastAsia="Yu Gothic"/>
          <w:noProof/>
        </w:rPr>
        <w:footnoteReference w:id="3"/>
      </w:r>
      <w:r>
        <w:rPr>
          <w:noProof/>
          <w:sz w:val="24"/>
        </w:rPr>
        <w:t>). În plus, doar aproximativ un sfert dintre cei care nu au drept de ședere părăsesc efectiv teritoriul Uniunii (</w:t>
      </w:r>
      <w:r>
        <w:rPr>
          <w:rStyle w:val="FootnoteReference"/>
          <w:rFonts w:eastAsia="Yu Gothic"/>
          <w:noProof/>
        </w:rPr>
        <w:footnoteReference w:id="4"/>
      </w:r>
      <w:r>
        <w:rPr>
          <w:noProof/>
          <w:sz w:val="24"/>
        </w:rPr>
        <w:t xml:space="preserve">). </w:t>
      </w:r>
      <w:r>
        <w:rPr>
          <w:b/>
          <w:noProof/>
          <w:sz w:val="24"/>
        </w:rPr>
        <w:t>Utilizarea abuzivă a unui sistem</w:t>
      </w:r>
      <w:r>
        <w:rPr>
          <w:noProof/>
          <w:sz w:val="24"/>
        </w:rPr>
        <w:t xml:space="preserve"> conceput pentru a oferi protecție celor care au cu adevărat nevoie </w:t>
      </w:r>
      <w:r>
        <w:rPr>
          <w:b/>
          <w:noProof/>
          <w:sz w:val="24"/>
        </w:rPr>
        <w:t>nu poate fi tolerată</w:t>
      </w:r>
      <w:r>
        <w:rPr>
          <w:noProof/>
          <w:sz w:val="24"/>
        </w:rPr>
        <w:t>. Această situație disfuncțională a creat lacune persistente în ceea ce privește șederea ilegală în Uniune – cu implicații ample pentru educație, locuințe și serviciile locale – subminând astfel încrederea publicului în capacitatea Europei de a gestiona migrația și de a-și modela politica în domeniul migrației ținând seama de interesele europene. De asemenea, aceasta are un impact asupra capacității Europei de a atrage forța de muncă suplimentară de care economiile noastre și piețele forței de muncă au nevoie urgent. În plus, începând din 2021, utilizarea migrației ca armă de către Belarus și Rusia a complicat și mai mult peisajul migrației și al securității din Uniune, creând noi forme de amenințări hibride care utilizează migrația în scopuri politice.</w:t>
      </w:r>
    </w:p>
    <w:p w14:paraId="64F084C6" w14:textId="40127823" w:rsidR="00413162" w:rsidRPr="000E464F" w:rsidRDefault="00413162" w:rsidP="00413162">
      <w:pPr>
        <w:spacing w:line="240" w:lineRule="auto"/>
        <w:rPr>
          <w:noProof/>
          <w:sz w:val="24"/>
          <w:szCs w:val="24"/>
        </w:rPr>
      </w:pPr>
      <w:r>
        <w:rPr>
          <w:noProof/>
          <w:sz w:val="24"/>
        </w:rPr>
        <w:t xml:space="preserve">90 % dintre persoanele care intră ilegal în UE fac acest lucru utilizând serviciile furnizate de grupuri infracționale și de </w:t>
      </w:r>
      <w:r>
        <w:rPr>
          <w:b/>
          <w:noProof/>
          <w:sz w:val="24"/>
        </w:rPr>
        <w:t>rețele de introducere</w:t>
      </w:r>
      <w:r>
        <w:rPr>
          <w:noProof/>
          <w:sz w:val="24"/>
        </w:rPr>
        <w:t xml:space="preserve"> </w:t>
      </w:r>
      <w:r>
        <w:rPr>
          <w:b/>
          <w:noProof/>
          <w:sz w:val="24"/>
        </w:rPr>
        <w:t>ilegală de migranți</w:t>
      </w:r>
      <w:r>
        <w:rPr>
          <w:noProof/>
          <w:sz w:val="24"/>
        </w:rPr>
        <w:t> (</w:t>
      </w:r>
      <w:r>
        <w:rPr>
          <w:rStyle w:val="FootnoteReference"/>
          <w:noProof/>
          <w:szCs w:val="24"/>
        </w:rPr>
        <w:footnoteReference w:id="5"/>
      </w:r>
      <w:r>
        <w:rPr>
          <w:noProof/>
          <w:sz w:val="24"/>
        </w:rPr>
        <w:t xml:space="preserve">), care pun în pericol viețile oamenilor în deșert și pe mare, îi privează de demnitate în urmărirea profitului și încalcă drepturile fundamentale. Introducerea ilegală de migranți alimentează un sistem infracțional care creează tensiune socială și insecuritate de-a lungul rutelor de migrație. Deși căutarea unei vieți mai bune în Uniunea Europeană poate fi legitimă, persoanele care nu au dreptul la protecție trebuie să utilizeze căile legale adecvate în acest scop. Fiecare călătorie efectuată în scopul introducerii ilegale de migranți evitată poate însemna o viață salvată. </w:t>
      </w:r>
    </w:p>
    <w:p w14:paraId="7A229F74" w14:textId="77777777" w:rsidR="00413162" w:rsidRPr="000E464F" w:rsidRDefault="00413162" w:rsidP="00413162">
      <w:pPr>
        <w:spacing w:line="240" w:lineRule="auto"/>
        <w:rPr>
          <w:noProof/>
          <w:sz w:val="24"/>
          <w:szCs w:val="24"/>
        </w:rPr>
      </w:pPr>
      <w:r>
        <w:rPr>
          <w:noProof/>
          <w:sz w:val="24"/>
        </w:rPr>
        <w:lastRenderedPageBreak/>
        <w:t xml:space="preserve">UE își menține angajamentul de a fi un spațiu ce </w:t>
      </w:r>
      <w:r>
        <w:rPr>
          <w:b/>
          <w:noProof/>
          <w:sz w:val="24"/>
        </w:rPr>
        <w:t>protejează persoanele care fug din calea războiului și a persecuțiilor</w:t>
      </w:r>
      <w:r>
        <w:rPr>
          <w:noProof/>
          <w:sz w:val="24"/>
        </w:rPr>
        <w:t>. Acordarea de protecție persoanelor care au nevoie de aceasta este o obligație în temeiul dreptului Uniunii și al dreptului internațional. Europa însăși oferă protecție unui număr mare de refugiați și, la nivel internațional, diplomația și sprijinul financiar al Uniunii contribuie la protejarea solicitanților de azil și a refugiaților găzduiți în țări terțe.</w:t>
      </w:r>
    </w:p>
    <w:p w14:paraId="1D4C2B31" w14:textId="1B173098" w:rsidR="00413162" w:rsidRPr="000E464F" w:rsidRDefault="00413162" w:rsidP="00413162">
      <w:pPr>
        <w:spacing w:line="240" w:lineRule="auto"/>
        <w:rPr>
          <w:noProof/>
          <w:sz w:val="24"/>
          <w:szCs w:val="24"/>
        </w:rPr>
      </w:pPr>
      <w:r>
        <w:rPr>
          <w:b/>
          <w:noProof/>
          <w:sz w:val="24"/>
        </w:rPr>
        <w:t>Sprijinul acordat ucrainenilor</w:t>
      </w:r>
      <w:r>
        <w:rPr>
          <w:noProof/>
          <w:sz w:val="24"/>
        </w:rPr>
        <w:t xml:space="preserve"> de către UE este cel mai recent exemplu elocvent al unei îndelungate tradiții care s-a dezvoltat treptat de-a lungul timpului. Cetățenii europeni i-au primit în casele lor pe refugiații care au fugit din calea războiului de agresiune al Rusiei împotriva Ucrainei (</w:t>
      </w:r>
      <w:r>
        <w:rPr>
          <w:rStyle w:val="FootnoteReference"/>
          <w:noProof/>
          <w:szCs w:val="24"/>
        </w:rPr>
        <w:footnoteReference w:id="6"/>
      </w:r>
      <w:r>
        <w:rPr>
          <w:noProof/>
          <w:sz w:val="24"/>
        </w:rPr>
        <w:t>), care a provocat cel mai mare val de strămutări din Europa de la cel de Al Doilea Război Mondial, peste patru milioane de persoane strămutate aflându-se în prezent pe teritoriul Uniunii. Acordarea de protecție temporară cetățenilor ucraineni rămâne o prioritate pentru Uniune și statele membre, după cum este și sprijinirea întoarcerii acasă a acestora pentru a contribui la reconstrucția țării atunci când situația o va permite, pe baza unei abordări coordonate și treptate. În plus, în perioada 2015-2024,</w:t>
      </w:r>
      <w:r>
        <w:rPr>
          <w:b/>
          <w:i/>
          <w:noProof/>
          <w:sz w:val="24"/>
        </w:rPr>
        <w:t xml:space="preserve"> </w:t>
      </w:r>
      <w:r>
        <w:rPr>
          <w:noProof/>
          <w:sz w:val="24"/>
        </w:rPr>
        <w:t>aproximativ 3,9 milioane de solicitanți de azil au primit un statut de protecție în UE, pe lângă beneficiarii de protecție temporară. Numai în 2024, aproximativ 438 000 de solicitanți de azil au beneficiat de protecție (</w:t>
      </w:r>
      <w:r>
        <w:rPr>
          <w:rStyle w:val="FootnoteReference"/>
          <w:noProof/>
          <w:szCs w:val="24"/>
        </w:rPr>
        <w:footnoteReference w:id="7"/>
      </w:r>
      <w:r>
        <w:rPr>
          <w:noProof/>
          <w:sz w:val="24"/>
        </w:rPr>
        <w:t xml:space="preserve">). </w:t>
      </w:r>
    </w:p>
    <w:p w14:paraId="0E21A8A2" w14:textId="3D6D472E" w:rsidR="00413162" w:rsidRPr="000E464F" w:rsidRDefault="00413162" w:rsidP="00413162">
      <w:pPr>
        <w:spacing w:line="240" w:lineRule="auto"/>
        <w:rPr>
          <w:noProof/>
          <w:sz w:val="24"/>
          <w:szCs w:val="24"/>
        </w:rPr>
      </w:pPr>
      <w:r>
        <w:rPr>
          <w:noProof/>
          <w:sz w:val="24"/>
        </w:rPr>
        <w:t xml:space="preserve">Cu toate acestea, utilizarea abuzivă a sistemelor de azil ale statelor membre subminează </w:t>
      </w:r>
      <w:r>
        <w:rPr>
          <w:b/>
          <w:noProof/>
          <w:sz w:val="24"/>
        </w:rPr>
        <w:t>capacitatea acestora de a oferi protecție</w:t>
      </w:r>
      <w:r>
        <w:rPr>
          <w:noProof/>
          <w:sz w:val="24"/>
        </w:rPr>
        <w:t xml:space="preserve"> și </w:t>
      </w:r>
      <w:r>
        <w:rPr>
          <w:b/>
          <w:noProof/>
          <w:sz w:val="24"/>
        </w:rPr>
        <w:t>o primire adecvată persoanelor care au nevoie de aceasta</w:t>
      </w:r>
      <w:r>
        <w:rPr>
          <w:noProof/>
          <w:sz w:val="24"/>
        </w:rPr>
        <w:t>,</w:t>
      </w:r>
      <w:r>
        <w:rPr>
          <w:b/>
          <w:noProof/>
          <w:sz w:val="24"/>
        </w:rPr>
        <w:t xml:space="preserve"> </w:t>
      </w:r>
      <w:r>
        <w:rPr>
          <w:noProof/>
          <w:sz w:val="24"/>
        </w:rPr>
        <w:t xml:space="preserve">precum și de a oferi programe de </w:t>
      </w:r>
      <w:r>
        <w:rPr>
          <w:b/>
          <w:noProof/>
          <w:sz w:val="24"/>
        </w:rPr>
        <w:t>integrare</w:t>
      </w:r>
      <w:r>
        <w:rPr>
          <w:noProof/>
          <w:sz w:val="24"/>
        </w:rPr>
        <w:t xml:space="preserve"> migranților care au drept de ședere în Uniune.</w:t>
      </w:r>
      <w:r>
        <w:rPr>
          <w:b/>
          <w:noProof/>
          <w:sz w:val="24"/>
        </w:rPr>
        <w:t xml:space="preserve"> </w:t>
      </w:r>
      <w:r>
        <w:rPr>
          <w:noProof/>
          <w:sz w:val="24"/>
        </w:rPr>
        <w:t xml:space="preserve">În plus, aceste abuzuri subminează în egală măsură spațiul Schengen, deoarece deplasările secundare neautorizate subminează însăși ideea de liberă circulație fără frontiere interne. Pactul revizuiește sistemul european de migrație și azil, prevăzând un control sporit asupra migrației ilegale, simplificând normele și procedurile în materie de azil, sporind reziliența și gradul de pregătire și introducând instrumente dedicate gestionării posibilelor crize viitoare. </w:t>
      </w:r>
    </w:p>
    <w:p w14:paraId="3C4EFA4F" w14:textId="77777777" w:rsidR="00413162" w:rsidRPr="000E464F" w:rsidRDefault="00413162" w:rsidP="00413162">
      <w:pPr>
        <w:spacing w:line="240" w:lineRule="auto"/>
        <w:rPr>
          <w:noProof/>
          <w:sz w:val="24"/>
          <w:szCs w:val="24"/>
        </w:rPr>
      </w:pPr>
      <w:r>
        <w:rPr>
          <w:noProof/>
          <w:sz w:val="24"/>
        </w:rPr>
        <w:t xml:space="preserve">Prevenirea migrației ilegale, protejarea persoanelor care fug din calea războiului și a persecuțiilor și încurajarea mobilității talentelor sunt în interesul reciproc al UE și al partenerilor săi. Deși Uniunea continuă să depună eforturi pentru a-și îmbunătăți sistemele de gestionare a migrației, cheia succesului în acest demers constă într-o </w:t>
      </w:r>
      <w:r>
        <w:rPr>
          <w:b/>
          <w:noProof/>
          <w:sz w:val="24"/>
        </w:rPr>
        <w:t>bună cooperare cu țările partenere din afara UE</w:t>
      </w:r>
      <w:r>
        <w:rPr>
          <w:noProof/>
          <w:sz w:val="24"/>
        </w:rPr>
        <w:t>. În cele din urmă, nicio țară nu poate aborda pe cont propriu provocările acestui fenomen global și toți partenerii ar trebui să joace un rol în cadrul unei abordări la nivelul întregii rute. Bazându-se în continuare pe un cadru intern solid, politica europeană în domeniul migrației ar trebui să pună un accent mai mare pe cooperarea cu țările partenere. În cooperare cu statele membre și în cadrul unei abordări de tip „Echipa Europa”, Comisia își va intensifica eforturile în această direcție.</w:t>
      </w:r>
    </w:p>
    <w:p w14:paraId="3CE59007" w14:textId="63B00990" w:rsidR="00413162" w:rsidRPr="000E464F" w:rsidRDefault="00413162" w:rsidP="00413162">
      <w:pPr>
        <w:spacing w:line="240" w:lineRule="auto"/>
        <w:rPr>
          <w:noProof/>
          <w:sz w:val="24"/>
          <w:szCs w:val="24"/>
        </w:rPr>
      </w:pPr>
      <w:r>
        <w:rPr>
          <w:noProof/>
          <w:sz w:val="24"/>
        </w:rPr>
        <w:t xml:space="preserve">Uniunea rămâne o </w:t>
      </w:r>
      <w:r>
        <w:rPr>
          <w:b/>
          <w:noProof/>
          <w:sz w:val="24"/>
        </w:rPr>
        <w:t>destinație atractivă pentru turiști, studenți, cercetători și lucrători</w:t>
      </w:r>
      <w:r>
        <w:rPr>
          <w:noProof/>
          <w:sz w:val="24"/>
        </w:rPr>
        <w:t>, peste 90 % dintre resortisanții țărilor terțe intrând în UE în mod legal și controlat. Aceștia au contribuit la dezvoltarea economiilor și a societăților noastre și au modelat culturile noastre. În 2024, 1,7 milioane de persoane au venit în UE în mod legal pentru a lucra și a studia (</w:t>
      </w:r>
      <w:r>
        <w:rPr>
          <w:rStyle w:val="FootnoteReference"/>
          <w:noProof/>
          <w:szCs w:val="24"/>
        </w:rPr>
        <w:footnoteReference w:id="8"/>
      </w:r>
      <w:r>
        <w:rPr>
          <w:noProof/>
          <w:sz w:val="24"/>
        </w:rPr>
        <w:t>). Recenta digitalizare a politicilor UE în materie de gestionare a frontierelor și de vize îmbunătățește experiența călătorilor prin reducerea timpului de așteptare și simplificarea procedurilor, menținând în același timp cele mai înalte standarde de securitate.</w:t>
      </w:r>
    </w:p>
    <w:p w14:paraId="4DD32287" w14:textId="77777777" w:rsidR="00413162" w:rsidRDefault="00413162" w:rsidP="00413162">
      <w:pPr>
        <w:spacing w:line="240" w:lineRule="auto"/>
        <w:rPr>
          <w:noProof/>
          <w:sz w:val="24"/>
          <w:szCs w:val="24"/>
        </w:rPr>
      </w:pPr>
      <w:r>
        <w:rPr>
          <w:noProof/>
          <w:sz w:val="24"/>
        </w:rPr>
        <w:t xml:space="preserve">UE este un continent deschis, conectat la nivel mondial, cu o populație activă în curs de îmbătrânire și în scădere, care în prezent se confruntă cu deficite de forță de muncă și de competențe în multe sectoare. Pentru a continua să se dezvolte economic, a stimula competitivitatea și a promova autonomia strategică deschisă, Uniunea trebuie să devină un magnet mondial pentru </w:t>
      </w:r>
      <w:r>
        <w:rPr>
          <w:b/>
          <w:noProof/>
          <w:sz w:val="24"/>
        </w:rPr>
        <w:t>atragerea și păstrarea talentelor</w:t>
      </w:r>
      <w:r>
        <w:rPr>
          <w:noProof/>
          <w:sz w:val="24"/>
        </w:rPr>
        <w:t xml:space="preserve">. În acest scop, Uniunea și statele sale membre ar trebui să elimine blocajele care încetinesc sistemele noastre, inclusiv în ceea ce privește prelucrarea cererilor de viză și recunoașterea calificărilor, și să extindă cooperarea strategică cu partenerii pentru a facilita accesul talentelor în Uniune și în statele membre, promovând sosirea studenților, a cercetătorilor și a lucrătorilor la toate nivelurile de competențe și maximizând potențialul uman al populației existente. </w:t>
      </w:r>
    </w:p>
    <w:p w14:paraId="37E0618C" w14:textId="5F2ED64A" w:rsidR="00413162" w:rsidRPr="000E464F" w:rsidRDefault="00413162" w:rsidP="00413162">
      <w:pPr>
        <w:spacing w:line="240" w:lineRule="auto"/>
        <w:rPr>
          <w:noProof/>
          <w:sz w:val="24"/>
          <w:szCs w:val="24"/>
        </w:rPr>
      </w:pPr>
      <w:r>
        <w:rPr>
          <w:noProof/>
          <w:sz w:val="24"/>
        </w:rPr>
        <w:t xml:space="preserve">O perspectivă pe termen mai lung ar trebui să țină seama, de asemenea, de </w:t>
      </w:r>
      <w:r>
        <w:rPr>
          <w:b/>
          <w:noProof/>
          <w:sz w:val="24"/>
        </w:rPr>
        <w:t>evoluțiile tehnologice</w:t>
      </w:r>
      <w:r>
        <w:rPr>
          <w:noProof/>
          <w:sz w:val="24"/>
        </w:rPr>
        <w:t xml:space="preserve"> în curs, care deschid noi oportunități, încă neexploatate, pentru crearea unor procese de migrație mai eficace și mai sigure. Strategia urmărește să valorifice potențialul digitalizării și al inteligenței artificiale (IA) în domeniul migrației și azilului pentru a pune la dispoziția statelor membre instrumente moderne, sigure și eficiente de îmbunătățire a calității, a coerenței și a promptitudinii procesului decizional și de sporire a securității, îmbunătățind în același timp serviciile oferite cetățenilor. </w:t>
      </w:r>
    </w:p>
    <w:p w14:paraId="360AFCCB" w14:textId="736BCB0D" w:rsidR="00413162" w:rsidRPr="000E464F" w:rsidRDefault="00413162" w:rsidP="00413162">
      <w:pPr>
        <w:spacing w:line="240" w:lineRule="auto"/>
        <w:rPr>
          <w:noProof/>
          <w:sz w:val="24"/>
          <w:szCs w:val="24"/>
        </w:rPr>
      </w:pPr>
      <w:r>
        <w:rPr>
          <w:noProof/>
          <w:sz w:val="24"/>
        </w:rPr>
        <w:t>Prezenta strategie a fost elaborată în conformitate cu Regulamentul privind gestionarea azilului și migrației (</w:t>
      </w:r>
      <w:r>
        <w:rPr>
          <w:rStyle w:val="FootnoteReference"/>
          <w:noProof/>
          <w:szCs w:val="24"/>
        </w:rPr>
        <w:footnoteReference w:id="9"/>
      </w:r>
      <w:r>
        <w:rPr>
          <w:noProof/>
          <w:sz w:val="24"/>
        </w:rPr>
        <w:t xml:space="preserve">), se bazează pe </w:t>
      </w:r>
      <w:r>
        <w:rPr>
          <w:b/>
          <w:noProof/>
          <w:sz w:val="24"/>
        </w:rPr>
        <w:t>strategiile naționale</w:t>
      </w:r>
      <w:r>
        <w:rPr>
          <w:noProof/>
          <w:sz w:val="24"/>
        </w:rPr>
        <w:t xml:space="preserve"> prezentate de statele membre (</w:t>
      </w:r>
      <w:r>
        <w:rPr>
          <w:noProof/>
          <w:sz w:val="24"/>
          <w:szCs w:val="24"/>
          <w:vertAlign w:val="superscript"/>
        </w:rPr>
        <w:footnoteReference w:id="10"/>
      </w:r>
      <w:r>
        <w:rPr>
          <w:noProof/>
          <w:sz w:val="24"/>
        </w:rPr>
        <w:t>) în conformitate cu regulamentul respectiv (</w:t>
      </w:r>
      <w:r>
        <w:rPr>
          <w:rStyle w:val="FootnoteReference"/>
          <w:noProof/>
          <w:szCs w:val="24"/>
        </w:rPr>
        <w:footnoteReference w:id="11"/>
      </w:r>
      <w:r>
        <w:rPr>
          <w:noProof/>
          <w:sz w:val="24"/>
        </w:rPr>
        <w:t>) și ține seama de opiniile exprimate de Parlamentul European (</w:t>
      </w:r>
      <w:r>
        <w:rPr>
          <w:noProof/>
          <w:sz w:val="24"/>
          <w:szCs w:val="24"/>
          <w:vertAlign w:val="superscript"/>
        </w:rPr>
        <w:footnoteReference w:id="12"/>
      </w:r>
      <w:r>
        <w:rPr>
          <w:noProof/>
          <w:sz w:val="24"/>
        </w:rPr>
        <w:t>), de statele membre și de diverse părți interesate, inclusiv de expertiza agențiilor UE. Scopul acesteia este de a oferi o viziune pentru o politică europeană în materie de migrație și azil care să consolideze coeziunea UE, să identifice căi de urmat inovatoare și să afirme rolul regional și global al UE în următorii cinci ani. Acțiunile din cadrul prezentei strategii se bazează pe respectarea drepturilor fundamentale în conformitate cu carta, precum și pe respectarea deplină a obligațiilor noastre internaționale.</w:t>
      </w:r>
    </w:p>
    <w:p w14:paraId="5E90D5C8" w14:textId="77777777" w:rsidR="00413162" w:rsidRPr="00DE4B9B" w:rsidRDefault="00413162" w:rsidP="00413162">
      <w:pPr>
        <w:spacing w:line="240" w:lineRule="auto"/>
        <w:rPr>
          <w:noProof/>
          <w:sz w:val="24"/>
          <w:szCs w:val="24"/>
        </w:rPr>
      </w:pPr>
      <w:r>
        <w:rPr>
          <w:noProof/>
          <w:sz w:val="24"/>
        </w:rPr>
        <w:t>În scopul atingerii principalelor obiective ale prezentei strategii – prevenirea migrației ilegale, protejarea persoanelor aflate în dificultate și atragerea de talente în UE – Uniunea ar trebui să se concentreze pe următoarele cinci priorități:</w:t>
      </w:r>
    </w:p>
    <w:p w14:paraId="0DDA5F12" w14:textId="1FB31B8E" w:rsidR="00BA67FA" w:rsidRPr="00B5212B" w:rsidRDefault="00DE4B9B" w:rsidP="00CB3910">
      <w:pPr>
        <w:spacing w:before="120" w:after="0" w:line="240" w:lineRule="auto"/>
        <w:jc w:val="center"/>
        <w:rPr>
          <w:noProof/>
          <w:sz w:val="24"/>
          <w:szCs w:val="24"/>
        </w:rPr>
      </w:pPr>
      <w:r>
        <w:rPr>
          <w:noProof/>
          <w:lang w:val="en-GB"/>
        </w:rPr>
        <w:drawing>
          <wp:inline distT="0" distB="0" distL="0" distR="0" wp14:anchorId="3534D274" wp14:editId="64BFCD49">
            <wp:extent cx="4951828" cy="1828800"/>
            <wp:effectExtent l="0" t="0" r="0" b="19050"/>
            <wp:docPr id="1501224674"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5FCCE2B5" w14:textId="77777777" w:rsidR="00A7291D" w:rsidRPr="00B5212B" w:rsidRDefault="00A7291D" w:rsidP="00A7291D">
      <w:pPr>
        <w:spacing w:after="0" w:line="240" w:lineRule="auto"/>
        <w:jc w:val="center"/>
        <w:rPr>
          <w:noProof/>
        </w:rPr>
      </w:pPr>
    </w:p>
    <w:p w14:paraId="52221CCF" w14:textId="013F882F" w:rsidR="00A7291D" w:rsidRPr="003A5268" w:rsidRDefault="00891736" w:rsidP="00A7291D">
      <w:pPr>
        <w:pStyle w:val="Heading1"/>
        <w:spacing w:before="0"/>
        <w:rPr>
          <w:bCs/>
          <w:noProof/>
        </w:rPr>
      </w:pPr>
      <w:bookmarkStart w:id="5" w:name="_Toc212842542"/>
      <w:r>
        <w:rPr>
          <w:noProof/>
        </w:rPr>
        <w:t xml:space="preserve">Intensificarea diplomației în domeniul migrației </w:t>
      </w:r>
    </w:p>
    <w:p w14:paraId="260EBEA4" w14:textId="2ABF3A4B" w:rsidR="004115A2" w:rsidRPr="00B5212B" w:rsidRDefault="0652689E" w:rsidP="00AB7673">
      <w:pPr>
        <w:spacing w:line="240" w:lineRule="auto"/>
        <w:rPr>
          <w:noProof/>
          <w:sz w:val="24"/>
          <w:szCs w:val="24"/>
        </w:rPr>
      </w:pPr>
      <w:r>
        <w:rPr>
          <w:noProof/>
          <w:sz w:val="24"/>
        </w:rPr>
        <w:t xml:space="preserve">Bazându-se pe rezultatele concrete obținute în ultimii ani, Uniunea trebuie să se concentreze în următorii cinci ani pe continuarea eforturilor de prevenire a călătoriilor periculoase care pun în pericol viața oamenilor, de </w:t>
      </w:r>
      <w:r>
        <w:rPr>
          <w:b/>
          <w:noProof/>
          <w:sz w:val="24"/>
        </w:rPr>
        <w:t>reducere a numărului de sosiri ilegale</w:t>
      </w:r>
      <w:r>
        <w:rPr>
          <w:noProof/>
          <w:sz w:val="24"/>
        </w:rPr>
        <w:t xml:space="preserve"> în UE și de reducere a presiunii asupra sistemelor de azil și migrație prin sprijinirea punerii în aplicare a reformelor prevăzute de pact și prin promovarea la nivel mondial a respectării drepturilor fundamentale ale migranților și refugiaților. </w:t>
      </w:r>
    </w:p>
    <w:p w14:paraId="3CC62F88" w14:textId="1211439B" w:rsidR="00E92CA4" w:rsidRPr="00DE4B9B" w:rsidRDefault="5709876B" w:rsidP="00AB7673">
      <w:pPr>
        <w:spacing w:line="240" w:lineRule="auto"/>
        <w:rPr>
          <w:rFonts w:eastAsia="EC Square Sans Pro"/>
          <w:noProof/>
          <w:sz w:val="24"/>
          <w:szCs w:val="24"/>
        </w:rPr>
      </w:pPr>
      <w:r>
        <w:rPr>
          <w:noProof/>
          <w:sz w:val="24"/>
        </w:rPr>
        <w:t xml:space="preserve">Acțiunile în curs pentru implementarea în Uniune a unui sistem modern, echitabil și eficient de gestionare a migrației și de azil trebuie să fie completate de o </w:t>
      </w:r>
      <w:r>
        <w:rPr>
          <w:b/>
          <w:noProof/>
          <w:sz w:val="24"/>
        </w:rPr>
        <w:t>diplomație eficace în domeniul migrației, care să promoveze interesele Uniunii fără a aduce atingere valorilor europene</w:t>
      </w:r>
      <w:r>
        <w:rPr>
          <w:noProof/>
          <w:sz w:val="24"/>
        </w:rPr>
        <w:t>. Aceasta trebuie să se bazeze pe principiul conform căruia gestionarea migrației este o responsabilitate comună, toți actorii de-a lungul rutelor de migrație având un rol în acest proces. În următorii cinci ani, acest principiu va orienta acțiunea Uniunii în ceea ce privește consolidarea parteneriatelor cuprinzătoare existente și lansarea unora noi cu principalele țări de origine și de tranzit ale migrației, precum și cu principalele țări-gazdă ale refugiaților, asigurarea unui climat de încredere cu partenerii noștri și promovarea rolului UE ca actor central în dezbaterea globală și în eforturile de gestionare a migrației. Uniunea continuă să își definească relațiile cu țările terțe în chestiuni legate de migrație,</w:t>
      </w:r>
      <w:r>
        <w:rPr>
          <w:b/>
          <w:noProof/>
          <w:sz w:val="24"/>
        </w:rPr>
        <w:t xml:space="preserve"> promovându-și valorile și interesele </w:t>
      </w:r>
      <w:r>
        <w:rPr>
          <w:noProof/>
          <w:sz w:val="24"/>
        </w:rPr>
        <w:t>și</w:t>
      </w:r>
      <w:r>
        <w:rPr>
          <w:b/>
          <w:noProof/>
          <w:sz w:val="24"/>
        </w:rPr>
        <w:t xml:space="preserve"> </w:t>
      </w:r>
      <w:r>
        <w:rPr>
          <w:noProof/>
          <w:sz w:val="24"/>
        </w:rPr>
        <w:t>cooperând cu partenerii săi în ceea ce privește gestionarea presiunilor legate de migrație într-un mod reciproc avantajos, întrucât este în interesul nostru comun să colaborăm pentru a răspunde acestei provocări comune.</w:t>
      </w:r>
    </w:p>
    <w:p w14:paraId="6561603B" w14:textId="1A8ACE43" w:rsidR="00431C15" w:rsidRPr="00AB7673" w:rsidRDefault="61A20131" w:rsidP="00AB7673">
      <w:pPr>
        <w:spacing w:line="240" w:lineRule="auto"/>
        <w:rPr>
          <w:rFonts w:eastAsia="EC Square Sans Pro"/>
          <w:noProof/>
          <w:sz w:val="24"/>
          <w:szCs w:val="24"/>
        </w:rPr>
      </w:pPr>
      <w:r>
        <w:rPr>
          <w:noProof/>
          <w:sz w:val="24"/>
        </w:rPr>
        <w:t xml:space="preserve">Diplomația în domeniul migrației ar trebui să fie </w:t>
      </w:r>
      <w:r>
        <w:rPr>
          <w:b/>
          <w:noProof/>
          <w:sz w:val="24"/>
        </w:rPr>
        <w:t>cuprinzătoare</w:t>
      </w:r>
      <w:r>
        <w:rPr>
          <w:noProof/>
          <w:sz w:val="24"/>
        </w:rPr>
        <w:t>, contribuind la prevenirea și controlul cu mai mult succes al plecărilor ilegale, la dezmembrarea rețelelor de introducere ilegală de migranți și la abordarea cauzelor profunde ale migrației, oferind protecție în apropierea locului de origine, precum și programe de relocare și alte căi complementare persoanelor care au nevoie de protecție. De asemenea, aceasta ar trebui să asigure returnarea și readmisia rapidă și eficace a propriilor resortisanți fără drept de ședere în Uniune și, pe de altă parte, să contribuie la atragerea lucrătorilor, a studenților și a cercetătorilor cu competențele și talentele care ar sprijini competitivitatea europeană, contribuind în același timp la dezvoltarea economică a țărilor de origine.</w:t>
      </w:r>
    </w:p>
    <w:p w14:paraId="06057592" w14:textId="38262176" w:rsidR="00DE4B9B" w:rsidRPr="00AB7673" w:rsidRDefault="00DE4B9B" w:rsidP="00AB7673">
      <w:pPr>
        <w:spacing w:line="240" w:lineRule="auto"/>
        <w:rPr>
          <w:noProof/>
          <w:sz w:val="24"/>
          <w:szCs w:val="24"/>
        </w:rPr>
      </w:pPr>
      <w:r>
        <w:rPr>
          <w:noProof/>
          <w:sz w:val="24"/>
        </w:rPr>
        <w:t xml:space="preserve">Aceste </w:t>
      </w:r>
      <w:r>
        <w:rPr>
          <w:b/>
          <w:noProof/>
          <w:sz w:val="24"/>
        </w:rPr>
        <w:t>principii se reflectă deja în parteneriatele</w:t>
      </w:r>
      <w:r>
        <w:rPr>
          <w:noProof/>
          <w:sz w:val="24"/>
        </w:rPr>
        <w:t xml:space="preserve"> pe care UE le-a instituit cu diferite țări terțe în ultimii ani, în special cu Egipt, Iordania, Mauritania și Tunisia. De asemenea, acestea fac parte integrantă din Pactul pentru Mediterana (</w:t>
      </w:r>
      <w:r>
        <w:rPr>
          <w:noProof/>
          <w:sz w:val="24"/>
          <w:szCs w:val="24"/>
          <w:vertAlign w:val="superscript"/>
        </w:rPr>
        <w:footnoteReference w:id="13"/>
      </w:r>
      <w:r>
        <w:rPr>
          <w:noProof/>
          <w:sz w:val="24"/>
        </w:rPr>
        <w:t>), care promovează o abordare a migrației bazată pe parteneriat și la nivelul întregii rute, ca parte a unei strategii globale cuprinzătoare ce vizează consolidarea relațiilor cu partenerii noștri din vecinătatea sudică. Uniunea ar trebui să promoveze în continuare această abordare, care oferă o mai mare stabilitate și oportunități reale și asigură cooperarea în ceea ce privește guvernanța eficace și bazată pe drepturi a migrației între UE și partenerii săi de-a lungul diferitelor rute.</w:t>
      </w:r>
    </w:p>
    <w:p w14:paraId="72ED4178" w14:textId="504107D5" w:rsidR="008B3602" w:rsidRDefault="003B4A87" w:rsidP="00AB7673">
      <w:pPr>
        <w:spacing w:line="240" w:lineRule="auto"/>
        <w:rPr>
          <w:rFonts w:eastAsia="EC Square Sans Pro"/>
          <w:noProof/>
          <w:sz w:val="24"/>
          <w:szCs w:val="24"/>
        </w:rPr>
      </w:pPr>
      <w:r>
        <w:rPr>
          <w:noProof/>
          <w:sz w:val="24"/>
        </w:rPr>
        <w:t xml:space="preserve">Este important ca UE și statele sale membre să se angajeze într-o diplomație fermă în domeniul migrației prin consolidarea </w:t>
      </w:r>
      <w:r>
        <w:rPr>
          <w:b/>
          <w:noProof/>
          <w:sz w:val="24"/>
        </w:rPr>
        <w:t>legăturilor cu alte politici și prin utilizarea de pârghii și stimulente</w:t>
      </w:r>
      <w:r>
        <w:rPr>
          <w:noProof/>
          <w:sz w:val="24"/>
        </w:rPr>
        <w:t>, în conformitate cu apelurile Consiliului European (</w:t>
      </w:r>
      <w:r>
        <w:rPr>
          <w:rStyle w:val="FootnoteReference"/>
          <w:rFonts w:eastAsia="EC Square Sans Pro"/>
          <w:noProof/>
          <w:sz w:val="24"/>
          <w:szCs w:val="24"/>
        </w:rPr>
        <w:footnoteReference w:id="14"/>
      </w:r>
      <w:r>
        <w:rPr>
          <w:noProof/>
          <w:sz w:val="24"/>
        </w:rPr>
        <w:t xml:space="preserve">) din ultimii ani. Setul de instrumente de care dispune Uniunea include politica în domeniul vizelor, prin intermediul mecanismului prevăzut la articolul 25a din Codul de vize și al mecanismului privind suspendarea exceptării de la obligativitatea vizelor, precum și comerțul, prin revizuirea recent convenită a Regulamentului privind un sistem generalizat de preferințe tarifare, care va permite retragerea temporară a preferințelor comerciale în cazul lipsei de cooperare în materie de readmisie. Acest set de instrumente ar trebui extins și la finanțarea externă, astfel cum a propus Comisia în Regulamentul privind Europa globală pentru următorul cadru financiar multianual 2028-2034. Acesta ar trebui combinat cu instrumentele, pârghiile și stimulentele bilaterale ale statelor membre ale UE care urmează să fie mobilizate în sprijinul acțiunilor comune ale UE. Comisia și Înaltul Reprezentant vor explora, de asemenea, posibile noi stimulente și pârghii din alte domenii de politică, pentru a promova interesul UE și pentru a crea noi oportunități de cooperare internațională. </w:t>
      </w:r>
    </w:p>
    <w:p w14:paraId="740CF1D4" w14:textId="1D0C9871" w:rsidR="007D7F8B" w:rsidRDefault="00F06B56" w:rsidP="00AB7673">
      <w:pPr>
        <w:spacing w:line="240" w:lineRule="auto"/>
        <w:rPr>
          <w:noProof/>
          <w:sz w:val="24"/>
          <w:szCs w:val="24"/>
        </w:rPr>
      </w:pPr>
      <w:r>
        <w:rPr>
          <w:noProof/>
          <w:sz w:val="24"/>
        </w:rPr>
        <w:t xml:space="preserve">Uniunea va continua să participe activ la forurile multilaterale relevante pentru a clădi parteneriate fiabile și </w:t>
      </w:r>
      <w:r>
        <w:rPr>
          <w:b/>
          <w:noProof/>
          <w:sz w:val="24"/>
        </w:rPr>
        <w:t xml:space="preserve">a îmbunătăți guvernanța migrației la nivel mondial. </w:t>
      </w:r>
      <w:r>
        <w:rPr>
          <w:noProof/>
          <w:sz w:val="24"/>
        </w:rPr>
        <w:t xml:space="preserve">Printre acestea se numără Forumul internațional de analiză a migrației, preconizat a avea loc în mai 2026, în cadrul căruia se va discuta despre progresele înregistrate în punerea în aplicare a Pactului mondial al Organizației Națiunilor Unite pentru asigurarea unei migrații legale, desfășurate în condiții de siguranță și de ordine, precum și continuarea sprijinului pentru punerea în aplicare a Pactului mondial pentru refugiați. De asemenea, Uniunea va colabora cu </w:t>
      </w:r>
      <w:r>
        <w:rPr>
          <w:b/>
          <w:noProof/>
          <w:sz w:val="24"/>
        </w:rPr>
        <w:t>Consiliul Europei</w:t>
      </w:r>
      <w:r>
        <w:rPr>
          <w:noProof/>
          <w:sz w:val="24"/>
        </w:rPr>
        <w:t xml:space="preserve"> în ceea ce privește abordarea provocărilor actuale reprezentate de migrația ilegală și de introducerea ilegală de migranți (</w:t>
      </w:r>
      <w:r>
        <w:rPr>
          <w:rStyle w:val="FootnoteReference"/>
          <w:noProof/>
          <w:sz w:val="24"/>
          <w:szCs w:val="24"/>
        </w:rPr>
        <w:footnoteReference w:id="15"/>
      </w:r>
      <w:r>
        <w:rPr>
          <w:noProof/>
          <w:sz w:val="24"/>
        </w:rPr>
        <w:t>). Comisia va contribui la procesul de reflecție în curs al Consiliului Europei în contextul inițiativei lansate în cadrul Conferinței ministeriale informale din 10 decembrie 2025 privind aplicarea Convenției europene a drepturilor omului, ținând seama pe deplin atât de obiectivele referitoare la protecția drepturilor, cât și la asigurarea securității.</w:t>
      </w:r>
    </w:p>
    <w:p w14:paraId="7FBDCFE1" w14:textId="0740F282" w:rsidR="008B3602" w:rsidRPr="00097003" w:rsidRDefault="00F06B56" w:rsidP="00AB7673">
      <w:pPr>
        <w:spacing w:line="240" w:lineRule="auto"/>
        <w:rPr>
          <w:rFonts w:eastAsia="EC Square Sans Pro"/>
          <w:noProof/>
          <w:sz w:val="24"/>
          <w:szCs w:val="24"/>
        </w:rPr>
      </w:pPr>
      <w:r>
        <w:rPr>
          <w:noProof/>
          <w:sz w:val="24"/>
        </w:rPr>
        <w:t xml:space="preserve">Pentru a aborda </w:t>
      </w:r>
      <w:r>
        <w:rPr>
          <w:b/>
          <w:noProof/>
          <w:sz w:val="24"/>
        </w:rPr>
        <w:t>cauzele profunde</w:t>
      </w:r>
      <w:r>
        <w:rPr>
          <w:noProof/>
          <w:sz w:val="24"/>
        </w:rPr>
        <w:t xml:space="preserve"> ale migrației ilegale, Uniunea și statele sale membre vor continua să depună eforturi pentru a combate sărăcia la nivel mondial, pentru a promova dezvoltarea economică, pacea și securitatea, în special prin sprijinirea în continuare a sistemului Organizației Națiunilor Unite, prin implicarea activă în reformele actuale, după caz, și prin încercarea de a oferi sprijinul necesar în contextul deficitelor de resurse fără precedent, în conformitate cu interesele UE. </w:t>
      </w:r>
    </w:p>
    <w:p w14:paraId="4FCA3DF2" w14:textId="6C4CC58C" w:rsidR="008B3602" w:rsidRPr="00641573" w:rsidRDefault="008B3602" w:rsidP="005D4E73">
      <w:pPr>
        <w:spacing w:line="240" w:lineRule="auto"/>
        <w:rPr>
          <w:rFonts w:eastAsia="EC Square Sans Pro"/>
          <w:b/>
          <w:i/>
          <w:noProof/>
          <w:sz w:val="24"/>
          <w:szCs w:val="24"/>
        </w:rPr>
      </w:pPr>
      <w:r>
        <w:rPr>
          <w:b/>
          <w:i/>
          <w:noProof/>
          <w:sz w:val="24"/>
        </w:rPr>
        <w:t>Abordarea la nivelul întregii rute și aprofundarea cooperării cu țările din vecinătatea UE</w:t>
      </w:r>
    </w:p>
    <w:p w14:paraId="24E04547" w14:textId="77D6A24D" w:rsidR="003F542A" w:rsidRPr="00B5212B" w:rsidRDefault="17DBAD46" w:rsidP="00AB7673">
      <w:pPr>
        <w:spacing w:line="240" w:lineRule="auto"/>
        <w:rPr>
          <w:rFonts w:eastAsia="EC Square Sans Pro"/>
          <w:noProof/>
          <w:sz w:val="24"/>
          <w:szCs w:val="24"/>
        </w:rPr>
      </w:pPr>
      <w:r>
        <w:rPr>
          <w:noProof/>
          <w:sz w:val="24"/>
        </w:rPr>
        <w:t xml:space="preserve">Comisia va continua să promoveze o </w:t>
      </w:r>
      <w:r>
        <w:rPr>
          <w:b/>
          <w:noProof/>
          <w:sz w:val="24"/>
        </w:rPr>
        <w:t>abordare la nivelul întregii rute</w:t>
      </w:r>
      <w:r>
        <w:rPr>
          <w:noProof/>
          <w:sz w:val="24"/>
        </w:rPr>
        <w:t xml:space="preserve"> pentru a depăși provocările multidimensionale generate de fluxurile de migrație mixtă ale migranților economici și ale persoanelor care solicită protecție și pentru a sprijini țările terțe în consolidarea sistemelor lor de migrație, de gestionare a frontierelor, de azil și de returnare, inclusiv în consolidarea capacităților acestora de a oferi soluții adecvate de primire și protecție a solicitanților de azil și refugiaților, concentrându-se în principal pe țările apropiate de locurile de origine ale migranților. Acțiunile vor fi adaptate contextului individual și pot varia de la eforturile de combatere a introducerii ilegale de migranți și a traficului de persoane, gestionarea frontierelor, înregistrare, oferirea de protecție și consolidarea sistemelor de furnizare de servicii care includ comunitățile-gazdă până la gestionarea căilor legale și asigurarea returnării și readmisiei rapide, sigure și demne și a reintegrării durabile. </w:t>
      </w:r>
    </w:p>
    <w:p w14:paraId="2B54EF58" w14:textId="05104E06" w:rsidR="00767F7D" w:rsidRPr="00B5212B" w:rsidRDefault="00A35EC9" w:rsidP="00AB7673">
      <w:pPr>
        <w:spacing w:line="240" w:lineRule="auto"/>
        <w:rPr>
          <w:noProof/>
          <w:sz w:val="24"/>
          <w:szCs w:val="24"/>
        </w:rPr>
      </w:pPr>
      <w:r>
        <w:rPr>
          <w:b/>
          <w:noProof/>
          <w:sz w:val="24"/>
        </w:rPr>
        <w:t>Continuarea cooperării</w:t>
      </w:r>
      <w:r>
        <w:rPr>
          <w:noProof/>
          <w:sz w:val="24"/>
        </w:rPr>
        <w:t xml:space="preserve"> </w:t>
      </w:r>
      <w:r>
        <w:rPr>
          <w:b/>
          <w:noProof/>
          <w:sz w:val="24"/>
        </w:rPr>
        <w:t>strânse cu organizațiile internaționale</w:t>
      </w:r>
      <w:r>
        <w:rPr>
          <w:noProof/>
          <w:sz w:val="24"/>
        </w:rPr>
        <w:t xml:space="preserve">, precum Înaltul Comisariat al Națiunilor Unite pentru Refugiați (UNHCR), Organizația Internațională pentru Migrație (OIM) și alte organizații guvernamentale internaționale relevante, va fi esențială pentru a sprijini o abordare la nivelul întregii rute care să răspundă nevoilor specifice angajamentului internațional sporit al UE. Comisia urmărește să sprijine modalitățile inovatoare de promovare a unor spații sigure pentru protecția solicitanților de azil și a refugiaților mai aproape de țările lor de origine, să contribuie la prevenirea călătoriilor periculoase care conduc la pierderi de vieți omenești de-a lungul rutelor și să sprijine programele de returnare voluntară și de reintegrare din țările terțe în țările de origine. Abordarea la nivelul întregii rute ar putea include posibila înființare a unor </w:t>
      </w:r>
      <w:r>
        <w:rPr>
          <w:b/>
          <w:noProof/>
          <w:sz w:val="24"/>
        </w:rPr>
        <w:t>centre multifuncționale</w:t>
      </w:r>
      <w:r>
        <w:rPr>
          <w:noProof/>
          <w:sz w:val="24"/>
        </w:rPr>
        <w:t xml:space="preserve"> sau consolidarea celor existente (</w:t>
      </w:r>
      <w:r>
        <w:rPr>
          <w:rStyle w:val="FootnoteReference"/>
          <w:rFonts w:eastAsia="EC Square Sans Pro"/>
          <w:noProof/>
          <w:sz w:val="24"/>
          <w:szCs w:val="24"/>
        </w:rPr>
        <w:footnoteReference w:id="16"/>
      </w:r>
      <w:r>
        <w:rPr>
          <w:noProof/>
          <w:sz w:val="24"/>
        </w:rPr>
        <w:t xml:space="preserve">) de-a lungul principalelor rute de migrație, de comun acord cu țara terță în cauză și în cooperare cu organizațiile internaționale. </w:t>
      </w:r>
    </w:p>
    <w:p w14:paraId="62B207C7" w14:textId="6ED328E1" w:rsidR="00006378" w:rsidRPr="0099404E" w:rsidRDefault="00D4121E" w:rsidP="00AB7673">
      <w:pPr>
        <w:spacing w:line="240" w:lineRule="auto"/>
        <w:rPr>
          <w:rStyle w:val="MacroTextChar"/>
          <w:rFonts w:ascii="Times New Roman" w:eastAsia="EC Square Sans Pro" w:hAnsi="Times New Roman"/>
          <w:noProof/>
          <w:sz w:val="24"/>
          <w:szCs w:val="24"/>
        </w:rPr>
      </w:pPr>
      <w:r>
        <w:rPr>
          <w:noProof/>
          <w:sz w:val="24"/>
        </w:rPr>
        <w:t xml:space="preserve">Țările candidate și potențial candidate la aderarea la UE ar trebui să joace, de asemenea, un rol în gestionarea migrației. Instituirea unor sisteme eficiente de gestionare a azilului și a migrației și alinierea politicilor în materie de migrație, vize și gestionare a frontierelor la cele instituite de UE reprezintă o condiție prealabilă necesară pentru aderarea la Uniune. UE ar trebui, în special, să mențină o cooperare strânsă cu </w:t>
      </w:r>
      <w:r>
        <w:rPr>
          <w:b/>
          <w:noProof/>
          <w:sz w:val="24"/>
        </w:rPr>
        <w:t>partenerii implicați în procesul de aderare</w:t>
      </w:r>
      <w:r>
        <w:rPr>
          <w:noProof/>
          <w:sz w:val="24"/>
        </w:rPr>
        <w:t xml:space="preserve"> și să le ofere sprijin acestora, punând accentul pe consolidarea gestionării frontierelor, pe combaterea introducerii ilegale de migranți și a traficului de persoane, pe sprijinirea alinierii la acquis-ul UE privind politicile în materie de migrație, azil și vize și pe îmbunătățirea readmisiei și a returnărilor. Agenția Uniunii Europene pentru Azil (EUAA), Agenția Europeană pentru Poliția de Frontieră și Garda de Coastă (Frontex) și Europol vor continua să le ofere sprijin partenerilor și să coopereze cu aceștia. Planul de acțiune al UE privind Balcanii de Vest a contribuit deja la o scădere semnificativă a trecerilor ilegale ale frontierei de-a lungul rutei Balcanilor de Vest, iar cooperarea ar trebui să continue în acest cadru. </w:t>
      </w:r>
    </w:p>
    <w:p w14:paraId="36CEFCE0" w14:textId="7DCE9185" w:rsidR="00A7291D" w:rsidRPr="00B5212B" w:rsidRDefault="00A7291D" w:rsidP="00A7291D">
      <w:pPr>
        <w:spacing w:line="240" w:lineRule="auto"/>
        <w:rPr>
          <w:rFonts w:eastAsia="EC Square Sans Pro"/>
          <w:b/>
          <w:bCs/>
          <w:i/>
          <w:iCs/>
          <w:noProof/>
          <w:sz w:val="24"/>
          <w:szCs w:val="24"/>
        </w:rPr>
      </w:pPr>
      <w:r>
        <w:rPr>
          <w:b/>
          <w:i/>
          <w:noProof/>
          <w:sz w:val="24"/>
        </w:rPr>
        <w:t>Prevenirea călătoriilor periculoase și salvarea de vieți omenești</w:t>
      </w:r>
    </w:p>
    <w:p w14:paraId="7B27047F" w14:textId="09A8660A" w:rsidR="00E57A0E" w:rsidRDefault="3508BCB0" w:rsidP="3F0769EC">
      <w:pPr>
        <w:spacing w:line="240" w:lineRule="auto"/>
        <w:rPr>
          <w:rFonts w:eastAsia="EC Square Sans Pro"/>
          <w:noProof/>
          <w:sz w:val="24"/>
          <w:szCs w:val="24"/>
        </w:rPr>
      </w:pPr>
      <w:r>
        <w:rPr>
          <w:b/>
          <w:noProof/>
          <w:sz w:val="24"/>
        </w:rPr>
        <w:t>Introducerea ilegală de migranți</w:t>
      </w:r>
      <w:r>
        <w:rPr>
          <w:noProof/>
          <w:sz w:val="24"/>
        </w:rPr>
        <w:t xml:space="preserve"> este o infracțiune odioasă, adesea transnațională, care exploatează oamenii, punându-le în pericol viața și demnitatea, în beneficiul economic al rețelelor infracționale, sau care este utilizată de actori statali cu scopul de a submina securitatea Uniunii. Aceasta subminează sistemul nostru de gestionare a migrației și generează provocări în ceea ce privește protecția frontierelor noastre externe. Nu organizațiile infracționale, ci UE și statele sale membre trebuie să fie cele care decid cine intră în Uniune și în ce circumstanțe. </w:t>
      </w:r>
    </w:p>
    <w:p w14:paraId="28FA6958" w14:textId="35D43920" w:rsidR="00D57B5A" w:rsidRPr="00B5212B" w:rsidRDefault="00D57B5A" w:rsidP="3F0769EC">
      <w:pPr>
        <w:spacing w:line="240" w:lineRule="auto"/>
        <w:rPr>
          <w:rFonts w:eastAsia="Yu Gothic"/>
          <w:noProof/>
          <w:sz w:val="24"/>
          <w:szCs w:val="24"/>
        </w:rPr>
      </w:pPr>
      <w:r>
        <w:rPr>
          <w:noProof/>
          <w:sz w:val="24"/>
        </w:rPr>
        <w:t xml:space="preserve">Pentru a submina modelul de afaceri al persoanelor care introduc ilegal migranți și pentru a preveni plecările ilegale și pierderile de vieți omenești, UE trebuie să își continue eforturile de consolidare a capacităților partenerilor noștri de </w:t>
      </w:r>
      <w:r>
        <w:rPr>
          <w:b/>
          <w:noProof/>
          <w:sz w:val="24"/>
        </w:rPr>
        <w:t>control și gestionare a frontierelor la intrare și la ieșire</w:t>
      </w:r>
      <w:r>
        <w:rPr>
          <w:noProof/>
          <w:sz w:val="24"/>
        </w:rPr>
        <w:t xml:space="preserve">, precum și de mobilizare a capacității lor de căutare și salvare, de reducere la minimum a incidentelor și de protejare a persoanelor împotriva riscurilor grave. Cu cât intervenția de-a lungul rutei este mai rapidă, cu atât șansele de prevenire a incidentelor și a deceselor sunt mai mari. Inițiativele recente ale UE au contribuit la prevenirea cu mai mult succes a călătoriilor periculoase. </w:t>
      </w:r>
    </w:p>
    <w:p w14:paraId="0C8F2292" w14:textId="5CBD5DEF" w:rsidR="00DA5D54" w:rsidRPr="00B5212B" w:rsidRDefault="5F783381">
      <w:pPr>
        <w:spacing w:line="240" w:lineRule="auto"/>
        <w:rPr>
          <w:rFonts w:eastAsia="Yu Gothic"/>
          <w:noProof/>
          <w:sz w:val="24"/>
          <w:szCs w:val="24"/>
        </w:rPr>
      </w:pPr>
      <w:r>
        <w:rPr>
          <w:noProof/>
          <w:sz w:val="24"/>
        </w:rPr>
        <w:t xml:space="preserve">Pentru a oferi un răspuns eficient, UE trebuie să depună, de asemenea, eforturi în vederea consolidării cooperării internaționale, transformând </w:t>
      </w:r>
      <w:r>
        <w:rPr>
          <w:b/>
          <w:noProof/>
          <w:sz w:val="24"/>
        </w:rPr>
        <w:t>Alianța mondială pentru combaterea introducerii ilegale de migranți</w:t>
      </w:r>
      <w:r>
        <w:rPr>
          <w:noProof/>
          <w:sz w:val="24"/>
        </w:rPr>
        <w:t xml:space="preserve"> într-un cadru de cooperare solid, pe termen lung, care să reunească părțile interesate pentru a preveni introducerea ilegală de migranți, pentru a răspunde acestei provocări și pentru a crea alternative sigure la imigrația ilegală.</w:t>
      </w:r>
    </w:p>
    <w:p w14:paraId="7C1BEF35" w14:textId="4E14F1AF" w:rsidR="00887066" w:rsidRPr="00B5212B" w:rsidRDefault="5D939215" w:rsidP="33FF167A">
      <w:pPr>
        <w:spacing w:line="240" w:lineRule="auto"/>
        <w:rPr>
          <w:rFonts w:eastAsia="EC Square Sans Pro"/>
          <w:noProof/>
          <w:sz w:val="24"/>
          <w:szCs w:val="24"/>
        </w:rPr>
      </w:pPr>
      <w:bookmarkStart w:id="6" w:name="_Hlk220052384"/>
      <w:r>
        <w:rPr>
          <w:noProof/>
          <w:sz w:val="24"/>
        </w:rPr>
        <w:t xml:space="preserve">Pe baza rezultatelor obținute în primii doi ani de la înființare, cea de a 2-a Conferință internațională a Alianței mondiale pentru combaterea introducerii ilegale de migranți din 10 decembrie 2025 a pregătit terenul pentru instituirea unei </w:t>
      </w:r>
      <w:r>
        <w:rPr>
          <w:b/>
          <w:noProof/>
          <w:sz w:val="24"/>
        </w:rPr>
        <w:t>cooperări structurate</w:t>
      </w:r>
      <w:r>
        <w:rPr>
          <w:noProof/>
          <w:sz w:val="24"/>
        </w:rPr>
        <w:t xml:space="preserve"> corespunzătoare ambițiilor mai mari ale Uniunii. Partenerii care au aprobat declarația comună (</w:t>
      </w:r>
      <w:r>
        <w:rPr>
          <w:rStyle w:val="FootnoteReference"/>
          <w:rFonts w:eastAsia="Times"/>
          <w:noProof/>
          <w:sz w:val="24"/>
          <w:szCs w:val="24"/>
        </w:rPr>
        <w:footnoteReference w:id="17"/>
      </w:r>
      <w:r>
        <w:rPr>
          <w:noProof/>
          <w:sz w:val="24"/>
        </w:rPr>
        <w:t>) s-au angajat să respecte un set de principii, angajamente și responsabilități comune în scopul consolidării cooperării internaționale în ceea ce privește combaterea introducerii ilegale de migranți în mod colectiv și la nivel mondial, în cadrul unei abordări la nivelul întregii rute și în spiritul responsabilității comune. Reuniunile anuale ale înalților funcționari vor impulsiona acțiunile inițiate în vederea punerii în aplicare a priorităților și a promovării unei coerențe sporite și a unei planificări comune, în timp ce conferințele ministeriale vor asigura un angajament politic susținut. Acest lucru va intensifica coordonarea și va spori impactul diferitelor inițiative regionale și tematice (de exemplu, procesele de la Budapesta, Khartoum, Niamey, Praga și Rabat, Eurofront și El PAcCTO cu America Latină și zona Caraibilor), precum și al G7 și al activității desfășurate de UNODC și de Consiliul Europei, în vederea raționalizării în continuare a acțiunilor și a creării de sinergii.</w:t>
      </w:r>
    </w:p>
    <w:bookmarkEnd w:id="6"/>
    <w:p w14:paraId="60F61481" w14:textId="249C6BF2" w:rsidR="00EE4574" w:rsidRPr="00144A14" w:rsidRDefault="142ACB9E" w:rsidP="00AB7673">
      <w:pPr>
        <w:spacing w:line="240" w:lineRule="auto"/>
        <w:rPr>
          <w:rFonts w:eastAsia="Yu Gothic"/>
          <w:noProof/>
          <w:sz w:val="24"/>
          <w:szCs w:val="24"/>
        </w:rPr>
      </w:pPr>
      <w:r>
        <w:rPr>
          <w:noProof/>
          <w:sz w:val="24"/>
        </w:rPr>
        <w:t>Rețelele de introducere ilegală de migranți utilizează în mod abuziv platformele digitale, criptoactivele și alte tehnologii pentru a-și promova activitățile ilicite, pentru a-și alimenta operațiunile și pentru a ascunde câștigurile ilegale. Una dintre prioritățile Alianței mondiale va fi combaterea „</w:t>
      </w:r>
      <w:r>
        <w:rPr>
          <w:b/>
          <w:noProof/>
          <w:sz w:val="24"/>
        </w:rPr>
        <w:t>utilizării tehnologiilor digitale în scopul introducerii ilegale de migranți</w:t>
      </w:r>
      <w:r>
        <w:rPr>
          <w:noProof/>
          <w:sz w:val="24"/>
        </w:rPr>
        <w:t>”, intensificând colaborarea cu platformele digitale și cu furnizorii de tehnologie. În același timp, trebuie să utilizăm tehnologia în avantajul nostru, dotând autoritățile de aplicare a legii cu noi instrumente și tehnologii, inclusiv capacități analitice bazate pe IA, pentru a prelucra și a conecta seturi vaste de date și a le permite astfel să fie întotdeauna cu un pas înaintea persoanelor care introduc ilegal migranți. În acest scop, Europol, al cărui rol a fost recent consolidat prin Centrul său de combatere a introducerii ilegale de migranți (</w:t>
      </w:r>
      <w:r>
        <w:rPr>
          <w:rStyle w:val="FootnoteReference"/>
          <w:rFonts w:eastAsia="Yu Gothic"/>
          <w:noProof/>
          <w:sz w:val="24"/>
          <w:szCs w:val="24"/>
        </w:rPr>
        <w:footnoteReference w:id="18"/>
      </w:r>
      <w:r>
        <w:rPr>
          <w:noProof/>
          <w:sz w:val="24"/>
        </w:rPr>
        <w:t>), își va consolida activitatea operațională de combatere a acțiunilor online ale persoanelor care introduc ilegal migranți. De asemenea, Comisia își va aprofunda parteneriatul strategic cu Biroul Națiunilor Unite pentru Droguri și Criminalitate (UNODC) pentru a aborda dimensiunea online a introducerii ilegale de migranți și pentru a stopa fluxurile financiare ilicite printr-o abordare de „urmărire a banilor”. Acest lucru necesită utilizarea informațiilor financiare și schimbul securizat de informații în scopul identificării infractorilor la toate nivelurile. În plus, identificarea digitală de ultimă generație și serviciile de încredere pot facilita aplicarea de noi măsuri de combatere a fraudei și a furtului de identitate, precum și de sprijinire a digitalizării și a automatizării controalelor la frontieră.</w:t>
      </w:r>
    </w:p>
    <w:p w14:paraId="73174D06" w14:textId="127F5AE9" w:rsidR="00D045D8" w:rsidRPr="00B5212B" w:rsidRDefault="0C438317" w:rsidP="00AB7673">
      <w:pPr>
        <w:spacing w:line="240" w:lineRule="auto"/>
        <w:rPr>
          <w:noProof/>
          <w:sz w:val="24"/>
          <w:szCs w:val="24"/>
        </w:rPr>
      </w:pPr>
      <w:r>
        <w:rPr>
          <w:noProof/>
          <w:sz w:val="24"/>
        </w:rPr>
        <w:t xml:space="preserve">Utilizarea </w:t>
      </w:r>
      <w:r>
        <w:rPr>
          <w:b/>
          <w:noProof/>
          <w:sz w:val="24"/>
        </w:rPr>
        <w:t>mijloacelor comerciale de transport</w:t>
      </w:r>
      <w:r>
        <w:rPr>
          <w:noProof/>
          <w:sz w:val="24"/>
        </w:rPr>
        <w:t>, în principal pe cale aeriană, constituie în prezent un mod de operare consacrat al rețelelor de introducere ilegală de migranți, care aduc migranți în țări terțe apropiate de UE sau învecinate cu aceasta, de unde aceștia încearcă apoi să intre ilegal în UE. Pe baza rezultatelor pozitive obținute prin utilizarea unui set de instrumente (</w:t>
      </w:r>
      <w:r>
        <w:rPr>
          <w:rStyle w:val="FootnoteReference"/>
          <w:noProof/>
          <w:sz w:val="24"/>
          <w:szCs w:val="24"/>
        </w:rPr>
        <w:footnoteReference w:id="19"/>
      </w:r>
      <w:r>
        <w:rPr>
          <w:noProof/>
          <w:sz w:val="24"/>
        </w:rPr>
        <w:t>) care abordează aceste activități, UE va colabora cu principalele părți interesate în ceea ce privește acțiunile subsecvente documentului de lucru al Organizației Aviației Civile Internaționale (OACI) (</w:t>
      </w:r>
      <w:r>
        <w:rPr>
          <w:rStyle w:val="FootnoteReference"/>
          <w:noProof/>
          <w:sz w:val="24"/>
          <w:szCs w:val="24"/>
        </w:rPr>
        <w:footnoteReference w:id="20"/>
      </w:r>
      <w:r>
        <w:rPr>
          <w:noProof/>
          <w:sz w:val="24"/>
        </w:rPr>
        <w:t>), cu scopul de a elabora abordări comune și de a explora acțiuni comune care ar putea fi aprobate de principalele țări partenere și părți interesate din domeniul aviației, inclusiv în contextul OACI.</w:t>
      </w:r>
    </w:p>
    <w:p w14:paraId="49FA7902" w14:textId="0003C1D8" w:rsidR="00E57A0E" w:rsidRPr="00B5212B" w:rsidRDefault="7A4BE311" w:rsidP="00AB7673">
      <w:pPr>
        <w:spacing w:line="240" w:lineRule="auto"/>
        <w:rPr>
          <w:rFonts w:eastAsia="Yu Gothic"/>
          <w:noProof/>
          <w:sz w:val="24"/>
          <w:szCs w:val="24"/>
        </w:rPr>
      </w:pPr>
      <w:r>
        <w:rPr>
          <w:noProof/>
          <w:sz w:val="24"/>
        </w:rPr>
        <w:t xml:space="preserve">Ca parte a eforturilor de a dota țările aflate de-a lungul rutelor de migrație cu instrumentele necesare pentru gestionarea migrației și combaterea introducerii ilegale de migranți, UE va oferi sprijin partenerilor în îmbunătățirea capacităților necesare pentru </w:t>
      </w:r>
      <w:r>
        <w:rPr>
          <w:b/>
          <w:noProof/>
          <w:sz w:val="24"/>
        </w:rPr>
        <w:t>consolidarea răspunsului judiciar și al autorităților de aplicare a legii</w:t>
      </w:r>
      <w:r>
        <w:rPr>
          <w:noProof/>
          <w:sz w:val="24"/>
        </w:rPr>
        <w:t xml:space="preserve"> și va stabili canale solide de cooperare, inclusiv prin intermediul echipelor comune de anchetă. Aceste eforturi vor avea ca scop identificarea, anchetarea și urmărirea penală mai eficace a rețelelor de introducere ilegală de migranți. În cele din urmă, acest lucru ar trebui să conducă la un număr mai mare de urmăriri penale încheiate cu succes și de sancțiuni semnificative, făcând din introducerea ilegală de migranți o activitate infracțională mai riscantă, mai complexă și mai puțin profitabilă. UE ar trebui să se poată baza pe o rețea de parteneri implicați în combaterea introducerii ilegale de migranți de-a lungul rutelor, pentru a obține date și informații în timp real cu privire la fluxurile de migrație, ajutând țările aflate de-a lungul rutelor să fie pregătite pentru astfel de situații. Acționând în coordonare cu statele membre, Comisia va coopera cu Interpol, Europol, Eurojust, Frontex și cu principalele organizații internaționale, bazându-se, de asemenea, pe sprijinul Rețelei europene de ofițeri de legătură în materie de imigrație. </w:t>
      </w:r>
    </w:p>
    <w:p w14:paraId="78EA9B5F" w14:textId="6A57B1A3" w:rsidR="009377E7" w:rsidRPr="00B5212B" w:rsidRDefault="6EA0CD7C" w:rsidP="00AB7673">
      <w:pPr>
        <w:spacing w:line="240" w:lineRule="auto"/>
        <w:rPr>
          <w:rFonts w:eastAsia="Yu Gothic"/>
          <w:noProof/>
          <w:sz w:val="24"/>
          <w:szCs w:val="24"/>
        </w:rPr>
      </w:pPr>
      <w:r>
        <w:rPr>
          <w:noProof/>
          <w:sz w:val="24"/>
        </w:rPr>
        <w:t>O provocare majoră generată de introducerea ilegală de migranți este faptul că infractorii care organizează și desfășoară astfel de activități locuiesc adesea în afara UE și, prin urmare, se află în afara jurisdicției statelor membre. În paralel cu propunerea discutată de Parlamentul European și de Consiliu ce vizează consolidarea cadrului legislativ al UE privind prevenirea facilitării migrației ilegale (</w:t>
      </w:r>
      <w:r>
        <w:rPr>
          <w:rStyle w:val="FootnoteReference"/>
          <w:rFonts w:eastAsia="EC Square Sans Pro"/>
          <w:noProof/>
          <w:sz w:val="24"/>
          <w:szCs w:val="24"/>
        </w:rPr>
        <w:footnoteReference w:id="21"/>
      </w:r>
      <w:r>
        <w:rPr>
          <w:noProof/>
          <w:sz w:val="24"/>
        </w:rPr>
        <w:t xml:space="preserve">), UE lucrează la un </w:t>
      </w:r>
      <w:r>
        <w:rPr>
          <w:b/>
          <w:noProof/>
          <w:sz w:val="24"/>
        </w:rPr>
        <w:t>nou regim de sancțiuni</w:t>
      </w:r>
      <w:r>
        <w:rPr>
          <w:noProof/>
          <w:sz w:val="24"/>
        </w:rPr>
        <w:t xml:space="preserve"> împotriva persoanelor care introduc ilegal migranți și a traficanților de persoane, în special a infractorilor de mare importanță, cu scopul de a le îngheța activele, de a-i priva de profiturile obținute din infracțiuni și de a le restricționa capacitatea de a intra în UE, în deplină complementaritate cu măsurile de justiție penală. </w:t>
      </w:r>
    </w:p>
    <w:p w14:paraId="3852AB72" w14:textId="79FC6620" w:rsidR="00A7291D" w:rsidRPr="00D62DC7" w:rsidRDefault="006D7845" w:rsidP="00AB7673">
      <w:pPr>
        <w:spacing w:line="240" w:lineRule="auto"/>
        <w:rPr>
          <w:rFonts w:eastAsia="Yu Gothic"/>
          <w:noProof/>
          <w:sz w:val="24"/>
          <w:szCs w:val="24"/>
        </w:rPr>
      </w:pPr>
      <w:r>
        <w:rPr>
          <w:b/>
          <w:noProof/>
          <w:sz w:val="24"/>
        </w:rPr>
        <w:t>Parteneriatele strategice și cuprinzătoare</w:t>
      </w:r>
      <w:r>
        <w:rPr>
          <w:noProof/>
          <w:sz w:val="24"/>
        </w:rPr>
        <w:t xml:space="preserve"> încheiate de UE cu Egipt, Iordania și Tunisia și parteneriatul privind migrația încheiat cu Mauritania, precum și o colaborare sporită cu parteneri-cheie, inclusiv cu Liban, Maroc, Senegal și Turcia, au contribuit la o scădere semnificativă a numărului de treceri ilegale observate pe rutele est-mediteraneeană, central-mediteraneeană și atlantică (</w:t>
      </w:r>
      <w:r>
        <w:rPr>
          <w:rStyle w:val="FootnoteReference"/>
          <w:rFonts w:eastAsia="Yu Gothic"/>
          <w:noProof/>
          <w:sz w:val="24"/>
          <w:szCs w:val="24"/>
        </w:rPr>
        <w:footnoteReference w:id="22"/>
      </w:r>
      <w:r>
        <w:rPr>
          <w:noProof/>
          <w:sz w:val="24"/>
        </w:rPr>
        <w:t>). De asemenea, Comisia își extinde sprijinul acordat Libiei în ceea ce privește capacitatea de căutare și salvare și acțiunile legate de protecție, returnări umanitare și evacuări, în conformitate cu dreptul internațional și cu respectarea drepturilor omului. În cooperare cu toate părțile interesate relevante, Comisia va continua să colaboreze cu țările terțe în vederea consolidării eforturilor de căutare și salvare, a combaterii introducerii ilegale de migranți și a traficului de persoane, a protejării persoanele strămutate și a îmbunătățirii cooperării în materie de returnare și readmisie din UE și din alte țări terțe, asigurând respectarea deplină a drepturilor fundamentale și a obligațiilor internaționale.</w:t>
      </w:r>
    </w:p>
    <w:p w14:paraId="13BE41E8" w14:textId="1CBB96C4" w:rsidR="00D20F7A" w:rsidRPr="00D62DC7" w:rsidRDefault="27A98F76" w:rsidP="00F10FD2">
      <w:pPr>
        <w:spacing w:line="240" w:lineRule="auto"/>
        <w:rPr>
          <w:rFonts w:eastAsia="EC Square Sans Pro"/>
          <w:noProof/>
          <w:sz w:val="24"/>
          <w:szCs w:val="24"/>
        </w:rPr>
      </w:pPr>
      <w:r>
        <w:rPr>
          <w:noProof/>
          <w:sz w:val="24"/>
        </w:rPr>
        <w:t xml:space="preserve">Numărul tot mai mare de migranți introduși ilegal prin </w:t>
      </w:r>
      <w:r>
        <w:rPr>
          <w:b/>
          <w:noProof/>
          <w:sz w:val="24"/>
        </w:rPr>
        <w:t xml:space="preserve">Canalul Mânecii </w:t>
      </w:r>
      <w:r>
        <w:rPr>
          <w:noProof/>
          <w:sz w:val="24"/>
        </w:rPr>
        <w:t>din Franța către Regatul Unit necesită un răspuns solid pentru a combate migrația ilegală și criminalitatea organizată, făcând totodată tot posibilul pentru a preveni pierderea altor vieți omenești pe mare. În urma declarației comune a liderilor din cadrul summitului UE-Regatul Unit din mai 2025 și în contextul Alianței mondiale pentru combaterea introducerii ilegale de migranți, UE își intensifică cooperarea cu Regatul Unit. În acest context, proiectul-pilot convenit de Franța și Regatul Unit și sprijinit de Comisie este util pentru a descuraja aceste călătorii periculoase și pentru a aborda această situație dificilă la frontiera externă a UE.</w:t>
      </w:r>
    </w:p>
    <w:p w14:paraId="04CC0EB0" w14:textId="71D0C21B" w:rsidR="00A7291D" w:rsidRPr="00B5212B" w:rsidRDefault="00A7291D" w:rsidP="00A7291D">
      <w:pPr>
        <w:spacing w:line="240" w:lineRule="auto"/>
        <w:rPr>
          <w:b/>
          <w:bCs/>
          <w:i/>
          <w:iCs/>
          <w:noProof/>
          <w:sz w:val="24"/>
          <w:szCs w:val="24"/>
        </w:rPr>
      </w:pPr>
      <w:r>
        <w:rPr>
          <w:b/>
          <w:i/>
          <w:noProof/>
          <w:sz w:val="24"/>
        </w:rPr>
        <w:t xml:space="preserve">Sprijinirea țărilor partenere în consolidarea sistemelor lor de azil și de protecție  </w:t>
      </w:r>
    </w:p>
    <w:p w14:paraId="59DFA984" w14:textId="693204C5" w:rsidR="5E087AF9" w:rsidRPr="00EE067B" w:rsidRDefault="00341D07" w:rsidP="000759B8">
      <w:pPr>
        <w:spacing w:line="240" w:lineRule="auto"/>
        <w:rPr>
          <w:noProof/>
        </w:rPr>
      </w:pPr>
      <w:r>
        <w:rPr>
          <w:noProof/>
          <w:sz w:val="24"/>
        </w:rPr>
        <w:t xml:space="preserve">La sfârșitul lunii iunie 2025, peste 117 milioane de persoane din întreaga lume erau </w:t>
      </w:r>
      <w:r>
        <w:rPr>
          <w:b/>
          <w:noProof/>
          <w:sz w:val="24"/>
        </w:rPr>
        <w:t>strămutate forțat</w:t>
      </w:r>
      <w:r>
        <w:rPr>
          <w:noProof/>
          <w:sz w:val="24"/>
        </w:rPr>
        <w:t> (</w:t>
      </w:r>
      <w:r>
        <w:rPr>
          <w:rStyle w:val="FootnoteReference"/>
          <w:noProof/>
          <w:sz w:val="24"/>
          <w:szCs w:val="24"/>
        </w:rPr>
        <w:footnoteReference w:id="23"/>
      </w:r>
      <w:r>
        <w:rPr>
          <w:noProof/>
          <w:sz w:val="24"/>
        </w:rPr>
        <w:t xml:space="preserve">). Această cifră aproape s-a dublat în ultimii zece ani, reflectând aproape un deceniu de creșteri de la an la an. Două treimi dintre persoanele strămutate forțat locuiesc în zone învecinate țărilor lor de origine, fiind găzduite adesea în țări cu venituri mici și medii. Rămânerea în regiunea în care se acordă protecție efectivă aduce beneficii persoanelor strămutate și refugiaților, deoarece reduce riscurile călătoriilor periculoase și suferința umană aferentă și ajută statele să gestioneze provocările legate de migrație în conformitate cu obligațiile internaționale. </w:t>
      </w:r>
    </w:p>
    <w:p w14:paraId="6F4216A3" w14:textId="279F0FF8" w:rsidR="00EE067B" w:rsidRPr="00EE067B" w:rsidRDefault="00FD48E8" w:rsidP="000759B8">
      <w:pPr>
        <w:spacing w:line="240" w:lineRule="auto"/>
        <w:rPr>
          <w:noProof/>
          <w:sz w:val="24"/>
          <w:szCs w:val="24"/>
        </w:rPr>
      </w:pPr>
      <w:r>
        <w:rPr>
          <w:noProof/>
          <w:sz w:val="24"/>
        </w:rPr>
        <w:t>Pe baza rezultatelor obținute în cadrul instrumentului IVCDCI - Europa globală</w:t>
      </w:r>
      <w:r>
        <w:rPr>
          <w:i/>
          <w:noProof/>
          <w:sz w:val="24"/>
        </w:rPr>
        <w:t>, </w:t>
      </w:r>
      <w:r>
        <w:rPr>
          <w:noProof/>
          <w:sz w:val="24"/>
        </w:rPr>
        <w:t xml:space="preserve">Comisia va continua să sprijine programele de consolidare a sistemelor naționale de azil, a cadrelor de primire și protecție și a gestionării migrației în țările terțe. Se va acorda sprijin pentru reformele juridice și instituționale și pentru consolidarea capacităților în ceea ce privește sistemele de stabilire a statutului de refugiat, de înregistrare și de documentare în mai multe țări partenere. Această activitate va fi legată în continuare de dialogurile și parteneriatele regionale cu principalele țări de origine și de tranzit. În plus, Comisia va continua să ofere servicii de protecție și soluții durabile persoanelor strămutate forțat. </w:t>
      </w:r>
    </w:p>
    <w:p w14:paraId="27D14619" w14:textId="78CB19E2" w:rsidR="00FD024C" w:rsidRPr="00EE067B" w:rsidRDefault="00FD024C">
      <w:pPr>
        <w:spacing w:line="240" w:lineRule="auto"/>
        <w:rPr>
          <w:rFonts w:eastAsia="EC Square Sans Pro"/>
          <w:b/>
          <w:bCs/>
          <w:i/>
          <w:iCs/>
          <w:noProof/>
          <w:sz w:val="24"/>
          <w:szCs w:val="24"/>
        </w:rPr>
      </w:pPr>
      <w:r>
        <w:rPr>
          <w:b/>
          <w:i/>
          <w:noProof/>
          <w:sz w:val="24"/>
        </w:rPr>
        <w:t>Promovarea căilor de acces la protecție</w:t>
      </w:r>
    </w:p>
    <w:p w14:paraId="7444C346" w14:textId="12A50D86" w:rsidR="007626B4" w:rsidRDefault="004272FA">
      <w:pPr>
        <w:spacing w:line="240" w:lineRule="auto"/>
        <w:rPr>
          <w:noProof/>
          <w:sz w:val="24"/>
          <w:szCs w:val="24"/>
        </w:rPr>
      </w:pPr>
      <w:r>
        <w:rPr>
          <w:noProof/>
          <w:sz w:val="24"/>
        </w:rPr>
        <w:t xml:space="preserve">Crearea de căi legale pentru protejarea persoanelor care au nevoie de protecție este o dovadă concretă a faptului că UE își asumă responsabilitățile la nivel mondial. În același timp, căile legale servesc obiectivului de gestionare a sosirilor într-un mod ordonat și sigur, scoțând din ecuație persoanele care introduc ilegal migranți și călătoriile periculoase. Acestea reprezintă și un instrument strategic care poate consolida cooperarea UE cu țările partenere, ca parte a unei abordări holistice, cuprinzătoare și la nivelul întregii rute a gestionării migrației. Aceste căi contribuie la reducerea presiunii asupra partenerilor respectivi, promovând capacitatea de îmbunătățire a condițiilor lor de primire și de protecție internațională, și completează politicile noastre menite să prevină deplasările ulterioare periculoase din țările de origine. Prin urmare, acestea ar trebui să fie integrate în cadrul mai larg de cooperare cu țările partenere. Astfel, UE ar trebui să își intensifice ambițiile în ceea ce privește </w:t>
      </w:r>
      <w:r>
        <w:rPr>
          <w:b/>
          <w:noProof/>
          <w:sz w:val="24"/>
        </w:rPr>
        <w:t>relocarea și admisia umanitară</w:t>
      </w:r>
      <w:r>
        <w:rPr>
          <w:noProof/>
          <w:sz w:val="24"/>
        </w:rPr>
        <w:t>, ca parte integrantă a setului său de instrumente referitor la diplomația în domeniul migrației.</w:t>
      </w:r>
    </w:p>
    <w:p w14:paraId="217CBB61" w14:textId="6B3E68D3" w:rsidR="00A7291D" w:rsidRPr="00B5212B" w:rsidRDefault="00F0442D">
      <w:pPr>
        <w:spacing w:line="240" w:lineRule="auto"/>
        <w:rPr>
          <w:noProof/>
          <w:sz w:val="24"/>
          <w:szCs w:val="24"/>
        </w:rPr>
      </w:pPr>
      <w:r>
        <w:rPr>
          <w:noProof/>
          <w:sz w:val="24"/>
        </w:rPr>
        <w:t>Suprasolicitarea capacității sistemelor naționale de primire, precum și alți factori politici și financiari semnificativi au dus la o reducere a locurilor pe care statele membre ale UE le pot oferi pentru perioada 2026-2027 în planul de relocare și de admisie umanitară al Uniunii (</w:t>
      </w:r>
      <w:r>
        <w:rPr>
          <w:rStyle w:val="FootnoteReference"/>
          <w:noProof/>
          <w:sz w:val="24"/>
          <w:szCs w:val="24"/>
        </w:rPr>
        <w:footnoteReference w:id="24"/>
      </w:r>
      <w:r>
        <w:rPr>
          <w:noProof/>
          <w:sz w:val="24"/>
        </w:rPr>
        <w:t xml:space="preserve">). Cu toate acestea, o gestionare mai eficace a migrației prin punerea în aplicare a pactului ar trebui să creeze condițiile pentru </w:t>
      </w:r>
      <w:r>
        <w:rPr>
          <w:b/>
          <w:noProof/>
          <w:sz w:val="24"/>
        </w:rPr>
        <w:t>planuri mai ambițioase de relocare și de admisie umanitară</w:t>
      </w:r>
      <w:r>
        <w:rPr>
          <w:noProof/>
          <w:sz w:val="24"/>
        </w:rPr>
        <w:t xml:space="preserve"> în următorii ani.</w:t>
      </w:r>
    </w:p>
    <w:p w14:paraId="6B2FA86E" w14:textId="77777777" w:rsidR="00084445" w:rsidRPr="00B5212B" w:rsidRDefault="00084445" w:rsidP="00084445">
      <w:pPr>
        <w:spacing w:line="240" w:lineRule="auto"/>
        <w:rPr>
          <w:rFonts w:eastAsia="Aptos"/>
          <w:b/>
          <w:bCs/>
          <w:i/>
          <w:iCs/>
          <w:noProof/>
          <w:sz w:val="24"/>
          <w:szCs w:val="24"/>
          <w14:ligatures w14:val="standardContextual"/>
        </w:rPr>
      </w:pPr>
      <w:r>
        <w:rPr>
          <w:b/>
          <w:i/>
          <w:noProof/>
          <w:sz w:val="24"/>
        </w:rPr>
        <w:t>Sprijinirea returnărilor din țări terțe</w:t>
      </w:r>
    </w:p>
    <w:p w14:paraId="1E5D7388" w14:textId="4D95D29D" w:rsidR="00084445" w:rsidRPr="00B5212B" w:rsidRDefault="00F621B0">
      <w:pPr>
        <w:spacing w:line="240" w:lineRule="auto"/>
        <w:rPr>
          <w:rFonts w:eastAsia="EC Square Sans Pro"/>
          <w:noProof/>
          <w:sz w:val="24"/>
          <w:szCs w:val="24"/>
        </w:rPr>
      </w:pPr>
      <w:r>
        <w:rPr>
          <w:noProof/>
          <w:sz w:val="24"/>
        </w:rPr>
        <w:t xml:space="preserve">Începând din 2016, UE și-a sporit în mod semnificativ sprijinul pentru </w:t>
      </w:r>
      <w:r>
        <w:rPr>
          <w:b/>
          <w:noProof/>
          <w:sz w:val="24"/>
        </w:rPr>
        <w:t>returnările voluntare durabile din țările de tranzit</w:t>
      </w:r>
      <w:r>
        <w:rPr>
          <w:noProof/>
          <w:sz w:val="24"/>
        </w:rPr>
        <w:t xml:space="preserve"> către țările de origine ale migranților. Acest lucru a ajutat țările terțe să reducă presiunea asupra sistemelor lor și numărul de sosiri ilegale în UE, oferind, de asemenea, o oportunitate pentru migranții blocați fără nicio perspectivă de protecție și fără niciun mijloc de a se întoarce pe cont propriu, protejându-i de abuzurile persoanelor care introduc ilegal migranți. Finanțarea din instrumentul IVCDCI - Europa globală integrat în actualul cadru financiar multianual se ridică până în prezent (2021-2025) la peste 1 miliard EUR, sprijinind returnarea din țările terțe și reintegrarea și consolidând asumarea responsabilității de către țările terțe și capacitățile acestora de a gestiona reintegrarea prin mecanisme naționale de îndrumare, în Africa de Nord, în Africa Subsahariană, precum și în Asia. Unul dintre principalele programe de sprijinire a returnării și reintegrării resortisanților țărilor terțe este Programul de protecție, returnare și reintegrare a migranților (MPRR). Acesta contribuie la protecția migranților vulnerabili și blocați, inclusiv prin returnarea voluntară asistată din Africa de Nord și Sahel, precum și la reintegrarea durabilă a acestora în Africa Subsahariană. MPRR a sprijinit returnarea a peste 127 500 de persoane și reintegrarea a peste 106 600 în perioada decembrie 2022-noiembrie 2025. Prin actualul instrument IVCDCI - Europa globală, programul MPRR pentru Africa de Nord și Africa Subsahariană a primit până în prezent o finanțare de peste 650 de milioane EUR, din totalul de 1 miliard EUR alocat pentru returnare și reintegrare în cadrul IVCDCI - Europa globală în perioada 2021-2025 (</w:t>
      </w:r>
      <w:r>
        <w:rPr>
          <w:rStyle w:val="FootnoteReference"/>
          <w:rFonts w:eastAsia="EC Square Sans Pro"/>
          <w:noProof/>
          <w:sz w:val="24"/>
          <w:szCs w:val="24"/>
        </w:rPr>
        <w:footnoteReference w:id="25"/>
      </w:r>
      <w:r>
        <w:rPr>
          <w:noProof/>
          <w:sz w:val="24"/>
        </w:rPr>
        <w:t xml:space="preserve">). Sprijinirea returnărilor voluntare către Africa Subsahariană și alte țări-cheie de origine, precum și eforturile de dezvoltare a sistemelor naționale de reintegrare vor rămâne componente importante ale diplomației UE în domeniul migrației. </w:t>
      </w:r>
    </w:p>
    <w:p w14:paraId="2C6C942B" w14:textId="6B61A98F" w:rsidR="00F4749B" w:rsidRPr="00B5212B" w:rsidRDefault="00084445" w:rsidP="0370BACC">
      <w:pPr>
        <w:spacing w:line="240" w:lineRule="auto"/>
        <w:rPr>
          <w:rFonts w:eastAsia="EC Square Sans Pro"/>
          <w:noProof/>
          <w:sz w:val="24"/>
          <w:szCs w:val="24"/>
        </w:rPr>
      </w:pPr>
      <w:r>
        <w:rPr>
          <w:noProof/>
          <w:sz w:val="24"/>
        </w:rPr>
        <w:t xml:space="preserve">Comisia va </w:t>
      </w:r>
      <w:r>
        <w:rPr>
          <w:b/>
          <w:noProof/>
          <w:sz w:val="24"/>
        </w:rPr>
        <w:t>promova în continuare returnarea voluntară asistată și reintegrarea din țările terțe</w:t>
      </w:r>
      <w:r>
        <w:rPr>
          <w:noProof/>
          <w:sz w:val="24"/>
        </w:rPr>
        <w:t xml:space="preserve"> în contextul cooperării sale strategice cu acestea, lucrând în cooperare cu statele membre și cu țările terțe în cauză și cu sprijinul programului de reintegrare al UE condus de Frontex și al actorilor internaționali, cum ar fi OIM.</w:t>
      </w:r>
      <w:r>
        <w:rPr>
          <w:i/>
          <w:noProof/>
          <w:sz w:val="24"/>
        </w:rPr>
        <w:t xml:space="preserve"> </w:t>
      </w:r>
      <w:r>
        <w:rPr>
          <w:noProof/>
          <w:sz w:val="24"/>
        </w:rPr>
        <w:t>Acțiunile de consolidare a returnărilor voluntare din țările terțe sunt corelate cu eforturile de consolidare a returnării și a readmisiei resortisanților țărilor terțe aflați în situație de ședere ilegală în UE (a se vedea secțiunea 5).</w:t>
      </w:r>
    </w:p>
    <w:p w14:paraId="4D6591B7" w14:textId="068D5813" w:rsidR="00A7291D" w:rsidRPr="00B5212B" w:rsidRDefault="00A7291D" w:rsidP="00A7291D">
      <w:pPr>
        <w:pStyle w:val="Heading1"/>
        <w:spacing w:before="120"/>
        <w:rPr>
          <w:bCs/>
          <w:noProof/>
        </w:rPr>
      </w:pPr>
      <w:r>
        <w:rPr>
          <w:noProof/>
        </w:rPr>
        <w:t>Frontiere puternice ale UE pentru sporirea controlului și a securității</w:t>
      </w:r>
    </w:p>
    <w:p w14:paraId="32FDD1EF" w14:textId="55E91558" w:rsidR="00501CD6" w:rsidRPr="00B5212B" w:rsidRDefault="550862A0" w:rsidP="00A7291D">
      <w:pPr>
        <w:spacing w:line="240" w:lineRule="auto"/>
        <w:rPr>
          <w:noProof/>
          <w:sz w:val="24"/>
          <w:szCs w:val="24"/>
        </w:rPr>
      </w:pPr>
      <w:r>
        <w:rPr>
          <w:noProof/>
          <w:sz w:val="24"/>
        </w:rPr>
        <w:t xml:space="preserve">Menținerea </w:t>
      </w:r>
      <w:r>
        <w:rPr>
          <w:b/>
          <w:noProof/>
          <w:sz w:val="24"/>
        </w:rPr>
        <w:t>integrității frontierelor externe ale Uniunii și a spațiului Schengen</w:t>
      </w:r>
      <w:r>
        <w:rPr>
          <w:noProof/>
          <w:sz w:val="24"/>
        </w:rPr>
        <w:t xml:space="preserve"> ca un spațiu fără controale la frontierele interne este un element-cheie al unei abordări integrate și cuprinzătoare a gestionării migrației. </w:t>
      </w:r>
    </w:p>
    <w:p w14:paraId="4C93FD49" w14:textId="402D11F5" w:rsidR="00A7291D" w:rsidRPr="00B5212B" w:rsidRDefault="3204C119" w:rsidP="00A7291D">
      <w:pPr>
        <w:spacing w:line="240" w:lineRule="auto"/>
        <w:rPr>
          <w:noProof/>
          <w:sz w:val="24"/>
          <w:szCs w:val="24"/>
        </w:rPr>
      </w:pPr>
      <w:r>
        <w:rPr>
          <w:noProof/>
          <w:sz w:val="24"/>
        </w:rPr>
        <w:t xml:space="preserve">Pentru a realiza acest lucru, Uniunea trebuie să mențină frontiere externe puternice, care să poată garanta securitatea și ordinea, să asigure </w:t>
      </w:r>
      <w:r>
        <w:rPr>
          <w:b/>
          <w:noProof/>
          <w:sz w:val="24"/>
        </w:rPr>
        <w:t>un control eficace asupra intrărilor (</w:t>
      </w:r>
      <w:r>
        <w:rPr>
          <w:rStyle w:val="FootnoteReference"/>
          <w:b/>
          <w:bCs/>
          <w:noProof/>
          <w:sz w:val="24"/>
          <w:szCs w:val="24"/>
        </w:rPr>
        <w:footnoteReference w:id="26"/>
      </w:r>
      <w:r>
        <w:rPr>
          <w:b/>
          <w:noProof/>
          <w:sz w:val="24"/>
        </w:rPr>
        <w:t>) și șederilor</w:t>
      </w:r>
      <w:r>
        <w:rPr>
          <w:noProof/>
          <w:sz w:val="24"/>
        </w:rPr>
        <w:t xml:space="preserve"> legale în Uniune, prevenind în același timp intrările și șederile ilegale. Alături de un cadru juridic solid care să prevină abuzurile și deplasările secundare neautorizate în interiorul UE, astfel cum a fost introdus prin pact, protecția eficace a frontierelor externe ale UE ar trebui să îmbunătățească și situația la frontierele interne ale UE, să faciliteze buna funcționare a spațiului Schengen și să consolideze încrederea reciprocă între statele membre.</w:t>
      </w:r>
    </w:p>
    <w:p w14:paraId="1741D408" w14:textId="7FE2A18D" w:rsidR="00923497" w:rsidRPr="00B5212B" w:rsidRDefault="009050C9" w:rsidP="3F0769EC">
      <w:pPr>
        <w:spacing w:line="240" w:lineRule="auto"/>
        <w:rPr>
          <w:noProof/>
          <w:sz w:val="24"/>
          <w:szCs w:val="24"/>
        </w:rPr>
      </w:pPr>
      <w:r>
        <w:rPr>
          <w:noProof/>
          <w:sz w:val="24"/>
        </w:rPr>
        <w:t xml:space="preserve">În același timp, apar în mod constant noi provocări la frontiere, care afectează securitatea și integritatea teritorială a Uniunii și a statelor sale membre. Începând din 2021, amenințările hibride legate de </w:t>
      </w:r>
      <w:r>
        <w:rPr>
          <w:b/>
          <w:noProof/>
          <w:sz w:val="24"/>
        </w:rPr>
        <w:t>instrumentalizarea migranților și de utilizarea migrației ca armă</w:t>
      </w:r>
      <w:r>
        <w:rPr>
          <w:noProof/>
          <w:sz w:val="24"/>
        </w:rPr>
        <w:t xml:space="preserve"> de către Rusia și Belarus s-au intensificat și mai mult în contextul războiului de agresiune al Rusiei împotriva Ucrainei. Uniunea nu poate permite actorilor ostili să abuzeze de valorile și principiile sale, inclusiv de dreptul la azil, și să îi submineze democrațiile. Ca parte a răspunsului său, care include acțiuni diplomatice și legislative, în 2024, Comisia</w:t>
      </w:r>
      <w:r>
        <w:rPr>
          <w:noProof/>
        </w:rPr>
        <w:t xml:space="preserve"> </w:t>
      </w:r>
      <w:r>
        <w:rPr>
          <w:noProof/>
          <w:sz w:val="24"/>
        </w:rPr>
        <w:t>a publicat, în sprijinul statelor membre ale UE, o comunicare (</w:t>
      </w:r>
      <w:r>
        <w:rPr>
          <w:rStyle w:val="FootnoteReference"/>
          <w:noProof/>
          <w:sz w:val="24"/>
          <w:szCs w:val="24"/>
        </w:rPr>
        <w:footnoteReference w:id="27"/>
      </w:r>
      <w:r>
        <w:rPr>
          <w:noProof/>
          <w:sz w:val="24"/>
        </w:rPr>
        <w:t xml:space="preserve">) pentru contracararea amenințărilor hibride generate de utilizarea migrației ca armă și pentru consolidarea securității la frontierele externe ale UE și a oferit finanțare pentru consolidarea capacităților acestora de supraveghere a frontierelor. În următorii cinci ani, Uniunea trebuie să fie în continuare pe deplin pregătită să facă față provocărilor sau amenințărilor emergente. </w:t>
      </w:r>
    </w:p>
    <w:p w14:paraId="7DEA3DE6" w14:textId="60BB1B8B" w:rsidR="00F4141A" w:rsidRPr="00B5212B" w:rsidRDefault="000469A0" w:rsidP="00A7291D">
      <w:pPr>
        <w:spacing w:line="240" w:lineRule="auto"/>
        <w:rPr>
          <w:rFonts w:eastAsia="EC Square Sans Pro"/>
          <w:noProof/>
          <w:sz w:val="24"/>
          <w:szCs w:val="24"/>
        </w:rPr>
      </w:pPr>
      <w:r>
        <w:rPr>
          <w:noProof/>
          <w:sz w:val="24"/>
        </w:rPr>
        <w:t xml:space="preserve">Uniunea intenționează să dezvolte în continuare o </w:t>
      </w:r>
      <w:r>
        <w:rPr>
          <w:b/>
          <w:noProof/>
          <w:sz w:val="24"/>
        </w:rPr>
        <w:t>gestionare europeană integrată a frontierelor (GEIF)</w:t>
      </w:r>
      <w:r>
        <w:rPr>
          <w:noProof/>
          <w:sz w:val="24"/>
        </w:rPr>
        <w:t xml:space="preserve"> solidă și eficace, prezentând cea de a doua strategie GEIF în 2028, sprijinită de tehnologii și infrastructuri informatice de ultimă generație, având ca ramuri operaționale agențiile Frontex și eu-LISA. Revizuirea Regulamentului Frontex, planificată pentru 2026, va analiza modalitățile de consolidare în continuare a mandatului agenției în domeniul protecției frontierelor și de consolidare a corpului său permanent, permițându-i să își extindă prezența și să își consolideze sprijinul operațional acordat statelor membre și țărilor terțe.</w:t>
      </w:r>
    </w:p>
    <w:p w14:paraId="0664B72C" w14:textId="77777777" w:rsidR="00A7291D" w:rsidRPr="00B5212B" w:rsidRDefault="00A7291D" w:rsidP="00A7291D">
      <w:pPr>
        <w:spacing w:line="240" w:lineRule="auto"/>
        <w:rPr>
          <w:b/>
          <w:bCs/>
          <w:i/>
          <w:iCs/>
          <w:noProof/>
          <w:sz w:val="24"/>
          <w:szCs w:val="24"/>
        </w:rPr>
      </w:pPr>
      <w:r>
        <w:rPr>
          <w:b/>
          <w:i/>
          <w:noProof/>
          <w:sz w:val="24"/>
        </w:rPr>
        <w:t>Un control mai eficace al accesului pe teritoriul UE și în spațiul Schengen</w:t>
      </w:r>
    </w:p>
    <w:p w14:paraId="60D3D6B8" w14:textId="3772E377" w:rsidR="00A7291D" w:rsidRPr="00B5212B" w:rsidRDefault="550862A0" w:rsidP="00A7291D">
      <w:pPr>
        <w:spacing w:line="240" w:lineRule="auto"/>
        <w:rPr>
          <w:rFonts w:eastAsia="EC Square Sans Pro"/>
          <w:noProof/>
          <w:sz w:val="24"/>
          <w:szCs w:val="24"/>
        </w:rPr>
      </w:pPr>
      <w:r>
        <w:rPr>
          <w:noProof/>
          <w:sz w:val="24"/>
        </w:rPr>
        <w:t xml:space="preserve">Odată cu implementarea treptată a </w:t>
      </w:r>
      <w:r>
        <w:rPr>
          <w:b/>
          <w:noProof/>
          <w:sz w:val="24"/>
        </w:rPr>
        <w:t>sistemului de intrare/ieșire (EES)</w:t>
      </w:r>
      <w:r>
        <w:rPr>
          <w:noProof/>
          <w:sz w:val="24"/>
        </w:rPr>
        <w:t>, începută în octombrie 2025,</w:t>
      </w:r>
      <w:r>
        <w:rPr>
          <w:b/>
          <w:noProof/>
          <w:sz w:val="24"/>
        </w:rPr>
        <w:t xml:space="preserve"> </w:t>
      </w:r>
      <w:r>
        <w:rPr>
          <w:noProof/>
          <w:sz w:val="24"/>
        </w:rPr>
        <w:t>UE pune în funcțiune cel mai avansat sistem digital de gestionare a frontierelor la nivel mondial. EES transformă controlul la frontiere prin îmbunătățirea capacității de monitorizare a intrărilor și ieșirilor din UE, precum și a persoanelor care depășesc durata de ședere autorizată, și prin îmbunătățirea fluxului de informații între sisteme și autorități, asigurând un răspuns mai eficient și mai eficace la provocările în continuă evoluție în materie de migrație și securitate.</w:t>
      </w:r>
    </w:p>
    <w:p w14:paraId="39E1327A" w14:textId="776D7D63" w:rsidR="00A7291D" w:rsidRPr="00B5212B" w:rsidRDefault="550862A0" w:rsidP="00A7291D">
      <w:pPr>
        <w:spacing w:line="240" w:lineRule="auto"/>
        <w:rPr>
          <w:rFonts w:eastAsia="EC Square Sans Pro"/>
          <w:noProof/>
          <w:sz w:val="24"/>
          <w:szCs w:val="24"/>
        </w:rPr>
      </w:pPr>
      <w:r>
        <w:rPr>
          <w:noProof/>
          <w:sz w:val="24"/>
        </w:rPr>
        <w:t xml:space="preserve">Ca etapă următoare, Uniunea se axează pe lansarea noii baze de date privind gestionarea migrației (Eurodac) până la jumătatea anului 2026, precum și a Sistemului european de informații și de autorizare privind călătoriile (ETIAS) până la sfârșitul anului 2026. Implementarea deplină a </w:t>
      </w:r>
      <w:r>
        <w:rPr>
          <w:b/>
          <w:noProof/>
          <w:sz w:val="24"/>
        </w:rPr>
        <w:t>interoperabilității</w:t>
      </w:r>
      <w:r>
        <w:rPr>
          <w:noProof/>
          <w:sz w:val="24"/>
        </w:rPr>
        <w:t xml:space="preserve"> tuturor sistemelor, inclusiv a sistemului de informații privind vizele (VIS), este planificată pentru următorii ani.</w:t>
      </w:r>
    </w:p>
    <w:p w14:paraId="35B1B336" w14:textId="259DEE3A" w:rsidR="00BE71D2" w:rsidRPr="00B5212B" w:rsidRDefault="36286717" w:rsidP="00A7291D">
      <w:pPr>
        <w:spacing w:line="240" w:lineRule="auto"/>
        <w:rPr>
          <w:rFonts w:eastAsia="EC Square Sans Pro"/>
          <w:noProof/>
          <w:sz w:val="24"/>
          <w:szCs w:val="24"/>
        </w:rPr>
      </w:pPr>
      <w:r>
        <w:rPr>
          <w:b/>
          <w:noProof/>
          <w:sz w:val="24"/>
        </w:rPr>
        <w:t>eu-LISA</w:t>
      </w:r>
      <w:r>
        <w:rPr>
          <w:noProof/>
          <w:sz w:val="24"/>
        </w:rPr>
        <w:t>, Agenția UE pentru gestionarea sistemelor informatice la scară largă, va avea în continuare un rol esențial în realizarea acestei transformări digitale. Propunerea privind CFM prevede o creștere semnificativă a resurselor agenției pentru a-i oferi mijloacele necesare pentru dezvoltarea și punerea în funcțiune a tuturor componentelor sistemelor informatice la scară largă care intră în sfera sa de competență.</w:t>
      </w:r>
    </w:p>
    <w:p w14:paraId="0F5A3FCD" w14:textId="3591C37E" w:rsidR="00A7291D" w:rsidRPr="00B5212B" w:rsidRDefault="550862A0" w:rsidP="00A7291D">
      <w:pPr>
        <w:spacing w:line="240" w:lineRule="auto"/>
        <w:rPr>
          <w:rFonts w:eastAsia="EC Square Sans Pro"/>
          <w:noProof/>
          <w:sz w:val="24"/>
          <w:szCs w:val="24"/>
        </w:rPr>
      </w:pPr>
      <w:r>
        <w:rPr>
          <w:noProof/>
          <w:sz w:val="24"/>
        </w:rPr>
        <w:t xml:space="preserve">În plus, începând cu jumătatea anului 2026, statele membre vor iniția, ca parte a punerii în aplicare a pactului, </w:t>
      </w:r>
      <w:r>
        <w:rPr>
          <w:b/>
          <w:noProof/>
          <w:sz w:val="24"/>
        </w:rPr>
        <w:t>procedura de screening al resortisanților țărilor terțe care sosesc în UE fără a îndeplini condițiile de intrare</w:t>
      </w:r>
      <w:r>
        <w:rPr>
          <w:noProof/>
          <w:sz w:val="24"/>
        </w:rPr>
        <w:t xml:space="preserve"> în spațiul Schengen. Prin aceasta se va asigura faptul că persoanele care sosesc ilegal la frontierele externe ale UE sunt supuse unor controale de identitate, de securitate, de sănătate și de vulnerabilitate și vor fi direcționate către procedura adecvată. În acest sens, revizuirea majoră la jumătatea anului 2026 a </w:t>
      </w:r>
      <w:r>
        <w:rPr>
          <w:b/>
          <w:noProof/>
          <w:sz w:val="24"/>
        </w:rPr>
        <w:t>Eurodac</w:t>
      </w:r>
      <w:r>
        <w:rPr>
          <w:noProof/>
          <w:sz w:val="24"/>
        </w:rPr>
        <w:t xml:space="preserve">, baza centrală de date biometrice a UE, va pune la dispoziția autorităților un sistem informatic de gestionare a migrației pentru supravegherea, gestionarea și controlul într-o manieră cuprinzătoare și digitală a azilului și migrației în UE. </w:t>
      </w:r>
      <w:r>
        <w:rPr>
          <w:b/>
          <w:noProof/>
          <w:sz w:val="24"/>
        </w:rPr>
        <w:t>Noile proceduri obligatorii de azil și de returnare la frontieră</w:t>
      </w:r>
      <w:r>
        <w:rPr>
          <w:noProof/>
          <w:sz w:val="24"/>
        </w:rPr>
        <w:t xml:space="preserve"> vor îmbunătăți controlul asupra frontierelor noastre, consolidându-ne capacitatea de prevenire a intrărilor ilegale și sporind eficacitatea sistemelor noastre de azil și de returnare. Solicitanților care prezintă o probabilitate scăzută de a obține protecție în UE, care au fost identificați ca prezentând un risc pentru securitatea internă a UE sau care induc în eroare autoritățile nu li se va permite să intre în Uniune, aceștia fiind procesați rapid la frontieră. Respectarea drepturilor fundamentale, inclusiv a drepturilor copilului, în cursul procedurii de screening și al procedurii de azil la frontieră va fi monitorizată prin intermediul mecanismelor naționale de monitorizare independente.</w:t>
      </w:r>
    </w:p>
    <w:p w14:paraId="144E47E8" w14:textId="77777777" w:rsidR="00A7291D" w:rsidRDefault="00A7291D" w:rsidP="00A7291D">
      <w:pPr>
        <w:spacing w:line="240" w:lineRule="auto"/>
        <w:rPr>
          <w:rFonts w:eastAsia="EC Square Sans Pro"/>
          <w:b/>
          <w:bCs/>
          <w:i/>
          <w:iCs/>
          <w:noProof/>
          <w:sz w:val="24"/>
          <w:szCs w:val="24"/>
        </w:rPr>
      </w:pPr>
      <w:r>
        <w:rPr>
          <w:b/>
          <w:i/>
          <w:noProof/>
          <w:sz w:val="24"/>
        </w:rPr>
        <w:t>Utilizarea tehnologiei pentru gestionarea și protecția frontierelor Uniunii</w:t>
      </w:r>
    </w:p>
    <w:p w14:paraId="2A996B61" w14:textId="4B9813FF" w:rsidR="00A50C62" w:rsidRDefault="00E92851" w:rsidP="006803AE">
      <w:pPr>
        <w:spacing w:line="240" w:lineRule="auto"/>
        <w:rPr>
          <w:rFonts w:eastAsia="EC Square Sans Pro"/>
          <w:noProof/>
          <w:sz w:val="24"/>
          <w:szCs w:val="24"/>
        </w:rPr>
      </w:pPr>
      <w:r>
        <w:rPr>
          <w:noProof/>
          <w:sz w:val="24"/>
        </w:rPr>
        <w:t xml:space="preserve">În următorii cinci ani, Uniunea va continua să își consolideze </w:t>
      </w:r>
      <w:r>
        <w:rPr>
          <w:b/>
          <w:noProof/>
          <w:sz w:val="24"/>
        </w:rPr>
        <w:t>capacitățile bazate pe informații</w:t>
      </w:r>
      <w:r>
        <w:rPr>
          <w:noProof/>
          <w:sz w:val="24"/>
        </w:rPr>
        <w:t xml:space="preserve"> pentru a-și proteja frontierele externe și pentru a asigura o conștientizare cuprinzătoare a situației și o capacitate de reacție adecvată. În acest scop, EUROSUR asigură deja o supraveghere de ultimă generație și consolidează capacitatea Uniunii de monitorizare și de control al frontierelor externe comune ale spațiului Schengen prin schimbul aproape în timp real de informații referitoare la migrația ilegală și criminalitatea transfrontalieră. Vor fi esențiale îmbunătățiri suplimentare în ceea ce privește funcționarea EUROSUR, precum și utilizarea tehnologiilor moderne în supravegherea frontierelor, inclusiv utilizarea tactică a dronelor și a capacităților anti-drone. Comisia va evalua modul în care Frontex ar putea sprijini statele membre în achiziționarea unor astfel de echipamente și ar putea oferi formarea necesară. În plus, mediul comun pentru schimbul de informații (CISE), care asigură un schimb structurat și securizat de informații între autoritățile maritime din UE, va continua să joace un rol în creșterea gradului de conștientizare cu privire la activitățile maritime și în sprijinirea răspunsurilor la migrația ilegală.</w:t>
      </w:r>
    </w:p>
    <w:p w14:paraId="38E480E8" w14:textId="27CE805F" w:rsidR="00F714BE" w:rsidRDefault="560F8224" w:rsidP="00F714BE">
      <w:pPr>
        <w:spacing w:line="240" w:lineRule="auto"/>
        <w:rPr>
          <w:rFonts w:eastAsia="EC Square Sans Pro"/>
          <w:noProof/>
          <w:sz w:val="24"/>
          <w:szCs w:val="24"/>
        </w:rPr>
      </w:pPr>
      <w:r>
        <w:rPr>
          <w:noProof/>
          <w:sz w:val="24"/>
        </w:rPr>
        <w:t xml:space="preserve">Noile inițiative vor stimula și mai mult </w:t>
      </w:r>
      <w:r>
        <w:rPr>
          <w:b/>
          <w:noProof/>
          <w:sz w:val="24"/>
        </w:rPr>
        <w:t>digitalizarea gestionării frontierelor UE</w:t>
      </w:r>
      <w:r>
        <w:rPr>
          <w:noProof/>
          <w:sz w:val="24"/>
        </w:rPr>
        <w:t xml:space="preserve"> și vor facilita intrarea călătorilor de bună-credință. Digitalizarea procedurilor în materie de vize, convenită în iunie 2023 și care urmează să fie pusă în aplicare până în 2030, va facilita depunerea de către călători a cererilor de viză Schengen și prelucrarea mai rapidă a cererilor de către autoritățile naționale. În același timp, propunerea privind digitalizarea documentelor de călătorie (</w:t>
      </w:r>
      <w:r>
        <w:rPr>
          <w:rStyle w:val="FootnoteReference"/>
          <w:rFonts w:eastAsia="EC Square Sans Pro"/>
          <w:noProof/>
          <w:sz w:val="24"/>
          <w:szCs w:val="24"/>
        </w:rPr>
        <w:footnoteReference w:id="28"/>
      </w:r>
      <w:r>
        <w:rPr>
          <w:noProof/>
          <w:sz w:val="24"/>
        </w:rPr>
        <w:t>), odată adoptată de către Parlamentul European și de către Consiliu, inclusiv prin valorificarea portofelului UE pentru identitatea digitală, va confirma o dată în plus poziția de lider mondial a UE în ceea ce privește gestionarea sigură, eficientă și favorabilă călătorilor a frontierelor. Comisia va propune, de asemenea, norme actualizate ale UE privind modelul uniform de permis de ședere pentru resortisanții țărilor terțe, în vederea abordării lacunelor în materie de securitate și a altor provocări (</w:t>
      </w:r>
      <w:r>
        <w:rPr>
          <w:rStyle w:val="FootnoteReference"/>
          <w:rFonts w:eastAsia="EC Square Sans Pro"/>
          <w:noProof/>
          <w:sz w:val="24"/>
          <w:szCs w:val="24"/>
        </w:rPr>
        <w:footnoteReference w:id="29"/>
      </w:r>
      <w:r>
        <w:rPr>
          <w:noProof/>
          <w:sz w:val="24"/>
        </w:rPr>
        <w:t>).</w:t>
      </w:r>
    </w:p>
    <w:p w14:paraId="6D5DE642" w14:textId="2BC9EAE0" w:rsidR="00DE7D76" w:rsidRPr="004B6690" w:rsidRDefault="479F80F5" w:rsidP="00DE7D76">
      <w:pPr>
        <w:spacing w:line="240" w:lineRule="auto"/>
        <w:rPr>
          <w:rFonts w:eastAsia="EC Square Sans Pro"/>
          <w:noProof/>
          <w:sz w:val="24"/>
          <w:szCs w:val="24"/>
        </w:rPr>
      </w:pPr>
      <w:r>
        <w:rPr>
          <w:noProof/>
          <w:sz w:val="24"/>
        </w:rPr>
        <w:t xml:space="preserve">Ar trebui să se acorde prioritate implementării </w:t>
      </w:r>
      <w:r>
        <w:rPr>
          <w:b/>
          <w:noProof/>
          <w:sz w:val="24"/>
        </w:rPr>
        <w:t>noilor tehnologii</w:t>
      </w:r>
      <w:r>
        <w:rPr>
          <w:noProof/>
          <w:sz w:val="24"/>
        </w:rPr>
        <w:t xml:space="preserve">, inclusiv a instrumentelor de inteligență artificială (IA) de încredere și centrate pe factorul uman, atât la nivelul Uniunii, cât și la nivel național, cu scopul de a anticipa evoluțiile și de a consolida gradul de pregătire și reziliența frontierelor externe ale UE. Acestea includ modele care contribuie la identificarea activelor sau a navelor care prezintă nereguli ce impun verificări sau investigații suplimentare (cum ar fi cele legate de pericole sau de activități ilegale). Acestea vor contribui la sprijinirea activităților de combatere a introducerii ilegale de migranți sau a operațiunilor de căutare și salvare; la îmbunătățirea recunoașterii obiectelor precum vehiculele sau navele; la analiza rapidă a unor seturi mari de date eterogene și la utilizarea recunoașterii biometrice pentru controale sigure și fiabile și pentru facilitarea călătoriilor, precum și pentru combaterea furtului de identitate. </w:t>
      </w:r>
      <w:bookmarkStart w:id="7" w:name="_Hlk219718878"/>
      <w:r>
        <w:rPr>
          <w:noProof/>
          <w:sz w:val="24"/>
        </w:rPr>
        <w:t>Multe dintre aceste instrumente sunt în curs de dezvoltare și vor continua să fie dezvoltate cu sprijinul programelor de cercetare și dezvoltare ale Comisiei </w:t>
      </w:r>
      <w:bookmarkEnd w:id="7"/>
      <w:r>
        <w:rPr>
          <w:noProof/>
          <w:sz w:val="24"/>
        </w:rPr>
        <w:t>(</w:t>
      </w:r>
      <w:r>
        <w:rPr>
          <w:rStyle w:val="FootnoteReference"/>
          <w:rFonts w:eastAsia="EC Square Sans Pro"/>
          <w:noProof/>
          <w:sz w:val="24"/>
          <w:szCs w:val="24"/>
        </w:rPr>
        <w:footnoteReference w:id="30"/>
      </w:r>
      <w:r>
        <w:rPr>
          <w:noProof/>
          <w:sz w:val="24"/>
        </w:rPr>
        <w:t xml:space="preserve">), fiind depuse eforturi pentru dezvoltarea acestora folosind soluții europene. </w:t>
      </w:r>
    </w:p>
    <w:p w14:paraId="071F44E1" w14:textId="601FB265" w:rsidR="0064789A" w:rsidRDefault="359B00CE" w:rsidP="00DE7D76">
      <w:pPr>
        <w:spacing w:line="240" w:lineRule="auto"/>
        <w:rPr>
          <w:rFonts w:eastAsia="EC Square Sans Pro"/>
          <w:noProof/>
          <w:sz w:val="24"/>
          <w:szCs w:val="24"/>
        </w:rPr>
      </w:pPr>
      <w:r>
        <w:rPr>
          <w:noProof/>
          <w:sz w:val="24"/>
        </w:rPr>
        <w:t xml:space="preserve">Comisia va </w:t>
      </w:r>
      <w:r>
        <w:rPr>
          <w:b/>
          <w:noProof/>
          <w:sz w:val="24"/>
        </w:rPr>
        <w:t>utiliza IA</w:t>
      </w:r>
      <w:r>
        <w:rPr>
          <w:noProof/>
          <w:sz w:val="24"/>
        </w:rPr>
        <w:t xml:space="preserve"> pentru analiza datelor și identificarea tendințelor la frontierele externe, ajutând autoritățile să facă schimb de informații prin intermediul unor instrumente mai avansate, să anticipeze evoluțiile și riscurile și să răspundă la acestea, în conformitate cu Regulamentul UE privind IA (</w:t>
      </w:r>
      <w:r>
        <w:rPr>
          <w:rStyle w:val="FootnoteReference"/>
          <w:rFonts w:eastAsia="EC Square Sans Pro"/>
          <w:noProof/>
          <w:sz w:val="24"/>
          <w:szCs w:val="24"/>
        </w:rPr>
        <w:footnoteReference w:id="31"/>
      </w:r>
      <w:r>
        <w:rPr>
          <w:noProof/>
          <w:sz w:val="24"/>
        </w:rPr>
        <w:t>). Împreună cu Frontex, eu-LISA și statele membre, Comisia va dezvolta, va testa și, după caz, va sprijini implementarea instrumentelor bazate pe IA pentru analiza riscurilor, conștientizarea situației și gestionarea identității la frontierele externe. În cadrul componentei de cercetare și inovare a GEIF prevăzute în Regulamentul Frontex (</w:t>
      </w:r>
      <w:r>
        <w:rPr>
          <w:rStyle w:val="FootnoteReference"/>
          <w:rFonts w:eastAsia="EC Square Sans Pro"/>
          <w:noProof/>
          <w:sz w:val="24"/>
          <w:szCs w:val="24"/>
        </w:rPr>
        <w:footnoteReference w:id="32"/>
      </w:r>
      <w:r>
        <w:rPr>
          <w:noProof/>
          <w:sz w:val="24"/>
        </w:rPr>
        <w:t>), Frontex își va exercita atribuțiile de cercetare și inovare pentru a planifica și a pune în aplicare proiecte-pilot, pentru a testa și a valida soluții tehnologice în contexte operaționale și pentru a partaja rezultatele, orientările și formarea aferentă cu autoritățile naționale. De asemenea, UE va dezvolta o capacitate europeană independentă pentru sistemele de recunoaștere automată a identității, în scopul gestionării migrației și a frontierelor, pe baza sistemelor informatice la scară largă existente în acest domeniu. Orice componente de IA ale acestor sisteme vor fi dezvoltate și implementate în conformitate cu normele relevante ale UE, urmărind în același timp o reducere a dependențelor strategice de furnizorii din afara UE.</w:t>
      </w:r>
    </w:p>
    <w:p w14:paraId="426A70BF" w14:textId="61C7CC16" w:rsidR="00177835" w:rsidRPr="003A5268" w:rsidRDefault="00B80D9F" w:rsidP="00177835">
      <w:pPr>
        <w:pStyle w:val="Heading1"/>
        <w:spacing w:before="120"/>
        <w:rPr>
          <w:noProof/>
        </w:rPr>
      </w:pPr>
      <w:r>
        <w:rPr>
          <w:noProof/>
        </w:rPr>
        <w:t xml:space="preserve">Un sistem de azil și migrație ferm, echitabil și adaptabil </w:t>
      </w:r>
    </w:p>
    <w:p w14:paraId="07EEE8E2" w14:textId="74FB4E06" w:rsidR="00F036DA" w:rsidRDefault="2F93C660" w:rsidP="3F0769EC">
      <w:pPr>
        <w:spacing w:line="240" w:lineRule="auto"/>
        <w:rPr>
          <w:noProof/>
          <w:sz w:val="24"/>
          <w:szCs w:val="24"/>
        </w:rPr>
      </w:pPr>
      <w:r>
        <w:rPr>
          <w:b/>
          <w:noProof/>
          <w:sz w:val="24"/>
        </w:rPr>
        <w:t>Pactul privind migrația și azilul</w:t>
      </w:r>
      <w:r>
        <w:rPr>
          <w:noProof/>
          <w:sz w:val="24"/>
        </w:rPr>
        <w:t xml:space="preserve"> este o reformă esențială care stabilește un temei juridic solid pentru o modalitate echitabilă și mai eficientă de gestionare a migrației. Acesta introduce o abordare cuprinzătoare care vizează consolidarea politicii UE în materie de azil, migrație și gestionare a frontierelor. Pactul instituie proceduri rapide și eficiente în materie de azil, cu garanții solide pentru solicitanți, și îmbunătățește procesele în interiorul Uniunii și la frontierele sale externe. Prin intermediul pactului, UE instituie un sistem eficace de solidaritate și responsabilitate pentru gestionarea în mod colectiv a migrației, în care niciun stat membru care se confruntă cu presiuni nu este nevoit să le facă față singur. Un sistem echitabil și bine gestionat, care oferă garanții împotriva abuzurilor, protejează copiii, persoanele vulnerabile și drepturile fundamentale ale persoanelor și permite Uniunii să depășească provocările din domeniul migrației și azilului. </w:t>
      </w:r>
    </w:p>
    <w:p w14:paraId="1D406563" w14:textId="44DEB472" w:rsidR="007B0950" w:rsidRPr="00B5212B" w:rsidRDefault="203C3CE8" w:rsidP="3F0769EC">
      <w:pPr>
        <w:spacing w:line="240" w:lineRule="auto"/>
        <w:rPr>
          <w:noProof/>
          <w:sz w:val="24"/>
          <w:szCs w:val="24"/>
        </w:rPr>
      </w:pPr>
      <w:r>
        <w:rPr>
          <w:noProof/>
          <w:sz w:val="24"/>
        </w:rPr>
        <w:t xml:space="preserve">Prin urmare, în următorii cinci ani este necesar să se pună în continuare accentul pe </w:t>
      </w:r>
      <w:r>
        <w:rPr>
          <w:b/>
          <w:noProof/>
          <w:sz w:val="24"/>
        </w:rPr>
        <w:t>punerea în aplicare și operaționalizarea</w:t>
      </w:r>
      <w:r>
        <w:rPr>
          <w:noProof/>
          <w:sz w:val="24"/>
        </w:rPr>
        <w:t xml:space="preserve"> pactului. Punerea în aplicare a pactului în statele membre este în plină desfășurare și, având în vedere amploarea reformelor, anii următori vor fi esențiali pentru consolidarea noilor sisteme de gestionare a azilului și </w:t>
      </w:r>
      <w:r w:rsidR="006A690B">
        <w:rPr>
          <w:noProof/>
          <w:sz w:val="24"/>
        </w:rPr>
        <w:t xml:space="preserve">a </w:t>
      </w:r>
      <w:r>
        <w:rPr>
          <w:noProof/>
          <w:sz w:val="24"/>
        </w:rPr>
        <w:t xml:space="preserve">migrației în întreaga Uniune, ținând seama, de asemenea, de jurisprudența Curții de Justiție a Uniunii Europene și a Curții Europene a Drepturilor Omului. Pactul constituie, de asemenea, </w:t>
      </w:r>
      <w:r>
        <w:rPr>
          <w:b/>
          <w:noProof/>
          <w:sz w:val="24"/>
        </w:rPr>
        <w:t>baza necesară pe care putem continua să construim</w:t>
      </w:r>
      <w:r>
        <w:rPr>
          <w:noProof/>
          <w:sz w:val="24"/>
        </w:rPr>
        <w:t xml:space="preserve">. Comisia va explora măsuri de introducere a unor aspecte inovatoare, de consolidare a coordonării operaționale și de valorificare deplină a oportunităților oferite de noul cadru juridic pentru a spori eficiența și sustenabilitatea procedurilor de azil. Această activitate se va baza pe necesitatea ca politicile Uniunii să rămână flexibile și adaptabile și să anticipeze domeniile în care sunt necesare îmbunătățiri și inițiative complementare. </w:t>
      </w:r>
    </w:p>
    <w:p w14:paraId="343B6E7F" w14:textId="2A0DB3E6" w:rsidR="00D44E7A" w:rsidRDefault="16FC8069" w:rsidP="00201A5F">
      <w:pPr>
        <w:spacing w:line="240" w:lineRule="auto"/>
        <w:rPr>
          <w:noProof/>
          <w:sz w:val="24"/>
          <w:szCs w:val="24"/>
        </w:rPr>
      </w:pPr>
      <w:r>
        <w:rPr>
          <w:noProof/>
          <w:sz w:val="24"/>
        </w:rPr>
        <w:t xml:space="preserve">Vor fi necesare o </w:t>
      </w:r>
      <w:r>
        <w:rPr>
          <w:b/>
          <w:noProof/>
          <w:sz w:val="24"/>
        </w:rPr>
        <w:t>abordare la nivelul întregii administrații</w:t>
      </w:r>
      <w:r>
        <w:rPr>
          <w:noProof/>
          <w:sz w:val="24"/>
        </w:rPr>
        <w:t xml:space="preserve"> și un efort coordonat între diferitele departamente și agenții guvernamentale, atât la nivelul Uniunii, cât și la nivelul statelor membre. Acest lucru ar trebui să asigure colaborarea între agenții, promovând politici care se sprijină reciproc și punerea în aplicare coerentă a acestora în toate sectoarele și la toate nivelurile de guvernare, inclusiv la nivel regional și local. </w:t>
      </w:r>
    </w:p>
    <w:p w14:paraId="0A5D66DC" w14:textId="21BEDEF1" w:rsidR="00DC4B8F" w:rsidRDefault="00A57F8B" w:rsidP="00201A5F">
      <w:pPr>
        <w:spacing w:line="240" w:lineRule="auto"/>
        <w:rPr>
          <w:noProof/>
          <w:sz w:val="24"/>
          <w:szCs w:val="24"/>
        </w:rPr>
      </w:pPr>
      <w:r>
        <w:rPr>
          <w:b/>
          <w:noProof/>
          <w:sz w:val="24"/>
        </w:rPr>
        <w:t xml:space="preserve">Sistemul judiciar </w:t>
      </w:r>
      <w:r>
        <w:rPr>
          <w:noProof/>
          <w:sz w:val="24"/>
        </w:rPr>
        <w:t xml:space="preserve">trebuie să dispună de resurse și de formare adecvate în ceea ce privește reformele pentru o bună funcționare a sistemului global de migrație și azil. Coordonarea fără sincope între prelucrarea administrativă a cererilor de azil și sistemul judiciar va fi deosebit de importantă. Prin integrarea corespunzătoare a structurilor administrative, a sistemelor de supraveghere judiciară și a canalelor de comunicare, entitățile administrative și judiciare pot accelera procesele și pot reduce la minimum blocajele. </w:t>
      </w:r>
    </w:p>
    <w:p w14:paraId="0E1CECFB" w14:textId="06E7FBFB" w:rsidR="00763ED9" w:rsidRDefault="00763ED9" w:rsidP="00763ED9">
      <w:pPr>
        <w:spacing w:line="240" w:lineRule="auto"/>
        <w:rPr>
          <w:noProof/>
          <w:sz w:val="24"/>
          <w:szCs w:val="24"/>
        </w:rPr>
      </w:pPr>
      <w:r>
        <w:rPr>
          <w:b/>
          <w:noProof/>
          <w:sz w:val="24"/>
        </w:rPr>
        <w:t>Pregătirea și planificarea pentru situații neprevăzute</w:t>
      </w:r>
      <w:r>
        <w:rPr>
          <w:noProof/>
          <w:sz w:val="24"/>
        </w:rPr>
        <w:t xml:space="preserve"> sunt esențiale pentru gestionarea mai eficace a migrației printr-o mai bună anticipare a situațiilor emergente. Comisia și-a consolidat capacitatea de a elabora previziuni și scenarii privind viitoarele sosiri și cereri de protecție internațională și dezvoltă o capacitate de analiză prospectivă care poate sprijini deciziile operaționale și de politică, precum și pregătirea, planificarea pentru situații neprevăzute și reziliența statelor membre (</w:t>
      </w:r>
      <w:r>
        <w:rPr>
          <w:rStyle w:val="FootnoteReference"/>
          <w:noProof/>
          <w:sz w:val="24"/>
          <w:szCs w:val="24"/>
        </w:rPr>
        <w:footnoteReference w:id="33"/>
      </w:r>
      <w:r>
        <w:rPr>
          <w:noProof/>
          <w:sz w:val="24"/>
        </w:rPr>
        <w:t xml:space="preserve">). </w:t>
      </w:r>
    </w:p>
    <w:p w14:paraId="692C1B7F" w14:textId="5A91376C" w:rsidR="00CB47EE" w:rsidRPr="00B5212B" w:rsidRDefault="04B53961" w:rsidP="00CB47EE">
      <w:pPr>
        <w:spacing w:line="240" w:lineRule="auto"/>
        <w:rPr>
          <w:noProof/>
          <w:sz w:val="24"/>
          <w:szCs w:val="24"/>
        </w:rPr>
      </w:pPr>
      <w:r>
        <w:rPr>
          <w:noProof/>
          <w:sz w:val="24"/>
        </w:rPr>
        <w:t xml:space="preserve">Un sistem modern de azil ar trebui să se sprijine, de asemenea, pe </w:t>
      </w:r>
      <w:r>
        <w:rPr>
          <w:b/>
          <w:noProof/>
          <w:sz w:val="24"/>
        </w:rPr>
        <w:t>evoluțiile tehnologice</w:t>
      </w:r>
      <w:r>
        <w:rPr>
          <w:noProof/>
          <w:sz w:val="24"/>
        </w:rPr>
        <w:t xml:space="preserve">. Până la sfârșitul perioadei de cinci ani a prezentei strategii, statele membre ar trebui să poată desfășura procedurile de azil utilizând sisteme digitalizate de gestionare a cazurilor, iar noile instrumente de IA ar trebui să poată oferi sprijinul necesar pentru accelerarea procedurilor, în conformitate cu cerințele Regulamentului UE privind IA. </w:t>
      </w:r>
    </w:p>
    <w:p w14:paraId="4272094F" w14:textId="7DE3AEF6" w:rsidR="00177835" w:rsidRPr="00B5212B" w:rsidRDefault="00B750EA" w:rsidP="00177835">
      <w:pPr>
        <w:spacing w:line="240" w:lineRule="auto"/>
        <w:rPr>
          <w:b/>
          <w:bCs/>
          <w:i/>
          <w:iCs/>
          <w:noProof/>
          <w:sz w:val="24"/>
          <w:szCs w:val="24"/>
        </w:rPr>
      </w:pPr>
      <w:r>
        <w:rPr>
          <w:b/>
          <w:i/>
          <w:noProof/>
          <w:sz w:val="24"/>
        </w:rPr>
        <w:t>Punerea în aplicare a pactului și asigurarea faptului că normele sunt adecvate scopului</w:t>
      </w:r>
    </w:p>
    <w:p w14:paraId="51A7CDCB" w14:textId="38442F58" w:rsidR="00AE2AD7" w:rsidRDefault="09E5AC99" w:rsidP="00177835">
      <w:pPr>
        <w:spacing w:line="240" w:lineRule="auto"/>
        <w:rPr>
          <w:noProof/>
          <w:sz w:val="24"/>
          <w:szCs w:val="24"/>
        </w:rPr>
      </w:pPr>
      <w:r>
        <w:rPr>
          <w:b/>
          <w:noProof/>
          <w:sz w:val="24"/>
        </w:rPr>
        <w:t>Punerea în aplicare a pactului</w:t>
      </w:r>
      <w:r>
        <w:rPr>
          <w:noProof/>
          <w:sz w:val="24"/>
        </w:rPr>
        <w:t xml:space="preserve"> este un proces complex, care implică mai mulți actori, pentru a transpune setul amplu de acte legislative în realitate operațională.</w:t>
      </w:r>
      <w:r>
        <w:rPr>
          <w:noProof/>
          <w:color w:val="000000" w:themeColor="text1"/>
          <w:sz w:val="24"/>
        </w:rPr>
        <w:t xml:space="preserve"> Aceasta va rămâne o prioritate strategică în următorii cinci ani. Acest proces implică abordarea oricăror adaptări legislative suplimentare, alocarea de resurse pentru </w:t>
      </w:r>
      <w:r>
        <w:rPr>
          <w:noProof/>
          <w:sz w:val="24"/>
        </w:rPr>
        <w:t>reformele necesare și asigurarea operaționalizării practice depline pe teren a tuturor celor zece elemente constitutive prezentate în planul comun de punere în</w:t>
      </w:r>
      <w:r>
        <w:rPr>
          <w:noProof/>
          <w:color w:val="000000" w:themeColor="text1"/>
          <w:sz w:val="24"/>
        </w:rPr>
        <w:t xml:space="preserve"> aplicare (</w:t>
      </w:r>
      <w:r>
        <w:rPr>
          <w:rStyle w:val="FootnoteReference"/>
          <w:rFonts w:eastAsia="Aptos"/>
          <w:noProof/>
          <w:color w:val="000000" w:themeColor="text1"/>
          <w:sz w:val="24"/>
          <w:szCs w:val="24"/>
          <w:lang w:eastAsia="en-US"/>
        </w:rPr>
        <w:footnoteReference w:id="34"/>
      </w:r>
      <w:r>
        <w:rPr>
          <w:noProof/>
          <w:color w:val="000000" w:themeColor="text1"/>
          <w:sz w:val="24"/>
        </w:rPr>
        <w:t>).</w:t>
      </w:r>
      <w:r>
        <w:rPr>
          <w:noProof/>
          <w:sz w:val="24"/>
        </w:rPr>
        <w:t xml:space="preserve"> </w:t>
      </w:r>
    </w:p>
    <w:p w14:paraId="12505966" w14:textId="10DC5480" w:rsidR="00263A15" w:rsidRDefault="433CE035" w:rsidP="00177835">
      <w:pPr>
        <w:spacing w:line="240" w:lineRule="auto"/>
        <w:rPr>
          <w:noProof/>
          <w:sz w:val="24"/>
          <w:szCs w:val="24"/>
        </w:rPr>
      </w:pPr>
      <w:r>
        <w:rPr>
          <w:noProof/>
          <w:sz w:val="24"/>
        </w:rPr>
        <w:t>Comisia a instituit o structură solidă de sprijin, compusă din 27 de echipe naționale, pentru a oferi asistență statelor membre și a asigura coerența la nivelul UE (</w:t>
      </w:r>
      <w:r>
        <w:rPr>
          <w:rStyle w:val="FootnoteReference"/>
          <w:noProof/>
          <w:sz w:val="24"/>
          <w:szCs w:val="24"/>
        </w:rPr>
        <w:footnoteReference w:id="35"/>
      </w:r>
      <w:r>
        <w:rPr>
          <w:noProof/>
          <w:sz w:val="24"/>
        </w:rPr>
        <w:t>). O sumă suplimentară de 3 miliarde EUR (</w:t>
      </w:r>
      <w:r>
        <w:rPr>
          <w:rStyle w:val="FootnoteReference"/>
          <w:noProof/>
          <w:sz w:val="24"/>
          <w:szCs w:val="24"/>
        </w:rPr>
        <w:footnoteReference w:id="36"/>
      </w:r>
      <w:r>
        <w:rPr>
          <w:noProof/>
          <w:sz w:val="24"/>
        </w:rPr>
        <w:t>) a fost alocată pentru a sprijini statele membre în realizarea reformelor necesare pentru punerea în aplicare a pactului. Va continua să fie oferit un sprijin adaptat odată cu începerea aplicării depline a pactului, după iunie 2026. Pe parcursul acestui proces, pactul trebuie să fie dinamic și adaptabil la provocările noi și emergente.</w:t>
      </w:r>
    </w:p>
    <w:p w14:paraId="36520944" w14:textId="25C60EF1" w:rsidR="00707608" w:rsidRPr="00B5212B" w:rsidRDefault="00C175E8" w:rsidP="009F079E">
      <w:pPr>
        <w:spacing w:line="240" w:lineRule="auto"/>
        <w:rPr>
          <w:rFonts w:eastAsia="Aptos"/>
          <w:noProof/>
          <w:sz w:val="24"/>
          <w:szCs w:val="24"/>
        </w:rPr>
      </w:pPr>
      <w:r>
        <w:rPr>
          <w:noProof/>
          <w:sz w:val="24"/>
        </w:rPr>
        <w:t>În acest scop, în decembrie 2025, Parlamentul European și Consiliul au convenit asupra a două noi măsuri de completare a pactului, modificând conceptul de „țară terță sigură” și întocmind o listă a țărilor de origine sigure la nivelul Uniunii (</w:t>
      </w:r>
      <w:r>
        <w:rPr>
          <w:rFonts w:eastAsia="Calibri"/>
          <w:noProof/>
          <w:sz w:val="24"/>
          <w:szCs w:val="24"/>
          <w:vertAlign w:val="superscript"/>
        </w:rPr>
        <w:footnoteReference w:id="37"/>
      </w:r>
      <w:r>
        <w:rPr>
          <w:noProof/>
          <w:sz w:val="24"/>
        </w:rPr>
        <w:t>). O primă evaluare a funcționării în practică a noilor norme și a necesității unor ajustări suplimentare va fi realizată cu ocazia revizuirii Regulamentului privind gestionarea azilului și migrației (</w:t>
      </w:r>
      <w:r>
        <w:rPr>
          <w:rStyle w:val="FootnoteReference"/>
          <w:noProof/>
          <w:sz w:val="24"/>
          <w:szCs w:val="24"/>
        </w:rPr>
        <w:footnoteReference w:id="38"/>
      </w:r>
      <w:r>
        <w:rPr>
          <w:noProof/>
          <w:sz w:val="24"/>
        </w:rPr>
        <w:t>) și a Regulamentului privind procedurile de azil (</w:t>
      </w:r>
      <w:r>
        <w:rPr>
          <w:rStyle w:val="FootnoteReference"/>
          <w:noProof/>
          <w:sz w:val="24"/>
          <w:szCs w:val="24"/>
        </w:rPr>
        <w:footnoteReference w:id="39"/>
      </w:r>
      <w:r>
        <w:rPr>
          <w:noProof/>
          <w:sz w:val="24"/>
        </w:rPr>
        <w:t xml:space="preserve">), planificată pentru 2027. Noul mecanism de monitorizare al EUAA, care urmează să fie lansat în 2026, va contribui, de asemenea, la identificarea discrepanțelor și a provocărilor în aplicarea normelor în materie de azil și primire și va sta la baza acestei revizuiri. </w:t>
      </w:r>
    </w:p>
    <w:p w14:paraId="56459015" w14:textId="7D30B2BB" w:rsidR="00B06744" w:rsidRPr="00FB4A6F" w:rsidRDefault="00B06744" w:rsidP="00B06744">
      <w:pPr>
        <w:spacing w:line="240" w:lineRule="auto"/>
        <w:rPr>
          <w:noProof/>
          <w:sz w:val="24"/>
          <w:szCs w:val="24"/>
        </w:rPr>
      </w:pPr>
      <w:r>
        <w:rPr>
          <w:b/>
          <w:noProof/>
          <w:sz w:val="24"/>
        </w:rPr>
        <w:t>Alături de responsabilitate, solidaritatea</w:t>
      </w:r>
      <w:r>
        <w:rPr>
          <w:noProof/>
          <w:sz w:val="24"/>
        </w:rPr>
        <w:t xml:space="preserve"> este unul dintre principalele elemente ale pactului. Regulamentul privind gestionarea azilului și migrației oferă un sprijin eficace statelor membre aflate sub presiune migratorie. În noiembrie 2025, Comisia a lansat primul ciclu anual de gestionare a migrației, care oferă o imagine cuprinzătoare a situației în materie de azil, migrație și primire din UE și identifică statele membre aflate sub presiune migratorie, expuse riscului de presiune migratorie sau care se confruntă cu o situație migratorie semnificativă (</w:t>
      </w:r>
      <w:r>
        <w:rPr>
          <w:rStyle w:val="FootnoteReference"/>
          <w:noProof/>
          <w:sz w:val="24"/>
          <w:szCs w:val="24"/>
        </w:rPr>
        <w:footnoteReference w:id="40"/>
      </w:r>
      <w:r>
        <w:rPr>
          <w:noProof/>
          <w:sz w:val="24"/>
        </w:rPr>
        <w:t xml:space="preserve">). Consiliul a instituit prima </w:t>
      </w:r>
      <w:r>
        <w:rPr>
          <w:b/>
          <w:noProof/>
          <w:sz w:val="24"/>
        </w:rPr>
        <w:t>rezervă de solidaritate</w:t>
      </w:r>
      <w:r>
        <w:rPr>
          <w:noProof/>
          <w:sz w:val="24"/>
        </w:rPr>
        <w:t xml:space="preserve"> pentru 2026 (</w:t>
      </w:r>
      <w:r>
        <w:rPr>
          <w:rStyle w:val="FootnoteReference"/>
          <w:noProof/>
          <w:sz w:val="24"/>
          <w:szCs w:val="24"/>
        </w:rPr>
        <w:footnoteReference w:id="41"/>
      </w:r>
      <w:r>
        <w:rPr>
          <w:noProof/>
          <w:sz w:val="24"/>
        </w:rPr>
        <w:t xml:space="preserve">). Comisia, în special prin activitatea coordonatorului UE pentru solidaritate, va sprijini statele membre în punerea în aplicare a rezervei de solidaritate. Comisia va lansa anual ciclul de gestionare a migrației pentru a oferi un sprijin eficace statelor membre aflate sub presiune migratorie, în timp ce Consiliul va institui rezerva anuală de solidaritate pentru fiecare an următor. </w:t>
      </w:r>
    </w:p>
    <w:p w14:paraId="54654E8F" w14:textId="6555C8B9" w:rsidR="00B53972" w:rsidRPr="00B5212B" w:rsidRDefault="003A08A2" w:rsidP="00D55A97">
      <w:pPr>
        <w:spacing w:line="240" w:lineRule="auto"/>
        <w:rPr>
          <w:noProof/>
          <w:sz w:val="24"/>
          <w:szCs w:val="24"/>
        </w:rPr>
      </w:pPr>
      <w:r>
        <w:rPr>
          <w:b/>
          <w:noProof/>
          <w:sz w:val="24"/>
        </w:rPr>
        <w:t>Partajarea eficace și stabilă a responsabilității</w:t>
      </w:r>
      <w:r>
        <w:rPr>
          <w:noProof/>
          <w:sz w:val="24"/>
        </w:rPr>
        <w:t xml:space="preserve"> la nivelul Uniunii și reducerea deplasărilor secundare neautorizate pe teritoriul acesteia vor rămâne o prioritate. Deplasările secundare neautorizate subminează buna funcționare a pactului în ansamblu și au un impact important asupra spațiului Schengen. Prin urmare, îmbunătățirea </w:t>
      </w:r>
      <w:r>
        <w:rPr>
          <w:i/>
          <w:noProof/>
          <w:sz w:val="24"/>
        </w:rPr>
        <w:t xml:space="preserve">situației actuale </w:t>
      </w:r>
      <w:r>
        <w:rPr>
          <w:noProof/>
          <w:sz w:val="24"/>
        </w:rPr>
        <w:t xml:space="preserve">și combaterea deplasărilor secundare neautorizate sunt extreme de importante. Instrumentele legislative ale pactului includ mai multe măsuri ferme în acest scop, în special obligația de efectuare a screeningului pentru toți migranții care sosesc ilegal și de înregistrare a tuturor solicitanților de protecție internațională în sistemul Eurodac reînnoit, proceduri obligatorii la frontieră în materie de azil și returnare, norme mai stricte pentru combaterea sustragerii, posibilități sporite de reducere a condițiilor materiale de primire, de exemplu atunci când un solicitant s-a sustras din statul membru responsabil de acesta sau în alte cazuri de necooperare. Eficacitatea transferurilor este de o importanță capitală pentru buna funcționare și credibilitatea sistemului european comun de azil, precum și pentru limitarea deplasărilor secundare neautorizate între statele membre. Pactul creează un sistem mai rapid și mai previzibil pentru transferul persoanelor către statul membru responsabil. În acest scop, în 2026, EUAA va analiza cele mai bune modalități de sprijinire a acestor reforme. În plus, Comisia intenționează să exploreze în continuare, după caz, impactul potențial al diferitelor politici de primire la nivelul UE asupra deplasărilor migranților, atât către UE, cât și în interiorul acesteia. </w:t>
      </w:r>
    </w:p>
    <w:p w14:paraId="21875427" w14:textId="04CC5583" w:rsidR="001627DF" w:rsidRPr="00B5212B" w:rsidRDefault="2774D27C" w:rsidP="3F0769EC">
      <w:pPr>
        <w:spacing w:line="240" w:lineRule="auto"/>
        <w:rPr>
          <w:b/>
          <w:bCs/>
          <w:i/>
          <w:iCs/>
          <w:noProof/>
          <w:sz w:val="24"/>
          <w:szCs w:val="24"/>
        </w:rPr>
      </w:pPr>
      <w:r>
        <w:rPr>
          <w:b/>
          <w:i/>
          <w:noProof/>
          <w:sz w:val="24"/>
        </w:rPr>
        <w:t>Modernizarea procedurilor de azil prin digitalizare și utilizarea IA</w:t>
      </w:r>
    </w:p>
    <w:p w14:paraId="2EC3628D" w14:textId="36336406" w:rsidR="007A48DF" w:rsidRDefault="2774D27C">
      <w:pPr>
        <w:spacing w:line="240" w:lineRule="auto"/>
        <w:rPr>
          <w:noProof/>
          <w:sz w:val="24"/>
          <w:szCs w:val="24"/>
        </w:rPr>
      </w:pPr>
      <w:r>
        <w:rPr>
          <w:noProof/>
          <w:sz w:val="24"/>
        </w:rPr>
        <w:t xml:space="preserve">Una dintre principalele îmbunătățiri aduse de pact este creșterea eficacității procedurilor. Într-un domeniu în care sunt implicați numeroși actori diferiți din cadrul structurilor administrative și al sistemului judiciar, noile soluții tehnologice pot contribui la depășirea blocajelor, la reducerea sarcinii administrative și la facilitarea cooperării și a schimbului de informații între autoritățile naționale, cu agențiile UE și între statele membre. </w:t>
      </w:r>
    </w:p>
    <w:p w14:paraId="43B91B88" w14:textId="3EED9BF7" w:rsidR="00E45634" w:rsidRPr="00B5212B" w:rsidRDefault="5E7CA893">
      <w:pPr>
        <w:spacing w:line="240" w:lineRule="auto"/>
        <w:rPr>
          <w:noProof/>
          <w:sz w:val="24"/>
          <w:szCs w:val="24"/>
        </w:rPr>
      </w:pPr>
      <w:r>
        <w:rPr>
          <w:noProof/>
          <w:sz w:val="24"/>
        </w:rPr>
        <w:t xml:space="preserve">Prin urmare, dotarea autorităților din domeniul migrației cu sisteme integrate de gestionare a cazurilor și cu instrumente digitale inteligente va constitui o prioritate. Începând din 2026, Comisia intenționează să analizeze fezabilitatea unei </w:t>
      </w:r>
      <w:r>
        <w:rPr>
          <w:b/>
          <w:noProof/>
          <w:sz w:val="24"/>
        </w:rPr>
        <w:t>propuneri specifice de digitalizare în domeniul</w:t>
      </w:r>
      <w:r>
        <w:rPr>
          <w:noProof/>
          <w:sz w:val="24"/>
        </w:rPr>
        <w:t xml:space="preserve"> </w:t>
      </w:r>
      <w:r>
        <w:rPr>
          <w:b/>
          <w:noProof/>
          <w:sz w:val="24"/>
        </w:rPr>
        <w:t>azilului</w:t>
      </w:r>
      <w:r>
        <w:rPr>
          <w:noProof/>
          <w:sz w:val="24"/>
        </w:rPr>
        <w:t>, având în vedere, de asemenea, propunerea similară în curs de pregătire în domeniul returnării. În acest scop, se va institui un grup de experți care va consulta statele membre cu privire la cea mai bună cale de urmat în ceea ce privește dezvoltarea unor sisteme digitale de gestionare a cazurilor de azil, care să integreze procedurile de screening, de azil, de primire și de transfer (</w:t>
      </w:r>
      <w:r>
        <w:rPr>
          <w:rStyle w:val="FootnoteReference"/>
          <w:noProof/>
          <w:sz w:val="24"/>
          <w:szCs w:val="24"/>
        </w:rPr>
        <w:footnoteReference w:id="42"/>
      </w:r>
      <w:r>
        <w:rPr>
          <w:noProof/>
          <w:sz w:val="24"/>
        </w:rPr>
        <w:t>). Pe această bază, Comisia intenționează să identifice următoarele etape în sprijinirea eforturilor statelor membre în acest domeniu. Începând din 2026, eforturile se vor concentra, de asemenea, pe transformarea DubliNet, sistemul de schimb de informații în temeiul Regulamentului privind gestionarea azilului și migrației, într-un instrument mai eficace și mai avansat din punct de vedere tehnic pentru a sprijini statele membre în desfășurarea procedurilor în temeiul regulamentului respectiv.</w:t>
      </w:r>
    </w:p>
    <w:p w14:paraId="18F0B67A" w14:textId="27704742" w:rsidR="004A6A7C" w:rsidRDefault="3CFB345D" w:rsidP="00EB508D">
      <w:pPr>
        <w:spacing w:line="240" w:lineRule="auto"/>
        <w:rPr>
          <w:noProof/>
          <w:sz w:val="24"/>
          <w:szCs w:val="24"/>
        </w:rPr>
      </w:pPr>
      <w:r>
        <w:rPr>
          <w:noProof/>
          <w:sz w:val="24"/>
        </w:rPr>
        <w:t xml:space="preserve">În plus, noile tehnologii oferă oportunități noi și încă neexplorate de reducere a sarcinii administrative, de simplificare a proceselor și de luare a unor decizii de înaltă calitate în materie de azil. </w:t>
      </w:r>
      <w:r>
        <w:rPr>
          <w:b/>
          <w:noProof/>
          <w:sz w:val="24"/>
        </w:rPr>
        <w:t xml:space="preserve">IA </w:t>
      </w:r>
      <w:r>
        <w:rPr>
          <w:noProof/>
          <w:sz w:val="24"/>
        </w:rPr>
        <w:t>ar putea oferi autorităților naționale instrumentele necesare pentru valorificarea acestor oportunități, de exemplu, în domeniul interpretării, traducerii și transcrierii sau al colectării și analizei informațiilor privind țara de origine, precum și în ceea ce privește gestionarea cazurilor și optimizarea fluxului de lucru sau verificarea prealabilă a completării integrale a cererilor. Aceste activități s-ar putea sprijini pe rezultatele cercetării și inovării europene în materie de migrație, finanțate de UE (</w:t>
      </w:r>
      <w:r>
        <w:rPr>
          <w:rStyle w:val="FootnoteReference"/>
          <w:noProof/>
          <w:sz w:val="24"/>
          <w:szCs w:val="24"/>
        </w:rPr>
        <w:footnoteReference w:id="43"/>
      </w:r>
      <w:r>
        <w:rPr>
          <w:noProof/>
          <w:sz w:val="24"/>
        </w:rPr>
        <w:t xml:space="preserve">). Pentru a înregistra progrese în acest domeniu, în conformitate cu cerințele de reglementare existente, Comisia va institui în 2026 un </w:t>
      </w:r>
      <w:r>
        <w:rPr>
          <w:b/>
          <w:noProof/>
          <w:sz w:val="24"/>
        </w:rPr>
        <w:t>Forum privind IA în domeniul migrației</w:t>
      </w:r>
      <w:r>
        <w:rPr>
          <w:noProof/>
          <w:sz w:val="24"/>
        </w:rPr>
        <w:t xml:space="preserve"> pentru a explora cele mai bune modalități de utilizare a instrumentelor IA în domeniul azilului, migrației și gestionării frontierelor, pentru a identifica posibilele utilizări ale IA și pentru a elabora un plan operațional privind introducerea concretă a acestor noi instrumente. Această activitate se va baza, de asemenea, pe orientările cu privire la clasificarea sistemelor de IA cu grad ridicat de risc</w:t>
      </w:r>
      <w:r>
        <w:rPr>
          <w:b/>
          <w:noProof/>
        </w:rPr>
        <w:t> </w:t>
      </w:r>
      <w:r>
        <w:rPr>
          <w:noProof/>
        </w:rPr>
        <w:t>(</w:t>
      </w:r>
      <w:r>
        <w:rPr>
          <w:rStyle w:val="FootnoteReference"/>
          <w:noProof/>
        </w:rPr>
        <w:footnoteReference w:id="44"/>
      </w:r>
      <w:r>
        <w:rPr>
          <w:noProof/>
        </w:rPr>
        <w:t>)</w:t>
      </w:r>
      <w:r>
        <w:rPr>
          <w:noProof/>
          <w:sz w:val="24"/>
        </w:rPr>
        <w:t xml:space="preserve">, pe care Comisia intenționează să le prezinte în 2026. </w:t>
      </w:r>
    </w:p>
    <w:p w14:paraId="5F422833" w14:textId="17DEF116" w:rsidR="004A6A7C" w:rsidRPr="00916AA5" w:rsidRDefault="004A6A7C" w:rsidP="00EB508D">
      <w:pPr>
        <w:spacing w:line="240" w:lineRule="auto"/>
        <w:rPr>
          <w:b/>
          <w:i/>
          <w:noProof/>
          <w:sz w:val="24"/>
          <w:szCs w:val="24"/>
        </w:rPr>
      </w:pPr>
      <w:r>
        <w:rPr>
          <w:b/>
          <w:i/>
          <w:noProof/>
          <w:sz w:val="24"/>
        </w:rPr>
        <w:t>Acordarea de sprijin persoanelor strămutate din Ucraina</w:t>
      </w:r>
    </w:p>
    <w:p w14:paraId="080D046C" w14:textId="1A6ED112" w:rsidR="004A6A7C" w:rsidRPr="00916AA5" w:rsidRDefault="004A6A7C" w:rsidP="004A6A7C">
      <w:pPr>
        <w:spacing w:line="240" w:lineRule="auto"/>
        <w:rPr>
          <w:noProof/>
          <w:sz w:val="24"/>
          <w:szCs w:val="24"/>
        </w:rPr>
      </w:pPr>
      <w:r>
        <w:rPr>
          <w:noProof/>
          <w:sz w:val="24"/>
        </w:rPr>
        <w:t xml:space="preserve">Acordarea de </w:t>
      </w:r>
      <w:r>
        <w:rPr>
          <w:b/>
          <w:noProof/>
          <w:sz w:val="24"/>
        </w:rPr>
        <w:t>protecție</w:t>
      </w:r>
      <w:r>
        <w:rPr>
          <w:noProof/>
          <w:sz w:val="24"/>
        </w:rPr>
        <w:t xml:space="preserve"> </w:t>
      </w:r>
      <w:r>
        <w:rPr>
          <w:b/>
          <w:noProof/>
          <w:sz w:val="24"/>
        </w:rPr>
        <w:t>temporară persoanelor care fug din calea războiului de agresiune al Rusiei împotriva Ucrainei</w:t>
      </w:r>
      <w:r>
        <w:rPr>
          <w:noProof/>
          <w:sz w:val="24"/>
        </w:rPr>
        <w:t xml:space="preserve"> rămâne o prioritate pentru Uniune și statele membre. Viitorul Ucrainei și cel al UE sunt interconectate prin securitatea noastră comună, prin legăturile noastre economice, dar și prin legăturile dintre oameni care sunt create în această perioadă. UE își menține angajamentul de a sprijini în continuare Ucraina pe calea aderării la UE.</w:t>
      </w:r>
    </w:p>
    <w:p w14:paraId="6E7B55A5" w14:textId="212C0093" w:rsidR="004A6A7C" w:rsidRDefault="004A6A7C" w:rsidP="004A6A7C">
      <w:pPr>
        <w:spacing w:line="240" w:lineRule="auto"/>
        <w:rPr>
          <w:noProof/>
          <w:sz w:val="24"/>
          <w:szCs w:val="24"/>
        </w:rPr>
      </w:pPr>
      <w:r>
        <w:rPr>
          <w:noProof/>
          <w:sz w:val="24"/>
        </w:rPr>
        <w:t xml:space="preserve">Pentru a adopta o </w:t>
      </w:r>
      <w:r>
        <w:rPr>
          <w:b/>
          <w:noProof/>
          <w:sz w:val="24"/>
        </w:rPr>
        <w:t>abordare pe termen mai lung</w:t>
      </w:r>
      <w:r>
        <w:rPr>
          <w:noProof/>
          <w:sz w:val="24"/>
        </w:rPr>
        <w:t>, ținând seama în același timp de situația deosebit de volatilă, este necesară identificarea unei căi pentru continuarea șederii legale și facilitarea incluziunii cetățenilor ucraineni în societățile-gazdă, sprijinind în același timp persoanele care doresc să se întoarcă acasă atunci când condițiile permit acest lucru. Această tranziție trebuie să se facă treptat și în mod previzibil, pentru a sprijini redresarea Ucrainei. Recomandarea Consiliului privind o abordare coordonată a ieșirii treptate din regimul de protecție temporară pentru persoanele</w:t>
      </w:r>
      <w:r>
        <w:rPr>
          <w:b/>
          <w:noProof/>
          <w:sz w:val="24"/>
        </w:rPr>
        <w:t xml:space="preserve"> </w:t>
      </w:r>
      <w:r>
        <w:rPr>
          <w:noProof/>
          <w:sz w:val="24"/>
        </w:rPr>
        <w:t>strămutate din Ucraina (</w:t>
      </w:r>
      <w:r>
        <w:rPr>
          <w:rStyle w:val="FootnoteReference"/>
          <w:noProof/>
          <w:sz w:val="24"/>
          <w:szCs w:val="24"/>
        </w:rPr>
        <w:footnoteReference w:id="45"/>
      </w:r>
      <w:r>
        <w:rPr>
          <w:noProof/>
          <w:sz w:val="24"/>
        </w:rPr>
        <w:t>), adoptată în septembrie 2025, oferă baza pentru etapele următoare. Punerea în aplicare a recomandării este discutată în diferite foruri cu statele membre, cu autoritățile ucrainene și cu organizațiile internaționale (</w:t>
      </w:r>
      <w:r>
        <w:rPr>
          <w:rStyle w:val="FootnoteReference"/>
          <w:noProof/>
          <w:sz w:val="24"/>
          <w:szCs w:val="24"/>
        </w:rPr>
        <w:footnoteReference w:id="46"/>
      </w:r>
      <w:r>
        <w:rPr>
          <w:noProof/>
          <w:sz w:val="24"/>
        </w:rPr>
        <w:t xml:space="preserve">). </w:t>
      </w:r>
    </w:p>
    <w:p w14:paraId="0FCF9BF6" w14:textId="154BC894" w:rsidR="009E47F7" w:rsidRDefault="004A6A7C" w:rsidP="00383368">
      <w:pPr>
        <w:spacing w:line="240" w:lineRule="auto"/>
        <w:rPr>
          <w:noProof/>
          <w:sz w:val="24"/>
          <w:szCs w:val="24"/>
        </w:rPr>
      </w:pPr>
      <w:r>
        <w:rPr>
          <w:noProof/>
          <w:sz w:val="24"/>
        </w:rPr>
        <w:t xml:space="preserve">Întrucât sprijinul acordat persoanelor strămutate din Ucraina este prima situație în care a fost activată </w:t>
      </w:r>
      <w:r>
        <w:rPr>
          <w:b/>
          <w:noProof/>
          <w:sz w:val="24"/>
        </w:rPr>
        <w:t>Directiva privind protecția temporară</w:t>
      </w:r>
      <w:r>
        <w:rPr>
          <w:noProof/>
          <w:sz w:val="24"/>
        </w:rPr>
        <w:t xml:space="preserve"> din 2001, UE va trebui să tragă învățăminte din cei peste patru ani de protecție temporară pentru a fundamenta posibilele răspunsuri viitoare.</w:t>
      </w:r>
    </w:p>
    <w:p w14:paraId="00C4A2F5" w14:textId="23EB3F57" w:rsidR="00A7291D" w:rsidRPr="00B5212B" w:rsidRDefault="009B571F" w:rsidP="00412446">
      <w:pPr>
        <w:pStyle w:val="Heading1"/>
        <w:spacing w:before="120"/>
        <w:rPr>
          <w:bCs/>
          <w:noProof/>
        </w:rPr>
      </w:pPr>
      <w:r>
        <w:rPr>
          <w:noProof/>
          <w:sz w:val="24"/>
        </w:rPr>
        <w:t xml:space="preserve"> </w:t>
      </w:r>
      <w:r>
        <w:rPr>
          <w:noProof/>
        </w:rPr>
        <w:t>Proceduri de returnare și readmisie mai eficace</w:t>
      </w:r>
    </w:p>
    <w:p w14:paraId="0840CEFE" w14:textId="38042A60" w:rsidR="00392D3F" w:rsidRPr="00B5212B" w:rsidRDefault="68D804FD" w:rsidP="00A7291D">
      <w:pPr>
        <w:spacing w:line="240" w:lineRule="auto"/>
        <w:rPr>
          <w:noProof/>
          <w:sz w:val="24"/>
          <w:szCs w:val="24"/>
        </w:rPr>
      </w:pPr>
      <w:r>
        <w:rPr>
          <w:noProof/>
          <w:sz w:val="24"/>
        </w:rPr>
        <w:t xml:space="preserve">Existența unor proceduri rapide, eficace și demne de returnare și readmisie a resortisanților țărilor terțe aflați în situație de ședere ilegală este </w:t>
      </w:r>
      <w:r>
        <w:rPr>
          <w:b/>
          <w:noProof/>
          <w:sz w:val="24"/>
        </w:rPr>
        <w:t>indispensabilă pentru integritatea sistemelor noastre de migrație și azil</w:t>
      </w:r>
      <w:r>
        <w:rPr>
          <w:noProof/>
          <w:sz w:val="24"/>
        </w:rPr>
        <w:t>. În prezent, doar aproximativ un sfert dintre migranții care au primit ordin de părăsire a teritoriului Uniunii au respectat efectiv acest ordin, deși există diferențe între statele membre. Este urgent să crească eficacitatea returnărilor pentru a descuraja migrația ilegală și pentru a garanta buna funcționare și integritatea sistemului de migrație și azil.</w:t>
      </w:r>
    </w:p>
    <w:p w14:paraId="50EB4810" w14:textId="7E6E03D2" w:rsidR="00471FB9" w:rsidRPr="00B5212B" w:rsidRDefault="550862A0" w:rsidP="00471FB9">
      <w:pPr>
        <w:spacing w:line="240" w:lineRule="auto"/>
        <w:rPr>
          <w:noProof/>
          <w:sz w:val="24"/>
          <w:szCs w:val="24"/>
        </w:rPr>
      </w:pPr>
      <w:r>
        <w:rPr>
          <w:noProof/>
          <w:sz w:val="24"/>
        </w:rPr>
        <w:t xml:space="preserve">În următorii cinci ani, UE trebuie să fie pe deplin implicată în crearea unui </w:t>
      </w:r>
      <w:r>
        <w:rPr>
          <w:b/>
          <w:noProof/>
          <w:sz w:val="24"/>
        </w:rPr>
        <w:t>sistem european comun cuprinzător pentru returnări</w:t>
      </w:r>
      <w:r>
        <w:rPr>
          <w:noProof/>
          <w:sz w:val="24"/>
        </w:rPr>
        <w:t>. Unele state membre au înregistrat deja progrese semnificative în ceea ce privește creșterea eficienței procedurilor lor de returnare. Odată adoptată, propunerea de regulament privind returnarea (</w:t>
      </w:r>
      <w:r>
        <w:rPr>
          <w:rStyle w:val="FootnoteReference"/>
          <w:noProof/>
          <w:sz w:val="24"/>
          <w:szCs w:val="24"/>
        </w:rPr>
        <w:footnoteReference w:id="47"/>
      </w:r>
      <w:r>
        <w:rPr>
          <w:noProof/>
          <w:sz w:val="24"/>
        </w:rPr>
        <w:t xml:space="preserve">) va oferi un nou cadru juridic cu proceduri de returnare mai rapide, mai simple și mai eficace în întreaga Uniune, care asigură respectarea drepturilor fundamentale și a obligațiilor internaționale, în special a principiului nereturnării. </w:t>
      </w:r>
    </w:p>
    <w:p w14:paraId="0173F34E" w14:textId="5908D71F" w:rsidR="706FF100" w:rsidRDefault="680073CB" w:rsidP="27D033DD">
      <w:pPr>
        <w:spacing w:line="240" w:lineRule="auto"/>
        <w:rPr>
          <w:noProof/>
          <w:sz w:val="24"/>
          <w:szCs w:val="24"/>
        </w:rPr>
      </w:pPr>
      <w:r>
        <w:rPr>
          <w:noProof/>
          <w:sz w:val="24"/>
        </w:rPr>
        <w:t xml:space="preserve">Pentru a garanta eficiența returnărilor, </w:t>
      </w:r>
      <w:r>
        <w:rPr>
          <w:b/>
          <w:noProof/>
          <w:sz w:val="24"/>
        </w:rPr>
        <w:t>țările terțe trebuie să își îndeplinească pe deplin rolul</w:t>
      </w:r>
      <w:r>
        <w:rPr>
          <w:noProof/>
          <w:sz w:val="24"/>
        </w:rPr>
        <w:t xml:space="preserve"> și să își respecte obligația internațională de readmitere a propriilor resortisanți. UE ar trebui să dezvolte și să utilizeze toate pârghiile și stimulentele de care dispune, inclusiv instrumentele de readmisie, instrumentele de finanțare, politica în domeniul vizelor și politica comercială, pentru a promova o cooperare mai strânsă în materie de readmisie, ca parte a diplomației sale în domeniul migrației care vizează țările terțe</w:t>
      </w:r>
      <w:r>
        <w:rPr>
          <w:rFonts w:ascii="Aptos" w:hAnsi="Aptos"/>
          <w:noProof/>
        </w:rPr>
        <w:t xml:space="preserve">. </w:t>
      </w:r>
      <w:r>
        <w:rPr>
          <w:noProof/>
          <w:sz w:val="24"/>
        </w:rPr>
        <w:t>În același timp, statele membre trebuie să dea curs în mod riguros și în timp util ordinelor de returnare, solicitând, atunci când este necesar, ca țările terțe să confirme cetățenia persoanei care urmează să fie returnată și să îi furnizeze acesteia documente de călătorie.</w:t>
      </w:r>
    </w:p>
    <w:p w14:paraId="4C814A0D" w14:textId="4D8FA75A" w:rsidR="00415DF1" w:rsidRPr="00B5212B" w:rsidRDefault="0073125E" w:rsidP="00E82833">
      <w:pPr>
        <w:spacing w:line="240" w:lineRule="auto"/>
        <w:rPr>
          <w:noProof/>
          <w:sz w:val="24"/>
          <w:szCs w:val="24"/>
        </w:rPr>
      </w:pPr>
      <w:r>
        <w:rPr>
          <w:b/>
          <w:i/>
          <w:noProof/>
          <w:sz w:val="24"/>
        </w:rPr>
        <w:t>Crearea unui sistem european comun pentru returnări</w:t>
      </w:r>
    </w:p>
    <w:p w14:paraId="7DD5847A" w14:textId="1CE95EE7" w:rsidR="000D10A4" w:rsidRPr="00B5212B" w:rsidRDefault="41E9DFBE" w:rsidP="3F0769EC">
      <w:pPr>
        <w:spacing w:line="240" w:lineRule="auto"/>
        <w:rPr>
          <w:noProof/>
          <w:sz w:val="24"/>
          <w:szCs w:val="24"/>
        </w:rPr>
      </w:pPr>
      <w:r>
        <w:rPr>
          <w:noProof/>
          <w:sz w:val="24"/>
        </w:rPr>
        <w:t xml:space="preserve">Pactul introduce mai multe noutăți și îmbunătățiri în ceea ce privește gestionarea azilului și a migrației. Referitor la returnare, noul cadru juridic introdus de pact va elimina </w:t>
      </w:r>
      <w:r>
        <w:rPr>
          <w:b/>
          <w:noProof/>
          <w:sz w:val="24"/>
        </w:rPr>
        <w:t>lacunele dintre azil și returnare</w:t>
      </w:r>
      <w:r>
        <w:rPr>
          <w:noProof/>
          <w:sz w:val="24"/>
        </w:rPr>
        <w:t xml:space="preserve">, asigurând emiterea unor decizii de returnare împreună cu deciziile negative în materie de azil. Acest lucru va spori în mod semnificativ viteza returnărilor prin reducerea posibilităților de sustragere, evitând astfel perioade lungi de incertitudine atât pentru persoanele returnate, cât și pentru autoritățile naționale. </w:t>
      </w:r>
    </w:p>
    <w:p w14:paraId="6EB4C059" w14:textId="6E9CC80E" w:rsidR="00415DF1" w:rsidRPr="00B5212B" w:rsidRDefault="41E9DFBE">
      <w:pPr>
        <w:spacing w:line="240" w:lineRule="auto"/>
        <w:rPr>
          <w:noProof/>
          <w:sz w:val="24"/>
          <w:szCs w:val="24"/>
        </w:rPr>
      </w:pPr>
      <w:r>
        <w:rPr>
          <w:noProof/>
          <w:sz w:val="24"/>
        </w:rPr>
        <w:t xml:space="preserve">În plus, prin </w:t>
      </w:r>
      <w:r>
        <w:rPr>
          <w:b/>
          <w:noProof/>
          <w:sz w:val="24"/>
        </w:rPr>
        <w:t>procedura obligatorie de returnare la frontieră</w:t>
      </w:r>
      <w:r>
        <w:rPr>
          <w:noProof/>
          <w:sz w:val="24"/>
        </w:rPr>
        <w:t> (</w:t>
      </w:r>
      <w:r>
        <w:rPr>
          <w:rStyle w:val="FootnoteReference"/>
          <w:noProof/>
          <w:sz w:val="24"/>
          <w:szCs w:val="24"/>
        </w:rPr>
        <w:footnoteReference w:id="48"/>
      </w:r>
      <w:r>
        <w:rPr>
          <w:noProof/>
          <w:sz w:val="24"/>
        </w:rPr>
        <w:t>), solicitanții a căror cerere de protecție internațională a fost respinsă vor fi returnați mult mai rapid, direct de la frontierele externe și în termenul de 12 săptămâni stabilit de noile norme. Comisia va pune un accent deosebit pe asigurarea punerii în aplicare eficace a noilor proceduri la frontieră, colaborând îndeaproape cu statele membre, cu Frontex și cu țările partenere în acest scop. De asemenea, Comisia va acorda o atenție deosebită cooperării în materie de readmisie în contextul procedurii obligatorii la frontieră atunci când va elabora viitoarele rapoarte în temeiul articolului 25a din Codul de vize.</w:t>
      </w:r>
    </w:p>
    <w:p w14:paraId="18099345" w14:textId="1F436322" w:rsidR="003C59F3" w:rsidRPr="003A5268" w:rsidRDefault="57B590CC" w:rsidP="49BA89CF">
      <w:pPr>
        <w:spacing w:line="240" w:lineRule="auto"/>
        <w:rPr>
          <w:noProof/>
          <w:sz w:val="24"/>
          <w:szCs w:val="24"/>
        </w:rPr>
      </w:pPr>
      <w:r>
        <w:rPr>
          <w:noProof/>
          <w:sz w:val="24"/>
        </w:rPr>
        <w:t xml:space="preserve">Pe baza acestor îmbunătățiri, prioritatea pentru următorii cinci ani este dezvoltarea deplină a unui </w:t>
      </w:r>
      <w:r>
        <w:rPr>
          <w:b/>
          <w:noProof/>
          <w:sz w:val="24"/>
        </w:rPr>
        <w:t xml:space="preserve">sistem european comun pentru returnări, </w:t>
      </w:r>
      <w:r>
        <w:rPr>
          <w:noProof/>
          <w:sz w:val="24"/>
        </w:rPr>
        <w:t>în conformitate cu propunerea Comisiei de regulament de instituire a unui sistem european comun pentru returnări (</w:t>
      </w:r>
      <w:r>
        <w:rPr>
          <w:rStyle w:val="FootnoteReference"/>
          <w:noProof/>
          <w:sz w:val="24"/>
          <w:szCs w:val="24"/>
        </w:rPr>
        <w:footnoteReference w:id="49"/>
      </w:r>
      <w:r>
        <w:rPr>
          <w:noProof/>
          <w:sz w:val="24"/>
        </w:rPr>
        <w:t xml:space="preserve">) din martie 2025. Regulamentul propus conferă returnării o dimensiune europeană mai concretă printr-un ordin european de returnare, punând bazele recunoașterii reciproce a deciziilor de returnare, astfel încât normele UE să nu poată fi eludate prin deplasarea ilegală dintr-un stat membru în altul. Regulamentul propus promovează simplificarea și eficacitatea prin raționalizarea proceselor interne, clarificarea drepturilor și a obligațiilor persoanelor returnate, cum ar fi obligația de a coopera în cadrul procedurii de returnare, reducerea riscului de sustragere și a deplasărilor secundare neautorizate și eliminarea lacunelor dintre procedurile de returnare în interiorul UE și activitățile de readmisie către țările terțe. Va fi accelerată, de asemenea, returnarea persoanelor care reprezintă o amenințare la adresa securității. Regulamentul propus stabilește, de asemenea, normele și garanțiile pentru instituirea unor „centre de returnare” în afara Uniunii, care ar putea oferi noi soluții pentru returnarea persoanelor care sunt obligate să părăsească UE. Încheierea rapidă a negocierilor referitoare la Regulamentul privind returnarea este importantă pentru implementarea în următorii ani a unui sistem european comun pentru returnări. </w:t>
      </w:r>
    </w:p>
    <w:p w14:paraId="1C3CABB3" w14:textId="22D9BBA7" w:rsidR="00084445" w:rsidRPr="00B5212B" w:rsidRDefault="1633F6CB" w:rsidP="00084445">
      <w:pPr>
        <w:spacing w:line="240" w:lineRule="auto"/>
        <w:rPr>
          <w:rFonts w:eastAsia="EC Square Sans Pro"/>
          <w:noProof/>
          <w:sz w:val="24"/>
          <w:szCs w:val="24"/>
        </w:rPr>
      </w:pPr>
      <w:r>
        <w:rPr>
          <w:noProof/>
          <w:sz w:val="24"/>
        </w:rPr>
        <w:t xml:space="preserve">De asemenea, Comisia va prezenta, în 2026, o propunere legislativă privind </w:t>
      </w:r>
      <w:r>
        <w:rPr>
          <w:b/>
          <w:noProof/>
          <w:sz w:val="24"/>
        </w:rPr>
        <w:t>digitalizarea procesului de returnare</w:t>
      </w:r>
      <w:r>
        <w:rPr>
          <w:noProof/>
          <w:sz w:val="24"/>
        </w:rPr>
        <w:t>, în vederea dezvoltării unor sisteme digitale de gestionare a cazurilor în acest domeniu. Acest lucru va contribui suplimentar la reducerea sarcinii administrative a autorităților naționale, simplificând și automatizând procesele. Propunerea urmărește, de asemenea, luarea în considerare a posibilității de a atribui agențiilor UE, cum ar fi Frontex și eu-LISA, responsabilități sporite în ceea ce privește sistemele digitale de gestionare a cazurilor.</w:t>
      </w:r>
    </w:p>
    <w:p w14:paraId="23EB99DD" w14:textId="04425B07" w:rsidR="003C59F3" w:rsidRPr="00B5212B" w:rsidRDefault="003C59F3" w:rsidP="003C59F3">
      <w:pPr>
        <w:spacing w:line="240" w:lineRule="auto"/>
        <w:rPr>
          <w:noProof/>
          <w:sz w:val="24"/>
          <w:szCs w:val="24"/>
        </w:rPr>
      </w:pPr>
      <w:r>
        <w:rPr>
          <w:noProof/>
          <w:sz w:val="24"/>
        </w:rPr>
        <w:t xml:space="preserve">În paralel cu consolidarea noului cadru juridic, sunt necesare măsuri de </w:t>
      </w:r>
      <w:r>
        <w:rPr>
          <w:b/>
          <w:noProof/>
          <w:sz w:val="24"/>
        </w:rPr>
        <w:t>îmbunătățire a proceselor de returnare la</w:t>
      </w:r>
      <w:r>
        <w:rPr>
          <w:noProof/>
          <w:sz w:val="24"/>
        </w:rPr>
        <w:t xml:space="preserve"> </w:t>
      </w:r>
      <w:r>
        <w:rPr>
          <w:b/>
          <w:noProof/>
          <w:sz w:val="24"/>
        </w:rPr>
        <w:t>nivel operațional</w:t>
      </w:r>
      <w:r>
        <w:rPr>
          <w:noProof/>
          <w:sz w:val="24"/>
        </w:rPr>
        <w:t xml:space="preserve">. </w:t>
      </w:r>
    </w:p>
    <w:p w14:paraId="44EABC7A" w14:textId="348D15C4" w:rsidR="0086009C" w:rsidRPr="00916AA5" w:rsidRDefault="7C58DD06" w:rsidP="3F0769EC">
      <w:pPr>
        <w:spacing w:line="240" w:lineRule="auto"/>
        <w:rPr>
          <w:noProof/>
          <w:sz w:val="24"/>
          <w:szCs w:val="24"/>
        </w:rPr>
      </w:pPr>
      <w:bookmarkStart w:id="8" w:name="_Hlk215817476"/>
      <w:r>
        <w:rPr>
          <w:b/>
          <w:noProof/>
          <w:sz w:val="24"/>
        </w:rPr>
        <w:t>Coordonatorul pentru returnare</w:t>
      </w:r>
      <w:r>
        <w:rPr>
          <w:noProof/>
          <w:sz w:val="24"/>
        </w:rPr>
        <w:t xml:space="preserve">, sprijinit de Rețeaua la nivel înalt pentru returnări, va explora idei noi și va dezvolta practici legate de provocări specifice, cum ar fi returnarea resortisanților țărilor terțe procesați în cadrul procedurii de returnare la frontieră, a celor care reprezintă o amenințare la adresa securității sau returnarea minorilor neînsoțiți, în conformitate cu dreptul UE și ținând seama de interesul superior al copilului. </w:t>
      </w:r>
      <w:bookmarkEnd w:id="8"/>
      <w:r>
        <w:rPr>
          <w:noProof/>
          <w:sz w:val="24"/>
        </w:rPr>
        <w:t xml:space="preserve">În acest scop, colaborarea cu autoritățile statelor membre va asigura în continuare utilizarea optimă a resurselor disponibile și a tuturor instrumentelor existente în vederea accelerării returnărilor. Împreună cu statele membre, Comisia va continua să dezvolte în acest scop inițiative practice cu și în țările terțe. </w:t>
      </w:r>
    </w:p>
    <w:p w14:paraId="11D47E2B" w14:textId="4D7C335C" w:rsidR="003C59F3" w:rsidRPr="001A4FB0" w:rsidRDefault="146BC017" w:rsidP="49BA89CF">
      <w:pPr>
        <w:spacing w:line="240" w:lineRule="auto"/>
        <w:rPr>
          <w:noProof/>
          <w:sz w:val="24"/>
          <w:szCs w:val="24"/>
        </w:rPr>
      </w:pPr>
      <w:r>
        <w:rPr>
          <w:noProof/>
          <w:sz w:val="24"/>
        </w:rPr>
        <w:t xml:space="preserve">Viitoarea revizuire a </w:t>
      </w:r>
      <w:r>
        <w:rPr>
          <w:b/>
          <w:noProof/>
          <w:sz w:val="24"/>
        </w:rPr>
        <w:t>Regulamentului Frontex</w:t>
      </w:r>
      <w:r>
        <w:rPr>
          <w:noProof/>
          <w:sz w:val="24"/>
        </w:rPr>
        <w:t xml:space="preserve"> din 2026 va analiza, de asemenea, oportunitatea de a consolida rolul operațional al agenției în domeniul returnărilor, atât în interiorul, cât și în afara UE. În prezent au loc procese de reflecție cu privire la posibilitatea de a sprijini returnările dintr-o țară terță într-o altă țară terță, sub rezerva unor condiții clare și a unor garanții juridice, la consolidarea returnării voluntare și a reintegrării, precum și la opțiunile de îmbunătățire a guvernanței agenției în acest domeniu pentru a sprijini prioritățile strategice ale UE. </w:t>
      </w:r>
    </w:p>
    <w:p w14:paraId="32B9FBCD" w14:textId="63D8A7DC" w:rsidR="00A7291D" w:rsidRDefault="550862A0" w:rsidP="3F0769EC">
      <w:pPr>
        <w:spacing w:line="240" w:lineRule="auto"/>
        <w:rPr>
          <w:noProof/>
          <w:sz w:val="24"/>
          <w:szCs w:val="24"/>
        </w:rPr>
      </w:pPr>
      <w:r>
        <w:rPr>
          <w:noProof/>
          <w:sz w:val="24"/>
        </w:rPr>
        <w:t xml:space="preserve">Împreună cu Frontex, Comisia ia, de asemenea, măsuri pentru îmbunătățirea și simplificarea colectării datelor în materie de returnare, pentru o mai bună cunoaștere a </w:t>
      </w:r>
      <w:r>
        <w:rPr>
          <w:b/>
          <w:noProof/>
          <w:sz w:val="24"/>
        </w:rPr>
        <w:t xml:space="preserve">tabloului situațional </w:t>
      </w:r>
      <w:r>
        <w:rPr>
          <w:noProof/>
          <w:sz w:val="24"/>
        </w:rPr>
        <w:t>privind returnarea, permițând o mai bună planificare a resurselor și a instrumentelor.</w:t>
      </w:r>
    </w:p>
    <w:p w14:paraId="27232319" w14:textId="77777777" w:rsidR="00830AA4" w:rsidRPr="00B5212B" w:rsidRDefault="00830AA4" w:rsidP="3F0769EC">
      <w:pPr>
        <w:spacing w:line="240" w:lineRule="auto"/>
        <w:rPr>
          <w:rFonts w:eastAsia="EC Square Sans Pro"/>
          <w:noProof/>
          <w:sz w:val="24"/>
          <w:szCs w:val="24"/>
        </w:rPr>
      </w:pPr>
    </w:p>
    <w:p w14:paraId="538F4B87" w14:textId="5F171A9E" w:rsidR="00377A8B" w:rsidRPr="00B5212B" w:rsidRDefault="00377A8B" w:rsidP="00377A8B">
      <w:pPr>
        <w:spacing w:line="240" w:lineRule="auto"/>
        <w:rPr>
          <w:rFonts w:eastAsia="EC Square Sans Pro"/>
          <w:b/>
          <w:bCs/>
          <w:i/>
          <w:iCs/>
          <w:noProof/>
          <w:sz w:val="24"/>
          <w:szCs w:val="24"/>
        </w:rPr>
      </w:pPr>
      <w:r>
        <w:rPr>
          <w:b/>
          <w:i/>
          <w:noProof/>
          <w:sz w:val="24"/>
        </w:rPr>
        <w:t>Îmbunătățirea readmisiei de către țările terțe</w:t>
      </w:r>
    </w:p>
    <w:p w14:paraId="3B5161BF" w14:textId="0FD5FDCF" w:rsidR="00377A8B" w:rsidRPr="00B5212B" w:rsidRDefault="4C1896F0" w:rsidP="00377A8B">
      <w:pPr>
        <w:spacing w:line="240" w:lineRule="auto"/>
        <w:rPr>
          <w:rFonts w:eastAsia="EC Square Sans Pro"/>
          <w:noProof/>
          <w:sz w:val="24"/>
          <w:szCs w:val="24"/>
        </w:rPr>
      </w:pPr>
      <w:r>
        <w:rPr>
          <w:b/>
          <w:noProof/>
          <w:sz w:val="24"/>
        </w:rPr>
        <w:t xml:space="preserve">Cooperarea în ceea ce privește readmisia </w:t>
      </w:r>
      <w:r>
        <w:rPr>
          <w:noProof/>
          <w:sz w:val="24"/>
        </w:rPr>
        <w:t xml:space="preserve">de către țările de origine ale migranților este necesară pentru efectuarea cu succes a returnărilor și pentru gestionarea eficientă a migrației și reprezintă o altă componentă-cheie a sistemului european comun pentru returnări. Readmisia propriilor resortisanți este o obligație în temeiul dreptului internațional cutumiar pe care se bazează acordurile și înțelegerile de readmisie ale UE și acordurile de parteneriat (de exemplu, acordurile de parteneriat și cooperare) încheiate cu țările terțe, precum și cadrele juridice multilaterale (de exemplu, Acordul din Samoa încheiat cu țările din Africa, zona Caraibilor și Pacific). </w:t>
      </w:r>
    </w:p>
    <w:p w14:paraId="5F058E82" w14:textId="2FAEA59B" w:rsidR="0070402B" w:rsidRDefault="0D54D144" w:rsidP="00377A8B">
      <w:pPr>
        <w:spacing w:line="240" w:lineRule="auto"/>
        <w:rPr>
          <w:noProof/>
          <w:sz w:val="24"/>
          <w:szCs w:val="24"/>
        </w:rPr>
      </w:pPr>
      <w:r>
        <w:rPr>
          <w:noProof/>
          <w:sz w:val="24"/>
        </w:rPr>
        <w:t>În acest sens, îmbunătățirea cooperării în materie de readmisie rămâne o prioritate-cheie a diplomației UE în domeniul migrației. În strânsă cooperare cu statele membre, Comisia monitorizează periodic cooperarea în materie de readmisie în cadrul instrumentelor bilaterale și multilaterale de readmisie existente și prin evaluarea anuală a cooperării în materie de readmisie în temeiul articolului 25a din Codul de vize (</w:t>
      </w:r>
      <w:r>
        <w:rPr>
          <w:rStyle w:val="FootnoteReference"/>
          <w:noProof/>
          <w:sz w:val="24"/>
          <w:szCs w:val="24"/>
        </w:rPr>
        <w:footnoteReference w:id="50"/>
      </w:r>
      <w:r>
        <w:rPr>
          <w:noProof/>
          <w:sz w:val="24"/>
        </w:rPr>
        <w:t xml:space="preserve">). Uniunea trebuie să utilizeze și să își consolideze setul de instrumente pentru promovarea cooperării în acest domeniu, în conformitate cu apelurile repetate ale liderilor UE de a utiliza toate instrumentele de politică pentru îmbunătățirea returnării și a readmisiei. Punerea în aplicare efectivă a celor 24 de </w:t>
      </w:r>
      <w:r>
        <w:rPr>
          <w:b/>
          <w:noProof/>
          <w:sz w:val="24"/>
        </w:rPr>
        <w:t>acorduri și înțelegeri de readmisie existente încheiate de UE</w:t>
      </w:r>
      <w:r>
        <w:rPr>
          <w:noProof/>
          <w:sz w:val="24"/>
        </w:rPr>
        <w:t xml:space="preserve"> cu țările terțe (</w:t>
      </w:r>
      <w:r>
        <w:rPr>
          <w:rStyle w:val="FootnoteReference"/>
          <w:noProof/>
          <w:sz w:val="24"/>
          <w:szCs w:val="24"/>
        </w:rPr>
        <w:footnoteReference w:id="51"/>
      </w:r>
      <w:r>
        <w:rPr>
          <w:noProof/>
          <w:sz w:val="24"/>
        </w:rPr>
        <w:t xml:space="preserve">), precum și respectarea deplină și asigurarea respectării obligațiilor consacrate în acordurile internaționale ale UE trebuie să rămână o prioritate. </w:t>
      </w:r>
    </w:p>
    <w:p w14:paraId="7A18CED8" w14:textId="7FE247E1" w:rsidR="00E82833" w:rsidRPr="00B5212B" w:rsidRDefault="1E39B8B5">
      <w:pPr>
        <w:spacing w:line="240" w:lineRule="auto"/>
        <w:rPr>
          <w:rFonts w:eastAsia="EC Square Sans Pro"/>
          <w:noProof/>
          <w:sz w:val="24"/>
          <w:szCs w:val="24"/>
        </w:rPr>
      </w:pPr>
      <w:r>
        <w:rPr>
          <w:noProof/>
          <w:sz w:val="24"/>
        </w:rPr>
        <w:t xml:space="preserve">Pentru a maximiza cooperarea Uniunii cu țările terțe și pentru a asigura o abordare strategică eficace a negocierilor, Comisia va colabora cu statele membre pentru îmbunătățirea în continuare a schimbului de informații în acest domeniu. Astfel de schimburi ar trebui să includă reflecții cu privire la modalitatea optimă de îndeplinire a mandatelor de negociere în curs pentru acordurile de readmisie. Negocierile în curs privind readmisia trebuie să fie finalizate rapid și ar trebui lansate noi negocieri, în cazul în care acestea oferă valoare adăugată la nivelul UE. Acordul din Samoa oferă, de asemenea, un cadru clar pentru punerea în aplicare a obligațiilor de readmisie, reamintind obligația tuturor părților de readmitere a propriilor resortisanți: punerea în aplicare a acordului va fi monitorizată și sprijinită printr-un angajament specific, dacă este necesar. După caz, Comisia va continua să încheie acorduri cu partenerii internaționali pentru a stabili proceduri standard de operare în ceea ce privește readmisia propriilor resortisanți și pentru a elimina obstacolele care împiedică cooperarea cu partenerii respectivi. </w:t>
      </w:r>
    </w:p>
    <w:p w14:paraId="38C2EEEC" w14:textId="03418250" w:rsidR="00377A8B" w:rsidRPr="00B5212B" w:rsidRDefault="4B46FE3E" w:rsidP="00377A8B">
      <w:pPr>
        <w:spacing w:line="240" w:lineRule="auto"/>
        <w:rPr>
          <w:rFonts w:eastAsia="EC Square Sans Pro"/>
          <w:noProof/>
          <w:sz w:val="24"/>
          <w:szCs w:val="24"/>
        </w:rPr>
      </w:pPr>
      <w:r>
        <w:rPr>
          <w:noProof/>
          <w:sz w:val="24"/>
        </w:rPr>
        <w:t xml:space="preserve">Pentru a realiza progrese concrete în ceea ce privește cooperarea în materie de readmisie ca parte a diplomației în domeniul migrației, Comisia, Înaltul Reprezentant și statele membre trebuie să mobilizeze </w:t>
      </w:r>
      <w:r>
        <w:rPr>
          <w:b/>
          <w:noProof/>
          <w:sz w:val="24"/>
        </w:rPr>
        <w:t>stimulentele și pârghiile necesare</w:t>
      </w:r>
      <w:r>
        <w:rPr>
          <w:noProof/>
          <w:sz w:val="24"/>
        </w:rPr>
        <w:t xml:space="preserve"> prin utilizarea tuturor politicilor, instrumentelor și mijloacelor relevante ale UE.</w:t>
      </w:r>
    </w:p>
    <w:p w14:paraId="2A63CCC4" w14:textId="3CB62A11" w:rsidR="00FC0CFA" w:rsidRPr="00273D97" w:rsidRDefault="1C25323E" w:rsidP="49BA89CF">
      <w:pPr>
        <w:spacing w:line="240" w:lineRule="auto"/>
        <w:rPr>
          <w:noProof/>
          <w:sz w:val="24"/>
          <w:szCs w:val="24"/>
        </w:rPr>
      </w:pPr>
      <w:r>
        <w:rPr>
          <w:b/>
          <w:i/>
          <w:noProof/>
          <w:sz w:val="24"/>
        </w:rPr>
        <w:t>Abordarea contextelor dificile</w:t>
      </w:r>
    </w:p>
    <w:p w14:paraId="4AB67AFE" w14:textId="7DEF498B" w:rsidR="00B059CA" w:rsidRDefault="00377FB9">
      <w:pPr>
        <w:spacing w:line="240" w:lineRule="auto"/>
        <w:rPr>
          <w:rFonts w:eastAsia="EC Square Sans Pro"/>
          <w:noProof/>
          <w:sz w:val="24"/>
          <w:szCs w:val="24"/>
        </w:rPr>
      </w:pPr>
      <w:r>
        <w:rPr>
          <w:noProof/>
          <w:sz w:val="24"/>
        </w:rPr>
        <w:t xml:space="preserve">Unele situații referitoare la anumite țări terțe merită o atenție sporită. De exemplu, </w:t>
      </w:r>
      <w:r>
        <w:rPr>
          <w:b/>
          <w:noProof/>
          <w:sz w:val="24"/>
        </w:rPr>
        <w:t>Siria</w:t>
      </w:r>
      <w:r>
        <w:rPr>
          <w:noProof/>
          <w:sz w:val="24"/>
        </w:rPr>
        <w:t xml:space="preserve"> se confruntă în continuare cu provocări politice, de securitate, umanitare și de dezvoltare semnificative. UE sprijină o tranziție politică pașnică și favorabilă incluziunii, condusă de Siria, precum și redresarea socioeconomică a acestei țări pentru a preveni reapariția violenței. Comisia colaborează cu UNHCR pentru a sprijini returnările voluntare și reintegrarea durabilă a persoanelor returnate. În plus, Comisia a emis orientări referitoare la efectuarea de vizite „de probă” pentru beneficiarii sirieni de protecție internațională din UE care ar dori să se întoarcă în Siria. De asemenea, Frontex oferă din nou sprijin pentru operațiunile de returnare și de reintegrare a cetățenilor sirieni. </w:t>
      </w:r>
    </w:p>
    <w:p w14:paraId="11C81FFF" w14:textId="773EC9DE" w:rsidR="00C070CB" w:rsidRDefault="00367454">
      <w:pPr>
        <w:spacing w:line="240" w:lineRule="auto"/>
        <w:rPr>
          <w:rFonts w:eastAsia="EC Square Sans Pro"/>
          <w:noProof/>
          <w:sz w:val="24"/>
          <w:szCs w:val="24"/>
        </w:rPr>
      </w:pPr>
      <w:r>
        <w:rPr>
          <w:noProof/>
          <w:sz w:val="24"/>
        </w:rPr>
        <w:t xml:space="preserve">Comisia depune, de asemenea, eforturi pentru a asigura coordonarea la nivelul UE în ceea ce privește situația afganilor care locuiesc în UE. În acest scop, Comisia colaborează la nivel tehnic cu autoritățile </w:t>
      </w:r>
      <w:r>
        <w:rPr>
          <w:i/>
          <w:noProof/>
          <w:sz w:val="24"/>
        </w:rPr>
        <w:t>de facto</w:t>
      </w:r>
      <w:r>
        <w:rPr>
          <w:noProof/>
          <w:sz w:val="24"/>
        </w:rPr>
        <w:t xml:space="preserve"> din </w:t>
      </w:r>
      <w:r>
        <w:rPr>
          <w:b/>
          <w:noProof/>
          <w:sz w:val="24"/>
        </w:rPr>
        <w:t>Afganistan</w:t>
      </w:r>
      <w:r>
        <w:rPr>
          <w:noProof/>
          <w:sz w:val="24"/>
        </w:rPr>
        <w:t xml:space="preserve"> cu privire la posibila returnare și readmisie a resortisanților afgani aflați în situație de ședere ilegală în UE, în special a celor care au comis infracțiuni sau prezintă riscuri în materie de securitate, în conformitate cu dreptul UE și cu obligațiile internaționale, inclusiv cu respectarea deplină a principiului nereturnării. Comisia colaborează strâns cu statele membre și se bazează, de asemenea, pe sprijinul oferit de Frontex pentru returnările voluntare prin intermediul Programului de reintegrare al UE. </w:t>
      </w:r>
    </w:p>
    <w:p w14:paraId="2B9C7019" w14:textId="2369827D" w:rsidR="00A7291D" w:rsidRPr="00590037" w:rsidRDefault="1CDD8C2C" w:rsidP="49BA89CF">
      <w:pPr>
        <w:pStyle w:val="Heading1"/>
        <w:spacing w:before="0"/>
        <w:rPr>
          <w:noProof/>
        </w:rPr>
      </w:pPr>
      <w:r>
        <w:rPr>
          <w:noProof/>
        </w:rPr>
        <w:t xml:space="preserve"> Mobilitatea forței de muncă și a talentelor pentru sporirea competitivității </w:t>
      </w:r>
    </w:p>
    <w:p w14:paraId="04E75F10" w14:textId="296B8F46" w:rsidR="0042504C" w:rsidRPr="00B5212B" w:rsidRDefault="790501EE" w:rsidP="00A7291D">
      <w:pPr>
        <w:spacing w:line="240" w:lineRule="auto"/>
        <w:rPr>
          <w:noProof/>
          <w:sz w:val="24"/>
          <w:szCs w:val="24"/>
        </w:rPr>
      </w:pPr>
      <w:r>
        <w:rPr>
          <w:noProof/>
          <w:sz w:val="24"/>
        </w:rPr>
        <w:t xml:space="preserve">În următorii ani, este probabil ca lacunele în materie de competențe și deficitul de forță de muncă, determinate și de dinamica demografică, să accentueze nevoile tot mai mari de pe </w:t>
      </w:r>
      <w:r>
        <w:rPr>
          <w:b/>
          <w:noProof/>
          <w:sz w:val="24"/>
        </w:rPr>
        <w:t>piața noastră a forței de muncă</w:t>
      </w:r>
      <w:r>
        <w:rPr>
          <w:noProof/>
          <w:sz w:val="24"/>
        </w:rPr>
        <w:t xml:space="preserve"> în multe sectoare-cheie și, în proporții diferite, în întreaga Uniune (</w:t>
      </w:r>
      <w:r>
        <w:rPr>
          <w:rStyle w:val="FootnoteReference"/>
          <w:noProof/>
          <w:sz w:val="24"/>
          <w:szCs w:val="24"/>
        </w:rPr>
        <w:footnoteReference w:id="52"/>
      </w:r>
      <w:r>
        <w:rPr>
          <w:noProof/>
          <w:sz w:val="24"/>
        </w:rPr>
        <w:t xml:space="preserve">). Cererea în domenii-cheie esențiale pentru economia UE și pentru bunăstarea cetățenilor, de la domenii de vârf, cum ar fi IA, la îngrijirea copiilor și a persoanelor vârstnice, va continua să crească. Rezerva de talente la nivelul UE, adoptată recent, a identificat deja 42 de ocupații în care UE se confruntă cu deficite de forță de muncă și de competențe care limitează potențialul economic european și în cazul cărora mobilitatea forței de muncă și a talentelor poate oferi o contribuție importantă. </w:t>
      </w:r>
    </w:p>
    <w:p w14:paraId="1263D4FC" w14:textId="6919924E" w:rsidR="0042504C" w:rsidRPr="00B5212B" w:rsidRDefault="00A7291D" w:rsidP="00A7291D">
      <w:pPr>
        <w:spacing w:line="240" w:lineRule="auto"/>
        <w:rPr>
          <w:noProof/>
          <w:sz w:val="24"/>
          <w:szCs w:val="24"/>
        </w:rPr>
      </w:pPr>
      <w:r>
        <w:rPr>
          <w:noProof/>
          <w:sz w:val="24"/>
        </w:rPr>
        <w:t>Uniunea competențelor (</w:t>
      </w:r>
      <w:r>
        <w:rPr>
          <w:rStyle w:val="FootnoteReference"/>
          <w:noProof/>
          <w:sz w:val="24"/>
          <w:szCs w:val="24"/>
        </w:rPr>
        <w:footnoteReference w:id="53"/>
      </w:r>
      <w:r>
        <w:rPr>
          <w:noProof/>
          <w:sz w:val="24"/>
        </w:rPr>
        <w:t>) abordează nevoia de atragere și de păstrare a talentelor din țări terțe, în completarea măsurilor de activare și perfecționare a forței de muncă interne,</w:t>
      </w:r>
      <w:r>
        <w:rPr>
          <w:rFonts w:ascii="Aptos" w:hAnsi="Aptos"/>
          <w:b/>
          <w:noProof/>
          <w:color w:val="000000" w:themeColor="text1"/>
        </w:rPr>
        <w:t xml:space="preserve"> </w:t>
      </w:r>
      <w:r>
        <w:rPr>
          <w:noProof/>
          <w:sz w:val="24"/>
        </w:rPr>
        <w:t xml:space="preserve">inclusiv a resortisanților țărilor terțe care locuiesc deja în Uniune. Mobilitatea forței de muncă și a talentelor face parte din modelul economic al UE, sporindu-i </w:t>
      </w:r>
      <w:r>
        <w:rPr>
          <w:b/>
          <w:noProof/>
          <w:sz w:val="24"/>
        </w:rPr>
        <w:t>competitivitatea</w:t>
      </w:r>
      <w:r>
        <w:rPr>
          <w:noProof/>
          <w:sz w:val="24"/>
        </w:rPr>
        <w:t>, abordând provocările demografice și în materie de competențe (</w:t>
      </w:r>
      <w:r>
        <w:rPr>
          <w:rStyle w:val="FootnoteReference"/>
          <w:noProof/>
          <w:sz w:val="24"/>
          <w:szCs w:val="24"/>
        </w:rPr>
        <w:footnoteReference w:id="54"/>
      </w:r>
      <w:r>
        <w:rPr>
          <w:noProof/>
          <w:sz w:val="24"/>
        </w:rPr>
        <w:t xml:space="preserve">) și promovând inovarea. </w:t>
      </w:r>
    </w:p>
    <w:p w14:paraId="7350C4FF" w14:textId="3ED34488" w:rsidR="00752F06" w:rsidRPr="00B5212B" w:rsidRDefault="790501EE" w:rsidP="3F0769EC">
      <w:pPr>
        <w:spacing w:line="240" w:lineRule="auto"/>
        <w:rPr>
          <w:noProof/>
          <w:sz w:val="24"/>
          <w:szCs w:val="24"/>
        </w:rPr>
      </w:pPr>
      <w:r>
        <w:rPr>
          <w:noProof/>
          <w:sz w:val="24"/>
        </w:rPr>
        <w:t xml:space="preserve">În următorii cinci ani, UE ar trebui să își propună să devină cea mai atractivă destinație în cursa mondială pentru talente, atrăgând forță de muncă calificată, de la inovatori care să impulsioneze progresul tehnologic la lucrători care furnizează servicii de îngrijire esențiale. În acest scop, trebuie să ne </w:t>
      </w:r>
      <w:r>
        <w:rPr>
          <w:b/>
          <w:noProof/>
          <w:sz w:val="24"/>
        </w:rPr>
        <w:t>intensificăm cooperarea cu țările partenere</w:t>
      </w:r>
      <w:r>
        <w:rPr>
          <w:noProof/>
          <w:sz w:val="24"/>
        </w:rPr>
        <w:t xml:space="preserve">, utilizând mobilitatea forței de muncă și a talentelor ca instrument atât în serviciul diplomației în domeniul migrației, cât și pentru relații diplomatice și economice cuprinzătoare cu partenerii și lansând inițiative noi și inovatoare la nivelul Uniunii, în cooperare cu statele membre, pentru a atrage lucrători formați și pregătiți pentru piața noastră a forței de muncă. </w:t>
      </w:r>
    </w:p>
    <w:p w14:paraId="6AB21123" w14:textId="19DB6DDB" w:rsidR="00752F06" w:rsidRPr="00B5212B" w:rsidRDefault="48465D6B" w:rsidP="00A7291D">
      <w:pPr>
        <w:spacing w:line="240" w:lineRule="auto"/>
        <w:rPr>
          <w:noProof/>
          <w:sz w:val="24"/>
          <w:szCs w:val="24"/>
        </w:rPr>
      </w:pPr>
      <w:r>
        <w:rPr>
          <w:noProof/>
          <w:sz w:val="24"/>
        </w:rPr>
        <w:t xml:space="preserve">În același timp, atragerea forței de muncă și a talentelor trebuie să fie completată de </w:t>
      </w:r>
      <w:r>
        <w:rPr>
          <w:b/>
          <w:noProof/>
          <w:sz w:val="24"/>
        </w:rPr>
        <w:t>capacitatea de a o păstra</w:t>
      </w:r>
      <w:r>
        <w:rPr>
          <w:noProof/>
          <w:sz w:val="24"/>
        </w:rPr>
        <w:t>. Pentru a realiza acest lucru, Uniunea are nevoie de un mediu socioeconomic care să poată facilita integrarea lucrătorilor străini pe piața forței de muncă, permițându-le în același timp să se integreze în societățile noastre și să contribuie la prosperitatea acestora.</w:t>
      </w:r>
    </w:p>
    <w:p w14:paraId="17FA6C6B" w14:textId="2803A14C" w:rsidR="00A7291D" w:rsidRPr="00B5212B" w:rsidRDefault="0028167C" w:rsidP="49BA89CF">
      <w:pPr>
        <w:spacing w:line="240" w:lineRule="auto"/>
        <w:rPr>
          <w:b/>
          <w:bCs/>
          <w:i/>
          <w:iCs/>
          <w:noProof/>
          <w:sz w:val="24"/>
          <w:szCs w:val="24"/>
        </w:rPr>
      </w:pPr>
      <w:r>
        <w:rPr>
          <w:b/>
          <w:i/>
          <w:noProof/>
          <w:sz w:val="24"/>
        </w:rPr>
        <w:t>Mobilitatea forței de muncă și a talentelor ca instrument în serviciul diplomației în domeniul migrației</w:t>
      </w:r>
    </w:p>
    <w:p w14:paraId="7D1DF13A" w14:textId="5566B479" w:rsidR="00A7291D" w:rsidRPr="00B5212B" w:rsidRDefault="0028167C" w:rsidP="00A7291D">
      <w:pPr>
        <w:spacing w:line="240" w:lineRule="auto"/>
        <w:rPr>
          <w:rFonts w:eastAsia="EC Square Sans Pro"/>
          <w:noProof/>
          <w:sz w:val="24"/>
          <w:szCs w:val="24"/>
        </w:rPr>
      </w:pPr>
      <w:r>
        <w:rPr>
          <w:noProof/>
          <w:sz w:val="24"/>
        </w:rPr>
        <w:t xml:space="preserve">Atragerea și mobilitatea forței de muncă și a talentelor, precum și parcursurile educaționale, profesionale și de formare trebuie să devină un element strategic al relațiilor noastre cuprinzătoare cu țările partenere. Extinderea </w:t>
      </w:r>
      <w:r>
        <w:rPr>
          <w:b/>
          <w:noProof/>
          <w:sz w:val="24"/>
        </w:rPr>
        <w:t>parteneriatelor existente pentru atragerea de talente</w:t>
      </w:r>
      <w:r>
        <w:rPr>
          <w:noProof/>
          <w:sz w:val="24"/>
        </w:rPr>
        <w:t xml:space="preserve"> cu Maroc, Tunisia, Egipt, Pakistan și Bangladesh și lansarea unora noi reprezintă doar un prim pas. </w:t>
      </w:r>
    </w:p>
    <w:p w14:paraId="6F64C226" w14:textId="619BFA83" w:rsidR="001325C6" w:rsidRPr="00B5212B" w:rsidRDefault="00596CD9">
      <w:pPr>
        <w:spacing w:line="240" w:lineRule="auto"/>
        <w:rPr>
          <w:rFonts w:eastAsia="EC Square Sans Pro"/>
          <w:noProof/>
          <w:sz w:val="24"/>
          <w:szCs w:val="24"/>
        </w:rPr>
      </w:pPr>
      <w:r>
        <w:rPr>
          <w:noProof/>
          <w:sz w:val="24"/>
        </w:rPr>
        <w:t xml:space="preserve">Pe lângă parteneriatele pentru atragerea de talente, UE trebuie să reunească prioritățile în materie de competitivitate în contextul </w:t>
      </w:r>
      <w:r>
        <w:rPr>
          <w:b/>
          <w:noProof/>
          <w:sz w:val="24"/>
        </w:rPr>
        <w:t>cooperării cuprinzătoare cu țările partenere</w:t>
      </w:r>
      <w:r>
        <w:rPr>
          <w:noProof/>
          <w:sz w:val="24"/>
        </w:rPr>
        <w:t>, urmând traiectoria stabilită de Pactul pentru Mediterana. În acest sens, Comisia va lansa, în 2026, un proiect-pilot pentru un birou european de acces legal în India în sectorul tehnologiei informației și comunicațiilor. Acesta va fi un ghișeu unic care va sprijini mobilitatea lucrătorilor din India către UE. Pe baza lecțiilor învățate din acest proiect-pilot, Comisia intenționează să extindă conceptul de birou european de acces legal în alte sectoare și în alte țări partenere, inclusiv în țările cu care au fost încheiate parteneriate pentru atragerea de talente, în completarea Rezervei de talente la nivelul UE și ținând seama de interesele strategice ale UE. Continuarea cooperării privind mobilitatea talentelor ar trebui promovată și în contextul strategiei „Global Gateway”.</w:t>
      </w:r>
    </w:p>
    <w:p w14:paraId="2062B26A" w14:textId="2038C060" w:rsidR="00A46F1B" w:rsidRPr="00B5212B" w:rsidRDefault="002E590B" w:rsidP="00A46F1B">
      <w:pPr>
        <w:spacing w:line="240" w:lineRule="auto"/>
        <w:rPr>
          <w:noProof/>
          <w:sz w:val="24"/>
          <w:szCs w:val="24"/>
        </w:rPr>
      </w:pPr>
      <w:r>
        <w:rPr>
          <w:noProof/>
          <w:sz w:val="24"/>
        </w:rPr>
        <w:t xml:space="preserve">Uniunea și țările partenere au un interes comun în promovarea mobilității forței de muncă. Cu toate acestea, pregătirea lucrătorilor din țările terțe pentru intrarea pe piața europeană a forței de muncă și pentru integrarea lor în societățile noastre este un demers complex, care necesită investiții și eforturi din partea ambelor părți. Pentru îmbunătățirea bazei de competențe a persoanelor care ar putea veni să lucreze și să locuiască în Uniune și analizând modelele de partajare a costurilor și a riscurilor cu sectorul privat, Comisia va sprijini </w:t>
      </w:r>
      <w:r>
        <w:rPr>
          <w:b/>
          <w:noProof/>
          <w:sz w:val="24"/>
        </w:rPr>
        <w:t xml:space="preserve">activitățile de formare și cele premergătoare plecării </w:t>
      </w:r>
      <w:r>
        <w:rPr>
          <w:noProof/>
          <w:sz w:val="24"/>
        </w:rPr>
        <w:t xml:space="preserve">pentru resortisanții țărilor terțe aflați în căutarea unui loc de muncă, asigurându-se că aceștia au competențele tehnice, profesionale, lingvistice și culturale necesare, inclusiv ca parte a viitoarei </w:t>
      </w:r>
      <w:r>
        <w:rPr>
          <w:noProof/>
          <w:color w:val="333333"/>
          <w:sz w:val="24"/>
        </w:rPr>
        <w:t>strategii europene pentru educație și formare profesională</w:t>
      </w:r>
      <w:r>
        <w:rPr>
          <w:noProof/>
          <w:sz w:val="24"/>
        </w:rPr>
        <w:t xml:space="preserve">. </w:t>
      </w:r>
    </w:p>
    <w:p w14:paraId="55D4B9F2" w14:textId="36BEF70F" w:rsidR="00A7291D" w:rsidRPr="00B5212B" w:rsidRDefault="550862A0" w:rsidP="0031456A">
      <w:pPr>
        <w:spacing w:line="240" w:lineRule="auto"/>
        <w:rPr>
          <w:rFonts w:eastAsia="EC Square Sans Pro"/>
          <w:noProof/>
          <w:sz w:val="24"/>
          <w:szCs w:val="24"/>
        </w:rPr>
      </w:pPr>
      <w:r>
        <w:rPr>
          <w:noProof/>
          <w:sz w:val="24"/>
        </w:rPr>
        <w:t xml:space="preserve">De asemenea, Comisia va implica mai mult </w:t>
      </w:r>
      <w:r>
        <w:rPr>
          <w:b/>
          <w:noProof/>
          <w:sz w:val="24"/>
        </w:rPr>
        <w:t>industria și partenerii sociali din UE</w:t>
      </w:r>
      <w:r>
        <w:rPr>
          <w:noProof/>
          <w:sz w:val="24"/>
        </w:rPr>
        <w:t xml:space="preserve"> în dezvoltarea și punerea în aplicare a inițiativelor ce vizează țările terțe, întrucât aceștia știu cel mai bine de ce competențe au nevoie și sunt principalii beneficiari ai politicilor de mobilitate a talentelor. Comisia intenționează să utilizeze forurile existente, cum ar fi Platforma privind migrația forței de muncă, comitetele de dialog social sectorial, Forumul industrial și Forumul Spațiului european de cercetare, pentru a impulsiona implicarea industriei și a angajatorilor în atragerea talentelor. </w:t>
      </w:r>
    </w:p>
    <w:p w14:paraId="54E21953" w14:textId="05B18250" w:rsidR="007404FB" w:rsidRPr="00B5212B" w:rsidRDefault="7129BD76" w:rsidP="0031456A">
      <w:pPr>
        <w:spacing w:line="240" w:lineRule="auto"/>
        <w:rPr>
          <w:rFonts w:eastAsia="EC Square Sans Pro"/>
          <w:noProof/>
        </w:rPr>
      </w:pPr>
      <w:r>
        <w:rPr>
          <w:b/>
          <w:noProof/>
          <w:sz w:val="24"/>
        </w:rPr>
        <w:t>Rezerva de talente la nivelul UE</w:t>
      </w:r>
      <w:r>
        <w:rPr>
          <w:noProof/>
          <w:sz w:val="24"/>
        </w:rPr>
        <w:t> (</w:t>
      </w:r>
      <w:r>
        <w:rPr>
          <w:rStyle w:val="FootnoteReference"/>
          <w:rFonts w:eastAsia="EC Square Sans Pro"/>
          <w:noProof/>
          <w:sz w:val="24"/>
          <w:szCs w:val="24"/>
        </w:rPr>
        <w:footnoteReference w:id="55"/>
      </w:r>
      <w:r>
        <w:rPr>
          <w:noProof/>
          <w:sz w:val="24"/>
        </w:rPr>
        <w:t>), primul instrument la nivelul UE care permite corelarea între angajatorii din UE și persoanele din afara UE aflate în căutarea unui loc de muncă în sectoare specifice, va fi esențială pentru abordarea deficitului de forță de muncă și de competențe, precum și pentru îmbunătățirea cooperării cu țările partenere pe termen lung. Comisia acordă prioritate dezvoltării platformei informatice pentru instituirea și operaționalizarea rezervei de talente în 2027. Pentru valorificarea întregului potențial al acesteia, implicarea și participarea timpurie a statelor membre vor fi esențiale.</w:t>
      </w:r>
    </w:p>
    <w:p w14:paraId="410B83B4" w14:textId="2A262D98" w:rsidR="00A7291D" w:rsidRPr="00B5212B" w:rsidRDefault="35D49FB4" w:rsidP="49BA89CF">
      <w:pPr>
        <w:rPr>
          <w:b/>
          <w:bCs/>
          <w:i/>
          <w:iCs/>
          <w:noProof/>
          <w:sz w:val="24"/>
          <w:szCs w:val="24"/>
        </w:rPr>
      </w:pPr>
      <w:r>
        <w:rPr>
          <w:b/>
          <w:i/>
          <w:noProof/>
          <w:sz w:val="24"/>
        </w:rPr>
        <w:t>Un cadru juridic care încurajează mobilitatea forței de muncă și a talentelor</w:t>
      </w:r>
    </w:p>
    <w:p w14:paraId="04F04158" w14:textId="2655D704" w:rsidR="004A3FEC" w:rsidRDefault="75E8CE76" w:rsidP="00651E1A">
      <w:pPr>
        <w:spacing w:line="240" w:lineRule="auto"/>
        <w:rPr>
          <w:rFonts w:eastAsia="EC Square Sans Pro"/>
          <w:noProof/>
          <w:sz w:val="24"/>
          <w:szCs w:val="24"/>
        </w:rPr>
      </w:pPr>
      <w:r>
        <w:rPr>
          <w:noProof/>
          <w:sz w:val="24"/>
        </w:rPr>
        <w:t>Inițiativa „Alegeți Europa” (</w:t>
      </w:r>
      <w:r>
        <w:rPr>
          <w:rStyle w:val="FootnoteReference"/>
          <w:rFonts w:eastAsia="EC Square Sans Pro"/>
          <w:noProof/>
          <w:sz w:val="24"/>
          <w:szCs w:val="24"/>
        </w:rPr>
        <w:footnoteReference w:id="56"/>
      </w:r>
      <w:r>
        <w:rPr>
          <w:noProof/>
          <w:sz w:val="24"/>
        </w:rPr>
        <w:t xml:space="preserve">) promovează UE ca destinație atractivă pentru profesioniștii cu înaltă calificare. Aceasta evidențiază condițiile care fac din UE un mediu ideal ce le permite talentelor de la nivel mondial să realizeze progrese în materie de cercetare și inovare.  </w:t>
      </w:r>
    </w:p>
    <w:p w14:paraId="52290E1D" w14:textId="7133071A" w:rsidR="001325C6" w:rsidRPr="00B5212B" w:rsidRDefault="741FFDCD" w:rsidP="00651E1A">
      <w:pPr>
        <w:spacing w:line="240" w:lineRule="auto"/>
        <w:rPr>
          <w:rFonts w:eastAsia="EC Square Sans Pro"/>
          <w:noProof/>
          <w:sz w:val="24"/>
          <w:szCs w:val="24"/>
        </w:rPr>
      </w:pPr>
      <w:r>
        <w:rPr>
          <w:noProof/>
          <w:sz w:val="24"/>
        </w:rPr>
        <w:t xml:space="preserve">În același timp, </w:t>
      </w:r>
      <w:r>
        <w:rPr>
          <w:b/>
          <w:noProof/>
          <w:sz w:val="24"/>
        </w:rPr>
        <w:t xml:space="preserve">cadrul juridic referitor la mobilitatea forței de muncă și a talentelor </w:t>
      </w:r>
      <w:r>
        <w:rPr>
          <w:noProof/>
          <w:sz w:val="24"/>
        </w:rPr>
        <w:t>către UE rămâne fragmentat, cu o interacțiune complexă între normele UE și cadrele juridice naționale (</w:t>
      </w:r>
      <w:r>
        <w:rPr>
          <w:rStyle w:val="FootnoteReference"/>
          <w:rFonts w:eastAsia="EC Square Sans Pro"/>
          <w:noProof/>
          <w:sz w:val="24"/>
          <w:szCs w:val="24"/>
        </w:rPr>
        <w:footnoteReference w:id="57"/>
      </w:r>
      <w:r>
        <w:rPr>
          <w:noProof/>
          <w:sz w:val="24"/>
        </w:rPr>
        <w:t xml:space="preserve">), fiind dificil de gestionat pentru talentele de la nivel mondial. </w:t>
      </w:r>
    </w:p>
    <w:p w14:paraId="3CD29AD3" w14:textId="49F8EB0D" w:rsidR="00651E1A" w:rsidRPr="00B5212B" w:rsidRDefault="056E1017" w:rsidP="00651E1A">
      <w:pPr>
        <w:spacing w:line="240" w:lineRule="auto"/>
        <w:rPr>
          <w:rFonts w:eastAsia="EC Square Sans Pro"/>
          <w:noProof/>
          <w:sz w:val="24"/>
          <w:szCs w:val="24"/>
        </w:rPr>
      </w:pPr>
      <w:r>
        <w:rPr>
          <w:noProof/>
          <w:sz w:val="24"/>
        </w:rPr>
        <w:t xml:space="preserve">Acest lucru nu este în concordanță cu obiectivele ambițioase ale UE. Va fi necesară explorarea modalităților de </w:t>
      </w:r>
      <w:r>
        <w:rPr>
          <w:b/>
          <w:noProof/>
          <w:sz w:val="24"/>
        </w:rPr>
        <w:t>simplificare și accelerare</w:t>
      </w:r>
      <w:r>
        <w:rPr>
          <w:noProof/>
          <w:sz w:val="24"/>
        </w:rPr>
        <w:t xml:space="preserve"> a proceselor de atragere a resortisanților țărilor terțe cu un puternic potențial de inovare, cum ar fi cercetătorii, studenții, lucrătorii calificați, fondatorii de întreprinderi nou-înființate sau antreprenorii inovatori, precum și lucrătorii necesari pentru ocupațiile cu deficit de forță de muncă în sectoare precum îngrijirea, asistența medicală, turismul sau construcțiile. Strategia privind vizele (</w:t>
      </w:r>
      <w:r>
        <w:rPr>
          <w:rStyle w:val="FootnoteReference"/>
          <w:rFonts w:eastAsia="EC Square Sans Pro"/>
          <w:noProof/>
          <w:sz w:val="24"/>
          <w:szCs w:val="24"/>
        </w:rPr>
        <w:footnoteReference w:id="58"/>
      </w:r>
      <w:r>
        <w:rPr>
          <w:noProof/>
          <w:sz w:val="24"/>
        </w:rPr>
        <w:t>), adoptată împreună cu prezenta strategie, a identificat noi modalități de îmbunătățire a funcționării cadrului existent privind atragerea talentelor, inclusiv prin finanțare și prin Recomandarea Comisiei privind atragerea talentelor pentru inovare (</w:t>
      </w:r>
      <w:r>
        <w:rPr>
          <w:rStyle w:val="FootnoteReference"/>
          <w:rFonts w:eastAsia="EC Square Sans Pro"/>
          <w:noProof/>
          <w:sz w:val="24"/>
          <w:szCs w:val="24"/>
        </w:rPr>
        <w:footnoteReference w:id="59"/>
      </w:r>
      <w:r>
        <w:rPr>
          <w:noProof/>
          <w:sz w:val="24"/>
        </w:rPr>
        <w:t xml:space="preserve">), și a analizat posibilitățile de simplificare și de îmbunătățire a punerii în aplicare a cadrului juridic. </w:t>
      </w:r>
    </w:p>
    <w:p w14:paraId="6B767C68" w14:textId="2F2E948D" w:rsidR="001E7F44" w:rsidRDefault="7AF3A08C" w:rsidP="001325C6">
      <w:pPr>
        <w:spacing w:line="240" w:lineRule="auto"/>
        <w:rPr>
          <w:noProof/>
          <w:sz w:val="24"/>
          <w:szCs w:val="24"/>
        </w:rPr>
      </w:pPr>
      <w:r>
        <w:rPr>
          <w:noProof/>
          <w:sz w:val="24"/>
        </w:rPr>
        <w:t xml:space="preserve">În plus, unul dintre principalele obstacole în calea atragerii talentelor este blocajul legat de </w:t>
      </w:r>
      <w:r>
        <w:rPr>
          <w:b/>
          <w:noProof/>
          <w:sz w:val="24"/>
        </w:rPr>
        <w:t>recunoașterea și validarea calificărilor și competențelor resortisanților țărilor terțe</w:t>
      </w:r>
      <w:r>
        <w:rPr>
          <w:noProof/>
          <w:sz w:val="24"/>
        </w:rPr>
        <w:t>. Recomandarea Comisiei din 2023 privind recunoașterea calificărilor resortisanților țărilor terțe (</w:t>
      </w:r>
      <w:r>
        <w:rPr>
          <w:rStyle w:val="FootnoteReference"/>
          <w:noProof/>
          <w:sz w:val="24"/>
          <w:szCs w:val="24"/>
        </w:rPr>
        <w:footnoteReference w:id="60"/>
      </w:r>
      <w:r>
        <w:rPr>
          <w:noProof/>
          <w:sz w:val="24"/>
        </w:rPr>
        <w:t xml:space="preserve">) a vizat facilitarea proceselor naționale de recunoaștere. În practică însă, aceste procese rămân adesea îndelungate, împovărătoare și fragmentate la nivelul UE și, prin urmare, nu sunt compatibile cu un mediu economic dinamic și cu necesitatea de a acoperi rapid deficitul de forță de muncă cu care se confruntă întreprinderile europene. Pentru a surmonta acest obstacol, ca parte a pachetului privind mobilitatea echitabilă a forței de muncă din 2026, Comisia va lansa o inițiativă privind portabilitatea competențelor, care va include noi norme posibile privind recunoașterea și validarea calificărilor și a competențelor, accelerând procedurile și menținând, în același timp, standardele de calitate preconizate pe piața europeană. </w:t>
      </w:r>
    </w:p>
    <w:p w14:paraId="7D13B5C0" w14:textId="0B8DBC88" w:rsidR="003520B5" w:rsidRPr="00916AA5" w:rsidRDefault="00DA7787" w:rsidP="001325C6">
      <w:pPr>
        <w:spacing w:line="240" w:lineRule="auto"/>
        <w:rPr>
          <w:noProof/>
          <w:sz w:val="24"/>
          <w:szCs w:val="24"/>
        </w:rPr>
      </w:pPr>
      <w:r>
        <w:rPr>
          <w:noProof/>
          <w:sz w:val="24"/>
        </w:rPr>
        <w:t xml:space="preserve">Pentru a valorifica potențialul </w:t>
      </w:r>
      <w:r>
        <w:rPr>
          <w:b/>
          <w:noProof/>
          <w:sz w:val="24"/>
        </w:rPr>
        <w:t>informațiilor privind competențele</w:t>
      </w:r>
      <w:r>
        <w:rPr>
          <w:noProof/>
          <w:sz w:val="24"/>
        </w:rPr>
        <w:t xml:space="preserve">, pe lângă informațiile exacte, obținute în timp util cu privire la competențe și la situația de pe piața forței de muncă din UE și din statele sale membre și pe baza experienței Observatorului european al informațiilor privind competențele, sunt necesare informații actualizate cu privire la situația de pe piața forței de muncă din țările partenere, inclusiv cu privire la competențele și la cadrele calificărilor din aceste țări, pentru a permite compararea cu competențele și calificările din UE. În acest scop, Comisia intenționează să își consolideze în continuare cooperarea cu Fundația Europeană de Formare (ETF) în ceea ce privește cartografierea și compararea competențelor și a calificărilor în țările cu care au fost încheiate parteneriate pentru atragerea de talente și nu numai. </w:t>
      </w:r>
    </w:p>
    <w:p w14:paraId="231320E4" w14:textId="4A6EAB51" w:rsidR="00A25229" w:rsidRPr="00B5212B" w:rsidRDefault="00A25229" w:rsidP="00A25229">
      <w:pPr>
        <w:spacing w:line="240" w:lineRule="auto"/>
        <w:rPr>
          <w:noProof/>
          <w:sz w:val="24"/>
          <w:szCs w:val="24"/>
        </w:rPr>
      </w:pPr>
      <w:r>
        <w:rPr>
          <w:b/>
          <w:i/>
          <w:noProof/>
          <w:sz w:val="24"/>
        </w:rPr>
        <w:t>Combaterea angajării ilegale, a abuzurilor și a exploatării</w:t>
      </w:r>
    </w:p>
    <w:p w14:paraId="0FF459F0" w14:textId="54960874" w:rsidR="00DA1A3D" w:rsidRPr="00B5212B" w:rsidRDefault="00752F06" w:rsidP="00DA1A3D">
      <w:pPr>
        <w:spacing w:line="240" w:lineRule="auto"/>
        <w:rPr>
          <w:noProof/>
          <w:sz w:val="24"/>
          <w:szCs w:val="24"/>
        </w:rPr>
      </w:pPr>
      <w:r>
        <w:rPr>
          <w:noProof/>
          <w:sz w:val="24"/>
        </w:rPr>
        <w:t xml:space="preserve">Deși are nevoie să atragă talente, Europa trebuie să intensifice în același timp eforturile de combatere a angajării ilegale și a abuzurilor împotriva lucrătorilor din țările terțe în UE. Angajarea ilegală și munca neautorizată, asociate adesea și cu exploatarea prin muncă, se numără printre </w:t>
      </w:r>
      <w:r>
        <w:rPr>
          <w:b/>
          <w:noProof/>
          <w:sz w:val="24"/>
        </w:rPr>
        <w:t>principalii factori determinanți ai migrației ilegale</w:t>
      </w:r>
      <w:r>
        <w:rPr>
          <w:noProof/>
          <w:sz w:val="24"/>
        </w:rPr>
        <w:t xml:space="preserve"> și trebuie să fie combătute mai eficient, în special în sectoarele mai expuse acestor riscuri. Uniunea ar trebui să manifeste în același timp deschidere în ceea ce privește atragerea și păstrarea talentelor, dar și toleranță zero față de angajarea ilegală și exploatarea lucrătorilor migranți.</w:t>
      </w:r>
    </w:p>
    <w:p w14:paraId="2FE17F6E" w14:textId="2C2B1073" w:rsidR="00A25229" w:rsidRPr="00B5212B" w:rsidRDefault="3F2FB671" w:rsidP="1D61332A">
      <w:pPr>
        <w:spacing w:line="240" w:lineRule="auto"/>
        <w:rPr>
          <w:noProof/>
          <w:sz w:val="24"/>
          <w:szCs w:val="24"/>
        </w:rPr>
      </w:pPr>
      <w:r>
        <w:rPr>
          <w:noProof/>
          <w:sz w:val="24"/>
        </w:rPr>
        <w:t xml:space="preserve">În 2026, Comisia va prezenta stadiul punerii în aplicare a </w:t>
      </w:r>
      <w:r>
        <w:rPr>
          <w:b/>
          <w:noProof/>
          <w:sz w:val="24"/>
        </w:rPr>
        <w:t>Directivei privind sancțiunile la adresa angajatorilor</w:t>
      </w:r>
      <w:r>
        <w:rPr>
          <w:noProof/>
          <w:sz w:val="24"/>
        </w:rPr>
        <w:t> (</w:t>
      </w:r>
      <w:r>
        <w:rPr>
          <w:rStyle w:val="FootnoteReference"/>
          <w:noProof/>
          <w:sz w:val="24"/>
          <w:szCs w:val="24"/>
        </w:rPr>
        <w:footnoteReference w:id="61"/>
      </w:r>
      <w:r>
        <w:rPr>
          <w:noProof/>
          <w:sz w:val="24"/>
        </w:rPr>
        <w:t xml:space="preserve">) și, dacă este necesar, va propune modificări pentru a spori eficacitatea acesteia. </w:t>
      </w:r>
    </w:p>
    <w:p w14:paraId="771F625D" w14:textId="3E02DCF4" w:rsidR="00531F31" w:rsidRPr="00B5212B" w:rsidRDefault="173B6475" w:rsidP="00A25229">
      <w:pPr>
        <w:spacing w:line="240" w:lineRule="auto"/>
        <w:rPr>
          <w:noProof/>
          <w:sz w:val="24"/>
          <w:szCs w:val="24"/>
        </w:rPr>
      </w:pPr>
      <w:r>
        <w:rPr>
          <w:noProof/>
          <w:sz w:val="24"/>
        </w:rPr>
        <w:t>După cum s-a subliniat în Foaia de parcurs privind locurile de muncă de calitate (</w:t>
      </w:r>
      <w:r>
        <w:rPr>
          <w:rStyle w:val="FootnoteReference"/>
          <w:noProof/>
          <w:sz w:val="24"/>
          <w:szCs w:val="24"/>
        </w:rPr>
        <w:footnoteReference w:id="62"/>
      </w:r>
      <w:r>
        <w:rPr>
          <w:noProof/>
          <w:sz w:val="24"/>
        </w:rPr>
        <w:t xml:space="preserve">), exploatarea, încălcarea normelor de securitate și sănătate și locuințele inadecvate afectează lucrătorii din țările terțe. Trebuie intensificate controalele și inspecțiile în scopul identificării și sancționării angajatorilor care comit abuzuri și pentru a proteja drepturile lucrătorilor din țările terțe. Ca parte a </w:t>
      </w:r>
      <w:r>
        <w:rPr>
          <w:b/>
          <w:noProof/>
          <w:sz w:val="24"/>
        </w:rPr>
        <w:t xml:space="preserve">revizuirii mandatului Autorității Europene a Muncii (ELA) </w:t>
      </w:r>
      <w:r>
        <w:rPr>
          <w:noProof/>
          <w:sz w:val="24"/>
        </w:rPr>
        <w:t xml:space="preserve">în 2026, Comisia va analiza modul în care Autoritatea ar putea aborda mai bine provocările legate de abuzurile asociate condițiilor de muncă ale resortisanților țărilor terțe. </w:t>
      </w:r>
    </w:p>
    <w:p w14:paraId="49CD3C5E" w14:textId="57BA3CFE" w:rsidR="000D0523" w:rsidRDefault="3F2FB671" w:rsidP="00A25229">
      <w:pPr>
        <w:spacing w:line="240" w:lineRule="auto"/>
        <w:rPr>
          <w:noProof/>
          <w:sz w:val="24"/>
          <w:szCs w:val="24"/>
        </w:rPr>
      </w:pPr>
      <w:r>
        <w:rPr>
          <w:noProof/>
          <w:sz w:val="24"/>
        </w:rPr>
        <w:t xml:space="preserve">În paralel, îmbunătățirea </w:t>
      </w:r>
      <w:r>
        <w:rPr>
          <w:b/>
          <w:noProof/>
          <w:sz w:val="24"/>
        </w:rPr>
        <w:t>activităților de asigurare a respectării legislației</w:t>
      </w:r>
      <w:r>
        <w:rPr>
          <w:noProof/>
          <w:sz w:val="24"/>
        </w:rPr>
        <w:t>, inclusiv cu sprijinul unui mandat consolidat al ELA, ar trebui să contribuie la transpunerea corectă și la aplicarea eficace de către statele membre a dispozițiilor legislației UE care protejează drepturile lucrătorilor migranți, inclusiv a Directivei privind lucrătorii sezonieri (</w:t>
      </w:r>
      <w:r>
        <w:rPr>
          <w:rStyle w:val="FootnoteReference"/>
          <w:noProof/>
          <w:sz w:val="24"/>
          <w:szCs w:val="24"/>
        </w:rPr>
        <w:footnoteReference w:id="63"/>
      </w:r>
      <w:r>
        <w:rPr>
          <w:noProof/>
          <w:sz w:val="24"/>
        </w:rPr>
        <w:t>), a Directivei privind sancțiunile la adresa angajatorilor (</w:t>
      </w:r>
      <w:r>
        <w:rPr>
          <w:rStyle w:val="FootnoteReference"/>
          <w:noProof/>
          <w:sz w:val="24"/>
          <w:szCs w:val="24"/>
        </w:rPr>
        <w:footnoteReference w:id="64"/>
      </w:r>
      <w:r>
        <w:rPr>
          <w:noProof/>
          <w:sz w:val="24"/>
        </w:rPr>
        <w:t>) și a Directivei revizuite privind permisul unic (</w:t>
      </w:r>
      <w:r>
        <w:rPr>
          <w:rStyle w:val="FootnoteReference"/>
          <w:noProof/>
          <w:sz w:val="24"/>
          <w:szCs w:val="24"/>
        </w:rPr>
        <w:footnoteReference w:id="65"/>
      </w:r>
      <w:r>
        <w:rPr>
          <w:noProof/>
          <w:sz w:val="24"/>
        </w:rPr>
        <w:t xml:space="preserve">). </w:t>
      </w:r>
    </w:p>
    <w:p w14:paraId="6AD7C43C" w14:textId="1FE2120C" w:rsidR="004A0E16" w:rsidRPr="00B5212B" w:rsidRDefault="004A0E16" w:rsidP="004A0E16">
      <w:pPr>
        <w:rPr>
          <w:b/>
          <w:bCs/>
          <w:i/>
          <w:iCs/>
          <w:noProof/>
          <w:sz w:val="24"/>
          <w:szCs w:val="24"/>
        </w:rPr>
      </w:pPr>
      <w:r>
        <w:rPr>
          <w:b/>
          <w:i/>
          <w:noProof/>
          <w:sz w:val="24"/>
        </w:rPr>
        <w:t>O mai bună integrare a resortisanților țărilor terțe</w:t>
      </w:r>
    </w:p>
    <w:p w14:paraId="3C3EFCE7" w14:textId="3F716146" w:rsidR="00663A09" w:rsidRPr="00B5212B" w:rsidRDefault="004A0E16" w:rsidP="006C3214">
      <w:pPr>
        <w:spacing w:line="240" w:lineRule="auto"/>
        <w:rPr>
          <w:noProof/>
          <w:sz w:val="24"/>
          <w:szCs w:val="24"/>
        </w:rPr>
      </w:pPr>
      <w:r>
        <w:rPr>
          <w:noProof/>
          <w:sz w:val="24"/>
        </w:rPr>
        <w:t xml:space="preserve">Integrarea este atât un drept, cât și o datorie. Este în interesul Uniunii să se asigure că migranții care sosesc în UE pot contribui rapid și în mod activ la societățile noastre – care devin și societățile lor – indiferent dacă au fugit din calea conflictelor, au venit aici ca lucrători, s-au reunit cu membrii apropiați ai familiei sau au sosit prin alte căi legale. Prin urmare, integrarea este un proces în care o </w:t>
      </w:r>
      <w:r>
        <w:rPr>
          <w:b/>
          <w:noProof/>
          <w:sz w:val="24"/>
        </w:rPr>
        <w:t>abordare la nivelul întregii administrații</w:t>
      </w:r>
      <w:r>
        <w:rPr>
          <w:noProof/>
          <w:sz w:val="24"/>
        </w:rPr>
        <w:t xml:space="preserve"> este foarte importantă la nivel național. Acest lucru este vital pentru coeziunea socială, dar și pentru competitivitatea și pentru dinamismul economic al Europei, valorificând pe deplin toate competențele și talentele. Este esențial ca migranții să învețe limba statului membru gazdă, să înțeleagă cultura și sistemele administrative, să lucreze, să plătească impozite și să participe pe deplin la societățile noastre bazate pe valorile europene. Comunitățile din diaspora și organizațiile conduse de migranți sunt actori importanți în sprijinirea procesului de integrare, care necesită un angajament puternic și voluntar din partea migranților, dar și din partea societăților-gazdă. În această privință, migranților trebuie să li se ofere o șansă reală de integrare. Pe baza abordării cuprinzătoare și transsectoriale stabilite în Planul de acțiune privind integrarea și incluziunea și a evaluării la jumătatea perioadei a acestuia (</w:t>
      </w:r>
      <w:r>
        <w:rPr>
          <w:rStyle w:val="FootnoteReference"/>
          <w:noProof/>
          <w:sz w:val="24"/>
          <w:szCs w:val="24"/>
        </w:rPr>
        <w:footnoteReference w:id="66"/>
      </w:r>
      <w:r>
        <w:rPr>
          <w:noProof/>
          <w:sz w:val="24"/>
        </w:rPr>
        <w:t xml:space="preserve">), integrarea ar trebui promovată la toate nivelurile de guvernanță și la nivelul întregii societăți. </w:t>
      </w:r>
    </w:p>
    <w:p w14:paraId="077D4C23" w14:textId="401A87E1" w:rsidR="00CD0239" w:rsidRDefault="3A5998BF">
      <w:pPr>
        <w:spacing w:line="240" w:lineRule="auto"/>
        <w:rPr>
          <w:noProof/>
          <w:sz w:val="24"/>
          <w:szCs w:val="24"/>
        </w:rPr>
      </w:pPr>
      <w:r>
        <w:rPr>
          <w:noProof/>
          <w:sz w:val="24"/>
        </w:rPr>
        <w:t xml:space="preserve">Comisia va continua să promoveze o </w:t>
      </w:r>
      <w:r>
        <w:rPr>
          <w:b/>
          <w:noProof/>
          <w:sz w:val="24"/>
        </w:rPr>
        <w:t>abordare holistică pentru a corela eforturile la nivelul politicilor UE,</w:t>
      </w:r>
      <w:r>
        <w:rPr>
          <w:noProof/>
          <w:sz w:val="24"/>
        </w:rPr>
        <w:t xml:space="preserve"> în special în ceea ce privește dezvoltarea regională, de exemplu cu Agenda UE pentru orașe (</w:t>
      </w:r>
      <w:r>
        <w:rPr>
          <w:rStyle w:val="FootnoteReference"/>
          <w:noProof/>
          <w:sz w:val="24"/>
          <w:szCs w:val="24"/>
        </w:rPr>
        <w:footnoteReference w:id="67"/>
      </w:r>
      <w:r>
        <w:rPr>
          <w:noProof/>
          <w:sz w:val="24"/>
        </w:rPr>
        <w:t>), cu Parteneriatul privind incluziunea migranților și a refugiaților din cadrul Agendei urbane (</w:t>
      </w:r>
      <w:r>
        <w:rPr>
          <w:rStyle w:val="FootnoteReference"/>
          <w:noProof/>
          <w:sz w:val="24"/>
          <w:szCs w:val="24"/>
        </w:rPr>
        <w:footnoteReference w:id="68"/>
      </w:r>
      <w:r>
        <w:rPr>
          <w:noProof/>
          <w:sz w:val="24"/>
        </w:rPr>
        <w:t>) și cu viitoarea actualizare a Planului de acțiune rurală (</w:t>
      </w:r>
      <w:r>
        <w:rPr>
          <w:rStyle w:val="FootnoteReference"/>
          <w:noProof/>
          <w:sz w:val="24"/>
          <w:szCs w:val="24"/>
        </w:rPr>
        <w:footnoteReference w:id="69"/>
      </w:r>
      <w:r>
        <w:rPr>
          <w:noProof/>
          <w:sz w:val="24"/>
        </w:rPr>
        <w:t xml:space="preserve">). În ceea ce privește ocuparea forței de muncă și integrarea pe piața forței de muncă, resortisanții țărilor terțe continuă să contribuie la stimularea creșterii economice în UE. Potențialul lor pe piața forței de muncă din UE nu este încă valorificat pe deplin. Prin urmare, este esențial ca serviciile de ocupare a forței de muncă, partenerii economici și sociali și alți actori de pe piața forței de muncă să fie implicați în continuare în acest proces. În acest scop, continuarea dialogului și a cooperării cu acești actori va sta la baza oricărui efort substanțial de aliniere mai strânsă a politicilor privind migrația și piața forței de muncă și de consolidare a incluziunii migranților pe piața forței de muncă. </w:t>
      </w:r>
    </w:p>
    <w:p w14:paraId="6D7981A5" w14:textId="6ABCB9CD" w:rsidR="00463C7E" w:rsidRPr="00B5212B" w:rsidRDefault="00CD0239" w:rsidP="00463C7E">
      <w:pPr>
        <w:spacing w:line="240" w:lineRule="auto"/>
        <w:rPr>
          <w:noProof/>
          <w:sz w:val="24"/>
          <w:szCs w:val="24"/>
        </w:rPr>
      </w:pPr>
      <w:r>
        <w:rPr>
          <w:noProof/>
          <w:sz w:val="24"/>
        </w:rPr>
        <w:t xml:space="preserve">Acțiunile de sprijinire a integrării și incluziunii resortisanților țărilor terțe ar trebui să fie incluse în continuare într-o abordare mai amplă și pe termen mai lung, care să contribuie, de asemenea, la gestionarea adecvată a sistemelor naționale de educație, de sănătate și de locuințe, beneficiind de sprijin. </w:t>
      </w:r>
      <w:r>
        <w:rPr>
          <w:b/>
          <w:noProof/>
          <w:sz w:val="24"/>
        </w:rPr>
        <w:t>Finanțarea din partea Uniunii</w:t>
      </w:r>
      <w:r>
        <w:rPr>
          <w:noProof/>
          <w:sz w:val="24"/>
        </w:rPr>
        <w:t xml:space="preserve"> ar trebui să sprijine punerea în aplicare a abordării la nivelul întregii administrații în statele membre în ceea ce privește integrarea, oferind oportunități de finanțare autorităților locale și regionale, organizațiilor societății civile și organizațiilor conduse de migranți. În general, această abordare pe termen mai lung privind integrarea resortisanților țărilor terțe ar trebui să se bazeze pe schimburile care au loc în cadrul diferitelor rețele pentru integrare (</w:t>
      </w:r>
      <w:r>
        <w:rPr>
          <w:rStyle w:val="FootnoteReference"/>
          <w:noProof/>
          <w:sz w:val="24"/>
          <w:szCs w:val="24"/>
        </w:rPr>
        <w:footnoteReference w:id="70"/>
      </w:r>
      <w:r>
        <w:rPr>
          <w:noProof/>
          <w:sz w:val="24"/>
        </w:rPr>
        <w:t>) și se depun în continuare eforturi în acest sens în contextul strategiilor relevante (</w:t>
      </w:r>
      <w:r>
        <w:rPr>
          <w:rStyle w:val="FootnoteReference"/>
          <w:noProof/>
          <w:sz w:val="24"/>
          <w:szCs w:val="24"/>
        </w:rPr>
        <w:footnoteReference w:id="71"/>
      </w:r>
      <w:r>
        <w:rPr>
          <w:noProof/>
          <w:sz w:val="24"/>
        </w:rPr>
        <w:t>).</w:t>
      </w:r>
    </w:p>
    <w:p w14:paraId="656D4120" w14:textId="78B68935" w:rsidR="00DB4EE4" w:rsidRPr="0092730C" w:rsidRDefault="00DB4EE4" w:rsidP="00B36B0F">
      <w:pPr>
        <w:pStyle w:val="Heading1"/>
        <w:spacing w:before="0" w:line="240" w:lineRule="auto"/>
        <w:rPr>
          <w:noProof/>
        </w:rPr>
      </w:pPr>
      <w:r>
        <w:rPr>
          <w:noProof/>
        </w:rPr>
        <w:t>Utilizarea strategică a resurselor financiare și consolidarea sprijinului operațional</w:t>
      </w:r>
    </w:p>
    <w:p w14:paraId="03CFE005" w14:textId="4430F813" w:rsidR="00BC6A1D" w:rsidRDefault="00DB2B52" w:rsidP="00DB4EE4">
      <w:pPr>
        <w:spacing w:line="240" w:lineRule="auto"/>
        <w:rPr>
          <w:rFonts w:eastAsia="EC Square Sans Pro"/>
          <w:noProof/>
          <w:sz w:val="24"/>
          <w:szCs w:val="24"/>
        </w:rPr>
      </w:pPr>
      <w:r>
        <w:rPr>
          <w:noProof/>
          <w:sz w:val="24"/>
        </w:rPr>
        <w:t xml:space="preserve">Propunerea Comisiei privind </w:t>
      </w:r>
      <w:r>
        <w:rPr>
          <w:b/>
          <w:noProof/>
          <w:sz w:val="24"/>
        </w:rPr>
        <w:t>cadrul financiar multianual</w:t>
      </w:r>
      <w:r>
        <w:rPr>
          <w:noProof/>
          <w:sz w:val="24"/>
        </w:rPr>
        <w:t xml:space="preserve"> (CFM) 2028-2034 prevede o creștere importantă a resurselor dedicate migrației și azilului și cooperării internaționale, stimulând în același timp valorificarea de către Uniune a oportunităților în ceea ce privește cooperarea în materie de migrație. </w:t>
      </w:r>
    </w:p>
    <w:p w14:paraId="602349FD" w14:textId="00B60817" w:rsidR="00D4564A" w:rsidRDefault="00BC6A1D" w:rsidP="00DB4EE4">
      <w:pPr>
        <w:spacing w:line="240" w:lineRule="auto"/>
        <w:rPr>
          <w:rFonts w:eastAsia="EC Square Sans Pro"/>
          <w:noProof/>
          <w:sz w:val="24"/>
          <w:szCs w:val="24"/>
        </w:rPr>
      </w:pPr>
      <w:r>
        <w:rPr>
          <w:noProof/>
          <w:sz w:val="24"/>
        </w:rPr>
        <w:t xml:space="preserve">Propunerea privind CFM urmărește să asigure, de asemenea, </w:t>
      </w:r>
      <w:r>
        <w:rPr>
          <w:b/>
          <w:noProof/>
          <w:sz w:val="24"/>
        </w:rPr>
        <w:t xml:space="preserve">resursele financiare necesare </w:t>
      </w:r>
      <w:r>
        <w:rPr>
          <w:noProof/>
          <w:sz w:val="24"/>
        </w:rPr>
        <w:t xml:space="preserve">pentru a sprijini prioritățile stabilite în prezenta strategie. În total, se propune alocarea unei sume de cel puțin 81 de miliarde EUR pentru politicile în domeniul afacerilor interne, care să sprijine gestionarea migrației și a azilului, să sporească securitatea internă și să consolideze frontierele și politica în domeniul vizelor. </w:t>
      </w:r>
    </w:p>
    <w:p w14:paraId="218F499E" w14:textId="53C27045" w:rsidR="00D4564A" w:rsidRDefault="00D4564A" w:rsidP="00D4564A">
      <w:pPr>
        <w:spacing w:line="240" w:lineRule="auto"/>
        <w:rPr>
          <w:rFonts w:eastAsia="EC Square Sans Pro"/>
          <w:noProof/>
          <w:sz w:val="24"/>
          <w:szCs w:val="24"/>
        </w:rPr>
      </w:pPr>
      <w:r>
        <w:rPr>
          <w:noProof/>
          <w:sz w:val="24"/>
        </w:rPr>
        <w:t xml:space="preserve">Pentru a asigura </w:t>
      </w:r>
      <w:r>
        <w:rPr>
          <w:b/>
          <w:noProof/>
          <w:sz w:val="24"/>
        </w:rPr>
        <w:t>controlul și gestionarea eficace a frontierelor externe</w:t>
      </w:r>
      <w:r>
        <w:rPr>
          <w:noProof/>
          <w:sz w:val="24"/>
        </w:rPr>
        <w:t xml:space="preserve"> și pentru a garanta securitatea, pachetul financiar propus ca sprijin din partea Uniunii pentru </w:t>
      </w:r>
      <w:r>
        <w:rPr>
          <w:noProof/>
          <w:color w:val="333333"/>
          <w:sz w:val="24"/>
        </w:rPr>
        <w:t>spațiul Schengen, pentru gestionarea europeană integrată a frontierelor și pentru politica comună în domeniul vizelor</w:t>
      </w:r>
      <w:r>
        <w:rPr>
          <w:rFonts w:ascii="Times New Roman Bold" w:hAnsi="Times New Roman Bold"/>
          <w:noProof/>
          <w:color w:val="333333"/>
          <w:sz w:val="24"/>
        </w:rPr>
        <w:t xml:space="preserve"> </w:t>
      </w:r>
      <w:r>
        <w:rPr>
          <w:noProof/>
          <w:sz w:val="24"/>
        </w:rPr>
        <w:t>se ridică la 15,4 miliarde EUR. Prin instrumentul pentru managementul frontierelor și politica de vize (IMFV) pentru perioada de programare 2021-2027 este alocată în prezent o sumă totală de 5,97 miliarde EUR pentru sprijinirea gestionării europene integrate a frontierelor în statele membre (</w:t>
      </w:r>
      <w:r>
        <w:rPr>
          <w:rStyle w:val="FootnoteReference"/>
          <w:rFonts w:eastAsia="EC Square Sans Pro"/>
          <w:noProof/>
          <w:sz w:val="24"/>
          <w:szCs w:val="24"/>
        </w:rPr>
        <w:footnoteReference w:id="72"/>
      </w:r>
      <w:r>
        <w:rPr>
          <w:noProof/>
          <w:sz w:val="24"/>
        </w:rPr>
        <w:t xml:space="preserve">). Creșterea semnificativă a resurselor ar permite sprijinirea priorităților stabilite în prezenta strategie, inclusiv digitalizarea gestionării frontierelor, integrarea de noi soluții tehnologice, precum și echipamentele și infrastructura. </w:t>
      </w:r>
    </w:p>
    <w:p w14:paraId="44A761C5" w14:textId="00D5AAD2" w:rsidR="000B715D" w:rsidRPr="000B715D" w:rsidRDefault="1BC6C2A8">
      <w:pPr>
        <w:spacing w:line="240" w:lineRule="auto"/>
        <w:rPr>
          <w:rFonts w:eastAsia="EC Square Sans Pro"/>
          <w:noProof/>
          <w:sz w:val="24"/>
          <w:szCs w:val="24"/>
        </w:rPr>
      </w:pPr>
      <w:r>
        <w:rPr>
          <w:noProof/>
          <w:sz w:val="24"/>
        </w:rPr>
        <w:t xml:space="preserve">În ceea ce privește sprijinul Uniunii pentru </w:t>
      </w:r>
      <w:r>
        <w:rPr>
          <w:b/>
          <w:noProof/>
          <w:sz w:val="24"/>
        </w:rPr>
        <w:t>azil, migrație și integrare</w:t>
      </w:r>
      <w:r>
        <w:rPr>
          <w:noProof/>
          <w:sz w:val="24"/>
        </w:rPr>
        <w:t>, Comisia a propus o sumă de aproximativ 12 miliarde EUR, față de cele aproximativ 7,84 miliarde EUR aflate în prezent la dispoziția statelor membre pentru perioada de programare 2021-2027 (</w:t>
      </w:r>
      <w:r>
        <w:rPr>
          <w:rStyle w:val="FootnoteReference"/>
          <w:rFonts w:eastAsia="EC Square Sans Pro"/>
          <w:noProof/>
          <w:sz w:val="24"/>
          <w:szCs w:val="24"/>
        </w:rPr>
        <w:footnoteReference w:id="73"/>
      </w:r>
      <w:r>
        <w:rPr>
          <w:noProof/>
          <w:sz w:val="24"/>
        </w:rPr>
        <w:t>) pentru Fondul pentru azil, migrație și integrare, și aproape 3 miliarde EUR pentru Fondul european de dezvoltare regională în scopul integrării comunităților marginalizate, inclusiv a persoanelor care provin din familii de migranți. Acest buget urmărește să promoveze solidaritatea și distribuirea echitabilă a responsabilității între statele membre și să sprijine, în special, prelucrarea mai rapidă a cererilor de protecție internațională, inclusiv la frontierele externe, returnările mai eficace, precum și atragerea talentelor și integrarea timpurie a resortisanților țărilor terțe. Ca parte a planurilor de parteneriat național și regional, Fondul social european va contribui la sprijinirea incluziunii sociale și a integrării socioeconomice a resortisanților țărilor terțe. </w:t>
      </w:r>
    </w:p>
    <w:p w14:paraId="462DC524" w14:textId="0A2FF485" w:rsidR="00D4564A" w:rsidRPr="00B5212B" w:rsidRDefault="009950FF" w:rsidP="00D4564A">
      <w:pPr>
        <w:spacing w:line="240" w:lineRule="auto"/>
        <w:rPr>
          <w:rFonts w:eastAsia="EC Square Sans Pro"/>
          <w:noProof/>
          <w:sz w:val="24"/>
          <w:szCs w:val="24"/>
        </w:rPr>
      </w:pPr>
      <w:r>
        <w:rPr>
          <w:noProof/>
          <w:sz w:val="24"/>
        </w:rPr>
        <w:t xml:space="preserve">Pentru următorul CFM, sprijinul pentru statele membre va fi oferit în baza unei </w:t>
      </w:r>
      <w:r>
        <w:rPr>
          <w:b/>
          <w:noProof/>
          <w:sz w:val="24"/>
        </w:rPr>
        <w:t>abordări bazate pe performanță</w:t>
      </w:r>
      <w:r>
        <w:rPr>
          <w:noProof/>
          <w:sz w:val="24"/>
        </w:rPr>
        <w:t xml:space="preserve"> în cadrul planurilor de parteneriat național și regional. Atunci când își elaborează planurile de parteneriat național și regional, statele membre ar trebui să se asigure că finanțarea va aborda provocările identificate în materie de politici, inclusiv în domeniul gestionării azilului și migrației, al returnării și al mobilității forței de muncă.</w:t>
      </w:r>
    </w:p>
    <w:p w14:paraId="0A462899" w14:textId="3B7346E6" w:rsidR="008806BD" w:rsidRDefault="51C59E54" w:rsidP="000C7B4E">
      <w:pPr>
        <w:spacing w:line="240" w:lineRule="auto"/>
        <w:rPr>
          <w:rFonts w:eastAsia="EC Square Sans Pro"/>
          <w:noProof/>
          <w:sz w:val="24"/>
          <w:szCs w:val="24"/>
        </w:rPr>
      </w:pPr>
      <w:r>
        <w:rPr>
          <w:noProof/>
          <w:sz w:val="24"/>
        </w:rPr>
        <w:t xml:space="preserve">În plus, propunerea privind CFM pentru perioada 2028-2034 sporește coerența, consecvența și complementaritatea dintre dimensiunile politicii interne și externe. Propunerea de </w:t>
      </w:r>
      <w:r>
        <w:rPr>
          <w:b/>
          <w:noProof/>
          <w:sz w:val="24"/>
        </w:rPr>
        <w:t>Regulament privind Europa globală</w:t>
      </w:r>
      <w:r>
        <w:rPr>
          <w:noProof/>
          <w:sz w:val="24"/>
        </w:rPr>
        <w:t> (</w:t>
      </w:r>
      <w:r>
        <w:rPr>
          <w:rStyle w:val="FootnoteReference"/>
          <w:rFonts w:eastAsia="EC Square Sans Pro"/>
          <w:noProof/>
          <w:sz w:val="24"/>
          <w:szCs w:val="24"/>
        </w:rPr>
        <w:footnoteReference w:id="74"/>
      </w:r>
      <w:r>
        <w:rPr>
          <w:noProof/>
          <w:sz w:val="24"/>
        </w:rPr>
        <w:t>), care prevede un pachet financiar de 200 de miliarde EUR, a fost elaborată pentru a corespunde unei abordări mai strategice, bazate pe valori și cu un impact mai mare în ceea ce privește extinderea și parteneriatele internaționale, în conformitate cu interesele strategice ale UE, inclusiv cu obiectivele sale în materie de migrație. Această abordare mai strategică a utilizării fondurilor ar trebui să se reflecte, de asemenea, în modalitățile de programare și în punerea în aplicare a acestui instrument, pentru sporirea coerenței și a eficacității. În plus, propunerea Comisiei consolidează abordarea strategică a furnizării de finanțare pentru îmbunătățirea cooperării în materie de migrație și readmisie.</w:t>
      </w:r>
    </w:p>
    <w:p w14:paraId="27A8A84A" w14:textId="477262D4" w:rsidR="0006025A" w:rsidRPr="002D287F" w:rsidRDefault="00A37FF8" w:rsidP="000C7B4E">
      <w:pPr>
        <w:spacing w:line="240" w:lineRule="auto"/>
        <w:rPr>
          <w:noProof/>
          <w:sz w:val="24"/>
          <w:szCs w:val="24"/>
        </w:rPr>
      </w:pPr>
      <w:r>
        <w:rPr>
          <w:b/>
          <w:noProof/>
          <w:sz w:val="24"/>
        </w:rPr>
        <w:t>Agențiile relevante ale UE</w:t>
      </w:r>
      <w:r>
        <w:rPr>
          <w:noProof/>
          <w:sz w:val="24"/>
        </w:rPr>
        <w:t>, în special Frontex, EUAA, eu-LISA, Europol, Eurojust și FRA, oferă asistență statelor membre. Această asistență include sprijin operațional și judiciar, orientări, formare sau gestionare operațională a sistemelor informatice la scară largă. Această direcție de lucru este completată de sprijinul operațional direct acordat statelor membre pentru dezvoltarea și consolidarea suplimentară a capacităților naționale. Deși agențiile acordă deja un sprijin esențial statelor membre în gestionarea migrației, următorii cinci ani vor oferi ocazia de a consolida instrumentele aflate la dispoziția agențiilor și sprijinul pe care acestea îl oferă statelor membre atunci când li se solicită acest lucru, în special în vederea operaționalizării Pactului privind migrația și azilul.</w:t>
      </w:r>
    </w:p>
    <w:p w14:paraId="48D0F03F" w14:textId="7186F7B8" w:rsidR="005C508A" w:rsidRDefault="005C508A" w:rsidP="005C508A">
      <w:pPr>
        <w:spacing w:line="240" w:lineRule="auto"/>
        <w:rPr>
          <w:rFonts w:eastAsia="EC Square Sans Pro"/>
          <w:noProof/>
          <w:sz w:val="24"/>
          <w:szCs w:val="24"/>
        </w:rPr>
      </w:pPr>
      <w:r>
        <w:rPr>
          <w:noProof/>
          <w:sz w:val="24"/>
        </w:rPr>
        <w:t xml:space="preserve">În ceea ce privește </w:t>
      </w:r>
      <w:r>
        <w:rPr>
          <w:b/>
          <w:noProof/>
          <w:sz w:val="24"/>
        </w:rPr>
        <w:t>Frontex</w:t>
      </w:r>
      <w:r>
        <w:rPr>
          <w:noProof/>
          <w:sz w:val="24"/>
        </w:rPr>
        <w:t xml:space="preserve">, în 2026, Comisia intenționează să prezinte o revizuire a regulamentului de instituire a agenției, pe baza unei evaluări a impactului și în urma consultărilor cu statele membre și cu alte părți interesate. La elaborarea acestei propuneri, Comisia va analiza cele mai bune modalități de a completa resursele statelor membre nu numai în ceea ce privește cantitatea, ci și calitatea sarcinilor, contribuind astfel la consolidarea frontierelor comune, în conformitate cu o abordare integrată a gestionării frontierelor. De asemenea, propunerea ar putea consolida normele referitoare la sarcinile, detașările, cooperarea cu țările terțe, precum și structura și guvernanța agenției. </w:t>
      </w:r>
    </w:p>
    <w:p w14:paraId="62CA823D" w14:textId="393F076F" w:rsidR="00342268" w:rsidRDefault="00342268" w:rsidP="00342268">
      <w:pPr>
        <w:spacing w:line="240" w:lineRule="auto"/>
        <w:rPr>
          <w:rFonts w:eastAsia="EC Square Sans Pro"/>
          <w:noProof/>
          <w:sz w:val="24"/>
          <w:szCs w:val="24"/>
        </w:rPr>
      </w:pPr>
      <w:r>
        <w:rPr>
          <w:b/>
          <w:noProof/>
          <w:sz w:val="24"/>
        </w:rPr>
        <w:t xml:space="preserve">EUAA </w:t>
      </w:r>
      <w:r>
        <w:rPr>
          <w:noProof/>
          <w:sz w:val="24"/>
        </w:rPr>
        <w:t xml:space="preserve">va continua să joace un rol important în sprijinirea statelor membre în ceea ce privește punerea în aplicare a pactului, inclusiv prin promovarea convergenței practicilor în materie de azil și prin furnizarea de sprijin operațional și tehnic. Operaționalizarea mecanismului de monitorizare în cursul anului 2026 va reprezenta, de asemenea, un important pas înainte pentru a sprijini aplicarea operațională și tehnică a normelor în materie de azil de către statele membre. Pentru a se asigura că agenția dispune de resursele necesare pentru a-și îndeplini sarcinile, în urma evaluării mandatului EUAA, Comisia va lua în considerare posibila necesitate de a modifica regulamentul de instituire a agenției, inclusiv în sprijinul politicilor externe. </w:t>
      </w:r>
    </w:p>
    <w:p w14:paraId="1161D81E" w14:textId="1D3CFA3F" w:rsidR="00DE06D9" w:rsidRDefault="00DE06D9" w:rsidP="15B99718">
      <w:pPr>
        <w:spacing w:line="240" w:lineRule="auto"/>
        <w:rPr>
          <w:rFonts w:eastAsia="EC Square Sans Pro"/>
          <w:noProof/>
          <w:sz w:val="24"/>
          <w:szCs w:val="24"/>
        </w:rPr>
      </w:pPr>
      <w:r>
        <w:rPr>
          <w:b/>
          <w:noProof/>
          <w:sz w:val="24"/>
        </w:rPr>
        <w:t>eu-LISA</w:t>
      </w:r>
      <w:r>
        <w:rPr>
          <w:noProof/>
          <w:sz w:val="24"/>
        </w:rPr>
        <w:t>, Agenția UE pentru gestionarea sistemelor informatice la scară largă, va avea în continuare un rol esențial în realizarea acestei transformări digitale. Prin urmare, propunerea privind CFM prevede o creștere semnificativă a resurselor agenției pentru a-i oferi mijloacele necesare pentru dezvoltarea și punerea în funcțiune a tuturor componentelor sistemelor informatice la scară largă care intră în sfera sa de competență.</w:t>
      </w:r>
    </w:p>
    <w:p w14:paraId="1CC73064" w14:textId="6C12D296" w:rsidR="00205022" w:rsidRDefault="005C508A" w:rsidP="15B99718">
      <w:pPr>
        <w:spacing w:line="240" w:lineRule="auto"/>
        <w:rPr>
          <w:rFonts w:eastAsia="EC Square Sans Pro"/>
          <w:noProof/>
          <w:sz w:val="24"/>
          <w:szCs w:val="24"/>
        </w:rPr>
      </w:pPr>
      <w:r>
        <w:rPr>
          <w:noProof/>
          <w:sz w:val="24"/>
        </w:rPr>
        <w:t>Revizuirea mandatului</w:t>
      </w:r>
      <w:r>
        <w:rPr>
          <w:b/>
          <w:noProof/>
          <w:sz w:val="24"/>
        </w:rPr>
        <w:t xml:space="preserve"> Europol</w:t>
      </w:r>
      <w:r>
        <w:rPr>
          <w:noProof/>
          <w:sz w:val="24"/>
        </w:rPr>
        <w:t xml:space="preserve"> în 2026, pe baza unei analize și a unei evaluări a impactului, precum și a consultărilor cu statele membre și cu părțile interesate relevante, va lua în considerare, de asemenea, modalitățile de consolidare a capacităților de sprijin operațional, analitic și tehnologic ale agenției pentru a permite o cooperare operațională eficace atât pe plan intern, cât și cu țările partenere. Odată cu adoptarea Regulamentului modificat privind Europol care prevede înființarea Centrului european de combatere a introducerii ilegale de migranți, Europol va juca un rol și mai important în identificarea și anihilarea rețelelor infracționale din spatele introducerii ilegale de migranți.</w:t>
      </w:r>
    </w:p>
    <w:p w14:paraId="79821249" w14:textId="1C4EEB30" w:rsidR="00205022" w:rsidRPr="008D7DEE" w:rsidRDefault="63155DCA" w:rsidP="008D7DEE">
      <w:pPr>
        <w:spacing w:line="240" w:lineRule="auto"/>
        <w:rPr>
          <w:rFonts w:eastAsia="EC Square Sans Pro"/>
          <w:noProof/>
          <w:sz w:val="24"/>
          <w:szCs w:val="24"/>
        </w:rPr>
      </w:pPr>
      <w:r>
        <w:rPr>
          <w:b/>
          <w:noProof/>
          <w:sz w:val="24"/>
        </w:rPr>
        <w:t>Eurojust</w:t>
      </w:r>
      <w:r>
        <w:rPr>
          <w:noProof/>
          <w:sz w:val="24"/>
        </w:rPr>
        <w:t xml:space="preserve"> își consolidează capacitățile de cooperare cu jurisdicțiile din întreaga lume pentru combaterea mai eficace a grupurilor infracționale organizate implicate în introducerea ilegală de migranți și în alte infracțiuni. Acordurile de cooperare judiciară în materie penală semnate în 2025 cu Liban și Egipt au oferit un bun exemplu de urmat cu alte țări partenere.</w:t>
      </w:r>
    </w:p>
    <w:p w14:paraId="1A03D8A9" w14:textId="4689FF20" w:rsidR="00621246" w:rsidRPr="00DD3098" w:rsidRDefault="0006025A" w:rsidP="3F0769EC">
      <w:pPr>
        <w:spacing w:line="240" w:lineRule="auto"/>
        <w:rPr>
          <w:rFonts w:eastAsia="EC Square Sans Pro"/>
          <w:noProof/>
          <w:sz w:val="24"/>
          <w:szCs w:val="24"/>
        </w:rPr>
      </w:pPr>
      <w:r>
        <w:rPr>
          <w:noProof/>
          <w:sz w:val="24"/>
        </w:rPr>
        <w:t xml:space="preserve">În plus, pentru a valorifica la maximum abordarea cuprinzătoare a diplomației în domeniul migrației, </w:t>
      </w:r>
      <w:r>
        <w:rPr>
          <w:b/>
          <w:noProof/>
          <w:sz w:val="24"/>
        </w:rPr>
        <w:t>sprijinul operațional pe care agențiile UE</w:t>
      </w:r>
      <w:r>
        <w:rPr>
          <w:noProof/>
          <w:sz w:val="24"/>
        </w:rPr>
        <w:t xml:space="preserve"> îl pot oferi țărilor partenere, în conformitate cu mandatele lor actuale sau viitoare, ar trebui utilizat într-un mod mai strategic. Pentru a oferi un pachet cuprinzător de sprijin țărilor partenere și pentru a asigura un angajament coerent al Uniunii, agențiile UE, în strânsă cooperare cu Comisia, ar trebui să își coordoneze mai bine activitățile de informare cu țările partenere, precum și înțelegerile și acordurile de lucru conexe. Promovarea și consolidarea cooperării operaționale a agențiilor UE cu autoritățile naționale competente ar trebui să fie integrate în acțiunile operaționale și în angajamentele din cadrul diplomației UE în domeniul migrației. </w:t>
      </w:r>
    </w:p>
    <w:p w14:paraId="4C851D09" w14:textId="3F370565" w:rsidR="00A7291D" w:rsidRPr="00B5212B" w:rsidRDefault="00677697" w:rsidP="00A7291D">
      <w:pPr>
        <w:pStyle w:val="Heading1"/>
        <w:spacing w:before="0" w:line="240" w:lineRule="auto"/>
        <w:rPr>
          <w:noProof/>
        </w:rPr>
      </w:pPr>
      <w:r>
        <w:rPr>
          <w:noProof/>
        </w:rPr>
        <w:t>Concluzie</w:t>
      </w:r>
    </w:p>
    <w:bookmarkEnd w:id="5"/>
    <w:p w14:paraId="0C73705C" w14:textId="727331AA" w:rsidR="00E11493" w:rsidRDefault="00DD0884" w:rsidP="00DD3098">
      <w:pPr>
        <w:spacing w:line="240" w:lineRule="auto"/>
        <w:rPr>
          <w:noProof/>
          <w:sz w:val="24"/>
          <w:szCs w:val="24"/>
        </w:rPr>
      </w:pPr>
      <w:r>
        <w:rPr>
          <w:noProof/>
          <w:sz w:val="24"/>
        </w:rPr>
        <w:t xml:space="preserve">Această primă strategie europeană de gestionare a azilului și </w:t>
      </w:r>
      <w:r w:rsidR="0083092E">
        <w:rPr>
          <w:noProof/>
          <w:sz w:val="24"/>
        </w:rPr>
        <w:t xml:space="preserve">a </w:t>
      </w:r>
      <w:r>
        <w:rPr>
          <w:noProof/>
          <w:sz w:val="24"/>
        </w:rPr>
        <w:t xml:space="preserve">migrației reafirmă hotărârea Uniunii de a crea și de a institui un cadru privind migrația eficace, bazat pe drepturi, echitabil și adaptabil și care să răspundă așteptărilor cetățenilor cu privire la o politică bine gestionată și adaptată exigențelor viitorului. Aceasta promovează o Uniune Europeană rezilientă și fermă pe scena mondială și rămâne adaptabilă la evoluțiile care au loc pe continentul nostru și nu numai. Strategia servește drept punct de reper pentru acțiunea UE, cu obiective și acțiuni prioritare clare, utilizând în mod strategic resursele disponibile și sprijinul operațional. </w:t>
      </w:r>
    </w:p>
    <w:p w14:paraId="032D4661" w14:textId="0BB30857" w:rsidR="00E622ED" w:rsidRPr="009C6A48" w:rsidRDefault="492C33A3" w:rsidP="49BA89CF">
      <w:pPr>
        <w:spacing w:line="240" w:lineRule="auto"/>
        <w:rPr>
          <w:noProof/>
          <w:sz w:val="24"/>
          <w:szCs w:val="24"/>
        </w:rPr>
      </w:pPr>
      <w:r>
        <w:rPr>
          <w:noProof/>
          <w:sz w:val="24"/>
        </w:rPr>
        <w:t xml:space="preserve">O politică în domeniul migrației și azilului care să fie echitabilă, fermă și conformă cu valorile europene este o responsabilitate comună, iar punerea în aplicare a prezentei strategii va necesita un angajament politic și o cooperare strânsă între Parlamentul European și Consiliu, statele membre, agențiile UE, partenerii internaționali și alte părți interesate relevante. Comisia se bazează pe sprijinul tuturor actorilor pentru atingerea obiectivelor prezentei strategii, încurajând colaborarea pentru a preveni migrația ilegală și pierderea de vieți omenești în călătorii periculoase, pentru a proteja persoanele care fug din calea războiului și a persecuțiilor și pentru a încuraja talentele să vină în UE pentru a spori competitivitatea economiilor noastre. </w:t>
      </w:r>
    </w:p>
    <w:sectPr w:rsidR="00E622ED" w:rsidRPr="009C6A48" w:rsidSect="006049C0">
      <w:headerReference w:type="even" r:id="rId23"/>
      <w:headerReference w:type="default" r:id="rId24"/>
      <w:footerReference w:type="even" r:id="rId25"/>
      <w:footerReference w:type="default" r:id="rId26"/>
      <w:headerReference w:type="first" r:id="rId27"/>
      <w:footerReference w:type="first" r:id="rId28"/>
      <w:endnotePr>
        <w:numFmt w:val="lowerLetter"/>
      </w:endnotePr>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A7031A" w14:textId="77777777" w:rsidR="006658D5" w:rsidRDefault="006658D5">
      <w:pPr>
        <w:spacing w:after="0" w:line="240" w:lineRule="auto"/>
      </w:pPr>
      <w:r>
        <w:separator/>
      </w:r>
    </w:p>
  </w:endnote>
  <w:endnote w:type="continuationSeparator" w:id="0">
    <w:p w14:paraId="723EB2F1" w14:textId="77777777" w:rsidR="006658D5" w:rsidRDefault="006658D5">
      <w:pPr>
        <w:spacing w:after="0" w:line="240" w:lineRule="auto"/>
      </w:pPr>
      <w:r>
        <w:continuationSeparator/>
      </w:r>
    </w:p>
  </w:endnote>
  <w:endnote w:type="continuationNotice" w:id="1">
    <w:p w14:paraId="0E7205A1" w14:textId="77777777" w:rsidR="006658D5" w:rsidRDefault="006658D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altName w:val="Arial"/>
    <w:panose1 w:val="00000000000000000000"/>
    <w:charset w:val="00"/>
    <w:family w:val="roman"/>
    <w:notTrueType/>
    <w:pitch w:val="default"/>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EC Square Sans Pro">
    <w:altName w:val="Calibri"/>
    <w:charset w:val="00"/>
    <w:family w:val="swiss"/>
    <w:pitch w:val="variable"/>
    <w:sig w:usb0="2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2BCD7C" w14:textId="34FF2229" w:rsidR="00D7144F" w:rsidRPr="00D7144F" w:rsidRDefault="00D7144F" w:rsidP="00D7144F">
    <w:pPr>
      <w:pStyle w:val="FooterCoverPage"/>
      <w:rPr>
        <w:rFonts w:ascii="Arial" w:hAnsi="Arial" w:cs="Arial"/>
        <w:b/>
        <w:sz w:val="48"/>
      </w:rPr>
    </w:pPr>
    <w:r w:rsidRPr="00D7144F">
      <w:rPr>
        <w:rFonts w:ascii="Arial" w:hAnsi="Arial" w:cs="Arial"/>
        <w:b/>
        <w:sz w:val="48"/>
      </w:rPr>
      <w:t>RO</w:t>
    </w:r>
    <w:r w:rsidRPr="00D7144F">
      <w:rPr>
        <w:rFonts w:ascii="Arial" w:hAnsi="Arial" w:cs="Arial"/>
        <w:b/>
        <w:sz w:val="48"/>
      </w:rPr>
      <w:tab/>
    </w:r>
    <w:r w:rsidRPr="00D7144F">
      <w:rPr>
        <w:rFonts w:ascii="Arial" w:hAnsi="Arial" w:cs="Arial"/>
        <w:b/>
        <w:sz w:val="48"/>
      </w:rPr>
      <w:tab/>
    </w:r>
    <w:r w:rsidRPr="00D7144F">
      <w:tab/>
    </w:r>
    <w:r w:rsidRPr="00D7144F">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46512D" w14:textId="645FFB63" w:rsidR="00D7144F" w:rsidRPr="00D7144F" w:rsidRDefault="00D7144F" w:rsidP="00D7144F">
    <w:pPr>
      <w:pStyle w:val="FooterCoverPage"/>
      <w:rPr>
        <w:rFonts w:ascii="Arial" w:hAnsi="Arial" w:cs="Arial"/>
        <w:b/>
        <w:sz w:val="48"/>
      </w:rPr>
    </w:pPr>
    <w:r w:rsidRPr="00D7144F">
      <w:rPr>
        <w:rFonts w:ascii="Arial" w:hAnsi="Arial" w:cs="Arial"/>
        <w:b/>
        <w:sz w:val="48"/>
      </w:rPr>
      <w:t>RO</w:t>
    </w:r>
    <w:r w:rsidRPr="00D7144F">
      <w:rPr>
        <w:rFonts w:ascii="Arial" w:hAnsi="Arial" w:cs="Arial"/>
        <w:b/>
        <w:sz w:val="48"/>
      </w:rPr>
      <w:tab/>
    </w:r>
    <w:r w:rsidRPr="00D7144F">
      <w:rPr>
        <w:rFonts w:ascii="Arial" w:hAnsi="Arial" w:cs="Arial"/>
        <w:b/>
        <w:sz w:val="48"/>
      </w:rPr>
      <w:tab/>
    </w:r>
    <w:r w:rsidRPr="00D7144F">
      <w:tab/>
    </w:r>
    <w:r w:rsidRPr="00D7144F">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7CEDC3" w14:textId="77777777" w:rsidR="00D7144F" w:rsidRPr="00D7144F" w:rsidRDefault="00D7144F" w:rsidP="00D7144F">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D0DBDC" w14:textId="77777777" w:rsidR="006049C0" w:rsidRDefault="006049C0">
    <w:pPr>
      <w:pStyle w:val="FooterLine"/>
    </w:pPr>
    <w:r>
      <w:t xml:space="preserve"> - </w:t>
    </w:r>
    <w:r>
      <w:tab/>
      <w:t xml:space="preserve">Pagina </w:t>
    </w:r>
    <w:r>
      <w:fldChar w:fldCharType="begin"/>
    </w:r>
    <w:r>
      <w:instrText>PAGE</w:instrText>
    </w:r>
    <w:r>
      <w:fldChar w:fldCharType="separate"/>
    </w:r>
    <w:r>
      <w:t>1</w:t>
    </w:r>
    <w:r>
      <w:fldChar w:fldCharType="end"/>
    </w:r>
    <w:r>
      <w:t xml:space="preserve"> / </w:t>
    </w:r>
    <w:r>
      <w:fldChar w:fldCharType="begin"/>
    </w:r>
    <w:r>
      <w:instrText>NUMPAGES</w:instrText>
    </w:r>
    <w:r>
      <w:fldChar w:fldCharType="separate"/>
    </w:r>
    <w:r>
      <w:t>3</w:t>
    </w:r>
    <w:r>
      <w:fldChar w:fldCharType="end"/>
    </w:r>
  </w:p>
  <w:p w14:paraId="568F699A" w14:textId="77777777" w:rsidR="006049C0" w:rsidRDefault="00D7144F">
    <w:pPr>
      <w:pStyle w:val="Footer"/>
    </w:pPr>
    <w:sdt>
      <w:sdtPr>
        <w:id w:val="-608277440"/>
        <w:dataBinding w:xpath="/Texts/TechFooterVersion" w:storeItemID="{4EF90DE6-88B6-4264-9629-4D8DFDFE87D2}"/>
        <w:text w:multiLine="1"/>
      </w:sdtPr>
      <w:sdtEndPr/>
      <w:sdtContent>
        <w:r w:rsidR="00717CAF">
          <w:t>Versiunea documentului</w:t>
        </w:r>
      </w:sdtContent>
    </w:sdt>
    <w:r w:rsidR="00717CAF">
      <w:t xml:space="preserve"> </w:t>
    </w:r>
    <w:sdt>
      <w:sdtPr>
        <w:alias w:val="Versiune"/>
        <w:id w:val="978657438"/>
        <w:dataBinding w:xpath="/EurolookProperties/DocumentVersion" w:storeItemID="{D3EA5527-7367-4268-9D83-5125C98D0ED2}"/>
        <w:text w:multiLine="1"/>
      </w:sdtPr>
      <w:sdtEndPr/>
      <w:sdtContent>
        <w:r w:rsidR="00717CAF">
          <w:t>0.1</w:t>
        </w:r>
      </w:sdtContent>
    </w:sdt>
    <w:r w:rsidR="00717CAF">
      <w:t xml:space="preserve"> </w:t>
    </w:r>
    <w:sdt>
      <w:sdtPr>
        <w:id w:val="-1620840983"/>
        <w:dataBinding w:xpath="/Texts/TechFooterDated" w:storeItemID="{4EF90DE6-88B6-4264-9629-4D8DFDFE87D2}"/>
        <w:text w:multiLine="1"/>
      </w:sdtPr>
      <w:sdtEndPr/>
      <w:sdtContent>
        <w:r w:rsidR="00717CAF">
          <w:t>din data de</w:t>
        </w:r>
      </w:sdtContent>
    </w:sdt>
    <w:r w:rsidR="00717CAF">
      <w:t xml:space="preserve"> </w:t>
    </w:r>
    <w:sdt>
      <w:sdtPr>
        <w:alias w:val=""/>
        <w:id w:val="1906723283"/>
        <w:dataBinding w:xpath="/EurolookProperties/DocumentDate" w:storeItemID="{D3EA5527-7367-4268-9D83-5125C98D0ED2}"/>
        <w:date w:fullDate="2025-10-31T22:34:00Z">
          <w:dateFormat w:val="dd/MM/yyyy"/>
          <w:lid w:val="ro-RO"/>
          <w:storeMappedDataAs w:val="dateTime"/>
          <w:calendar w:val="gregorian"/>
        </w:date>
      </w:sdtPr>
      <w:sdtEndPr/>
      <w:sdtContent>
        <w:r w:rsidR="00717CAF">
          <w:t>31/10/2025</w:t>
        </w:r>
      </w:sdtContent>
    </w:sdt>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4321349"/>
      <w:docPartObj>
        <w:docPartGallery w:val="Page Numbers (Bottom of Page)"/>
        <w:docPartUnique/>
      </w:docPartObj>
    </w:sdtPr>
    <w:sdtEndPr>
      <w:rPr>
        <w:noProof/>
      </w:rPr>
    </w:sdtEndPr>
    <w:sdtContent>
      <w:p w14:paraId="122F3540" w14:textId="0B2C06B6" w:rsidR="006049C0" w:rsidRDefault="006049C0">
        <w:pPr>
          <w:pStyle w:val="Footer"/>
          <w:jc w:val="center"/>
        </w:pPr>
        <w:r>
          <w:fldChar w:fldCharType="begin"/>
        </w:r>
        <w:r>
          <w:instrText xml:space="preserve"> PAGE   \* MERGEFORMAT </w:instrText>
        </w:r>
        <w:r>
          <w:fldChar w:fldCharType="separate"/>
        </w:r>
        <w:r w:rsidR="00D7144F">
          <w:rPr>
            <w:noProof/>
          </w:rPr>
          <w:t>3</w:t>
        </w:r>
        <w:r>
          <w:fldChar w:fldCharType="end"/>
        </w:r>
      </w:p>
    </w:sdtContent>
  </w:sdt>
  <w:p w14:paraId="381A90AC" w14:textId="77777777" w:rsidR="006049C0" w:rsidRPr="005A3FBE" w:rsidRDefault="006049C0">
    <w:pPr>
      <w:pStyle w:val="Footer"/>
      <w:rPr>
        <w:lang w:val="fr-BE"/>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240E87" w14:textId="77777777" w:rsidR="006049C0" w:rsidRDefault="006049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7747EE" w14:textId="77777777" w:rsidR="006658D5" w:rsidRDefault="006658D5">
      <w:pPr>
        <w:spacing w:after="0" w:line="240" w:lineRule="auto"/>
      </w:pPr>
      <w:r>
        <w:separator/>
      </w:r>
    </w:p>
  </w:footnote>
  <w:footnote w:type="continuationSeparator" w:id="0">
    <w:p w14:paraId="7A08701F" w14:textId="77777777" w:rsidR="006658D5" w:rsidRDefault="006658D5">
      <w:pPr>
        <w:spacing w:after="0" w:line="240" w:lineRule="auto"/>
      </w:pPr>
      <w:r>
        <w:continuationSeparator/>
      </w:r>
    </w:p>
  </w:footnote>
  <w:footnote w:type="continuationNotice" w:id="1">
    <w:p w14:paraId="283EE009" w14:textId="77777777" w:rsidR="006658D5" w:rsidRDefault="006658D5">
      <w:pPr>
        <w:spacing w:after="0" w:line="240" w:lineRule="auto"/>
      </w:pPr>
    </w:p>
  </w:footnote>
  <w:footnote w:id="2">
    <w:p w14:paraId="6C960386" w14:textId="77777777" w:rsidR="00413162" w:rsidRPr="00A563A0" w:rsidRDefault="00413162" w:rsidP="00413162">
      <w:pPr>
        <w:pStyle w:val="FootnoteText"/>
        <w:spacing w:after="0" w:line="240" w:lineRule="auto"/>
      </w:pPr>
      <w:r>
        <w:t>(</w:t>
      </w:r>
      <w:r>
        <w:rPr>
          <w:rStyle w:val="FootnoteReference"/>
          <w:rFonts w:eastAsia="Yu Gothic"/>
        </w:rPr>
        <w:footnoteRef/>
      </w:r>
      <w:r>
        <w:t>)</w:t>
      </w:r>
      <w:r>
        <w:tab/>
        <w:t>Numărul trecerilor ilegale ale frontierei în UE înregistrează o scădere constantă, cifrele generale indicând o scădere cu 26 % în 2025, după o scădere de 38 % în 2024 pe toate rutele principale către Uniune. Cererile de protecție internațională urmează o tendință descendentă similară (-21 %).</w:t>
      </w:r>
    </w:p>
  </w:footnote>
  <w:footnote w:id="3">
    <w:p w14:paraId="52120EF5" w14:textId="77777777" w:rsidR="00413162" w:rsidRPr="00063573" w:rsidRDefault="00413162" w:rsidP="00413162">
      <w:pPr>
        <w:pStyle w:val="FootnoteText"/>
        <w:spacing w:after="0" w:line="240" w:lineRule="auto"/>
      </w:pPr>
      <w:r>
        <w:t>(</w:t>
      </w:r>
      <w:r>
        <w:rPr>
          <w:rStyle w:val="FootnoteReference"/>
          <w:rFonts w:eastAsia="Yu Gothic"/>
        </w:rPr>
        <w:footnoteRef/>
      </w:r>
      <w:r>
        <w:t>)</w:t>
      </w:r>
      <w:r>
        <w:tab/>
        <w:t xml:space="preserve">Datele Eurostat indică o rată de recunoaștere de 51,4 % în 2024, rată care a scăzut la puțin peste 33 % în prima jumătate a anului 2025, ajungând la 42,8 % în al treilea trimestru al anului 2025. </w:t>
      </w:r>
    </w:p>
  </w:footnote>
  <w:footnote w:id="4">
    <w:p w14:paraId="19D4C0C5" w14:textId="215B6B83" w:rsidR="00413162" w:rsidRPr="00063573" w:rsidRDefault="00413162" w:rsidP="00413162">
      <w:pPr>
        <w:pStyle w:val="FootnoteText"/>
        <w:spacing w:after="0" w:line="240" w:lineRule="auto"/>
      </w:pPr>
      <w:r>
        <w:t>(</w:t>
      </w:r>
      <w:r>
        <w:rPr>
          <w:rStyle w:val="FootnoteReference"/>
          <w:rFonts w:eastAsia="Yu Gothic"/>
        </w:rPr>
        <w:footnoteRef/>
      </w:r>
      <w:r>
        <w:t>)</w:t>
      </w:r>
      <w:r>
        <w:tab/>
        <w:t xml:space="preserve">Raportul anual privind azilul și migrația (2025), pe baza datelor Eurostat pentru perioada 1 iulie 2024 - 30 iunie 2025; </w:t>
      </w:r>
      <w:hyperlink r:id="rId1" w:history="1">
        <w:r>
          <w:rPr>
            <w:rStyle w:val="Hyperlink"/>
          </w:rPr>
          <w:t>https://eur-lex.europa.eu/legal-content/RO/ALL/?uri=CELEX:52025DC0795</w:t>
        </w:r>
      </w:hyperlink>
      <w:r>
        <w:t xml:space="preserve">. </w:t>
      </w:r>
    </w:p>
  </w:footnote>
  <w:footnote w:id="5">
    <w:p w14:paraId="11F41166" w14:textId="6D3609C1" w:rsidR="00413162" w:rsidRPr="00376276" w:rsidRDefault="00413162" w:rsidP="00413162">
      <w:pPr>
        <w:pStyle w:val="FootnoteText"/>
      </w:pPr>
      <w:r>
        <w:t>(</w:t>
      </w:r>
      <w:r>
        <w:rPr>
          <w:rStyle w:val="FootnoteReference"/>
        </w:rPr>
        <w:footnoteRef/>
      </w:r>
      <w:r>
        <w:t>)</w:t>
      </w:r>
      <w:r>
        <w:tab/>
      </w:r>
      <w:hyperlink r:id="rId2" w:history="1">
        <w:r>
          <w:rPr>
            <w:rStyle w:val="Hyperlink"/>
          </w:rPr>
          <w:t>https://www.europol.europa.eu/crime-areas/migrant-smuggling</w:t>
        </w:r>
      </w:hyperlink>
      <w:r>
        <w:t>.</w:t>
      </w:r>
    </w:p>
  </w:footnote>
  <w:footnote w:id="6">
    <w:p w14:paraId="5B4C22A3" w14:textId="34A70E3E" w:rsidR="00413162" w:rsidRPr="00B57867" w:rsidRDefault="00413162" w:rsidP="00413162">
      <w:pPr>
        <w:pStyle w:val="FootnoteText"/>
        <w:spacing w:after="0" w:line="240" w:lineRule="auto"/>
      </w:pPr>
      <w:r>
        <w:t>(</w:t>
      </w:r>
      <w:r>
        <w:rPr>
          <w:rStyle w:val="FootnoteReference"/>
        </w:rPr>
        <w:footnoteRef/>
      </w:r>
      <w:r>
        <w:t>)</w:t>
      </w:r>
      <w:r>
        <w:tab/>
      </w:r>
      <w:hyperlink r:id="rId3" w:history="1">
        <w:r>
          <w:rPr>
            <w:rStyle w:val="Hyperlink"/>
          </w:rPr>
          <w:t>Protecție temporară pentru persoanele care fug din Ucraina - statistici lunare - Statistici explicate - Eurostat</w:t>
        </w:r>
      </w:hyperlink>
      <w:r>
        <w:t xml:space="preserve">. </w:t>
      </w:r>
    </w:p>
  </w:footnote>
  <w:footnote w:id="7">
    <w:p w14:paraId="12D9A3FB" w14:textId="515B3FAF" w:rsidR="00413162" w:rsidRPr="00B57867" w:rsidRDefault="00413162" w:rsidP="00413162">
      <w:pPr>
        <w:pStyle w:val="FootnoteText"/>
        <w:spacing w:after="0" w:line="240" w:lineRule="auto"/>
      </w:pPr>
      <w:r>
        <w:t>(</w:t>
      </w:r>
      <w:r>
        <w:rPr>
          <w:rStyle w:val="FootnoteReference"/>
        </w:rPr>
        <w:footnoteRef/>
      </w:r>
      <w:r>
        <w:t>)</w:t>
      </w:r>
      <w:r>
        <w:tab/>
      </w:r>
      <w:hyperlink r:id="rId4" w:anchor="international-protection" w:history="1">
        <w:r>
          <w:rPr>
            <w:rStyle w:val="Hyperlink"/>
          </w:rPr>
          <w:t>https://ec.europa.eu/eurostat/web/interactive-publications/migration-2025#international-protection</w:t>
        </w:r>
      </w:hyperlink>
      <w:r>
        <w:t>; primele 3 țări de origine sunt Siria, Afganistan și Venezuela.</w:t>
      </w:r>
    </w:p>
  </w:footnote>
  <w:footnote w:id="8">
    <w:p w14:paraId="427482B7" w14:textId="57017017" w:rsidR="00413162" w:rsidRPr="00BF11C8" w:rsidRDefault="00413162" w:rsidP="00413162">
      <w:pPr>
        <w:pStyle w:val="FootnoteText"/>
        <w:spacing w:after="0" w:line="240" w:lineRule="auto"/>
      </w:pPr>
      <w:r>
        <w:t>(</w:t>
      </w:r>
      <w:r>
        <w:rPr>
          <w:rStyle w:val="FootnoteReference"/>
        </w:rPr>
        <w:footnoteRef/>
      </w:r>
      <w:r>
        <w:t>)</w:t>
      </w:r>
      <w:r>
        <w:tab/>
      </w:r>
      <w:hyperlink r:id="rId5" w:history="1">
        <w:r>
          <w:rPr>
            <w:rStyle w:val="Hyperlink"/>
          </w:rPr>
          <w:t>https://ec.europa.eu/eurostat/statistics-explained/index.php?title=Residence_permits_%E2%80%93_statistics_on_authorisations_to_reside_and_work</w:t>
        </w:r>
      </w:hyperlink>
      <w:r>
        <w:t>.</w:t>
      </w:r>
    </w:p>
  </w:footnote>
  <w:footnote w:id="9">
    <w:p w14:paraId="0AC7789B" w14:textId="77777777" w:rsidR="00413162" w:rsidRDefault="00413162" w:rsidP="00413162">
      <w:pPr>
        <w:pStyle w:val="FootnoteText"/>
        <w:spacing w:after="0" w:line="240" w:lineRule="auto"/>
      </w:pPr>
      <w:r>
        <w:t>(</w:t>
      </w:r>
      <w:r>
        <w:rPr>
          <w:rStyle w:val="FootnoteReference"/>
        </w:rPr>
        <w:footnoteRef/>
      </w:r>
      <w:r>
        <w:t>)</w:t>
      </w:r>
      <w:r>
        <w:tab/>
        <w:t xml:space="preserve">Articolul 8 din Regulamentul (UE) 2024/1351 al Parlamentului European și al Consiliului din 14 mai 2024 privind gestionarea azilului și migrației, de modificare a Regulamentelor (UE) 2021/1147 și (UE) 2021/1060 și de abrogare a Regulamentului (UE) nr. 604/2013; ELI: </w:t>
      </w:r>
      <w:hyperlink r:id="rId6" w:history="1">
        <w:r>
          <w:rPr>
            <w:rStyle w:val="Hyperlink"/>
          </w:rPr>
          <w:t>http://data.europa.eu/eli/reg/2024/1351/oj</w:t>
        </w:r>
      </w:hyperlink>
      <w:r>
        <w:t xml:space="preserve">. </w:t>
      </w:r>
    </w:p>
  </w:footnote>
  <w:footnote w:id="10">
    <w:p w14:paraId="216A88C9" w14:textId="77777777" w:rsidR="00413162" w:rsidRDefault="00413162" w:rsidP="00413162">
      <w:pPr>
        <w:pStyle w:val="FootnoteText"/>
        <w:spacing w:after="0" w:line="240" w:lineRule="auto"/>
      </w:pPr>
      <w:r>
        <w:t>(</w:t>
      </w:r>
      <w:r>
        <w:rPr>
          <w:rStyle w:val="FootnoteReference"/>
        </w:rPr>
        <w:footnoteRef/>
      </w:r>
      <w:r>
        <w:t>)</w:t>
      </w:r>
      <w:r>
        <w:tab/>
        <w:t>25 de state membre au prezentat Comisiei strategiile lor naționale; Danemarca nu are obligația de a prezenta o strategie națională, în timp ce Ungaria a informat Comisia că nu va prezenta o astfel de strategie.</w:t>
      </w:r>
    </w:p>
  </w:footnote>
  <w:footnote w:id="11">
    <w:p w14:paraId="0F0E3C86" w14:textId="77777777" w:rsidR="00413162" w:rsidRDefault="00413162" w:rsidP="00413162">
      <w:pPr>
        <w:pStyle w:val="FootnoteText"/>
        <w:spacing w:after="0" w:line="240" w:lineRule="auto"/>
      </w:pPr>
      <w:r>
        <w:t>(</w:t>
      </w:r>
      <w:r>
        <w:rPr>
          <w:rStyle w:val="FootnoteReference"/>
        </w:rPr>
        <w:footnoteRef/>
      </w:r>
      <w:r>
        <w:t>)</w:t>
      </w:r>
      <w:r>
        <w:tab/>
        <w:t>Articolul 7 din Regulamentul privind gestionarea azilului și migrației.</w:t>
      </w:r>
    </w:p>
  </w:footnote>
  <w:footnote w:id="12">
    <w:p w14:paraId="30348851" w14:textId="77777777" w:rsidR="00413162" w:rsidRDefault="00413162" w:rsidP="00413162">
      <w:pPr>
        <w:pStyle w:val="FootnoteText"/>
        <w:spacing w:after="0" w:line="240" w:lineRule="auto"/>
      </w:pPr>
      <w:r>
        <w:t>(</w:t>
      </w:r>
      <w:r>
        <w:rPr>
          <w:rStyle w:val="FootnoteReference"/>
        </w:rPr>
        <w:footnoteRef/>
      </w:r>
      <w:r>
        <w:t>)</w:t>
      </w:r>
      <w:r>
        <w:tab/>
        <w:t>Audierea Comisiei LIBE din 4 decembrie 2025.</w:t>
      </w:r>
    </w:p>
  </w:footnote>
  <w:footnote w:id="13">
    <w:p w14:paraId="1A7C0BA1" w14:textId="619CF10E" w:rsidR="00DE4B9B" w:rsidRPr="00A75CA1" w:rsidRDefault="00DE4B9B" w:rsidP="00DE4B9B">
      <w:pPr>
        <w:pStyle w:val="FootnoteText"/>
        <w:spacing w:after="0" w:line="240" w:lineRule="auto"/>
      </w:pPr>
      <w:r>
        <w:t>(</w:t>
      </w:r>
      <w:r>
        <w:rPr>
          <w:rStyle w:val="FootnoteReference"/>
        </w:rPr>
        <w:footnoteRef/>
      </w:r>
      <w:r>
        <w:t>)</w:t>
      </w:r>
      <w:r>
        <w:tab/>
        <w:t xml:space="preserve">Comunicare comună către Parlamentul European, Consiliu, Comitetul Economic și Social European și Comitetul Regiunilor – Pactul pentru Mediterana – O mare, un pact, un viitor, </w:t>
      </w:r>
      <w:hyperlink r:id="rId7" w:history="1">
        <w:r>
          <w:rPr>
            <w:rStyle w:val="Hyperlink"/>
          </w:rPr>
          <w:t>https://eur-lex.europa.eu/legal-content/RO/TXT/HTML/?uri=CELEX:52025JC0026</w:t>
        </w:r>
      </w:hyperlink>
      <w:r>
        <w:t xml:space="preserve">. </w:t>
      </w:r>
    </w:p>
  </w:footnote>
  <w:footnote w:id="14">
    <w:p w14:paraId="58FCF33D" w14:textId="7A3706E3" w:rsidR="00012E67" w:rsidRPr="00064DBE" w:rsidRDefault="00012E67" w:rsidP="00334171">
      <w:pPr>
        <w:pStyle w:val="FootnoteText"/>
        <w:spacing w:after="0" w:line="240" w:lineRule="auto"/>
      </w:pPr>
      <w:r>
        <w:t>(</w:t>
      </w:r>
      <w:r>
        <w:rPr>
          <w:rStyle w:val="FootnoteReference"/>
        </w:rPr>
        <w:footnoteRef/>
      </w:r>
      <w:r>
        <w:t>)</w:t>
      </w:r>
      <w:r>
        <w:tab/>
        <w:t>Consiliul European, 20 martie 2025, Concluzii, punctul 25, EUCO 1/25.</w:t>
      </w:r>
    </w:p>
  </w:footnote>
  <w:footnote w:id="15">
    <w:p w14:paraId="3794C2D4" w14:textId="4D21246D" w:rsidR="00753E60" w:rsidRDefault="00753E60" w:rsidP="00546E18">
      <w:pPr>
        <w:pStyle w:val="FootnoteText"/>
        <w:spacing w:after="0" w:line="240" w:lineRule="auto"/>
      </w:pPr>
      <w:r>
        <w:t>(</w:t>
      </w:r>
      <w:r>
        <w:rPr>
          <w:rStyle w:val="FootnoteReference"/>
        </w:rPr>
        <w:footnoteRef/>
      </w:r>
      <w:r>
        <w:t>)</w:t>
      </w:r>
      <w:r>
        <w:tab/>
      </w:r>
      <w:hyperlink r:id="rId8" w:history="1">
        <w:r>
          <w:rPr>
            <w:rStyle w:val="Hyperlink"/>
          </w:rPr>
          <w:t>Provocări în materie de migrație:</w:t>
        </w:r>
      </w:hyperlink>
      <w:hyperlink r:id="rId9" w:history="1">
        <w:r>
          <w:rPr>
            <w:rStyle w:val="Hyperlink"/>
          </w:rPr>
          <w:t xml:space="preserve"> miniștrii din cadrul Consiliului Europei solicită o declarație politică în materie de drepturi – Portal</w:t>
        </w:r>
      </w:hyperlink>
      <w:r>
        <w:t>.</w:t>
      </w:r>
    </w:p>
  </w:footnote>
  <w:footnote w:id="16">
    <w:p w14:paraId="6A6A86A9" w14:textId="05087726" w:rsidR="00900EAF" w:rsidRPr="00C95EFC" w:rsidRDefault="00900EAF" w:rsidP="00546E18">
      <w:pPr>
        <w:pStyle w:val="FootnoteText"/>
        <w:spacing w:after="0" w:line="240" w:lineRule="auto"/>
      </w:pPr>
      <w:r>
        <w:t>(</w:t>
      </w:r>
      <w:r>
        <w:rPr>
          <w:rStyle w:val="FootnoteReference"/>
        </w:rPr>
        <w:footnoteRef/>
      </w:r>
      <w:r>
        <w:t>)</w:t>
      </w:r>
      <w:r>
        <w:tab/>
        <w:t xml:space="preserve">De exemplu, în cadrul Programului de protecție, returnare și reintegrare a migranților pentru Africa Subsahariană (MPRR-SSA) </w:t>
      </w:r>
      <w:hyperlink r:id="rId10" w:history="1">
        <w:r>
          <w:rPr>
            <w:rStyle w:val="Hyperlink"/>
          </w:rPr>
          <w:t>https://international-partnerships.ec.europa.eu/policies/programming/projects/migrant-protection-return-and-reintegration-programme-sub-saharan-africa-mprr-ssa_en</w:t>
        </w:r>
      </w:hyperlink>
      <w:r>
        <w:t xml:space="preserve">. </w:t>
      </w:r>
    </w:p>
  </w:footnote>
  <w:footnote w:id="17">
    <w:p w14:paraId="56B4AE20" w14:textId="0B7F586C" w:rsidR="00385AED" w:rsidRPr="00327B2B" w:rsidRDefault="00385AED" w:rsidP="00385AED">
      <w:pPr>
        <w:pStyle w:val="FootnoteText"/>
        <w:spacing w:after="0" w:line="240" w:lineRule="auto"/>
      </w:pPr>
      <w:r>
        <w:t>(</w:t>
      </w:r>
      <w:r>
        <w:rPr>
          <w:rStyle w:val="FootnoteReference"/>
        </w:rPr>
        <w:footnoteRef/>
      </w:r>
      <w:r>
        <w:t>)</w:t>
      </w:r>
      <w:r>
        <w:tab/>
      </w:r>
      <w:hyperlink r:id="rId11" w:history="1">
        <w:r>
          <w:rPr>
            <w:rStyle w:val="Hyperlink"/>
          </w:rPr>
          <w:t>https://home-affairs.ec.europa.eu/document/download/54b4208d-d928-4177-aac3-c70c4f6b2745_en?filename=Global%20Alliance%20Joint%20Declaration_final.pdf</w:t>
        </w:r>
      </w:hyperlink>
      <w:r>
        <w:t>.</w:t>
      </w:r>
    </w:p>
  </w:footnote>
  <w:footnote w:id="18">
    <w:p w14:paraId="5DB5DF4F" w14:textId="11EFC005" w:rsidR="00F4539A" w:rsidRPr="00327B2B" w:rsidRDefault="00F4539A" w:rsidP="007C6278">
      <w:pPr>
        <w:pStyle w:val="FootnoteText"/>
        <w:spacing w:after="0" w:line="240" w:lineRule="auto"/>
      </w:pPr>
      <w:r>
        <w:t>(</w:t>
      </w:r>
      <w:r>
        <w:rPr>
          <w:rStyle w:val="FootnoteReference"/>
        </w:rPr>
        <w:footnoteRef/>
      </w:r>
      <w:r>
        <w:t xml:space="preserve">) </w:t>
      </w:r>
      <w:hyperlink r:id="rId12" w:history="1">
        <w:r>
          <w:rPr>
            <w:rStyle w:val="Hyperlink"/>
          </w:rPr>
          <w:t>IP_25_2229_RO.pdf</w:t>
        </w:r>
      </w:hyperlink>
      <w:r>
        <w:t>.</w:t>
      </w:r>
    </w:p>
  </w:footnote>
  <w:footnote w:id="19">
    <w:p w14:paraId="565FBEA1" w14:textId="31902663" w:rsidR="00CC6340" w:rsidRPr="00327B2B" w:rsidRDefault="00CC6340" w:rsidP="00CC54E0">
      <w:pPr>
        <w:pStyle w:val="FootnoteText"/>
        <w:spacing w:after="0" w:line="240" w:lineRule="auto"/>
        <w:jc w:val="left"/>
      </w:pPr>
      <w:r>
        <w:t>(</w:t>
      </w:r>
      <w:r>
        <w:rPr>
          <w:rStyle w:val="FootnoteReference"/>
        </w:rPr>
        <w:footnoteRef/>
      </w:r>
      <w:r>
        <w:t>)</w:t>
      </w:r>
      <w:r>
        <w:tab/>
        <w:t>Set de instrumente care abordează utilizarea mijloacelor comerciale de transport pentru a facilita migrația ilegală către UE, https://home-affairs.ec.europa.eu/toolbox-addressing-use-commercial-means-transport-facilitate-irregular-migration-eu_en.</w:t>
      </w:r>
    </w:p>
  </w:footnote>
  <w:footnote w:id="20">
    <w:p w14:paraId="40F9CA51" w14:textId="2F6FCD26" w:rsidR="002946F6" w:rsidRPr="00B31F51" w:rsidRDefault="002946F6" w:rsidP="004B7017">
      <w:pPr>
        <w:pStyle w:val="FootnoteText"/>
        <w:spacing w:after="0" w:line="240" w:lineRule="auto"/>
      </w:pPr>
      <w:r>
        <w:t>(</w:t>
      </w:r>
      <w:r>
        <w:rPr>
          <w:rStyle w:val="FootnoteReference"/>
        </w:rPr>
        <w:footnoteRef/>
      </w:r>
      <w:r>
        <w:t>)</w:t>
      </w:r>
      <w:r>
        <w:tab/>
      </w:r>
      <w:hyperlink r:id="rId13" w:history="1">
        <w:r>
          <w:rPr>
            <w:rStyle w:val="Hyperlink"/>
          </w:rPr>
          <w:t>https://www.icao.int/sites/default/files/Meetings/a42/Documents/WP/wp_449_en.pdf</w:t>
        </w:r>
      </w:hyperlink>
      <w:r>
        <w:t>.</w:t>
      </w:r>
    </w:p>
  </w:footnote>
  <w:footnote w:id="21">
    <w:p w14:paraId="23464F18" w14:textId="083D783C" w:rsidR="00DA5D54" w:rsidRPr="00CB40CB" w:rsidRDefault="00DA5D54" w:rsidP="00DA5D54">
      <w:pPr>
        <w:pStyle w:val="FootnoteText"/>
        <w:spacing w:after="0" w:line="240" w:lineRule="auto"/>
      </w:pPr>
      <w:r>
        <w:t>(</w:t>
      </w:r>
      <w:r>
        <w:rPr>
          <w:rStyle w:val="FootnoteReference"/>
        </w:rPr>
        <w:footnoteRef/>
      </w:r>
      <w:r>
        <w:t>)</w:t>
      </w:r>
      <w:r>
        <w:tab/>
        <w:t xml:space="preserve">Propunere de Directivă a Parlamentului European și a Consiliului de stabilire a unor norme minime de prevenire și combatere a facilitării intrării, tranzitului și șederii neautorizate în Uniune și de înlocuire a Directivei 2002/90/CE a Consiliului și a Deciziei-cadru 2002/946/JAI a Consiliului; </w:t>
      </w:r>
      <w:hyperlink r:id="rId14" w:history="1">
        <w:r>
          <w:rPr>
            <w:rStyle w:val="Hyperlink"/>
          </w:rPr>
          <w:t>EUR-Lex – 52023PC0755 – RO – EUR-Lex</w:t>
        </w:r>
      </w:hyperlink>
      <w:r>
        <w:t>.</w:t>
      </w:r>
    </w:p>
  </w:footnote>
  <w:footnote w:id="22">
    <w:p w14:paraId="0A09E770" w14:textId="239C32E7" w:rsidR="00F10FD2" w:rsidRPr="00D62DC7" w:rsidRDefault="00F10FD2" w:rsidP="000B7691">
      <w:pPr>
        <w:pStyle w:val="FootnoteText"/>
        <w:spacing w:after="0" w:line="240" w:lineRule="auto"/>
      </w:pPr>
      <w:r>
        <w:t>(</w:t>
      </w:r>
      <w:r>
        <w:rPr>
          <w:rStyle w:val="FootnoteReference"/>
        </w:rPr>
        <w:footnoteRef/>
      </w:r>
      <w:r>
        <w:t>)</w:t>
      </w:r>
      <w:r>
        <w:tab/>
        <w:t xml:space="preserve">Raportul anual privind azilul și migrația (2025); pe baza datelor Frontex, în perioada 1 iulie 2024 - 30 iunie 2025, numărul sosirilor pe ruta central-mediteraneeană, pe ruta atlantică și pe ruta est-mediteraneeană a scăzut cu 40 %, 25 % și, respectiv, 11 % în comparație cu perioada de raportare anterioară. </w:t>
      </w:r>
    </w:p>
  </w:footnote>
  <w:footnote w:id="23">
    <w:p w14:paraId="40BAF9D2" w14:textId="4579EB30" w:rsidR="33FF167A" w:rsidRDefault="33FF167A" w:rsidP="008102BB">
      <w:pPr>
        <w:pStyle w:val="FootnoteText"/>
        <w:spacing w:after="0" w:line="240" w:lineRule="auto"/>
        <w:contextualSpacing/>
      </w:pPr>
      <w:r>
        <w:t>(</w:t>
      </w:r>
      <w:r>
        <w:rPr>
          <w:rStyle w:val="FootnoteReference"/>
        </w:rPr>
        <w:footnoteRef/>
      </w:r>
      <w:r>
        <w:t>)</w:t>
      </w:r>
      <w:r>
        <w:tab/>
        <w:t>UNHCR - Refugee Data Finder - Indicatori-cheie, https://www.unhcr.org/refugee-statistics.</w:t>
      </w:r>
    </w:p>
  </w:footnote>
  <w:footnote w:id="24">
    <w:p w14:paraId="0A78A896" w14:textId="6A17C613" w:rsidR="00A7291D" w:rsidRPr="00DE687F" w:rsidRDefault="00A7291D" w:rsidP="00A7291D">
      <w:pPr>
        <w:pStyle w:val="FootnoteText"/>
        <w:spacing w:after="0" w:line="240" w:lineRule="auto"/>
      </w:pPr>
      <w:r>
        <w:t>(</w:t>
      </w:r>
      <w:r>
        <w:rPr>
          <w:rStyle w:val="FootnoteReference"/>
        </w:rPr>
        <w:footnoteRef/>
      </w:r>
      <w:r>
        <w:t>)</w:t>
      </w:r>
      <w:r>
        <w:tab/>
        <w:t>Decizia (UE) 2025/702 a Consiliului din 17 martie 2025 de autorizare a Comisiei Europene să participe, în numele Uniunii, la negocierile pentru un instrument internațional de instituire a unei comisii internaționale de despăgubire pentru Ucraina; ELI: </w:t>
      </w:r>
      <w:hyperlink r:id="rId15" w:tooltip="Oferă acces la acest document prin identificatorul său uniform de resurse ELI." w:history="1">
        <w:r>
          <w:rPr>
            <w:rStyle w:val="Hyperlink"/>
          </w:rPr>
          <w:t>http://data.europa.eu/eli/dec/2025/702/oj</w:t>
        </w:r>
      </w:hyperlink>
      <w:r>
        <w:t>.</w:t>
      </w:r>
    </w:p>
  </w:footnote>
  <w:footnote w:id="25">
    <w:p w14:paraId="21136A68" w14:textId="021D6575" w:rsidR="0089288B" w:rsidRPr="00C41CF6" w:rsidRDefault="0089288B" w:rsidP="00CC54E0">
      <w:pPr>
        <w:pStyle w:val="FootnoteText"/>
        <w:spacing w:after="0" w:line="240" w:lineRule="auto"/>
        <w:jc w:val="left"/>
      </w:pPr>
      <w:r>
        <w:t>(</w:t>
      </w:r>
      <w:r>
        <w:rPr>
          <w:rStyle w:val="FootnoteReference"/>
        </w:rPr>
        <w:footnoteRef/>
      </w:r>
      <w:r>
        <w:t>)</w:t>
      </w:r>
      <w:r>
        <w:tab/>
        <w:t>Programul de protecție, returnare și reintegrare a migranților pentru Africa Subsahariană (MPRR-SSA) - Parteneriate Internaționale, https://international-partnerships.ec.europa.eu/policies/programming/projects/migrant-protection-return-and-reintegration-programme-sub-saharan-africa-mprr-ssa_en.</w:t>
      </w:r>
    </w:p>
  </w:footnote>
  <w:footnote w:id="26">
    <w:p w14:paraId="615B89E3" w14:textId="77777777" w:rsidR="00501CD6" w:rsidRDefault="00501CD6" w:rsidP="00A65340">
      <w:pPr>
        <w:pStyle w:val="FootnoteText"/>
        <w:spacing w:after="0" w:line="240" w:lineRule="auto"/>
      </w:pPr>
      <w:r>
        <w:t>(</w:t>
      </w:r>
      <w:r>
        <w:rPr>
          <w:rStyle w:val="FootnoteReference"/>
        </w:rPr>
        <w:footnoteRef/>
      </w:r>
      <w:r>
        <w:t>)</w:t>
      </w:r>
      <w:r>
        <w:tab/>
        <w:t>Regula de bază, stabilită de Codul Frontierelor Schengen [articolul 5 alineatul (3)], rămâne aceea că frontierele externe nu ar trebui să fie trecute decât pe la punctele de trecere a frontierei, nerespectarea acestei reguli putând atrage după sine aplicarea de sancțiuni.</w:t>
      </w:r>
    </w:p>
  </w:footnote>
  <w:footnote w:id="27">
    <w:p w14:paraId="528F133F" w14:textId="5C62D9AE" w:rsidR="006227DF" w:rsidRDefault="006227DF" w:rsidP="00A65340">
      <w:pPr>
        <w:pStyle w:val="FootnoteText"/>
        <w:spacing w:after="0" w:line="240" w:lineRule="auto"/>
      </w:pPr>
      <w:r>
        <w:t>(</w:t>
      </w:r>
      <w:r>
        <w:rPr>
          <w:rStyle w:val="FootnoteReference"/>
        </w:rPr>
        <w:footnoteRef/>
      </w:r>
      <w:r>
        <w:t>)</w:t>
      </w:r>
      <w:r>
        <w:tab/>
        <w:t xml:space="preserve">Comunicare a Comisiei către Parlamentul European și Consiliu privind contracararea amenințărilor hibride generate de utilizarea migrației ca armă și consolidarea securității la frontierele externe ale UE; </w:t>
      </w:r>
      <w:hyperlink r:id="rId16" w:history="1">
        <w:r>
          <w:rPr>
            <w:rStyle w:val="Hyperlink"/>
          </w:rPr>
          <w:t>https://eur-lex.europa.eu/legal-content/RO/TXT/HTML/?uri=CELEX:52024DC0570</w:t>
        </w:r>
      </w:hyperlink>
      <w:r>
        <w:t xml:space="preserve">. </w:t>
      </w:r>
    </w:p>
  </w:footnote>
  <w:footnote w:id="28">
    <w:p w14:paraId="01B4B09E" w14:textId="4A2F8F98" w:rsidR="00F714BE" w:rsidRPr="00A170C9" w:rsidRDefault="00F714BE" w:rsidP="00F714BE">
      <w:pPr>
        <w:pStyle w:val="FootnoteText"/>
        <w:spacing w:after="0" w:line="240" w:lineRule="auto"/>
      </w:pPr>
      <w:r>
        <w:t>(</w:t>
      </w:r>
      <w:r>
        <w:rPr>
          <w:rStyle w:val="FootnoteReference"/>
        </w:rPr>
        <w:footnoteRef/>
      </w:r>
      <w:r>
        <w:t>)</w:t>
      </w:r>
      <w:r>
        <w:tab/>
        <w:t xml:space="preserve">Propunere de Regulament al Parlamentului European și al Consiliului de instituire a unei aplicații pentru transmiterea electronică a datelor privind călătoriile („aplicația UE pentru credențiale digitale de călătorie”) și de modificare a Regulamentelor (UE) 2016/399 și (UE) 2018/1726 ale Parlamentului European și ale Consiliului și a Regulamentului (CE) nr. 2252/2004 al Consiliului în ceea ce privește utilizarea credențialelor digitale de călătorie; </w:t>
      </w:r>
      <w:hyperlink r:id="rId17" w:history="1">
        <w:r>
          <w:rPr>
            <w:rStyle w:val="Hyperlink"/>
          </w:rPr>
          <w:t>https://eur-lex.europa.eu/legal-content/RO/TXT/?uri=celex:52024PC0670</w:t>
        </w:r>
      </w:hyperlink>
      <w:r>
        <w:t xml:space="preserve">. </w:t>
      </w:r>
    </w:p>
  </w:footnote>
  <w:footnote w:id="29">
    <w:p w14:paraId="5DB9C59C" w14:textId="5E8C0DE4" w:rsidR="000E7ABB" w:rsidRPr="002424E6" w:rsidRDefault="000E7ABB" w:rsidP="000E7ABB">
      <w:pPr>
        <w:pStyle w:val="FootnoteText"/>
        <w:spacing w:after="0" w:line="240" w:lineRule="auto"/>
      </w:pPr>
      <w:r>
        <w:t>(</w:t>
      </w:r>
      <w:r>
        <w:rPr>
          <w:rStyle w:val="FootnoteReference"/>
        </w:rPr>
        <w:footnoteRef/>
      </w:r>
      <w:r>
        <w:t>)</w:t>
      </w:r>
      <w:r>
        <w:tab/>
        <w:t>Printre provocările care afectează statele membre se numără creșterile bruște ale fluxurilor de migrație (fapt care implică necesitatea eliberării unui număr mare de cărți de identitate într-un timp scurt, precum și costuri ridicate), fluctuațiile lanțurilor globale de aprovizionare pentru producția de cărți nepersonalizate și deficite ale anumitor componente necesare pentru producție. Aceste provocări s-au manifestat cu precădere în timpul pandemiei de COVID-19 și după invadarea pe scară largă a Ucrainei de către Rusia.</w:t>
      </w:r>
    </w:p>
  </w:footnote>
  <w:footnote w:id="30">
    <w:p w14:paraId="01F65FEF" w14:textId="1EF25096" w:rsidR="00971230" w:rsidRPr="000E7ABB" w:rsidRDefault="00971230" w:rsidP="000E7ABB">
      <w:pPr>
        <w:pStyle w:val="FootnoteText"/>
        <w:spacing w:after="0" w:line="240" w:lineRule="auto"/>
      </w:pPr>
      <w:r>
        <w:t>(</w:t>
      </w:r>
      <w:r>
        <w:rPr>
          <w:rStyle w:val="FootnoteReference"/>
        </w:rPr>
        <w:footnoteRef/>
      </w:r>
      <w:r>
        <w:t>)</w:t>
      </w:r>
      <w:r>
        <w:tab/>
      </w:r>
      <w:r>
        <w:rPr>
          <w:i/>
        </w:rPr>
        <w:t>Study on strengthening EU-funded security research and innovation – 20 years of EU-Funded Civil Security Research and Innovation – Final report</w:t>
      </w:r>
      <w:r>
        <w:t xml:space="preserve"> (Studiu privind consolidarea cercetării și inovării în domeniul securității finanțate de UE – 20 de ani de cercetare și inovare în domeniul securității civile finanțate de UE – Raport final); </w:t>
      </w:r>
      <w:hyperlink r:id="rId18" w:tgtFrame="_blank" w:history="1">
        <w:r>
          <w:rPr>
            <w:rStyle w:val="Hyperlink"/>
          </w:rPr>
          <w:t>https://data.europa.eu/doi/10.2837/0004501</w:t>
        </w:r>
      </w:hyperlink>
      <w:r>
        <w:t>.</w:t>
      </w:r>
    </w:p>
  </w:footnote>
  <w:footnote w:id="31">
    <w:p w14:paraId="6ECEE6D0" w14:textId="78B154B3" w:rsidR="000E0D38" w:rsidRPr="00352ABC" w:rsidRDefault="000E0D38" w:rsidP="000E0D38">
      <w:pPr>
        <w:pStyle w:val="FootnoteText"/>
        <w:spacing w:after="0" w:line="240" w:lineRule="auto"/>
      </w:pPr>
      <w:r>
        <w:t>(</w:t>
      </w:r>
      <w:r>
        <w:rPr>
          <w:rStyle w:val="FootnoteReference"/>
        </w:rPr>
        <w:footnoteRef/>
      </w:r>
      <w:r>
        <w:t>)</w:t>
      </w:r>
      <w:r>
        <w:tab/>
        <w:t>Regulamentul (UE) 2024/1689 al Parlamentului European și al Consiliului din 13 iunie 2024 de stabilire a unor norme armonizate privind inteligența artificială și de modificare a Regulamentelor (CE) nr. 300/2008, (UE) nr. 167/2013, (UE) nr. 168/2013, (UE) 2018/858, (UE) 2018/1139 și (UE) 2019/2144 și a Directivelor 2014/90/UE, (UE) 2016/797 și (UE) 2020/1828 (Regulamentul privind inteligența artificială) (Text cu relevanță pentru SEE), ELI: </w:t>
      </w:r>
      <w:hyperlink r:id="rId19" w:tooltip="Oferă acces la acest document prin identificatorul său uniform de resurse ELI." w:history="1">
        <w:r>
          <w:rPr>
            <w:rStyle w:val="Hyperlink"/>
          </w:rPr>
          <w:t>http://data.europa.eu/eli/reg/2024/1689/oj</w:t>
        </w:r>
      </w:hyperlink>
      <w:r>
        <w:t xml:space="preserve">. </w:t>
      </w:r>
    </w:p>
  </w:footnote>
  <w:footnote w:id="32">
    <w:p w14:paraId="5282F653" w14:textId="5A50B585" w:rsidR="004952E0" w:rsidRDefault="004952E0" w:rsidP="007C6278">
      <w:pPr>
        <w:pStyle w:val="FootnoteText"/>
        <w:spacing w:after="0" w:line="240" w:lineRule="auto"/>
      </w:pPr>
      <w:r>
        <w:t>(</w:t>
      </w:r>
      <w:r>
        <w:rPr>
          <w:rStyle w:val="FootnoteReference"/>
        </w:rPr>
        <w:footnoteRef/>
      </w:r>
      <w:r>
        <w:t>)</w:t>
      </w:r>
      <w:r>
        <w:tab/>
        <w:t>În conformitate, în special, cu articolul 10 alineatul (1) litera (x) și cu articolul 66 din Regulamentul Frontex.</w:t>
      </w:r>
    </w:p>
  </w:footnote>
  <w:footnote w:id="33">
    <w:p w14:paraId="7832D612" w14:textId="77777777" w:rsidR="00763ED9" w:rsidRPr="00334756" w:rsidRDefault="00763ED9" w:rsidP="00763ED9">
      <w:pPr>
        <w:pStyle w:val="FootnoteText"/>
        <w:spacing w:after="0" w:line="240" w:lineRule="auto"/>
      </w:pPr>
      <w:r>
        <w:t>(</w:t>
      </w:r>
      <w:r>
        <w:rPr>
          <w:rStyle w:val="FootnoteReference"/>
        </w:rPr>
        <w:footnoteRef/>
      </w:r>
      <w:r>
        <w:t>)</w:t>
      </w:r>
      <w:r>
        <w:tab/>
        <w:t xml:space="preserve">Pe baza studiului prospectiv global al Centrului Comun de Cercetare al Comisiei, care urmează să fie publicat în 2026. </w:t>
      </w:r>
    </w:p>
  </w:footnote>
  <w:footnote w:id="34">
    <w:p w14:paraId="59D77D9C" w14:textId="7F5C6EAA" w:rsidR="00BF1AC4" w:rsidRPr="00573998" w:rsidRDefault="00BF1AC4" w:rsidP="00CC54E0">
      <w:pPr>
        <w:pStyle w:val="FootnoteText"/>
        <w:spacing w:after="0" w:line="240" w:lineRule="auto"/>
      </w:pPr>
      <w:r>
        <w:t>(</w:t>
      </w:r>
      <w:r>
        <w:rPr>
          <w:rStyle w:val="FootnoteReference"/>
        </w:rPr>
        <w:footnoteRef/>
      </w:r>
      <w:r>
        <w:t>)</w:t>
      </w:r>
      <w:r>
        <w:tab/>
        <w:t xml:space="preserve">Comunicare a Comisiei către Parlamentul European, Consiliu, Comitetul Economic și Social European și Comitetul Regiunilor - Planul comun de punere în aplicare a Pactului privind migrația și azilul; </w:t>
      </w:r>
      <w:hyperlink r:id="rId20" w:history="1">
        <w:r>
          <w:rPr>
            <w:rStyle w:val="Hyperlink"/>
          </w:rPr>
          <w:t>EUR-Lex - 52024DC0251 - RO - EUR-Lex</w:t>
        </w:r>
      </w:hyperlink>
      <w:r>
        <w:t>.</w:t>
      </w:r>
    </w:p>
  </w:footnote>
  <w:footnote w:id="35">
    <w:p w14:paraId="357B970C" w14:textId="6EF5EC49" w:rsidR="00DF0CBE" w:rsidRDefault="00DF0CBE" w:rsidP="00AD09E4">
      <w:pPr>
        <w:pStyle w:val="FootnoteText"/>
        <w:spacing w:after="0" w:line="240" w:lineRule="auto"/>
      </w:pPr>
      <w:r>
        <w:t>(</w:t>
      </w:r>
      <w:r>
        <w:rPr>
          <w:rStyle w:val="FootnoteReference"/>
        </w:rPr>
        <w:footnoteRef/>
      </w:r>
      <w:r>
        <w:t>)</w:t>
      </w:r>
      <w:r>
        <w:tab/>
        <w:t xml:space="preserve">În prezent, Comisia sprijină zece state membre prin intermediul Instrumentului de sprijin tehnic (IST) pentru punerea în aplicare a pactului. De asemenea, statele membre beneficiază de pe urma învățării reciproce și a schimburilor de bune practici instituite în contextul IST; </w:t>
      </w:r>
      <w:hyperlink r:id="rId21" w:anchor=":~:text=This%20Flagship%20aims%20to%20provide%20tailor%20made%20expertise,Profile%20Tool%20for%20Third%20Country%20Nationals%20and%20others." w:history="1">
        <w:r>
          <w:rPr>
            <w:rStyle w:val="Hyperlink"/>
          </w:rPr>
          <w:t>Proiect-pilot IST 2025 - Sprijinirea statelor membre în punerea în aplicare a noului Pact privind migrația și azilul – Comisia Europeană</w:t>
        </w:r>
      </w:hyperlink>
      <w:r>
        <w:t>.</w:t>
      </w:r>
    </w:p>
  </w:footnote>
  <w:footnote w:id="36">
    <w:p w14:paraId="09EE6ED1" w14:textId="66804440" w:rsidR="008F0F7F" w:rsidRPr="00AD09E4" w:rsidRDefault="008F0F7F" w:rsidP="00AD09E4">
      <w:pPr>
        <w:pStyle w:val="FootnoteText"/>
        <w:spacing w:after="0" w:line="240" w:lineRule="auto"/>
      </w:pPr>
      <w:r>
        <w:t>(</w:t>
      </w:r>
      <w:r>
        <w:rPr>
          <w:rStyle w:val="FootnoteReference"/>
        </w:rPr>
        <w:footnoteRef/>
      </w:r>
      <w:r>
        <w:t>)</w:t>
      </w:r>
      <w:r>
        <w:tab/>
        <w:t>Această sumă este alocată în plus față de resursele financiare planificate inițial a fi alocate statelor membre în cadrul instrumentelor financiare din domeniul afacerilor interne pentru perioada 2021-2027.</w:t>
      </w:r>
    </w:p>
  </w:footnote>
  <w:footnote w:id="37">
    <w:p w14:paraId="4A087EB1" w14:textId="71022825" w:rsidR="0062424B" w:rsidRPr="00482E92" w:rsidRDefault="0089288B" w:rsidP="00CC54E0">
      <w:pPr>
        <w:pStyle w:val="FootnoteText"/>
        <w:spacing w:after="0" w:line="240" w:lineRule="auto"/>
      </w:pPr>
      <w:r>
        <w:t>(</w:t>
      </w:r>
      <w:r>
        <w:rPr>
          <w:rStyle w:val="FootnoteReference"/>
        </w:rPr>
        <w:footnoteRef/>
      </w:r>
      <w:r>
        <w:t>)</w:t>
      </w:r>
      <w:r>
        <w:tab/>
        <w:t xml:space="preserve">Propunere de Regulament al Parlamentului European și al Consiliului de modificare a Regulamentului (UE) 2024/1348 în ceea ce privește întocmirea unei liste a țărilor de origine sigure la nivelul Uniunii și Propunere de Regulament al Parlamentului European și al Consiliului de modificare a Regulamentului (UE) 2024/1348 în ceea ce privește aplicarea conceptului de „țară terță sigură”; </w:t>
      </w:r>
      <w:hyperlink r:id="rId22" w:history="1">
        <w:r>
          <w:rPr>
            <w:rStyle w:val="Hyperlink"/>
          </w:rPr>
          <w:t>https://eur-lex.europa.eu/legal-content/RO/TXT/?uri=celex%3A52025PC0186</w:t>
        </w:r>
      </w:hyperlink>
      <w:r>
        <w:t xml:space="preserve">; </w:t>
      </w:r>
      <w:hyperlink r:id="rId23" w:history="1">
        <w:r>
          <w:rPr>
            <w:rStyle w:val="Hyperlink"/>
          </w:rPr>
          <w:t>https://eur-lex.europa.eu/legal-content/RO/TXT/?uri=celex:52025PC0259</w:t>
        </w:r>
      </w:hyperlink>
      <w:r>
        <w:t xml:space="preserve">. </w:t>
      </w:r>
    </w:p>
  </w:footnote>
  <w:footnote w:id="38">
    <w:p w14:paraId="362E9D80" w14:textId="3CC9E38A" w:rsidR="00177835" w:rsidRPr="00870D2E" w:rsidRDefault="00177835" w:rsidP="00177835">
      <w:pPr>
        <w:pStyle w:val="FootnoteText"/>
        <w:spacing w:after="0" w:line="240" w:lineRule="auto"/>
      </w:pPr>
      <w:r>
        <w:t>(</w:t>
      </w:r>
      <w:r>
        <w:rPr>
          <w:rStyle w:val="FootnoteReference"/>
        </w:rPr>
        <w:footnoteRef/>
      </w:r>
      <w:r>
        <w:t>)</w:t>
      </w:r>
      <w:r>
        <w:tab/>
        <w:t>Regulamentul Parlamentului European și al Consiliului din 14 mai 2024 privind gestionarea azilului și migrației, de modificare a Regulamentelor (UE) 2021/1147 și (UE) 2021/1060 și de abrogare a Regulamentului (UE) nr. 604/2013; https://eur-lex.europa.eu/legal-content/RO/TXT/PDF/?uri=OJ:L_202401351.</w:t>
      </w:r>
    </w:p>
  </w:footnote>
  <w:footnote w:id="39">
    <w:p w14:paraId="355CFF35" w14:textId="36D8C939" w:rsidR="00177835" w:rsidRPr="00870D2E" w:rsidRDefault="00177835" w:rsidP="00177835">
      <w:pPr>
        <w:pStyle w:val="FootnoteText"/>
        <w:spacing w:after="0" w:line="240" w:lineRule="auto"/>
      </w:pPr>
      <w:r>
        <w:t>(</w:t>
      </w:r>
      <w:r>
        <w:rPr>
          <w:rStyle w:val="FootnoteReference"/>
        </w:rPr>
        <w:footnoteRef/>
      </w:r>
      <w:r>
        <w:t>)</w:t>
      </w:r>
      <w:r>
        <w:tab/>
        <w:t>Regulamentul (UE) 2024/1348 al Parlamentului European și al Consiliului din 14 mai 2024 de stabilire a unei proceduri comune în materie de protecție internațională în Uniune și de abrogare a Directivei 2013/32/UE.</w:t>
      </w:r>
    </w:p>
  </w:footnote>
  <w:footnote w:id="40">
    <w:p w14:paraId="33C953DB" w14:textId="108EFCFA" w:rsidR="00DF5222" w:rsidRDefault="00DF5222" w:rsidP="00AD09E4">
      <w:pPr>
        <w:pStyle w:val="FootnoteText"/>
        <w:spacing w:after="0" w:line="240" w:lineRule="auto"/>
      </w:pPr>
      <w:r>
        <w:t>(</w:t>
      </w:r>
      <w:r>
        <w:rPr>
          <w:rStyle w:val="FootnoteReference"/>
        </w:rPr>
        <w:footnoteRef/>
      </w:r>
      <w:r>
        <w:t>)</w:t>
      </w:r>
      <w:r>
        <w:tab/>
        <w:t>Decizia de punere în aplicare (UE) 2025/2323 a Comisiei din 11 noiembrie 2025 în temeiul articolului 11 din Regulamentul (UE) 2024/1351 al Parlamentului European și al Consiliului; ELI: http://data.europa.eu/eli/dec_impl/2025/2323/oj.</w:t>
      </w:r>
    </w:p>
  </w:footnote>
  <w:footnote w:id="41">
    <w:p w14:paraId="470FB360" w14:textId="3125D317" w:rsidR="00D130D8" w:rsidRPr="00297A8D" w:rsidRDefault="00D130D8" w:rsidP="00CC54E0">
      <w:pPr>
        <w:pStyle w:val="FootnoteText"/>
        <w:spacing w:after="0" w:line="240" w:lineRule="auto"/>
      </w:pPr>
      <w:r>
        <w:t>(</w:t>
      </w:r>
      <w:r>
        <w:rPr>
          <w:rStyle w:val="FootnoteReference"/>
        </w:rPr>
        <w:footnoteRef/>
      </w:r>
      <w:r>
        <w:t>)</w:t>
      </w:r>
      <w:r>
        <w:tab/>
        <w:t xml:space="preserve">Decizia de punere în aplicare (UE) 2025/2642 a Consiliului din 19 decembrie 2025 privind stabilirea rezervei anuale de solidaritate pentru 2026, JO L, 2025/2642, 23.12.2025, ELI: </w:t>
      </w:r>
      <w:hyperlink r:id="rId24" w:history="1">
        <w:r>
          <w:rPr>
            <w:rStyle w:val="Hyperlink"/>
          </w:rPr>
          <w:t>http://data.europa.eu/eli/dec_impl/2025/2642/oj</w:t>
        </w:r>
      </w:hyperlink>
      <w:r>
        <w:t xml:space="preserve">. </w:t>
      </w:r>
    </w:p>
  </w:footnote>
  <w:footnote w:id="42">
    <w:p w14:paraId="7E3DACE0" w14:textId="77777777" w:rsidR="00E45634" w:rsidRPr="001F221C" w:rsidRDefault="00E45634" w:rsidP="00C60F49">
      <w:pPr>
        <w:pStyle w:val="FootnoteText"/>
        <w:spacing w:after="0" w:line="240" w:lineRule="auto"/>
      </w:pPr>
      <w:r>
        <w:t>(</w:t>
      </w:r>
      <w:r>
        <w:rPr>
          <w:rStyle w:val="FootnoteReference"/>
        </w:rPr>
        <w:footnoteRef/>
      </w:r>
      <w:r>
        <w:t>)</w:t>
      </w:r>
      <w:r>
        <w:tab/>
        <w:t>Comisia a lansat deja un studiu extern privind digitalizarea și integrarea operațională a sistemelor de azil, de primire, Dublin și de gestionare a cazurilor de returnare, pentru a evalua situația actuală din statele membre și valoarea adăugată a acțiunii Uniunii în acest domeniu.</w:t>
      </w:r>
    </w:p>
  </w:footnote>
  <w:footnote w:id="43">
    <w:p w14:paraId="61EF3F8B" w14:textId="7C094002" w:rsidR="000515E2" w:rsidRPr="00120C14" w:rsidRDefault="000515E2" w:rsidP="00C60F49">
      <w:pPr>
        <w:pStyle w:val="FootnoteText"/>
        <w:spacing w:after="0" w:line="240" w:lineRule="auto"/>
      </w:pPr>
      <w:r>
        <w:t>(</w:t>
      </w:r>
      <w:r>
        <w:rPr>
          <w:rStyle w:val="FootnoteReference"/>
        </w:rPr>
        <w:footnoteRef/>
      </w:r>
      <w:r>
        <w:t>)</w:t>
      </w:r>
      <w:r>
        <w:tab/>
        <w:t xml:space="preserve">Activități de cercetare și inovare în domeniul migrației, finanțate de UE: </w:t>
      </w:r>
      <w:hyperlink r:id="rId25" w:history="1">
        <w:r>
          <w:rPr>
            <w:rStyle w:val="Hyperlink"/>
          </w:rPr>
          <w:t>https://research-and-innovation.ec.europa.eu/research-area/social-sciences-and-humanities/migration-and-mobility_en</w:t>
        </w:r>
      </w:hyperlink>
      <w:r>
        <w:t xml:space="preserve">. </w:t>
      </w:r>
    </w:p>
  </w:footnote>
  <w:footnote w:id="44">
    <w:p w14:paraId="0581D1A1" w14:textId="282AFB28" w:rsidR="00DA07D4" w:rsidRPr="00397622" w:rsidRDefault="00DA07D4" w:rsidP="00C60F49">
      <w:pPr>
        <w:pStyle w:val="FootnoteText"/>
        <w:spacing w:after="0" w:line="240" w:lineRule="auto"/>
      </w:pPr>
      <w:r>
        <w:t>(</w:t>
      </w:r>
      <w:r>
        <w:rPr>
          <w:rStyle w:val="FootnoteReference"/>
        </w:rPr>
        <w:footnoteRef/>
      </w:r>
      <w:r>
        <w:t>)</w:t>
      </w:r>
      <w:r>
        <w:tab/>
        <w:t>Articolul 6 din Regulamentul (UE) 2024/1689; https://eur-lex.europa.eu/eli/reg/2024/1689/oj/rom.</w:t>
      </w:r>
    </w:p>
  </w:footnote>
  <w:footnote w:id="45">
    <w:p w14:paraId="35E1D20A" w14:textId="77777777" w:rsidR="006C010F" w:rsidRDefault="006C010F" w:rsidP="006C010F">
      <w:pPr>
        <w:pStyle w:val="FootnoteText"/>
        <w:spacing w:after="0" w:line="240" w:lineRule="auto"/>
      </w:pPr>
      <w:r>
        <w:t>(</w:t>
      </w:r>
      <w:r>
        <w:rPr>
          <w:rStyle w:val="FootnoteReference"/>
        </w:rPr>
        <w:footnoteRef/>
      </w:r>
      <w:r>
        <w:t>)</w:t>
      </w:r>
      <w:r>
        <w:tab/>
        <w:t>Recomandarea Consiliului din 16 septembrie 2025 privind o abordare coordonată a ieșirii treptate din regimul de protecție temporară pentru persoanele strămutate din Ucraina, ELI: </w:t>
      </w:r>
      <w:hyperlink r:id="rId26" w:tooltip="Oferă acces la acest document prin identificatorul său uniform de resurse ELI." w:history="1">
        <w:r>
          <w:rPr>
            <w:rStyle w:val="Hyperlink"/>
          </w:rPr>
          <w:t>http://data.europa.eu/eli/C/2025/5129/oj</w:t>
        </w:r>
      </w:hyperlink>
      <w:r>
        <w:t>.</w:t>
      </w:r>
    </w:p>
  </w:footnote>
  <w:footnote w:id="46">
    <w:p w14:paraId="36F048C6" w14:textId="788BC574" w:rsidR="0017065F" w:rsidRPr="00036AE3" w:rsidRDefault="0017065F" w:rsidP="00E30D48">
      <w:pPr>
        <w:pStyle w:val="FootnoteText"/>
        <w:spacing w:after="0" w:line="240" w:lineRule="auto"/>
      </w:pPr>
      <w:r>
        <w:t>(</w:t>
      </w:r>
      <w:r>
        <w:rPr>
          <w:rStyle w:val="FootnoteReference"/>
        </w:rPr>
        <w:footnoteRef/>
      </w:r>
      <w:r>
        <w:t>)</w:t>
      </w:r>
      <w:r>
        <w:tab/>
        <w:t>Inclusiv cu sprijinul trimisului special pentru ucraineni în UE, care a colaborat, de asemenea, cu statele membre și cu Ucraina.</w:t>
      </w:r>
    </w:p>
  </w:footnote>
  <w:footnote w:id="47">
    <w:p w14:paraId="07E81B58" w14:textId="78A7F17D" w:rsidR="000872B0" w:rsidRDefault="000872B0" w:rsidP="00923154">
      <w:pPr>
        <w:pStyle w:val="FootnoteText"/>
        <w:spacing w:after="0" w:line="240" w:lineRule="auto"/>
      </w:pPr>
      <w:r>
        <w:t>(</w:t>
      </w:r>
      <w:r>
        <w:rPr>
          <w:rStyle w:val="FootnoteReference"/>
        </w:rPr>
        <w:footnoteRef/>
      </w:r>
      <w:r>
        <w:t>)</w:t>
      </w:r>
      <w:r>
        <w:tab/>
        <w:t xml:space="preserve">Propunere de Regulament al Parlamentului European și al Consiliului de instituire a unui sistem comun pentru returnarea resortisanților țărilor terțe aflați în situație de ședere ilegală în Uniune și de abrogare a Directivei 2008/115/CE a Parlamentului European și a Consiliului, a Directivei 2001/40/CE a Consiliului și a Deciziei 2004/191/CE a Consiliului; </w:t>
      </w:r>
      <w:hyperlink r:id="rId27" w:history="1">
        <w:r>
          <w:rPr>
            <w:rStyle w:val="Hyperlink"/>
          </w:rPr>
          <w:t>https://eur-lex.europa.eu/legal-content/RO/TXT/?uri=celex:52025PC0101</w:t>
        </w:r>
      </w:hyperlink>
      <w:r>
        <w:t xml:space="preserve">. </w:t>
      </w:r>
    </w:p>
  </w:footnote>
  <w:footnote w:id="48">
    <w:p w14:paraId="3FF58B0C" w14:textId="3744515F" w:rsidR="002757C3" w:rsidRDefault="002757C3" w:rsidP="0039211E">
      <w:pPr>
        <w:pStyle w:val="FootnoteText"/>
        <w:spacing w:after="0" w:line="240" w:lineRule="auto"/>
      </w:pPr>
      <w:r>
        <w:t>(</w:t>
      </w:r>
      <w:r>
        <w:rPr>
          <w:rStyle w:val="FootnoteReference"/>
        </w:rPr>
        <w:footnoteRef/>
      </w:r>
      <w:r>
        <w:t>)</w:t>
      </w:r>
      <w:r>
        <w:tab/>
        <w:t xml:space="preserve">Regulamentul Parlamentului European și al Consiliului din 14 mai 2024 de instituire a procedurii de returnare la frontieră și de modificare a Regulamentului (UE) 2021/1148; ELI: </w:t>
      </w:r>
      <w:hyperlink r:id="rId28" w:history="1">
        <w:r>
          <w:rPr>
            <w:rStyle w:val="Hyperlink"/>
          </w:rPr>
          <w:t>http://data.europa.eu/eli/reg/2024/1349/oj</w:t>
        </w:r>
      </w:hyperlink>
      <w:r>
        <w:t>.</w:t>
      </w:r>
    </w:p>
  </w:footnote>
  <w:footnote w:id="49">
    <w:p w14:paraId="6272D586" w14:textId="4C15895E" w:rsidR="00A7291D" w:rsidRPr="00E72DAD" w:rsidRDefault="00A7291D" w:rsidP="00A7291D">
      <w:pPr>
        <w:pStyle w:val="FootnoteText"/>
        <w:spacing w:after="0" w:line="240" w:lineRule="auto"/>
      </w:pPr>
      <w:r>
        <w:t>(</w:t>
      </w:r>
      <w:r>
        <w:rPr>
          <w:rStyle w:val="FootnoteReference"/>
        </w:rPr>
        <w:footnoteRef/>
      </w:r>
      <w:r>
        <w:t>)</w:t>
      </w:r>
      <w:r>
        <w:tab/>
        <w:t xml:space="preserve">Propunere de Regulament al Parlamentului European și al Consiliului de instituire a unui sistem comun pentru returnarea resortisanților țărilor terțe aflați în situație de ședere ilegală în Uniune și de abrogare a Directivei 2008/115/CE a Parlamentului European și a Consiliului, a Directivei 2001/40/CE a Consiliului și a Deciziei 2004/191/CE a Consiliului; </w:t>
      </w:r>
      <w:hyperlink r:id="rId29" w:history="1">
        <w:r>
          <w:rPr>
            <w:rStyle w:val="Hyperlink"/>
          </w:rPr>
          <w:t>EUR-Lex – 52025PC0101 - RO - EUR-Lex</w:t>
        </w:r>
      </w:hyperlink>
      <w:r>
        <w:t>.</w:t>
      </w:r>
    </w:p>
  </w:footnote>
  <w:footnote w:id="50">
    <w:p w14:paraId="26379C5C" w14:textId="13F1E5BB" w:rsidR="00CC2D23" w:rsidRPr="00870D2E" w:rsidRDefault="00CC2D23" w:rsidP="00CC2D23">
      <w:pPr>
        <w:pStyle w:val="FootnoteText"/>
        <w:spacing w:after="0" w:line="240" w:lineRule="auto"/>
      </w:pPr>
      <w:r>
        <w:t>(</w:t>
      </w:r>
      <w:r>
        <w:rPr>
          <w:rStyle w:val="FootnoteReference"/>
        </w:rPr>
        <w:footnoteRef/>
      </w:r>
      <w:r>
        <w:t>)</w:t>
      </w:r>
      <w:r>
        <w:tab/>
        <w:t>Regulamentul (CE) nr. 810/2009 al Parlamentului European și al Consiliului din 13 iulie 2009 privind instituirea unui Cod comunitar de vize (Codul de vize); https://eur-lex.europa.eu/eli/reg/2009/810/oj/eng.</w:t>
      </w:r>
    </w:p>
  </w:footnote>
  <w:footnote w:id="51">
    <w:p w14:paraId="0514E806" w14:textId="4206F340" w:rsidR="001A6F6A" w:rsidRPr="00242B69" w:rsidRDefault="001A6F6A" w:rsidP="001A6F6A">
      <w:pPr>
        <w:pStyle w:val="FootnoteText"/>
        <w:spacing w:after="0" w:line="240" w:lineRule="auto"/>
      </w:pPr>
      <w:r>
        <w:t>(</w:t>
      </w:r>
      <w:r>
        <w:rPr>
          <w:rStyle w:val="FootnoteReference"/>
        </w:rPr>
        <w:footnoteRef/>
      </w:r>
      <w:r>
        <w:t>)</w:t>
      </w:r>
      <w:r>
        <w:tab/>
        <w:t>UE a încheiat acorduri de readmisie cu Hong Kong, Macao, Sri Lanka, Albania, Rusia, Ucraina, Macedonia de Nord, Bosnia și Herțegovina, Muntenegru, Serbia, Moldova, Pakistan, Georgia, Armenia, Azerbaidjan, Turcia, Capul Verde, Belarus, precum și înțelegeri de readmisie cu Afganistan, Gambia, Guineea, Bangladesh, Etiopia și Côte d’Ivoire. Obligațiile de readmisie a propriilor resortisanți sunt incluse și în alte instrumente internaționale, inclusiv în acordurile de parteneriat și cooperare (APC) și în Acordul din Samoa încheiat cu 77 de țări din Africa, zona Caraibilor și Pacific.</w:t>
      </w:r>
    </w:p>
  </w:footnote>
  <w:footnote w:id="52">
    <w:p w14:paraId="4817BD32" w14:textId="6943668F" w:rsidR="00E22963" w:rsidRDefault="00E22963" w:rsidP="004A7C77">
      <w:pPr>
        <w:pStyle w:val="FootnoteText"/>
        <w:spacing w:after="0" w:line="240" w:lineRule="auto"/>
      </w:pPr>
      <w:r>
        <w:t>(</w:t>
      </w:r>
      <w:r>
        <w:rPr>
          <w:rStyle w:val="FootnoteReference"/>
        </w:rPr>
        <w:footnoteRef/>
      </w:r>
      <w:r>
        <w:t>)</w:t>
      </w:r>
      <w:r>
        <w:tab/>
        <w:t xml:space="preserve">Comunicare a Comisiei către Parlamentul European, Consiliu, Comitetul Economic și Social European și Comitetul Regiunilor – Valorificarea talentelor în regiunile Europei, </w:t>
      </w:r>
      <w:hyperlink r:id="rId30" w:history="1">
        <w:r>
          <w:rPr>
            <w:rStyle w:val="Hyperlink"/>
          </w:rPr>
          <w:t>EUR-Lex - 52023DC0032 - RO - EUR-Lex</w:t>
        </w:r>
      </w:hyperlink>
      <w:r>
        <w:t>.</w:t>
      </w:r>
    </w:p>
  </w:footnote>
  <w:footnote w:id="53">
    <w:p w14:paraId="3DDA93F0" w14:textId="60817924" w:rsidR="00A7291D" w:rsidRPr="008E1B1E" w:rsidRDefault="00A7291D" w:rsidP="000D016D">
      <w:pPr>
        <w:pStyle w:val="FootnoteText"/>
        <w:spacing w:after="0" w:line="240" w:lineRule="auto"/>
      </w:pPr>
      <w:r>
        <w:t>(</w:t>
      </w:r>
      <w:r>
        <w:rPr>
          <w:rStyle w:val="FootnoteReference"/>
        </w:rPr>
        <w:footnoteRef/>
      </w:r>
      <w:r>
        <w:t>)</w:t>
      </w:r>
      <w:r>
        <w:tab/>
        <w:t xml:space="preserve">Comunicare a Comisiei către Parlamentul European, Consiliu, Comitetul Economic și Social European și Comitetul Regiunilor – Uniunea competențelor; </w:t>
      </w:r>
      <w:hyperlink r:id="rId31" w:history="1">
        <w:r>
          <w:rPr>
            <w:rStyle w:val="Hyperlink"/>
          </w:rPr>
          <w:t>EUR-Lex - 52025DC0090 - RO - EUR-Lex</w:t>
        </w:r>
      </w:hyperlink>
      <w:r>
        <w:t>.</w:t>
      </w:r>
    </w:p>
  </w:footnote>
  <w:footnote w:id="54">
    <w:p w14:paraId="358255F2" w14:textId="5B75A7DC" w:rsidR="00E27C7F" w:rsidRPr="00E27C7F" w:rsidRDefault="00E27C7F">
      <w:pPr>
        <w:pStyle w:val="FootnoteText"/>
      </w:pPr>
      <w:r>
        <w:t>(</w:t>
      </w:r>
      <w:r>
        <w:rPr>
          <w:rStyle w:val="FootnoteReference"/>
        </w:rPr>
        <w:footnoteRef/>
      </w:r>
      <w:r>
        <w:t>)</w:t>
      </w:r>
      <w:r>
        <w:tab/>
        <w:t xml:space="preserve">Comunicare a Comisiei către Parlamentul European, Consiliu, Comitetul Economic și Social European și Comitetul Regiunilor – Schimbările demografice din Europa: un set de instrumente pentru acțiune, </w:t>
      </w:r>
      <w:hyperlink r:id="rId32" w:history="1">
        <w:r>
          <w:rPr>
            <w:rStyle w:val="Hyperlink"/>
          </w:rPr>
          <w:t>EUR-Lex - 52023DC0577 - RO - EUR-Lex</w:t>
        </w:r>
      </w:hyperlink>
      <w:r>
        <w:t>.</w:t>
      </w:r>
    </w:p>
  </w:footnote>
  <w:footnote w:id="55">
    <w:p w14:paraId="3C6ED1D9" w14:textId="1FAEC08F" w:rsidR="008B1944" w:rsidRPr="00E67140" w:rsidRDefault="00F1306F" w:rsidP="00CC54E0">
      <w:pPr>
        <w:pStyle w:val="FootnoteText"/>
        <w:spacing w:after="0" w:line="240" w:lineRule="auto"/>
      </w:pPr>
      <w:r>
        <w:t>(</w:t>
      </w:r>
      <w:r>
        <w:rPr>
          <w:rStyle w:val="FootnoteReference"/>
        </w:rPr>
        <w:footnoteRef/>
      </w:r>
      <w:r>
        <w:t xml:space="preserve">) </w:t>
      </w:r>
      <w:r>
        <w:tab/>
        <w:t>Alegeți Europa: dezvoltați-vă cariera de cercetător în UE https://commission.europa.eu/topics/research-and-innovation/choose-europe_en.</w:t>
      </w:r>
    </w:p>
  </w:footnote>
  <w:footnote w:id="56">
    <w:p w14:paraId="635C9142" w14:textId="73192316" w:rsidR="0075083E" w:rsidRDefault="0075083E" w:rsidP="00AE5F1E">
      <w:pPr>
        <w:pStyle w:val="FootnoteText"/>
        <w:spacing w:after="0" w:line="240" w:lineRule="auto"/>
        <w:ind w:left="0" w:firstLine="0"/>
      </w:pPr>
    </w:p>
  </w:footnote>
  <w:footnote w:id="57">
    <w:p w14:paraId="320E0CBB" w14:textId="41705951" w:rsidR="00792BF3" w:rsidRPr="0031456A" w:rsidRDefault="00792BF3" w:rsidP="00B15A10">
      <w:pPr>
        <w:pStyle w:val="FootnoteText"/>
        <w:spacing w:after="0" w:line="240" w:lineRule="auto"/>
      </w:pPr>
      <w:r>
        <w:t>(</w:t>
      </w:r>
      <w:r>
        <w:rPr>
          <w:rStyle w:val="FootnoteReference"/>
        </w:rPr>
        <w:footnoteRef/>
      </w:r>
      <w:r>
        <w:t>)</w:t>
      </w:r>
      <w:r>
        <w:tab/>
        <w:t>Normele UE reglementează condițiile de intrare și de ședere pentru anumite categorii de lucrători (lucrători cu înaltă calificare, lucrători sezonieri și persoane transferate în cadrul aceleiași companii), studenți și cercetători, dreptul la reîntregirea familiei și „șederea pe termen lung”. Legislația UE prevede, de asemenea, o procedură unică – și un permis unic – pentru lucrătorii din afara UE admiși în cadrul sistemelor naționale ale statelor membre. În prezent, normele UE nu se aplică altor categorii de lucrători migranți și nici lucrătorilor independenți migranți.</w:t>
      </w:r>
    </w:p>
  </w:footnote>
  <w:footnote w:id="58">
    <w:p w14:paraId="4F3B0A89" w14:textId="2A3AC99B" w:rsidR="008276C4" w:rsidRPr="001E16F4" w:rsidRDefault="008276C4" w:rsidP="00EF3C3B">
      <w:pPr>
        <w:pStyle w:val="FootnoteText"/>
        <w:spacing w:after="0" w:line="240" w:lineRule="auto"/>
        <w:rPr>
          <w:highlight w:val="yellow"/>
        </w:rPr>
      </w:pPr>
      <w:r>
        <w:t>(</w:t>
      </w:r>
      <w:r>
        <w:rPr>
          <w:rStyle w:val="FootnoteReference"/>
        </w:rPr>
        <w:footnoteRef/>
      </w:r>
      <w:r>
        <w:t>)</w:t>
      </w:r>
      <w:r>
        <w:tab/>
        <w:t>COM(2026) 43 final.</w:t>
      </w:r>
    </w:p>
  </w:footnote>
  <w:footnote w:id="59">
    <w:p w14:paraId="562A3AC2" w14:textId="2EFB5809" w:rsidR="00EF3C3B" w:rsidRPr="00B73CE1" w:rsidRDefault="00EF3C3B" w:rsidP="00EF3C3B">
      <w:pPr>
        <w:pStyle w:val="FootnoteText"/>
        <w:spacing w:after="0" w:line="240" w:lineRule="auto"/>
      </w:pPr>
      <w:r>
        <w:t>(</w:t>
      </w:r>
      <w:r>
        <w:rPr>
          <w:rStyle w:val="FootnoteReference"/>
        </w:rPr>
        <w:footnoteRef/>
      </w:r>
      <w:r>
        <w:t>)</w:t>
      </w:r>
      <w:r>
        <w:tab/>
        <w:t>C(2026) 462 final.</w:t>
      </w:r>
    </w:p>
  </w:footnote>
  <w:footnote w:id="60">
    <w:p w14:paraId="15C2AF21" w14:textId="0661FD36" w:rsidR="00864B83" w:rsidRPr="00E67140" w:rsidRDefault="00864B83" w:rsidP="00EF3C3B">
      <w:pPr>
        <w:pStyle w:val="FootnoteText"/>
        <w:spacing w:after="0" w:line="240" w:lineRule="auto"/>
      </w:pPr>
      <w:r>
        <w:t>(</w:t>
      </w:r>
      <w:r>
        <w:rPr>
          <w:rStyle w:val="FootnoteReference"/>
        </w:rPr>
        <w:footnoteRef/>
      </w:r>
      <w:r>
        <w:t>)</w:t>
      </w:r>
      <w:r>
        <w:tab/>
        <w:t xml:space="preserve">Recomandarea (UE) 2023/2611 a Comisiei din 15 noiembrie 2023 privind recunoașterea calificărilor resortisanților țărilor terțe, C/2023/7700, JO L, 2023/2611, 24.11.2023, ELI: </w:t>
      </w:r>
      <w:hyperlink r:id="rId33" w:history="1">
        <w:r>
          <w:rPr>
            <w:rStyle w:val="Hyperlink"/>
          </w:rPr>
          <w:t>http://data.europa.eu/eli/reco/2023/2611/oj</w:t>
        </w:r>
      </w:hyperlink>
      <w:r>
        <w:t xml:space="preserve">. </w:t>
      </w:r>
    </w:p>
  </w:footnote>
  <w:footnote w:id="61">
    <w:p w14:paraId="6404562A" w14:textId="2303323E" w:rsidR="00A25229" w:rsidRPr="00FF5736" w:rsidRDefault="00A25229" w:rsidP="00B15A10">
      <w:pPr>
        <w:pStyle w:val="FootnoteText"/>
        <w:spacing w:after="0" w:line="240" w:lineRule="auto"/>
      </w:pPr>
      <w:r>
        <w:t>(</w:t>
      </w:r>
      <w:r>
        <w:rPr>
          <w:rStyle w:val="FootnoteReference"/>
        </w:rPr>
        <w:footnoteRef/>
      </w:r>
      <w:r>
        <w:t>)</w:t>
      </w:r>
      <w:r>
        <w:tab/>
        <w:t xml:space="preserve">Directiva 2009/52/CE a Parlamentului European și a Consiliului din 18 iunie 2009 de stabilire a standardelor minime privind sancțiunile și măsurile la adresa angajatorilor de resortisanți din țări terțe aflați în situație de ședere ilegală; https://eur-lex.europa.eu/eli/dir/2009/52/oj/eng. </w:t>
      </w:r>
    </w:p>
  </w:footnote>
  <w:footnote w:id="62">
    <w:p w14:paraId="75F6CA80" w14:textId="24399D20" w:rsidR="00516372" w:rsidRPr="00C51349" w:rsidRDefault="00516372" w:rsidP="00C51349">
      <w:pPr>
        <w:pStyle w:val="FootnoteText"/>
        <w:spacing w:after="0" w:line="240" w:lineRule="auto"/>
      </w:pPr>
      <w:r>
        <w:t>(</w:t>
      </w:r>
      <w:r>
        <w:rPr>
          <w:rStyle w:val="FootnoteReference"/>
        </w:rPr>
        <w:footnoteRef/>
      </w:r>
      <w:r>
        <w:t>)</w:t>
      </w:r>
      <w:r>
        <w:tab/>
        <w:t>Comunicare a Comisiei către Parlamentul European, Consiliu, Comitetul Economic și Social European și Comitetul Regiunilor, Foaie de parcurs privind locurile de muncă de calitate, COM(2025) 944 final.</w:t>
      </w:r>
    </w:p>
  </w:footnote>
  <w:footnote w:id="63">
    <w:p w14:paraId="66E731D0" w14:textId="2D5ADF80" w:rsidR="00DE6A82" w:rsidRPr="00CC0646" w:rsidRDefault="00DE6A82" w:rsidP="00DE6A82">
      <w:pPr>
        <w:pStyle w:val="FootnoteText"/>
        <w:spacing w:after="0" w:line="240" w:lineRule="auto"/>
      </w:pPr>
      <w:r>
        <w:t>(</w:t>
      </w:r>
      <w:r>
        <w:rPr>
          <w:rStyle w:val="FootnoteReference"/>
        </w:rPr>
        <w:footnoteRef/>
      </w:r>
      <w:r>
        <w:t>)</w:t>
      </w:r>
      <w:r>
        <w:tab/>
        <w:t>Directiva 2014/36/UE a Parlamentului European și a Consiliului din 26 februarie 2014 privind condițiile de intrare și de ședere a resortisanților țărilor terțe în scopul ocupării unui loc de muncă în calitate de lucrători sezonieri.</w:t>
      </w:r>
    </w:p>
  </w:footnote>
  <w:footnote w:id="64">
    <w:p w14:paraId="144CD857" w14:textId="6B2EE75E" w:rsidR="00C93698" w:rsidRPr="00C51349" w:rsidRDefault="00C93698" w:rsidP="00C51349">
      <w:pPr>
        <w:pStyle w:val="FootnoteText"/>
        <w:spacing w:after="0" w:line="240" w:lineRule="auto"/>
      </w:pPr>
      <w:r>
        <w:t>(</w:t>
      </w:r>
      <w:r>
        <w:rPr>
          <w:rStyle w:val="FootnoteReference"/>
        </w:rPr>
        <w:footnoteRef/>
      </w:r>
      <w:r>
        <w:t>)</w:t>
      </w:r>
      <w:r>
        <w:tab/>
        <w:t>Directiva 2009/52/CE a Parlamentului European și a Consiliului din 18 iunie 2009 de stabilire a standardelor minime privind sancțiunile și măsurile la adresa angajatorilor de resortisanți din țări terțe aflați în situație de ședere ilegală, JO L 168, 30.6.2009, p. 24.</w:t>
      </w:r>
    </w:p>
  </w:footnote>
  <w:footnote w:id="65">
    <w:p w14:paraId="7F5B3C19" w14:textId="70869AC3" w:rsidR="00C93698" w:rsidRPr="00C51349" w:rsidRDefault="00C93698" w:rsidP="00C51349">
      <w:pPr>
        <w:pStyle w:val="FootnoteText"/>
        <w:spacing w:after="0" w:line="240" w:lineRule="auto"/>
      </w:pPr>
      <w:r>
        <w:t>(</w:t>
      </w:r>
      <w:r>
        <w:rPr>
          <w:rStyle w:val="FootnoteReference"/>
        </w:rPr>
        <w:footnoteRef/>
      </w:r>
      <w:r>
        <w:t>)</w:t>
      </w:r>
      <w:r>
        <w:tab/>
        <w:t xml:space="preserve">Directiva (UE) 2024/1233 a Parlamentului European și a Consiliului din 24 aprilie 2024 privind o procedură unică de solicitare a unui permis unic pentru resortisanții țărilor terțe în vederea șederii și ocupării unui loc de muncă pe teritoriul statelor membre și un set comun de drepturi pentru lucrătorii din țările terțe cu ședere legală pe teritoriul unui stat membru (reformare), PE/93/2023/REV/1, JO L, 2024/1233, 30.4.2024, ELI: </w:t>
      </w:r>
      <w:hyperlink r:id="rId34" w:history="1">
        <w:r>
          <w:rPr>
            <w:rStyle w:val="Hyperlink"/>
          </w:rPr>
          <w:t>http://data.europa.eu/eli/dir/2024/1233/oj</w:t>
        </w:r>
      </w:hyperlink>
      <w:r>
        <w:t xml:space="preserve">. </w:t>
      </w:r>
    </w:p>
  </w:footnote>
  <w:footnote w:id="66">
    <w:p w14:paraId="68D4A19B" w14:textId="00DFAF37" w:rsidR="00112500" w:rsidRPr="008B33DF" w:rsidRDefault="00112500" w:rsidP="007C6278">
      <w:pPr>
        <w:pStyle w:val="FootnoteText"/>
        <w:spacing w:after="0" w:line="240" w:lineRule="auto"/>
      </w:pPr>
      <w:r>
        <w:t>(</w:t>
      </w:r>
      <w:r>
        <w:rPr>
          <w:rStyle w:val="FootnoteReference"/>
        </w:rPr>
        <w:footnoteRef/>
      </w:r>
      <w:r>
        <w:t>)</w:t>
      </w:r>
      <w:r>
        <w:tab/>
        <w:t xml:space="preserve">Comunicare a Comisiei către Parlamentul European, Consiliu, Comitetul Economic și Social European și Comitetul Regiunilor, Plan de acțiune privind integrarea și incluziunea pentru perioada 2021-2027 </w:t>
      </w:r>
      <w:hyperlink r:id="rId35" w:history="1">
        <w:r>
          <w:rPr>
            <w:rStyle w:val="Hyperlink"/>
          </w:rPr>
          <w:t>https://eur-lex.europa.eu/legal-content/RO/TXT/?uri=CELEX%3A52020DC0758</w:t>
        </w:r>
      </w:hyperlink>
      <w:r>
        <w:t xml:space="preserve"> și Document de lucru al serviciilor Comisiei, Evaluarea la jumătatea perioadei a Planului de acțiune al Comisiei privind integrarea și incluziunea pentru perioada 2021-2027, </w:t>
      </w:r>
      <w:hyperlink r:id="rId36" w:history="1">
        <w:r>
          <w:rPr>
            <w:rStyle w:val="Hyperlink"/>
          </w:rPr>
          <w:t>https://eur-lex.europa.eu/legal-content/EN/TXT/?uri=CELEX%3A52025SC0162</w:t>
        </w:r>
      </w:hyperlink>
      <w:r>
        <w:t>.</w:t>
      </w:r>
    </w:p>
  </w:footnote>
  <w:footnote w:id="67">
    <w:p w14:paraId="740A649E" w14:textId="45E2074B" w:rsidR="00114E88" w:rsidRDefault="00114E88" w:rsidP="000079F3">
      <w:pPr>
        <w:pStyle w:val="FootnoteText"/>
        <w:spacing w:after="0" w:line="240" w:lineRule="auto"/>
      </w:pPr>
      <w:r>
        <w:t>(</w:t>
      </w:r>
      <w:r>
        <w:rPr>
          <w:rStyle w:val="FootnoteReference"/>
        </w:rPr>
        <w:footnoteRef/>
      </w:r>
      <w:r>
        <w:t>)</w:t>
      </w:r>
      <w:r>
        <w:tab/>
      </w:r>
      <w:hyperlink r:id="rId37" w:history="1">
        <w:r>
          <w:rPr>
            <w:rStyle w:val="Hyperlink"/>
          </w:rPr>
          <w:t>https://ec.europa.eu/regional_policy/information-sources/publications/communications/2025/eu-agenda-for-cities-2025_ro</w:t>
        </w:r>
      </w:hyperlink>
      <w:r>
        <w:t xml:space="preserve">. </w:t>
      </w:r>
    </w:p>
  </w:footnote>
  <w:footnote w:id="68">
    <w:p w14:paraId="4A97E875" w14:textId="0B3E9258" w:rsidR="00C56A17" w:rsidRDefault="00C56A17" w:rsidP="000079F3">
      <w:pPr>
        <w:pStyle w:val="FootnoteText"/>
        <w:spacing w:after="0" w:line="240" w:lineRule="auto"/>
      </w:pPr>
      <w:r>
        <w:t>(</w:t>
      </w:r>
      <w:r>
        <w:rPr>
          <w:rStyle w:val="FootnoteReference"/>
        </w:rPr>
        <w:footnoteRef/>
      </w:r>
      <w:r>
        <w:t>)</w:t>
      </w:r>
      <w:r>
        <w:tab/>
      </w:r>
      <w:hyperlink r:id="rId38" w:history="1">
        <w:r>
          <w:rPr>
            <w:rStyle w:val="Hyperlink"/>
          </w:rPr>
          <w:t>https://www.urbanagenda.urban-initiative.eu/</w:t>
        </w:r>
      </w:hyperlink>
      <w:r>
        <w:t xml:space="preserve">. </w:t>
      </w:r>
    </w:p>
  </w:footnote>
  <w:footnote w:id="69">
    <w:p w14:paraId="5B0F24DF" w14:textId="40894FEC" w:rsidR="009222E5" w:rsidRDefault="009222E5" w:rsidP="000079F3">
      <w:pPr>
        <w:pStyle w:val="FootnoteText"/>
        <w:spacing w:after="0" w:line="240" w:lineRule="auto"/>
      </w:pPr>
      <w:r>
        <w:t>(</w:t>
      </w:r>
      <w:r>
        <w:rPr>
          <w:rStyle w:val="FootnoteReference"/>
        </w:rPr>
        <w:footnoteRef/>
      </w:r>
      <w:r>
        <w:t>)</w:t>
      </w:r>
      <w:r>
        <w:tab/>
      </w:r>
      <w:hyperlink r:id="rId39" w:history="1">
        <w:r>
          <w:rPr>
            <w:rStyle w:val="Hyperlink"/>
          </w:rPr>
          <w:t>https://rural-vision.europa.eu/action-plan_ro</w:t>
        </w:r>
      </w:hyperlink>
      <w:r>
        <w:t>.</w:t>
      </w:r>
    </w:p>
  </w:footnote>
  <w:footnote w:id="70">
    <w:p w14:paraId="37C69BB9" w14:textId="77777777" w:rsidR="00F83982" w:rsidRPr="00676E46" w:rsidRDefault="00F83982" w:rsidP="007C6278">
      <w:pPr>
        <w:pStyle w:val="FootnoteText"/>
        <w:spacing w:after="0" w:line="240" w:lineRule="auto"/>
      </w:pPr>
      <w:r>
        <w:t>(</w:t>
      </w:r>
      <w:r>
        <w:rPr>
          <w:rStyle w:val="FootnoteReference"/>
        </w:rPr>
        <w:footnoteRef/>
      </w:r>
      <w:r>
        <w:t>)</w:t>
      </w:r>
      <w:r>
        <w:tab/>
        <w:t>Rețeaua europeană pentru integrare, Grupul de experți privind opiniile migranților în domeniul migrației, azilului și integrării, Forumul european privind migrația.</w:t>
      </w:r>
    </w:p>
  </w:footnote>
  <w:footnote w:id="71">
    <w:p w14:paraId="5A98272A" w14:textId="7BA0AC70" w:rsidR="00844A07" w:rsidRPr="00F62F8A" w:rsidRDefault="00844A07" w:rsidP="003E18BB">
      <w:pPr>
        <w:pStyle w:val="FootnoteText"/>
        <w:spacing w:after="0" w:line="240" w:lineRule="auto"/>
      </w:pPr>
      <w:r>
        <w:t>(</w:t>
      </w:r>
      <w:r>
        <w:rPr>
          <w:rStyle w:val="FootnoteReference"/>
        </w:rPr>
        <w:footnoteRef/>
      </w:r>
      <w:r>
        <w:t>)</w:t>
      </w:r>
      <w:r>
        <w:tab/>
        <w:t>Strategia privind egalitatea de gen pentru perioada 2020-2025, strategia privind egalitatea pentru persoanele LGBTIQ+ pentru perioada 2026-2030 și strategia de combatere a rasismului pentru perioada 2026-2030.</w:t>
      </w:r>
    </w:p>
  </w:footnote>
  <w:footnote w:id="72">
    <w:p w14:paraId="647D4A4E" w14:textId="23663322" w:rsidR="000A72F1" w:rsidRPr="000079F3" w:rsidRDefault="000A72F1" w:rsidP="00E40844">
      <w:pPr>
        <w:pStyle w:val="FootnoteText"/>
        <w:spacing w:after="0" w:line="240" w:lineRule="auto"/>
      </w:pPr>
      <w:r>
        <w:t>(</w:t>
      </w:r>
      <w:r>
        <w:rPr>
          <w:rStyle w:val="FootnoteReference"/>
        </w:rPr>
        <w:footnoteRef/>
      </w:r>
      <w:r>
        <w:t>)</w:t>
      </w:r>
      <w:r>
        <w:tab/>
        <w:t>Această sumă include alocările către statele membre, astfel cum s-a convenit inițial, transferurile efectuate de către statele membre din alte fonduri și suplimentările acordate statelor membre în cadrul facilității tematice IMFV.</w:t>
      </w:r>
    </w:p>
  </w:footnote>
  <w:footnote w:id="73">
    <w:p w14:paraId="4FC396A2" w14:textId="182C5CAC" w:rsidR="00A23D99" w:rsidRPr="00E40844" w:rsidRDefault="00A23D99" w:rsidP="00E40844">
      <w:pPr>
        <w:pStyle w:val="FootnoteText"/>
        <w:spacing w:after="0" w:line="240" w:lineRule="auto"/>
      </w:pPr>
      <w:r>
        <w:t>(</w:t>
      </w:r>
      <w:r>
        <w:rPr>
          <w:rStyle w:val="FootnoteReference"/>
        </w:rPr>
        <w:footnoteRef/>
      </w:r>
      <w:r>
        <w:t>)</w:t>
      </w:r>
      <w:r>
        <w:tab/>
        <w:t>Această sumă include alocările către statele membre, astfel cum s-a convenit inițial, transferurile efectuate de către statele membre din alte fonduri și suplimentările acordate statelor membre în cadrul facilității tematice FAMI.</w:t>
      </w:r>
    </w:p>
  </w:footnote>
  <w:footnote w:id="74">
    <w:p w14:paraId="2F449366" w14:textId="526BFCA5" w:rsidR="005E2C50" w:rsidRDefault="005E2C50">
      <w:pPr>
        <w:pStyle w:val="FootnoteText"/>
      </w:pPr>
      <w:r>
        <w:t>(</w:t>
      </w:r>
      <w:r>
        <w:rPr>
          <w:rStyle w:val="FootnoteReference"/>
        </w:rPr>
        <w:footnoteRef/>
      </w:r>
      <w:r>
        <w:t>)</w:t>
      </w:r>
      <w:r>
        <w:tab/>
        <w:t xml:space="preserve">Propunere de Regulament al Parlamentului European și al Consiliului de instituire a instrumentului „Europa globală”; </w:t>
      </w:r>
      <w:hyperlink r:id="rId40" w:history="1">
        <w:r>
          <w:rPr>
            <w:rStyle w:val="Hyperlink"/>
          </w:rPr>
          <w:t>EUR-Lex - 52025PC0551 - EN - EUR-Lex</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56C2A5" w14:textId="77777777" w:rsidR="00D7144F" w:rsidRPr="00D7144F" w:rsidRDefault="00D7144F" w:rsidP="00D7144F">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B37B0D" w14:textId="77777777" w:rsidR="00D7144F" w:rsidRPr="00D7144F" w:rsidRDefault="00D7144F" w:rsidP="00D7144F">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CB41E4" w14:textId="77777777" w:rsidR="00D7144F" w:rsidRPr="00D7144F" w:rsidRDefault="00D7144F" w:rsidP="00D7144F">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B311DB" w14:textId="77777777" w:rsidR="006049C0" w:rsidRDefault="006049C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6C8686" w14:textId="77777777" w:rsidR="006049C0" w:rsidRDefault="006049C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D282D6" w14:textId="77777777" w:rsidR="006049C0" w:rsidRDefault="006049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04DE3728"/>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04272DEF"/>
    <w:multiLevelType w:val="hybridMultilevel"/>
    <w:tmpl w:val="FFFFFFFF"/>
    <w:lvl w:ilvl="0" w:tplc="681EB0A0">
      <w:start w:val="1"/>
      <w:numFmt w:val="lowerRoman"/>
      <w:lvlText w:val="%1."/>
      <w:lvlJc w:val="right"/>
      <w:pPr>
        <w:ind w:left="720" w:hanging="360"/>
      </w:pPr>
    </w:lvl>
    <w:lvl w:ilvl="1" w:tplc="8DB013F6">
      <w:start w:val="1"/>
      <w:numFmt w:val="lowerLetter"/>
      <w:lvlText w:val="%2."/>
      <w:lvlJc w:val="left"/>
      <w:pPr>
        <w:ind w:left="1440" w:hanging="360"/>
      </w:pPr>
    </w:lvl>
    <w:lvl w:ilvl="2" w:tplc="188AEF22">
      <w:start w:val="1"/>
      <w:numFmt w:val="lowerRoman"/>
      <w:lvlText w:val="%3."/>
      <w:lvlJc w:val="right"/>
      <w:pPr>
        <w:ind w:left="2160" w:hanging="180"/>
      </w:pPr>
    </w:lvl>
    <w:lvl w:ilvl="3" w:tplc="8C3C7394">
      <w:start w:val="1"/>
      <w:numFmt w:val="decimal"/>
      <w:lvlText w:val="%4."/>
      <w:lvlJc w:val="left"/>
      <w:pPr>
        <w:ind w:left="2880" w:hanging="360"/>
      </w:pPr>
    </w:lvl>
    <w:lvl w:ilvl="4" w:tplc="8836F238">
      <w:start w:val="1"/>
      <w:numFmt w:val="lowerLetter"/>
      <w:lvlText w:val="%5."/>
      <w:lvlJc w:val="left"/>
      <w:pPr>
        <w:ind w:left="3600" w:hanging="360"/>
      </w:pPr>
    </w:lvl>
    <w:lvl w:ilvl="5" w:tplc="18E08C38">
      <w:start w:val="1"/>
      <w:numFmt w:val="lowerRoman"/>
      <w:lvlText w:val="%6."/>
      <w:lvlJc w:val="right"/>
      <w:pPr>
        <w:ind w:left="4320" w:hanging="180"/>
      </w:pPr>
    </w:lvl>
    <w:lvl w:ilvl="6" w:tplc="B142E8D4">
      <w:start w:val="1"/>
      <w:numFmt w:val="decimal"/>
      <w:lvlText w:val="%7."/>
      <w:lvlJc w:val="left"/>
      <w:pPr>
        <w:ind w:left="5040" w:hanging="360"/>
      </w:pPr>
    </w:lvl>
    <w:lvl w:ilvl="7" w:tplc="B8341DF0">
      <w:start w:val="1"/>
      <w:numFmt w:val="lowerLetter"/>
      <w:lvlText w:val="%8."/>
      <w:lvlJc w:val="left"/>
      <w:pPr>
        <w:ind w:left="5760" w:hanging="360"/>
      </w:pPr>
    </w:lvl>
    <w:lvl w:ilvl="8" w:tplc="D86E71E0">
      <w:start w:val="1"/>
      <w:numFmt w:val="lowerRoman"/>
      <w:lvlText w:val="%9."/>
      <w:lvlJc w:val="right"/>
      <w:pPr>
        <w:ind w:left="6480" w:hanging="180"/>
      </w:pPr>
    </w:lvl>
  </w:abstractNum>
  <w:abstractNum w:abstractNumId="2" w15:restartNumberingAfterBreak="0">
    <w:nsid w:val="05469794"/>
    <w:multiLevelType w:val="hybridMultilevel"/>
    <w:tmpl w:val="4EF0CB6A"/>
    <w:lvl w:ilvl="0" w:tplc="04090017">
      <w:start w:val="1"/>
      <w:numFmt w:val="lowerLetter"/>
      <w:lvlText w:val="%1)"/>
      <w:lvlJc w:val="left"/>
      <w:pPr>
        <w:ind w:left="720" w:hanging="360"/>
      </w:pPr>
    </w:lvl>
    <w:lvl w:ilvl="1" w:tplc="74322528">
      <w:start w:val="1"/>
      <w:numFmt w:val="lowerLetter"/>
      <w:lvlText w:val="%2."/>
      <w:lvlJc w:val="left"/>
      <w:pPr>
        <w:ind w:left="1440" w:hanging="360"/>
      </w:pPr>
    </w:lvl>
    <w:lvl w:ilvl="2" w:tplc="E808FD94">
      <w:start w:val="1"/>
      <w:numFmt w:val="lowerRoman"/>
      <w:lvlText w:val="%3."/>
      <w:lvlJc w:val="right"/>
      <w:pPr>
        <w:ind w:left="2160" w:hanging="180"/>
      </w:pPr>
    </w:lvl>
    <w:lvl w:ilvl="3" w:tplc="DF1608EC">
      <w:start w:val="1"/>
      <w:numFmt w:val="decimal"/>
      <w:lvlText w:val="%4."/>
      <w:lvlJc w:val="left"/>
      <w:pPr>
        <w:ind w:left="2880" w:hanging="360"/>
      </w:pPr>
    </w:lvl>
    <w:lvl w:ilvl="4" w:tplc="C25A7FCA">
      <w:start w:val="1"/>
      <w:numFmt w:val="lowerLetter"/>
      <w:lvlText w:val="%5."/>
      <w:lvlJc w:val="left"/>
      <w:pPr>
        <w:ind w:left="3600" w:hanging="360"/>
      </w:pPr>
    </w:lvl>
    <w:lvl w:ilvl="5" w:tplc="E474D8D6">
      <w:start w:val="1"/>
      <w:numFmt w:val="lowerRoman"/>
      <w:lvlText w:val="%6."/>
      <w:lvlJc w:val="right"/>
      <w:pPr>
        <w:ind w:left="4320" w:hanging="180"/>
      </w:pPr>
    </w:lvl>
    <w:lvl w:ilvl="6" w:tplc="05583DF0">
      <w:start w:val="1"/>
      <w:numFmt w:val="decimal"/>
      <w:lvlText w:val="%7."/>
      <w:lvlJc w:val="left"/>
      <w:pPr>
        <w:ind w:left="5040" w:hanging="360"/>
      </w:pPr>
    </w:lvl>
    <w:lvl w:ilvl="7" w:tplc="7CFAE662">
      <w:start w:val="1"/>
      <w:numFmt w:val="lowerLetter"/>
      <w:lvlText w:val="%8."/>
      <w:lvlJc w:val="left"/>
      <w:pPr>
        <w:ind w:left="5760" w:hanging="360"/>
      </w:pPr>
    </w:lvl>
    <w:lvl w:ilvl="8" w:tplc="CDEEC44C">
      <w:start w:val="1"/>
      <w:numFmt w:val="lowerRoman"/>
      <w:lvlText w:val="%9."/>
      <w:lvlJc w:val="right"/>
      <w:pPr>
        <w:ind w:left="6480" w:hanging="180"/>
      </w:pPr>
    </w:lvl>
  </w:abstractNum>
  <w:abstractNum w:abstractNumId="3" w15:restartNumberingAfterBreak="0">
    <w:nsid w:val="088911ED"/>
    <w:multiLevelType w:val="hybridMultilevel"/>
    <w:tmpl w:val="D6609A8C"/>
    <w:lvl w:ilvl="0" w:tplc="04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0B7201"/>
    <w:multiLevelType w:val="multilevel"/>
    <w:tmpl w:val="B41888F0"/>
    <w:name w:val="ListNumberNumbering"/>
    <w:lvl w:ilvl="0">
      <w:start w:val="1"/>
      <w:numFmt w:val="decimal"/>
      <w:pStyle w:val="ListNumber"/>
      <w:lvlText w:val="(%1)"/>
      <w:lvlJc w:val="left"/>
      <w:pPr>
        <w:tabs>
          <w:tab w:val="num" w:pos="454"/>
        </w:tabs>
        <w:ind w:left="454" w:hanging="454"/>
      </w:pPr>
    </w:lvl>
    <w:lvl w:ilvl="1">
      <w:start w:val="1"/>
      <w:numFmt w:val="lowerLetter"/>
      <w:pStyle w:val="ListNumberLevel2"/>
      <w:lvlText w:val="(%2)"/>
      <w:lvlJc w:val="left"/>
      <w:pPr>
        <w:tabs>
          <w:tab w:val="num" w:pos="907"/>
        </w:tabs>
        <w:ind w:left="907" w:hanging="453"/>
      </w:pPr>
    </w:lvl>
    <w:lvl w:ilvl="2">
      <w:start w:val="1"/>
      <w:numFmt w:val="bullet"/>
      <w:pStyle w:val="ListNumberLevel3"/>
      <w:lvlText w:val="–"/>
      <w:lvlJc w:val="left"/>
      <w:pPr>
        <w:tabs>
          <w:tab w:val="num" w:pos="1361"/>
        </w:tabs>
        <w:ind w:left="1361" w:hanging="454"/>
      </w:pPr>
      <w:rPr>
        <w:rFonts w:ascii="Times New Roman" w:hAnsi="Times New Roman"/>
      </w:rPr>
    </w:lvl>
    <w:lvl w:ilvl="3">
      <w:start w:val="1"/>
      <w:numFmt w:val="bullet"/>
      <w:pStyle w:val="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0B8345"/>
    <w:multiLevelType w:val="multilevel"/>
    <w:tmpl w:val="FACE5510"/>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34A3F50"/>
    <w:multiLevelType w:val="hybridMultilevel"/>
    <w:tmpl w:val="AC1AE58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4C57CE4"/>
    <w:multiLevelType w:val="hybridMultilevel"/>
    <w:tmpl w:val="016622D8"/>
    <w:lvl w:ilvl="0" w:tplc="FDE28920">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53B394A"/>
    <w:multiLevelType w:val="hybridMultilevel"/>
    <w:tmpl w:val="34F4C672"/>
    <w:lvl w:ilvl="0" w:tplc="04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9A50B3B"/>
    <w:multiLevelType w:val="hybridMultilevel"/>
    <w:tmpl w:val="309A068E"/>
    <w:lvl w:ilvl="0" w:tplc="04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E7360B"/>
    <w:multiLevelType w:val="hybridMultilevel"/>
    <w:tmpl w:val="4ACABABC"/>
    <w:lvl w:ilvl="0" w:tplc="1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DA44231"/>
    <w:multiLevelType w:val="hybridMultilevel"/>
    <w:tmpl w:val="099CEAA2"/>
    <w:lvl w:ilvl="0" w:tplc="0CE60F88">
      <w:start w:val="1"/>
      <w:numFmt w:val="bullet"/>
      <w:lvlText w:val="•"/>
      <w:lvlJc w:val="left"/>
      <w:pPr>
        <w:tabs>
          <w:tab w:val="num" w:pos="720"/>
        </w:tabs>
        <w:ind w:left="720" w:hanging="360"/>
      </w:pPr>
      <w:rPr>
        <w:rFonts w:ascii="Times New Roman" w:hAnsi="Times New Roman" w:hint="default"/>
      </w:rPr>
    </w:lvl>
    <w:lvl w:ilvl="1" w:tplc="5704B2EA" w:tentative="1">
      <w:start w:val="1"/>
      <w:numFmt w:val="bullet"/>
      <w:lvlText w:val="•"/>
      <w:lvlJc w:val="left"/>
      <w:pPr>
        <w:tabs>
          <w:tab w:val="num" w:pos="1440"/>
        </w:tabs>
        <w:ind w:left="1440" w:hanging="360"/>
      </w:pPr>
      <w:rPr>
        <w:rFonts w:ascii="Times New Roman" w:hAnsi="Times New Roman" w:hint="default"/>
      </w:rPr>
    </w:lvl>
    <w:lvl w:ilvl="2" w:tplc="39107D12" w:tentative="1">
      <w:start w:val="1"/>
      <w:numFmt w:val="bullet"/>
      <w:lvlText w:val="•"/>
      <w:lvlJc w:val="left"/>
      <w:pPr>
        <w:tabs>
          <w:tab w:val="num" w:pos="2160"/>
        </w:tabs>
        <w:ind w:left="2160" w:hanging="360"/>
      </w:pPr>
      <w:rPr>
        <w:rFonts w:ascii="Times New Roman" w:hAnsi="Times New Roman" w:hint="default"/>
      </w:rPr>
    </w:lvl>
    <w:lvl w:ilvl="3" w:tplc="7DF46C62" w:tentative="1">
      <w:start w:val="1"/>
      <w:numFmt w:val="bullet"/>
      <w:lvlText w:val="•"/>
      <w:lvlJc w:val="left"/>
      <w:pPr>
        <w:tabs>
          <w:tab w:val="num" w:pos="2880"/>
        </w:tabs>
        <w:ind w:left="2880" w:hanging="360"/>
      </w:pPr>
      <w:rPr>
        <w:rFonts w:ascii="Times New Roman" w:hAnsi="Times New Roman" w:hint="default"/>
      </w:rPr>
    </w:lvl>
    <w:lvl w:ilvl="4" w:tplc="4A3A04AC" w:tentative="1">
      <w:start w:val="1"/>
      <w:numFmt w:val="bullet"/>
      <w:lvlText w:val="•"/>
      <w:lvlJc w:val="left"/>
      <w:pPr>
        <w:tabs>
          <w:tab w:val="num" w:pos="3600"/>
        </w:tabs>
        <w:ind w:left="3600" w:hanging="360"/>
      </w:pPr>
      <w:rPr>
        <w:rFonts w:ascii="Times New Roman" w:hAnsi="Times New Roman" w:hint="default"/>
      </w:rPr>
    </w:lvl>
    <w:lvl w:ilvl="5" w:tplc="902A08C2" w:tentative="1">
      <w:start w:val="1"/>
      <w:numFmt w:val="bullet"/>
      <w:lvlText w:val="•"/>
      <w:lvlJc w:val="left"/>
      <w:pPr>
        <w:tabs>
          <w:tab w:val="num" w:pos="4320"/>
        </w:tabs>
        <w:ind w:left="4320" w:hanging="360"/>
      </w:pPr>
      <w:rPr>
        <w:rFonts w:ascii="Times New Roman" w:hAnsi="Times New Roman" w:hint="default"/>
      </w:rPr>
    </w:lvl>
    <w:lvl w:ilvl="6" w:tplc="585C1FCC" w:tentative="1">
      <w:start w:val="1"/>
      <w:numFmt w:val="bullet"/>
      <w:lvlText w:val="•"/>
      <w:lvlJc w:val="left"/>
      <w:pPr>
        <w:tabs>
          <w:tab w:val="num" w:pos="5040"/>
        </w:tabs>
        <w:ind w:left="5040" w:hanging="360"/>
      </w:pPr>
      <w:rPr>
        <w:rFonts w:ascii="Times New Roman" w:hAnsi="Times New Roman" w:hint="default"/>
      </w:rPr>
    </w:lvl>
    <w:lvl w:ilvl="7" w:tplc="533816C2" w:tentative="1">
      <w:start w:val="1"/>
      <w:numFmt w:val="bullet"/>
      <w:lvlText w:val="•"/>
      <w:lvlJc w:val="left"/>
      <w:pPr>
        <w:tabs>
          <w:tab w:val="num" w:pos="5760"/>
        </w:tabs>
        <w:ind w:left="5760" w:hanging="360"/>
      </w:pPr>
      <w:rPr>
        <w:rFonts w:ascii="Times New Roman" w:hAnsi="Times New Roman" w:hint="default"/>
      </w:rPr>
    </w:lvl>
    <w:lvl w:ilvl="8" w:tplc="8F0EB460"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1F3D19AE"/>
    <w:multiLevelType w:val="hybridMultilevel"/>
    <w:tmpl w:val="7910BB5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35D5955"/>
    <w:multiLevelType w:val="hybridMultilevel"/>
    <w:tmpl w:val="AF0AC24E"/>
    <w:lvl w:ilvl="0" w:tplc="E4DAFBF2">
      <w:start w:val="1"/>
      <w:numFmt w:val="bullet"/>
      <w:lvlText w:val="•"/>
      <w:lvlJc w:val="left"/>
      <w:pPr>
        <w:tabs>
          <w:tab w:val="num" w:pos="720"/>
        </w:tabs>
        <w:ind w:left="720" w:hanging="360"/>
      </w:pPr>
      <w:rPr>
        <w:rFonts w:ascii="Times New Roman" w:hAnsi="Times New Roman" w:hint="default"/>
      </w:rPr>
    </w:lvl>
    <w:lvl w:ilvl="1" w:tplc="0936BAE0" w:tentative="1">
      <w:start w:val="1"/>
      <w:numFmt w:val="bullet"/>
      <w:lvlText w:val="•"/>
      <w:lvlJc w:val="left"/>
      <w:pPr>
        <w:tabs>
          <w:tab w:val="num" w:pos="1440"/>
        </w:tabs>
        <w:ind w:left="1440" w:hanging="360"/>
      </w:pPr>
      <w:rPr>
        <w:rFonts w:ascii="Times New Roman" w:hAnsi="Times New Roman" w:hint="default"/>
      </w:rPr>
    </w:lvl>
    <w:lvl w:ilvl="2" w:tplc="BBA06EEE" w:tentative="1">
      <w:start w:val="1"/>
      <w:numFmt w:val="bullet"/>
      <w:lvlText w:val="•"/>
      <w:lvlJc w:val="left"/>
      <w:pPr>
        <w:tabs>
          <w:tab w:val="num" w:pos="2160"/>
        </w:tabs>
        <w:ind w:left="2160" w:hanging="360"/>
      </w:pPr>
      <w:rPr>
        <w:rFonts w:ascii="Times New Roman" w:hAnsi="Times New Roman" w:hint="default"/>
      </w:rPr>
    </w:lvl>
    <w:lvl w:ilvl="3" w:tplc="247CF2C2" w:tentative="1">
      <w:start w:val="1"/>
      <w:numFmt w:val="bullet"/>
      <w:lvlText w:val="•"/>
      <w:lvlJc w:val="left"/>
      <w:pPr>
        <w:tabs>
          <w:tab w:val="num" w:pos="2880"/>
        </w:tabs>
        <w:ind w:left="2880" w:hanging="360"/>
      </w:pPr>
      <w:rPr>
        <w:rFonts w:ascii="Times New Roman" w:hAnsi="Times New Roman" w:hint="default"/>
      </w:rPr>
    </w:lvl>
    <w:lvl w:ilvl="4" w:tplc="B67AF472" w:tentative="1">
      <w:start w:val="1"/>
      <w:numFmt w:val="bullet"/>
      <w:lvlText w:val="•"/>
      <w:lvlJc w:val="left"/>
      <w:pPr>
        <w:tabs>
          <w:tab w:val="num" w:pos="3600"/>
        </w:tabs>
        <w:ind w:left="3600" w:hanging="360"/>
      </w:pPr>
      <w:rPr>
        <w:rFonts w:ascii="Times New Roman" w:hAnsi="Times New Roman" w:hint="default"/>
      </w:rPr>
    </w:lvl>
    <w:lvl w:ilvl="5" w:tplc="3E70AED8" w:tentative="1">
      <w:start w:val="1"/>
      <w:numFmt w:val="bullet"/>
      <w:lvlText w:val="•"/>
      <w:lvlJc w:val="left"/>
      <w:pPr>
        <w:tabs>
          <w:tab w:val="num" w:pos="4320"/>
        </w:tabs>
        <w:ind w:left="4320" w:hanging="360"/>
      </w:pPr>
      <w:rPr>
        <w:rFonts w:ascii="Times New Roman" w:hAnsi="Times New Roman" w:hint="default"/>
      </w:rPr>
    </w:lvl>
    <w:lvl w:ilvl="6" w:tplc="0700D206" w:tentative="1">
      <w:start w:val="1"/>
      <w:numFmt w:val="bullet"/>
      <w:lvlText w:val="•"/>
      <w:lvlJc w:val="left"/>
      <w:pPr>
        <w:tabs>
          <w:tab w:val="num" w:pos="5040"/>
        </w:tabs>
        <w:ind w:left="5040" w:hanging="360"/>
      </w:pPr>
      <w:rPr>
        <w:rFonts w:ascii="Times New Roman" w:hAnsi="Times New Roman" w:hint="default"/>
      </w:rPr>
    </w:lvl>
    <w:lvl w:ilvl="7" w:tplc="C8BA3BAA" w:tentative="1">
      <w:start w:val="1"/>
      <w:numFmt w:val="bullet"/>
      <w:lvlText w:val="•"/>
      <w:lvlJc w:val="left"/>
      <w:pPr>
        <w:tabs>
          <w:tab w:val="num" w:pos="5760"/>
        </w:tabs>
        <w:ind w:left="5760" w:hanging="360"/>
      </w:pPr>
      <w:rPr>
        <w:rFonts w:ascii="Times New Roman" w:hAnsi="Times New Roman" w:hint="default"/>
      </w:rPr>
    </w:lvl>
    <w:lvl w:ilvl="8" w:tplc="62E0847A"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258D5B30"/>
    <w:multiLevelType w:val="hybridMultilevel"/>
    <w:tmpl w:val="FB9EA00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9DA59D5"/>
    <w:multiLevelType w:val="hybridMultilevel"/>
    <w:tmpl w:val="30A821FA"/>
    <w:lvl w:ilvl="0" w:tplc="FC2CB1C0">
      <w:start w:val="1"/>
      <w:numFmt w:val="bullet"/>
      <w:lvlText w:val=""/>
      <w:lvlJc w:val="left"/>
      <w:pPr>
        <w:ind w:left="1080" w:hanging="360"/>
      </w:pPr>
      <w:rPr>
        <w:rFonts w:ascii="Symbol" w:hAnsi="Symbol"/>
      </w:rPr>
    </w:lvl>
    <w:lvl w:ilvl="1" w:tplc="C48496BC">
      <w:start w:val="1"/>
      <w:numFmt w:val="bullet"/>
      <w:lvlText w:val=""/>
      <w:lvlJc w:val="left"/>
      <w:pPr>
        <w:ind w:left="1080" w:hanging="360"/>
      </w:pPr>
      <w:rPr>
        <w:rFonts w:ascii="Symbol" w:hAnsi="Symbol"/>
      </w:rPr>
    </w:lvl>
    <w:lvl w:ilvl="2" w:tplc="58B20B1A">
      <w:start w:val="1"/>
      <w:numFmt w:val="bullet"/>
      <w:lvlText w:val=""/>
      <w:lvlJc w:val="left"/>
      <w:pPr>
        <w:ind w:left="1080" w:hanging="360"/>
      </w:pPr>
      <w:rPr>
        <w:rFonts w:ascii="Symbol" w:hAnsi="Symbol"/>
      </w:rPr>
    </w:lvl>
    <w:lvl w:ilvl="3" w:tplc="3934E158">
      <w:start w:val="1"/>
      <w:numFmt w:val="bullet"/>
      <w:lvlText w:val=""/>
      <w:lvlJc w:val="left"/>
      <w:pPr>
        <w:ind w:left="1080" w:hanging="360"/>
      </w:pPr>
      <w:rPr>
        <w:rFonts w:ascii="Symbol" w:hAnsi="Symbol"/>
      </w:rPr>
    </w:lvl>
    <w:lvl w:ilvl="4" w:tplc="8940D6B8">
      <w:start w:val="1"/>
      <w:numFmt w:val="bullet"/>
      <w:lvlText w:val=""/>
      <w:lvlJc w:val="left"/>
      <w:pPr>
        <w:ind w:left="1080" w:hanging="360"/>
      </w:pPr>
      <w:rPr>
        <w:rFonts w:ascii="Symbol" w:hAnsi="Symbol"/>
      </w:rPr>
    </w:lvl>
    <w:lvl w:ilvl="5" w:tplc="D624C44A">
      <w:start w:val="1"/>
      <w:numFmt w:val="bullet"/>
      <w:lvlText w:val=""/>
      <w:lvlJc w:val="left"/>
      <w:pPr>
        <w:ind w:left="1080" w:hanging="360"/>
      </w:pPr>
      <w:rPr>
        <w:rFonts w:ascii="Symbol" w:hAnsi="Symbol"/>
      </w:rPr>
    </w:lvl>
    <w:lvl w:ilvl="6" w:tplc="DA42CF2E">
      <w:start w:val="1"/>
      <w:numFmt w:val="bullet"/>
      <w:lvlText w:val=""/>
      <w:lvlJc w:val="left"/>
      <w:pPr>
        <w:ind w:left="1080" w:hanging="360"/>
      </w:pPr>
      <w:rPr>
        <w:rFonts w:ascii="Symbol" w:hAnsi="Symbol"/>
      </w:rPr>
    </w:lvl>
    <w:lvl w:ilvl="7" w:tplc="D1623A5E">
      <w:start w:val="1"/>
      <w:numFmt w:val="bullet"/>
      <w:lvlText w:val=""/>
      <w:lvlJc w:val="left"/>
      <w:pPr>
        <w:ind w:left="1080" w:hanging="360"/>
      </w:pPr>
      <w:rPr>
        <w:rFonts w:ascii="Symbol" w:hAnsi="Symbol"/>
      </w:rPr>
    </w:lvl>
    <w:lvl w:ilvl="8" w:tplc="74C89F66">
      <w:start w:val="1"/>
      <w:numFmt w:val="bullet"/>
      <w:lvlText w:val=""/>
      <w:lvlJc w:val="left"/>
      <w:pPr>
        <w:ind w:left="1080" w:hanging="360"/>
      </w:pPr>
      <w:rPr>
        <w:rFonts w:ascii="Symbol" w:hAnsi="Symbol"/>
      </w:rPr>
    </w:lvl>
  </w:abstractNum>
  <w:abstractNum w:abstractNumId="16" w15:restartNumberingAfterBreak="0">
    <w:nsid w:val="2D293CE3"/>
    <w:multiLevelType w:val="multilevel"/>
    <w:tmpl w:val="FB04793C"/>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start w:val="1"/>
      <w:numFmt w:val="decimal"/>
      <w:lvlText w:val="%4."/>
      <w:lvlJc w:val="left"/>
      <w:pPr>
        <w:tabs>
          <w:tab w:val="num" w:pos="1905"/>
        </w:tabs>
        <w:ind w:left="1905" w:hanging="476"/>
      </w:pPr>
      <w:rPr>
        <w:rFonts w:hint="default"/>
      </w:rPr>
    </w:lvl>
    <w:lvl w:ilvl="4">
      <w:start w:val="1"/>
      <w:numFmt w:val="lowerLetter"/>
      <w:lvlText w:val="%5."/>
      <w:lvlJc w:val="left"/>
      <w:pPr>
        <w:tabs>
          <w:tab w:val="num" w:pos="2381"/>
        </w:tabs>
        <w:ind w:left="2381" w:hanging="476"/>
      </w:pPr>
      <w:rPr>
        <w:rFonts w:hint="default"/>
      </w:rPr>
    </w:lvl>
    <w:lvl w:ilvl="5">
      <w:start w:val="1"/>
      <w:numFmt w:val="lowerRoman"/>
      <w:lvlText w:val="%6."/>
      <w:lvlJc w:val="left"/>
      <w:pPr>
        <w:tabs>
          <w:tab w:val="num" w:pos="2857"/>
        </w:tabs>
        <w:ind w:left="2857" w:hanging="476"/>
      </w:pPr>
      <w:rPr>
        <w:rFonts w:hint="default"/>
      </w:rPr>
    </w:lvl>
    <w:lvl w:ilvl="6">
      <w:start w:val="1"/>
      <w:numFmt w:val="decimal"/>
      <w:lvlText w:val="%7."/>
      <w:lvlJc w:val="left"/>
      <w:pPr>
        <w:tabs>
          <w:tab w:val="num" w:pos="3334"/>
        </w:tabs>
        <w:ind w:left="3334" w:hanging="477"/>
      </w:pPr>
      <w:rPr>
        <w:rFonts w:hint="default"/>
      </w:rPr>
    </w:lvl>
    <w:lvl w:ilvl="7">
      <w:start w:val="1"/>
      <w:numFmt w:val="lowerLetter"/>
      <w:lvlText w:val="%8."/>
      <w:lvlJc w:val="left"/>
      <w:pPr>
        <w:tabs>
          <w:tab w:val="num" w:pos="3810"/>
        </w:tabs>
        <w:ind w:left="3810" w:hanging="476"/>
      </w:pPr>
      <w:rPr>
        <w:rFonts w:hint="default"/>
      </w:rPr>
    </w:lvl>
    <w:lvl w:ilvl="8">
      <w:start w:val="1"/>
      <w:numFmt w:val="lowerRoman"/>
      <w:lvlText w:val="%9."/>
      <w:lvlJc w:val="left"/>
      <w:pPr>
        <w:tabs>
          <w:tab w:val="num" w:pos="4286"/>
        </w:tabs>
        <w:ind w:left="4286" w:hanging="476"/>
      </w:pPr>
      <w:rPr>
        <w:rFonts w:hint="default"/>
      </w:rPr>
    </w:lvl>
  </w:abstractNum>
  <w:abstractNum w:abstractNumId="17" w15:restartNumberingAfterBreak="0">
    <w:nsid w:val="2D293CF4"/>
    <w:multiLevelType w:val="multilevel"/>
    <w:tmpl w:val="A6884AFA"/>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start w:val="1"/>
      <w:numFmt w:val="decimal"/>
      <w:lvlText w:val="%4."/>
      <w:lvlJc w:val="left"/>
      <w:pPr>
        <w:tabs>
          <w:tab w:val="num" w:pos="1905"/>
        </w:tabs>
        <w:ind w:left="1905" w:hanging="476"/>
      </w:pPr>
      <w:rPr>
        <w:rFonts w:hint="default"/>
      </w:rPr>
    </w:lvl>
    <w:lvl w:ilvl="4">
      <w:start w:val="1"/>
      <w:numFmt w:val="lowerLetter"/>
      <w:lvlText w:val="%5."/>
      <w:lvlJc w:val="left"/>
      <w:pPr>
        <w:tabs>
          <w:tab w:val="num" w:pos="2381"/>
        </w:tabs>
        <w:ind w:left="2381" w:hanging="476"/>
      </w:pPr>
      <w:rPr>
        <w:rFonts w:hint="default"/>
      </w:rPr>
    </w:lvl>
    <w:lvl w:ilvl="5">
      <w:start w:val="1"/>
      <w:numFmt w:val="lowerRoman"/>
      <w:lvlText w:val="%6."/>
      <w:lvlJc w:val="left"/>
      <w:pPr>
        <w:tabs>
          <w:tab w:val="num" w:pos="2857"/>
        </w:tabs>
        <w:ind w:left="2857" w:hanging="476"/>
      </w:pPr>
      <w:rPr>
        <w:rFonts w:hint="default"/>
      </w:rPr>
    </w:lvl>
    <w:lvl w:ilvl="6">
      <w:start w:val="1"/>
      <w:numFmt w:val="decimal"/>
      <w:lvlText w:val="%7."/>
      <w:lvlJc w:val="left"/>
      <w:pPr>
        <w:tabs>
          <w:tab w:val="num" w:pos="3334"/>
        </w:tabs>
        <w:ind w:left="3334" w:hanging="477"/>
      </w:pPr>
      <w:rPr>
        <w:rFonts w:hint="default"/>
      </w:rPr>
    </w:lvl>
    <w:lvl w:ilvl="7">
      <w:start w:val="1"/>
      <w:numFmt w:val="lowerLetter"/>
      <w:lvlText w:val="%8."/>
      <w:lvlJc w:val="left"/>
      <w:pPr>
        <w:tabs>
          <w:tab w:val="num" w:pos="3810"/>
        </w:tabs>
        <w:ind w:left="3810" w:hanging="476"/>
      </w:pPr>
      <w:rPr>
        <w:rFonts w:hint="default"/>
      </w:rPr>
    </w:lvl>
    <w:lvl w:ilvl="8">
      <w:start w:val="1"/>
      <w:numFmt w:val="lowerRoman"/>
      <w:lvlText w:val="%9."/>
      <w:lvlJc w:val="left"/>
      <w:pPr>
        <w:tabs>
          <w:tab w:val="num" w:pos="4286"/>
        </w:tabs>
        <w:ind w:left="4286" w:hanging="476"/>
      </w:pPr>
      <w:rPr>
        <w:rFonts w:hint="default"/>
      </w:rPr>
    </w:lvl>
  </w:abstractNum>
  <w:abstractNum w:abstractNumId="18" w15:restartNumberingAfterBreak="0">
    <w:nsid w:val="2D682900"/>
    <w:multiLevelType w:val="hybridMultilevel"/>
    <w:tmpl w:val="D94AA6B4"/>
    <w:lvl w:ilvl="0" w:tplc="0409000D">
      <w:start w:val="1"/>
      <w:numFmt w:val="bullet"/>
      <w:lvlText w:val=""/>
      <w:lvlJc w:val="left"/>
      <w:pPr>
        <w:ind w:left="720" w:hanging="360"/>
      </w:pPr>
      <w:rPr>
        <w:rFonts w:ascii="Wingdings" w:hAnsi="Wingdings" w:hint="default"/>
      </w:rPr>
    </w:lvl>
    <w:lvl w:ilvl="1" w:tplc="C376FBB0">
      <w:numFmt w:val="bullet"/>
      <w:lvlText w:val="-"/>
      <w:lvlJc w:val="left"/>
      <w:pPr>
        <w:ind w:left="1440" w:hanging="360"/>
      </w:pPr>
      <w:rPr>
        <w:rFonts w:ascii="Times New Roman" w:eastAsiaTheme="minorHAns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3D06E6B"/>
    <w:multiLevelType w:val="hybridMultilevel"/>
    <w:tmpl w:val="80E2F1E0"/>
    <w:lvl w:ilvl="0" w:tplc="BB543788">
      <w:start w:val="1"/>
      <w:numFmt w:val="bullet"/>
      <w:lvlText w:val="•"/>
      <w:lvlJc w:val="left"/>
      <w:pPr>
        <w:tabs>
          <w:tab w:val="num" w:pos="720"/>
        </w:tabs>
        <w:ind w:left="720" w:hanging="360"/>
      </w:pPr>
      <w:rPr>
        <w:rFonts w:ascii="Times New Roman" w:hAnsi="Times New Roman" w:hint="default"/>
      </w:rPr>
    </w:lvl>
    <w:lvl w:ilvl="1" w:tplc="C9F073D0" w:tentative="1">
      <w:start w:val="1"/>
      <w:numFmt w:val="bullet"/>
      <w:lvlText w:val="•"/>
      <w:lvlJc w:val="left"/>
      <w:pPr>
        <w:tabs>
          <w:tab w:val="num" w:pos="1440"/>
        </w:tabs>
        <w:ind w:left="1440" w:hanging="360"/>
      </w:pPr>
      <w:rPr>
        <w:rFonts w:ascii="Times New Roman" w:hAnsi="Times New Roman" w:hint="default"/>
      </w:rPr>
    </w:lvl>
    <w:lvl w:ilvl="2" w:tplc="8E78F98C" w:tentative="1">
      <w:start w:val="1"/>
      <w:numFmt w:val="bullet"/>
      <w:lvlText w:val="•"/>
      <w:lvlJc w:val="left"/>
      <w:pPr>
        <w:tabs>
          <w:tab w:val="num" w:pos="2160"/>
        </w:tabs>
        <w:ind w:left="2160" w:hanging="360"/>
      </w:pPr>
      <w:rPr>
        <w:rFonts w:ascii="Times New Roman" w:hAnsi="Times New Roman" w:hint="default"/>
      </w:rPr>
    </w:lvl>
    <w:lvl w:ilvl="3" w:tplc="395CEBD2" w:tentative="1">
      <w:start w:val="1"/>
      <w:numFmt w:val="bullet"/>
      <w:lvlText w:val="•"/>
      <w:lvlJc w:val="left"/>
      <w:pPr>
        <w:tabs>
          <w:tab w:val="num" w:pos="2880"/>
        </w:tabs>
        <w:ind w:left="2880" w:hanging="360"/>
      </w:pPr>
      <w:rPr>
        <w:rFonts w:ascii="Times New Roman" w:hAnsi="Times New Roman" w:hint="default"/>
      </w:rPr>
    </w:lvl>
    <w:lvl w:ilvl="4" w:tplc="8B441A76" w:tentative="1">
      <w:start w:val="1"/>
      <w:numFmt w:val="bullet"/>
      <w:lvlText w:val="•"/>
      <w:lvlJc w:val="left"/>
      <w:pPr>
        <w:tabs>
          <w:tab w:val="num" w:pos="3600"/>
        </w:tabs>
        <w:ind w:left="3600" w:hanging="360"/>
      </w:pPr>
      <w:rPr>
        <w:rFonts w:ascii="Times New Roman" w:hAnsi="Times New Roman" w:hint="default"/>
      </w:rPr>
    </w:lvl>
    <w:lvl w:ilvl="5" w:tplc="6F50C7E2" w:tentative="1">
      <w:start w:val="1"/>
      <w:numFmt w:val="bullet"/>
      <w:lvlText w:val="•"/>
      <w:lvlJc w:val="left"/>
      <w:pPr>
        <w:tabs>
          <w:tab w:val="num" w:pos="4320"/>
        </w:tabs>
        <w:ind w:left="4320" w:hanging="360"/>
      </w:pPr>
      <w:rPr>
        <w:rFonts w:ascii="Times New Roman" w:hAnsi="Times New Roman" w:hint="default"/>
      </w:rPr>
    </w:lvl>
    <w:lvl w:ilvl="6" w:tplc="D6B801D0" w:tentative="1">
      <w:start w:val="1"/>
      <w:numFmt w:val="bullet"/>
      <w:lvlText w:val="•"/>
      <w:lvlJc w:val="left"/>
      <w:pPr>
        <w:tabs>
          <w:tab w:val="num" w:pos="5040"/>
        </w:tabs>
        <w:ind w:left="5040" w:hanging="360"/>
      </w:pPr>
      <w:rPr>
        <w:rFonts w:ascii="Times New Roman" w:hAnsi="Times New Roman" w:hint="default"/>
      </w:rPr>
    </w:lvl>
    <w:lvl w:ilvl="7" w:tplc="075A774E" w:tentative="1">
      <w:start w:val="1"/>
      <w:numFmt w:val="bullet"/>
      <w:lvlText w:val="•"/>
      <w:lvlJc w:val="left"/>
      <w:pPr>
        <w:tabs>
          <w:tab w:val="num" w:pos="5760"/>
        </w:tabs>
        <w:ind w:left="5760" w:hanging="360"/>
      </w:pPr>
      <w:rPr>
        <w:rFonts w:ascii="Times New Roman" w:hAnsi="Times New Roman" w:hint="default"/>
      </w:rPr>
    </w:lvl>
    <w:lvl w:ilvl="8" w:tplc="53F8DB28" w:tentative="1">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35D30DAE"/>
    <w:multiLevelType w:val="multilevel"/>
    <w:tmpl w:val="802A48FC"/>
    <w:lvl w:ilvl="0">
      <w:start w:val="1"/>
      <w:numFmt w:val="bullet"/>
      <w:lvlText w:val="–"/>
      <w:lvlJc w:val="left"/>
      <w:pPr>
        <w:tabs>
          <w:tab w:val="num" w:pos="454"/>
        </w:tabs>
        <w:ind w:left="454" w:hanging="454"/>
      </w:pPr>
      <w:rPr>
        <w:rFonts w:ascii="Times New Roman" w:hAnsi="Times New Roman"/>
      </w:rPr>
    </w:lvl>
    <w:lvl w:ilvl="1">
      <w:start w:val="1"/>
      <w:numFmt w:val="bullet"/>
      <w:lvlText w:val=""/>
      <w:lvlJc w:val="left"/>
      <w:pPr>
        <w:ind w:left="814" w:hanging="360"/>
      </w:pPr>
      <w:rPr>
        <w:rFonts w:ascii="Wingdings" w:hAnsi="Wingdings" w:hint="default"/>
      </w:rPr>
    </w:lvl>
    <w:lvl w:ilvl="2">
      <w:start w:val="1"/>
      <w:numFmt w:val="bullet"/>
      <w:lvlText w:val="–"/>
      <w:lvlJc w:val="left"/>
      <w:pPr>
        <w:tabs>
          <w:tab w:val="num" w:pos="1361"/>
        </w:tabs>
        <w:ind w:left="1361" w:hanging="454"/>
      </w:pPr>
      <w:rPr>
        <w:rFonts w:ascii="Times New Roman" w:hAnsi="Times New Roman"/>
      </w:rPr>
    </w:lvl>
    <w:lvl w:ilvl="3">
      <w:start w:val="1"/>
      <w:numFmt w:val="bullet"/>
      <w:lvlText w:val="–"/>
      <w:lvlJc w:val="left"/>
      <w:pPr>
        <w:tabs>
          <w:tab w:val="num" w:pos="1814"/>
        </w:tabs>
        <w:ind w:left="1814" w:hanging="45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36F46275"/>
    <w:multiLevelType w:val="hybridMultilevel"/>
    <w:tmpl w:val="F97E2332"/>
    <w:lvl w:ilvl="0" w:tplc="FDE28920">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398D059C"/>
    <w:multiLevelType w:val="multilevel"/>
    <w:tmpl w:val="3084C15A"/>
    <w:lvl w:ilvl="0">
      <w:start w:val="1"/>
      <w:numFmt w:val="bullet"/>
      <w:lvlText w:val="–"/>
      <w:lvlJc w:val="left"/>
      <w:pPr>
        <w:tabs>
          <w:tab w:val="num" w:pos="454"/>
        </w:tabs>
        <w:ind w:left="454" w:hanging="454"/>
      </w:pPr>
      <w:rPr>
        <w:rFonts w:ascii="Times New Roman" w:hAnsi="Times New Roman"/>
      </w:rPr>
    </w:lvl>
    <w:lvl w:ilvl="1">
      <w:start w:val="1"/>
      <w:numFmt w:val="bullet"/>
      <w:lvlText w:val=""/>
      <w:lvlJc w:val="left"/>
      <w:pPr>
        <w:ind w:left="814" w:hanging="360"/>
      </w:pPr>
      <w:rPr>
        <w:rFonts w:ascii="Wingdings" w:hAnsi="Wingdings" w:hint="default"/>
      </w:rPr>
    </w:lvl>
    <w:lvl w:ilvl="2">
      <w:start w:val="1"/>
      <w:numFmt w:val="bullet"/>
      <w:lvlText w:val="–"/>
      <w:lvlJc w:val="left"/>
      <w:pPr>
        <w:tabs>
          <w:tab w:val="num" w:pos="1361"/>
        </w:tabs>
        <w:ind w:left="1361" w:hanging="454"/>
      </w:pPr>
      <w:rPr>
        <w:rFonts w:ascii="Times New Roman" w:hAnsi="Times New Roman"/>
      </w:rPr>
    </w:lvl>
    <w:lvl w:ilvl="3">
      <w:start w:val="1"/>
      <w:numFmt w:val="bullet"/>
      <w:lvlText w:val="–"/>
      <w:lvlJc w:val="left"/>
      <w:pPr>
        <w:tabs>
          <w:tab w:val="num" w:pos="1814"/>
        </w:tabs>
        <w:ind w:left="1814" w:hanging="45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39959DBB"/>
    <w:multiLevelType w:val="hybridMultilevel"/>
    <w:tmpl w:val="FFFFFFFF"/>
    <w:lvl w:ilvl="0" w:tplc="12886B14">
      <w:start w:val="1"/>
      <w:numFmt w:val="bullet"/>
      <w:lvlText w:val=""/>
      <w:lvlJc w:val="left"/>
      <w:pPr>
        <w:ind w:left="720" w:hanging="360"/>
      </w:pPr>
      <w:rPr>
        <w:rFonts w:ascii="Symbol" w:hAnsi="Symbol" w:hint="default"/>
      </w:rPr>
    </w:lvl>
    <w:lvl w:ilvl="1" w:tplc="676E64F2">
      <w:start w:val="1"/>
      <w:numFmt w:val="bullet"/>
      <w:lvlText w:val="o"/>
      <w:lvlJc w:val="left"/>
      <w:pPr>
        <w:ind w:left="1440" w:hanging="360"/>
      </w:pPr>
      <w:rPr>
        <w:rFonts w:ascii="Courier New" w:hAnsi="Courier New" w:hint="default"/>
      </w:rPr>
    </w:lvl>
    <w:lvl w:ilvl="2" w:tplc="012A1464">
      <w:start w:val="1"/>
      <w:numFmt w:val="bullet"/>
      <w:lvlText w:val=""/>
      <w:lvlJc w:val="left"/>
      <w:pPr>
        <w:ind w:left="2160" w:hanging="360"/>
      </w:pPr>
      <w:rPr>
        <w:rFonts w:ascii="Wingdings" w:hAnsi="Wingdings" w:hint="default"/>
      </w:rPr>
    </w:lvl>
    <w:lvl w:ilvl="3" w:tplc="A11428E0">
      <w:start w:val="1"/>
      <w:numFmt w:val="bullet"/>
      <w:lvlText w:val=""/>
      <w:lvlJc w:val="left"/>
      <w:pPr>
        <w:ind w:left="2880" w:hanging="360"/>
      </w:pPr>
      <w:rPr>
        <w:rFonts w:ascii="Symbol" w:hAnsi="Symbol" w:hint="default"/>
      </w:rPr>
    </w:lvl>
    <w:lvl w:ilvl="4" w:tplc="8B940EFE">
      <w:start w:val="1"/>
      <w:numFmt w:val="bullet"/>
      <w:lvlText w:val="o"/>
      <w:lvlJc w:val="left"/>
      <w:pPr>
        <w:ind w:left="3600" w:hanging="360"/>
      </w:pPr>
      <w:rPr>
        <w:rFonts w:ascii="Courier New" w:hAnsi="Courier New" w:hint="default"/>
      </w:rPr>
    </w:lvl>
    <w:lvl w:ilvl="5" w:tplc="A26EE19E">
      <w:start w:val="1"/>
      <w:numFmt w:val="bullet"/>
      <w:lvlText w:val=""/>
      <w:lvlJc w:val="left"/>
      <w:pPr>
        <w:ind w:left="4320" w:hanging="360"/>
      </w:pPr>
      <w:rPr>
        <w:rFonts w:ascii="Wingdings" w:hAnsi="Wingdings" w:hint="default"/>
      </w:rPr>
    </w:lvl>
    <w:lvl w:ilvl="6" w:tplc="2B9A0496">
      <w:start w:val="1"/>
      <w:numFmt w:val="bullet"/>
      <w:lvlText w:val=""/>
      <w:lvlJc w:val="left"/>
      <w:pPr>
        <w:ind w:left="5040" w:hanging="360"/>
      </w:pPr>
      <w:rPr>
        <w:rFonts w:ascii="Symbol" w:hAnsi="Symbol" w:hint="default"/>
      </w:rPr>
    </w:lvl>
    <w:lvl w:ilvl="7" w:tplc="4C9EABEA">
      <w:start w:val="1"/>
      <w:numFmt w:val="bullet"/>
      <w:lvlText w:val="o"/>
      <w:lvlJc w:val="left"/>
      <w:pPr>
        <w:ind w:left="5760" w:hanging="360"/>
      </w:pPr>
      <w:rPr>
        <w:rFonts w:ascii="Courier New" w:hAnsi="Courier New" w:hint="default"/>
      </w:rPr>
    </w:lvl>
    <w:lvl w:ilvl="8" w:tplc="B01CCBB2">
      <w:start w:val="1"/>
      <w:numFmt w:val="bullet"/>
      <w:lvlText w:val=""/>
      <w:lvlJc w:val="left"/>
      <w:pPr>
        <w:ind w:left="6480" w:hanging="360"/>
      </w:pPr>
      <w:rPr>
        <w:rFonts w:ascii="Wingdings" w:hAnsi="Wingdings" w:hint="default"/>
      </w:rPr>
    </w:lvl>
  </w:abstractNum>
  <w:abstractNum w:abstractNumId="24" w15:restartNumberingAfterBreak="0">
    <w:nsid w:val="3A156529"/>
    <w:multiLevelType w:val="hybridMultilevel"/>
    <w:tmpl w:val="695A2E9E"/>
    <w:lvl w:ilvl="0" w:tplc="C0027D2E">
      <w:start w:val="1"/>
      <w:numFmt w:val="bullet"/>
      <w:lvlText w:val=""/>
      <w:lvlJc w:val="left"/>
      <w:pPr>
        <w:ind w:left="1080" w:hanging="360"/>
      </w:pPr>
      <w:rPr>
        <w:rFonts w:ascii="Symbol" w:hAnsi="Symbol"/>
      </w:rPr>
    </w:lvl>
    <w:lvl w:ilvl="1" w:tplc="A9BACB4A">
      <w:start w:val="1"/>
      <w:numFmt w:val="bullet"/>
      <w:lvlText w:val=""/>
      <w:lvlJc w:val="left"/>
      <w:pPr>
        <w:ind w:left="1080" w:hanging="360"/>
      </w:pPr>
      <w:rPr>
        <w:rFonts w:ascii="Symbol" w:hAnsi="Symbol"/>
      </w:rPr>
    </w:lvl>
    <w:lvl w:ilvl="2" w:tplc="527CE06A">
      <w:start w:val="1"/>
      <w:numFmt w:val="bullet"/>
      <w:lvlText w:val=""/>
      <w:lvlJc w:val="left"/>
      <w:pPr>
        <w:ind w:left="1080" w:hanging="360"/>
      </w:pPr>
      <w:rPr>
        <w:rFonts w:ascii="Symbol" w:hAnsi="Symbol"/>
      </w:rPr>
    </w:lvl>
    <w:lvl w:ilvl="3" w:tplc="F82C6CAA">
      <w:start w:val="1"/>
      <w:numFmt w:val="bullet"/>
      <w:lvlText w:val=""/>
      <w:lvlJc w:val="left"/>
      <w:pPr>
        <w:ind w:left="1080" w:hanging="360"/>
      </w:pPr>
      <w:rPr>
        <w:rFonts w:ascii="Symbol" w:hAnsi="Symbol"/>
      </w:rPr>
    </w:lvl>
    <w:lvl w:ilvl="4" w:tplc="57F02350">
      <w:start w:val="1"/>
      <w:numFmt w:val="bullet"/>
      <w:lvlText w:val=""/>
      <w:lvlJc w:val="left"/>
      <w:pPr>
        <w:ind w:left="1080" w:hanging="360"/>
      </w:pPr>
      <w:rPr>
        <w:rFonts w:ascii="Symbol" w:hAnsi="Symbol"/>
      </w:rPr>
    </w:lvl>
    <w:lvl w:ilvl="5" w:tplc="1BB8E89E">
      <w:start w:val="1"/>
      <w:numFmt w:val="bullet"/>
      <w:lvlText w:val=""/>
      <w:lvlJc w:val="left"/>
      <w:pPr>
        <w:ind w:left="1080" w:hanging="360"/>
      </w:pPr>
      <w:rPr>
        <w:rFonts w:ascii="Symbol" w:hAnsi="Symbol"/>
      </w:rPr>
    </w:lvl>
    <w:lvl w:ilvl="6" w:tplc="7CCC2354">
      <w:start w:val="1"/>
      <w:numFmt w:val="bullet"/>
      <w:lvlText w:val=""/>
      <w:lvlJc w:val="left"/>
      <w:pPr>
        <w:ind w:left="1080" w:hanging="360"/>
      </w:pPr>
      <w:rPr>
        <w:rFonts w:ascii="Symbol" w:hAnsi="Symbol"/>
      </w:rPr>
    </w:lvl>
    <w:lvl w:ilvl="7" w:tplc="DA00B5F6">
      <w:start w:val="1"/>
      <w:numFmt w:val="bullet"/>
      <w:lvlText w:val=""/>
      <w:lvlJc w:val="left"/>
      <w:pPr>
        <w:ind w:left="1080" w:hanging="360"/>
      </w:pPr>
      <w:rPr>
        <w:rFonts w:ascii="Symbol" w:hAnsi="Symbol"/>
      </w:rPr>
    </w:lvl>
    <w:lvl w:ilvl="8" w:tplc="53845D80">
      <w:start w:val="1"/>
      <w:numFmt w:val="bullet"/>
      <w:lvlText w:val=""/>
      <w:lvlJc w:val="left"/>
      <w:pPr>
        <w:ind w:left="1080" w:hanging="360"/>
      </w:pPr>
      <w:rPr>
        <w:rFonts w:ascii="Symbol" w:hAnsi="Symbol"/>
      </w:rPr>
    </w:lvl>
  </w:abstractNum>
  <w:abstractNum w:abstractNumId="25" w15:restartNumberingAfterBreak="0">
    <w:nsid w:val="40217AF8"/>
    <w:multiLevelType w:val="hybridMultilevel"/>
    <w:tmpl w:val="89B8F1E8"/>
    <w:lvl w:ilvl="0" w:tplc="04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4176642"/>
    <w:multiLevelType w:val="hybridMultilevel"/>
    <w:tmpl w:val="7988F040"/>
    <w:lvl w:ilvl="0" w:tplc="0409000D">
      <w:start w:val="1"/>
      <w:numFmt w:val="bullet"/>
      <w:lvlText w:val=""/>
      <w:lvlJc w:val="left"/>
      <w:pPr>
        <w:ind w:left="1174" w:hanging="360"/>
      </w:pPr>
      <w:rPr>
        <w:rFonts w:ascii="Wingdings" w:hAnsi="Wingdings" w:hint="default"/>
      </w:rPr>
    </w:lvl>
    <w:lvl w:ilvl="1" w:tplc="08090003" w:tentative="1">
      <w:start w:val="1"/>
      <w:numFmt w:val="bullet"/>
      <w:lvlText w:val="o"/>
      <w:lvlJc w:val="left"/>
      <w:pPr>
        <w:ind w:left="1894" w:hanging="360"/>
      </w:pPr>
      <w:rPr>
        <w:rFonts w:ascii="Courier New" w:hAnsi="Courier New" w:cs="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cs="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cs="Courier New" w:hint="default"/>
      </w:rPr>
    </w:lvl>
    <w:lvl w:ilvl="8" w:tplc="08090005" w:tentative="1">
      <w:start w:val="1"/>
      <w:numFmt w:val="bullet"/>
      <w:lvlText w:val=""/>
      <w:lvlJc w:val="left"/>
      <w:pPr>
        <w:ind w:left="6934" w:hanging="360"/>
      </w:pPr>
      <w:rPr>
        <w:rFonts w:ascii="Wingdings" w:hAnsi="Wingdings" w:hint="default"/>
      </w:rPr>
    </w:lvl>
  </w:abstractNum>
  <w:abstractNum w:abstractNumId="27" w15:restartNumberingAfterBreak="0">
    <w:nsid w:val="4A502C4B"/>
    <w:multiLevelType w:val="hybridMultilevel"/>
    <w:tmpl w:val="FF9EF176"/>
    <w:lvl w:ilvl="0" w:tplc="04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B787B17"/>
    <w:multiLevelType w:val="hybridMultilevel"/>
    <w:tmpl w:val="EFEE2046"/>
    <w:lvl w:ilvl="0" w:tplc="99E0C0A6">
      <w:start w:val="1"/>
      <w:numFmt w:val="bullet"/>
      <w:lvlText w:val=""/>
      <w:lvlJc w:val="left"/>
      <w:pPr>
        <w:ind w:left="1080" w:hanging="360"/>
      </w:pPr>
      <w:rPr>
        <w:rFonts w:ascii="Symbol" w:hAnsi="Symbol"/>
      </w:rPr>
    </w:lvl>
    <w:lvl w:ilvl="1" w:tplc="494A1A36">
      <w:start w:val="1"/>
      <w:numFmt w:val="bullet"/>
      <w:lvlText w:val=""/>
      <w:lvlJc w:val="left"/>
      <w:pPr>
        <w:ind w:left="1080" w:hanging="360"/>
      </w:pPr>
      <w:rPr>
        <w:rFonts w:ascii="Symbol" w:hAnsi="Symbol"/>
      </w:rPr>
    </w:lvl>
    <w:lvl w:ilvl="2" w:tplc="0AAA7650">
      <w:start w:val="1"/>
      <w:numFmt w:val="bullet"/>
      <w:lvlText w:val=""/>
      <w:lvlJc w:val="left"/>
      <w:pPr>
        <w:ind w:left="1080" w:hanging="360"/>
      </w:pPr>
      <w:rPr>
        <w:rFonts w:ascii="Symbol" w:hAnsi="Symbol"/>
      </w:rPr>
    </w:lvl>
    <w:lvl w:ilvl="3" w:tplc="500C5210">
      <w:start w:val="1"/>
      <w:numFmt w:val="bullet"/>
      <w:lvlText w:val=""/>
      <w:lvlJc w:val="left"/>
      <w:pPr>
        <w:ind w:left="1080" w:hanging="360"/>
      </w:pPr>
      <w:rPr>
        <w:rFonts w:ascii="Symbol" w:hAnsi="Symbol"/>
      </w:rPr>
    </w:lvl>
    <w:lvl w:ilvl="4" w:tplc="AAA06E10">
      <w:start w:val="1"/>
      <w:numFmt w:val="bullet"/>
      <w:lvlText w:val=""/>
      <w:lvlJc w:val="left"/>
      <w:pPr>
        <w:ind w:left="1080" w:hanging="360"/>
      </w:pPr>
      <w:rPr>
        <w:rFonts w:ascii="Symbol" w:hAnsi="Symbol"/>
      </w:rPr>
    </w:lvl>
    <w:lvl w:ilvl="5" w:tplc="C77A2BB4">
      <w:start w:val="1"/>
      <w:numFmt w:val="bullet"/>
      <w:lvlText w:val=""/>
      <w:lvlJc w:val="left"/>
      <w:pPr>
        <w:ind w:left="1080" w:hanging="360"/>
      </w:pPr>
      <w:rPr>
        <w:rFonts w:ascii="Symbol" w:hAnsi="Symbol"/>
      </w:rPr>
    </w:lvl>
    <w:lvl w:ilvl="6" w:tplc="0658CA8E">
      <w:start w:val="1"/>
      <w:numFmt w:val="bullet"/>
      <w:lvlText w:val=""/>
      <w:lvlJc w:val="left"/>
      <w:pPr>
        <w:ind w:left="1080" w:hanging="360"/>
      </w:pPr>
      <w:rPr>
        <w:rFonts w:ascii="Symbol" w:hAnsi="Symbol"/>
      </w:rPr>
    </w:lvl>
    <w:lvl w:ilvl="7" w:tplc="65AE2AD2">
      <w:start w:val="1"/>
      <w:numFmt w:val="bullet"/>
      <w:lvlText w:val=""/>
      <w:lvlJc w:val="left"/>
      <w:pPr>
        <w:ind w:left="1080" w:hanging="360"/>
      </w:pPr>
      <w:rPr>
        <w:rFonts w:ascii="Symbol" w:hAnsi="Symbol"/>
      </w:rPr>
    </w:lvl>
    <w:lvl w:ilvl="8" w:tplc="089E0DB2">
      <w:start w:val="1"/>
      <w:numFmt w:val="bullet"/>
      <w:lvlText w:val=""/>
      <w:lvlJc w:val="left"/>
      <w:pPr>
        <w:ind w:left="1080" w:hanging="360"/>
      </w:pPr>
      <w:rPr>
        <w:rFonts w:ascii="Symbol" w:hAnsi="Symbol"/>
      </w:rPr>
    </w:lvl>
  </w:abstractNum>
  <w:abstractNum w:abstractNumId="29" w15:restartNumberingAfterBreak="0">
    <w:nsid w:val="4C673F54"/>
    <w:multiLevelType w:val="hybridMultilevel"/>
    <w:tmpl w:val="85848C74"/>
    <w:lvl w:ilvl="0" w:tplc="E4648C20">
      <w:start w:val="1"/>
      <w:numFmt w:val="bullet"/>
      <w:lvlText w:val=""/>
      <w:lvlJc w:val="left"/>
      <w:pPr>
        <w:ind w:left="1080" w:hanging="360"/>
      </w:pPr>
      <w:rPr>
        <w:rFonts w:ascii="Symbol" w:hAnsi="Symbol"/>
      </w:rPr>
    </w:lvl>
    <w:lvl w:ilvl="1" w:tplc="1C728A42">
      <w:start w:val="1"/>
      <w:numFmt w:val="bullet"/>
      <w:lvlText w:val=""/>
      <w:lvlJc w:val="left"/>
      <w:pPr>
        <w:ind w:left="1080" w:hanging="360"/>
      </w:pPr>
      <w:rPr>
        <w:rFonts w:ascii="Symbol" w:hAnsi="Symbol"/>
      </w:rPr>
    </w:lvl>
    <w:lvl w:ilvl="2" w:tplc="A78AC1AE">
      <w:start w:val="1"/>
      <w:numFmt w:val="bullet"/>
      <w:lvlText w:val=""/>
      <w:lvlJc w:val="left"/>
      <w:pPr>
        <w:ind w:left="1080" w:hanging="360"/>
      </w:pPr>
      <w:rPr>
        <w:rFonts w:ascii="Symbol" w:hAnsi="Symbol"/>
      </w:rPr>
    </w:lvl>
    <w:lvl w:ilvl="3" w:tplc="E5D60818">
      <w:start w:val="1"/>
      <w:numFmt w:val="bullet"/>
      <w:lvlText w:val=""/>
      <w:lvlJc w:val="left"/>
      <w:pPr>
        <w:ind w:left="1080" w:hanging="360"/>
      </w:pPr>
      <w:rPr>
        <w:rFonts w:ascii="Symbol" w:hAnsi="Symbol"/>
      </w:rPr>
    </w:lvl>
    <w:lvl w:ilvl="4" w:tplc="01242F24">
      <w:start w:val="1"/>
      <w:numFmt w:val="bullet"/>
      <w:lvlText w:val=""/>
      <w:lvlJc w:val="left"/>
      <w:pPr>
        <w:ind w:left="1080" w:hanging="360"/>
      </w:pPr>
      <w:rPr>
        <w:rFonts w:ascii="Symbol" w:hAnsi="Symbol"/>
      </w:rPr>
    </w:lvl>
    <w:lvl w:ilvl="5" w:tplc="D33A0358">
      <w:start w:val="1"/>
      <w:numFmt w:val="bullet"/>
      <w:lvlText w:val=""/>
      <w:lvlJc w:val="left"/>
      <w:pPr>
        <w:ind w:left="1080" w:hanging="360"/>
      </w:pPr>
      <w:rPr>
        <w:rFonts w:ascii="Symbol" w:hAnsi="Symbol"/>
      </w:rPr>
    </w:lvl>
    <w:lvl w:ilvl="6" w:tplc="AB429B88">
      <w:start w:val="1"/>
      <w:numFmt w:val="bullet"/>
      <w:lvlText w:val=""/>
      <w:lvlJc w:val="left"/>
      <w:pPr>
        <w:ind w:left="1080" w:hanging="360"/>
      </w:pPr>
      <w:rPr>
        <w:rFonts w:ascii="Symbol" w:hAnsi="Symbol"/>
      </w:rPr>
    </w:lvl>
    <w:lvl w:ilvl="7" w:tplc="2E864132">
      <w:start w:val="1"/>
      <w:numFmt w:val="bullet"/>
      <w:lvlText w:val=""/>
      <w:lvlJc w:val="left"/>
      <w:pPr>
        <w:ind w:left="1080" w:hanging="360"/>
      </w:pPr>
      <w:rPr>
        <w:rFonts w:ascii="Symbol" w:hAnsi="Symbol"/>
      </w:rPr>
    </w:lvl>
    <w:lvl w:ilvl="8" w:tplc="994C6B02">
      <w:start w:val="1"/>
      <w:numFmt w:val="bullet"/>
      <w:lvlText w:val=""/>
      <w:lvlJc w:val="left"/>
      <w:pPr>
        <w:ind w:left="1080" w:hanging="360"/>
      </w:pPr>
      <w:rPr>
        <w:rFonts w:ascii="Symbol" w:hAnsi="Symbol"/>
      </w:rPr>
    </w:lvl>
  </w:abstractNum>
  <w:abstractNum w:abstractNumId="30" w15:restartNumberingAfterBreak="0">
    <w:nsid w:val="4E1A63DF"/>
    <w:multiLevelType w:val="multilevel"/>
    <w:tmpl w:val="E5F6ABEE"/>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1" w15:restartNumberingAfterBreak="0">
    <w:nsid w:val="4E1A982C"/>
    <w:multiLevelType w:val="multilevel"/>
    <w:tmpl w:val="F29AC2FC"/>
    <w:name w:val="ListBulletNumbering"/>
    <w:lvl w:ilvl="0">
      <w:start w:val="1"/>
      <w:numFmt w:val="bullet"/>
      <w:pStyle w:val="ListBullet"/>
      <w:lvlText w:val=""/>
      <w:lvlJc w:val="left"/>
      <w:pPr>
        <w:tabs>
          <w:tab w:val="num" w:pos="454"/>
        </w:tabs>
        <w:ind w:left="454" w:hanging="454"/>
      </w:pPr>
      <w:rPr>
        <w:rFonts w:ascii="Symbol" w:hAnsi="Symbol"/>
      </w:rPr>
    </w:lvl>
    <w:lvl w:ilvl="1">
      <w:start w:val="1"/>
      <w:numFmt w:val="bullet"/>
      <w:pStyle w:val="ListBulletLevel2"/>
      <w:lvlText w:val=""/>
      <w:lvlJc w:val="left"/>
      <w:pPr>
        <w:tabs>
          <w:tab w:val="num" w:pos="907"/>
        </w:tabs>
        <w:ind w:left="907" w:hanging="453"/>
      </w:pPr>
      <w:rPr>
        <w:rFonts w:ascii="Symbol" w:hAnsi="Symbol"/>
      </w:rPr>
    </w:lvl>
    <w:lvl w:ilvl="2">
      <w:start w:val="1"/>
      <w:numFmt w:val="bullet"/>
      <w:pStyle w:val="ListBulletLevel3"/>
      <w:lvlText w:val=""/>
      <w:lvlJc w:val="left"/>
      <w:pPr>
        <w:tabs>
          <w:tab w:val="num" w:pos="1361"/>
        </w:tabs>
        <w:ind w:left="1361" w:hanging="454"/>
      </w:pPr>
      <w:rPr>
        <w:rFonts w:ascii="Symbol" w:hAnsi="Symbol"/>
      </w:rPr>
    </w:lvl>
    <w:lvl w:ilvl="3">
      <w:start w:val="1"/>
      <w:numFmt w:val="bullet"/>
      <w:pStyle w:val="ListBullet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2" w15:restartNumberingAfterBreak="0">
    <w:nsid w:val="5072619B"/>
    <w:multiLevelType w:val="multilevel"/>
    <w:tmpl w:val="F2EE37D2"/>
    <w:name w:val="ListDashNumbering"/>
    <w:lvl w:ilvl="0">
      <w:start w:val="1"/>
      <w:numFmt w:val="bullet"/>
      <w:pStyle w:val="ListDash"/>
      <w:lvlText w:val="–"/>
      <w:lvlJc w:val="left"/>
      <w:pPr>
        <w:tabs>
          <w:tab w:val="num" w:pos="454"/>
        </w:tabs>
        <w:ind w:left="454" w:hanging="454"/>
      </w:pPr>
      <w:rPr>
        <w:rFonts w:ascii="Times New Roman" w:hAnsi="Times New Roman"/>
      </w:rPr>
    </w:lvl>
    <w:lvl w:ilvl="1">
      <w:start w:val="1"/>
      <w:numFmt w:val="bullet"/>
      <w:pStyle w:val="ListDashLevel2"/>
      <w:lvlText w:val="–"/>
      <w:lvlJc w:val="left"/>
      <w:pPr>
        <w:tabs>
          <w:tab w:val="num" w:pos="907"/>
        </w:tabs>
        <w:ind w:left="907" w:hanging="453"/>
      </w:pPr>
      <w:rPr>
        <w:rFonts w:ascii="Times New Roman" w:hAnsi="Times New Roman"/>
      </w:rPr>
    </w:lvl>
    <w:lvl w:ilvl="2">
      <w:start w:val="1"/>
      <w:numFmt w:val="bullet"/>
      <w:pStyle w:val="ListDashLevel3"/>
      <w:lvlText w:val="–"/>
      <w:lvlJc w:val="left"/>
      <w:pPr>
        <w:tabs>
          <w:tab w:val="num" w:pos="1361"/>
        </w:tabs>
        <w:ind w:left="1361" w:hanging="454"/>
      </w:pPr>
      <w:rPr>
        <w:rFonts w:ascii="Times New Roman" w:hAnsi="Times New Roman"/>
      </w:rPr>
    </w:lvl>
    <w:lvl w:ilvl="3">
      <w:start w:val="1"/>
      <w:numFmt w:val="bullet"/>
      <w:pStyle w:val="ListDashLevel4"/>
      <w:lvlText w:val="–"/>
      <w:lvlJc w:val="left"/>
      <w:pPr>
        <w:tabs>
          <w:tab w:val="num" w:pos="1814"/>
        </w:tabs>
        <w:ind w:left="1814" w:hanging="45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3" w15:restartNumberingAfterBreak="0">
    <w:nsid w:val="50729B52"/>
    <w:multiLevelType w:val="multilevel"/>
    <w:tmpl w:val="8A9E6E78"/>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4" w15:restartNumberingAfterBreak="0">
    <w:nsid w:val="519B739B"/>
    <w:multiLevelType w:val="hybridMultilevel"/>
    <w:tmpl w:val="804203FC"/>
    <w:lvl w:ilvl="0" w:tplc="56FC7F9C">
      <w:start w:val="1"/>
      <w:numFmt w:val="decimal"/>
      <w:lvlText w:val="%1."/>
      <w:lvlJc w:val="left"/>
      <w:pPr>
        <w:ind w:left="1020" w:hanging="360"/>
      </w:pPr>
    </w:lvl>
    <w:lvl w:ilvl="1" w:tplc="0534DAA8">
      <w:start w:val="1"/>
      <w:numFmt w:val="decimal"/>
      <w:lvlText w:val="%2."/>
      <w:lvlJc w:val="left"/>
      <w:pPr>
        <w:ind w:left="1020" w:hanging="360"/>
      </w:pPr>
    </w:lvl>
    <w:lvl w:ilvl="2" w:tplc="031456C8">
      <w:start w:val="1"/>
      <w:numFmt w:val="decimal"/>
      <w:lvlText w:val="%3."/>
      <w:lvlJc w:val="left"/>
      <w:pPr>
        <w:ind w:left="1020" w:hanging="360"/>
      </w:pPr>
    </w:lvl>
    <w:lvl w:ilvl="3" w:tplc="A914E764">
      <w:start w:val="1"/>
      <w:numFmt w:val="decimal"/>
      <w:lvlText w:val="%4."/>
      <w:lvlJc w:val="left"/>
      <w:pPr>
        <w:ind w:left="1020" w:hanging="360"/>
      </w:pPr>
    </w:lvl>
    <w:lvl w:ilvl="4" w:tplc="9B42A328">
      <w:start w:val="1"/>
      <w:numFmt w:val="decimal"/>
      <w:lvlText w:val="%5."/>
      <w:lvlJc w:val="left"/>
      <w:pPr>
        <w:ind w:left="1020" w:hanging="360"/>
      </w:pPr>
    </w:lvl>
    <w:lvl w:ilvl="5" w:tplc="A9103536">
      <w:start w:val="1"/>
      <w:numFmt w:val="decimal"/>
      <w:lvlText w:val="%6."/>
      <w:lvlJc w:val="left"/>
      <w:pPr>
        <w:ind w:left="1020" w:hanging="360"/>
      </w:pPr>
    </w:lvl>
    <w:lvl w:ilvl="6" w:tplc="E00CC01A">
      <w:start w:val="1"/>
      <w:numFmt w:val="decimal"/>
      <w:lvlText w:val="%7."/>
      <w:lvlJc w:val="left"/>
      <w:pPr>
        <w:ind w:left="1020" w:hanging="360"/>
      </w:pPr>
    </w:lvl>
    <w:lvl w:ilvl="7" w:tplc="16A054E8">
      <w:start w:val="1"/>
      <w:numFmt w:val="decimal"/>
      <w:lvlText w:val="%8."/>
      <w:lvlJc w:val="left"/>
      <w:pPr>
        <w:ind w:left="1020" w:hanging="360"/>
      </w:pPr>
    </w:lvl>
    <w:lvl w:ilvl="8" w:tplc="DF820C90">
      <w:start w:val="1"/>
      <w:numFmt w:val="decimal"/>
      <w:lvlText w:val="%9."/>
      <w:lvlJc w:val="left"/>
      <w:pPr>
        <w:ind w:left="1020" w:hanging="360"/>
      </w:pPr>
    </w:lvl>
  </w:abstractNum>
  <w:abstractNum w:abstractNumId="35" w15:restartNumberingAfterBreak="0">
    <w:nsid w:val="5366386D"/>
    <w:multiLevelType w:val="multilevel"/>
    <w:tmpl w:val="F5A2E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6E60627"/>
    <w:multiLevelType w:val="hybridMultilevel"/>
    <w:tmpl w:val="648CB6F4"/>
    <w:lvl w:ilvl="0" w:tplc="3E5228B2">
      <w:start w:val="1"/>
      <w:numFmt w:val="bullet"/>
      <w:lvlText w:val=""/>
      <w:lvlJc w:val="left"/>
      <w:pPr>
        <w:ind w:left="1080" w:hanging="360"/>
      </w:pPr>
      <w:rPr>
        <w:rFonts w:ascii="Symbol" w:hAnsi="Symbol"/>
      </w:rPr>
    </w:lvl>
    <w:lvl w:ilvl="1" w:tplc="9FE48C26">
      <w:start w:val="1"/>
      <w:numFmt w:val="bullet"/>
      <w:lvlText w:val=""/>
      <w:lvlJc w:val="left"/>
      <w:pPr>
        <w:ind w:left="1080" w:hanging="360"/>
      </w:pPr>
      <w:rPr>
        <w:rFonts w:ascii="Symbol" w:hAnsi="Symbol"/>
      </w:rPr>
    </w:lvl>
    <w:lvl w:ilvl="2" w:tplc="2D684854">
      <w:start w:val="1"/>
      <w:numFmt w:val="bullet"/>
      <w:lvlText w:val=""/>
      <w:lvlJc w:val="left"/>
      <w:pPr>
        <w:ind w:left="1080" w:hanging="360"/>
      </w:pPr>
      <w:rPr>
        <w:rFonts w:ascii="Symbol" w:hAnsi="Symbol"/>
      </w:rPr>
    </w:lvl>
    <w:lvl w:ilvl="3" w:tplc="22A0AF98">
      <w:start w:val="1"/>
      <w:numFmt w:val="bullet"/>
      <w:lvlText w:val=""/>
      <w:lvlJc w:val="left"/>
      <w:pPr>
        <w:ind w:left="1080" w:hanging="360"/>
      </w:pPr>
      <w:rPr>
        <w:rFonts w:ascii="Symbol" w:hAnsi="Symbol"/>
      </w:rPr>
    </w:lvl>
    <w:lvl w:ilvl="4" w:tplc="CAAE13FC">
      <w:start w:val="1"/>
      <w:numFmt w:val="bullet"/>
      <w:lvlText w:val=""/>
      <w:lvlJc w:val="left"/>
      <w:pPr>
        <w:ind w:left="1080" w:hanging="360"/>
      </w:pPr>
      <w:rPr>
        <w:rFonts w:ascii="Symbol" w:hAnsi="Symbol"/>
      </w:rPr>
    </w:lvl>
    <w:lvl w:ilvl="5" w:tplc="EFD8E50C">
      <w:start w:val="1"/>
      <w:numFmt w:val="bullet"/>
      <w:lvlText w:val=""/>
      <w:lvlJc w:val="left"/>
      <w:pPr>
        <w:ind w:left="1080" w:hanging="360"/>
      </w:pPr>
      <w:rPr>
        <w:rFonts w:ascii="Symbol" w:hAnsi="Symbol"/>
      </w:rPr>
    </w:lvl>
    <w:lvl w:ilvl="6" w:tplc="AE86FE20">
      <w:start w:val="1"/>
      <w:numFmt w:val="bullet"/>
      <w:lvlText w:val=""/>
      <w:lvlJc w:val="left"/>
      <w:pPr>
        <w:ind w:left="1080" w:hanging="360"/>
      </w:pPr>
      <w:rPr>
        <w:rFonts w:ascii="Symbol" w:hAnsi="Symbol"/>
      </w:rPr>
    </w:lvl>
    <w:lvl w:ilvl="7" w:tplc="B44A14DA">
      <w:start w:val="1"/>
      <w:numFmt w:val="bullet"/>
      <w:lvlText w:val=""/>
      <w:lvlJc w:val="left"/>
      <w:pPr>
        <w:ind w:left="1080" w:hanging="360"/>
      </w:pPr>
      <w:rPr>
        <w:rFonts w:ascii="Symbol" w:hAnsi="Symbol"/>
      </w:rPr>
    </w:lvl>
    <w:lvl w:ilvl="8" w:tplc="505415E6">
      <w:start w:val="1"/>
      <w:numFmt w:val="bullet"/>
      <w:lvlText w:val=""/>
      <w:lvlJc w:val="left"/>
      <w:pPr>
        <w:ind w:left="1080" w:hanging="360"/>
      </w:pPr>
      <w:rPr>
        <w:rFonts w:ascii="Symbol" w:hAnsi="Symbol"/>
      </w:rPr>
    </w:lvl>
  </w:abstractNum>
  <w:abstractNum w:abstractNumId="37" w15:restartNumberingAfterBreak="0">
    <w:nsid w:val="58446B11"/>
    <w:multiLevelType w:val="hybridMultilevel"/>
    <w:tmpl w:val="D40A0E30"/>
    <w:lvl w:ilvl="0" w:tplc="BF2697D0">
      <w:start w:val="1"/>
      <w:numFmt w:val="bullet"/>
      <w:lvlText w:val="·"/>
      <w:lvlJc w:val="left"/>
      <w:pPr>
        <w:ind w:left="720" w:hanging="360"/>
      </w:pPr>
      <w:rPr>
        <w:rFonts w:ascii="Symbol" w:hAnsi="Symbol" w:hint="default"/>
      </w:rPr>
    </w:lvl>
    <w:lvl w:ilvl="1" w:tplc="87647F52">
      <w:start w:val="1"/>
      <w:numFmt w:val="bullet"/>
      <w:lvlText w:val="o"/>
      <w:lvlJc w:val="left"/>
      <w:pPr>
        <w:ind w:left="1440" w:hanging="360"/>
      </w:pPr>
      <w:rPr>
        <w:rFonts w:ascii="Symbol" w:hAnsi="Symbol" w:hint="default"/>
      </w:rPr>
    </w:lvl>
    <w:lvl w:ilvl="2" w:tplc="DB4CA928">
      <w:start w:val="1"/>
      <w:numFmt w:val="bullet"/>
      <w:lvlText w:val=""/>
      <w:lvlJc w:val="left"/>
      <w:pPr>
        <w:ind w:left="2160" w:hanging="360"/>
      </w:pPr>
      <w:rPr>
        <w:rFonts w:ascii="Wingdings" w:hAnsi="Wingdings" w:hint="default"/>
      </w:rPr>
    </w:lvl>
    <w:lvl w:ilvl="3" w:tplc="0F8E3D26">
      <w:start w:val="1"/>
      <w:numFmt w:val="bullet"/>
      <w:lvlText w:val=""/>
      <w:lvlJc w:val="left"/>
      <w:pPr>
        <w:ind w:left="2880" w:hanging="360"/>
      </w:pPr>
      <w:rPr>
        <w:rFonts w:ascii="Symbol" w:hAnsi="Symbol" w:hint="default"/>
      </w:rPr>
    </w:lvl>
    <w:lvl w:ilvl="4" w:tplc="481A77B6">
      <w:start w:val="1"/>
      <w:numFmt w:val="bullet"/>
      <w:lvlText w:val="o"/>
      <w:lvlJc w:val="left"/>
      <w:pPr>
        <w:ind w:left="3600" w:hanging="360"/>
      </w:pPr>
      <w:rPr>
        <w:rFonts w:ascii="Courier New" w:hAnsi="Courier New" w:hint="default"/>
      </w:rPr>
    </w:lvl>
    <w:lvl w:ilvl="5" w:tplc="066CCBBE">
      <w:start w:val="1"/>
      <w:numFmt w:val="bullet"/>
      <w:lvlText w:val=""/>
      <w:lvlJc w:val="left"/>
      <w:pPr>
        <w:ind w:left="4320" w:hanging="360"/>
      </w:pPr>
      <w:rPr>
        <w:rFonts w:ascii="Wingdings" w:hAnsi="Wingdings" w:hint="default"/>
      </w:rPr>
    </w:lvl>
    <w:lvl w:ilvl="6" w:tplc="F0CC4D86">
      <w:start w:val="1"/>
      <w:numFmt w:val="bullet"/>
      <w:lvlText w:val=""/>
      <w:lvlJc w:val="left"/>
      <w:pPr>
        <w:ind w:left="5040" w:hanging="360"/>
      </w:pPr>
      <w:rPr>
        <w:rFonts w:ascii="Symbol" w:hAnsi="Symbol" w:hint="default"/>
      </w:rPr>
    </w:lvl>
    <w:lvl w:ilvl="7" w:tplc="933E5760">
      <w:start w:val="1"/>
      <w:numFmt w:val="bullet"/>
      <w:lvlText w:val="o"/>
      <w:lvlJc w:val="left"/>
      <w:pPr>
        <w:ind w:left="5760" w:hanging="360"/>
      </w:pPr>
      <w:rPr>
        <w:rFonts w:ascii="Courier New" w:hAnsi="Courier New" w:hint="default"/>
      </w:rPr>
    </w:lvl>
    <w:lvl w:ilvl="8" w:tplc="80BC2574">
      <w:start w:val="1"/>
      <w:numFmt w:val="bullet"/>
      <w:lvlText w:val=""/>
      <w:lvlJc w:val="left"/>
      <w:pPr>
        <w:ind w:left="6480" w:hanging="360"/>
      </w:pPr>
      <w:rPr>
        <w:rFonts w:ascii="Wingdings" w:hAnsi="Wingdings" w:hint="default"/>
      </w:rPr>
    </w:lvl>
  </w:abstractNum>
  <w:abstractNum w:abstractNumId="38" w15:restartNumberingAfterBreak="0">
    <w:nsid w:val="5C8A8C06"/>
    <w:multiLevelType w:val="hybridMultilevel"/>
    <w:tmpl w:val="FFFFFFFF"/>
    <w:lvl w:ilvl="0" w:tplc="BC2686CC">
      <w:start w:val="1"/>
      <w:numFmt w:val="bullet"/>
      <w:lvlText w:val=""/>
      <w:lvlJc w:val="left"/>
      <w:pPr>
        <w:ind w:left="720" w:hanging="360"/>
      </w:pPr>
      <w:rPr>
        <w:rFonts w:ascii="Symbol" w:hAnsi="Symbol" w:hint="default"/>
      </w:rPr>
    </w:lvl>
    <w:lvl w:ilvl="1" w:tplc="C65410F0">
      <w:start w:val="1"/>
      <w:numFmt w:val="bullet"/>
      <w:lvlText w:val="o"/>
      <w:lvlJc w:val="left"/>
      <w:pPr>
        <w:ind w:left="1440" w:hanging="360"/>
      </w:pPr>
      <w:rPr>
        <w:rFonts w:ascii="Courier New" w:hAnsi="Courier New" w:hint="default"/>
      </w:rPr>
    </w:lvl>
    <w:lvl w:ilvl="2" w:tplc="3DA8B3D6">
      <w:start w:val="1"/>
      <w:numFmt w:val="bullet"/>
      <w:lvlText w:val=""/>
      <w:lvlJc w:val="left"/>
      <w:pPr>
        <w:ind w:left="2160" w:hanging="360"/>
      </w:pPr>
      <w:rPr>
        <w:rFonts w:ascii="Wingdings" w:hAnsi="Wingdings" w:hint="default"/>
      </w:rPr>
    </w:lvl>
    <w:lvl w:ilvl="3" w:tplc="AE4AFC62">
      <w:start w:val="1"/>
      <w:numFmt w:val="bullet"/>
      <w:lvlText w:val=""/>
      <w:lvlJc w:val="left"/>
      <w:pPr>
        <w:ind w:left="2880" w:hanging="360"/>
      </w:pPr>
      <w:rPr>
        <w:rFonts w:ascii="Symbol" w:hAnsi="Symbol" w:hint="default"/>
      </w:rPr>
    </w:lvl>
    <w:lvl w:ilvl="4" w:tplc="C9B26F54">
      <w:start w:val="1"/>
      <w:numFmt w:val="bullet"/>
      <w:lvlText w:val="o"/>
      <w:lvlJc w:val="left"/>
      <w:pPr>
        <w:ind w:left="3600" w:hanging="360"/>
      </w:pPr>
      <w:rPr>
        <w:rFonts w:ascii="Courier New" w:hAnsi="Courier New" w:hint="default"/>
      </w:rPr>
    </w:lvl>
    <w:lvl w:ilvl="5" w:tplc="7A0229E2">
      <w:start w:val="1"/>
      <w:numFmt w:val="bullet"/>
      <w:lvlText w:val=""/>
      <w:lvlJc w:val="left"/>
      <w:pPr>
        <w:ind w:left="4320" w:hanging="360"/>
      </w:pPr>
      <w:rPr>
        <w:rFonts w:ascii="Wingdings" w:hAnsi="Wingdings" w:hint="default"/>
      </w:rPr>
    </w:lvl>
    <w:lvl w:ilvl="6" w:tplc="2410D552">
      <w:start w:val="1"/>
      <w:numFmt w:val="bullet"/>
      <w:lvlText w:val=""/>
      <w:lvlJc w:val="left"/>
      <w:pPr>
        <w:ind w:left="5040" w:hanging="360"/>
      </w:pPr>
      <w:rPr>
        <w:rFonts w:ascii="Symbol" w:hAnsi="Symbol" w:hint="default"/>
      </w:rPr>
    </w:lvl>
    <w:lvl w:ilvl="7" w:tplc="4762E998">
      <w:start w:val="1"/>
      <w:numFmt w:val="bullet"/>
      <w:lvlText w:val="o"/>
      <w:lvlJc w:val="left"/>
      <w:pPr>
        <w:ind w:left="5760" w:hanging="360"/>
      </w:pPr>
      <w:rPr>
        <w:rFonts w:ascii="Courier New" w:hAnsi="Courier New" w:hint="default"/>
      </w:rPr>
    </w:lvl>
    <w:lvl w:ilvl="8" w:tplc="F8A8D8EE">
      <w:start w:val="1"/>
      <w:numFmt w:val="bullet"/>
      <w:lvlText w:val=""/>
      <w:lvlJc w:val="left"/>
      <w:pPr>
        <w:ind w:left="6480" w:hanging="360"/>
      </w:pPr>
      <w:rPr>
        <w:rFonts w:ascii="Wingdings" w:hAnsi="Wingdings" w:hint="default"/>
      </w:rPr>
    </w:lvl>
  </w:abstractNum>
  <w:abstractNum w:abstractNumId="39" w15:restartNumberingAfterBreak="0">
    <w:nsid w:val="5CAB6771"/>
    <w:multiLevelType w:val="hybridMultilevel"/>
    <w:tmpl w:val="66904300"/>
    <w:lvl w:ilvl="0" w:tplc="A5C640A2">
      <w:start w:val="1"/>
      <w:numFmt w:val="bullet"/>
      <w:lvlText w:val=""/>
      <w:lvlJc w:val="left"/>
      <w:pPr>
        <w:ind w:left="720" w:hanging="360"/>
      </w:pPr>
      <w:rPr>
        <w:rFonts w:ascii="Symbol" w:hAnsi="Symbol"/>
      </w:rPr>
    </w:lvl>
    <w:lvl w:ilvl="1" w:tplc="F2F66004">
      <w:start w:val="1"/>
      <w:numFmt w:val="bullet"/>
      <w:lvlText w:val=""/>
      <w:lvlJc w:val="left"/>
      <w:pPr>
        <w:ind w:left="720" w:hanging="360"/>
      </w:pPr>
      <w:rPr>
        <w:rFonts w:ascii="Symbol" w:hAnsi="Symbol"/>
      </w:rPr>
    </w:lvl>
    <w:lvl w:ilvl="2" w:tplc="DCD6A80C">
      <w:start w:val="1"/>
      <w:numFmt w:val="bullet"/>
      <w:lvlText w:val=""/>
      <w:lvlJc w:val="left"/>
      <w:pPr>
        <w:ind w:left="720" w:hanging="360"/>
      </w:pPr>
      <w:rPr>
        <w:rFonts w:ascii="Symbol" w:hAnsi="Symbol"/>
      </w:rPr>
    </w:lvl>
    <w:lvl w:ilvl="3" w:tplc="877E93C0">
      <w:start w:val="1"/>
      <w:numFmt w:val="bullet"/>
      <w:lvlText w:val=""/>
      <w:lvlJc w:val="left"/>
      <w:pPr>
        <w:ind w:left="720" w:hanging="360"/>
      </w:pPr>
      <w:rPr>
        <w:rFonts w:ascii="Symbol" w:hAnsi="Symbol"/>
      </w:rPr>
    </w:lvl>
    <w:lvl w:ilvl="4" w:tplc="C2548C66">
      <w:start w:val="1"/>
      <w:numFmt w:val="bullet"/>
      <w:lvlText w:val=""/>
      <w:lvlJc w:val="left"/>
      <w:pPr>
        <w:ind w:left="720" w:hanging="360"/>
      </w:pPr>
      <w:rPr>
        <w:rFonts w:ascii="Symbol" w:hAnsi="Symbol"/>
      </w:rPr>
    </w:lvl>
    <w:lvl w:ilvl="5" w:tplc="C6E24CF2">
      <w:start w:val="1"/>
      <w:numFmt w:val="bullet"/>
      <w:lvlText w:val=""/>
      <w:lvlJc w:val="left"/>
      <w:pPr>
        <w:ind w:left="720" w:hanging="360"/>
      </w:pPr>
      <w:rPr>
        <w:rFonts w:ascii="Symbol" w:hAnsi="Symbol"/>
      </w:rPr>
    </w:lvl>
    <w:lvl w:ilvl="6" w:tplc="4A564544">
      <w:start w:val="1"/>
      <w:numFmt w:val="bullet"/>
      <w:lvlText w:val=""/>
      <w:lvlJc w:val="left"/>
      <w:pPr>
        <w:ind w:left="720" w:hanging="360"/>
      </w:pPr>
      <w:rPr>
        <w:rFonts w:ascii="Symbol" w:hAnsi="Symbol"/>
      </w:rPr>
    </w:lvl>
    <w:lvl w:ilvl="7" w:tplc="D4926A68">
      <w:start w:val="1"/>
      <w:numFmt w:val="bullet"/>
      <w:lvlText w:val=""/>
      <w:lvlJc w:val="left"/>
      <w:pPr>
        <w:ind w:left="720" w:hanging="360"/>
      </w:pPr>
      <w:rPr>
        <w:rFonts w:ascii="Symbol" w:hAnsi="Symbol"/>
      </w:rPr>
    </w:lvl>
    <w:lvl w:ilvl="8" w:tplc="B6509948">
      <w:start w:val="1"/>
      <w:numFmt w:val="bullet"/>
      <w:lvlText w:val=""/>
      <w:lvlJc w:val="left"/>
      <w:pPr>
        <w:ind w:left="720" w:hanging="360"/>
      </w:pPr>
      <w:rPr>
        <w:rFonts w:ascii="Symbol" w:hAnsi="Symbol"/>
      </w:rPr>
    </w:lvl>
  </w:abstractNum>
  <w:abstractNum w:abstractNumId="40" w15:restartNumberingAfterBreak="0">
    <w:nsid w:val="5EF809F6"/>
    <w:multiLevelType w:val="multilevel"/>
    <w:tmpl w:val="8B560812"/>
    <w:lvl w:ilvl="0">
      <w:start w:val="1"/>
      <w:numFmt w:val="bullet"/>
      <w:lvlText w:val="–"/>
      <w:lvlJc w:val="left"/>
      <w:pPr>
        <w:tabs>
          <w:tab w:val="num" w:pos="454"/>
        </w:tabs>
        <w:ind w:left="454" w:hanging="454"/>
      </w:pPr>
      <w:rPr>
        <w:rFonts w:ascii="Times New Roman" w:hAnsi="Times New Roman"/>
      </w:rPr>
    </w:lvl>
    <w:lvl w:ilvl="1">
      <w:start w:val="1"/>
      <w:numFmt w:val="bullet"/>
      <w:lvlText w:val=""/>
      <w:lvlJc w:val="left"/>
      <w:pPr>
        <w:ind w:left="1174" w:hanging="360"/>
      </w:pPr>
      <w:rPr>
        <w:rFonts w:ascii="Wingdings" w:hAnsi="Wingdings" w:hint="default"/>
      </w:rPr>
    </w:lvl>
    <w:lvl w:ilvl="2">
      <w:start w:val="1"/>
      <w:numFmt w:val="bullet"/>
      <w:lvlText w:val="–"/>
      <w:lvlJc w:val="left"/>
      <w:pPr>
        <w:tabs>
          <w:tab w:val="num" w:pos="1361"/>
        </w:tabs>
        <w:ind w:left="1361" w:hanging="454"/>
      </w:pPr>
      <w:rPr>
        <w:rFonts w:ascii="Times New Roman" w:hAnsi="Times New Roman"/>
      </w:rPr>
    </w:lvl>
    <w:lvl w:ilvl="3">
      <w:start w:val="1"/>
      <w:numFmt w:val="bullet"/>
      <w:lvlText w:val="–"/>
      <w:lvlJc w:val="left"/>
      <w:pPr>
        <w:tabs>
          <w:tab w:val="num" w:pos="1814"/>
        </w:tabs>
        <w:ind w:left="1814" w:hanging="45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1" w15:restartNumberingAfterBreak="0">
    <w:nsid w:val="5F0929A3"/>
    <w:multiLevelType w:val="hybridMultilevel"/>
    <w:tmpl w:val="047E9EEA"/>
    <w:lvl w:ilvl="0" w:tplc="0409000D">
      <w:start w:val="1"/>
      <w:numFmt w:val="bullet"/>
      <w:lvlText w:val=""/>
      <w:lvlJc w:val="left"/>
      <w:pPr>
        <w:ind w:left="1174" w:hanging="360"/>
      </w:pPr>
      <w:rPr>
        <w:rFonts w:ascii="Wingdings" w:hAnsi="Wingdings" w:hint="default"/>
      </w:rPr>
    </w:lvl>
    <w:lvl w:ilvl="1" w:tplc="08090003" w:tentative="1">
      <w:start w:val="1"/>
      <w:numFmt w:val="bullet"/>
      <w:lvlText w:val="o"/>
      <w:lvlJc w:val="left"/>
      <w:pPr>
        <w:ind w:left="1894" w:hanging="360"/>
      </w:pPr>
      <w:rPr>
        <w:rFonts w:ascii="Courier New" w:hAnsi="Courier New" w:cs="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cs="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cs="Courier New" w:hint="default"/>
      </w:rPr>
    </w:lvl>
    <w:lvl w:ilvl="8" w:tplc="08090005" w:tentative="1">
      <w:start w:val="1"/>
      <w:numFmt w:val="bullet"/>
      <w:lvlText w:val=""/>
      <w:lvlJc w:val="left"/>
      <w:pPr>
        <w:ind w:left="6934" w:hanging="360"/>
      </w:pPr>
      <w:rPr>
        <w:rFonts w:ascii="Wingdings" w:hAnsi="Wingdings" w:hint="default"/>
      </w:rPr>
    </w:lvl>
  </w:abstractNum>
  <w:abstractNum w:abstractNumId="42" w15:restartNumberingAfterBreak="0">
    <w:nsid w:val="66191948"/>
    <w:multiLevelType w:val="multilevel"/>
    <w:tmpl w:val="35F69AA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3" w15:restartNumberingAfterBreak="0">
    <w:nsid w:val="682A6099"/>
    <w:multiLevelType w:val="hybridMultilevel"/>
    <w:tmpl w:val="3E141786"/>
    <w:lvl w:ilvl="0" w:tplc="04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9D60C44"/>
    <w:multiLevelType w:val="hybridMultilevel"/>
    <w:tmpl w:val="96441C36"/>
    <w:lvl w:ilvl="0" w:tplc="FDE28920">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5" w15:restartNumberingAfterBreak="0">
    <w:nsid w:val="7027026F"/>
    <w:multiLevelType w:val="hybridMultilevel"/>
    <w:tmpl w:val="FFFFFFFF"/>
    <w:lvl w:ilvl="0" w:tplc="71544400">
      <w:start w:val="1"/>
      <w:numFmt w:val="bullet"/>
      <w:lvlText w:val=""/>
      <w:lvlJc w:val="left"/>
      <w:pPr>
        <w:ind w:left="720" w:hanging="360"/>
      </w:pPr>
      <w:rPr>
        <w:rFonts w:ascii="Symbol" w:hAnsi="Symbol" w:hint="default"/>
      </w:rPr>
    </w:lvl>
    <w:lvl w:ilvl="1" w:tplc="49F0DEAE">
      <w:start w:val="1"/>
      <w:numFmt w:val="bullet"/>
      <w:lvlText w:val="o"/>
      <w:lvlJc w:val="left"/>
      <w:pPr>
        <w:ind w:left="1440" w:hanging="360"/>
      </w:pPr>
      <w:rPr>
        <w:rFonts w:ascii="Courier New" w:hAnsi="Courier New" w:hint="default"/>
      </w:rPr>
    </w:lvl>
    <w:lvl w:ilvl="2" w:tplc="5EE859B2">
      <w:start w:val="1"/>
      <w:numFmt w:val="bullet"/>
      <w:lvlText w:val=""/>
      <w:lvlJc w:val="left"/>
      <w:pPr>
        <w:ind w:left="2160" w:hanging="360"/>
      </w:pPr>
      <w:rPr>
        <w:rFonts w:ascii="Wingdings" w:hAnsi="Wingdings" w:hint="default"/>
      </w:rPr>
    </w:lvl>
    <w:lvl w:ilvl="3" w:tplc="645EFCE6">
      <w:start w:val="1"/>
      <w:numFmt w:val="bullet"/>
      <w:lvlText w:val=""/>
      <w:lvlJc w:val="left"/>
      <w:pPr>
        <w:ind w:left="2880" w:hanging="360"/>
      </w:pPr>
      <w:rPr>
        <w:rFonts w:ascii="Symbol" w:hAnsi="Symbol" w:hint="default"/>
      </w:rPr>
    </w:lvl>
    <w:lvl w:ilvl="4" w:tplc="CEF87D32">
      <w:start w:val="1"/>
      <w:numFmt w:val="bullet"/>
      <w:lvlText w:val="o"/>
      <w:lvlJc w:val="left"/>
      <w:pPr>
        <w:ind w:left="3600" w:hanging="360"/>
      </w:pPr>
      <w:rPr>
        <w:rFonts w:ascii="Courier New" w:hAnsi="Courier New" w:hint="default"/>
      </w:rPr>
    </w:lvl>
    <w:lvl w:ilvl="5" w:tplc="508689E8">
      <w:start w:val="1"/>
      <w:numFmt w:val="bullet"/>
      <w:lvlText w:val=""/>
      <w:lvlJc w:val="left"/>
      <w:pPr>
        <w:ind w:left="4320" w:hanging="360"/>
      </w:pPr>
      <w:rPr>
        <w:rFonts w:ascii="Wingdings" w:hAnsi="Wingdings" w:hint="default"/>
      </w:rPr>
    </w:lvl>
    <w:lvl w:ilvl="6" w:tplc="0626416A">
      <w:start w:val="1"/>
      <w:numFmt w:val="bullet"/>
      <w:lvlText w:val=""/>
      <w:lvlJc w:val="left"/>
      <w:pPr>
        <w:ind w:left="5040" w:hanging="360"/>
      </w:pPr>
      <w:rPr>
        <w:rFonts w:ascii="Symbol" w:hAnsi="Symbol" w:hint="default"/>
      </w:rPr>
    </w:lvl>
    <w:lvl w:ilvl="7" w:tplc="FDFC4F56">
      <w:start w:val="1"/>
      <w:numFmt w:val="bullet"/>
      <w:lvlText w:val="o"/>
      <w:lvlJc w:val="left"/>
      <w:pPr>
        <w:ind w:left="5760" w:hanging="360"/>
      </w:pPr>
      <w:rPr>
        <w:rFonts w:ascii="Courier New" w:hAnsi="Courier New" w:hint="default"/>
      </w:rPr>
    </w:lvl>
    <w:lvl w:ilvl="8" w:tplc="06D0994E">
      <w:start w:val="1"/>
      <w:numFmt w:val="bullet"/>
      <w:lvlText w:val=""/>
      <w:lvlJc w:val="left"/>
      <w:pPr>
        <w:ind w:left="6480" w:hanging="360"/>
      </w:pPr>
      <w:rPr>
        <w:rFonts w:ascii="Wingdings" w:hAnsi="Wingdings" w:hint="default"/>
      </w:rPr>
    </w:lvl>
  </w:abstractNum>
  <w:abstractNum w:abstractNumId="46" w15:restartNumberingAfterBreak="0">
    <w:nsid w:val="71AE743F"/>
    <w:multiLevelType w:val="hybridMultilevel"/>
    <w:tmpl w:val="E1F4ECA0"/>
    <w:lvl w:ilvl="0" w:tplc="FDE28920">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739FDA27"/>
    <w:multiLevelType w:val="hybridMultilevel"/>
    <w:tmpl w:val="FFFFFFFF"/>
    <w:lvl w:ilvl="0" w:tplc="716A8664">
      <w:start w:val="1"/>
      <w:numFmt w:val="bullet"/>
      <w:lvlText w:val=""/>
      <w:lvlJc w:val="left"/>
      <w:pPr>
        <w:ind w:left="720" w:hanging="360"/>
      </w:pPr>
      <w:rPr>
        <w:rFonts w:ascii="Symbol" w:hAnsi="Symbol" w:hint="default"/>
      </w:rPr>
    </w:lvl>
    <w:lvl w:ilvl="1" w:tplc="4808C30A">
      <w:start w:val="1"/>
      <w:numFmt w:val="bullet"/>
      <w:lvlText w:val="o"/>
      <w:lvlJc w:val="left"/>
      <w:pPr>
        <w:ind w:left="1440" w:hanging="360"/>
      </w:pPr>
      <w:rPr>
        <w:rFonts w:ascii="Courier New" w:hAnsi="Courier New" w:hint="default"/>
      </w:rPr>
    </w:lvl>
    <w:lvl w:ilvl="2" w:tplc="0E448A3A">
      <w:start w:val="1"/>
      <w:numFmt w:val="bullet"/>
      <w:lvlText w:val=""/>
      <w:lvlJc w:val="left"/>
      <w:pPr>
        <w:ind w:left="2160" w:hanging="360"/>
      </w:pPr>
      <w:rPr>
        <w:rFonts w:ascii="Wingdings" w:hAnsi="Wingdings" w:hint="default"/>
      </w:rPr>
    </w:lvl>
    <w:lvl w:ilvl="3" w:tplc="3D9CF36A">
      <w:start w:val="1"/>
      <w:numFmt w:val="bullet"/>
      <w:lvlText w:val=""/>
      <w:lvlJc w:val="left"/>
      <w:pPr>
        <w:ind w:left="2880" w:hanging="360"/>
      </w:pPr>
      <w:rPr>
        <w:rFonts w:ascii="Symbol" w:hAnsi="Symbol" w:hint="default"/>
      </w:rPr>
    </w:lvl>
    <w:lvl w:ilvl="4" w:tplc="E1AE5B4C">
      <w:start w:val="1"/>
      <w:numFmt w:val="bullet"/>
      <w:lvlText w:val="o"/>
      <w:lvlJc w:val="left"/>
      <w:pPr>
        <w:ind w:left="3600" w:hanging="360"/>
      </w:pPr>
      <w:rPr>
        <w:rFonts w:ascii="Courier New" w:hAnsi="Courier New" w:hint="default"/>
      </w:rPr>
    </w:lvl>
    <w:lvl w:ilvl="5" w:tplc="CD887C80">
      <w:start w:val="1"/>
      <w:numFmt w:val="bullet"/>
      <w:lvlText w:val=""/>
      <w:lvlJc w:val="left"/>
      <w:pPr>
        <w:ind w:left="4320" w:hanging="360"/>
      </w:pPr>
      <w:rPr>
        <w:rFonts w:ascii="Wingdings" w:hAnsi="Wingdings" w:hint="default"/>
      </w:rPr>
    </w:lvl>
    <w:lvl w:ilvl="6" w:tplc="C27E0210">
      <w:start w:val="1"/>
      <w:numFmt w:val="bullet"/>
      <w:lvlText w:val=""/>
      <w:lvlJc w:val="left"/>
      <w:pPr>
        <w:ind w:left="5040" w:hanging="360"/>
      </w:pPr>
      <w:rPr>
        <w:rFonts w:ascii="Symbol" w:hAnsi="Symbol" w:hint="default"/>
      </w:rPr>
    </w:lvl>
    <w:lvl w:ilvl="7" w:tplc="78E8FE62">
      <w:start w:val="1"/>
      <w:numFmt w:val="bullet"/>
      <w:lvlText w:val="o"/>
      <w:lvlJc w:val="left"/>
      <w:pPr>
        <w:ind w:left="5760" w:hanging="360"/>
      </w:pPr>
      <w:rPr>
        <w:rFonts w:ascii="Courier New" w:hAnsi="Courier New" w:hint="default"/>
      </w:rPr>
    </w:lvl>
    <w:lvl w:ilvl="8" w:tplc="9AF63514">
      <w:start w:val="1"/>
      <w:numFmt w:val="bullet"/>
      <w:lvlText w:val=""/>
      <w:lvlJc w:val="left"/>
      <w:pPr>
        <w:ind w:left="6480" w:hanging="360"/>
      </w:pPr>
      <w:rPr>
        <w:rFonts w:ascii="Wingdings" w:hAnsi="Wingdings" w:hint="default"/>
      </w:rPr>
    </w:lvl>
  </w:abstractNum>
  <w:abstractNum w:abstractNumId="48" w15:restartNumberingAfterBreak="0">
    <w:nsid w:val="7546427B"/>
    <w:multiLevelType w:val="hybridMultilevel"/>
    <w:tmpl w:val="59601252"/>
    <w:lvl w:ilvl="0" w:tplc="40626D2E">
      <w:start w:val="1"/>
      <w:numFmt w:val="bullet"/>
      <w:lvlText w:val="•"/>
      <w:lvlJc w:val="left"/>
      <w:pPr>
        <w:tabs>
          <w:tab w:val="num" w:pos="720"/>
        </w:tabs>
        <w:ind w:left="720" w:hanging="360"/>
      </w:pPr>
      <w:rPr>
        <w:rFonts w:ascii="Times New Roman" w:hAnsi="Times New Roman" w:hint="default"/>
      </w:rPr>
    </w:lvl>
    <w:lvl w:ilvl="1" w:tplc="0EEAAE38" w:tentative="1">
      <w:start w:val="1"/>
      <w:numFmt w:val="bullet"/>
      <w:lvlText w:val="•"/>
      <w:lvlJc w:val="left"/>
      <w:pPr>
        <w:tabs>
          <w:tab w:val="num" w:pos="1440"/>
        </w:tabs>
        <w:ind w:left="1440" w:hanging="360"/>
      </w:pPr>
      <w:rPr>
        <w:rFonts w:ascii="Times New Roman" w:hAnsi="Times New Roman" w:hint="default"/>
      </w:rPr>
    </w:lvl>
    <w:lvl w:ilvl="2" w:tplc="06AC4FC2" w:tentative="1">
      <w:start w:val="1"/>
      <w:numFmt w:val="bullet"/>
      <w:lvlText w:val="•"/>
      <w:lvlJc w:val="left"/>
      <w:pPr>
        <w:tabs>
          <w:tab w:val="num" w:pos="2160"/>
        </w:tabs>
        <w:ind w:left="2160" w:hanging="360"/>
      </w:pPr>
      <w:rPr>
        <w:rFonts w:ascii="Times New Roman" w:hAnsi="Times New Roman" w:hint="default"/>
      </w:rPr>
    </w:lvl>
    <w:lvl w:ilvl="3" w:tplc="5346FF4C" w:tentative="1">
      <w:start w:val="1"/>
      <w:numFmt w:val="bullet"/>
      <w:lvlText w:val="•"/>
      <w:lvlJc w:val="left"/>
      <w:pPr>
        <w:tabs>
          <w:tab w:val="num" w:pos="2880"/>
        </w:tabs>
        <w:ind w:left="2880" w:hanging="360"/>
      </w:pPr>
      <w:rPr>
        <w:rFonts w:ascii="Times New Roman" w:hAnsi="Times New Roman" w:hint="default"/>
      </w:rPr>
    </w:lvl>
    <w:lvl w:ilvl="4" w:tplc="C2105F1A" w:tentative="1">
      <w:start w:val="1"/>
      <w:numFmt w:val="bullet"/>
      <w:lvlText w:val="•"/>
      <w:lvlJc w:val="left"/>
      <w:pPr>
        <w:tabs>
          <w:tab w:val="num" w:pos="3600"/>
        </w:tabs>
        <w:ind w:left="3600" w:hanging="360"/>
      </w:pPr>
      <w:rPr>
        <w:rFonts w:ascii="Times New Roman" w:hAnsi="Times New Roman" w:hint="default"/>
      </w:rPr>
    </w:lvl>
    <w:lvl w:ilvl="5" w:tplc="E7A08262" w:tentative="1">
      <w:start w:val="1"/>
      <w:numFmt w:val="bullet"/>
      <w:lvlText w:val="•"/>
      <w:lvlJc w:val="left"/>
      <w:pPr>
        <w:tabs>
          <w:tab w:val="num" w:pos="4320"/>
        </w:tabs>
        <w:ind w:left="4320" w:hanging="360"/>
      </w:pPr>
      <w:rPr>
        <w:rFonts w:ascii="Times New Roman" w:hAnsi="Times New Roman" w:hint="default"/>
      </w:rPr>
    </w:lvl>
    <w:lvl w:ilvl="6" w:tplc="8F7AD5A6" w:tentative="1">
      <w:start w:val="1"/>
      <w:numFmt w:val="bullet"/>
      <w:lvlText w:val="•"/>
      <w:lvlJc w:val="left"/>
      <w:pPr>
        <w:tabs>
          <w:tab w:val="num" w:pos="5040"/>
        </w:tabs>
        <w:ind w:left="5040" w:hanging="360"/>
      </w:pPr>
      <w:rPr>
        <w:rFonts w:ascii="Times New Roman" w:hAnsi="Times New Roman" w:hint="default"/>
      </w:rPr>
    </w:lvl>
    <w:lvl w:ilvl="7" w:tplc="DA9C1298" w:tentative="1">
      <w:start w:val="1"/>
      <w:numFmt w:val="bullet"/>
      <w:lvlText w:val="•"/>
      <w:lvlJc w:val="left"/>
      <w:pPr>
        <w:tabs>
          <w:tab w:val="num" w:pos="5760"/>
        </w:tabs>
        <w:ind w:left="5760" w:hanging="360"/>
      </w:pPr>
      <w:rPr>
        <w:rFonts w:ascii="Times New Roman" w:hAnsi="Times New Roman" w:hint="default"/>
      </w:rPr>
    </w:lvl>
    <w:lvl w:ilvl="8" w:tplc="C1EC198E" w:tentative="1">
      <w:start w:val="1"/>
      <w:numFmt w:val="bullet"/>
      <w:lvlText w:val="•"/>
      <w:lvlJc w:val="left"/>
      <w:pPr>
        <w:tabs>
          <w:tab w:val="num" w:pos="6480"/>
        </w:tabs>
        <w:ind w:left="6480" w:hanging="360"/>
      </w:pPr>
      <w:rPr>
        <w:rFonts w:ascii="Times New Roman" w:hAnsi="Times New Roman" w:hint="default"/>
      </w:rPr>
    </w:lvl>
  </w:abstractNum>
  <w:abstractNum w:abstractNumId="49" w15:restartNumberingAfterBreak="0">
    <w:nsid w:val="780B0DDC"/>
    <w:multiLevelType w:val="hybridMultilevel"/>
    <w:tmpl w:val="E2160E4A"/>
    <w:lvl w:ilvl="0" w:tplc="A4109B62">
      <w:start w:val="1"/>
      <w:numFmt w:val="bullet"/>
      <w:lvlText w:val=""/>
      <w:lvlJc w:val="left"/>
      <w:pPr>
        <w:ind w:left="1080" w:hanging="360"/>
      </w:pPr>
      <w:rPr>
        <w:rFonts w:ascii="Symbol" w:hAnsi="Symbol"/>
      </w:rPr>
    </w:lvl>
    <w:lvl w:ilvl="1" w:tplc="66E4D3FA">
      <w:start w:val="1"/>
      <w:numFmt w:val="bullet"/>
      <w:lvlText w:val=""/>
      <w:lvlJc w:val="left"/>
      <w:pPr>
        <w:ind w:left="1080" w:hanging="360"/>
      </w:pPr>
      <w:rPr>
        <w:rFonts w:ascii="Symbol" w:hAnsi="Symbol"/>
      </w:rPr>
    </w:lvl>
    <w:lvl w:ilvl="2" w:tplc="B7547F7A">
      <w:start w:val="1"/>
      <w:numFmt w:val="bullet"/>
      <w:lvlText w:val=""/>
      <w:lvlJc w:val="left"/>
      <w:pPr>
        <w:ind w:left="1080" w:hanging="360"/>
      </w:pPr>
      <w:rPr>
        <w:rFonts w:ascii="Symbol" w:hAnsi="Symbol"/>
      </w:rPr>
    </w:lvl>
    <w:lvl w:ilvl="3" w:tplc="0486F006">
      <w:start w:val="1"/>
      <w:numFmt w:val="bullet"/>
      <w:lvlText w:val=""/>
      <w:lvlJc w:val="left"/>
      <w:pPr>
        <w:ind w:left="1080" w:hanging="360"/>
      </w:pPr>
      <w:rPr>
        <w:rFonts w:ascii="Symbol" w:hAnsi="Symbol"/>
      </w:rPr>
    </w:lvl>
    <w:lvl w:ilvl="4" w:tplc="BFB28E1C">
      <w:start w:val="1"/>
      <w:numFmt w:val="bullet"/>
      <w:lvlText w:val=""/>
      <w:lvlJc w:val="left"/>
      <w:pPr>
        <w:ind w:left="1080" w:hanging="360"/>
      </w:pPr>
      <w:rPr>
        <w:rFonts w:ascii="Symbol" w:hAnsi="Symbol"/>
      </w:rPr>
    </w:lvl>
    <w:lvl w:ilvl="5" w:tplc="46E2A98A">
      <w:start w:val="1"/>
      <w:numFmt w:val="bullet"/>
      <w:lvlText w:val=""/>
      <w:lvlJc w:val="left"/>
      <w:pPr>
        <w:ind w:left="1080" w:hanging="360"/>
      </w:pPr>
      <w:rPr>
        <w:rFonts w:ascii="Symbol" w:hAnsi="Symbol"/>
      </w:rPr>
    </w:lvl>
    <w:lvl w:ilvl="6" w:tplc="A57AC7BE">
      <w:start w:val="1"/>
      <w:numFmt w:val="bullet"/>
      <w:lvlText w:val=""/>
      <w:lvlJc w:val="left"/>
      <w:pPr>
        <w:ind w:left="1080" w:hanging="360"/>
      </w:pPr>
      <w:rPr>
        <w:rFonts w:ascii="Symbol" w:hAnsi="Symbol"/>
      </w:rPr>
    </w:lvl>
    <w:lvl w:ilvl="7" w:tplc="6764C5EA">
      <w:start w:val="1"/>
      <w:numFmt w:val="bullet"/>
      <w:lvlText w:val=""/>
      <w:lvlJc w:val="left"/>
      <w:pPr>
        <w:ind w:left="1080" w:hanging="360"/>
      </w:pPr>
      <w:rPr>
        <w:rFonts w:ascii="Symbol" w:hAnsi="Symbol"/>
      </w:rPr>
    </w:lvl>
    <w:lvl w:ilvl="8" w:tplc="3C586BA0">
      <w:start w:val="1"/>
      <w:numFmt w:val="bullet"/>
      <w:lvlText w:val=""/>
      <w:lvlJc w:val="left"/>
      <w:pPr>
        <w:ind w:left="1080" w:hanging="360"/>
      </w:pPr>
      <w:rPr>
        <w:rFonts w:ascii="Symbol" w:hAnsi="Symbol"/>
      </w:rPr>
    </w:lvl>
  </w:abstractNum>
  <w:abstractNum w:abstractNumId="50" w15:restartNumberingAfterBreak="0">
    <w:nsid w:val="7B147FD9"/>
    <w:multiLevelType w:val="hybridMultilevel"/>
    <w:tmpl w:val="EC9A8504"/>
    <w:lvl w:ilvl="0" w:tplc="FDE28920">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7C65145E"/>
    <w:multiLevelType w:val="multilevel"/>
    <w:tmpl w:val="B4442412"/>
    <w:name w:val="EurolookHeading"/>
    <w:lvl w:ilvl="0">
      <w:start w:val="1"/>
      <w:numFmt w:val="decimal"/>
      <w:pStyle w:val="Heading1"/>
      <w:lvlText w:val="%1."/>
      <w:lvlJc w:val="left"/>
      <w:pPr>
        <w:tabs>
          <w:tab w:val="num" w:pos="397"/>
        </w:tabs>
        <w:ind w:left="397" w:hanging="397"/>
      </w:pPr>
      <w:rPr>
        <w:rFonts w:hint="default"/>
      </w:rPr>
    </w:lvl>
    <w:lvl w:ilvl="1">
      <w:start w:val="1"/>
      <w:numFmt w:val="decimal"/>
      <w:pStyle w:val="Heading2"/>
      <w:lvlText w:val="%1.%2."/>
      <w:lvlJc w:val="left"/>
      <w:pPr>
        <w:tabs>
          <w:tab w:val="num" w:pos="1729"/>
        </w:tabs>
        <w:ind w:left="1729" w:hanging="595"/>
      </w:pPr>
      <w:rPr>
        <w:rFonts w:hint="default"/>
      </w:rPr>
    </w:lvl>
    <w:lvl w:ilvl="2">
      <w:start w:val="1"/>
      <w:numFmt w:val="decimal"/>
      <w:pStyle w:val="Heading3"/>
      <w:lvlText w:val="%1.%2.%3."/>
      <w:lvlJc w:val="left"/>
      <w:pPr>
        <w:tabs>
          <w:tab w:val="num" w:pos="737"/>
        </w:tabs>
        <w:ind w:left="737" w:hanging="737"/>
      </w:pPr>
      <w:rPr>
        <w:rFonts w:hint="default"/>
        <w:u w:val="none"/>
      </w:rPr>
    </w:lvl>
    <w:lvl w:ilvl="3">
      <w:start w:val="1"/>
      <w:numFmt w:val="decimal"/>
      <w:pStyle w:val="Heading4"/>
      <w:lvlText w:val="%1.%2.%3.%4."/>
      <w:lvlJc w:val="left"/>
      <w:pPr>
        <w:tabs>
          <w:tab w:val="num" w:pos="850"/>
        </w:tabs>
        <w:ind w:left="850" w:hanging="850"/>
      </w:pPr>
      <w:rPr>
        <w:rFonts w:hint="default"/>
      </w:rPr>
    </w:lvl>
    <w:lvl w:ilvl="4">
      <w:start w:val="1"/>
      <w:numFmt w:val="decimal"/>
      <w:pStyle w:val="Heading5"/>
      <w:lvlText w:val="%1.%2.%3.%4.%5."/>
      <w:lvlJc w:val="left"/>
      <w:pPr>
        <w:tabs>
          <w:tab w:val="num" w:pos="1049"/>
        </w:tabs>
        <w:ind w:left="1049" w:hanging="1049"/>
      </w:pPr>
      <w:rPr>
        <w:rFonts w:hint="default"/>
      </w:rPr>
    </w:lvl>
    <w:lvl w:ilvl="5">
      <w:start w:val="1"/>
      <w:numFmt w:val="decimal"/>
      <w:pStyle w:val="Heading6"/>
      <w:suff w:val="space"/>
      <w:lvlText w:val="%1.%2.%3.%4.%5.%6."/>
      <w:lvlJc w:val="left"/>
      <w:pPr>
        <w:ind w:firstLine="0"/>
      </w:pPr>
      <w:rPr>
        <w:rFonts w:hint="default"/>
      </w:rPr>
    </w:lvl>
    <w:lvl w:ilvl="6">
      <w:start w:val="1"/>
      <w:numFmt w:val="decimal"/>
      <w:pStyle w:val="Heading7"/>
      <w:suff w:val="space"/>
      <w:lvlText w:val="%1.%2.%3.%4.%5.%6.%7."/>
      <w:lvlJc w:val="left"/>
      <w:pPr>
        <w:ind w:firstLine="0"/>
      </w:pPr>
      <w:rPr>
        <w:rFonts w:hint="default"/>
      </w:rPr>
    </w:lvl>
    <w:lvl w:ilvl="7">
      <w:start w:val="1"/>
      <w:numFmt w:val="decimal"/>
      <w:pStyle w:val="Heading8"/>
      <w:suff w:val="space"/>
      <w:lvlText w:val="%1.%2.%3.%4.%5.%6.%7.%8."/>
      <w:lvlJc w:val="left"/>
      <w:pPr>
        <w:ind w:firstLine="0"/>
      </w:pPr>
      <w:rPr>
        <w:rFonts w:hint="default"/>
      </w:rPr>
    </w:lvl>
    <w:lvl w:ilvl="8">
      <w:start w:val="1"/>
      <w:numFmt w:val="decimal"/>
      <w:pStyle w:val="Heading9"/>
      <w:suff w:val="space"/>
      <w:lvlText w:val="%1.%2.%3.%4.%5.%6.%7.%8.%9."/>
      <w:lvlJc w:val="left"/>
      <w:pPr>
        <w:ind w:firstLine="0"/>
      </w:pPr>
      <w:rPr>
        <w:rFonts w:hint="default"/>
      </w:rPr>
    </w:lvl>
  </w:abstractNum>
  <w:abstractNum w:abstractNumId="52"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abstractNum w:abstractNumId="53" w15:restartNumberingAfterBreak="0">
    <w:nsid w:val="7F0D5F2D"/>
    <w:multiLevelType w:val="hybridMultilevel"/>
    <w:tmpl w:val="2DD224B8"/>
    <w:lvl w:ilvl="0" w:tplc="F198F4B6">
      <w:start w:val="1"/>
      <w:numFmt w:val="bullet"/>
      <w:lvlText w:val="•"/>
      <w:lvlJc w:val="left"/>
      <w:pPr>
        <w:tabs>
          <w:tab w:val="num" w:pos="720"/>
        </w:tabs>
        <w:ind w:left="720" w:hanging="360"/>
      </w:pPr>
      <w:rPr>
        <w:rFonts w:ascii="Times New Roman" w:hAnsi="Times New Roman" w:hint="default"/>
      </w:rPr>
    </w:lvl>
    <w:lvl w:ilvl="1" w:tplc="7980C318" w:tentative="1">
      <w:start w:val="1"/>
      <w:numFmt w:val="bullet"/>
      <w:lvlText w:val="•"/>
      <w:lvlJc w:val="left"/>
      <w:pPr>
        <w:tabs>
          <w:tab w:val="num" w:pos="1440"/>
        </w:tabs>
        <w:ind w:left="1440" w:hanging="360"/>
      </w:pPr>
      <w:rPr>
        <w:rFonts w:ascii="Times New Roman" w:hAnsi="Times New Roman" w:hint="default"/>
      </w:rPr>
    </w:lvl>
    <w:lvl w:ilvl="2" w:tplc="F78EB7FC" w:tentative="1">
      <w:start w:val="1"/>
      <w:numFmt w:val="bullet"/>
      <w:lvlText w:val="•"/>
      <w:lvlJc w:val="left"/>
      <w:pPr>
        <w:tabs>
          <w:tab w:val="num" w:pos="2160"/>
        </w:tabs>
        <w:ind w:left="2160" w:hanging="360"/>
      </w:pPr>
      <w:rPr>
        <w:rFonts w:ascii="Times New Roman" w:hAnsi="Times New Roman" w:hint="default"/>
      </w:rPr>
    </w:lvl>
    <w:lvl w:ilvl="3" w:tplc="C238745E" w:tentative="1">
      <w:start w:val="1"/>
      <w:numFmt w:val="bullet"/>
      <w:lvlText w:val="•"/>
      <w:lvlJc w:val="left"/>
      <w:pPr>
        <w:tabs>
          <w:tab w:val="num" w:pos="2880"/>
        </w:tabs>
        <w:ind w:left="2880" w:hanging="360"/>
      </w:pPr>
      <w:rPr>
        <w:rFonts w:ascii="Times New Roman" w:hAnsi="Times New Roman" w:hint="default"/>
      </w:rPr>
    </w:lvl>
    <w:lvl w:ilvl="4" w:tplc="D3C8472A" w:tentative="1">
      <w:start w:val="1"/>
      <w:numFmt w:val="bullet"/>
      <w:lvlText w:val="•"/>
      <w:lvlJc w:val="left"/>
      <w:pPr>
        <w:tabs>
          <w:tab w:val="num" w:pos="3600"/>
        </w:tabs>
        <w:ind w:left="3600" w:hanging="360"/>
      </w:pPr>
      <w:rPr>
        <w:rFonts w:ascii="Times New Roman" w:hAnsi="Times New Roman" w:hint="default"/>
      </w:rPr>
    </w:lvl>
    <w:lvl w:ilvl="5" w:tplc="8FF8ACDC" w:tentative="1">
      <w:start w:val="1"/>
      <w:numFmt w:val="bullet"/>
      <w:lvlText w:val="•"/>
      <w:lvlJc w:val="left"/>
      <w:pPr>
        <w:tabs>
          <w:tab w:val="num" w:pos="4320"/>
        </w:tabs>
        <w:ind w:left="4320" w:hanging="360"/>
      </w:pPr>
      <w:rPr>
        <w:rFonts w:ascii="Times New Roman" w:hAnsi="Times New Roman" w:hint="default"/>
      </w:rPr>
    </w:lvl>
    <w:lvl w:ilvl="6" w:tplc="2368D048" w:tentative="1">
      <w:start w:val="1"/>
      <w:numFmt w:val="bullet"/>
      <w:lvlText w:val="•"/>
      <w:lvlJc w:val="left"/>
      <w:pPr>
        <w:tabs>
          <w:tab w:val="num" w:pos="5040"/>
        </w:tabs>
        <w:ind w:left="5040" w:hanging="360"/>
      </w:pPr>
      <w:rPr>
        <w:rFonts w:ascii="Times New Roman" w:hAnsi="Times New Roman" w:hint="default"/>
      </w:rPr>
    </w:lvl>
    <w:lvl w:ilvl="7" w:tplc="09A8D3F4" w:tentative="1">
      <w:start w:val="1"/>
      <w:numFmt w:val="bullet"/>
      <w:lvlText w:val="•"/>
      <w:lvlJc w:val="left"/>
      <w:pPr>
        <w:tabs>
          <w:tab w:val="num" w:pos="5760"/>
        </w:tabs>
        <w:ind w:left="5760" w:hanging="360"/>
      </w:pPr>
      <w:rPr>
        <w:rFonts w:ascii="Times New Roman" w:hAnsi="Times New Roman" w:hint="default"/>
      </w:rPr>
    </w:lvl>
    <w:lvl w:ilvl="8" w:tplc="EB3ABDA2" w:tentative="1">
      <w:start w:val="1"/>
      <w:numFmt w:val="bullet"/>
      <w:lvlText w:val="•"/>
      <w:lvlJc w:val="left"/>
      <w:pPr>
        <w:tabs>
          <w:tab w:val="num" w:pos="6480"/>
        </w:tabs>
        <w:ind w:left="6480" w:hanging="360"/>
      </w:pPr>
      <w:rPr>
        <w:rFonts w:ascii="Times New Roman" w:hAnsi="Times New Roman" w:hint="default"/>
      </w:rPr>
    </w:lvl>
  </w:abstractNum>
  <w:num w:numId="1">
    <w:abstractNumId w:val="12"/>
  </w:num>
  <w:num w:numId="2">
    <w:abstractNumId w:val="6"/>
  </w:num>
  <w:num w:numId="3">
    <w:abstractNumId w:val="2"/>
  </w:num>
  <w:num w:numId="4">
    <w:abstractNumId w:val="52"/>
  </w:num>
  <w:num w:numId="5">
    <w:abstractNumId w:val="17"/>
  </w:num>
  <w:num w:numId="6">
    <w:abstractNumId w:val="16"/>
  </w:num>
  <w:num w:numId="7">
    <w:abstractNumId w:val="5"/>
  </w:num>
  <w:num w:numId="8">
    <w:abstractNumId w:val="33"/>
  </w:num>
  <w:num w:numId="9">
    <w:abstractNumId w:val="30"/>
  </w:num>
  <w:num w:numId="10">
    <w:abstractNumId w:val="32"/>
  </w:num>
  <w:num w:numId="11">
    <w:abstractNumId w:val="4"/>
  </w:num>
  <w:num w:numId="12">
    <w:abstractNumId w:val="31"/>
  </w:num>
  <w:num w:numId="13">
    <w:abstractNumId w:val="51"/>
  </w:num>
  <w:num w:numId="14">
    <w:abstractNumId w:val="0"/>
  </w:num>
  <w:num w:numId="15">
    <w:abstractNumId w:val="31"/>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6">
    <w:abstractNumId w:val="43"/>
  </w:num>
  <w:num w:numId="17">
    <w:abstractNumId w:val="22"/>
  </w:num>
  <w:num w:numId="18">
    <w:abstractNumId w:val="32"/>
  </w:num>
  <w:num w:numId="19">
    <w:abstractNumId w:val="20"/>
  </w:num>
  <w:num w:numId="20">
    <w:abstractNumId w:val="41"/>
  </w:num>
  <w:num w:numId="21">
    <w:abstractNumId w:val="26"/>
  </w:num>
  <w:num w:numId="22">
    <w:abstractNumId w:val="40"/>
  </w:num>
  <w:num w:numId="23">
    <w:abstractNumId w:val="25"/>
  </w:num>
  <w:num w:numId="24">
    <w:abstractNumId w:val="32"/>
  </w:num>
  <w:num w:numId="25">
    <w:abstractNumId w:val="8"/>
  </w:num>
  <w:num w:numId="26">
    <w:abstractNumId w:val="18"/>
  </w:num>
  <w:num w:numId="27">
    <w:abstractNumId w:val="9"/>
  </w:num>
  <w:num w:numId="28">
    <w:abstractNumId w:val="27"/>
  </w:num>
  <w:num w:numId="29">
    <w:abstractNumId w:val="3"/>
  </w:num>
  <w:num w:numId="30">
    <w:abstractNumId w:val="51"/>
  </w:num>
  <w:num w:numId="31">
    <w:abstractNumId w:val="51"/>
  </w:num>
  <w:num w:numId="32">
    <w:abstractNumId w:val="51"/>
  </w:num>
  <w:num w:numId="33">
    <w:abstractNumId w:val="1"/>
  </w:num>
  <w:num w:numId="34">
    <w:abstractNumId w:val="50"/>
  </w:num>
  <w:num w:numId="35">
    <w:abstractNumId w:val="44"/>
  </w:num>
  <w:num w:numId="36">
    <w:abstractNumId w:val="46"/>
  </w:num>
  <w:num w:numId="37">
    <w:abstractNumId w:val="21"/>
  </w:num>
  <w:num w:numId="38">
    <w:abstractNumId w:val="7"/>
  </w:num>
  <w:num w:numId="39">
    <w:abstractNumId w:val="13"/>
  </w:num>
  <w:num w:numId="40">
    <w:abstractNumId w:val="48"/>
  </w:num>
  <w:num w:numId="41">
    <w:abstractNumId w:val="53"/>
  </w:num>
  <w:num w:numId="42">
    <w:abstractNumId w:val="19"/>
  </w:num>
  <w:num w:numId="43">
    <w:abstractNumId w:val="11"/>
  </w:num>
  <w:num w:numId="44">
    <w:abstractNumId w:val="45"/>
  </w:num>
  <w:num w:numId="45">
    <w:abstractNumId w:val="47"/>
  </w:num>
  <w:num w:numId="46">
    <w:abstractNumId w:val="38"/>
  </w:num>
  <w:num w:numId="47">
    <w:abstractNumId w:val="37"/>
  </w:num>
  <w:num w:numId="48">
    <w:abstractNumId w:val="34"/>
  </w:num>
  <w:num w:numId="49">
    <w:abstractNumId w:val="14"/>
  </w:num>
  <w:num w:numId="50">
    <w:abstractNumId w:val="10"/>
  </w:num>
  <w:num w:numId="51">
    <w:abstractNumId w:val="51"/>
  </w:num>
  <w:num w:numId="52">
    <w:abstractNumId w:val="29"/>
  </w:num>
  <w:num w:numId="53">
    <w:abstractNumId w:val="28"/>
  </w:num>
  <w:num w:numId="54">
    <w:abstractNumId w:val="24"/>
  </w:num>
  <w:num w:numId="55">
    <w:abstractNumId w:val="49"/>
  </w:num>
  <w:num w:numId="56">
    <w:abstractNumId w:val="15"/>
  </w:num>
  <w:num w:numId="57">
    <w:abstractNumId w:val="36"/>
  </w:num>
  <w:num w:numId="58">
    <w:abstractNumId w:val="23"/>
  </w:num>
  <w:num w:numId="59">
    <w:abstractNumId w:val="51"/>
  </w:num>
  <w:num w:numId="6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39"/>
  </w:num>
  <w:num w:numId="62">
    <w:abstractNumId w:val="35"/>
  </w:num>
  <w:num w:numId="63">
    <w:abstractNumId w:val="51"/>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 w:id="1"/>
  </w:footnotePr>
  <w:endnotePr>
    <w:numFmt w:val="lowerLette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DFFC863D-F209-4B6B-97A7-7345F1918C1A"/>
    <w:docVar w:name="LW_COVERPAGE_TYPE" w:val="1"/>
    <w:docVar w:name="LW_CROSSREFERENCE" w:val="&lt;UNUSED&gt;"/>
    <w:docVar w:name="LW_DocType" w:val="5C76697F12724B489A9F102A1A011785"/>
    <w:docVar w:name="LW_EMISSION" w:val="29.1.2026"/>
    <w:docVar w:name="LW_EMISSION_ISODATE" w:val="2026-01-29"/>
    <w:docVar w:name="LW_EMISSION_LOCATION" w:val="BRX"/>
    <w:docVar w:name="LW_EMISSION_PREFIX" w:val="Bruxelles, "/>
    <w:docVar w:name="LW_EMISSION_SUFFIX" w:val=" "/>
    <w:docVar w:name="LW_ID_DOCTYPE_NONLW" w:val="CP-012"/>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4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trategia european\u259? de gestionare a azilului \u537?i a migra\u539?iei"/>
    <w:docVar w:name="LW_TYPE.DOC.CP" w:val="COMUNICARE A COMISIEI C\u258?TRE PARLAMENTUL EUROPEAN \u536?I CONSILIU"/>
    <w:docVar w:name="LW_TYPE.DOC.CP.USERTEXT" w:val="&lt;EMPTY&gt;"/>
    <w:docVar w:name="LwApiVersions" w:val="LW4CoDe 1.24.5.0; LW 9.2, Build 20251112"/>
  </w:docVars>
  <w:rsids>
    <w:rsidRoot w:val="00506262"/>
    <w:rsid w:val="00000081"/>
    <w:rsid w:val="0000012B"/>
    <w:rsid w:val="000001CC"/>
    <w:rsid w:val="0000067B"/>
    <w:rsid w:val="00000760"/>
    <w:rsid w:val="0000082E"/>
    <w:rsid w:val="000008D4"/>
    <w:rsid w:val="00000942"/>
    <w:rsid w:val="00000B7A"/>
    <w:rsid w:val="00000BBE"/>
    <w:rsid w:val="00000C93"/>
    <w:rsid w:val="00000D54"/>
    <w:rsid w:val="00000F33"/>
    <w:rsid w:val="00001059"/>
    <w:rsid w:val="00001086"/>
    <w:rsid w:val="00001303"/>
    <w:rsid w:val="00001452"/>
    <w:rsid w:val="00001570"/>
    <w:rsid w:val="000018B2"/>
    <w:rsid w:val="00001AB7"/>
    <w:rsid w:val="00001AE8"/>
    <w:rsid w:val="00001C36"/>
    <w:rsid w:val="00001CDA"/>
    <w:rsid w:val="00001DA9"/>
    <w:rsid w:val="00001E83"/>
    <w:rsid w:val="00002076"/>
    <w:rsid w:val="000020A0"/>
    <w:rsid w:val="00002381"/>
    <w:rsid w:val="000024FE"/>
    <w:rsid w:val="00002593"/>
    <w:rsid w:val="00002919"/>
    <w:rsid w:val="0000296C"/>
    <w:rsid w:val="00002A4A"/>
    <w:rsid w:val="00002B6D"/>
    <w:rsid w:val="00002D34"/>
    <w:rsid w:val="00002EB4"/>
    <w:rsid w:val="00002FAC"/>
    <w:rsid w:val="00002FB4"/>
    <w:rsid w:val="00003265"/>
    <w:rsid w:val="000032B0"/>
    <w:rsid w:val="000033E8"/>
    <w:rsid w:val="00003434"/>
    <w:rsid w:val="00003463"/>
    <w:rsid w:val="00003495"/>
    <w:rsid w:val="00003534"/>
    <w:rsid w:val="00003590"/>
    <w:rsid w:val="000036D9"/>
    <w:rsid w:val="0000379A"/>
    <w:rsid w:val="000037F1"/>
    <w:rsid w:val="00003983"/>
    <w:rsid w:val="00003A12"/>
    <w:rsid w:val="00003A3B"/>
    <w:rsid w:val="00003A5F"/>
    <w:rsid w:val="00003BC9"/>
    <w:rsid w:val="00003C50"/>
    <w:rsid w:val="00003FE1"/>
    <w:rsid w:val="00004026"/>
    <w:rsid w:val="00004147"/>
    <w:rsid w:val="00004230"/>
    <w:rsid w:val="000043D0"/>
    <w:rsid w:val="0000450E"/>
    <w:rsid w:val="0000456D"/>
    <w:rsid w:val="000048AE"/>
    <w:rsid w:val="00004A4A"/>
    <w:rsid w:val="00004B8C"/>
    <w:rsid w:val="00004CE6"/>
    <w:rsid w:val="00004D3F"/>
    <w:rsid w:val="00004E8E"/>
    <w:rsid w:val="000051A0"/>
    <w:rsid w:val="000053DC"/>
    <w:rsid w:val="000054F2"/>
    <w:rsid w:val="0000564B"/>
    <w:rsid w:val="000056AF"/>
    <w:rsid w:val="000056C3"/>
    <w:rsid w:val="000057FE"/>
    <w:rsid w:val="00005A23"/>
    <w:rsid w:val="00005A99"/>
    <w:rsid w:val="00005B4D"/>
    <w:rsid w:val="00005E00"/>
    <w:rsid w:val="00005E16"/>
    <w:rsid w:val="00005EFF"/>
    <w:rsid w:val="00005F09"/>
    <w:rsid w:val="00006087"/>
    <w:rsid w:val="000061E9"/>
    <w:rsid w:val="000062AE"/>
    <w:rsid w:val="00006378"/>
    <w:rsid w:val="000063A1"/>
    <w:rsid w:val="0000642A"/>
    <w:rsid w:val="00006717"/>
    <w:rsid w:val="00006919"/>
    <w:rsid w:val="00006AC6"/>
    <w:rsid w:val="00006ADC"/>
    <w:rsid w:val="00006BF6"/>
    <w:rsid w:val="00006E56"/>
    <w:rsid w:val="000070C0"/>
    <w:rsid w:val="0000724D"/>
    <w:rsid w:val="000072EA"/>
    <w:rsid w:val="00007332"/>
    <w:rsid w:val="00007334"/>
    <w:rsid w:val="0000736D"/>
    <w:rsid w:val="0000768F"/>
    <w:rsid w:val="0000778C"/>
    <w:rsid w:val="00007908"/>
    <w:rsid w:val="000079F3"/>
    <w:rsid w:val="00007D8E"/>
    <w:rsid w:val="00007F14"/>
    <w:rsid w:val="00010152"/>
    <w:rsid w:val="0001023D"/>
    <w:rsid w:val="000109CB"/>
    <w:rsid w:val="000109DE"/>
    <w:rsid w:val="00010BE9"/>
    <w:rsid w:val="00010C69"/>
    <w:rsid w:val="00010D12"/>
    <w:rsid w:val="00010DB5"/>
    <w:rsid w:val="00010E09"/>
    <w:rsid w:val="00010FAD"/>
    <w:rsid w:val="00010FDF"/>
    <w:rsid w:val="0001105B"/>
    <w:rsid w:val="00011107"/>
    <w:rsid w:val="00011109"/>
    <w:rsid w:val="00011123"/>
    <w:rsid w:val="00011438"/>
    <w:rsid w:val="000114AA"/>
    <w:rsid w:val="000114E3"/>
    <w:rsid w:val="00011574"/>
    <w:rsid w:val="00011737"/>
    <w:rsid w:val="000117B0"/>
    <w:rsid w:val="000119BB"/>
    <w:rsid w:val="00011C14"/>
    <w:rsid w:val="00011D24"/>
    <w:rsid w:val="000120E0"/>
    <w:rsid w:val="0001215F"/>
    <w:rsid w:val="000123B8"/>
    <w:rsid w:val="0001252C"/>
    <w:rsid w:val="00012736"/>
    <w:rsid w:val="00012E67"/>
    <w:rsid w:val="00012FD0"/>
    <w:rsid w:val="000130D0"/>
    <w:rsid w:val="000132E6"/>
    <w:rsid w:val="00013460"/>
    <w:rsid w:val="000135CD"/>
    <w:rsid w:val="0001362A"/>
    <w:rsid w:val="00013655"/>
    <w:rsid w:val="0001379D"/>
    <w:rsid w:val="000137C2"/>
    <w:rsid w:val="00013ABC"/>
    <w:rsid w:val="00013B9D"/>
    <w:rsid w:val="00013D35"/>
    <w:rsid w:val="00013FD3"/>
    <w:rsid w:val="000140C8"/>
    <w:rsid w:val="0001413A"/>
    <w:rsid w:val="000142C0"/>
    <w:rsid w:val="000143FC"/>
    <w:rsid w:val="0001466B"/>
    <w:rsid w:val="000146B4"/>
    <w:rsid w:val="000146E5"/>
    <w:rsid w:val="000146EF"/>
    <w:rsid w:val="00014CE6"/>
    <w:rsid w:val="00014D18"/>
    <w:rsid w:val="00014D3C"/>
    <w:rsid w:val="00014D81"/>
    <w:rsid w:val="00015217"/>
    <w:rsid w:val="00015337"/>
    <w:rsid w:val="00015467"/>
    <w:rsid w:val="00015872"/>
    <w:rsid w:val="00015989"/>
    <w:rsid w:val="0001598A"/>
    <w:rsid w:val="000159FD"/>
    <w:rsid w:val="00015AD3"/>
    <w:rsid w:val="00015ADD"/>
    <w:rsid w:val="00015BAD"/>
    <w:rsid w:val="00015C09"/>
    <w:rsid w:val="00015CC9"/>
    <w:rsid w:val="00015D8F"/>
    <w:rsid w:val="00015D9E"/>
    <w:rsid w:val="00015E92"/>
    <w:rsid w:val="00015FAF"/>
    <w:rsid w:val="0001604B"/>
    <w:rsid w:val="0001605D"/>
    <w:rsid w:val="000161FB"/>
    <w:rsid w:val="00016426"/>
    <w:rsid w:val="0001666F"/>
    <w:rsid w:val="000166B5"/>
    <w:rsid w:val="000167EB"/>
    <w:rsid w:val="00016977"/>
    <w:rsid w:val="00016A88"/>
    <w:rsid w:val="00016AA1"/>
    <w:rsid w:val="00016BDA"/>
    <w:rsid w:val="00016E32"/>
    <w:rsid w:val="00016E42"/>
    <w:rsid w:val="00016FC9"/>
    <w:rsid w:val="00017164"/>
    <w:rsid w:val="00017338"/>
    <w:rsid w:val="000177A5"/>
    <w:rsid w:val="00017926"/>
    <w:rsid w:val="00017B03"/>
    <w:rsid w:val="00017BA6"/>
    <w:rsid w:val="00017C58"/>
    <w:rsid w:val="00017C6C"/>
    <w:rsid w:val="00017DBB"/>
    <w:rsid w:val="00017F7F"/>
    <w:rsid w:val="00017FB5"/>
    <w:rsid w:val="00017FC9"/>
    <w:rsid w:val="00020078"/>
    <w:rsid w:val="000201B6"/>
    <w:rsid w:val="00020246"/>
    <w:rsid w:val="000203BE"/>
    <w:rsid w:val="0002058A"/>
    <w:rsid w:val="00020640"/>
    <w:rsid w:val="00020C46"/>
    <w:rsid w:val="00020E2E"/>
    <w:rsid w:val="0002128E"/>
    <w:rsid w:val="000212D8"/>
    <w:rsid w:val="000213C2"/>
    <w:rsid w:val="00021432"/>
    <w:rsid w:val="00021600"/>
    <w:rsid w:val="00021683"/>
    <w:rsid w:val="00021817"/>
    <w:rsid w:val="000218A5"/>
    <w:rsid w:val="00021910"/>
    <w:rsid w:val="00021A1B"/>
    <w:rsid w:val="00021BE1"/>
    <w:rsid w:val="00021BF5"/>
    <w:rsid w:val="00021E0C"/>
    <w:rsid w:val="00022165"/>
    <w:rsid w:val="00022208"/>
    <w:rsid w:val="00022380"/>
    <w:rsid w:val="00022464"/>
    <w:rsid w:val="00022731"/>
    <w:rsid w:val="00022B21"/>
    <w:rsid w:val="00022B3A"/>
    <w:rsid w:val="00022C00"/>
    <w:rsid w:val="00022F5D"/>
    <w:rsid w:val="000230B9"/>
    <w:rsid w:val="000232C8"/>
    <w:rsid w:val="0002341B"/>
    <w:rsid w:val="000234D1"/>
    <w:rsid w:val="00023533"/>
    <w:rsid w:val="00023762"/>
    <w:rsid w:val="00023767"/>
    <w:rsid w:val="00023792"/>
    <w:rsid w:val="000237DB"/>
    <w:rsid w:val="00023975"/>
    <w:rsid w:val="00023C3A"/>
    <w:rsid w:val="00023C3E"/>
    <w:rsid w:val="00023F10"/>
    <w:rsid w:val="00023F96"/>
    <w:rsid w:val="000243AA"/>
    <w:rsid w:val="000243C5"/>
    <w:rsid w:val="00024739"/>
    <w:rsid w:val="0002476F"/>
    <w:rsid w:val="00024AAB"/>
    <w:rsid w:val="00024AD7"/>
    <w:rsid w:val="00024C5D"/>
    <w:rsid w:val="00024D7D"/>
    <w:rsid w:val="00024E49"/>
    <w:rsid w:val="0002506C"/>
    <w:rsid w:val="000251E6"/>
    <w:rsid w:val="000253F1"/>
    <w:rsid w:val="0002569A"/>
    <w:rsid w:val="0002582A"/>
    <w:rsid w:val="000258C3"/>
    <w:rsid w:val="000259E3"/>
    <w:rsid w:val="000259F3"/>
    <w:rsid w:val="00025B7E"/>
    <w:rsid w:val="00025CC3"/>
    <w:rsid w:val="00025EEA"/>
    <w:rsid w:val="00026020"/>
    <w:rsid w:val="0002602C"/>
    <w:rsid w:val="00026318"/>
    <w:rsid w:val="000263CA"/>
    <w:rsid w:val="00026421"/>
    <w:rsid w:val="00026A82"/>
    <w:rsid w:val="00026B30"/>
    <w:rsid w:val="00026BB5"/>
    <w:rsid w:val="00026BD0"/>
    <w:rsid w:val="00026F2D"/>
    <w:rsid w:val="000271B4"/>
    <w:rsid w:val="00027250"/>
    <w:rsid w:val="000273EC"/>
    <w:rsid w:val="000279A2"/>
    <w:rsid w:val="00027A68"/>
    <w:rsid w:val="00027B9A"/>
    <w:rsid w:val="00027F01"/>
    <w:rsid w:val="0002BDC0"/>
    <w:rsid w:val="000301A8"/>
    <w:rsid w:val="000301DB"/>
    <w:rsid w:val="0003032F"/>
    <w:rsid w:val="0003038A"/>
    <w:rsid w:val="00030399"/>
    <w:rsid w:val="000305D1"/>
    <w:rsid w:val="0003098B"/>
    <w:rsid w:val="00030B69"/>
    <w:rsid w:val="00030CF8"/>
    <w:rsid w:val="00030DE8"/>
    <w:rsid w:val="00030F0B"/>
    <w:rsid w:val="00030F3D"/>
    <w:rsid w:val="00030F45"/>
    <w:rsid w:val="0003101F"/>
    <w:rsid w:val="00031023"/>
    <w:rsid w:val="00031292"/>
    <w:rsid w:val="0003133D"/>
    <w:rsid w:val="000313B2"/>
    <w:rsid w:val="0003147D"/>
    <w:rsid w:val="000314A0"/>
    <w:rsid w:val="000316B2"/>
    <w:rsid w:val="00031985"/>
    <w:rsid w:val="00031B1A"/>
    <w:rsid w:val="00031BE8"/>
    <w:rsid w:val="00031D85"/>
    <w:rsid w:val="0003204F"/>
    <w:rsid w:val="00032364"/>
    <w:rsid w:val="00032710"/>
    <w:rsid w:val="00032733"/>
    <w:rsid w:val="00032984"/>
    <w:rsid w:val="00032A60"/>
    <w:rsid w:val="00032B28"/>
    <w:rsid w:val="00032D7E"/>
    <w:rsid w:val="00032E16"/>
    <w:rsid w:val="00033033"/>
    <w:rsid w:val="00033248"/>
    <w:rsid w:val="00033321"/>
    <w:rsid w:val="000337CC"/>
    <w:rsid w:val="0003392E"/>
    <w:rsid w:val="000339C7"/>
    <w:rsid w:val="00033AB9"/>
    <w:rsid w:val="00033C97"/>
    <w:rsid w:val="00033D5B"/>
    <w:rsid w:val="00033DDA"/>
    <w:rsid w:val="00033FBE"/>
    <w:rsid w:val="000341F1"/>
    <w:rsid w:val="0003441E"/>
    <w:rsid w:val="0003444B"/>
    <w:rsid w:val="0003459E"/>
    <w:rsid w:val="000347D0"/>
    <w:rsid w:val="00034877"/>
    <w:rsid w:val="00034987"/>
    <w:rsid w:val="00034A03"/>
    <w:rsid w:val="00034A35"/>
    <w:rsid w:val="00034D3E"/>
    <w:rsid w:val="00034DB2"/>
    <w:rsid w:val="00035307"/>
    <w:rsid w:val="000355A7"/>
    <w:rsid w:val="000357A4"/>
    <w:rsid w:val="000358A9"/>
    <w:rsid w:val="00035AF5"/>
    <w:rsid w:val="00035DC5"/>
    <w:rsid w:val="00035E6E"/>
    <w:rsid w:val="00035EB2"/>
    <w:rsid w:val="00035F98"/>
    <w:rsid w:val="00036023"/>
    <w:rsid w:val="000361AB"/>
    <w:rsid w:val="00036261"/>
    <w:rsid w:val="00036278"/>
    <w:rsid w:val="00036291"/>
    <w:rsid w:val="00036438"/>
    <w:rsid w:val="00036455"/>
    <w:rsid w:val="000364BF"/>
    <w:rsid w:val="0003658B"/>
    <w:rsid w:val="000365E3"/>
    <w:rsid w:val="000365EA"/>
    <w:rsid w:val="00036720"/>
    <w:rsid w:val="00036966"/>
    <w:rsid w:val="00036A45"/>
    <w:rsid w:val="00036A9D"/>
    <w:rsid w:val="00036AE3"/>
    <w:rsid w:val="00036B5C"/>
    <w:rsid w:val="00036C16"/>
    <w:rsid w:val="00036C22"/>
    <w:rsid w:val="00036C29"/>
    <w:rsid w:val="00036C7E"/>
    <w:rsid w:val="00036E39"/>
    <w:rsid w:val="00036E56"/>
    <w:rsid w:val="00036FF5"/>
    <w:rsid w:val="000371B0"/>
    <w:rsid w:val="000371DA"/>
    <w:rsid w:val="000372CE"/>
    <w:rsid w:val="0003735D"/>
    <w:rsid w:val="000374B0"/>
    <w:rsid w:val="000377BC"/>
    <w:rsid w:val="00037894"/>
    <w:rsid w:val="00037981"/>
    <w:rsid w:val="00037CC8"/>
    <w:rsid w:val="00037DBD"/>
    <w:rsid w:val="00037DCC"/>
    <w:rsid w:val="00037E0C"/>
    <w:rsid w:val="00037E95"/>
    <w:rsid w:val="00037EBB"/>
    <w:rsid w:val="00037F97"/>
    <w:rsid w:val="00037FCD"/>
    <w:rsid w:val="0004010C"/>
    <w:rsid w:val="0004013E"/>
    <w:rsid w:val="000402C9"/>
    <w:rsid w:val="00040344"/>
    <w:rsid w:val="000403FC"/>
    <w:rsid w:val="00040477"/>
    <w:rsid w:val="00040565"/>
    <w:rsid w:val="00040621"/>
    <w:rsid w:val="0004064E"/>
    <w:rsid w:val="000408AB"/>
    <w:rsid w:val="000408BE"/>
    <w:rsid w:val="00040970"/>
    <w:rsid w:val="00040BD1"/>
    <w:rsid w:val="00040CC1"/>
    <w:rsid w:val="00040F0D"/>
    <w:rsid w:val="00040F37"/>
    <w:rsid w:val="00040FF9"/>
    <w:rsid w:val="00041349"/>
    <w:rsid w:val="000414A9"/>
    <w:rsid w:val="0004170E"/>
    <w:rsid w:val="0004185E"/>
    <w:rsid w:val="00041926"/>
    <w:rsid w:val="00041C01"/>
    <w:rsid w:val="00041C11"/>
    <w:rsid w:val="00041CAD"/>
    <w:rsid w:val="00041D7D"/>
    <w:rsid w:val="00041DA3"/>
    <w:rsid w:val="00041E5A"/>
    <w:rsid w:val="00041F7B"/>
    <w:rsid w:val="000421DD"/>
    <w:rsid w:val="000425AC"/>
    <w:rsid w:val="00042612"/>
    <w:rsid w:val="000426F8"/>
    <w:rsid w:val="00042735"/>
    <w:rsid w:val="00042A4F"/>
    <w:rsid w:val="00042B71"/>
    <w:rsid w:val="00042C74"/>
    <w:rsid w:val="00042D85"/>
    <w:rsid w:val="00042E20"/>
    <w:rsid w:val="00043039"/>
    <w:rsid w:val="000430D6"/>
    <w:rsid w:val="00043130"/>
    <w:rsid w:val="000431A0"/>
    <w:rsid w:val="000431A1"/>
    <w:rsid w:val="00043225"/>
    <w:rsid w:val="00043299"/>
    <w:rsid w:val="0004334F"/>
    <w:rsid w:val="00043416"/>
    <w:rsid w:val="00043430"/>
    <w:rsid w:val="000434BF"/>
    <w:rsid w:val="00043588"/>
    <w:rsid w:val="000436B1"/>
    <w:rsid w:val="000439C5"/>
    <w:rsid w:val="00043B4D"/>
    <w:rsid w:val="00043BD4"/>
    <w:rsid w:val="00043D7F"/>
    <w:rsid w:val="00043EA9"/>
    <w:rsid w:val="00044020"/>
    <w:rsid w:val="0004411D"/>
    <w:rsid w:val="0004431A"/>
    <w:rsid w:val="00044914"/>
    <w:rsid w:val="0004495F"/>
    <w:rsid w:val="00044967"/>
    <w:rsid w:val="000449C4"/>
    <w:rsid w:val="00044A13"/>
    <w:rsid w:val="00044AFC"/>
    <w:rsid w:val="00044B1B"/>
    <w:rsid w:val="00044BA5"/>
    <w:rsid w:val="00044C44"/>
    <w:rsid w:val="00044C5F"/>
    <w:rsid w:val="00044D44"/>
    <w:rsid w:val="00044DC7"/>
    <w:rsid w:val="00044E56"/>
    <w:rsid w:val="00044E58"/>
    <w:rsid w:val="000450EF"/>
    <w:rsid w:val="00045269"/>
    <w:rsid w:val="00045359"/>
    <w:rsid w:val="000453DB"/>
    <w:rsid w:val="000454D9"/>
    <w:rsid w:val="00045629"/>
    <w:rsid w:val="00045678"/>
    <w:rsid w:val="00045865"/>
    <w:rsid w:val="00045968"/>
    <w:rsid w:val="00045A89"/>
    <w:rsid w:val="00045BF6"/>
    <w:rsid w:val="00045CAF"/>
    <w:rsid w:val="00045CEF"/>
    <w:rsid w:val="0004612F"/>
    <w:rsid w:val="00046215"/>
    <w:rsid w:val="00046499"/>
    <w:rsid w:val="000465EA"/>
    <w:rsid w:val="00046919"/>
    <w:rsid w:val="000469A0"/>
    <w:rsid w:val="00046F93"/>
    <w:rsid w:val="000470C8"/>
    <w:rsid w:val="00047117"/>
    <w:rsid w:val="00047131"/>
    <w:rsid w:val="00047258"/>
    <w:rsid w:val="0004743D"/>
    <w:rsid w:val="000474E7"/>
    <w:rsid w:val="0004774B"/>
    <w:rsid w:val="000477F0"/>
    <w:rsid w:val="000477F5"/>
    <w:rsid w:val="00047894"/>
    <w:rsid w:val="000478F3"/>
    <w:rsid w:val="00047929"/>
    <w:rsid w:val="000479D6"/>
    <w:rsid w:val="00047BDE"/>
    <w:rsid w:val="00047D14"/>
    <w:rsid w:val="00047D27"/>
    <w:rsid w:val="00047E06"/>
    <w:rsid w:val="00047E44"/>
    <w:rsid w:val="00047E4D"/>
    <w:rsid w:val="000502C2"/>
    <w:rsid w:val="000502DA"/>
    <w:rsid w:val="00050386"/>
    <w:rsid w:val="000504CB"/>
    <w:rsid w:val="00050641"/>
    <w:rsid w:val="0005083A"/>
    <w:rsid w:val="00050C5F"/>
    <w:rsid w:val="00050C80"/>
    <w:rsid w:val="00050D7A"/>
    <w:rsid w:val="00050F9A"/>
    <w:rsid w:val="000512C9"/>
    <w:rsid w:val="000512E1"/>
    <w:rsid w:val="00051349"/>
    <w:rsid w:val="0005157D"/>
    <w:rsid w:val="000515E2"/>
    <w:rsid w:val="000517F7"/>
    <w:rsid w:val="00051A2E"/>
    <w:rsid w:val="00051BEB"/>
    <w:rsid w:val="00051CE1"/>
    <w:rsid w:val="00051ED3"/>
    <w:rsid w:val="00051EF4"/>
    <w:rsid w:val="00051FA5"/>
    <w:rsid w:val="000520DE"/>
    <w:rsid w:val="0005210F"/>
    <w:rsid w:val="0005217C"/>
    <w:rsid w:val="000522FE"/>
    <w:rsid w:val="00052645"/>
    <w:rsid w:val="0005269C"/>
    <w:rsid w:val="000527E8"/>
    <w:rsid w:val="0005284A"/>
    <w:rsid w:val="000528EE"/>
    <w:rsid w:val="00052E2A"/>
    <w:rsid w:val="000530B3"/>
    <w:rsid w:val="000530D9"/>
    <w:rsid w:val="0005339A"/>
    <w:rsid w:val="00053595"/>
    <w:rsid w:val="000536ED"/>
    <w:rsid w:val="00053ABE"/>
    <w:rsid w:val="00053B6C"/>
    <w:rsid w:val="00053C7A"/>
    <w:rsid w:val="00053D06"/>
    <w:rsid w:val="00053D4A"/>
    <w:rsid w:val="00053DA5"/>
    <w:rsid w:val="00054043"/>
    <w:rsid w:val="000543B8"/>
    <w:rsid w:val="00054525"/>
    <w:rsid w:val="00054546"/>
    <w:rsid w:val="000548D3"/>
    <w:rsid w:val="000549E8"/>
    <w:rsid w:val="00054CE3"/>
    <w:rsid w:val="00054D4A"/>
    <w:rsid w:val="00054DD7"/>
    <w:rsid w:val="00054F7F"/>
    <w:rsid w:val="000552BA"/>
    <w:rsid w:val="000552C3"/>
    <w:rsid w:val="00055421"/>
    <w:rsid w:val="000554F5"/>
    <w:rsid w:val="00055562"/>
    <w:rsid w:val="000556B1"/>
    <w:rsid w:val="00055A27"/>
    <w:rsid w:val="00055B4D"/>
    <w:rsid w:val="00056248"/>
    <w:rsid w:val="000562C5"/>
    <w:rsid w:val="00056624"/>
    <w:rsid w:val="000568E0"/>
    <w:rsid w:val="00056C04"/>
    <w:rsid w:val="00056E45"/>
    <w:rsid w:val="0005722F"/>
    <w:rsid w:val="0005731E"/>
    <w:rsid w:val="000575BB"/>
    <w:rsid w:val="000577C9"/>
    <w:rsid w:val="00057905"/>
    <w:rsid w:val="00057B8F"/>
    <w:rsid w:val="00057D6A"/>
    <w:rsid w:val="00057E13"/>
    <w:rsid w:val="00057F3F"/>
    <w:rsid w:val="00057FBC"/>
    <w:rsid w:val="0006025A"/>
    <w:rsid w:val="0006027B"/>
    <w:rsid w:val="000602F9"/>
    <w:rsid w:val="000602FC"/>
    <w:rsid w:val="00060505"/>
    <w:rsid w:val="00060545"/>
    <w:rsid w:val="00060610"/>
    <w:rsid w:val="00060710"/>
    <w:rsid w:val="0006089E"/>
    <w:rsid w:val="0006098B"/>
    <w:rsid w:val="00060A4A"/>
    <w:rsid w:val="00060BDC"/>
    <w:rsid w:val="00060E0B"/>
    <w:rsid w:val="0006102B"/>
    <w:rsid w:val="000610AB"/>
    <w:rsid w:val="000610F3"/>
    <w:rsid w:val="0006117D"/>
    <w:rsid w:val="00061193"/>
    <w:rsid w:val="000611B9"/>
    <w:rsid w:val="0006123A"/>
    <w:rsid w:val="0006130E"/>
    <w:rsid w:val="00061379"/>
    <w:rsid w:val="000614B8"/>
    <w:rsid w:val="0006155A"/>
    <w:rsid w:val="0006184F"/>
    <w:rsid w:val="00061AC2"/>
    <w:rsid w:val="00061AF9"/>
    <w:rsid w:val="00061BC2"/>
    <w:rsid w:val="00061BD2"/>
    <w:rsid w:val="00061BF3"/>
    <w:rsid w:val="00061C46"/>
    <w:rsid w:val="00061DDA"/>
    <w:rsid w:val="00061F27"/>
    <w:rsid w:val="00061FD9"/>
    <w:rsid w:val="00062351"/>
    <w:rsid w:val="00062398"/>
    <w:rsid w:val="00062528"/>
    <w:rsid w:val="000628DC"/>
    <w:rsid w:val="000628E1"/>
    <w:rsid w:val="00062913"/>
    <w:rsid w:val="000629A9"/>
    <w:rsid w:val="00062AA8"/>
    <w:rsid w:val="00062CB4"/>
    <w:rsid w:val="00062ED1"/>
    <w:rsid w:val="00062F25"/>
    <w:rsid w:val="00062F82"/>
    <w:rsid w:val="00062F84"/>
    <w:rsid w:val="000630FA"/>
    <w:rsid w:val="00063408"/>
    <w:rsid w:val="00063443"/>
    <w:rsid w:val="0006345D"/>
    <w:rsid w:val="00063573"/>
    <w:rsid w:val="000639B9"/>
    <w:rsid w:val="00063E7C"/>
    <w:rsid w:val="0006411B"/>
    <w:rsid w:val="000642BD"/>
    <w:rsid w:val="0006448E"/>
    <w:rsid w:val="000644A4"/>
    <w:rsid w:val="000645DE"/>
    <w:rsid w:val="00064605"/>
    <w:rsid w:val="00064610"/>
    <w:rsid w:val="0006468B"/>
    <w:rsid w:val="00064767"/>
    <w:rsid w:val="0006495C"/>
    <w:rsid w:val="000649DB"/>
    <w:rsid w:val="00064A2D"/>
    <w:rsid w:val="00064DBE"/>
    <w:rsid w:val="00064EA6"/>
    <w:rsid w:val="00064F25"/>
    <w:rsid w:val="00064FB5"/>
    <w:rsid w:val="00064FED"/>
    <w:rsid w:val="0006504C"/>
    <w:rsid w:val="000650E7"/>
    <w:rsid w:val="000651C8"/>
    <w:rsid w:val="0006531F"/>
    <w:rsid w:val="00065326"/>
    <w:rsid w:val="0006532B"/>
    <w:rsid w:val="00065416"/>
    <w:rsid w:val="0006549E"/>
    <w:rsid w:val="00065900"/>
    <w:rsid w:val="00065E2D"/>
    <w:rsid w:val="00065E4E"/>
    <w:rsid w:val="000661A9"/>
    <w:rsid w:val="0006629A"/>
    <w:rsid w:val="00066580"/>
    <w:rsid w:val="00066AFC"/>
    <w:rsid w:val="00066B18"/>
    <w:rsid w:val="00066D2C"/>
    <w:rsid w:val="00066E0B"/>
    <w:rsid w:val="00066EDF"/>
    <w:rsid w:val="00066FE9"/>
    <w:rsid w:val="000670E8"/>
    <w:rsid w:val="00067302"/>
    <w:rsid w:val="0006790D"/>
    <w:rsid w:val="00067A5F"/>
    <w:rsid w:val="00067C21"/>
    <w:rsid w:val="00067D96"/>
    <w:rsid w:val="00067E78"/>
    <w:rsid w:val="00067FF3"/>
    <w:rsid w:val="000700AB"/>
    <w:rsid w:val="000700D8"/>
    <w:rsid w:val="00070162"/>
    <w:rsid w:val="00070180"/>
    <w:rsid w:val="000703E0"/>
    <w:rsid w:val="000705AA"/>
    <w:rsid w:val="00070936"/>
    <w:rsid w:val="00070964"/>
    <w:rsid w:val="00070A8A"/>
    <w:rsid w:val="00070BCC"/>
    <w:rsid w:val="00070D4B"/>
    <w:rsid w:val="00070DC3"/>
    <w:rsid w:val="00071114"/>
    <w:rsid w:val="00071193"/>
    <w:rsid w:val="0007123F"/>
    <w:rsid w:val="00071314"/>
    <w:rsid w:val="000713FA"/>
    <w:rsid w:val="00071471"/>
    <w:rsid w:val="000715FA"/>
    <w:rsid w:val="000716EC"/>
    <w:rsid w:val="000717B2"/>
    <w:rsid w:val="00071827"/>
    <w:rsid w:val="0007182A"/>
    <w:rsid w:val="00071ACD"/>
    <w:rsid w:val="00071BCD"/>
    <w:rsid w:val="00071C01"/>
    <w:rsid w:val="00071D81"/>
    <w:rsid w:val="00071D90"/>
    <w:rsid w:val="00072094"/>
    <w:rsid w:val="00072293"/>
    <w:rsid w:val="000722ED"/>
    <w:rsid w:val="000723A4"/>
    <w:rsid w:val="000726A8"/>
    <w:rsid w:val="00072760"/>
    <w:rsid w:val="00072813"/>
    <w:rsid w:val="0007296E"/>
    <w:rsid w:val="00072A26"/>
    <w:rsid w:val="00072B46"/>
    <w:rsid w:val="00072B4D"/>
    <w:rsid w:val="00073381"/>
    <w:rsid w:val="00073529"/>
    <w:rsid w:val="0007376A"/>
    <w:rsid w:val="000738FC"/>
    <w:rsid w:val="000739C2"/>
    <w:rsid w:val="00073A03"/>
    <w:rsid w:val="00073A1D"/>
    <w:rsid w:val="00073A65"/>
    <w:rsid w:val="00073F9B"/>
    <w:rsid w:val="00074094"/>
    <w:rsid w:val="00074109"/>
    <w:rsid w:val="0007414B"/>
    <w:rsid w:val="0007416C"/>
    <w:rsid w:val="000743D6"/>
    <w:rsid w:val="00074481"/>
    <w:rsid w:val="00074A40"/>
    <w:rsid w:val="00074CC3"/>
    <w:rsid w:val="00074F17"/>
    <w:rsid w:val="00074FAF"/>
    <w:rsid w:val="0007552C"/>
    <w:rsid w:val="000755E4"/>
    <w:rsid w:val="0007577C"/>
    <w:rsid w:val="0007592B"/>
    <w:rsid w:val="000759B8"/>
    <w:rsid w:val="000759D5"/>
    <w:rsid w:val="00075C02"/>
    <w:rsid w:val="00075D50"/>
    <w:rsid w:val="00075E2A"/>
    <w:rsid w:val="00075E6B"/>
    <w:rsid w:val="0007602B"/>
    <w:rsid w:val="00076252"/>
    <w:rsid w:val="000762F8"/>
    <w:rsid w:val="000764CE"/>
    <w:rsid w:val="00076571"/>
    <w:rsid w:val="0007657E"/>
    <w:rsid w:val="000765F0"/>
    <w:rsid w:val="00076915"/>
    <w:rsid w:val="00076EA0"/>
    <w:rsid w:val="00076EF9"/>
    <w:rsid w:val="00076F26"/>
    <w:rsid w:val="00077440"/>
    <w:rsid w:val="000774E8"/>
    <w:rsid w:val="000779A7"/>
    <w:rsid w:val="00077CE3"/>
    <w:rsid w:val="00077FC7"/>
    <w:rsid w:val="00080063"/>
    <w:rsid w:val="0008021E"/>
    <w:rsid w:val="0008024E"/>
    <w:rsid w:val="000802FE"/>
    <w:rsid w:val="000803C3"/>
    <w:rsid w:val="00080403"/>
    <w:rsid w:val="0008044E"/>
    <w:rsid w:val="0008051B"/>
    <w:rsid w:val="000806EC"/>
    <w:rsid w:val="00080B7C"/>
    <w:rsid w:val="00080D59"/>
    <w:rsid w:val="00080DC9"/>
    <w:rsid w:val="00080EB8"/>
    <w:rsid w:val="000810B2"/>
    <w:rsid w:val="000812AD"/>
    <w:rsid w:val="000814B6"/>
    <w:rsid w:val="000815EA"/>
    <w:rsid w:val="00081638"/>
    <w:rsid w:val="00081991"/>
    <w:rsid w:val="00081B2B"/>
    <w:rsid w:val="00081D23"/>
    <w:rsid w:val="00081D39"/>
    <w:rsid w:val="00081E23"/>
    <w:rsid w:val="0008204E"/>
    <w:rsid w:val="000820DC"/>
    <w:rsid w:val="00082260"/>
    <w:rsid w:val="00082284"/>
    <w:rsid w:val="000822FC"/>
    <w:rsid w:val="000823FA"/>
    <w:rsid w:val="00082556"/>
    <w:rsid w:val="000825A2"/>
    <w:rsid w:val="000826EB"/>
    <w:rsid w:val="0008279B"/>
    <w:rsid w:val="00082A08"/>
    <w:rsid w:val="00082B45"/>
    <w:rsid w:val="00082CBD"/>
    <w:rsid w:val="00082D00"/>
    <w:rsid w:val="00082DA0"/>
    <w:rsid w:val="00082E4E"/>
    <w:rsid w:val="00083060"/>
    <w:rsid w:val="00083096"/>
    <w:rsid w:val="00083277"/>
    <w:rsid w:val="000832F7"/>
    <w:rsid w:val="000834F7"/>
    <w:rsid w:val="000835A0"/>
    <w:rsid w:val="000837AF"/>
    <w:rsid w:val="000837D4"/>
    <w:rsid w:val="00083935"/>
    <w:rsid w:val="00083A4D"/>
    <w:rsid w:val="00083C00"/>
    <w:rsid w:val="00083DFE"/>
    <w:rsid w:val="00084073"/>
    <w:rsid w:val="000842F9"/>
    <w:rsid w:val="00084445"/>
    <w:rsid w:val="000845C3"/>
    <w:rsid w:val="000845E7"/>
    <w:rsid w:val="000845FB"/>
    <w:rsid w:val="00084634"/>
    <w:rsid w:val="000846AA"/>
    <w:rsid w:val="000849DD"/>
    <w:rsid w:val="00084B57"/>
    <w:rsid w:val="00084C2B"/>
    <w:rsid w:val="00084D8F"/>
    <w:rsid w:val="00084DF7"/>
    <w:rsid w:val="00084E4B"/>
    <w:rsid w:val="00085042"/>
    <w:rsid w:val="0008506D"/>
    <w:rsid w:val="000853A6"/>
    <w:rsid w:val="0008544B"/>
    <w:rsid w:val="00085583"/>
    <w:rsid w:val="0008563C"/>
    <w:rsid w:val="0008568E"/>
    <w:rsid w:val="000858C6"/>
    <w:rsid w:val="0008599A"/>
    <w:rsid w:val="00085BBF"/>
    <w:rsid w:val="00085C65"/>
    <w:rsid w:val="00085D4F"/>
    <w:rsid w:val="00085E9B"/>
    <w:rsid w:val="000861DE"/>
    <w:rsid w:val="00086273"/>
    <w:rsid w:val="0008629B"/>
    <w:rsid w:val="00086458"/>
    <w:rsid w:val="000864BE"/>
    <w:rsid w:val="0008677F"/>
    <w:rsid w:val="000867D3"/>
    <w:rsid w:val="00086967"/>
    <w:rsid w:val="00086A4A"/>
    <w:rsid w:val="00086B5D"/>
    <w:rsid w:val="00086BE4"/>
    <w:rsid w:val="00086CE8"/>
    <w:rsid w:val="00086FD1"/>
    <w:rsid w:val="0008705A"/>
    <w:rsid w:val="00087297"/>
    <w:rsid w:val="000872B0"/>
    <w:rsid w:val="000874BF"/>
    <w:rsid w:val="00087529"/>
    <w:rsid w:val="00087582"/>
    <w:rsid w:val="00087705"/>
    <w:rsid w:val="000877AD"/>
    <w:rsid w:val="00087CB2"/>
    <w:rsid w:val="00087D1A"/>
    <w:rsid w:val="00087E69"/>
    <w:rsid w:val="00087EDA"/>
    <w:rsid w:val="00087F16"/>
    <w:rsid w:val="00087F26"/>
    <w:rsid w:val="00087F41"/>
    <w:rsid w:val="0009003B"/>
    <w:rsid w:val="00090252"/>
    <w:rsid w:val="0009026E"/>
    <w:rsid w:val="000902EB"/>
    <w:rsid w:val="0009047E"/>
    <w:rsid w:val="00090923"/>
    <w:rsid w:val="00090BB9"/>
    <w:rsid w:val="00090BBD"/>
    <w:rsid w:val="00090DAE"/>
    <w:rsid w:val="00091173"/>
    <w:rsid w:val="00091303"/>
    <w:rsid w:val="000913AE"/>
    <w:rsid w:val="000913D4"/>
    <w:rsid w:val="00091473"/>
    <w:rsid w:val="0009148B"/>
    <w:rsid w:val="00091544"/>
    <w:rsid w:val="000915C9"/>
    <w:rsid w:val="000916AC"/>
    <w:rsid w:val="000916E9"/>
    <w:rsid w:val="00091974"/>
    <w:rsid w:val="00091A74"/>
    <w:rsid w:val="00091E96"/>
    <w:rsid w:val="00091EFE"/>
    <w:rsid w:val="0009202F"/>
    <w:rsid w:val="00092225"/>
    <w:rsid w:val="0009233C"/>
    <w:rsid w:val="0009234E"/>
    <w:rsid w:val="000923A6"/>
    <w:rsid w:val="00092464"/>
    <w:rsid w:val="00092512"/>
    <w:rsid w:val="00092714"/>
    <w:rsid w:val="00092787"/>
    <w:rsid w:val="000927C4"/>
    <w:rsid w:val="0009297D"/>
    <w:rsid w:val="000929BA"/>
    <w:rsid w:val="00092CE9"/>
    <w:rsid w:val="00092D35"/>
    <w:rsid w:val="00092D70"/>
    <w:rsid w:val="00092DF2"/>
    <w:rsid w:val="00092E77"/>
    <w:rsid w:val="00092F11"/>
    <w:rsid w:val="00092F7F"/>
    <w:rsid w:val="000930B1"/>
    <w:rsid w:val="000930F8"/>
    <w:rsid w:val="00093121"/>
    <w:rsid w:val="000932A4"/>
    <w:rsid w:val="00093444"/>
    <w:rsid w:val="000934E2"/>
    <w:rsid w:val="00093532"/>
    <w:rsid w:val="0009360F"/>
    <w:rsid w:val="000936C7"/>
    <w:rsid w:val="000938AC"/>
    <w:rsid w:val="000939AE"/>
    <w:rsid w:val="000939B1"/>
    <w:rsid w:val="00093E4D"/>
    <w:rsid w:val="00093EE3"/>
    <w:rsid w:val="00094045"/>
    <w:rsid w:val="0009407B"/>
    <w:rsid w:val="0009421B"/>
    <w:rsid w:val="000943B8"/>
    <w:rsid w:val="00094409"/>
    <w:rsid w:val="000945DC"/>
    <w:rsid w:val="000947BF"/>
    <w:rsid w:val="000948E5"/>
    <w:rsid w:val="00094DA4"/>
    <w:rsid w:val="00094DA7"/>
    <w:rsid w:val="00094E8D"/>
    <w:rsid w:val="00095014"/>
    <w:rsid w:val="000950EF"/>
    <w:rsid w:val="00095198"/>
    <w:rsid w:val="000952B1"/>
    <w:rsid w:val="000952C9"/>
    <w:rsid w:val="000954BE"/>
    <w:rsid w:val="00095554"/>
    <w:rsid w:val="00095660"/>
    <w:rsid w:val="00095852"/>
    <w:rsid w:val="00095AB0"/>
    <w:rsid w:val="00095D75"/>
    <w:rsid w:val="00095EFD"/>
    <w:rsid w:val="00095F10"/>
    <w:rsid w:val="00096027"/>
    <w:rsid w:val="000960DC"/>
    <w:rsid w:val="00096125"/>
    <w:rsid w:val="00096199"/>
    <w:rsid w:val="00096228"/>
    <w:rsid w:val="000963F6"/>
    <w:rsid w:val="000964A4"/>
    <w:rsid w:val="00096707"/>
    <w:rsid w:val="0009683A"/>
    <w:rsid w:val="00096D7B"/>
    <w:rsid w:val="00096F7F"/>
    <w:rsid w:val="00097003"/>
    <w:rsid w:val="00097170"/>
    <w:rsid w:val="0009730A"/>
    <w:rsid w:val="0009738F"/>
    <w:rsid w:val="00097494"/>
    <w:rsid w:val="000974FD"/>
    <w:rsid w:val="0009753C"/>
    <w:rsid w:val="00097681"/>
    <w:rsid w:val="0009772E"/>
    <w:rsid w:val="0009777B"/>
    <w:rsid w:val="000977C8"/>
    <w:rsid w:val="00097B9F"/>
    <w:rsid w:val="00097BB8"/>
    <w:rsid w:val="00097C5A"/>
    <w:rsid w:val="00097D3C"/>
    <w:rsid w:val="00097FE1"/>
    <w:rsid w:val="000A00B5"/>
    <w:rsid w:val="000A0118"/>
    <w:rsid w:val="000A01C6"/>
    <w:rsid w:val="000A038F"/>
    <w:rsid w:val="000A042E"/>
    <w:rsid w:val="000A0440"/>
    <w:rsid w:val="000A079C"/>
    <w:rsid w:val="000A07F5"/>
    <w:rsid w:val="000A084B"/>
    <w:rsid w:val="000A09ED"/>
    <w:rsid w:val="000A0A5C"/>
    <w:rsid w:val="000A0DD4"/>
    <w:rsid w:val="000A0E58"/>
    <w:rsid w:val="000A0F48"/>
    <w:rsid w:val="000A0F94"/>
    <w:rsid w:val="000A10B2"/>
    <w:rsid w:val="000A144F"/>
    <w:rsid w:val="000A14B3"/>
    <w:rsid w:val="000A1690"/>
    <w:rsid w:val="000A173E"/>
    <w:rsid w:val="000A1958"/>
    <w:rsid w:val="000A1E36"/>
    <w:rsid w:val="000A2074"/>
    <w:rsid w:val="000A20A9"/>
    <w:rsid w:val="000A20F7"/>
    <w:rsid w:val="000A21BF"/>
    <w:rsid w:val="000A226D"/>
    <w:rsid w:val="000A251F"/>
    <w:rsid w:val="000A2B20"/>
    <w:rsid w:val="000A2D8E"/>
    <w:rsid w:val="000A2DA7"/>
    <w:rsid w:val="000A2DF9"/>
    <w:rsid w:val="000A2EC7"/>
    <w:rsid w:val="000A2FD6"/>
    <w:rsid w:val="000A30C2"/>
    <w:rsid w:val="000A32C6"/>
    <w:rsid w:val="000A3392"/>
    <w:rsid w:val="000A36EA"/>
    <w:rsid w:val="000A375E"/>
    <w:rsid w:val="000A3916"/>
    <w:rsid w:val="000A398F"/>
    <w:rsid w:val="000A3CF2"/>
    <w:rsid w:val="000A3D71"/>
    <w:rsid w:val="000A3E60"/>
    <w:rsid w:val="000A3E7C"/>
    <w:rsid w:val="000A3EA9"/>
    <w:rsid w:val="000A410C"/>
    <w:rsid w:val="000A41D3"/>
    <w:rsid w:val="000A4367"/>
    <w:rsid w:val="000A4452"/>
    <w:rsid w:val="000A4646"/>
    <w:rsid w:val="000A478C"/>
    <w:rsid w:val="000A47AB"/>
    <w:rsid w:val="000A480B"/>
    <w:rsid w:val="000A496F"/>
    <w:rsid w:val="000A4A08"/>
    <w:rsid w:val="000A4A31"/>
    <w:rsid w:val="000A4BB4"/>
    <w:rsid w:val="000A4C83"/>
    <w:rsid w:val="000A4CEE"/>
    <w:rsid w:val="000A4D7A"/>
    <w:rsid w:val="000A4E4C"/>
    <w:rsid w:val="000A4ED1"/>
    <w:rsid w:val="000A4F99"/>
    <w:rsid w:val="000A4FD6"/>
    <w:rsid w:val="000A5304"/>
    <w:rsid w:val="000A55A3"/>
    <w:rsid w:val="000A55CD"/>
    <w:rsid w:val="000A55E6"/>
    <w:rsid w:val="000A56C7"/>
    <w:rsid w:val="000A56F3"/>
    <w:rsid w:val="000A5737"/>
    <w:rsid w:val="000A574D"/>
    <w:rsid w:val="000A5890"/>
    <w:rsid w:val="000A5A77"/>
    <w:rsid w:val="000A5E28"/>
    <w:rsid w:val="000A5EAC"/>
    <w:rsid w:val="000A5F0F"/>
    <w:rsid w:val="000A60BC"/>
    <w:rsid w:val="000A6204"/>
    <w:rsid w:val="000A6354"/>
    <w:rsid w:val="000A6431"/>
    <w:rsid w:val="000A64CD"/>
    <w:rsid w:val="000A6526"/>
    <w:rsid w:val="000A654E"/>
    <w:rsid w:val="000A66DB"/>
    <w:rsid w:val="000A6730"/>
    <w:rsid w:val="000A68A5"/>
    <w:rsid w:val="000A6A73"/>
    <w:rsid w:val="000A6AEC"/>
    <w:rsid w:val="000A6B79"/>
    <w:rsid w:val="000A6C52"/>
    <w:rsid w:val="000A6CB9"/>
    <w:rsid w:val="000A6CED"/>
    <w:rsid w:val="000A6D45"/>
    <w:rsid w:val="000A6E09"/>
    <w:rsid w:val="000A6F27"/>
    <w:rsid w:val="000A72F1"/>
    <w:rsid w:val="000A731C"/>
    <w:rsid w:val="000A73BA"/>
    <w:rsid w:val="000A752C"/>
    <w:rsid w:val="000A76F2"/>
    <w:rsid w:val="000A7814"/>
    <w:rsid w:val="000A7B40"/>
    <w:rsid w:val="000A7B65"/>
    <w:rsid w:val="000A7EED"/>
    <w:rsid w:val="000A7F69"/>
    <w:rsid w:val="000B0143"/>
    <w:rsid w:val="000B0222"/>
    <w:rsid w:val="000B0519"/>
    <w:rsid w:val="000B051C"/>
    <w:rsid w:val="000B086B"/>
    <w:rsid w:val="000B0A93"/>
    <w:rsid w:val="000B0ADD"/>
    <w:rsid w:val="000B0BE7"/>
    <w:rsid w:val="000B0C66"/>
    <w:rsid w:val="000B0CEF"/>
    <w:rsid w:val="000B0FD5"/>
    <w:rsid w:val="000B101D"/>
    <w:rsid w:val="000B110F"/>
    <w:rsid w:val="000B1280"/>
    <w:rsid w:val="000B1332"/>
    <w:rsid w:val="000B1339"/>
    <w:rsid w:val="000B1405"/>
    <w:rsid w:val="000B1473"/>
    <w:rsid w:val="000B16D9"/>
    <w:rsid w:val="000B177D"/>
    <w:rsid w:val="000B1944"/>
    <w:rsid w:val="000B1B91"/>
    <w:rsid w:val="000B21D9"/>
    <w:rsid w:val="000B22F7"/>
    <w:rsid w:val="000B2499"/>
    <w:rsid w:val="000B270A"/>
    <w:rsid w:val="000B27E3"/>
    <w:rsid w:val="000B2967"/>
    <w:rsid w:val="000B2A8D"/>
    <w:rsid w:val="000B2B70"/>
    <w:rsid w:val="000B2C04"/>
    <w:rsid w:val="000B2C3E"/>
    <w:rsid w:val="000B2CEC"/>
    <w:rsid w:val="000B2E28"/>
    <w:rsid w:val="000B2E3A"/>
    <w:rsid w:val="000B2EBB"/>
    <w:rsid w:val="000B2F02"/>
    <w:rsid w:val="000B2F99"/>
    <w:rsid w:val="000B2FA2"/>
    <w:rsid w:val="000B305C"/>
    <w:rsid w:val="000B313E"/>
    <w:rsid w:val="000B31EE"/>
    <w:rsid w:val="000B32E9"/>
    <w:rsid w:val="000B332A"/>
    <w:rsid w:val="000B36BD"/>
    <w:rsid w:val="000B3752"/>
    <w:rsid w:val="000B3830"/>
    <w:rsid w:val="000B39F8"/>
    <w:rsid w:val="000B3A0B"/>
    <w:rsid w:val="000B3C3A"/>
    <w:rsid w:val="000B3F48"/>
    <w:rsid w:val="000B3F74"/>
    <w:rsid w:val="000B403F"/>
    <w:rsid w:val="000B4125"/>
    <w:rsid w:val="000B41D2"/>
    <w:rsid w:val="000B423B"/>
    <w:rsid w:val="000B435E"/>
    <w:rsid w:val="000B46B6"/>
    <w:rsid w:val="000B46DC"/>
    <w:rsid w:val="000B4775"/>
    <w:rsid w:val="000B4934"/>
    <w:rsid w:val="000B496A"/>
    <w:rsid w:val="000B4D76"/>
    <w:rsid w:val="000B4D7C"/>
    <w:rsid w:val="000B4D87"/>
    <w:rsid w:val="000B4F93"/>
    <w:rsid w:val="000B5509"/>
    <w:rsid w:val="000B5566"/>
    <w:rsid w:val="000B568D"/>
    <w:rsid w:val="000B5843"/>
    <w:rsid w:val="000B5A02"/>
    <w:rsid w:val="000B5A55"/>
    <w:rsid w:val="000B5D3B"/>
    <w:rsid w:val="000B5E4E"/>
    <w:rsid w:val="000B5ECD"/>
    <w:rsid w:val="000B5EEE"/>
    <w:rsid w:val="000B6005"/>
    <w:rsid w:val="000B6035"/>
    <w:rsid w:val="000B6205"/>
    <w:rsid w:val="000B62A3"/>
    <w:rsid w:val="000B6402"/>
    <w:rsid w:val="000B6544"/>
    <w:rsid w:val="000B654E"/>
    <w:rsid w:val="000B6571"/>
    <w:rsid w:val="000B6586"/>
    <w:rsid w:val="000B65ED"/>
    <w:rsid w:val="000B6792"/>
    <w:rsid w:val="000B67B0"/>
    <w:rsid w:val="000B6865"/>
    <w:rsid w:val="000B68FE"/>
    <w:rsid w:val="000B6A13"/>
    <w:rsid w:val="000B6AA5"/>
    <w:rsid w:val="000B6BEE"/>
    <w:rsid w:val="000B6F3C"/>
    <w:rsid w:val="000B6F42"/>
    <w:rsid w:val="000B708D"/>
    <w:rsid w:val="000B709F"/>
    <w:rsid w:val="000B70BC"/>
    <w:rsid w:val="000B7107"/>
    <w:rsid w:val="000B715D"/>
    <w:rsid w:val="000B7260"/>
    <w:rsid w:val="000B72B8"/>
    <w:rsid w:val="000B75BA"/>
    <w:rsid w:val="000B7691"/>
    <w:rsid w:val="000B7A2A"/>
    <w:rsid w:val="000B7A34"/>
    <w:rsid w:val="000B7C4D"/>
    <w:rsid w:val="000B7CD9"/>
    <w:rsid w:val="000B7CEE"/>
    <w:rsid w:val="000B7CF0"/>
    <w:rsid w:val="000B7F7C"/>
    <w:rsid w:val="000C0025"/>
    <w:rsid w:val="000C011B"/>
    <w:rsid w:val="000C029D"/>
    <w:rsid w:val="000C0339"/>
    <w:rsid w:val="000C0469"/>
    <w:rsid w:val="000C0562"/>
    <w:rsid w:val="000C064F"/>
    <w:rsid w:val="000C075E"/>
    <w:rsid w:val="000C08BC"/>
    <w:rsid w:val="000C09BA"/>
    <w:rsid w:val="000C0CDE"/>
    <w:rsid w:val="000C0DD9"/>
    <w:rsid w:val="000C151C"/>
    <w:rsid w:val="000C15A8"/>
    <w:rsid w:val="000C15F6"/>
    <w:rsid w:val="000C1792"/>
    <w:rsid w:val="000C1A57"/>
    <w:rsid w:val="000C1AB4"/>
    <w:rsid w:val="000C1B9B"/>
    <w:rsid w:val="000C1BFB"/>
    <w:rsid w:val="000C1C22"/>
    <w:rsid w:val="000C1D50"/>
    <w:rsid w:val="000C1D8F"/>
    <w:rsid w:val="000C1EC8"/>
    <w:rsid w:val="000C1F3C"/>
    <w:rsid w:val="000C1F65"/>
    <w:rsid w:val="000C2494"/>
    <w:rsid w:val="000C2616"/>
    <w:rsid w:val="000C286B"/>
    <w:rsid w:val="000C287B"/>
    <w:rsid w:val="000C2883"/>
    <w:rsid w:val="000C2A05"/>
    <w:rsid w:val="000C2C6E"/>
    <w:rsid w:val="000C2CEA"/>
    <w:rsid w:val="000C2D08"/>
    <w:rsid w:val="000C2DD4"/>
    <w:rsid w:val="000C2E92"/>
    <w:rsid w:val="000C2F64"/>
    <w:rsid w:val="000C3134"/>
    <w:rsid w:val="000C3246"/>
    <w:rsid w:val="000C34DB"/>
    <w:rsid w:val="000C3683"/>
    <w:rsid w:val="000C36A8"/>
    <w:rsid w:val="000C371C"/>
    <w:rsid w:val="000C3836"/>
    <w:rsid w:val="000C3A0E"/>
    <w:rsid w:val="000C3B01"/>
    <w:rsid w:val="000C3CA9"/>
    <w:rsid w:val="000C3D94"/>
    <w:rsid w:val="000C402B"/>
    <w:rsid w:val="000C40FE"/>
    <w:rsid w:val="000C42F9"/>
    <w:rsid w:val="000C430D"/>
    <w:rsid w:val="000C4327"/>
    <w:rsid w:val="000C4584"/>
    <w:rsid w:val="000C4742"/>
    <w:rsid w:val="000C4768"/>
    <w:rsid w:val="000C4785"/>
    <w:rsid w:val="000C483A"/>
    <w:rsid w:val="000C48EC"/>
    <w:rsid w:val="000C4A02"/>
    <w:rsid w:val="000C4A7B"/>
    <w:rsid w:val="000C4B8D"/>
    <w:rsid w:val="000C4BD4"/>
    <w:rsid w:val="000C4F9B"/>
    <w:rsid w:val="000C511F"/>
    <w:rsid w:val="000C52BE"/>
    <w:rsid w:val="000C5456"/>
    <w:rsid w:val="000C5458"/>
    <w:rsid w:val="000C592A"/>
    <w:rsid w:val="000C5D0D"/>
    <w:rsid w:val="000C608F"/>
    <w:rsid w:val="000C60B1"/>
    <w:rsid w:val="000C61C3"/>
    <w:rsid w:val="000C6222"/>
    <w:rsid w:val="000C6631"/>
    <w:rsid w:val="000C6709"/>
    <w:rsid w:val="000C69CB"/>
    <w:rsid w:val="000C6A56"/>
    <w:rsid w:val="000C6D37"/>
    <w:rsid w:val="000C6D8B"/>
    <w:rsid w:val="000C6DB9"/>
    <w:rsid w:val="000C6FFC"/>
    <w:rsid w:val="000C7055"/>
    <w:rsid w:val="000C7084"/>
    <w:rsid w:val="000C7115"/>
    <w:rsid w:val="000C7397"/>
    <w:rsid w:val="000C7533"/>
    <w:rsid w:val="000C7785"/>
    <w:rsid w:val="000C7B4E"/>
    <w:rsid w:val="000C7DBE"/>
    <w:rsid w:val="000C7E8E"/>
    <w:rsid w:val="000C7EC2"/>
    <w:rsid w:val="000C7F72"/>
    <w:rsid w:val="000D016D"/>
    <w:rsid w:val="000D01C7"/>
    <w:rsid w:val="000D03AA"/>
    <w:rsid w:val="000D0462"/>
    <w:rsid w:val="000D047B"/>
    <w:rsid w:val="000D0523"/>
    <w:rsid w:val="000D066A"/>
    <w:rsid w:val="000D0800"/>
    <w:rsid w:val="000D0813"/>
    <w:rsid w:val="000D0817"/>
    <w:rsid w:val="000D089C"/>
    <w:rsid w:val="000D0951"/>
    <w:rsid w:val="000D0A49"/>
    <w:rsid w:val="000D0AC8"/>
    <w:rsid w:val="000D0BC1"/>
    <w:rsid w:val="000D0BFD"/>
    <w:rsid w:val="000D0C51"/>
    <w:rsid w:val="000D0D8D"/>
    <w:rsid w:val="000D0DE9"/>
    <w:rsid w:val="000D0E7A"/>
    <w:rsid w:val="000D0F4E"/>
    <w:rsid w:val="000D0FD1"/>
    <w:rsid w:val="000D104C"/>
    <w:rsid w:val="000D10A4"/>
    <w:rsid w:val="000D1123"/>
    <w:rsid w:val="000D1164"/>
    <w:rsid w:val="000D139D"/>
    <w:rsid w:val="000D13B4"/>
    <w:rsid w:val="000D1512"/>
    <w:rsid w:val="000D17B7"/>
    <w:rsid w:val="000D1954"/>
    <w:rsid w:val="000D1CA4"/>
    <w:rsid w:val="000D1D03"/>
    <w:rsid w:val="000D1D3B"/>
    <w:rsid w:val="000D1DF1"/>
    <w:rsid w:val="000D1E02"/>
    <w:rsid w:val="000D1E32"/>
    <w:rsid w:val="000D1E6A"/>
    <w:rsid w:val="000D1F80"/>
    <w:rsid w:val="000D2367"/>
    <w:rsid w:val="000D236D"/>
    <w:rsid w:val="000D245C"/>
    <w:rsid w:val="000D2571"/>
    <w:rsid w:val="000D2620"/>
    <w:rsid w:val="000D2776"/>
    <w:rsid w:val="000D283B"/>
    <w:rsid w:val="000D2920"/>
    <w:rsid w:val="000D2A98"/>
    <w:rsid w:val="000D2AC9"/>
    <w:rsid w:val="000D2C91"/>
    <w:rsid w:val="000D2E42"/>
    <w:rsid w:val="000D33C9"/>
    <w:rsid w:val="000D349A"/>
    <w:rsid w:val="000D35AB"/>
    <w:rsid w:val="000D3618"/>
    <w:rsid w:val="000D396F"/>
    <w:rsid w:val="000D3B62"/>
    <w:rsid w:val="000D3C32"/>
    <w:rsid w:val="000D3D71"/>
    <w:rsid w:val="000D4212"/>
    <w:rsid w:val="000D42FB"/>
    <w:rsid w:val="000D447E"/>
    <w:rsid w:val="000D44DB"/>
    <w:rsid w:val="000D46D5"/>
    <w:rsid w:val="000D4806"/>
    <w:rsid w:val="000D4934"/>
    <w:rsid w:val="000D4AFB"/>
    <w:rsid w:val="000D4B2B"/>
    <w:rsid w:val="000D4CF4"/>
    <w:rsid w:val="000D4D10"/>
    <w:rsid w:val="000D4E04"/>
    <w:rsid w:val="000D4EEF"/>
    <w:rsid w:val="000D501A"/>
    <w:rsid w:val="000D513E"/>
    <w:rsid w:val="000D53D5"/>
    <w:rsid w:val="000D54D8"/>
    <w:rsid w:val="000D551F"/>
    <w:rsid w:val="000D555C"/>
    <w:rsid w:val="000D558B"/>
    <w:rsid w:val="000D563D"/>
    <w:rsid w:val="000D5857"/>
    <w:rsid w:val="000D5A60"/>
    <w:rsid w:val="000D5C81"/>
    <w:rsid w:val="000D5D2B"/>
    <w:rsid w:val="000D5D54"/>
    <w:rsid w:val="000D5D69"/>
    <w:rsid w:val="000D61B7"/>
    <w:rsid w:val="000D61F9"/>
    <w:rsid w:val="000D6216"/>
    <w:rsid w:val="000D62EE"/>
    <w:rsid w:val="000D6357"/>
    <w:rsid w:val="000D6418"/>
    <w:rsid w:val="000D6504"/>
    <w:rsid w:val="000D6AD7"/>
    <w:rsid w:val="000D6AE9"/>
    <w:rsid w:val="000D6BF2"/>
    <w:rsid w:val="000D6C72"/>
    <w:rsid w:val="000D6C7A"/>
    <w:rsid w:val="000D6CB0"/>
    <w:rsid w:val="000D6E08"/>
    <w:rsid w:val="000D7167"/>
    <w:rsid w:val="000D7276"/>
    <w:rsid w:val="000D72DC"/>
    <w:rsid w:val="000D73B0"/>
    <w:rsid w:val="000D747F"/>
    <w:rsid w:val="000D74DF"/>
    <w:rsid w:val="000D74E5"/>
    <w:rsid w:val="000D75A2"/>
    <w:rsid w:val="000D7934"/>
    <w:rsid w:val="000D7A5C"/>
    <w:rsid w:val="000D7B6F"/>
    <w:rsid w:val="000D7BD1"/>
    <w:rsid w:val="000D7DA4"/>
    <w:rsid w:val="000D7DBE"/>
    <w:rsid w:val="000D7E32"/>
    <w:rsid w:val="000D7E8B"/>
    <w:rsid w:val="000E01A2"/>
    <w:rsid w:val="000E0221"/>
    <w:rsid w:val="000E024D"/>
    <w:rsid w:val="000E0431"/>
    <w:rsid w:val="000E0542"/>
    <w:rsid w:val="000E076D"/>
    <w:rsid w:val="000E0802"/>
    <w:rsid w:val="000E0804"/>
    <w:rsid w:val="000E0819"/>
    <w:rsid w:val="000E08CD"/>
    <w:rsid w:val="000E0955"/>
    <w:rsid w:val="000E0A68"/>
    <w:rsid w:val="000E0AAB"/>
    <w:rsid w:val="000E0AEF"/>
    <w:rsid w:val="000E0BF5"/>
    <w:rsid w:val="000E0D38"/>
    <w:rsid w:val="000E0E22"/>
    <w:rsid w:val="000E0E25"/>
    <w:rsid w:val="000E0ED2"/>
    <w:rsid w:val="000E0FF6"/>
    <w:rsid w:val="000E1111"/>
    <w:rsid w:val="000E1164"/>
    <w:rsid w:val="000E11A1"/>
    <w:rsid w:val="000E11DD"/>
    <w:rsid w:val="000E14AE"/>
    <w:rsid w:val="000E164F"/>
    <w:rsid w:val="000E1707"/>
    <w:rsid w:val="000E1976"/>
    <w:rsid w:val="000E197A"/>
    <w:rsid w:val="000E197D"/>
    <w:rsid w:val="000E1B12"/>
    <w:rsid w:val="000E1B74"/>
    <w:rsid w:val="000E1E64"/>
    <w:rsid w:val="000E1F79"/>
    <w:rsid w:val="000E1FAD"/>
    <w:rsid w:val="000E20CD"/>
    <w:rsid w:val="000E218F"/>
    <w:rsid w:val="000E2246"/>
    <w:rsid w:val="000E251C"/>
    <w:rsid w:val="000E25E2"/>
    <w:rsid w:val="000E270C"/>
    <w:rsid w:val="000E27C1"/>
    <w:rsid w:val="000E2968"/>
    <w:rsid w:val="000E2A15"/>
    <w:rsid w:val="000E2A6F"/>
    <w:rsid w:val="000E2CB4"/>
    <w:rsid w:val="000E2D81"/>
    <w:rsid w:val="000E32ED"/>
    <w:rsid w:val="000E3421"/>
    <w:rsid w:val="000E347B"/>
    <w:rsid w:val="000E37F4"/>
    <w:rsid w:val="000E3B22"/>
    <w:rsid w:val="000E3CAE"/>
    <w:rsid w:val="000E3D43"/>
    <w:rsid w:val="000E3DE8"/>
    <w:rsid w:val="000E3E8A"/>
    <w:rsid w:val="000E41F1"/>
    <w:rsid w:val="000E4323"/>
    <w:rsid w:val="000E43CB"/>
    <w:rsid w:val="000E4531"/>
    <w:rsid w:val="000E453D"/>
    <w:rsid w:val="000E45BB"/>
    <w:rsid w:val="000E477F"/>
    <w:rsid w:val="000E497A"/>
    <w:rsid w:val="000E4AFB"/>
    <w:rsid w:val="000E4BE4"/>
    <w:rsid w:val="000E4D51"/>
    <w:rsid w:val="000E4EDA"/>
    <w:rsid w:val="000E5030"/>
    <w:rsid w:val="000E503A"/>
    <w:rsid w:val="000E50AC"/>
    <w:rsid w:val="000E50B3"/>
    <w:rsid w:val="000E5272"/>
    <w:rsid w:val="000E52FD"/>
    <w:rsid w:val="000E54C9"/>
    <w:rsid w:val="000E573A"/>
    <w:rsid w:val="000E57FC"/>
    <w:rsid w:val="000E5806"/>
    <w:rsid w:val="000E5846"/>
    <w:rsid w:val="000E58A9"/>
    <w:rsid w:val="000E5965"/>
    <w:rsid w:val="000E599D"/>
    <w:rsid w:val="000E5A3B"/>
    <w:rsid w:val="000E5BBF"/>
    <w:rsid w:val="000E5BFE"/>
    <w:rsid w:val="000E605F"/>
    <w:rsid w:val="000E652C"/>
    <w:rsid w:val="000E6604"/>
    <w:rsid w:val="000E661E"/>
    <w:rsid w:val="000E6632"/>
    <w:rsid w:val="000E665D"/>
    <w:rsid w:val="000E69E3"/>
    <w:rsid w:val="000E69EC"/>
    <w:rsid w:val="000E6A73"/>
    <w:rsid w:val="000E6D28"/>
    <w:rsid w:val="000E6E2B"/>
    <w:rsid w:val="000E6FAC"/>
    <w:rsid w:val="000E7011"/>
    <w:rsid w:val="000E70AD"/>
    <w:rsid w:val="000E73E7"/>
    <w:rsid w:val="000E7459"/>
    <w:rsid w:val="000E7468"/>
    <w:rsid w:val="000E752F"/>
    <w:rsid w:val="000E756D"/>
    <w:rsid w:val="000E77CD"/>
    <w:rsid w:val="000E7838"/>
    <w:rsid w:val="000E7A7A"/>
    <w:rsid w:val="000E7ABB"/>
    <w:rsid w:val="000E7ADB"/>
    <w:rsid w:val="000E7B3C"/>
    <w:rsid w:val="000E7D0B"/>
    <w:rsid w:val="000E7ED7"/>
    <w:rsid w:val="000E7FD3"/>
    <w:rsid w:val="000F0058"/>
    <w:rsid w:val="000F01B7"/>
    <w:rsid w:val="000F01EB"/>
    <w:rsid w:val="000F02F3"/>
    <w:rsid w:val="000F02F6"/>
    <w:rsid w:val="000F066B"/>
    <w:rsid w:val="000F081D"/>
    <w:rsid w:val="000F0843"/>
    <w:rsid w:val="000F099D"/>
    <w:rsid w:val="000F0F08"/>
    <w:rsid w:val="000F0F1D"/>
    <w:rsid w:val="000F0F2B"/>
    <w:rsid w:val="000F0F45"/>
    <w:rsid w:val="000F1077"/>
    <w:rsid w:val="000F133C"/>
    <w:rsid w:val="000F133E"/>
    <w:rsid w:val="000F13C4"/>
    <w:rsid w:val="000F13E1"/>
    <w:rsid w:val="000F158F"/>
    <w:rsid w:val="000F1879"/>
    <w:rsid w:val="000F1E90"/>
    <w:rsid w:val="000F1FBB"/>
    <w:rsid w:val="000F1FC3"/>
    <w:rsid w:val="000F1FDD"/>
    <w:rsid w:val="000F1FEE"/>
    <w:rsid w:val="000F202A"/>
    <w:rsid w:val="000F2111"/>
    <w:rsid w:val="000F2195"/>
    <w:rsid w:val="000F21C4"/>
    <w:rsid w:val="000F21DB"/>
    <w:rsid w:val="000F222F"/>
    <w:rsid w:val="000F2309"/>
    <w:rsid w:val="000F23A1"/>
    <w:rsid w:val="000F23EE"/>
    <w:rsid w:val="000F246D"/>
    <w:rsid w:val="000F26D7"/>
    <w:rsid w:val="000F2812"/>
    <w:rsid w:val="000F295A"/>
    <w:rsid w:val="000F2B94"/>
    <w:rsid w:val="000F2CFA"/>
    <w:rsid w:val="000F2D17"/>
    <w:rsid w:val="000F2D55"/>
    <w:rsid w:val="000F2F4F"/>
    <w:rsid w:val="000F30D7"/>
    <w:rsid w:val="000F3242"/>
    <w:rsid w:val="000F340C"/>
    <w:rsid w:val="000F3491"/>
    <w:rsid w:val="000F351C"/>
    <w:rsid w:val="000F3538"/>
    <w:rsid w:val="000F3817"/>
    <w:rsid w:val="000F39FF"/>
    <w:rsid w:val="000F3A25"/>
    <w:rsid w:val="000F3B8E"/>
    <w:rsid w:val="000F3C64"/>
    <w:rsid w:val="000F3DA0"/>
    <w:rsid w:val="000F3E6F"/>
    <w:rsid w:val="000F3F4F"/>
    <w:rsid w:val="000F4018"/>
    <w:rsid w:val="000F410E"/>
    <w:rsid w:val="000F419C"/>
    <w:rsid w:val="000F4282"/>
    <w:rsid w:val="000F4827"/>
    <w:rsid w:val="000F4947"/>
    <w:rsid w:val="000F4974"/>
    <w:rsid w:val="000F49E6"/>
    <w:rsid w:val="000F49E7"/>
    <w:rsid w:val="000F4AEA"/>
    <w:rsid w:val="000F4CA6"/>
    <w:rsid w:val="000F4E4A"/>
    <w:rsid w:val="000F4EED"/>
    <w:rsid w:val="000F51B2"/>
    <w:rsid w:val="000F5557"/>
    <w:rsid w:val="000F57FC"/>
    <w:rsid w:val="000F582B"/>
    <w:rsid w:val="000F5948"/>
    <w:rsid w:val="000F5A15"/>
    <w:rsid w:val="000F5A1B"/>
    <w:rsid w:val="000F5ADB"/>
    <w:rsid w:val="000F5BB1"/>
    <w:rsid w:val="000F5C67"/>
    <w:rsid w:val="000F5D8E"/>
    <w:rsid w:val="000F5DE7"/>
    <w:rsid w:val="000F5F0F"/>
    <w:rsid w:val="000F5FE4"/>
    <w:rsid w:val="000F6076"/>
    <w:rsid w:val="000F626B"/>
    <w:rsid w:val="000F63E1"/>
    <w:rsid w:val="000F6457"/>
    <w:rsid w:val="000F65EE"/>
    <w:rsid w:val="000F6737"/>
    <w:rsid w:val="000F68EB"/>
    <w:rsid w:val="000F6926"/>
    <w:rsid w:val="000F6991"/>
    <w:rsid w:val="000F6A10"/>
    <w:rsid w:val="000F6C91"/>
    <w:rsid w:val="000F6D16"/>
    <w:rsid w:val="000F6F3D"/>
    <w:rsid w:val="000F6F82"/>
    <w:rsid w:val="000F7225"/>
    <w:rsid w:val="000F728F"/>
    <w:rsid w:val="000F72C2"/>
    <w:rsid w:val="000F7353"/>
    <w:rsid w:val="000F7399"/>
    <w:rsid w:val="000F7648"/>
    <w:rsid w:val="000F77B9"/>
    <w:rsid w:val="000F7895"/>
    <w:rsid w:val="000F78EC"/>
    <w:rsid w:val="000F7A04"/>
    <w:rsid w:val="000F7A2E"/>
    <w:rsid w:val="000F7CCB"/>
    <w:rsid w:val="000F7F46"/>
    <w:rsid w:val="000F7F6A"/>
    <w:rsid w:val="000F7FAE"/>
    <w:rsid w:val="000F7FE9"/>
    <w:rsid w:val="00100028"/>
    <w:rsid w:val="0010006C"/>
    <w:rsid w:val="001001A8"/>
    <w:rsid w:val="001003AF"/>
    <w:rsid w:val="0010049A"/>
    <w:rsid w:val="001004F6"/>
    <w:rsid w:val="001004F7"/>
    <w:rsid w:val="00100848"/>
    <w:rsid w:val="0010087D"/>
    <w:rsid w:val="00100951"/>
    <w:rsid w:val="00100CB2"/>
    <w:rsid w:val="00100E18"/>
    <w:rsid w:val="001012DD"/>
    <w:rsid w:val="0010134E"/>
    <w:rsid w:val="00101520"/>
    <w:rsid w:val="00101546"/>
    <w:rsid w:val="00101672"/>
    <w:rsid w:val="00101676"/>
    <w:rsid w:val="00101777"/>
    <w:rsid w:val="001018B1"/>
    <w:rsid w:val="00101921"/>
    <w:rsid w:val="00101958"/>
    <w:rsid w:val="00101A46"/>
    <w:rsid w:val="00101B17"/>
    <w:rsid w:val="00101DE1"/>
    <w:rsid w:val="00101E67"/>
    <w:rsid w:val="00101EDC"/>
    <w:rsid w:val="001022B4"/>
    <w:rsid w:val="001024B6"/>
    <w:rsid w:val="00102697"/>
    <w:rsid w:val="001027E9"/>
    <w:rsid w:val="001027EE"/>
    <w:rsid w:val="00102842"/>
    <w:rsid w:val="00102867"/>
    <w:rsid w:val="00102BE3"/>
    <w:rsid w:val="00102C89"/>
    <w:rsid w:val="00102F31"/>
    <w:rsid w:val="001030B7"/>
    <w:rsid w:val="0010339F"/>
    <w:rsid w:val="001036F5"/>
    <w:rsid w:val="0010371F"/>
    <w:rsid w:val="0010382C"/>
    <w:rsid w:val="00103842"/>
    <w:rsid w:val="00103BB8"/>
    <w:rsid w:val="00103CE4"/>
    <w:rsid w:val="00103D86"/>
    <w:rsid w:val="00103DBD"/>
    <w:rsid w:val="00103E87"/>
    <w:rsid w:val="00104030"/>
    <w:rsid w:val="00104031"/>
    <w:rsid w:val="00104045"/>
    <w:rsid w:val="0010406C"/>
    <w:rsid w:val="001040B4"/>
    <w:rsid w:val="00104467"/>
    <w:rsid w:val="001046DC"/>
    <w:rsid w:val="00104752"/>
    <w:rsid w:val="00104879"/>
    <w:rsid w:val="00104D00"/>
    <w:rsid w:val="00104F2C"/>
    <w:rsid w:val="00105189"/>
    <w:rsid w:val="0010528F"/>
    <w:rsid w:val="001052EA"/>
    <w:rsid w:val="0010538C"/>
    <w:rsid w:val="0010548F"/>
    <w:rsid w:val="00105505"/>
    <w:rsid w:val="00105C15"/>
    <w:rsid w:val="00105D5D"/>
    <w:rsid w:val="00105F0E"/>
    <w:rsid w:val="00105F92"/>
    <w:rsid w:val="00105FE3"/>
    <w:rsid w:val="00106159"/>
    <w:rsid w:val="001063AF"/>
    <w:rsid w:val="0010667B"/>
    <w:rsid w:val="0010668A"/>
    <w:rsid w:val="001068BB"/>
    <w:rsid w:val="001068EE"/>
    <w:rsid w:val="00106955"/>
    <w:rsid w:val="0010696C"/>
    <w:rsid w:val="00106A88"/>
    <w:rsid w:val="00106B8C"/>
    <w:rsid w:val="00106B96"/>
    <w:rsid w:val="00106D81"/>
    <w:rsid w:val="00106DBF"/>
    <w:rsid w:val="00106E16"/>
    <w:rsid w:val="00106E51"/>
    <w:rsid w:val="00106EEA"/>
    <w:rsid w:val="00106F50"/>
    <w:rsid w:val="00106FBB"/>
    <w:rsid w:val="001072A4"/>
    <w:rsid w:val="0010730A"/>
    <w:rsid w:val="0010747F"/>
    <w:rsid w:val="001075C3"/>
    <w:rsid w:val="00107650"/>
    <w:rsid w:val="0010768F"/>
    <w:rsid w:val="00107704"/>
    <w:rsid w:val="0010773A"/>
    <w:rsid w:val="001077CE"/>
    <w:rsid w:val="00107A0D"/>
    <w:rsid w:val="00107A6E"/>
    <w:rsid w:val="00107B24"/>
    <w:rsid w:val="00107DC7"/>
    <w:rsid w:val="00110137"/>
    <w:rsid w:val="0011017D"/>
    <w:rsid w:val="00110231"/>
    <w:rsid w:val="0011035E"/>
    <w:rsid w:val="0011073D"/>
    <w:rsid w:val="001107C7"/>
    <w:rsid w:val="001107F5"/>
    <w:rsid w:val="00110BE4"/>
    <w:rsid w:val="00110CF1"/>
    <w:rsid w:val="00110D53"/>
    <w:rsid w:val="00110EEA"/>
    <w:rsid w:val="00110F07"/>
    <w:rsid w:val="00110F3B"/>
    <w:rsid w:val="00111165"/>
    <w:rsid w:val="001111CF"/>
    <w:rsid w:val="00111246"/>
    <w:rsid w:val="00111275"/>
    <w:rsid w:val="001112D8"/>
    <w:rsid w:val="001113AE"/>
    <w:rsid w:val="00111792"/>
    <w:rsid w:val="00111815"/>
    <w:rsid w:val="00111AF8"/>
    <w:rsid w:val="00111BEE"/>
    <w:rsid w:val="00111C4E"/>
    <w:rsid w:val="00111CB7"/>
    <w:rsid w:val="00111D56"/>
    <w:rsid w:val="00111DE0"/>
    <w:rsid w:val="0011222D"/>
    <w:rsid w:val="001122BC"/>
    <w:rsid w:val="001123A7"/>
    <w:rsid w:val="0011244E"/>
    <w:rsid w:val="00112485"/>
    <w:rsid w:val="0011249B"/>
    <w:rsid w:val="00112500"/>
    <w:rsid w:val="00112598"/>
    <w:rsid w:val="001127D5"/>
    <w:rsid w:val="00112806"/>
    <w:rsid w:val="00112831"/>
    <w:rsid w:val="0011291C"/>
    <w:rsid w:val="001129E4"/>
    <w:rsid w:val="00112A8F"/>
    <w:rsid w:val="00112AEF"/>
    <w:rsid w:val="00112B89"/>
    <w:rsid w:val="00112BDA"/>
    <w:rsid w:val="00112F9C"/>
    <w:rsid w:val="00112FA2"/>
    <w:rsid w:val="00112FD4"/>
    <w:rsid w:val="001130D4"/>
    <w:rsid w:val="00113434"/>
    <w:rsid w:val="00113564"/>
    <w:rsid w:val="001136C6"/>
    <w:rsid w:val="001138DA"/>
    <w:rsid w:val="00113902"/>
    <w:rsid w:val="00113A88"/>
    <w:rsid w:val="00113B61"/>
    <w:rsid w:val="00113C04"/>
    <w:rsid w:val="00113CDF"/>
    <w:rsid w:val="00114164"/>
    <w:rsid w:val="0011445D"/>
    <w:rsid w:val="0011454B"/>
    <w:rsid w:val="001146B6"/>
    <w:rsid w:val="00114952"/>
    <w:rsid w:val="0011497F"/>
    <w:rsid w:val="00114C5B"/>
    <w:rsid w:val="00114D76"/>
    <w:rsid w:val="00114DA9"/>
    <w:rsid w:val="00114DE8"/>
    <w:rsid w:val="00114E88"/>
    <w:rsid w:val="0011503E"/>
    <w:rsid w:val="0011510C"/>
    <w:rsid w:val="00115213"/>
    <w:rsid w:val="00115385"/>
    <w:rsid w:val="00115389"/>
    <w:rsid w:val="00115649"/>
    <w:rsid w:val="0011576A"/>
    <w:rsid w:val="00115813"/>
    <w:rsid w:val="0011583C"/>
    <w:rsid w:val="001158E2"/>
    <w:rsid w:val="00115A9B"/>
    <w:rsid w:val="00115B87"/>
    <w:rsid w:val="00115D7A"/>
    <w:rsid w:val="00115FDF"/>
    <w:rsid w:val="001161E5"/>
    <w:rsid w:val="001161F0"/>
    <w:rsid w:val="0011624A"/>
    <w:rsid w:val="00116329"/>
    <w:rsid w:val="00116447"/>
    <w:rsid w:val="00116489"/>
    <w:rsid w:val="001164FF"/>
    <w:rsid w:val="00116676"/>
    <w:rsid w:val="0011669C"/>
    <w:rsid w:val="00116805"/>
    <w:rsid w:val="00116A9E"/>
    <w:rsid w:val="00116BCD"/>
    <w:rsid w:val="00116D12"/>
    <w:rsid w:val="00116D62"/>
    <w:rsid w:val="00116DBE"/>
    <w:rsid w:val="001170D7"/>
    <w:rsid w:val="001171D9"/>
    <w:rsid w:val="001171DF"/>
    <w:rsid w:val="001172C0"/>
    <w:rsid w:val="00117393"/>
    <w:rsid w:val="0011775B"/>
    <w:rsid w:val="001177AC"/>
    <w:rsid w:val="00117824"/>
    <w:rsid w:val="0011793D"/>
    <w:rsid w:val="00117BF6"/>
    <w:rsid w:val="0012013A"/>
    <w:rsid w:val="0012026B"/>
    <w:rsid w:val="0012028B"/>
    <w:rsid w:val="00120320"/>
    <w:rsid w:val="0012042F"/>
    <w:rsid w:val="00120487"/>
    <w:rsid w:val="001204B4"/>
    <w:rsid w:val="0012052D"/>
    <w:rsid w:val="001205DA"/>
    <w:rsid w:val="001205F7"/>
    <w:rsid w:val="0012073F"/>
    <w:rsid w:val="00120801"/>
    <w:rsid w:val="00120CF5"/>
    <w:rsid w:val="00120E27"/>
    <w:rsid w:val="00120E30"/>
    <w:rsid w:val="00120F67"/>
    <w:rsid w:val="001210D4"/>
    <w:rsid w:val="00121227"/>
    <w:rsid w:val="00121357"/>
    <w:rsid w:val="0012148E"/>
    <w:rsid w:val="001214F3"/>
    <w:rsid w:val="00121517"/>
    <w:rsid w:val="001216A7"/>
    <w:rsid w:val="0012180E"/>
    <w:rsid w:val="0012189C"/>
    <w:rsid w:val="001219F3"/>
    <w:rsid w:val="00121B70"/>
    <w:rsid w:val="00121CB8"/>
    <w:rsid w:val="00121DA3"/>
    <w:rsid w:val="00121DFC"/>
    <w:rsid w:val="00121EFA"/>
    <w:rsid w:val="00121F1F"/>
    <w:rsid w:val="0012207F"/>
    <w:rsid w:val="00122257"/>
    <w:rsid w:val="00122360"/>
    <w:rsid w:val="001223CF"/>
    <w:rsid w:val="00122492"/>
    <w:rsid w:val="00122576"/>
    <w:rsid w:val="00122781"/>
    <w:rsid w:val="001227A3"/>
    <w:rsid w:val="001227F7"/>
    <w:rsid w:val="0012282F"/>
    <w:rsid w:val="0012286E"/>
    <w:rsid w:val="001228BF"/>
    <w:rsid w:val="00122C42"/>
    <w:rsid w:val="00122C4E"/>
    <w:rsid w:val="00122C4F"/>
    <w:rsid w:val="00122C6E"/>
    <w:rsid w:val="00122D12"/>
    <w:rsid w:val="00122D34"/>
    <w:rsid w:val="00122E79"/>
    <w:rsid w:val="00122FFC"/>
    <w:rsid w:val="00123105"/>
    <w:rsid w:val="001231FE"/>
    <w:rsid w:val="001234BB"/>
    <w:rsid w:val="001234CD"/>
    <w:rsid w:val="0012368E"/>
    <w:rsid w:val="00123753"/>
    <w:rsid w:val="00123913"/>
    <w:rsid w:val="0012392F"/>
    <w:rsid w:val="00123953"/>
    <w:rsid w:val="001239A8"/>
    <w:rsid w:val="001239F1"/>
    <w:rsid w:val="00123A9D"/>
    <w:rsid w:val="00123CAA"/>
    <w:rsid w:val="00123F24"/>
    <w:rsid w:val="00123F34"/>
    <w:rsid w:val="00123F50"/>
    <w:rsid w:val="00123F7B"/>
    <w:rsid w:val="00124103"/>
    <w:rsid w:val="00124139"/>
    <w:rsid w:val="00124297"/>
    <w:rsid w:val="001243F4"/>
    <w:rsid w:val="001246C4"/>
    <w:rsid w:val="0012480C"/>
    <w:rsid w:val="00124824"/>
    <w:rsid w:val="0012485B"/>
    <w:rsid w:val="00124A8D"/>
    <w:rsid w:val="00124B25"/>
    <w:rsid w:val="00124CB2"/>
    <w:rsid w:val="00124E2B"/>
    <w:rsid w:val="00124F4E"/>
    <w:rsid w:val="001250B7"/>
    <w:rsid w:val="001252BD"/>
    <w:rsid w:val="00125408"/>
    <w:rsid w:val="0012540D"/>
    <w:rsid w:val="001256EA"/>
    <w:rsid w:val="001256FC"/>
    <w:rsid w:val="0012586D"/>
    <w:rsid w:val="00125A6C"/>
    <w:rsid w:val="00125DF4"/>
    <w:rsid w:val="00125E49"/>
    <w:rsid w:val="00125E84"/>
    <w:rsid w:val="00125EFD"/>
    <w:rsid w:val="00126054"/>
    <w:rsid w:val="0012636D"/>
    <w:rsid w:val="00126451"/>
    <w:rsid w:val="0012648F"/>
    <w:rsid w:val="001264C9"/>
    <w:rsid w:val="00126724"/>
    <w:rsid w:val="0012680E"/>
    <w:rsid w:val="001268BF"/>
    <w:rsid w:val="00126919"/>
    <w:rsid w:val="00126928"/>
    <w:rsid w:val="00126988"/>
    <w:rsid w:val="00126B1E"/>
    <w:rsid w:val="00126B7F"/>
    <w:rsid w:val="00126F83"/>
    <w:rsid w:val="00127102"/>
    <w:rsid w:val="00127189"/>
    <w:rsid w:val="001271BD"/>
    <w:rsid w:val="001271E5"/>
    <w:rsid w:val="00127288"/>
    <w:rsid w:val="0012730D"/>
    <w:rsid w:val="001276D9"/>
    <w:rsid w:val="00127999"/>
    <w:rsid w:val="00127A68"/>
    <w:rsid w:val="00127AFB"/>
    <w:rsid w:val="00127B83"/>
    <w:rsid w:val="00127BA7"/>
    <w:rsid w:val="001301CF"/>
    <w:rsid w:val="00130363"/>
    <w:rsid w:val="00130425"/>
    <w:rsid w:val="00130638"/>
    <w:rsid w:val="0013078D"/>
    <w:rsid w:val="00130823"/>
    <w:rsid w:val="00130984"/>
    <w:rsid w:val="00130A2C"/>
    <w:rsid w:val="00130A57"/>
    <w:rsid w:val="00130B96"/>
    <w:rsid w:val="00130BEA"/>
    <w:rsid w:val="00130C22"/>
    <w:rsid w:val="00130C56"/>
    <w:rsid w:val="00130C57"/>
    <w:rsid w:val="00130F90"/>
    <w:rsid w:val="00130FDE"/>
    <w:rsid w:val="001310EA"/>
    <w:rsid w:val="001311E2"/>
    <w:rsid w:val="0013135D"/>
    <w:rsid w:val="001314E1"/>
    <w:rsid w:val="0013153C"/>
    <w:rsid w:val="00131603"/>
    <w:rsid w:val="00131996"/>
    <w:rsid w:val="001319A5"/>
    <w:rsid w:val="001319D2"/>
    <w:rsid w:val="00131AC4"/>
    <w:rsid w:val="00131C75"/>
    <w:rsid w:val="00131ECF"/>
    <w:rsid w:val="001321CB"/>
    <w:rsid w:val="001322F5"/>
    <w:rsid w:val="00132507"/>
    <w:rsid w:val="0013251E"/>
    <w:rsid w:val="0013255B"/>
    <w:rsid w:val="00132596"/>
    <w:rsid w:val="001325C6"/>
    <w:rsid w:val="001326BF"/>
    <w:rsid w:val="0013277D"/>
    <w:rsid w:val="00132864"/>
    <w:rsid w:val="001329EE"/>
    <w:rsid w:val="00132B1C"/>
    <w:rsid w:val="00132B43"/>
    <w:rsid w:val="00132F12"/>
    <w:rsid w:val="00132FF0"/>
    <w:rsid w:val="001331D4"/>
    <w:rsid w:val="00133210"/>
    <w:rsid w:val="00133215"/>
    <w:rsid w:val="001333D4"/>
    <w:rsid w:val="00133428"/>
    <w:rsid w:val="00133632"/>
    <w:rsid w:val="00133815"/>
    <w:rsid w:val="00133BCE"/>
    <w:rsid w:val="00133D24"/>
    <w:rsid w:val="00133D61"/>
    <w:rsid w:val="00133DC7"/>
    <w:rsid w:val="00134029"/>
    <w:rsid w:val="0013402A"/>
    <w:rsid w:val="00134033"/>
    <w:rsid w:val="00134048"/>
    <w:rsid w:val="001341AB"/>
    <w:rsid w:val="00134350"/>
    <w:rsid w:val="001343D8"/>
    <w:rsid w:val="0013444C"/>
    <w:rsid w:val="001344B8"/>
    <w:rsid w:val="001344CD"/>
    <w:rsid w:val="00134754"/>
    <w:rsid w:val="001347FB"/>
    <w:rsid w:val="00134950"/>
    <w:rsid w:val="001349E4"/>
    <w:rsid w:val="00134A6F"/>
    <w:rsid w:val="00134A94"/>
    <w:rsid w:val="00134B51"/>
    <w:rsid w:val="00134BEF"/>
    <w:rsid w:val="00134DA0"/>
    <w:rsid w:val="00134EF0"/>
    <w:rsid w:val="00134F31"/>
    <w:rsid w:val="00134FC4"/>
    <w:rsid w:val="00135215"/>
    <w:rsid w:val="001352F3"/>
    <w:rsid w:val="00135399"/>
    <w:rsid w:val="001353EA"/>
    <w:rsid w:val="00135438"/>
    <w:rsid w:val="001354CD"/>
    <w:rsid w:val="00135687"/>
    <w:rsid w:val="001356BE"/>
    <w:rsid w:val="00135C49"/>
    <w:rsid w:val="00135CDD"/>
    <w:rsid w:val="00135F5D"/>
    <w:rsid w:val="00136079"/>
    <w:rsid w:val="001361CE"/>
    <w:rsid w:val="0013626A"/>
    <w:rsid w:val="001365F9"/>
    <w:rsid w:val="001366DB"/>
    <w:rsid w:val="0013699C"/>
    <w:rsid w:val="00136DA0"/>
    <w:rsid w:val="00136DF0"/>
    <w:rsid w:val="00136EE6"/>
    <w:rsid w:val="00136F46"/>
    <w:rsid w:val="00137302"/>
    <w:rsid w:val="00137335"/>
    <w:rsid w:val="00137365"/>
    <w:rsid w:val="0013750E"/>
    <w:rsid w:val="00137A99"/>
    <w:rsid w:val="00137B84"/>
    <w:rsid w:val="00137BBE"/>
    <w:rsid w:val="00137C02"/>
    <w:rsid w:val="00137D98"/>
    <w:rsid w:val="00137DE9"/>
    <w:rsid w:val="00137E0F"/>
    <w:rsid w:val="00137E32"/>
    <w:rsid w:val="00137E58"/>
    <w:rsid w:val="00137ED6"/>
    <w:rsid w:val="00137FA8"/>
    <w:rsid w:val="00137FCF"/>
    <w:rsid w:val="0014000E"/>
    <w:rsid w:val="00140123"/>
    <w:rsid w:val="00140238"/>
    <w:rsid w:val="0014064E"/>
    <w:rsid w:val="0014074A"/>
    <w:rsid w:val="00140876"/>
    <w:rsid w:val="00140978"/>
    <w:rsid w:val="001409B9"/>
    <w:rsid w:val="00140A22"/>
    <w:rsid w:val="00140A2E"/>
    <w:rsid w:val="00140A79"/>
    <w:rsid w:val="00140D62"/>
    <w:rsid w:val="00140DC7"/>
    <w:rsid w:val="00140EEB"/>
    <w:rsid w:val="001411C6"/>
    <w:rsid w:val="00141296"/>
    <w:rsid w:val="00141392"/>
    <w:rsid w:val="00141514"/>
    <w:rsid w:val="0014156F"/>
    <w:rsid w:val="00141570"/>
    <w:rsid w:val="00141598"/>
    <w:rsid w:val="001416C3"/>
    <w:rsid w:val="001416FC"/>
    <w:rsid w:val="0014196B"/>
    <w:rsid w:val="00141A53"/>
    <w:rsid w:val="00141A60"/>
    <w:rsid w:val="00141BBD"/>
    <w:rsid w:val="00141E79"/>
    <w:rsid w:val="00141E8D"/>
    <w:rsid w:val="00142030"/>
    <w:rsid w:val="001420A8"/>
    <w:rsid w:val="00142166"/>
    <w:rsid w:val="00142238"/>
    <w:rsid w:val="0014224C"/>
    <w:rsid w:val="00142346"/>
    <w:rsid w:val="0014239A"/>
    <w:rsid w:val="00142461"/>
    <w:rsid w:val="00142691"/>
    <w:rsid w:val="001427F4"/>
    <w:rsid w:val="00142836"/>
    <w:rsid w:val="00142895"/>
    <w:rsid w:val="00142945"/>
    <w:rsid w:val="00142BD5"/>
    <w:rsid w:val="00142D60"/>
    <w:rsid w:val="00143039"/>
    <w:rsid w:val="00143044"/>
    <w:rsid w:val="0014306C"/>
    <w:rsid w:val="001430CF"/>
    <w:rsid w:val="001431AB"/>
    <w:rsid w:val="001431D9"/>
    <w:rsid w:val="001433AD"/>
    <w:rsid w:val="0014346D"/>
    <w:rsid w:val="001434C5"/>
    <w:rsid w:val="001435DE"/>
    <w:rsid w:val="00143646"/>
    <w:rsid w:val="00143760"/>
    <w:rsid w:val="0014399A"/>
    <w:rsid w:val="00143C8A"/>
    <w:rsid w:val="00143D79"/>
    <w:rsid w:val="00143F83"/>
    <w:rsid w:val="00144394"/>
    <w:rsid w:val="001443A8"/>
    <w:rsid w:val="001443DE"/>
    <w:rsid w:val="0014456F"/>
    <w:rsid w:val="001445D0"/>
    <w:rsid w:val="00144745"/>
    <w:rsid w:val="00144747"/>
    <w:rsid w:val="00144770"/>
    <w:rsid w:val="0014478B"/>
    <w:rsid w:val="001448C3"/>
    <w:rsid w:val="00144BF7"/>
    <w:rsid w:val="00144C88"/>
    <w:rsid w:val="00144DEE"/>
    <w:rsid w:val="00144EB0"/>
    <w:rsid w:val="00145346"/>
    <w:rsid w:val="00145387"/>
    <w:rsid w:val="0014546F"/>
    <w:rsid w:val="00145471"/>
    <w:rsid w:val="00145514"/>
    <w:rsid w:val="00145A26"/>
    <w:rsid w:val="00145B5C"/>
    <w:rsid w:val="00145DE7"/>
    <w:rsid w:val="00145DEE"/>
    <w:rsid w:val="00146069"/>
    <w:rsid w:val="00146194"/>
    <w:rsid w:val="001461EF"/>
    <w:rsid w:val="00146431"/>
    <w:rsid w:val="001465AD"/>
    <w:rsid w:val="00146968"/>
    <w:rsid w:val="00146ED0"/>
    <w:rsid w:val="001470F5"/>
    <w:rsid w:val="00147162"/>
    <w:rsid w:val="0014718E"/>
    <w:rsid w:val="001472D8"/>
    <w:rsid w:val="00147368"/>
    <w:rsid w:val="0014736E"/>
    <w:rsid w:val="0014770D"/>
    <w:rsid w:val="00147715"/>
    <w:rsid w:val="00147FB4"/>
    <w:rsid w:val="00147FC8"/>
    <w:rsid w:val="0015017E"/>
    <w:rsid w:val="0015041A"/>
    <w:rsid w:val="00150972"/>
    <w:rsid w:val="00150A3F"/>
    <w:rsid w:val="00150A81"/>
    <w:rsid w:val="00150A9B"/>
    <w:rsid w:val="00150AA2"/>
    <w:rsid w:val="00150ACE"/>
    <w:rsid w:val="00150D86"/>
    <w:rsid w:val="00150EBA"/>
    <w:rsid w:val="00150F7E"/>
    <w:rsid w:val="0015103E"/>
    <w:rsid w:val="001510A3"/>
    <w:rsid w:val="001510E3"/>
    <w:rsid w:val="0015128F"/>
    <w:rsid w:val="001515A2"/>
    <w:rsid w:val="0015164F"/>
    <w:rsid w:val="0015184B"/>
    <w:rsid w:val="001518AC"/>
    <w:rsid w:val="00151D33"/>
    <w:rsid w:val="00151D62"/>
    <w:rsid w:val="00151DD3"/>
    <w:rsid w:val="00151E46"/>
    <w:rsid w:val="00152042"/>
    <w:rsid w:val="0015210A"/>
    <w:rsid w:val="001521D1"/>
    <w:rsid w:val="00152228"/>
    <w:rsid w:val="00152342"/>
    <w:rsid w:val="0015244B"/>
    <w:rsid w:val="001524E3"/>
    <w:rsid w:val="00152646"/>
    <w:rsid w:val="001527B9"/>
    <w:rsid w:val="001528AA"/>
    <w:rsid w:val="00152A67"/>
    <w:rsid w:val="00152AB8"/>
    <w:rsid w:val="00152B2C"/>
    <w:rsid w:val="00152B99"/>
    <w:rsid w:val="00152BCB"/>
    <w:rsid w:val="00152DBA"/>
    <w:rsid w:val="00152F12"/>
    <w:rsid w:val="00152FE3"/>
    <w:rsid w:val="00152FFB"/>
    <w:rsid w:val="00153206"/>
    <w:rsid w:val="0015334C"/>
    <w:rsid w:val="00153485"/>
    <w:rsid w:val="001534BE"/>
    <w:rsid w:val="001534FE"/>
    <w:rsid w:val="00153619"/>
    <w:rsid w:val="00153813"/>
    <w:rsid w:val="00153986"/>
    <w:rsid w:val="00153B5E"/>
    <w:rsid w:val="00153BF4"/>
    <w:rsid w:val="00153D21"/>
    <w:rsid w:val="00154214"/>
    <w:rsid w:val="00154220"/>
    <w:rsid w:val="001543DF"/>
    <w:rsid w:val="001544E1"/>
    <w:rsid w:val="00154545"/>
    <w:rsid w:val="001545A0"/>
    <w:rsid w:val="001545AE"/>
    <w:rsid w:val="001545BB"/>
    <w:rsid w:val="00154688"/>
    <w:rsid w:val="00154793"/>
    <w:rsid w:val="0015485D"/>
    <w:rsid w:val="001548BF"/>
    <w:rsid w:val="00154951"/>
    <w:rsid w:val="00154979"/>
    <w:rsid w:val="00154A61"/>
    <w:rsid w:val="00154BBF"/>
    <w:rsid w:val="00154CB8"/>
    <w:rsid w:val="00154E4D"/>
    <w:rsid w:val="00154E92"/>
    <w:rsid w:val="00154F8B"/>
    <w:rsid w:val="00154FF8"/>
    <w:rsid w:val="00154FFE"/>
    <w:rsid w:val="00155104"/>
    <w:rsid w:val="0015518F"/>
    <w:rsid w:val="00155373"/>
    <w:rsid w:val="001553EC"/>
    <w:rsid w:val="00155410"/>
    <w:rsid w:val="00155571"/>
    <w:rsid w:val="00155618"/>
    <w:rsid w:val="00155627"/>
    <w:rsid w:val="00155698"/>
    <w:rsid w:val="001559F3"/>
    <w:rsid w:val="00155E24"/>
    <w:rsid w:val="00155FC2"/>
    <w:rsid w:val="00156008"/>
    <w:rsid w:val="00156269"/>
    <w:rsid w:val="00156390"/>
    <w:rsid w:val="00156584"/>
    <w:rsid w:val="001565D9"/>
    <w:rsid w:val="00156ACA"/>
    <w:rsid w:val="00156AEF"/>
    <w:rsid w:val="00156CDF"/>
    <w:rsid w:val="00156E97"/>
    <w:rsid w:val="00156FF2"/>
    <w:rsid w:val="00157077"/>
    <w:rsid w:val="001573B3"/>
    <w:rsid w:val="00157483"/>
    <w:rsid w:val="0015748F"/>
    <w:rsid w:val="0015765C"/>
    <w:rsid w:val="00157BD0"/>
    <w:rsid w:val="00157BD6"/>
    <w:rsid w:val="00157F4C"/>
    <w:rsid w:val="00157FDB"/>
    <w:rsid w:val="00157FFB"/>
    <w:rsid w:val="0016002E"/>
    <w:rsid w:val="00160048"/>
    <w:rsid w:val="001602F7"/>
    <w:rsid w:val="001603B2"/>
    <w:rsid w:val="00160544"/>
    <w:rsid w:val="0016065E"/>
    <w:rsid w:val="00160746"/>
    <w:rsid w:val="00160874"/>
    <w:rsid w:val="00160955"/>
    <w:rsid w:val="00160998"/>
    <w:rsid w:val="00160C79"/>
    <w:rsid w:val="00160CD4"/>
    <w:rsid w:val="00160D89"/>
    <w:rsid w:val="00160F38"/>
    <w:rsid w:val="00160F5A"/>
    <w:rsid w:val="00161135"/>
    <w:rsid w:val="0016129F"/>
    <w:rsid w:val="001613A0"/>
    <w:rsid w:val="001615B0"/>
    <w:rsid w:val="00161808"/>
    <w:rsid w:val="00161A61"/>
    <w:rsid w:val="00161AD8"/>
    <w:rsid w:val="00161B2C"/>
    <w:rsid w:val="00161B7C"/>
    <w:rsid w:val="00161C0D"/>
    <w:rsid w:val="00161C69"/>
    <w:rsid w:val="00161ECE"/>
    <w:rsid w:val="00161EF7"/>
    <w:rsid w:val="00161FC5"/>
    <w:rsid w:val="0016219D"/>
    <w:rsid w:val="001624B2"/>
    <w:rsid w:val="0016260F"/>
    <w:rsid w:val="0016268B"/>
    <w:rsid w:val="001627DF"/>
    <w:rsid w:val="001629A2"/>
    <w:rsid w:val="001629B4"/>
    <w:rsid w:val="00162A2C"/>
    <w:rsid w:val="00162BCA"/>
    <w:rsid w:val="00162C61"/>
    <w:rsid w:val="00162CB3"/>
    <w:rsid w:val="00162EF1"/>
    <w:rsid w:val="00163143"/>
    <w:rsid w:val="001631FC"/>
    <w:rsid w:val="001632B9"/>
    <w:rsid w:val="001634E4"/>
    <w:rsid w:val="001635B8"/>
    <w:rsid w:val="001635FD"/>
    <w:rsid w:val="001636F8"/>
    <w:rsid w:val="0016377C"/>
    <w:rsid w:val="00163855"/>
    <w:rsid w:val="001638FA"/>
    <w:rsid w:val="00163A37"/>
    <w:rsid w:val="00163B53"/>
    <w:rsid w:val="00163BE2"/>
    <w:rsid w:val="00163C73"/>
    <w:rsid w:val="00163DD9"/>
    <w:rsid w:val="00163EA6"/>
    <w:rsid w:val="00163F10"/>
    <w:rsid w:val="00163F2A"/>
    <w:rsid w:val="00163FC2"/>
    <w:rsid w:val="00164235"/>
    <w:rsid w:val="00164309"/>
    <w:rsid w:val="00164924"/>
    <w:rsid w:val="00164A97"/>
    <w:rsid w:val="00164B3E"/>
    <w:rsid w:val="00164DD4"/>
    <w:rsid w:val="0016500E"/>
    <w:rsid w:val="0016508D"/>
    <w:rsid w:val="001651B0"/>
    <w:rsid w:val="001652F2"/>
    <w:rsid w:val="00165301"/>
    <w:rsid w:val="001653ED"/>
    <w:rsid w:val="0016561B"/>
    <w:rsid w:val="001656AD"/>
    <w:rsid w:val="00165703"/>
    <w:rsid w:val="00165734"/>
    <w:rsid w:val="001657ED"/>
    <w:rsid w:val="0016592E"/>
    <w:rsid w:val="00165B0B"/>
    <w:rsid w:val="00165DA0"/>
    <w:rsid w:val="00165DEA"/>
    <w:rsid w:val="00165FEA"/>
    <w:rsid w:val="001661BD"/>
    <w:rsid w:val="001662CD"/>
    <w:rsid w:val="0016648B"/>
    <w:rsid w:val="00166583"/>
    <w:rsid w:val="001665B7"/>
    <w:rsid w:val="00166621"/>
    <w:rsid w:val="0016662D"/>
    <w:rsid w:val="00166884"/>
    <w:rsid w:val="00166C99"/>
    <w:rsid w:val="00166CAC"/>
    <w:rsid w:val="00166D5D"/>
    <w:rsid w:val="00166E1F"/>
    <w:rsid w:val="00166F6D"/>
    <w:rsid w:val="00166F7E"/>
    <w:rsid w:val="00167078"/>
    <w:rsid w:val="00167289"/>
    <w:rsid w:val="00167488"/>
    <w:rsid w:val="00167650"/>
    <w:rsid w:val="00167761"/>
    <w:rsid w:val="001677AF"/>
    <w:rsid w:val="00167A32"/>
    <w:rsid w:val="00167A4F"/>
    <w:rsid w:val="00167A74"/>
    <w:rsid w:val="00167B1A"/>
    <w:rsid w:val="00167C03"/>
    <w:rsid w:val="00167ED1"/>
    <w:rsid w:val="00167ED9"/>
    <w:rsid w:val="001700FB"/>
    <w:rsid w:val="0017025E"/>
    <w:rsid w:val="00170262"/>
    <w:rsid w:val="00170345"/>
    <w:rsid w:val="00170499"/>
    <w:rsid w:val="001705DB"/>
    <w:rsid w:val="00170624"/>
    <w:rsid w:val="0017065F"/>
    <w:rsid w:val="00170678"/>
    <w:rsid w:val="001706DE"/>
    <w:rsid w:val="00170939"/>
    <w:rsid w:val="00170C79"/>
    <w:rsid w:val="00170DA9"/>
    <w:rsid w:val="001710B6"/>
    <w:rsid w:val="00171132"/>
    <w:rsid w:val="001712D0"/>
    <w:rsid w:val="00171469"/>
    <w:rsid w:val="001715BD"/>
    <w:rsid w:val="0017160C"/>
    <w:rsid w:val="00171737"/>
    <w:rsid w:val="0017177B"/>
    <w:rsid w:val="00171789"/>
    <w:rsid w:val="001717F8"/>
    <w:rsid w:val="00171963"/>
    <w:rsid w:val="00171A14"/>
    <w:rsid w:val="00171C09"/>
    <w:rsid w:val="00171EFD"/>
    <w:rsid w:val="00171FEE"/>
    <w:rsid w:val="001720B9"/>
    <w:rsid w:val="00172185"/>
    <w:rsid w:val="001725C8"/>
    <w:rsid w:val="00172607"/>
    <w:rsid w:val="001726C2"/>
    <w:rsid w:val="00172739"/>
    <w:rsid w:val="00172906"/>
    <w:rsid w:val="00172967"/>
    <w:rsid w:val="001729E9"/>
    <w:rsid w:val="001729F8"/>
    <w:rsid w:val="00172CA4"/>
    <w:rsid w:val="00172DC9"/>
    <w:rsid w:val="00172E91"/>
    <w:rsid w:val="00173052"/>
    <w:rsid w:val="001730DE"/>
    <w:rsid w:val="00173101"/>
    <w:rsid w:val="00173121"/>
    <w:rsid w:val="00173173"/>
    <w:rsid w:val="001731C6"/>
    <w:rsid w:val="001732B0"/>
    <w:rsid w:val="001733A4"/>
    <w:rsid w:val="00173452"/>
    <w:rsid w:val="0017360B"/>
    <w:rsid w:val="001736AC"/>
    <w:rsid w:val="001737AB"/>
    <w:rsid w:val="001737F8"/>
    <w:rsid w:val="00173AD5"/>
    <w:rsid w:val="00173ADC"/>
    <w:rsid w:val="00173D5D"/>
    <w:rsid w:val="00173DE6"/>
    <w:rsid w:val="00173FD4"/>
    <w:rsid w:val="00174122"/>
    <w:rsid w:val="0017417C"/>
    <w:rsid w:val="00174381"/>
    <w:rsid w:val="001744A4"/>
    <w:rsid w:val="001744D4"/>
    <w:rsid w:val="001748F7"/>
    <w:rsid w:val="0017490C"/>
    <w:rsid w:val="0017495B"/>
    <w:rsid w:val="00174B98"/>
    <w:rsid w:val="00174BD2"/>
    <w:rsid w:val="00174CAD"/>
    <w:rsid w:val="00174D8A"/>
    <w:rsid w:val="00174DAD"/>
    <w:rsid w:val="00174EF1"/>
    <w:rsid w:val="00174F62"/>
    <w:rsid w:val="00174FD5"/>
    <w:rsid w:val="00175047"/>
    <w:rsid w:val="001750CA"/>
    <w:rsid w:val="0017515D"/>
    <w:rsid w:val="001751D6"/>
    <w:rsid w:val="00175524"/>
    <w:rsid w:val="00175528"/>
    <w:rsid w:val="00175567"/>
    <w:rsid w:val="0017561B"/>
    <w:rsid w:val="0017572D"/>
    <w:rsid w:val="00175743"/>
    <w:rsid w:val="001757C2"/>
    <w:rsid w:val="00175897"/>
    <w:rsid w:val="00175AD3"/>
    <w:rsid w:val="00175AFB"/>
    <w:rsid w:val="00175B0E"/>
    <w:rsid w:val="00175D83"/>
    <w:rsid w:val="00175EE9"/>
    <w:rsid w:val="00176089"/>
    <w:rsid w:val="001761FA"/>
    <w:rsid w:val="00176281"/>
    <w:rsid w:val="001762DF"/>
    <w:rsid w:val="001763DE"/>
    <w:rsid w:val="00176404"/>
    <w:rsid w:val="001765BB"/>
    <w:rsid w:val="001765FD"/>
    <w:rsid w:val="0017672E"/>
    <w:rsid w:val="00176856"/>
    <w:rsid w:val="00176A4A"/>
    <w:rsid w:val="00176A5D"/>
    <w:rsid w:val="00176A78"/>
    <w:rsid w:val="00176A97"/>
    <w:rsid w:val="00176AF6"/>
    <w:rsid w:val="00176B72"/>
    <w:rsid w:val="00176B8A"/>
    <w:rsid w:val="00176C52"/>
    <w:rsid w:val="00176C58"/>
    <w:rsid w:val="00176C67"/>
    <w:rsid w:val="00176D43"/>
    <w:rsid w:val="00176D48"/>
    <w:rsid w:val="00176E69"/>
    <w:rsid w:val="00176EAB"/>
    <w:rsid w:val="00177031"/>
    <w:rsid w:val="001770B0"/>
    <w:rsid w:val="001775B5"/>
    <w:rsid w:val="0017763C"/>
    <w:rsid w:val="001777A5"/>
    <w:rsid w:val="00177835"/>
    <w:rsid w:val="001778A3"/>
    <w:rsid w:val="001778AB"/>
    <w:rsid w:val="00177A29"/>
    <w:rsid w:val="00177AAB"/>
    <w:rsid w:val="00177B9E"/>
    <w:rsid w:val="00177BA5"/>
    <w:rsid w:val="00177C86"/>
    <w:rsid w:val="00177CF5"/>
    <w:rsid w:val="00177D99"/>
    <w:rsid w:val="00177E05"/>
    <w:rsid w:val="00177E58"/>
    <w:rsid w:val="00177E9E"/>
    <w:rsid w:val="00177FDB"/>
    <w:rsid w:val="001800AD"/>
    <w:rsid w:val="00180217"/>
    <w:rsid w:val="0018026C"/>
    <w:rsid w:val="00180303"/>
    <w:rsid w:val="00180409"/>
    <w:rsid w:val="00180416"/>
    <w:rsid w:val="0018045B"/>
    <w:rsid w:val="001804BB"/>
    <w:rsid w:val="001806DF"/>
    <w:rsid w:val="001807B5"/>
    <w:rsid w:val="001807B8"/>
    <w:rsid w:val="001807C1"/>
    <w:rsid w:val="001807F8"/>
    <w:rsid w:val="00180A47"/>
    <w:rsid w:val="00180BB4"/>
    <w:rsid w:val="00180D03"/>
    <w:rsid w:val="00180D09"/>
    <w:rsid w:val="00180ED1"/>
    <w:rsid w:val="00180ED5"/>
    <w:rsid w:val="001810BB"/>
    <w:rsid w:val="00181213"/>
    <w:rsid w:val="00181482"/>
    <w:rsid w:val="001815D3"/>
    <w:rsid w:val="001816A7"/>
    <w:rsid w:val="0018181B"/>
    <w:rsid w:val="00181950"/>
    <w:rsid w:val="001819E2"/>
    <w:rsid w:val="00181A25"/>
    <w:rsid w:val="00181D07"/>
    <w:rsid w:val="00181D3E"/>
    <w:rsid w:val="00181EB2"/>
    <w:rsid w:val="00181ED7"/>
    <w:rsid w:val="00182046"/>
    <w:rsid w:val="0018216A"/>
    <w:rsid w:val="001821E4"/>
    <w:rsid w:val="00182504"/>
    <w:rsid w:val="001825C3"/>
    <w:rsid w:val="001825CF"/>
    <w:rsid w:val="001826B4"/>
    <w:rsid w:val="00182AC9"/>
    <w:rsid w:val="00182AF5"/>
    <w:rsid w:val="00182B3D"/>
    <w:rsid w:val="00182BB9"/>
    <w:rsid w:val="00182F27"/>
    <w:rsid w:val="00182F57"/>
    <w:rsid w:val="001830C5"/>
    <w:rsid w:val="001833A2"/>
    <w:rsid w:val="001833FB"/>
    <w:rsid w:val="0018343D"/>
    <w:rsid w:val="00183545"/>
    <w:rsid w:val="00183613"/>
    <w:rsid w:val="001839DD"/>
    <w:rsid w:val="00183B0C"/>
    <w:rsid w:val="00183C90"/>
    <w:rsid w:val="00183C9F"/>
    <w:rsid w:val="00183DC0"/>
    <w:rsid w:val="00183E5A"/>
    <w:rsid w:val="00183E82"/>
    <w:rsid w:val="00183E91"/>
    <w:rsid w:val="00183FCA"/>
    <w:rsid w:val="00184082"/>
    <w:rsid w:val="00184368"/>
    <w:rsid w:val="0018453E"/>
    <w:rsid w:val="001846E2"/>
    <w:rsid w:val="00184734"/>
    <w:rsid w:val="00184881"/>
    <w:rsid w:val="001849A0"/>
    <w:rsid w:val="00184AD2"/>
    <w:rsid w:val="00184CE1"/>
    <w:rsid w:val="00184D8E"/>
    <w:rsid w:val="00184F18"/>
    <w:rsid w:val="00184F70"/>
    <w:rsid w:val="001850A5"/>
    <w:rsid w:val="001853DA"/>
    <w:rsid w:val="0018567B"/>
    <w:rsid w:val="001856C7"/>
    <w:rsid w:val="00185720"/>
    <w:rsid w:val="001857E4"/>
    <w:rsid w:val="00185A7F"/>
    <w:rsid w:val="00185B51"/>
    <w:rsid w:val="00185E35"/>
    <w:rsid w:val="00185F7F"/>
    <w:rsid w:val="00185FC3"/>
    <w:rsid w:val="00186082"/>
    <w:rsid w:val="00186139"/>
    <w:rsid w:val="001861E5"/>
    <w:rsid w:val="0018630D"/>
    <w:rsid w:val="001863CF"/>
    <w:rsid w:val="0018661C"/>
    <w:rsid w:val="00186628"/>
    <w:rsid w:val="00186816"/>
    <w:rsid w:val="00186A48"/>
    <w:rsid w:val="00186AC5"/>
    <w:rsid w:val="00186B71"/>
    <w:rsid w:val="00186BAB"/>
    <w:rsid w:val="00186D7A"/>
    <w:rsid w:val="00186DF7"/>
    <w:rsid w:val="00186E38"/>
    <w:rsid w:val="00186EE3"/>
    <w:rsid w:val="001871A4"/>
    <w:rsid w:val="0018745E"/>
    <w:rsid w:val="00187504"/>
    <w:rsid w:val="001877AC"/>
    <w:rsid w:val="001878AF"/>
    <w:rsid w:val="001878DB"/>
    <w:rsid w:val="0018790A"/>
    <w:rsid w:val="00187A80"/>
    <w:rsid w:val="00187AE1"/>
    <w:rsid w:val="00187B8B"/>
    <w:rsid w:val="00187C91"/>
    <w:rsid w:val="00187CA6"/>
    <w:rsid w:val="00187CF7"/>
    <w:rsid w:val="00187E18"/>
    <w:rsid w:val="00190023"/>
    <w:rsid w:val="001904C8"/>
    <w:rsid w:val="001905CA"/>
    <w:rsid w:val="00190621"/>
    <w:rsid w:val="00190630"/>
    <w:rsid w:val="001906C1"/>
    <w:rsid w:val="0019095C"/>
    <w:rsid w:val="00190992"/>
    <w:rsid w:val="001909AF"/>
    <w:rsid w:val="00190AF7"/>
    <w:rsid w:val="00190B00"/>
    <w:rsid w:val="00190B34"/>
    <w:rsid w:val="00190BCB"/>
    <w:rsid w:val="00190D5D"/>
    <w:rsid w:val="00190E07"/>
    <w:rsid w:val="0019129B"/>
    <w:rsid w:val="001912AE"/>
    <w:rsid w:val="00191657"/>
    <w:rsid w:val="001917DD"/>
    <w:rsid w:val="0019181F"/>
    <w:rsid w:val="001918C1"/>
    <w:rsid w:val="00191D15"/>
    <w:rsid w:val="00191E0A"/>
    <w:rsid w:val="001928A0"/>
    <w:rsid w:val="001929D5"/>
    <w:rsid w:val="00192A34"/>
    <w:rsid w:val="00192AAC"/>
    <w:rsid w:val="00192B4B"/>
    <w:rsid w:val="00192C54"/>
    <w:rsid w:val="00192DDC"/>
    <w:rsid w:val="00192E39"/>
    <w:rsid w:val="00192E4F"/>
    <w:rsid w:val="00192E83"/>
    <w:rsid w:val="00193057"/>
    <w:rsid w:val="00193496"/>
    <w:rsid w:val="00193792"/>
    <w:rsid w:val="00193917"/>
    <w:rsid w:val="001939C3"/>
    <w:rsid w:val="00193A87"/>
    <w:rsid w:val="00193A95"/>
    <w:rsid w:val="00193B4F"/>
    <w:rsid w:val="00193BB0"/>
    <w:rsid w:val="00193BD6"/>
    <w:rsid w:val="00193C8B"/>
    <w:rsid w:val="00193D43"/>
    <w:rsid w:val="00193D6C"/>
    <w:rsid w:val="00193EA8"/>
    <w:rsid w:val="00193ED5"/>
    <w:rsid w:val="00193F8D"/>
    <w:rsid w:val="00194231"/>
    <w:rsid w:val="001944B2"/>
    <w:rsid w:val="0019468B"/>
    <w:rsid w:val="001947EC"/>
    <w:rsid w:val="00194897"/>
    <w:rsid w:val="00194978"/>
    <w:rsid w:val="00194A92"/>
    <w:rsid w:val="00194B7D"/>
    <w:rsid w:val="00194C33"/>
    <w:rsid w:val="00194CD0"/>
    <w:rsid w:val="00194E53"/>
    <w:rsid w:val="00194EA2"/>
    <w:rsid w:val="00194FDF"/>
    <w:rsid w:val="00194FE2"/>
    <w:rsid w:val="00195057"/>
    <w:rsid w:val="00195078"/>
    <w:rsid w:val="0019515A"/>
    <w:rsid w:val="00195419"/>
    <w:rsid w:val="0019542E"/>
    <w:rsid w:val="0019546B"/>
    <w:rsid w:val="001956CE"/>
    <w:rsid w:val="00195823"/>
    <w:rsid w:val="00195958"/>
    <w:rsid w:val="00195974"/>
    <w:rsid w:val="00195DDD"/>
    <w:rsid w:val="00195E73"/>
    <w:rsid w:val="00195F82"/>
    <w:rsid w:val="00196087"/>
    <w:rsid w:val="00196199"/>
    <w:rsid w:val="0019624B"/>
    <w:rsid w:val="001962E8"/>
    <w:rsid w:val="00196394"/>
    <w:rsid w:val="0019644B"/>
    <w:rsid w:val="001964BA"/>
    <w:rsid w:val="0019652C"/>
    <w:rsid w:val="001968F1"/>
    <w:rsid w:val="00196923"/>
    <w:rsid w:val="00196A92"/>
    <w:rsid w:val="00196FA9"/>
    <w:rsid w:val="00196FAC"/>
    <w:rsid w:val="00197018"/>
    <w:rsid w:val="001970B2"/>
    <w:rsid w:val="001971D9"/>
    <w:rsid w:val="001972A5"/>
    <w:rsid w:val="0019773E"/>
    <w:rsid w:val="00197C4F"/>
    <w:rsid w:val="00197CBE"/>
    <w:rsid w:val="00197CC9"/>
    <w:rsid w:val="00197DB2"/>
    <w:rsid w:val="00197E49"/>
    <w:rsid w:val="00197F3F"/>
    <w:rsid w:val="001A01B8"/>
    <w:rsid w:val="001A0324"/>
    <w:rsid w:val="001A034B"/>
    <w:rsid w:val="001A051D"/>
    <w:rsid w:val="001A0649"/>
    <w:rsid w:val="001A06A4"/>
    <w:rsid w:val="001A07B6"/>
    <w:rsid w:val="001A0811"/>
    <w:rsid w:val="001A084F"/>
    <w:rsid w:val="001A08D4"/>
    <w:rsid w:val="001A0AD2"/>
    <w:rsid w:val="001A0AE6"/>
    <w:rsid w:val="001A0BC2"/>
    <w:rsid w:val="001A0C02"/>
    <w:rsid w:val="001A0D35"/>
    <w:rsid w:val="001A0E91"/>
    <w:rsid w:val="001A0F85"/>
    <w:rsid w:val="001A0FCD"/>
    <w:rsid w:val="001A15A2"/>
    <w:rsid w:val="001A18FA"/>
    <w:rsid w:val="001A1944"/>
    <w:rsid w:val="001A1976"/>
    <w:rsid w:val="001A1B49"/>
    <w:rsid w:val="001A1BB7"/>
    <w:rsid w:val="001A1D45"/>
    <w:rsid w:val="001A1EEE"/>
    <w:rsid w:val="001A1F65"/>
    <w:rsid w:val="001A21F9"/>
    <w:rsid w:val="001A225D"/>
    <w:rsid w:val="001A2443"/>
    <w:rsid w:val="001A24E7"/>
    <w:rsid w:val="001A25FF"/>
    <w:rsid w:val="001A26D6"/>
    <w:rsid w:val="001A26ED"/>
    <w:rsid w:val="001A2A71"/>
    <w:rsid w:val="001A2A7C"/>
    <w:rsid w:val="001A2ADA"/>
    <w:rsid w:val="001A2B92"/>
    <w:rsid w:val="001A2BFE"/>
    <w:rsid w:val="001A2CA7"/>
    <w:rsid w:val="001A2CC1"/>
    <w:rsid w:val="001A2EA4"/>
    <w:rsid w:val="001A2F39"/>
    <w:rsid w:val="001A31AB"/>
    <w:rsid w:val="001A3231"/>
    <w:rsid w:val="001A3317"/>
    <w:rsid w:val="001A3748"/>
    <w:rsid w:val="001A37B9"/>
    <w:rsid w:val="001A3E6C"/>
    <w:rsid w:val="001A42EE"/>
    <w:rsid w:val="001A4328"/>
    <w:rsid w:val="001A44DF"/>
    <w:rsid w:val="001A456A"/>
    <w:rsid w:val="001A481D"/>
    <w:rsid w:val="001A489E"/>
    <w:rsid w:val="001A4918"/>
    <w:rsid w:val="001A49BD"/>
    <w:rsid w:val="001A4A9A"/>
    <w:rsid w:val="001A4EC6"/>
    <w:rsid w:val="001A4EF0"/>
    <w:rsid w:val="001A4F72"/>
    <w:rsid w:val="001A4F8B"/>
    <w:rsid w:val="001A4FB0"/>
    <w:rsid w:val="001A4FEB"/>
    <w:rsid w:val="001A5031"/>
    <w:rsid w:val="001A505E"/>
    <w:rsid w:val="001A52AF"/>
    <w:rsid w:val="001A5361"/>
    <w:rsid w:val="001A5587"/>
    <w:rsid w:val="001A5634"/>
    <w:rsid w:val="001A5BA0"/>
    <w:rsid w:val="001A5BBF"/>
    <w:rsid w:val="001A5BEE"/>
    <w:rsid w:val="001A5CEA"/>
    <w:rsid w:val="001A5E1F"/>
    <w:rsid w:val="001A5E6B"/>
    <w:rsid w:val="001A5E8C"/>
    <w:rsid w:val="001A621F"/>
    <w:rsid w:val="001A6231"/>
    <w:rsid w:val="001A6246"/>
    <w:rsid w:val="001A6262"/>
    <w:rsid w:val="001A6754"/>
    <w:rsid w:val="001A69FB"/>
    <w:rsid w:val="001A6B38"/>
    <w:rsid w:val="001A6B61"/>
    <w:rsid w:val="001A6D3C"/>
    <w:rsid w:val="001A6D55"/>
    <w:rsid w:val="001A6D6C"/>
    <w:rsid w:val="001A6E06"/>
    <w:rsid w:val="001A6E19"/>
    <w:rsid w:val="001A6E94"/>
    <w:rsid w:val="001A6E9A"/>
    <w:rsid w:val="001A6F33"/>
    <w:rsid w:val="001A6F58"/>
    <w:rsid w:val="001A6F6A"/>
    <w:rsid w:val="001A6FE3"/>
    <w:rsid w:val="001A7132"/>
    <w:rsid w:val="001A7150"/>
    <w:rsid w:val="001A7164"/>
    <w:rsid w:val="001A729B"/>
    <w:rsid w:val="001A742A"/>
    <w:rsid w:val="001A7471"/>
    <w:rsid w:val="001A763C"/>
    <w:rsid w:val="001A7770"/>
    <w:rsid w:val="001A7819"/>
    <w:rsid w:val="001A7C16"/>
    <w:rsid w:val="001A7C4D"/>
    <w:rsid w:val="001A7C89"/>
    <w:rsid w:val="001A7CA5"/>
    <w:rsid w:val="001A7D79"/>
    <w:rsid w:val="001A7D9F"/>
    <w:rsid w:val="001A7DD4"/>
    <w:rsid w:val="001A7E96"/>
    <w:rsid w:val="001A7FC7"/>
    <w:rsid w:val="001B00ED"/>
    <w:rsid w:val="001B0361"/>
    <w:rsid w:val="001B0474"/>
    <w:rsid w:val="001B05FB"/>
    <w:rsid w:val="001B078A"/>
    <w:rsid w:val="001B0852"/>
    <w:rsid w:val="001B0A77"/>
    <w:rsid w:val="001B0C5D"/>
    <w:rsid w:val="001B0C88"/>
    <w:rsid w:val="001B0DE7"/>
    <w:rsid w:val="001B0FAD"/>
    <w:rsid w:val="001B0FC1"/>
    <w:rsid w:val="001B10CD"/>
    <w:rsid w:val="001B1355"/>
    <w:rsid w:val="001B13CB"/>
    <w:rsid w:val="001B1475"/>
    <w:rsid w:val="001B147A"/>
    <w:rsid w:val="001B1774"/>
    <w:rsid w:val="001B1866"/>
    <w:rsid w:val="001B18EE"/>
    <w:rsid w:val="001B19DE"/>
    <w:rsid w:val="001B1A1C"/>
    <w:rsid w:val="001B1BC2"/>
    <w:rsid w:val="001B1CF4"/>
    <w:rsid w:val="001B1D7E"/>
    <w:rsid w:val="001B20D0"/>
    <w:rsid w:val="001B238B"/>
    <w:rsid w:val="001B248C"/>
    <w:rsid w:val="001B255C"/>
    <w:rsid w:val="001B289E"/>
    <w:rsid w:val="001B2924"/>
    <w:rsid w:val="001B2B02"/>
    <w:rsid w:val="001B2BFA"/>
    <w:rsid w:val="001B2C80"/>
    <w:rsid w:val="001B2E51"/>
    <w:rsid w:val="001B2ED7"/>
    <w:rsid w:val="001B3115"/>
    <w:rsid w:val="001B324A"/>
    <w:rsid w:val="001B339F"/>
    <w:rsid w:val="001B34EB"/>
    <w:rsid w:val="001B35BD"/>
    <w:rsid w:val="001B3612"/>
    <w:rsid w:val="001B3629"/>
    <w:rsid w:val="001B3913"/>
    <w:rsid w:val="001B3A02"/>
    <w:rsid w:val="001B3BCB"/>
    <w:rsid w:val="001B3CD0"/>
    <w:rsid w:val="001B3E1B"/>
    <w:rsid w:val="001B3ED1"/>
    <w:rsid w:val="001B3F18"/>
    <w:rsid w:val="001B3FD6"/>
    <w:rsid w:val="001B4035"/>
    <w:rsid w:val="001B4062"/>
    <w:rsid w:val="001B42BD"/>
    <w:rsid w:val="001B46F3"/>
    <w:rsid w:val="001B476A"/>
    <w:rsid w:val="001B47FA"/>
    <w:rsid w:val="001B49AA"/>
    <w:rsid w:val="001B49BA"/>
    <w:rsid w:val="001B4A1A"/>
    <w:rsid w:val="001B4BA9"/>
    <w:rsid w:val="001B4BB1"/>
    <w:rsid w:val="001B4C7E"/>
    <w:rsid w:val="001B4CDA"/>
    <w:rsid w:val="001B4D4A"/>
    <w:rsid w:val="001B4D55"/>
    <w:rsid w:val="001B4DE6"/>
    <w:rsid w:val="001B50F6"/>
    <w:rsid w:val="001B551E"/>
    <w:rsid w:val="001B56A8"/>
    <w:rsid w:val="001B5AB4"/>
    <w:rsid w:val="001B5B69"/>
    <w:rsid w:val="001B5B6A"/>
    <w:rsid w:val="001B5C30"/>
    <w:rsid w:val="001B5C40"/>
    <w:rsid w:val="001B61D3"/>
    <w:rsid w:val="001B6277"/>
    <w:rsid w:val="001B630C"/>
    <w:rsid w:val="001B6463"/>
    <w:rsid w:val="001B64F2"/>
    <w:rsid w:val="001B67FD"/>
    <w:rsid w:val="001B6877"/>
    <w:rsid w:val="001B6A98"/>
    <w:rsid w:val="001B6B03"/>
    <w:rsid w:val="001B6ED0"/>
    <w:rsid w:val="001B704F"/>
    <w:rsid w:val="001B7081"/>
    <w:rsid w:val="001B7164"/>
    <w:rsid w:val="001B716E"/>
    <w:rsid w:val="001B71BB"/>
    <w:rsid w:val="001B723A"/>
    <w:rsid w:val="001B7333"/>
    <w:rsid w:val="001B7416"/>
    <w:rsid w:val="001B750B"/>
    <w:rsid w:val="001B7560"/>
    <w:rsid w:val="001B75DD"/>
    <w:rsid w:val="001B7734"/>
    <w:rsid w:val="001B794E"/>
    <w:rsid w:val="001B7B77"/>
    <w:rsid w:val="001B7BF7"/>
    <w:rsid w:val="001B7C1A"/>
    <w:rsid w:val="001B7CAD"/>
    <w:rsid w:val="001B7D51"/>
    <w:rsid w:val="001B7E83"/>
    <w:rsid w:val="001B7EC3"/>
    <w:rsid w:val="001C0379"/>
    <w:rsid w:val="001C078C"/>
    <w:rsid w:val="001C07FB"/>
    <w:rsid w:val="001C0973"/>
    <w:rsid w:val="001C09BD"/>
    <w:rsid w:val="001C09C0"/>
    <w:rsid w:val="001C0A1F"/>
    <w:rsid w:val="001C0AB9"/>
    <w:rsid w:val="001C0BBF"/>
    <w:rsid w:val="001C0C47"/>
    <w:rsid w:val="001C0D62"/>
    <w:rsid w:val="001C0E6E"/>
    <w:rsid w:val="001C0EA5"/>
    <w:rsid w:val="001C0F71"/>
    <w:rsid w:val="001C102E"/>
    <w:rsid w:val="001C12F1"/>
    <w:rsid w:val="001C1504"/>
    <w:rsid w:val="001C16B5"/>
    <w:rsid w:val="001C16FA"/>
    <w:rsid w:val="001C1986"/>
    <w:rsid w:val="001C1A0C"/>
    <w:rsid w:val="001C1B04"/>
    <w:rsid w:val="001C1BEF"/>
    <w:rsid w:val="001C1E2F"/>
    <w:rsid w:val="001C1FB1"/>
    <w:rsid w:val="001C1FF4"/>
    <w:rsid w:val="001C2331"/>
    <w:rsid w:val="001C271B"/>
    <w:rsid w:val="001C29F1"/>
    <w:rsid w:val="001C2C02"/>
    <w:rsid w:val="001C2D6D"/>
    <w:rsid w:val="001C2E78"/>
    <w:rsid w:val="001C2EAF"/>
    <w:rsid w:val="001C31EF"/>
    <w:rsid w:val="001C323E"/>
    <w:rsid w:val="001C32D2"/>
    <w:rsid w:val="001C3317"/>
    <w:rsid w:val="001C34B8"/>
    <w:rsid w:val="001C34FC"/>
    <w:rsid w:val="001C35BE"/>
    <w:rsid w:val="001C3731"/>
    <w:rsid w:val="001C37E2"/>
    <w:rsid w:val="001C392E"/>
    <w:rsid w:val="001C39CE"/>
    <w:rsid w:val="001C3ACF"/>
    <w:rsid w:val="001C3ADB"/>
    <w:rsid w:val="001C3AE8"/>
    <w:rsid w:val="001C3C31"/>
    <w:rsid w:val="001C3C55"/>
    <w:rsid w:val="001C3E38"/>
    <w:rsid w:val="001C3F26"/>
    <w:rsid w:val="001C3FE0"/>
    <w:rsid w:val="001C41B7"/>
    <w:rsid w:val="001C4305"/>
    <w:rsid w:val="001C4346"/>
    <w:rsid w:val="001C4461"/>
    <w:rsid w:val="001C44F7"/>
    <w:rsid w:val="001C458A"/>
    <w:rsid w:val="001C4645"/>
    <w:rsid w:val="001C479D"/>
    <w:rsid w:val="001C4918"/>
    <w:rsid w:val="001C4947"/>
    <w:rsid w:val="001C4CC6"/>
    <w:rsid w:val="001C4CCF"/>
    <w:rsid w:val="001C4EF8"/>
    <w:rsid w:val="001C4FA8"/>
    <w:rsid w:val="001C4FE8"/>
    <w:rsid w:val="001C5044"/>
    <w:rsid w:val="001C5067"/>
    <w:rsid w:val="001C5150"/>
    <w:rsid w:val="001C5238"/>
    <w:rsid w:val="001C52DF"/>
    <w:rsid w:val="001C532E"/>
    <w:rsid w:val="001C53C1"/>
    <w:rsid w:val="001C53F3"/>
    <w:rsid w:val="001C5431"/>
    <w:rsid w:val="001C5497"/>
    <w:rsid w:val="001C5747"/>
    <w:rsid w:val="001C577D"/>
    <w:rsid w:val="001C582D"/>
    <w:rsid w:val="001C5849"/>
    <w:rsid w:val="001C5A76"/>
    <w:rsid w:val="001C5E6F"/>
    <w:rsid w:val="001C5F41"/>
    <w:rsid w:val="001C6032"/>
    <w:rsid w:val="001C60DE"/>
    <w:rsid w:val="001C622B"/>
    <w:rsid w:val="001C625E"/>
    <w:rsid w:val="001C6278"/>
    <w:rsid w:val="001C652F"/>
    <w:rsid w:val="001C66CA"/>
    <w:rsid w:val="001C681C"/>
    <w:rsid w:val="001C68A9"/>
    <w:rsid w:val="001C6952"/>
    <w:rsid w:val="001C6977"/>
    <w:rsid w:val="001C6986"/>
    <w:rsid w:val="001C6B5C"/>
    <w:rsid w:val="001C6C8A"/>
    <w:rsid w:val="001C6CE9"/>
    <w:rsid w:val="001C6D64"/>
    <w:rsid w:val="001C702A"/>
    <w:rsid w:val="001C70B1"/>
    <w:rsid w:val="001C719D"/>
    <w:rsid w:val="001C7273"/>
    <w:rsid w:val="001C729B"/>
    <w:rsid w:val="001C7432"/>
    <w:rsid w:val="001C744A"/>
    <w:rsid w:val="001C76BE"/>
    <w:rsid w:val="001C773D"/>
    <w:rsid w:val="001C77F1"/>
    <w:rsid w:val="001C78C7"/>
    <w:rsid w:val="001C7927"/>
    <w:rsid w:val="001C7BE6"/>
    <w:rsid w:val="001C7C42"/>
    <w:rsid w:val="001C7CCB"/>
    <w:rsid w:val="001C7DCF"/>
    <w:rsid w:val="001C7E9B"/>
    <w:rsid w:val="001D0455"/>
    <w:rsid w:val="001D0603"/>
    <w:rsid w:val="001D06F2"/>
    <w:rsid w:val="001D07B7"/>
    <w:rsid w:val="001D0D50"/>
    <w:rsid w:val="001D10E9"/>
    <w:rsid w:val="001D11D5"/>
    <w:rsid w:val="001D127E"/>
    <w:rsid w:val="001D12D4"/>
    <w:rsid w:val="001D1336"/>
    <w:rsid w:val="001D1580"/>
    <w:rsid w:val="001D19EE"/>
    <w:rsid w:val="001D1B82"/>
    <w:rsid w:val="001D1C12"/>
    <w:rsid w:val="001D1D46"/>
    <w:rsid w:val="001D1D60"/>
    <w:rsid w:val="001D1E1B"/>
    <w:rsid w:val="001D215B"/>
    <w:rsid w:val="001D218B"/>
    <w:rsid w:val="001D21AD"/>
    <w:rsid w:val="001D21B8"/>
    <w:rsid w:val="001D21DB"/>
    <w:rsid w:val="001D21F7"/>
    <w:rsid w:val="001D223E"/>
    <w:rsid w:val="001D2308"/>
    <w:rsid w:val="001D2343"/>
    <w:rsid w:val="001D25BF"/>
    <w:rsid w:val="001D2774"/>
    <w:rsid w:val="001D2864"/>
    <w:rsid w:val="001D2BA3"/>
    <w:rsid w:val="001D2CE1"/>
    <w:rsid w:val="001D2EF3"/>
    <w:rsid w:val="001D2EF4"/>
    <w:rsid w:val="001D2FB2"/>
    <w:rsid w:val="001D31FD"/>
    <w:rsid w:val="001D3263"/>
    <w:rsid w:val="001D32C6"/>
    <w:rsid w:val="001D3441"/>
    <w:rsid w:val="001D34BB"/>
    <w:rsid w:val="001D358A"/>
    <w:rsid w:val="001D359F"/>
    <w:rsid w:val="001D35DE"/>
    <w:rsid w:val="001D364E"/>
    <w:rsid w:val="001D3763"/>
    <w:rsid w:val="001D37C1"/>
    <w:rsid w:val="001D38A7"/>
    <w:rsid w:val="001D3B0A"/>
    <w:rsid w:val="001D3CC7"/>
    <w:rsid w:val="001D3D04"/>
    <w:rsid w:val="001D3FDB"/>
    <w:rsid w:val="001D4171"/>
    <w:rsid w:val="001D440D"/>
    <w:rsid w:val="001D4586"/>
    <w:rsid w:val="001D4702"/>
    <w:rsid w:val="001D48F3"/>
    <w:rsid w:val="001D4967"/>
    <w:rsid w:val="001D4B17"/>
    <w:rsid w:val="001D4B6E"/>
    <w:rsid w:val="001D4CC6"/>
    <w:rsid w:val="001D4CFB"/>
    <w:rsid w:val="001D4DF7"/>
    <w:rsid w:val="001D4E17"/>
    <w:rsid w:val="001D51C5"/>
    <w:rsid w:val="001D51EA"/>
    <w:rsid w:val="001D52D5"/>
    <w:rsid w:val="001D53DC"/>
    <w:rsid w:val="001D5504"/>
    <w:rsid w:val="001D553E"/>
    <w:rsid w:val="001D554E"/>
    <w:rsid w:val="001D56C8"/>
    <w:rsid w:val="001D5B07"/>
    <w:rsid w:val="001D5B1E"/>
    <w:rsid w:val="001D5C04"/>
    <w:rsid w:val="001D5C87"/>
    <w:rsid w:val="001D5D5D"/>
    <w:rsid w:val="001D5D6B"/>
    <w:rsid w:val="001D5DC8"/>
    <w:rsid w:val="001D5F71"/>
    <w:rsid w:val="001D5F7A"/>
    <w:rsid w:val="001D6176"/>
    <w:rsid w:val="001D61A5"/>
    <w:rsid w:val="001D61EA"/>
    <w:rsid w:val="001D6334"/>
    <w:rsid w:val="001D633A"/>
    <w:rsid w:val="001D6466"/>
    <w:rsid w:val="001D6534"/>
    <w:rsid w:val="001D663F"/>
    <w:rsid w:val="001D679B"/>
    <w:rsid w:val="001D6995"/>
    <w:rsid w:val="001D6C45"/>
    <w:rsid w:val="001D7354"/>
    <w:rsid w:val="001D73FB"/>
    <w:rsid w:val="001D7732"/>
    <w:rsid w:val="001D7916"/>
    <w:rsid w:val="001D79B5"/>
    <w:rsid w:val="001D7AF2"/>
    <w:rsid w:val="001D7AF6"/>
    <w:rsid w:val="001D7BDF"/>
    <w:rsid w:val="001D7CBA"/>
    <w:rsid w:val="001D7DB3"/>
    <w:rsid w:val="001D7F5C"/>
    <w:rsid w:val="001E0270"/>
    <w:rsid w:val="001E0584"/>
    <w:rsid w:val="001E071D"/>
    <w:rsid w:val="001E07B6"/>
    <w:rsid w:val="001E0B73"/>
    <w:rsid w:val="001E0DB9"/>
    <w:rsid w:val="001E0DFE"/>
    <w:rsid w:val="001E0DFF"/>
    <w:rsid w:val="001E0EEE"/>
    <w:rsid w:val="001E0F99"/>
    <w:rsid w:val="001E0FD0"/>
    <w:rsid w:val="001E0FED"/>
    <w:rsid w:val="001E10D0"/>
    <w:rsid w:val="001E12C3"/>
    <w:rsid w:val="001E12CB"/>
    <w:rsid w:val="001E1395"/>
    <w:rsid w:val="001E159E"/>
    <w:rsid w:val="001E15BC"/>
    <w:rsid w:val="001E16A7"/>
    <w:rsid w:val="001E16F4"/>
    <w:rsid w:val="001E174E"/>
    <w:rsid w:val="001E17E9"/>
    <w:rsid w:val="001E1827"/>
    <w:rsid w:val="001E184B"/>
    <w:rsid w:val="001E184F"/>
    <w:rsid w:val="001E19EE"/>
    <w:rsid w:val="001E1AAB"/>
    <w:rsid w:val="001E1B81"/>
    <w:rsid w:val="001E1D5C"/>
    <w:rsid w:val="001E1D86"/>
    <w:rsid w:val="001E1DEC"/>
    <w:rsid w:val="001E1E69"/>
    <w:rsid w:val="001E1F3F"/>
    <w:rsid w:val="001E1F6E"/>
    <w:rsid w:val="001E211A"/>
    <w:rsid w:val="001E21EE"/>
    <w:rsid w:val="001E22DF"/>
    <w:rsid w:val="001E2322"/>
    <w:rsid w:val="001E2418"/>
    <w:rsid w:val="001E2477"/>
    <w:rsid w:val="001E26D7"/>
    <w:rsid w:val="001E290E"/>
    <w:rsid w:val="001E2A30"/>
    <w:rsid w:val="001E2BC0"/>
    <w:rsid w:val="001E2C5A"/>
    <w:rsid w:val="001E2D3B"/>
    <w:rsid w:val="001E2D78"/>
    <w:rsid w:val="001E2E13"/>
    <w:rsid w:val="001E30FD"/>
    <w:rsid w:val="001E314B"/>
    <w:rsid w:val="001E3910"/>
    <w:rsid w:val="001E3BC3"/>
    <w:rsid w:val="001E3C15"/>
    <w:rsid w:val="001E3EA3"/>
    <w:rsid w:val="001E420F"/>
    <w:rsid w:val="001E4263"/>
    <w:rsid w:val="001E4272"/>
    <w:rsid w:val="001E432B"/>
    <w:rsid w:val="001E4454"/>
    <w:rsid w:val="001E44B3"/>
    <w:rsid w:val="001E460A"/>
    <w:rsid w:val="001E4834"/>
    <w:rsid w:val="001E4874"/>
    <w:rsid w:val="001E497B"/>
    <w:rsid w:val="001E4987"/>
    <w:rsid w:val="001E49DE"/>
    <w:rsid w:val="001E49FE"/>
    <w:rsid w:val="001E4A4D"/>
    <w:rsid w:val="001E4B74"/>
    <w:rsid w:val="001E4EA4"/>
    <w:rsid w:val="001E4FB9"/>
    <w:rsid w:val="001E4FDD"/>
    <w:rsid w:val="001E5168"/>
    <w:rsid w:val="001E519D"/>
    <w:rsid w:val="001E52C4"/>
    <w:rsid w:val="001E536B"/>
    <w:rsid w:val="001E53DD"/>
    <w:rsid w:val="001E5421"/>
    <w:rsid w:val="001E56C3"/>
    <w:rsid w:val="001E5872"/>
    <w:rsid w:val="001E58A6"/>
    <w:rsid w:val="001E5C44"/>
    <w:rsid w:val="001E5C65"/>
    <w:rsid w:val="001E5D5C"/>
    <w:rsid w:val="001E5FC1"/>
    <w:rsid w:val="001E60B1"/>
    <w:rsid w:val="001E61AF"/>
    <w:rsid w:val="001E636C"/>
    <w:rsid w:val="001E65B6"/>
    <w:rsid w:val="001E665D"/>
    <w:rsid w:val="001E666D"/>
    <w:rsid w:val="001E66A3"/>
    <w:rsid w:val="001E6751"/>
    <w:rsid w:val="001E67CA"/>
    <w:rsid w:val="001E6818"/>
    <w:rsid w:val="001E69CE"/>
    <w:rsid w:val="001E6B03"/>
    <w:rsid w:val="001E6C80"/>
    <w:rsid w:val="001E6D4B"/>
    <w:rsid w:val="001E6DE2"/>
    <w:rsid w:val="001E6EEE"/>
    <w:rsid w:val="001E6F4D"/>
    <w:rsid w:val="001E6F85"/>
    <w:rsid w:val="001E72BD"/>
    <w:rsid w:val="001E73B3"/>
    <w:rsid w:val="001E748A"/>
    <w:rsid w:val="001E74C8"/>
    <w:rsid w:val="001E7732"/>
    <w:rsid w:val="001E780D"/>
    <w:rsid w:val="001E78C1"/>
    <w:rsid w:val="001E7C34"/>
    <w:rsid w:val="001E7C5E"/>
    <w:rsid w:val="001E7E03"/>
    <w:rsid w:val="001E7E2B"/>
    <w:rsid w:val="001E7F44"/>
    <w:rsid w:val="001E7FF7"/>
    <w:rsid w:val="001F01BE"/>
    <w:rsid w:val="001F024D"/>
    <w:rsid w:val="001F02BC"/>
    <w:rsid w:val="001F048B"/>
    <w:rsid w:val="001F053D"/>
    <w:rsid w:val="001F0751"/>
    <w:rsid w:val="001F0763"/>
    <w:rsid w:val="001F08DF"/>
    <w:rsid w:val="001F0B51"/>
    <w:rsid w:val="001F0C00"/>
    <w:rsid w:val="001F0CEE"/>
    <w:rsid w:val="001F0CF4"/>
    <w:rsid w:val="001F0EDA"/>
    <w:rsid w:val="001F0F46"/>
    <w:rsid w:val="001F10EE"/>
    <w:rsid w:val="001F11EF"/>
    <w:rsid w:val="001F134F"/>
    <w:rsid w:val="001F136B"/>
    <w:rsid w:val="001F13DC"/>
    <w:rsid w:val="001F154D"/>
    <w:rsid w:val="001F1589"/>
    <w:rsid w:val="001F190B"/>
    <w:rsid w:val="001F1A10"/>
    <w:rsid w:val="001F1AD5"/>
    <w:rsid w:val="001F1B29"/>
    <w:rsid w:val="001F1E44"/>
    <w:rsid w:val="001F1ED7"/>
    <w:rsid w:val="001F1F4C"/>
    <w:rsid w:val="001F1FD3"/>
    <w:rsid w:val="001F1FF8"/>
    <w:rsid w:val="001F221C"/>
    <w:rsid w:val="001F2257"/>
    <w:rsid w:val="001F234B"/>
    <w:rsid w:val="001F248D"/>
    <w:rsid w:val="001F2573"/>
    <w:rsid w:val="001F263A"/>
    <w:rsid w:val="001F272A"/>
    <w:rsid w:val="001F28F1"/>
    <w:rsid w:val="001F2A51"/>
    <w:rsid w:val="001F2A6C"/>
    <w:rsid w:val="001F2AF1"/>
    <w:rsid w:val="001F2E0F"/>
    <w:rsid w:val="001F2F1B"/>
    <w:rsid w:val="001F2F2C"/>
    <w:rsid w:val="001F2F93"/>
    <w:rsid w:val="001F323F"/>
    <w:rsid w:val="001F3383"/>
    <w:rsid w:val="001F3388"/>
    <w:rsid w:val="001F3676"/>
    <w:rsid w:val="001F38DC"/>
    <w:rsid w:val="001F39BD"/>
    <w:rsid w:val="001F3B1D"/>
    <w:rsid w:val="001F3B55"/>
    <w:rsid w:val="001F3CB7"/>
    <w:rsid w:val="001F3CC0"/>
    <w:rsid w:val="001F3EF9"/>
    <w:rsid w:val="001F3F5F"/>
    <w:rsid w:val="001F3F8B"/>
    <w:rsid w:val="001F41CC"/>
    <w:rsid w:val="001F41D6"/>
    <w:rsid w:val="001F470D"/>
    <w:rsid w:val="001F4797"/>
    <w:rsid w:val="001F491B"/>
    <w:rsid w:val="001F497F"/>
    <w:rsid w:val="001F4BF2"/>
    <w:rsid w:val="001F4CDC"/>
    <w:rsid w:val="001F4E50"/>
    <w:rsid w:val="001F5026"/>
    <w:rsid w:val="001F5165"/>
    <w:rsid w:val="001F528B"/>
    <w:rsid w:val="001F5A64"/>
    <w:rsid w:val="001F5A9C"/>
    <w:rsid w:val="001F5B0A"/>
    <w:rsid w:val="001F5BFB"/>
    <w:rsid w:val="001F5D95"/>
    <w:rsid w:val="001F5E2E"/>
    <w:rsid w:val="001F5EAC"/>
    <w:rsid w:val="001F6092"/>
    <w:rsid w:val="001F6156"/>
    <w:rsid w:val="001F6235"/>
    <w:rsid w:val="001F631A"/>
    <w:rsid w:val="001F6383"/>
    <w:rsid w:val="001F64CD"/>
    <w:rsid w:val="001F66C5"/>
    <w:rsid w:val="001F6753"/>
    <w:rsid w:val="001F691D"/>
    <w:rsid w:val="001F6A5E"/>
    <w:rsid w:val="001F6B16"/>
    <w:rsid w:val="001F6BA7"/>
    <w:rsid w:val="001F6C97"/>
    <w:rsid w:val="001F6F2F"/>
    <w:rsid w:val="001F704E"/>
    <w:rsid w:val="001F70AE"/>
    <w:rsid w:val="001F71BC"/>
    <w:rsid w:val="001F71F6"/>
    <w:rsid w:val="001F73F6"/>
    <w:rsid w:val="001F76F2"/>
    <w:rsid w:val="001F77C7"/>
    <w:rsid w:val="001F79CC"/>
    <w:rsid w:val="001F7A6B"/>
    <w:rsid w:val="001F7A93"/>
    <w:rsid w:val="001F7AC7"/>
    <w:rsid w:val="001F7AE1"/>
    <w:rsid w:val="001F7B0E"/>
    <w:rsid w:val="001F7BC3"/>
    <w:rsid w:val="001F7D6A"/>
    <w:rsid w:val="001F7DDB"/>
    <w:rsid w:val="001F7EEF"/>
    <w:rsid w:val="001F7EF0"/>
    <w:rsid w:val="001F7F70"/>
    <w:rsid w:val="002000C9"/>
    <w:rsid w:val="002002CF"/>
    <w:rsid w:val="002004CB"/>
    <w:rsid w:val="0020050D"/>
    <w:rsid w:val="00200591"/>
    <w:rsid w:val="00200694"/>
    <w:rsid w:val="002007D4"/>
    <w:rsid w:val="002007D7"/>
    <w:rsid w:val="002007E9"/>
    <w:rsid w:val="0020084F"/>
    <w:rsid w:val="0020095C"/>
    <w:rsid w:val="002009A9"/>
    <w:rsid w:val="002009E7"/>
    <w:rsid w:val="00200A24"/>
    <w:rsid w:val="00200AE5"/>
    <w:rsid w:val="00200B55"/>
    <w:rsid w:val="00200EA9"/>
    <w:rsid w:val="00200F0E"/>
    <w:rsid w:val="0020120D"/>
    <w:rsid w:val="00201294"/>
    <w:rsid w:val="002012A9"/>
    <w:rsid w:val="00201378"/>
    <w:rsid w:val="002013F8"/>
    <w:rsid w:val="00201400"/>
    <w:rsid w:val="0020152F"/>
    <w:rsid w:val="0020166A"/>
    <w:rsid w:val="00201721"/>
    <w:rsid w:val="0020173A"/>
    <w:rsid w:val="00201776"/>
    <w:rsid w:val="00201A5F"/>
    <w:rsid w:val="00201B4D"/>
    <w:rsid w:val="00201D22"/>
    <w:rsid w:val="00201DF0"/>
    <w:rsid w:val="00201E6A"/>
    <w:rsid w:val="00201E94"/>
    <w:rsid w:val="0020204B"/>
    <w:rsid w:val="00202084"/>
    <w:rsid w:val="002022EF"/>
    <w:rsid w:val="00202423"/>
    <w:rsid w:val="00202504"/>
    <w:rsid w:val="00202506"/>
    <w:rsid w:val="002025B0"/>
    <w:rsid w:val="00202630"/>
    <w:rsid w:val="002026C7"/>
    <w:rsid w:val="002027BA"/>
    <w:rsid w:val="002029A5"/>
    <w:rsid w:val="00202B8C"/>
    <w:rsid w:val="0020318F"/>
    <w:rsid w:val="002031C7"/>
    <w:rsid w:val="00203298"/>
    <w:rsid w:val="002034CC"/>
    <w:rsid w:val="00203662"/>
    <w:rsid w:val="0020379F"/>
    <w:rsid w:val="002037BF"/>
    <w:rsid w:val="002038A4"/>
    <w:rsid w:val="002039C8"/>
    <w:rsid w:val="00203ACC"/>
    <w:rsid w:val="00203C89"/>
    <w:rsid w:val="00203D80"/>
    <w:rsid w:val="00203E67"/>
    <w:rsid w:val="00203F2B"/>
    <w:rsid w:val="002040AE"/>
    <w:rsid w:val="002041C3"/>
    <w:rsid w:val="0020424C"/>
    <w:rsid w:val="002042D3"/>
    <w:rsid w:val="002043E9"/>
    <w:rsid w:val="0020441F"/>
    <w:rsid w:val="00204464"/>
    <w:rsid w:val="00204683"/>
    <w:rsid w:val="002046CE"/>
    <w:rsid w:val="0020483F"/>
    <w:rsid w:val="002048BD"/>
    <w:rsid w:val="002048F1"/>
    <w:rsid w:val="0020499C"/>
    <w:rsid w:val="00204AE6"/>
    <w:rsid w:val="00204B60"/>
    <w:rsid w:val="00204CAD"/>
    <w:rsid w:val="00204CD7"/>
    <w:rsid w:val="00204D1D"/>
    <w:rsid w:val="00204DC3"/>
    <w:rsid w:val="00204DD4"/>
    <w:rsid w:val="00204EFE"/>
    <w:rsid w:val="00205022"/>
    <w:rsid w:val="002051E3"/>
    <w:rsid w:val="00205316"/>
    <w:rsid w:val="0020553B"/>
    <w:rsid w:val="00205806"/>
    <w:rsid w:val="00205B44"/>
    <w:rsid w:val="00205BF8"/>
    <w:rsid w:val="00205D2A"/>
    <w:rsid w:val="00205DA8"/>
    <w:rsid w:val="00205E5C"/>
    <w:rsid w:val="002060A5"/>
    <w:rsid w:val="002061AA"/>
    <w:rsid w:val="0020630F"/>
    <w:rsid w:val="00206402"/>
    <w:rsid w:val="00206487"/>
    <w:rsid w:val="002066E0"/>
    <w:rsid w:val="0020688F"/>
    <w:rsid w:val="002069EF"/>
    <w:rsid w:val="00206B6E"/>
    <w:rsid w:val="00206E4B"/>
    <w:rsid w:val="00206E80"/>
    <w:rsid w:val="00206E8D"/>
    <w:rsid w:val="0020713D"/>
    <w:rsid w:val="00207297"/>
    <w:rsid w:val="002072DF"/>
    <w:rsid w:val="0020744D"/>
    <w:rsid w:val="002074D9"/>
    <w:rsid w:val="00207669"/>
    <w:rsid w:val="002078F8"/>
    <w:rsid w:val="00207975"/>
    <w:rsid w:val="00207980"/>
    <w:rsid w:val="00207A76"/>
    <w:rsid w:val="00207BD9"/>
    <w:rsid w:val="00207D42"/>
    <w:rsid w:val="00207E83"/>
    <w:rsid w:val="002105D6"/>
    <w:rsid w:val="00210987"/>
    <w:rsid w:val="00210A89"/>
    <w:rsid w:val="00210BAE"/>
    <w:rsid w:val="00210C03"/>
    <w:rsid w:val="00210F15"/>
    <w:rsid w:val="00210FBB"/>
    <w:rsid w:val="0021111A"/>
    <w:rsid w:val="002112EB"/>
    <w:rsid w:val="00211436"/>
    <w:rsid w:val="00211498"/>
    <w:rsid w:val="00211A17"/>
    <w:rsid w:val="00211C17"/>
    <w:rsid w:val="00211C57"/>
    <w:rsid w:val="00211CE2"/>
    <w:rsid w:val="00211DA3"/>
    <w:rsid w:val="002120AA"/>
    <w:rsid w:val="0021210A"/>
    <w:rsid w:val="002121DC"/>
    <w:rsid w:val="00212202"/>
    <w:rsid w:val="0021234A"/>
    <w:rsid w:val="0021242C"/>
    <w:rsid w:val="0021243B"/>
    <w:rsid w:val="0021265E"/>
    <w:rsid w:val="00212CA4"/>
    <w:rsid w:val="00212CF3"/>
    <w:rsid w:val="00212DEC"/>
    <w:rsid w:val="00212EB0"/>
    <w:rsid w:val="00212EC9"/>
    <w:rsid w:val="00212F82"/>
    <w:rsid w:val="00213319"/>
    <w:rsid w:val="0021332E"/>
    <w:rsid w:val="00213330"/>
    <w:rsid w:val="0021351B"/>
    <w:rsid w:val="0021368D"/>
    <w:rsid w:val="002136A6"/>
    <w:rsid w:val="002136DC"/>
    <w:rsid w:val="002137FA"/>
    <w:rsid w:val="00213CD6"/>
    <w:rsid w:val="00213E5D"/>
    <w:rsid w:val="002141EF"/>
    <w:rsid w:val="0021428A"/>
    <w:rsid w:val="002144AE"/>
    <w:rsid w:val="00214509"/>
    <w:rsid w:val="00214526"/>
    <w:rsid w:val="00214949"/>
    <w:rsid w:val="002149C9"/>
    <w:rsid w:val="00214A69"/>
    <w:rsid w:val="00214B0B"/>
    <w:rsid w:val="00214B71"/>
    <w:rsid w:val="00214BCC"/>
    <w:rsid w:val="00214DD1"/>
    <w:rsid w:val="00214EDC"/>
    <w:rsid w:val="00214FC3"/>
    <w:rsid w:val="00214FEF"/>
    <w:rsid w:val="0021516C"/>
    <w:rsid w:val="00215177"/>
    <w:rsid w:val="00215197"/>
    <w:rsid w:val="002153EB"/>
    <w:rsid w:val="002154B4"/>
    <w:rsid w:val="00215663"/>
    <w:rsid w:val="00215825"/>
    <w:rsid w:val="00215980"/>
    <w:rsid w:val="002159FC"/>
    <w:rsid w:val="00215B62"/>
    <w:rsid w:val="00215C1A"/>
    <w:rsid w:val="00215CA0"/>
    <w:rsid w:val="00215D68"/>
    <w:rsid w:val="00215E10"/>
    <w:rsid w:val="00215E86"/>
    <w:rsid w:val="00215FC8"/>
    <w:rsid w:val="00215FFA"/>
    <w:rsid w:val="00216218"/>
    <w:rsid w:val="00216242"/>
    <w:rsid w:val="0021633B"/>
    <w:rsid w:val="00216350"/>
    <w:rsid w:val="002163DC"/>
    <w:rsid w:val="002164E2"/>
    <w:rsid w:val="00216510"/>
    <w:rsid w:val="00216522"/>
    <w:rsid w:val="00216551"/>
    <w:rsid w:val="0021656E"/>
    <w:rsid w:val="0021674D"/>
    <w:rsid w:val="00216773"/>
    <w:rsid w:val="0021686D"/>
    <w:rsid w:val="00216966"/>
    <w:rsid w:val="002169C6"/>
    <w:rsid w:val="00216A0D"/>
    <w:rsid w:val="00216AD5"/>
    <w:rsid w:val="00216B34"/>
    <w:rsid w:val="00216C35"/>
    <w:rsid w:val="00216CDE"/>
    <w:rsid w:val="00216E0A"/>
    <w:rsid w:val="00216F47"/>
    <w:rsid w:val="00217038"/>
    <w:rsid w:val="0021711F"/>
    <w:rsid w:val="002171BD"/>
    <w:rsid w:val="002174A9"/>
    <w:rsid w:val="002174DE"/>
    <w:rsid w:val="002177D5"/>
    <w:rsid w:val="00217BC2"/>
    <w:rsid w:val="00217C9D"/>
    <w:rsid w:val="00217E12"/>
    <w:rsid w:val="00217EFB"/>
    <w:rsid w:val="00217FE4"/>
    <w:rsid w:val="00220368"/>
    <w:rsid w:val="00220386"/>
    <w:rsid w:val="0022042F"/>
    <w:rsid w:val="002204E7"/>
    <w:rsid w:val="002205BC"/>
    <w:rsid w:val="00220658"/>
    <w:rsid w:val="0022088F"/>
    <w:rsid w:val="0022098F"/>
    <w:rsid w:val="00220B59"/>
    <w:rsid w:val="00220BCA"/>
    <w:rsid w:val="00220C94"/>
    <w:rsid w:val="00220CD8"/>
    <w:rsid w:val="00220DD5"/>
    <w:rsid w:val="00220F02"/>
    <w:rsid w:val="002210F3"/>
    <w:rsid w:val="002212ED"/>
    <w:rsid w:val="002213C5"/>
    <w:rsid w:val="00221555"/>
    <w:rsid w:val="00221774"/>
    <w:rsid w:val="00221942"/>
    <w:rsid w:val="00221BAF"/>
    <w:rsid w:val="00221C31"/>
    <w:rsid w:val="00221DAF"/>
    <w:rsid w:val="00221E41"/>
    <w:rsid w:val="00222018"/>
    <w:rsid w:val="00222238"/>
    <w:rsid w:val="00222258"/>
    <w:rsid w:val="002222A0"/>
    <w:rsid w:val="002222F3"/>
    <w:rsid w:val="002223C4"/>
    <w:rsid w:val="002223E4"/>
    <w:rsid w:val="00222442"/>
    <w:rsid w:val="00222634"/>
    <w:rsid w:val="002227E7"/>
    <w:rsid w:val="0022281B"/>
    <w:rsid w:val="00222AE8"/>
    <w:rsid w:val="00222AF2"/>
    <w:rsid w:val="00222B05"/>
    <w:rsid w:val="00222B64"/>
    <w:rsid w:val="00222B95"/>
    <w:rsid w:val="00222EBA"/>
    <w:rsid w:val="00222F46"/>
    <w:rsid w:val="002231D0"/>
    <w:rsid w:val="002232D6"/>
    <w:rsid w:val="00223360"/>
    <w:rsid w:val="00223659"/>
    <w:rsid w:val="00223785"/>
    <w:rsid w:val="0022383B"/>
    <w:rsid w:val="002238BB"/>
    <w:rsid w:val="00223934"/>
    <w:rsid w:val="00223A86"/>
    <w:rsid w:val="00223B1A"/>
    <w:rsid w:val="00223BA5"/>
    <w:rsid w:val="00223CC3"/>
    <w:rsid w:val="00223D3E"/>
    <w:rsid w:val="00223D90"/>
    <w:rsid w:val="00223ED1"/>
    <w:rsid w:val="0022414D"/>
    <w:rsid w:val="00224169"/>
    <w:rsid w:val="00224319"/>
    <w:rsid w:val="00224330"/>
    <w:rsid w:val="00224361"/>
    <w:rsid w:val="00224382"/>
    <w:rsid w:val="002246B0"/>
    <w:rsid w:val="00224893"/>
    <w:rsid w:val="0022490F"/>
    <w:rsid w:val="00224D33"/>
    <w:rsid w:val="00225197"/>
    <w:rsid w:val="002251FF"/>
    <w:rsid w:val="00225287"/>
    <w:rsid w:val="00225377"/>
    <w:rsid w:val="0022537D"/>
    <w:rsid w:val="002255A9"/>
    <w:rsid w:val="0022565A"/>
    <w:rsid w:val="002256BB"/>
    <w:rsid w:val="00225862"/>
    <w:rsid w:val="00225A30"/>
    <w:rsid w:val="00225A7E"/>
    <w:rsid w:val="00225AAB"/>
    <w:rsid w:val="00225C01"/>
    <w:rsid w:val="00225C02"/>
    <w:rsid w:val="00225CC7"/>
    <w:rsid w:val="00225CFC"/>
    <w:rsid w:val="00225DDA"/>
    <w:rsid w:val="00225F21"/>
    <w:rsid w:val="00225F29"/>
    <w:rsid w:val="00225F42"/>
    <w:rsid w:val="00225F4B"/>
    <w:rsid w:val="00226153"/>
    <w:rsid w:val="00226314"/>
    <w:rsid w:val="002266BE"/>
    <w:rsid w:val="002267A4"/>
    <w:rsid w:val="002267C8"/>
    <w:rsid w:val="002269B1"/>
    <w:rsid w:val="00226A63"/>
    <w:rsid w:val="00226ACA"/>
    <w:rsid w:val="00226F13"/>
    <w:rsid w:val="00226F46"/>
    <w:rsid w:val="00226FFB"/>
    <w:rsid w:val="002270F2"/>
    <w:rsid w:val="00227178"/>
    <w:rsid w:val="002271C9"/>
    <w:rsid w:val="00227234"/>
    <w:rsid w:val="002273AE"/>
    <w:rsid w:val="00227497"/>
    <w:rsid w:val="002274D5"/>
    <w:rsid w:val="00227587"/>
    <w:rsid w:val="002275CC"/>
    <w:rsid w:val="00227841"/>
    <w:rsid w:val="002278AD"/>
    <w:rsid w:val="002278D2"/>
    <w:rsid w:val="00227A85"/>
    <w:rsid w:val="00227B54"/>
    <w:rsid w:val="00227D1B"/>
    <w:rsid w:val="00227DBE"/>
    <w:rsid w:val="00227EEB"/>
    <w:rsid w:val="00227F1E"/>
    <w:rsid w:val="0023034D"/>
    <w:rsid w:val="002303CB"/>
    <w:rsid w:val="00230443"/>
    <w:rsid w:val="002304F9"/>
    <w:rsid w:val="002306E2"/>
    <w:rsid w:val="002308B0"/>
    <w:rsid w:val="00230ABC"/>
    <w:rsid w:val="00230B08"/>
    <w:rsid w:val="00230B0C"/>
    <w:rsid w:val="00230B4C"/>
    <w:rsid w:val="00230BAB"/>
    <w:rsid w:val="00230C13"/>
    <w:rsid w:val="00230C60"/>
    <w:rsid w:val="00230E7E"/>
    <w:rsid w:val="00230EF6"/>
    <w:rsid w:val="00231071"/>
    <w:rsid w:val="002311EA"/>
    <w:rsid w:val="002311EF"/>
    <w:rsid w:val="0023124C"/>
    <w:rsid w:val="00231654"/>
    <w:rsid w:val="0023182F"/>
    <w:rsid w:val="0023186A"/>
    <w:rsid w:val="00231AB0"/>
    <w:rsid w:val="00231B24"/>
    <w:rsid w:val="00231D2D"/>
    <w:rsid w:val="00231E2A"/>
    <w:rsid w:val="0023209F"/>
    <w:rsid w:val="002320FD"/>
    <w:rsid w:val="0023212C"/>
    <w:rsid w:val="0023213A"/>
    <w:rsid w:val="0023219D"/>
    <w:rsid w:val="0023242C"/>
    <w:rsid w:val="00232571"/>
    <w:rsid w:val="002325A9"/>
    <w:rsid w:val="0023286A"/>
    <w:rsid w:val="00232ADF"/>
    <w:rsid w:val="00232B8E"/>
    <w:rsid w:val="00232BD3"/>
    <w:rsid w:val="00232BF5"/>
    <w:rsid w:val="00232D48"/>
    <w:rsid w:val="00232D7E"/>
    <w:rsid w:val="00232EB8"/>
    <w:rsid w:val="00232EFB"/>
    <w:rsid w:val="00232F9F"/>
    <w:rsid w:val="00233279"/>
    <w:rsid w:val="00233307"/>
    <w:rsid w:val="002333B3"/>
    <w:rsid w:val="002333D9"/>
    <w:rsid w:val="0023342E"/>
    <w:rsid w:val="00233468"/>
    <w:rsid w:val="002337B3"/>
    <w:rsid w:val="00233938"/>
    <w:rsid w:val="0023393B"/>
    <w:rsid w:val="00233C07"/>
    <w:rsid w:val="00233C2D"/>
    <w:rsid w:val="00233CF0"/>
    <w:rsid w:val="00233EDA"/>
    <w:rsid w:val="00233FF0"/>
    <w:rsid w:val="00234729"/>
    <w:rsid w:val="00234B3B"/>
    <w:rsid w:val="00234C5B"/>
    <w:rsid w:val="00234C7C"/>
    <w:rsid w:val="00234FE8"/>
    <w:rsid w:val="002350C4"/>
    <w:rsid w:val="00235201"/>
    <w:rsid w:val="00235407"/>
    <w:rsid w:val="00235417"/>
    <w:rsid w:val="002357EB"/>
    <w:rsid w:val="00235941"/>
    <w:rsid w:val="0023598A"/>
    <w:rsid w:val="002359E9"/>
    <w:rsid w:val="00235A80"/>
    <w:rsid w:val="00235E42"/>
    <w:rsid w:val="002361B0"/>
    <w:rsid w:val="00236271"/>
    <w:rsid w:val="002362A1"/>
    <w:rsid w:val="002362C0"/>
    <w:rsid w:val="0023631A"/>
    <w:rsid w:val="002365C2"/>
    <w:rsid w:val="0023661E"/>
    <w:rsid w:val="0023666D"/>
    <w:rsid w:val="0023670C"/>
    <w:rsid w:val="00236999"/>
    <w:rsid w:val="002369D1"/>
    <w:rsid w:val="002369FB"/>
    <w:rsid w:val="00236A95"/>
    <w:rsid w:val="00236ADF"/>
    <w:rsid w:val="00236BBF"/>
    <w:rsid w:val="00236BC5"/>
    <w:rsid w:val="00236DDA"/>
    <w:rsid w:val="00236E94"/>
    <w:rsid w:val="00236FC0"/>
    <w:rsid w:val="00236FCC"/>
    <w:rsid w:val="002371DD"/>
    <w:rsid w:val="002374A7"/>
    <w:rsid w:val="00237668"/>
    <w:rsid w:val="0023772F"/>
    <w:rsid w:val="002378B0"/>
    <w:rsid w:val="002378B1"/>
    <w:rsid w:val="00237A56"/>
    <w:rsid w:val="00237A64"/>
    <w:rsid w:val="00237E02"/>
    <w:rsid w:val="00240363"/>
    <w:rsid w:val="00240474"/>
    <w:rsid w:val="00240493"/>
    <w:rsid w:val="00240544"/>
    <w:rsid w:val="00240612"/>
    <w:rsid w:val="00240817"/>
    <w:rsid w:val="00240BD3"/>
    <w:rsid w:val="00240E27"/>
    <w:rsid w:val="00240ED6"/>
    <w:rsid w:val="00241145"/>
    <w:rsid w:val="00241206"/>
    <w:rsid w:val="002412B5"/>
    <w:rsid w:val="002414BB"/>
    <w:rsid w:val="00241584"/>
    <w:rsid w:val="002416E8"/>
    <w:rsid w:val="002416FD"/>
    <w:rsid w:val="002417EB"/>
    <w:rsid w:val="0024181B"/>
    <w:rsid w:val="00241B6F"/>
    <w:rsid w:val="00241C49"/>
    <w:rsid w:val="00241C5B"/>
    <w:rsid w:val="00241CCD"/>
    <w:rsid w:val="0024217D"/>
    <w:rsid w:val="0024219D"/>
    <w:rsid w:val="0024241F"/>
    <w:rsid w:val="002424E6"/>
    <w:rsid w:val="002426A1"/>
    <w:rsid w:val="00242854"/>
    <w:rsid w:val="002428CF"/>
    <w:rsid w:val="00242965"/>
    <w:rsid w:val="00242B16"/>
    <w:rsid w:val="00242B3B"/>
    <w:rsid w:val="00242B69"/>
    <w:rsid w:val="00242C0C"/>
    <w:rsid w:val="00242C9E"/>
    <w:rsid w:val="00242CBD"/>
    <w:rsid w:val="00242E26"/>
    <w:rsid w:val="00242FD1"/>
    <w:rsid w:val="00242FFE"/>
    <w:rsid w:val="0024313E"/>
    <w:rsid w:val="00243208"/>
    <w:rsid w:val="0024327E"/>
    <w:rsid w:val="00243831"/>
    <w:rsid w:val="002439AF"/>
    <w:rsid w:val="00243AA5"/>
    <w:rsid w:val="00243BEC"/>
    <w:rsid w:val="00243D71"/>
    <w:rsid w:val="00243DAC"/>
    <w:rsid w:val="00243F99"/>
    <w:rsid w:val="0024474F"/>
    <w:rsid w:val="002447C2"/>
    <w:rsid w:val="002449C7"/>
    <w:rsid w:val="00244A38"/>
    <w:rsid w:val="00244A8A"/>
    <w:rsid w:val="00244AE0"/>
    <w:rsid w:val="00244F2A"/>
    <w:rsid w:val="002452EB"/>
    <w:rsid w:val="0024578A"/>
    <w:rsid w:val="002458A9"/>
    <w:rsid w:val="0024596A"/>
    <w:rsid w:val="00245A57"/>
    <w:rsid w:val="00245B5A"/>
    <w:rsid w:val="00245D4F"/>
    <w:rsid w:val="00245DBE"/>
    <w:rsid w:val="00245DD1"/>
    <w:rsid w:val="00245E3C"/>
    <w:rsid w:val="00245E88"/>
    <w:rsid w:val="00245EB7"/>
    <w:rsid w:val="00245EBA"/>
    <w:rsid w:val="00246148"/>
    <w:rsid w:val="00246192"/>
    <w:rsid w:val="002468A9"/>
    <w:rsid w:val="00246C0E"/>
    <w:rsid w:val="00246C1B"/>
    <w:rsid w:val="00246E0D"/>
    <w:rsid w:val="00246F2B"/>
    <w:rsid w:val="00247117"/>
    <w:rsid w:val="00247120"/>
    <w:rsid w:val="00247203"/>
    <w:rsid w:val="00247232"/>
    <w:rsid w:val="00247298"/>
    <w:rsid w:val="002472DA"/>
    <w:rsid w:val="0024738D"/>
    <w:rsid w:val="00247427"/>
    <w:rsid w:val="002475B4"/>
    <w:rsid w:val="0024762A"/>
    <w:rsid w:val="002476C2"/>
    <w:rsid w:val="0024774C"/>
    <w:rsid w:val="00247A19"/>
    <w:rsid w:val="00247B24"/>
    <w:rsid w:val="00247D28"/>
    <w:rsid w:val="00247F97"/>
    <w:rsid w:val="00250099"/>
    <w:rsid w:val="00250104"/>
    <w:rsid w:val="00250515"/>
    <w:rsid w:val="002506DC"/>
    <w:rsid w:val="0025072A"/>
    <w:rsid w:val="002507D9"/>
    <w:rsid w:val="002507FB"/>
    <w:rsid w:val="0025086E"/>
    <w:rsid w:val="00250975"/>
    <w:rsid w:val="002509FC"/>
    <w:rsid w:val="00250BA0"/>
    <w:rsid w:val="002510D7"/>
    <w:rsid w:val="00251218"/>
    <w:rsid w:val="00251430"/>
    <w:rsid w:val="00251628"/>
    <w:rsid w:val="00251A94"/>
    <w:rsid w:val="00251B2B"/>
    <w:rsid w:val="00251B5C"/>
    <w:rsid w:val="00251D88"/>
    <w:rsid w:val="00251E41"/>
    <w:rsid w:val="00251EA5"/>
    <w:rsid w:val="00251FDF"/>
    <w:rsid w:val="00251FEF"/>
    <w:rsid w:val="002523EB"/>
    <w:rsid w:val="002525E1"/>
    <w:rsid w:val="002526E8"/>
    <w:rsid w:val="002527AA"/>
    <w:rsid w:val="00252853"/>
    <w:rsid w:val="002528A0"/>
    <w:rsid w:val="0025292D"/>
    <w:rsid w:val="00252989"/>
    <w:rsid w:val="002529B1"/>
    <w:rsid w:val="00252A33"/>
    <w:rsid w:val="00252A52"/>
    <w:rsid w:val="00252AD1"/>
    <w:rsid w:val="00252C57"/>
    <w:rsid w:val="00252D20"/>
    <w:rsid w:val="00252D8D"/>
    <w:rsid w:val="00252DFA"/>
    <w:rsid w:val="00252EDC"/>
    <w:rsid w:val="00252EF6"/>
    <w:rsid w:val="00252F8E"/>
    <w:rsid w:val="00252FBE"/>
    <w:rsid w:val="00252FF4"/>
    <w:rsid w:val="00253161"/>
    <w:rsid w:val="00253185"/>
    <w:rsid w:val="002531D3"/>
    <w:rsid w:val="002531D8"/>
    <w:rsid w:val="002534C1"/>
    <w:rsid w:val="002535DE"/>
    <w:rsid w:val="0025384D"/>
    <w:rsid w:val="002538D1"/>
    <w:rsid w:val="00253D82"/>
    <w:rsid w:val="00253E27"/>
    <w:rsid w:val="00253F7B"/>
    <w:rsid w:val="00253FF3"/>
    <w:rsid w:val="00254022"/>
    <w:rsid w:val="0025423C"/>
    <w:rsid w:val="00254251"/>
    <w:rsid w:val="002543B7"/>
    <w:rsid w:val="00254697"/>
    <w:rsid w:val="002546C7"/>
    <w:rsid w:val="002546E2"/>
    <w:rsid w:val="002547A2"/>
    <w:rsid w:val="00254868"/>
    <w:rsid w:val="00254A85"/>
    <w:rsid w:val="00254B8D"/>
    <w:rsid w:val="00254BA7"/>
    <w:rsid w:val="00254C2B"/>
    <w:rsid w:val="00254CB2"/>
    <w:rsid w:val="00254F90"/>
    <w:rsid w:val="00255199"/>
    <w:rsid w:val="002551DE"/>
    <w:rsid w:val="002552DC"/>
    <w:rsid w:val="00255529"/>
    <w:rsid w:val="0025588F"/>
    <w:rsid w:val="00255A36"/>
    <w:rsid w:val="00255B38"/>
    <w:rsid w:val="00255B41"/>
    <w:rsid w:val="00255B9E"/>
    <w:rsid w:val="00255EEA"/>
    <w:rsid w:val="00255F29"/>
    <w:rsid w:val="00255FBA"/>
    <w:rsid w:val="00256188"/>
    <w:rsid w:val="002563A5"/>
    <w:rsid w:val="002563D4"/>
    <w:rsid w:val="00256464"/>
    <w:rsid w:val="002565C3"/>
    <w:rsid w:val="0025689B"/>
    <w:rsid w:val="002569D2"/>
    <w:rsid w:val="00256A31"/>
    <w:rsid w:val="00256A46"/>
    <w:rsid w:val="00256B75"/>
    <w:rsid w:val="00256BB8"/>
    <w:rsid w:val="00256DE5"/>
    <w:rsid w:val="0025719A"/>
    <w:rsid w:val="0025732F"/>
    <w:rsid w:val="0025738F"/>
    <w:rsid w:val="00257479"/>
    <w:rsid w:val="002574BC"/>
    <w:rsid w:val="00257583"/>
    <w:rsid w:val="002575BA"/>
    <w:rsid w:val="002575D6"/>
    <w:rsid w:val="00257643"/>
    <w:rsid w:val="0025798B"/>
    <w:rsid w:val="00257E48"/>
    <w:rsid w:val="00257F09"/>
    <w:rsid w:val="00257F84"/>
    <w:rsid w:val="00257FBA"/>
    <w:rsid w:val="002602A8"/>
    <w:rsid w:val="00260314"/>
    <w:rsid w:val="002604A3"/>
    <w:rsid w:val="00260543"/>
    <w:rsid w:val="0026078A"/>
    <w:rsid w:val="002609CD"/>
    <w:rsid w:val="00260CD6"/>
    <w:rsid w:val="00260DCC"/>
    <w:rsid w:val="00261307"/>
    <w:rsid w:val="0026135C"/>
    <w:rsid w:val="00261364"/>
    <w:rsid w:val="00261438"/>
    <w:rsid w:val="002617F4"/>
    <w:rsid w:val="0026189E"/>
    <w:rsid w:val="00261937"/>
    <w:rsid w:val="00261B75"/>
    <w:rsid w:val="00261BDB"/>
    <w:rsid w:val="00261CCD"/>
    <w:rsid w:val="00261D0D"/>
    <w:rsid w:val="0026202F"/>
    <w:rsid w:val="0026214B"/>
    <w:rsid w:val="0026225A"/>
    <w:rsid w:val="002622C3"/>
    <w:rsid w:val="002626A2"/>
    <w:rsid w:val="0026270A"/>
    <w:rsid w:val="0026299D"/>
    <w:rsid w:val="00262B76"/>
    <w:rsid w:val="00262B8A"/>
    <w:rsid w:val="00262F49"/>
    <w:rsid w:val="00263097"/>
    <w:rsid w:val="002631A5"/>
    <w:rsid w:val="002634C9"/>
    <w:rsid w:val="002635A0"/>
    <w:rsid w:val="00263655"/>
    <w:rsid w:val="002638E4"/>
    <w:rsid w:val="002638E5"/>
    <w:rsid w:val="00263A15"/>
    <w:rsid w:val="00263BA9"/>
    <w:rsid w:val="00263CEF"/>
    <w:rsid w:val="00263D7F"/>
    <w:rsid w:val="00263E0D"/>
    <w:rsid w:val="00263F08"/>
    <w:rsid w:val="00264057"/>
    <w:rsid w:val="00264088"/>
    <w:rsid w:val="00264164"/>
    <w:rsid w:val="0026424E"/>
    <w:rsid w:val="0026437C"/>
    <w:rsid w:val="00264683"/>
    <w:rsid w:val="00264890"/>
    <w:rsid w:val="00264986"/>
    <w:rsid w:val="00264A00"/>
    <w:rsid w:val="00264AB3"/>
    <w:rsid w:val="00264BCF"/>
    <w:rsid w:val="00264C2A"/>
    <w:rsid w:val="00264E02"/>
    <w:rsid w:val="00264E64"/>
    <w:rsid w:val="0026513A"/>
    <w:rsid w:val="002651D8"/>
    <w:rsid w:val="00265466"/>
    <w:rsid w:val="00265517"/>
    <w:rsid w:val="00265569"/>
    <w:rsid w:val="002656C7"/>
    <w:rsid w:val="002658A4"/>
    <w:rsid w:val="00265AC0"/>
    <w:rsid w:val="00265BDC"/>
    <w:rsid w:val="00265C19"/>
    <w:rsid w:val="00265C65"/>
    <w:rsid w:val="00265D67"/>
    <w:rsid w:val="00265DCE"/>
    <w:rsid w:val="00265FA3"/>
    <w:rsid w:val="00266007"/>
    <w:rsid w:val="00266017"/>
    <w:rsid w:val="00266594"/>
    <w:rsid w:val="00266636"/>
    <w:rsid w:val="00266642"/>
    <w:rsid w:val="00266652"/>
    <w:rsid w:val="002666D0"/>
    <w:rsid w:val="00266701"/>
    <w:rsid w:val="00266775"/>
    <w:rsid w:val="0026677C"/>
    <w:rsid w:val="00266B30"/>
    <w:rsid w:val="00266C07"/>
    <w:rsid w:val="002670F4"/>
    <w:rsid w:val="00267142"/>
    <w:rsid w:val="002671E4"/>
    <w:rsid w:val="00267225"/>
    <w:rsid w:val="00267626"/>
    <w:rsid w:val="00267772"/>
    <w:rsid w:val="00267832"/>
    <w:rsid w:val="00267B9D"/>
    <w:rsid w:val="00267C73"/>
    <w:rsid w:val="00267CDD"/>
    <w:rsid w:val="00267DE6"/>
    <w:rsid w:val="00267E9A"/>
    <w:rsid w:val="002701CB"/>
    <w:rsid w:val="002701FD"/>
    <w:rsid w:val="00270303"/>
    <w:rsid w:val="0027039D"/>
    <w:rsid w:val="00270842"/>
    <w:rsid w:val="002708D7"/>
    <w:rsid w:val="00270B0F"/>
    <w:rsid w:val="00270B5B"/>
    <w:rsid w:val="00270C4B"/>
    <w:rsid w:val="00270D12"/>
    <w:rsid w:val="00270E44"/>
    <w:rsid w:val="0027156B"/>
    <w:rsid w:val="00271648"/>
    <w:rsid w:val="00271674"/>
    <w:rsid w:val="002716B4"/>
    <w:rsid w:val="00271826"/>
    <w:rsid w:val="00271AC3"/>
    <w:rsid w:val="00271BB7"/>
    <w:rsid w:val="00271C32"/>
    <w:rsid w:val="00271D96"/>
    <w:rsid w:val="00271F56"/>
    <w:rsid w:val="0027223B"/>
    <w:rsid w:val="002722E8"/>
    <w:rsid w:val="0027236E"/>
    <w:rsid w:val="002724B2"/>
    <w:rsid w:val="002728E1"/>
    <w:rsid w:val="00272974"/>
    <w:rsid w:val="00272B24"/>
    <w:rsid w:val="00272B88"/>
    <w:rsid w:val="00272C7E"/>
    <w:rsid w:val="00272D0E"/>
    <w:rsid w:val="00272E7D"/>
    <w:rsid w:val="00273016"/>
    <w:rsid w:val="002733E4"/>
    <w:rsid w:val="002734FE"/>
    <w:rsid w:val="00273569"/>
    <w:rsid w:val="002736A2"/>
    <w:rsid w:val="00273713"/>
    <w:rsid w:val="0027383F"/>
    <w:rsid w:val="002739C7"/>
    <w:rsid w:val="00273A59"/>
    <w:rsid w:val="00273B2D"/>
    <w:rsid w:val="00273C63"/>
    <w:rsid w:val="00273D8A"/>
    <w:rsid w:val="00273D97"/>
    <w:rsid w:val="00273E1D"/>
    <w:rsid w:val="00273E9F"/>
    <w:rsid w:val="00273F10"/>
    <w:rsid w:val="0027402C"/>
    <w:rsid w:val="002740E5"/>
    <w:rsid w:val="00274120"/>
    <w:rsid w:val="00274294"/>
    <w:rsid w:val="00274380"/>
    <w:rsid w:val="002743CE"/>
    <w:rsid w:val="002743D3"/>
    <w:rsid w:val="002744B7"/>
    <w:rsid w:val="00274587"/>
    <w:rsid w:val="002747A8"/>
    <w:rsid w:val="002747FD"/>
    <w:rsid w:val="00274926"/>
    <w:rsid w:val="0027492A"/>
    <w:rsid w:val="00274A7C"/>
    <w:rsid w:val="00274A9E"/>
    <w:rsid w:val="00274BC1"/>
    <w:rsid w:val="00274D07"/>
    <w:rsid w:val="00274DD7"/>
    <w:rsid w:val="00274EAC"/>
    <w:rsid w:val="00274EC6"/>
    <w:rsid w:val="00274F38"/>
    <w:rsid w:val="00275005"/>
    <w:rsid w:val="002751CD"/>
    <w:rsid w:val="002753A2"/>
    <w:rsid w:val="0027544C"/>
    <w:rsid w:val="00275558"/>
    <w:rsid w:val="00275605"/>
    <w:rsid w:val="0027570D"/>
    <w:rsid w:val="002757C3"/>
    <w:rsid w:val="002758E1"/>
    <w:rsid w:val="00275AFB"/>
    <w:rsid w:val="00275BDD"/>
    <w:rsid w:val="00275BF4"/>
    <w:rsid w:val="00275D35"/>
    <w:rsid w:val="00275D65"/>
    <w:rsid w:val="00275E58"/>
    <w:rsid w:val="00275EBA"/>
    <w:rsid w:val="0027600C"/>
    <w:rsid w:val="0027616C"/>
    <w:rsid w:val="0027617C"/>
    <w:rsid w:val="0027618F"/>
    <w:rsid w:val="00276281"/>
    <w:rsid w:val="0027629C"/>
    <w:rsid w:val="002766AA"/>
    <w:rsid w:val="00276B84"/>
    <w:rsid w:val="00276BD1"/>
    <w:rsid w:val="00276E09"/>
    <w:rsid w:val="00276E83"/>
    <w:rsid w:val="00276F5C"/>
    <w:rsid w:val="00276FCB"/>
    <w:rsid w:val="002772E2"/>
    <w:rsid w:val="002773A7"/>
    <w:rsid w:val="0027744C"/>
    <w:rsid w:val="00277531"/>
    <w:rsid w:val="00277574"/>
    <w:rsid w:val="002776A7"/>
    <w:rsid w:val="0027799A"/>
    <w:rsid w:val="00277C8F"/>
    <w:rsid w:val="00277D10"/>
    <w:rsid w:val="00277FAD"/>
    <w:rsid w:val="00280030"/>
    <w:rsid w:val="00280101"/>
    <w:rsid w:val="002801A6"/>
    <w:rsid w:val="002801D4"/>
    <w:rsid w:val="00280375"/>
    <w:rsid w:val="002808EA"/>
    <w:rsid w:val="00280A58"/>
    <w:rsid w:val="00280B17"/>
    <w:rsid w:val="00280B49"/>
    <w:rsid w:val="00280BC5"/>
    <w:rsid w:val="00280CA6"/>
    <w:rsid w:val="00280F30"/>
    <w:rsid w:val="00281035"/>
    <w:rsid w:val="0028107C"/>
    <w:rsid w:val="002810F7"/>
    <w:rsid w:val="00281144"/>
    <w:rsid w:val="0028136B"/>
    <w:rsid w:val="002815D9"/>
    <w:rsid w:val="0028165A"/>
    <w:rsid w:val="0028167C"/>
    <w:rsid w:val="0028172E"/>
    <w:rsid w:val="00281749"/>
    <w:rsid w:val="002817CC"/>
    <w:rsid w:val="0028193E"/>
    <w:rsid w:val="002819BC"/>
    <w:rsid w:val="00281A29"/>
    <w:rsid w:val="00281A7A"/>
    <w:rsid w:val="00281AD9"/>
    <w:rsid w:val="00281CA6"/>
    <w:rsid w:val="00281F54"/>
    <w:rsid w:val="00281F73"/>
    <w:rsid w:val="00281F82"/>
    <w:rsid w:val="00282325"/>
    <w:rsid w:val="0028241C"/>
    <w:rsid w:val="002825A7"/>
    <w:rsid w:val="0028261D"/>
    <w:rsid w:val="00282705"/>
    <w:rsid w:val="0028276D"/>
    <w:rsid w:val="00282782"/>
    <w:rsid w:val="0028285B"/>
    <w:rsid w:val="002829F1"/>
    <w:rsid w:val="00282A19"/>
    <w:rsid w:val="00282D9E"/>
    <w:rsid w:val="00282DFF"/>
    <w:rsid w:val="00282E25"/>
    <w:rsid w:val="002831E1"/>
    <w:rsid w:val="00283545"/>
    <w:rsid w:val="002835B8"/>
    <w:rsid w:val="002836BD"/>
    <w:rsid w:val="002836EF"/>
    <w:rsid w:val="002838B2"/>
    <w:rsid w:val="00283925"/>
    <w:rsid w:val="00283AC8"/>
    <w:rsid w:val="00283D81"/>
    <w:rsid w:val="00283E22"/>
    <w:rsid w:val="00283F9A"/>
    <w:rsid w:val="0028412B"/>
    <w:rsid w:val="0028415F"/>
    <w:rsid w:val="00284266"/>
    <w:rsid w:val="00284272"/>
    <w:rsid w:val="00284350"/>
    <w:rsid w:val="002846AD"/>
    <w:rsid w:val="002846B8"/>
    <w:rsid w:val="00284717"/>
    <w:rsid w:val="0028473A"/>
    <w:rsid w:val="00284766"/>
    <w:rsid w:val="002849E8"/>
    <w:rsid w:val="00284A83"/>
    <w:rsid w:val="00284B4B"/>
    <w:rsid w:val="00284DA1"/>
    <w:rsid w:val="00284EDB"/>
    <w:rsid w:val="002852C7"/>
    <w:rsid w:val="002854BD"/>
    <w:rsid w:val="0028554E"/>
    <w:rsid w:val="002855FB"/>
    <w:rsid w:val="002857E6"/>
    <w:rsid w:val="00285864"/>
    <w:rsid w:val="00285971"/>
    <w:rsid w:val="002859D3"/>
    <w:rsid w:val="00285A6D"/>
    <w:rsid w:val="00285B03"/>
    <w:rsid w:val="00285CF3"/>
    <w:rsid w:val="00285D11"/>
    <w:rsid w:val="00285DAA"/>
    <w:rsid w:val="0028603C"/>
    <w:rsid w:val="00286049"/>
    <w:rsid w:val="00286078"/>
    <w:rsid w:val="00286114"/>
    <w:rsid w:val="00286685"/>
    <w:rsid w:val="0028683D"/>
    <w:rsid w:val="00286913"/>
    <w:rsid w:val="0028699F"/>
    <w:rsid w:val="00286C45"/>
    <w:rsid w:val="00286E55"/>
    <w:rsid w:val="00286E59"/>
    <w:rsid w:val="00286F09"/>
    <w:rsid w:val="002870E4"/>
    <w:rsid w:val="00287330"/>
    <w:rsid w:val="002877E1"/>
    <w:rsid w:val="00287DBA"/>
    <w:rsid w:val="00287ED3"/>
    <w:rsid w:val="00287F65"/>
    <w:rsid w:val="0029015B"/>
    <w:rsid w:val="0029063F"/>
    <w:rsid w:val="002907D0"/>
    <w:rsid w:val="002907E4"/>
    <w:rsid w:val="0029087C"/>
    <w:rsid w:val="00290947"/>
    <w:rsid w:val="00290AE3"/>
    <w:rsid w:val="00290BF0"/>
    <w:rsid w:val="00290D21"/>
    <w:rsid w:val="00290DA9"/>
    <w:rsid w:val="00290E65"/>
    <w:rsid w:val="00290FC5"/>
    <w:rsid w:val="00291048"/>
    <w:rsid w:val="0029104B"/>
    <w:rsid w:val="00291327"/>
    <w:rsid w:val="002913BA"/>
    <w:rsid w:val="002914FC"/>
    <w:rsid w:val="002915DC"/>
    <w:rsid w:val="002917A1"/>
    <w:rsid w:val="00291886"/>
    <w:rsid w:val="00291976"/>
    <w:rsid w:val="002919FC"/>
    <w:rsid w:val="00291B0A"/>
    <w:rsid w:val="00291B7E"/>
    <w:rsid w:val="00291D2B"/>
    <w:rsid w:val="00292437"/>
    <w:rsid w:val="002924E6"/>
    <w:rsid w:val="0029254B"/>
    <w:rsid w:val="0029257F"/>
    <w:rsid w:val="00292588"/>
    <w:rsid w:val="002925FD"/>
    <w:rsid w:val="002928EE"/>
    <w:rsid w:val="00292CA0"/>
    <w:rsid w:val="00292CBE"/>
    <w:rsid w:val="00292D1C"/>
    <w:rsid w:val="00292D2A"/>
    <w:rsid w:val="00292FF8"/>
    <w:rsid w:val="0029329D"/>
    <w:rsid w:val="0029348E"/>
    <w:rsid w:val="0029359F"/>
    <w:rsid w:val="0029369D"/>
    <w:rsid w:val="00293784"/>
    <w:rsid w:val="002937C9"/>
    <w:rsid w:val="00293868"/>
    <w:rsid w:val="00293E31"/>
    <w:rsid w:val="00293ECA"/>
    <w:rsid w:val="00293EDE"/>
    <w:rsid w:val="00293F70"/>
    <w:rsid w:val="00293FC0"/>
    <w:rsid w:val="00293FC4"/>
    <w:rsid w:val="002942A9"/>
    <w:rsid w:val="002943CB"/>
    <w:rsid w:val="0029442B"/>
    <w:rsid w:val="002946D2"/>
    <w:rsid w:val="002946F6"/>
    <w:rsid w:val="00294A71"/>
    <w:rsid w:val="00294B37"/>
    <w:rsid w:val="00294B6B"/>
    <w:rsid w:val="00294B9F"/>
    <w:rsid w:val="00294D6C"/>
    <w:rsid w:val="00294EE1"/>
    <w:rsid w:val="0029517C"/>
    <w:rsid w:val="0029548B"/>
    <w:rsid w:val="00295608"/>
    <w:rsid w:val="0029571D"/>
    <w:rsid w:val="002957A7"/>
    <w:rsid w:val="00295869"/>
    <w:rsid w:val="002958C3"/>
    <w:rsid w:val="002958EB"/>
    <w:rsid w:val="00295A93"/>
    <w:rsid w:val="00295AD0"/>
    <w:rsid w:val="00295B07"/>
    <w:rsid w:val="00295B9D"/>
    <w:rsid w:val="00295D41"/>
    <w:rsid w:val="00295E39"/>
    <w:rsid w:val="00295F29"/>
    <w:rsid w:val="00295F30"/>
    <w:rsid w:val="00295FE4"/>
    <w:rsid w:val="002960EC"/>
    <w:rsid w:val="00296100"/>
    <w:rsid w:val="00296164"/>
    <w:rsid w:val="0029618B"/>
    <w:rsid w:val="002961B6"/>
    <w:rsid w:val="00296292"/>
    <w:rsid w:val="00296682"/>
    <w:rsid w:val="002966CF"/>
    <w:rsid w:val="002966E0"/>
    <w:rsid w:val="002967A2"/>
    <w:rsid w:val="00296818"/>
    <w:rsid w:val="00296839"/>
    <w:rsid w:val="00296A81"/>
    <w:rsid w:val="00296AFB"/>
    <w:rsid w:val="00296BF7"/>
    <w:rsid w:val="00296C15"/>
    <w:rsid w:val="00296EAF"/>
    <w:rsid w:val="00297024"/>
    <w:rsid w:val="00297327"/>
    <w:rsid w:val="002975A4"/>
    <w:rsid w:val="0029763F"/>
    <w:rsid w:val="0029796D"/>
    <w:rsid w:val="002979BB"/>
    <w:rsid w:val="00297A8D"/>
    <w:rsid w:val="00297BA0"/>
    <w:rsid w:val="00297CA3"/>
    <w:rsid w:val="00297D58"/>
    <w:rsid w:val="00297DAF"/>
    <w:rsid w:val="00297F2F"/>
    <w:rsid w:val="0029D194"/>
    <w:rsid w:val="002A0235"/>
    <w:rsid w:val="002A0260"/>
    <w:rsid w:val="002A039C"/>
    <w:rsid w:val="002A0565"/>
    <w:rsid w:val="002A0671"/>
    <w:rsid w:val="002A078A"/>
    <w:rsid w:val="002A0827"/>
    <w:rsid w:val="002A0887"/>
    <w:rsid w:val="002A0AF0"/>
    <w:rsid w:val="002A0C41"/>
    <w:rsid w:val="002A0C83"/>
    <w:rsid w:val="002A0CC5"/>
    <w:rsid w:val="002A0D7B"/>
    <w:rsid w:val="002A0E6A"/>
    <w:rsid w:val="002A0F06"/>
    <w:rsid w:val="002A0F22"/>
    <w:rsid w:val="002A1397"/>
    <w:rsid w:val="002A148F"/>
    <w:rsid w:val="002A14C3"/>
    <w:rsid w:val="002A1540"/>
    <w:rsid w:val="002A154C"/>
    <w:rsid w:val="002A163F"/>
    <w:rsid w:val="002A1907"/>
    <w:rsid w:val="002A1A51"/>
    <w:rsid w:val="002A1A7C"/>
    <w:rsid w:val="002A1C8E"/>
    <w:rsid w:val="002A1CBB"/>
    <w:rsid w:val="002A1E44"/>
    <w:rsid w:val="002A1EDA"/>
    <w:rsid w:val="002A1F6E"/>
    <w:rsid w:val="002A210A"/>
    <w:rsid w:val="002A21F8"/>
    <w:rsid w:val="002A2377"/>
    <w:rsid w:val="002A263A"/>
    <w:rsid w:val="002A27E1"/>
    <w:rsid w:val="002A2BC6"/>
    <w:rsid w:val="002A2D51"/>
    <w:rsid w:val="002A2E30"/>
    <w:rsid w:val="002A3188"/>
    <w:rsid w:val="002A3379"/>
    <w:rsid w:val="002A33FF"/>
    <w:rsid w:val="002A3883"/>
    <w:rsid w:val="002A38A1"/>
    <w:rsid w:val="002A38BA"/>
    <w:rsid w:val="002A394B"/>
    <w:rsid w:val="002A3972"/>
    <w:rsid w:val="002A3B02"/>
    <w:rsid w:val="002A3D6A"/>
    <w:rsid w:val="002A40AC"/>
    <w:rsid w:val="002A4101"/>
    <w:rsid w:val="002A4148"/>
    <w:rsid w:val="002A4179"/>
    <w:rsid w:val="002A418A"/>
    <w:rsid w:val="002A4287"/>
    <w:rsid w:val="002A44CD"/>
    <w:rsid w:val="002A453D"/>
    <w:rsid w:val="002A457C"/>
    <w:rsid w:val="002A46AD"/>
    <w:rsid w:val="002A49E8"/>
    <w:rsid w:val="002A4A29"/>
    <w:rsid w:val="002A4B93"/>
    <w:rsid w:val="002A4E5D"/>
    <w:rsid w:val="002A4F72"/>
    <w:rsid w:val="002A505E"/>
    <w:rsid w:val="002A5098"/>
    <w:rsid w:val="002A5182"/>
    <w:rsid w:val="002A5226"/>
    <w:rsid w:val="002A5318"/>
    <w:rsid w:val="002A547F"/>
    <w:rsid w:val="002A549B"/>
    <w:rsid w:val="002A560C"/>
    <w:rsid w:val="002A59EC"/>
    <w:rsid w:val="002A5A2F"/>
    <w:rsid w:val="002A5AAC"/>
    <w:rsid w:val="002A5C76"/>
    <w:rsid w:val="002A5D4C"/>
    <w:rsid w:val="002A5EAD"/>
    <w:rsid w:val="002A647C"/>
    <w:rsid w:val="002A647D"/>
    <w:rsid w:val="002A64F1"/>
    <w:rsid w:val="002A6514"/>
    <w:rsid w:val="002A66B3"/>
    <w:rsid w:val="002A67EB"/>
    <w:rsid w:val="002A689F"/>
    <w:rsid w:val="002A6ABE"/>
    <w:rsid w:val="002A6B14"/>
    <w:rsid w:val="002A6B66"/>
    <w:rsid w:val="002A6BF6"/>
    <w:rsid w:val="002A6C74"/>
    <w:rsid w:val="002A6F40"/>
    <w:rsid w:val="002A6F8E"/>
    <w:rsid w:val="002A6F99"/>
    <w:rsid w:val="002A7177"/>
    <w:rsid w:val="002A7194"/>
    <w:rsid w:val="002A7208"/>
    <w:rsid w:val="002A7274"/>
    <w:rsid w:val="002A7373"/>
    <w:rsid w:val="002A749A"/>
    <w:rsid w:val="002A74E5"/>
    <w:rsid w:val="002A7505"/>
    <w:rsid w:val="002A75E9"/>
    <w:rsid w:val="002A7704"/>
    <w:rsid w:val="002A77C0"/>
    <w:rsid w:val="002A77DC"/>
    <w:rsid w:val="002A796F"/>
    <w:rsid w:val="002A7A1F"/>
    <w:rsid w:val="002A7CA3"/>
    <w:rsid w:val="002A7CDC"/>
    <w:rsid w:val="002A7CF2"/>
    <w:rsid w:val="002A7D6A"/>
    <w:rsid w:val="002B004A"/>
    <w:rsid w:val="002B00DE"/>
    <w:rsid w:val="002B015E"/>
    <w:rsid w:val="002B01A0"/>
    <w:rsid w:val="002B032A"/>
    <w:rsid w:val="002B0377"/>
    <w:rsid w:val="002B0657"/>
    <w:rsid w:val="002B0A5D"/>
    <w:rsid w:val="002B0B03"/>
    <w:rsid w:val="002B0C9D"/>
    <w:rsid w:val="002B0CDB"/>
    <w:rsid w:val="002B1064"/>
    <w:rsid w:val="002B10CE"/>
    <w:rsid w:val="002B1152"/>
    <w:rsid w:val="002B1246"/>
    <w:rsid w:val="002B1301"/>
    <w:rsid w:val="002B1335"/>
    <w:rsid w:val="002B1356"/>
    <w:rsid w:val="002B1604"/>
    <w:rsid w:val="002B16D8"/>
    <w:rsid w:val="002B16EC"/>
    <w:rsid w:val="002B1846"/>
    <w:rsid w:val="002B198D"/>
    <w:rsid w:val="002B1C7B"/>
    <w:rsid w:val="002B1DBD"/>
    <w:rsid w:val="002B2099"/>
    <w:rsid w:val="002B21D6"/>
    <w:rsid w:val="002B2258"/>
    <w:rsid w:val="002B237F"/>
    <w:rsid w:val="002B2423"/>
    <w:rsid w:val="002B271B"/>
    <w:rsid w:val="002B2887"/>
    <w:rsid w:val="002B2899"/>
    <w:rsid w:val="002B28E5"/>
    <w:rsid w:val="002B28FA"/>
    <w:rsid w:val="002B2AC4"/>
    <w:rsid w:val="002B2AEE"/>
    <w:rsid w:val="002B2D99"/>
    <w:rsid w:val="002B2FD2"/>
    <w:rsid w:val="002B31A2"/>
    <w:rsid w:val="002B31FC"/>
    <w:rsid w:val="002B323E"/>
    <w:rsid w:val="002B3468"/>
    <w:rsid w:val="002B3475"/>
    <w:rsid w:val="002B3486"/>
    <w:rsid w:val="002B3494"/>
    <w:rsid w:val="002B3507"/>
    <w:rsid w:val="002B3537"/>
    <w:rsid w:val="002B3762"/>
    <w:rsid w:val="002B3764"/>
    <w:rsid w:val="002B37A1"/>
    <w:rsid w:val="002B3974"/>
    <w:rsid w:val="002B3A53"/>
    <w:rsid w:val="002B3AE3"/>
    <w:rsid w:val="002B3BA5"/>
    <w:rsid w:val="002B3D55"/>
    <w:rsid w:val="002B3DE8"/>
    <w:rsid w:val="002B3E77"/>
    <w:rsid w:val="002B3EC3"/>
    <w:rsid w:val="002B3F0B"/>
    <w:rsid w:val="002B4231"/>
    <w:rsid w:val="002B42BC"/>
    <w:rsid w:val="002B443D"/>
    <w:rsid w:val="002B44F3"/>
    <w:rsid w:val="002B4685"/>
    <w:rsid w:val="002B471A"/>
    <w:rsid w:val="002B4867"/>
    <w:rsid w:val="002B48CF"/>
    <w:rsid w:val="002B490B"/>
    <w:rsid w:val="002B4910"/>
    <w:rsid w:val="002B4AC4"/>
    <w:rsid w:val="002B4C24"/>
    <w:rsid w:val="002B4D3A"/>
    <w:rsid w:val="002B4E4C"/>
    <w:rsid w:val="002B4ED7"/>
    <w:rsid w:val="002B5265"/>
    <w:rsid w:val="002B5274"/>
    <w:rsid w:val="002B53D8"/>
    <w:rsid w:val="002B53DD"/>
    <w:rsid w:val="002B543B"/>
    <w:rsid w:val="002B545B"/>
    <w:rsid w:val="002B54E4"/>
    <w:rsid w:val="002B556E"/>
    <w:rsid w:val="002B55A0"/>
    <w:rsid w:val="002B55E2"/>
    <w:rsid w:val="002B5996"/>
    <w:rsid w:val="002B59AB"/>
    <w:rsid w:val="002B5A2A"/>
    <w:rsid w:val="002B5B95"/>
    <w:rsid w:val="002B5BD0"/>
    <w:rsid w:val="002B5C4C"/>
    <w:rsid w:val="002B6071"/>
    <w:rsid w:val="002B621F"/>
    <w:rsid w:val="002B6353"/>
    <w:rsid w:val="002B63CD"/>
    <w:rsid w:val="002B6408"/>
    <w:rsid w:val="002B6475"/>
    <w:rsid w:val="002B6528"/>
    <w:rsid w:val="002B66AD"/>
    <w:rsid w:val="002B66D6"/>
    <w:rsid w:val="002B6821"/>
    <w:rsid w:val="002B688B"/>
    <w:rsid w:val="002B68B3"/>
    <w:rsid w:val="002B68FC"/>
    <w:rsid w:val="002B69C2"/>
    <w:rsid w:val="002B6A98"/>
    <w:rsid w:val="002B6B42"/>
    <w:rsid w:val="002B6C86"/>
    <w:rsid w:val="002B6E80"/>
    <w:rsid w:val="002B7097"/>
    <w:rsid w:val="002B73EF"/>
    <w:rsid w:val="002B7452"/>
    <w:rsid w:val="002B75A0"/>
    <w:rsid w:val="002B7631"/>
    <w:rsid w:val="002B769B"/>
    <w:rsid w:val="002B76C6"/>
    <w:rsid w:val="002B76DB"/>
    <w:rsid w:val="002B7883"/>
    <w:rsid w:val="002B7A1C"/>
    <w:rsid w:val="002B7A53"/>
    <w:rsid w:val="002B7C01"/>
    <w:rsid w:val="002B7EF0"/>
    <w:rsid w:val="002C001C"/>
    <w:rsid w:val="002C043B"/>
    <w:rsid w:val="002C071C"/>
    <w:rsid w:val="002C07A0"/>
    <w:rsid w:val="002C07DF"/>
    <w:rsid w:val="002C0AD0"/>
    <w:rsid w:val="002C0B11"/>
    <w:rsid w:val="002C0B70"/>
    <w:rsid w:val="002C0C72"/>
    <w:rsid w:val="002C0C9C"/>
    <w:rsid w:val="002C0EC3"/>
    <w:rsid w:val="002C0FE3"/>
    <w:rsid w:val="002C114D"/>
    <w:rsid w:val="002C114E"/>
    <w:rsid w:val="002C11F1"/>
    <w:rsid w:val="002C12D5"/>
    <w:rsid w:val="002C1493"/>
    <w:rsid w:val="002C14A7"/>
    <w:rsid w:val="002C152E"/>
    <w:rsid w:val="002C155F"/>
    <w:rsid w:val="002C160A"/>
    <w:rsid w:val="002C17BD"/>
    <w:rsid w:val="002C1BD2"/>
    <w:rsid w:val="002C1CB5"/>
    <w:rsid w:val="002C1DC0"/>
    <w:rsid w:val="002C1DC6"/>
    <w:rsid w:val="002C1E4C"/>
    <w:rsid w:val="002C1EA7"/>
    <w:rsid w:val="002C1F0D"/>
    <w:rsid w:val="002C1FA7"/>
    <w:rsid w:val="002C1FCB"/>
    <w:rsid w:val="002C21E0"/>
    <w:rsid w:val="002C2249"/>
    <w:rsid w:val="002C232F"/>
    <w:rsid w:val="002C23CC"/>
    <w:rsid w:val="002C242B"/>
    <w:rsid w:val="002C253D"/>
    <w:rsid w:val="002C254E"/>
    <w:rsid w:val="002C264C"/>
    <w:rsid w:val="002C2719"/>
    <w:rsid w:val="002C277E"/>
    <w:rsid w:val="002C2802"/>
    <w:rsid w:val="002C2878"/>
    <w:rsid w:val="002C28E2"/>
    <w:rsid w:val="002C2A0D"/>
    <w:rsid w:val="002C2BBE"/>
    <w:rsid w:val="002C2BF2"/>
    <w:rsid w:val="002C2E02"/>
    <w:rsid w:val="002C2E1D"/>
    <w:rsid w:val="002C2E6A"/>
    <w:rsid w:val="002C2F50"/>
    <w:rsid w:val="002C3015"/>
    <w:rsid w:val="002C326F"/>
    <w:rsid w:val="002C32C1"/>
    <w:rsid w:val="002C340B"/>
    <w:rsid w:val="002C3420"/>
    <w:rsid w:val="002C365C"/>
    <w:rsid w:val="002C37FB"/>
    <w:rsid w:val="002C38A5"/>
    <w:rsid w:val="002C38C3"/>
    <w:rsid w:val="002C397E"/>
    <w:rsid w:val="002C3A16"/>
    <w:rsid w:val="002C3AF5"/>
    <w:rsid w:val="002C3B0F"/>
    <w:rsid w:val="002C3B8B"/>
    <w:rsid w:val="002C3D35"/>
    <w:rsid w:val="002C3E6C"/>
    <w:rsid w:val="002C3F09"/>
    <w:rsid w:val="002C3F71"/>
    <w:rsid w:val="002C405C"/>
    <w:rsid w:val="002C42F2"/>
    <w:rsid w:val="002C43FD"/>
    <w:rsid w:val="002C479B"/>
    <w:rsid w:val="002C4ABF"/>
    <w:rsid w:val="002C4BE6"/>
    <w:rsid w:val="002C4E9C"/>
    <w:rsid w:val="002C4ED5"/>
    <w:rsid w:val="002C4F6A"/>
    <w:rsid w:val="002C5037"/>
    <w:rsid w:val="002C514A"/>
    <w:rsid w:val="002C5608"/>
    <w:rsid w:val="002C56D3"/>
    <w:rsid w:val="002C57AD"/>
    <w:rsid w:val="002C57D4"/>
    <w:rsid w:val="002C5804"/>
    <w:rsid w:val="002C58CC"/>
    <w:rsid w:val="002C5B2C"/>
    <w:rsid w:val="002C5B5C"/>
    <w:rsid w:val="002C5DD3"/>
    <w:rsid w:val="002C5EBF"/>
    <w:rsid w:val="002C5EEC"/>
    <w:rsid w:val="002C5F27"/>
    <w:rsid w:val="002C5F96"/>
    <w:rsid w:val="002C613E"/>
    <w:rsid w:val="002C6173"/>
    <w:rsid w:val="002C6287"/>
    <w:rsid w:val="002C64A6"/>
    <w:rsid w:val="002C64BB"/>
    <w:rsid w:val="002C64C4"/>
    <w:rsid w:val="002C68B6"/>
    <w:rsid w:val="002C69A0"/>
    <w:rsid w:val="002C6C27"/>
    <w:rsid w:val="002C6DCC"/>
    <w:rsid w:val="002C6F3D"/>
    <w:rsid w:val="002C70E0"/>
    <w:rsid w:val="002C721A"/>
    <w:rsid w:val="002C7723"/>
    <w:rsid w:val="002C79AA"/>
    <w:rsid w:val="002C79FA"/>
    <w:rsid w:val="002C7AF0"/>
    <w:rsid w:val="002C7BC4"/>
    <w:rsid w:val="002C7BDC"/>
    <w:rsid w:val="002C7C2B"/>
    <w:rsid w:val="002C7CFA"/>
    <w:rsid w:val="002C7D52"/>
    <w:rsid w:val="002C7E5C"/>
    <w:rsid w:val="002C7E79"/>
    <w:rsid w:val="002C7EDA"/>
    <w:rsid w:val="002C7F00"/>
    <w:rsid w:val="002D0251"/>
    <w:rsid w:val="002D03B8"/>
    <w:rsid w:val="002D03EC"/>
    <w:rsid w:val="002D0484"/>
    <w:rsid w:val="002D04E6"/>
    <w:rsid w:val="002D0533"/>
    <w:rsid w:val="002D05C9"/>
    <w:rsid w:val="002D0662"/>
    <w:rsid w:val="002D0669"/>
    <w:rsid w:val="002D06D1"/>
    <w:rsid w:val="002D07C6"/>
    <w:rsid w:val="002D094C"/>
    <w:rsid w:val="002D0B52"/>
    <w:rsid w:val="002D0CAF"/>
    <w:rsid w:val="002D0CDB"/>
    <w:rsid w:val="002D0DBF"/>
    <w:rsid w:val="002D0E7C"/>
    <w:rsid w:val="002D1226"/>
    <w:rsid w:val="002D13F5"/>
    <w:rsid w:val="002D1649"/>
    <w:rsid w:val="002D165B"/>
    <w:rsid w:val="002D16FD"/>
    <w:rsid w:val="002D1981"/>
    <w:rsid w:val="002D19CD"/>
    <w:rsid w:val="002D1CBF"/>
    <w:rsid w:val="002D1FAF"/>
    <w:rsid w:val="002D2396"/>
    <w:rsid w:val="002D242C"/>
    <w:rsid w:val="002D24C5"/>
    <w:rsid w:val="002D24D5"/>
    <w:rsid w:val="002D251D"/>
    <w:rsid w:val="002D25C6"/>
    <w:rsid w:val="002D2659"/>
    <w:rsid w:val="002D2761"/>
    <w:rsid w:val="002D2787"/>
    <w:rsid w:val="002D287F"/>
    <w:rsid w:val="002D28F7"/>
    <w:rsid w:val="002D2AB1"/>
    <w:rsid w:val="002D2AE1"/>
    <w:rsid w:val="002D2BF2"/>
    <w:rsid w:val="002D2D17"/>
    <w:rsid w:val="002D2D68"/>
    <w:rsid w:val="002D2DC7"/>
    <w:rsid w:val="002D2E64"/>
    <w:rsid w:val="002D2E72"/>
    <w:rsid w:val="002D3088"/>
    <w:rsid w:val="002D31DD"/>
    <w:rsid w:val="002D3238"/>
    <w:rsid w:val="002D333B"/>
    <w:rsid w:val="002D3623"/>
    <w:rsid w:val="002D36DE"/>
    <w:rsid w:val="002D3721"/>
    <w:rsid w:val="002D3821"/>
    <w:rsid w:val="002D3965"/>
    <w:rsid w:val="002D3AB0"/>
    <w:rsid w:val="002D3BB0"/>
    <w:rsid w:val="002D3CE9"/>
    <w:rsid w:val="002D424B"/>
    <w:rsid w:val="002D42C4"/>
    <w:rsid w:val="002D42FC"/>
    <w:rsid w:val="002D4960"/>
    <w:rsid w:val="002D49C2"/>
    <w:rsid w:val="002D4ACA"/>
    <w:rsid w:val="002D4AFF"/>
    <w:rsid w:val="002D4B2E"/>
    <w:rsid w:val="002D4D92"/>
    <w:rsid w:val="002D4F53"/>
    <w:rsid w:val="002D4F55"/>
    <w:rsid w:val="002D50E5"/>
    <w:rsid w:val="002D51DB"/>
    <w:rsid w:val="002D5269"/>
    <w:rsid w:val="002D559B"/>
    <w:rsid w:val="002D5650"/>
    <w:rsid w:val="002D578C"/>
    <w:rsid w:val="002D57A4"/>
    <w:rsid w:val="002D59B6"/>
    <w:rsid w:val="002D5A28"/>
    <w:rsid w:val="002D5B86"/>
    <w:rsid w:val="002D5F9C"/>
    <w:rsid w:val="002D6225"/>
    <w:rsid w:val="002D6286"/>
    <w:rsid w:val="002D6352"/>
    <w:rsid w:val="002D637B"/>
    <w:rsid w:val="002D6529"/>
    <w:rsid w:val="002D656F"/>
    <w:rsid w:val="002D65C2"/>
    <w:rsid w:val="002D6791"/>
    <w:rsid w:val="002D6B14"/>
    <w:rsid w:val="002D6C99"/>
    <w:rsid w:val="002D7031"/>
    <w:rsid w:val="002D721F"/>
    <w:rsid w:val="002D7451"/>
    <w:rsid w:val="002D758F"/>
    <w:rsid w:val="002D76C0"/>
    <w:rsid w:val="002D77AF"/>
    <w:rsid w:val="002D77B3"/>
    <w:rsid w:val="002D79C4"/>
    <w:rsid w:val="002D7BE4"/>
    <w:rsid w:val="002D7BE9"/>
    <w:rsid w:val="002D7BFE"/>
    <w:rsid w:val="002D7C1F"/>
    <w:rsid w:val="002D7C55"/>
    <w:rsid w:val="002D7C80"/>
    <w:rsid w:val="002D7F09"/>
    <w:rsid w:val="002E0142"/>
    <w:rsid w:val="002E017C"/>
    <w:rsid w:val="002E024A"/>
    <w:rsid w:val="002E02B3"/>
    <w:rsid w:val="002E02E6"/>
    <w:rsid w:val="002E04DC"/>
    <w:rsid w:val="002E05C9"/>
    <w:rsid w:val="002E0784"/>
    <w:rsid w:val="002E07FA"/>
    <w:rsid w:val="002E094C"/>
    <w:rsid w:val="002E0A94"/>
    <w:rsid w:val="002E0A9A"/>
    <w:rsid w:val="002E0ACF"/>
    <w:rsid w:val="002E0B27"/>
    <w:rsid w:val="002E0BF0"/>
    <w:rsid w:val="002E0C49"/>
    <w:rsid w:val="002E0D86"/>
    <w:rsid w:val="002E15DD"/>
    <w:rsid w:val="002E16B9"/>
    <w:rsid w:val="002E181E"/>
    <w:rsid w:val="002E1AFA"/>
    <w:rsid w:val="002E1C35"/>
    <w:rsid w:val="002E1E47"/>
    <w:rsid w:val="002E1E63"/>
    <w:rsid w:val="002E1F60"/>
    <w:rsid w:val="002E2272"/>
    <w:rsid w:val="002E24B9"/>
    <w:rsid w:val="002E2635"/>
    <w:rsid w:val="002E299C"/>
    <w:rsid w:val="002E2D6F"/>
    <w:rsid w:val="002E2E35"/>
    <w:rsid w:val="002E2FAB"/>
    <w:rsid w:val="002E3002"/>
    <w:rsid w:val="002E3070"/>
    <w:rsid w:val="002E311B"/>
    <w:rsid w:val="002E321A"/>
    <w:rsid w:val="002E3298"/>
    <w:rsid w:val="002E357E"/>
    <w:rsid w:val="002E35BA"/>
    <w:rsid w:val="002E3618"/>
    <w:rsid w:val="002E3644"/>
    <w:rsid w:val="002E367F"/>
    <w:rsid w:val="002E36C1"/>
    <w:rsid w:val="002E383F"/>
    <w:rsid w:val="002E3876"/>
    <w:rsid w:val="002E3B7E"/>
    <w:rsid w:val="002E3C7C"/>
    <w:rsid w:val="002E3C92"/>
    <w:rsid w:val="002E3D1E"/>
    <w:rsid w:val="002E3D3D"/>
    <w:rsid w:val="002E3F05"/>
    <w:rsid w:val="002E3F93"/>
    <w:rsid w:val="002E4079"/>
    <w:rsid w:val="002E435D"/>
    <w:rsid w:val="002E438D"/>
    <w:rsid w:val="002E481D"/>
    <w:rsid w:val="002E4BB5"/>
    <w:rsid w:val="002E4BF3"/>
    <w:rsid w:val="002E4E6B"/>
    <w:rsid w:val="002E4FC9"/>
    <w:rsid w:val="002E51C0"/>
    <w:rsid w:val="002E51C3"/>
    <w:rsid w:val="002E52EB"/>
    <w:rsid w:val="002E535D"/>
    <w:rsid w:val="002E545D"/>
    <w:rsid w:val="002E5541"/>
    <w:rsid w:val="002E5588"/>
    <w:rsid w:val="002E5638"/>
    <w:rsid w:val="002E5769"/>
    <w:rsid w:val="002E590B"/>
    <w:rsid w:val="002E5C7A"/>
    <w:rsid w:val="002E5FE8"/>
    <w:rsid w:val="002E6184"/>
    <w:rsid w:val="002E6662"/>
    <w:rsid w:val="002E676C"/>
    <w:rsid w:val="002E685F"/>
    <w:rsid w:val="002E6865"/>
    <w:rsid w:val="002E68EA"/>
    <w:rsid w:val="002E6B90"/>
    <w:rsid w:val="002E6BB9"/>
    <w:rsid w:val="002E6C81"/>
    <w:rsid w:val="002E6D34"/>
    <w:rsid w:val="002E7090"/>
    <w:rsid w:val="002E7147"/>
    <w:rsid w:val="002E7464"/>
    <w:rsid w:val="002E7473"/>
    <w:rsid w:val="002E7668"/>
    <w:rsid w:val="002E773B"/>
    <w:rsid w:val="002E7794"/>
    <w:rsid w:val="002E7979"/>
    <w:rsid w:val="002E7AD9"/>
    <w:rsid w:val="002E7C5C"/>
    <w:rsid w:val="002E7D0D"/>
    <w:rsid w:val="002E7DC0"/>
    <w:rsid w:val="002F00D0"/>
    <w:rsid w:val="002F037E"/>
    <w:rsid w:val="002F07A2"/>
    <w:rsid w:val="002F07C8"/>
    <w:rsid w:val="002F095B"/>
    <w:rsid w:val="002F0AC3"/>
    <w:rsid w:val="002F164A"/>
    <w:rsid w:val="002F16FA"/>
    <w:rsid w:val="002F1754"/>
    <w:rsid w:val="002F196E"/>
    <w:rsid w:val="002F1A08"/>
    <w:rsid w:val="002F1AAC"/>
    <w:rsid w:val="002F1C51"/>
    <w:rsid w:val="002F1E09"/>
    <w:rsid w:val="002F1FE2"/>
    <w:rsid w:val="002F2042"/>
    <w:rsid w:val="002F20AA"/>
    <w:rsid w:val="002F22E0"/>
    <w:rsid w:val="002F2346"/>
    <w:rsid w:val="002F239A"/>
    <w:rsid w:val="002F23D4"/>
    <w:rsid w:val="002F25D1"/>
    <w:rsid w:val="002F272B"/>
    <w:rsid w:val="002F27CF"/>
    <w:rsid w:val="002F2950"/>
    <w:rsid w:val="002F2973"/>
    <w:rsid w:val="002F29C8"/>
    <w:rsid w:val="002F2C18"/>
    <w:rsid w:val="002F2EC8"/>
    <w:rsid w:val="002F2F5F"/>
    <w:rsid w:val="002F303C"/>
    <w:rsid w:val="002F30C0"/>
    <w:rsid w:val="002F31B2"/>
    <w:rsid w:val="002F3382"/>
    <w:rsid w:val="002F3469"/>
    <w:rsid w:val="002F36C1"/>
    <w:rsid w:val="002F3860"/>
    <w:rsid w:val="002F3B30"/>
    <w:rsid w:val="002F3B77"/>
    <w:rsid w:val="002F3D86"/>
    <w:rsid w:val="002F3F64"/>
    <w:rsid w:val="002F40BF"/>
    <w:rsid w:val="002F4710"/>
    <w:rsid w:val="002F47DB"/>
    <w:rsid w:val="002F4908"/>
    <w:rsid w:val="002F4981"/>
    <w:rsid w:val="002F4A38"/>
    <w:rsid w:val="002F4C97"/>
    <w:rsid w:val="002F4D25"/>
    <w:rsid w:val="002F4E58"/>
    <w:rsid w:val="002F5030"/>
    <w:rsid w:val="002F505E"/>
    <w:rsid w:val="002F5408"/>
    <w:rsid w:val="002F5539"/>
    <w:rsid w:val="002F5DFB"/>
    <w:rsid w:val="002F5E6B"/>
    <w:rsid w:val="002F5F3A"/>
    <w:rsid w:val="002F6055"/>
    <w:rsid w:val="002F610F"/>
    <w:rsid w:val="002F6682"/>
    <w:rsid w:val="002F67B9"/>
    <w:rsid w:val="002F6A48"/>
    <w:rsid w:val="002F6A75"/>
    <w:rsid w:val="002F6A79"/>
    <w:rsid w:val="002F6AA5"/>
    <w:rsid w:val="002F6B2A"/>
    <w:rsid w:val="002F6E5C"/>
    <w:rsid w:val="002F6E99"/>
    <w:rsid w:val="002F6F31"/>
    <w:rsid w:val="002F6F4D"/>
    <w:rsid w:val="002F7225"/>
    <w:rsid w:val="002F7317"/>
    <w:rsid w:val="002F7522"/>
    <w:rsid w:val="002F7808"/>
    <w:rsid w:val="002F78E8"/>
    <w:rsid w:val="002F78ED"/>
    <w:rsid w:val="002F79E0"/>
    <w:rsid w:val="002F7A43"/>
    <w:rsid w:val="002F7BAE"/>
    <w:rsid w:val="002F7BB7"/>
    <w:rsid w:val="002F7ED9"/>
    <w:rsid w:val="00300049"/>
    <w:rsid w:val="003001E0"/>
    <w:rsid w:val="00300315"/>
    <w:rsid w:val="00300318"/>
    <w:rsid w:val="0030043E"/>
    <w:rsid w:val="003004FA"/>
    <w:rsid w:val="003008BB"/>
    <w:rsid w:val="003008BD"/>
    <w:rsid w:val="00300A5E"/>
    <w:rsid w:val="00300B7A"/>
    <w:rsid w:val="00300CB9"/>
    <w:rsid w:val="00300CD8"/>
    <w:rsid w:val="00300EE5"/>
    <w:rsid w:val="00301071"/>
    <w:rsid w:val="00301189"/>
    <w:rsid w:val="0030130A"/>
    <w:rsid w:val="00301369"/>
    <w:rsid w:val="00301724"/>
    <w:rsid w:val="003018B9"/>
    <w:rsid w:val="00301A6E"/>
    <w:rsid w:val="00301B06"/>
    <w:rsid w:val="00301DB6"/>
    <w:rsid w:val="00301E02"/>
    <w:rsid w:val="00301F1A"/>
    <w:rsid w:val="00301F2F"/>
    <w:rsid w:val="00301FCA"/>
    <w:rsid w:val="00301FCF"/>
    <w:rsid w:val="00302070"/>
    <w:rsid w:val="0030219F"/>
    <w:rsid w:val="003024EC"/>
    <w:rsid w:val="00302908"/>
    <w:rsid w:val="00302B1B"/>
    <w:rsid w:val="00302B8B"/>
    <w:rsid w:val="00302E46"/>
    <w:rsid w:val="00302FB9"/>
    <w:rsid w:val="0030327E"/>
    <w:rsid w:val="003032CC"/>
    <w:rsid w:val="0030333D"/>
    <w:rsid w:val="0030359D"/>
    <w:rsid w:val="00303674"/>
    <w:rsid w:val="00303987"/>
    <w:rsid w:val="00303E6A"/>
    <w:rsid w:val="00303F0E"/>
    <w:rsid w:val="00303F56"/>
    <w:rsid w:val="003042E9"/>
    <w:rsid w:val="003043AF"/>
    <w:rsid w:val="0030443A"/>
    <w:rsid w:val="003046CE"/>
    <w:rsid w:val="0030484C"/>
    <w:rsid w:val="003048E9"/>
    <w:rsid w:val="003049F8"/>
    <w:rsid w:val="00304A74"/>
    <w:rsid w:val="00304A88"/>
    <w:rsid w:val="00304C82"/>
    <w:rsid w:val="00304DF4"/>
    <w:rsid w:val="00305078"/>
    <w:rsid w:val="003050E9"/>
    <w:rsid w:val="003051C4"/>
    <w:rsid w:val="00305312"/>
    <w:rsid w:val="0030536F"/>
    <w:rsid w:val="003054C1"/>
    <w:rsid w:val="003055DF"/>
    <w:rsid w:val="003056C8"/>
    <w:rsid w:val="00305A42"/>
    <w:rsid w:val="00305A53"/>
    <w:rsid w:val="00305B18"/>
    <w:rsid w:val="00305BA0"/>
    <w:rsid w:val="00305C0D"/>
    <w:rsid w:val="00305E4B"/>
    <w:rsid w:val="00305E6D"/>
    <w:rsid w:val="0030605A"/>
    <w:rsid w:val="0030607C"/>
    <w:rsid w:val="0030633F"/>
    <w:rsid w:val="00306442"/>
    <w:rsid w:val="00306609"/>
    <w:rsid w:val="00306739"/>
    <w:rsid w:val="003068C6"/>
    <w:rsid w:val="00306983"/>
    <w:rsid w:val="003069ED"/>
    <w:rsid w:val="00306AE1"/>
    <w:rsid w:val="00306E39"/>
    <w:rsid w:val="00306E5C"/>
    <w:rsid w:val="00306FE1"/>
    <w:rsid w:val="0030706B"/>
    <w:rsid w:val="0030714C"/>
    <w:rsid w:val="0030726E"/>
    <w:rsid w:val="00307484"/>
    <w:rsid w:val="003076A4"/>
    <w:rsid w:val="003076C1"/>
    <w:rsid w:val="003077E1"/>
    <w:rsid w:val="0030780A"/>
    <w:rsid w:val="00307811"/>
    <w:rsid w:val="00307930"/>
    <w:rsid w:val="00307A5F"/>
    <w:rsid w:val="00307EDB"/>
    <w:rsid w:val="00307EE8"/>
    <w:rsid w:val="0030B8F9"/>
    <w:rsid w:val="003100F3"/>
    <w:rsid w:val="0031015C"/>
    <w:rsid w:val="003101F3"/>
    <w:rsid w:val="00310460"/>
    <w:rsid w:val="0031087E"/>
    <w:rsid w:val="00310B72"/>
    <w:rsid w:val="00310B7B"/>
    <w:rsid w:val="00310B8D"/>
    <w:rsid w:val="00310BC9"/>
    <w:rsid w:val="00310DFB"/>
    <w:rsid w:val="00310E3E"/>
    <w:rsid w:val="00310E69"/>
    <w:rsid w:val="00310F82"/>
    <w:rsid w:val="00311113"/>
    <w:rsid w:val="0031139F"/>
    <w:rsid w:val="00311578"/>
    <w:rsid w:val="0031176A"/>
    <w:rsid w:val="003118F0"/>
    <w:rsid w:val="003119EB"/>
    <w:rsid w:val="00311A4D"/>
    <w:rsid w:val="00311ABB"/>
    <w:rsid w:val="00311BE7"/>
    <w:rsid w:val="00311C52"/>
    <w:rsid w:val="00311E19"/>
    <w:rsid w:val="00311FA1"/>
    <w:rsid w:val="00312032"/>
    <w:rsid w:val="0031214F"/>
    <w:rsid w:val="003124A7"/>
    <w:rsid w:val="00312905"/>
    <w:rsid w:val="00312A8C"/>
    <w:rsid w:val="00312B0F"/>
    <w:rsid w:val="00312C93"/>
    <w:rsid w:val="00312CE1"/>
    <w:rsid w:val="00312D46"/>
    <w:rsid w:val="00312FFB"/>
    <w:rsid w:val="00312FFE"/>
    <w:rsid w:val="00313050"/>
    <w:rsid w:val="00313067"/>
    <w:rsid w:val="00313135"/>
    <w:rsid w:val="003135A1"/>
    <w:rsid w:val="0031373D"/>
    <w:rsid w:val="00313745"/>
    <w:rsid w:val="00313749"/>
    <w:rsid w:val="00313894"/>
    <w:rsid w:val="0031391F"/>
    <w:rsid w:val="00313993"/>
    <w:rsid w:val="00313DEE"/>
    <w:rsid w:val="00313EF9"/>
    <w:rsid w:val="00314136"/>
    <w:rsid w:val="003141BC"/>
    <w:rsid w:val="00314368"/>
    <w:rsid w:val="00314537"/>
    <w:rsid w:val="0031456A"/>
    <w:rsid w:val="00314584"/>
    <w:rsid w:val="0031487C"/>
    <w:rsid w:val="00314A73"/>
    <w:rsid w:val="00314B82"/>
    <w:rsid w:val="00314E01"/>
    <w:rsid w:val="00314F0A"/>
    <w:rsid w:val="003151AD"/>
    <w:rsid w:val="003152B2"/>
    <w:rsid w:val="003153AF"/>
    <w:rsid w:val="003153B1"/>
    <w:rsid w:val="0031564E"/>
    <w:rsid w:val="0031588F"/>
    <w:rsid w:val="00315B26"/>
    <w:rsid w:val="00315BDE"/>
    <w:rsid w:val="00315D46"/>
    <w:rsid w:val="00315FF9"/>
    <w:rsid w:val="0031601B"/>
    <w:rsid w:val="0031620B"/>
    <w:rsid w:val="003162A8"/>
    <w:rsid w:val="0031655C"/>
    <w:rsid w:val="003166B8"/>
    <w:rsid w:val="003166C3"/>
    <w:rsid w:val="0031678D"/>
    <w:rsid w:val="00316A00"/>
    <w:rsid w:val="00316B83"/>
    <w:rsid w:val="00316C95"/>
    <w:rsid w:val="00316DD7"/>
    <w:rsid w:val="00316E4B"/>
    <w:rsid w:val="00316F04"/>
    <w:rsid w:val="00316F9C"/>
    <w:rsid w:val="00317029"/>
    <w:rsid w:val="00317075"/>
    <w:rsid w:val="00317675"/>
    <w:rsid w:val="003176E2"/>
    <w:rsid w:val="003177E4"/>
    <w:rsid w:val="00317892"/>
    <w:rsid w:val="003179FB"/>
    <w:rsid w:val="00317BC9"/>
    <w:rsid w:val="0032012B"/>
    <w:rsid w:val="003201BF"/>
    <w:rsid w:val="003203AC"/>
    <w:rsid w:val="003204E3"/>
    <w:rsid w:val="003204FE"/>
    <w:rsid w:val="0032055F"/>
    <w:rsid w:val="00320573"/>
    <w:rsid w:val="00320623"/>
    <w:rsid w:val="0032068C"/>
    <w:rsid w:val="00320699"/>
    <w:rsid w:val="00320853"/>
    <w:rsid w:val="003208AE"/>
    <w:rsid w:val="003209BE"/>
    <w:rsid w:val="00320AD9"/>
    <w:rsid w:val="00320BA1"/>
    <w:rsid w:val="00320DC4"/>
    <w:rsid w:val="00320DFE"/>
    <w:rsid w:val="00320E06"/>
    <w:rsid w:val="003211D6"/>
    <w:rsid w:val="00321421"/>
    <w:rsid w:val="00321607"/>
    <w:rsid w:val="00321614"/>
    <w:rsid w:val="003216E5"/>
    <w:rsid w:val="003218EE"/>
    <w:rsid w:val="00321E22"/>
    <w:rsid w:val="00321FBD"/>
    <w:rsid w:val="00322015"/>
    <w:rsid w:val="0032202F"/>
    <w:rsid w:val="00322030"/>
    <w:rsid w:val="003221D4"/>
    <w:rsid w:val="003221E8"/>
    <w:rsid w:val="003224F0"/>
    <w:rsid w:val="003225E3"/>
    <w:rsid w:val="003225FA"/>
    <w:rsid w:val="00322901"/>
    <w:rsid w:val="00322D44"/>
    <w:rsid w:val="00322F89"/>
    <w:rsid w:val="0032321A"/>
    <w:rsid w:val="0032321D"/>
    <w:rsid w:val="003232A3"/>
    <w:rsid w:val="003233FF"/>
    <w:rsid w:val="00323580"/>
    <w:rsid w:val="00323633"/>
    <w:rsid w:val="0032379D"/>
    <w:rsid w:val="003238EE"/>
    <w:rsid w:val="00323A06"/>
    <w:rsid w:val="00323A18"/>
    <w:rsid w:val="00323B1C"/>
    <w:rsid w:val="00323CCD"/>
    <w:rsid w:val="00323D0A"/>
    <w:rsid w:val="00323DBE"/>
    <w:rsid w:val="00323EE7"/>
    <w:rsid w:val="0032416D"/>
    <w:rsid w:val="00324224"/>
    <w:rsid w:val="0032427E"/>
    <w:rsid w:val="0032428C"/>
    <w:rsid w:val="00324488"/>
    <w:rsid w:val="00324706"/>
    <w:rsid w:val="003247FA"/>
    <w:rsid w:val="00324824"/>
    <w:rsid w:val="00324866"/>
    <w:rsid w:val="00324A1E"/>
    <w:rsid w:val="00324C2E"/>
    <w:rsid w:val="0032520F"/>
    <w:rsid w:val="003252EF"/>
    <w:rsid w:val="00325320"/>
    <w:rsid w:val="003255D8"/>
    <w:rsid w:val="00325640"/>
    <w:rsid w:val="0032569E"/>
    <w:rsid w:val="0032587E"/>
    <w:rsid w:val="003258AE"/>
    <w:rsid w:val="003259D2"/>
    <w:rsid w:val="00325C32"/>
    <w:rsid w:val="00325D15"/>
    <w:rsid w:val="00325D1F"/>
    <w:rsid w:val="00325EEB"/>
    <w:rsid w:val="00325F0C"/>
    <w:rsid w:val="0032605D"/>
    <w:rsid w:val="00326145"/>
    <w:rsid w:val="0032617F"/>
    <w:rsid w:val="0032618D"/>
    <w:rsid w:val="003262AB"/>
    <w:rsid w:val="003262E3"/>
    <w:rsid w:val="0032640A"/>
    <w:rsid w:val="003265C9"/>
    <w:rsid w:val="00326715"/>
    <w:rsid w:val="00326878"/>
    <w:rsid w:val="00326C85"/>
    <w:rsid w:val="00326CC2"/>
    <w:rsid w:val="00326FC9"/>
    <w:rsid w:val="0032710B"/>
    <w:rsid w:val="00327300"/>
    <w:rsid w:val="003274B5"/>
    <w:rsid w:val="003275B4"/>
    <w:rsid w:val="003276D0"/>
    <w:rsid w:val="0032776C"/>
    <w:rsid w:val="003277BB"/>
    <w:rsid w:val="00327A53"/>
    <w:rsid w:val="00327B2B"/>
    <w:rsid w:val="00327D92"/>
    <w:rsid w:val="00330292"/>
    <w:rsid w:val="003304C1"/>
    <w:rsid w:val="0033050B"/>
    <w:rsid w:val="00330510"/>
    <w:rsid w:val="00330566"/>
    <w:rsid w:val="003305DF"/>
    <w:rsid w:val="003305E0"/>
    <w:rsid w:val="0033088A"/>
    <w:rsid w:val="003309B7"/>
    <w:rsid w:val="00330AB8"/>
    <w:rsid w:val="00330BDA"/>
    <w:rsid w:val="00330D6C"/>
    <w:rsid w:val="00330F62"/>
    <w:rsid w:val="003311A9"/>
    <w:rsid w:val="003313D0"/>
    <w:rsid w:val="003314A4"/>
    <w:rsid w:val="00331655"/>
    <w:rsid w:val="00331746"/>
    <w:rsid w:val="00331A50"/>
    <w:rsid w:val="00331AE1"/>
    <w:rsid w:val="00331B4D"/>
    <w:rsid w:val="00331B91"/>
    <w:rsid w:val="00331B93"/>
    <w:rsid w:val="00331D27"/>
    <w:rsid w:val="00331D4C"/>
    <w:rsid w:val="00331E7A"/>
    <w:rsid w:val="0033204B"/>
    <w:rsid w:val="00332064"/>
    <w:rsid w:val="003320EF"/>
    <w:rsid w:val="00332128"/>
    <w:rsid w:val="003321C0"/>
    <w:rsid w:val="00332243"/>
    <w:rsid w:val="003322BE"/>
    <w:rsid w:val="0033232B"/>
    <w:rsid w:val="003324DD"/>
    <w:rsid w:val="00332528"/>
    <w:rsid w:val="0033255C"/>
    <w:rsid w:val="00332796"/>
    <w:rsid w:val="003328D5"/>
    <w:rsid w:val="00332ECA"/>
    <w:rsid w:val="00332FC0"/>
    <w:rsid w:val="00333160"/>
    <w:rsid w:val="00333565"/>
    <w:rsid w:val="00333604"/>
    <w:rsid w:val="00333801"/>
    <w:rsid w:val="00333D8F"/>
    <w:rsid w:val="00334091"/>
    <w:rsid w:val="003340BA"/>
    <w:rsid w:val="00334171"/>
    <w:rsid w:val="003341B8"/>
    <w:rsid w:val="0033421A"/>
    <w:rsid w:val="00334306"/>
    <w:rsid w:val="00334453"/>
    <w:rsid w:val="0033446A"/>
    <w:rsid w:val="00334586"/>
    <w:rsid w:val="0033469E"/>
    <w:rsid w:val="00334756"/>
    <w:rsid w:val="00334762"/>
    <w:rsid w:val="00334AC5"/>
    <w:rsid w:val="00334AD8"/>
    <w:rsid w:val="00334D78"/>
    <w:rsid w:val="00334DA6"/>
    <w:rsid w:val="00334F36"/>
    <w:rsid w:val="003350C6"/>
    <w:rsid w:val="0033532E"/>
    <w:rsid w:val="0033543B"/>
    <w:rsid w:val="00335621"/>
    <w:rsid w:val="0033593C"/>
    <w:rsid w:val="00335A01"/>
    <w:rsid w:val="00335A90"/>
    <w:rsid w:val="00335B61"/>
    <w:rsid w:val="00335B67"/>
    <w:rsid w:val="00335C33"/>
    <w:rsid w:val="00335CED"/>
    <w:rsid w:val="00335D28"/>
    <w:rsid w:val="00335EA8"/>
    <w:rsid w:val="00335F16"/>
    <w:rsid w:val="00335F76"/>
    <w:rsid w:val="00336042"/>
    <w:rsid w:val="0033604A"/>
    <w:rsid w:val="00336067"/>
    <w:rsid w:val="00336095"/>
    <w:rsid w:val="00336145"/>
    <w:rsid w:val="003361B8"/>
    <w:rsid w:val="0033621F"/>
    <w:rsid w:val="00336389"/>
    <w:rsid w:val="003363A7"/>
    <w:rsid w:val="0033648B"/>
    <w:rsid w:val="0033673C"/>
    <w:rsid w:val="0033690E"/>
    <w:rsid w:val="00336B74"/>
    <w:rsid w:val="00336B8B"/>
    <w:rsid w:val="00336BBE"/>
    <w:rsid w:val="00336C6B"/>
    <w:rsid w:val="00336E4F"/>
    <w:rsid w:val="0033701D"/>
    <w:rsid w:val="003370C4"/>
    <w:rsid w:val="00337317"/>
    <w:rsid w:val="00337504"/>
    <w:rsid w:val="003375E8"/>
    <w:rsid w:val="003379EA"/>
    <w:rsid w:val="003379F4"/>
    <w:rsid w:val="00337BBE"/>
    <w:rsid w:val="00337BF6"/>
    <w:rsid w:val="00337EDE"/>
    <w:rsid w:val="00337FA3"/>
    <w:rsid w:val="0034000E"/>
    <w:rsid w:val="003400DD"/>
    <w:rsid w:val="00340137"/>
    <w:rsid w:val="003404D1"/>
    <w:rsid w:val="0034056F"/>
    <w:rsid w:val="00340585"/>
    <w:rsid w:val="003405F2"/>
    <w:rsid w:val="0034070B"/>
    <w:rsid w:val="003407BD"/>
    <w:rsid w:val="003407E9"/>
    <w:rsid w:val="003409A5"/>
    <w:rsid w:val="00340A1B"/>
    <w:rsid w:val="0034118E"/>
    <w:rsid w:val="00341293"/>
    <w:rsid w:val="00341299"/>
    <w:rsid w:val="003412B8"/>
    <w:rsid w:val="00341346"/>
    <w:rsid w:val="00341354"/>
    <w:rsid w:val="00341360"/>
    <w:rsid w:val="003413DC"/>
    <w:rsid w:val="0034162A"/>
    <w:rsid w:val="0034179D"/>
    <w:rsid w:val="003417C6"/>
    <w:rsid w:val="003418EB"/>
    <w:rsid w:val="00341A15"/>
    <w:rsid w:val="00341A6A"/>
    <w:rsid w:val="00341BB0"/>
    <w:rsid w:val="00341D07"/>
    <w:rsid w:val="00341D17"/>
    <w:rsid w:val="00341DB6"/>
    <w:rsid w:val="00341F5F"/>
    <w:rsid w:val="00342268"/>
    <w:rsid w:val="003422C4"/>
    <w:rsid w:val="00342567"/>
    <w:rsid w:val="00342632"/>
    <w:rsid w:val="00342676"/>
    <w:rsid w:val="00342713"/>
    <w:rsid w:val="00342A50"/>
    <w:rsid w:val="00342BAD"/>
    <w:rsid w:val="00342C38"/>
    <w:rsid w:val="00342CF0"/>
    <w:rsid w:val="00342F64"/>
    <w:rsid w:val="00343194"/>
    <w:rsid w:val="003432A9"/>
    <w:rsid w:val="003433E1"/>
    <w:rsid w:val="003434D5"/>
    <w:rsid w:val="0034379D"/>
    <w:rsid w:val="003437B3"/>
    <w:rsid w:val="00343964"/>
    <w:rsid w:val="003439C3"/>
    <w:rsid w:val="00343AD2"/>
    <w:rsid w:val="00343B73"/>
    <w:rsid w:val="00343B8B"/>
    <w:rsid w:val="00343D0C"/>
    <w:rsid w:val="00344277"/>
    <w:rsid w:val="003443A4"/>
    <w:rsid w:val="003443FE"/>
    <w:rsid w:val="0034452E"/>
    <w:rsid w:val="00344549"/>
    <w:rsid w:val="003448DE"/>
    <w:rsid w:val="00344903"/>
    <w:rsid w:val="003449F0"/>
    <w:rsid w:val="00344BEA"/>
    <w:rsid w:val="00344DE0"/>
    <w:rsid w:val="00344E5B"/>
    <w:rsid w:val="00344E9E"/>
    <w:rsid w:val="00344EFB"/>
    <w:rsid w:val="003452DE"/>
    <w:rsid w:val="00345339"/>
    <w:rsid w:val="00345356"/>
    <w:rsid w:val="0034552D"/>
    <w:rsid w:val="00345783"/>
    <w:rsid w:val="00345B6C"/>
    <w:rsid w:val="00345C66"/>
    <w:rsid w:val="00345E4C"/>
    <w:rsid w:val="00345E86"/>
    <w:rsid w:val="00345FCE"/>
    <w:rsid w:val="00346128"/>
    <w:rsid w:val="00346228"/>
    <w:rsid w:val="00346377"/>
    <w:rsid w:val="00346588"/>
    <w:rsid w:val="003465F9"/>
    <w:rsid w:val="00346622"/>
    <w:rsid w:val="00346730"/>
    <w:rsid w:val="00346970"/>
    <w:rsid w:val="00346A09"/>
    <w:rsid w:val="00346B60"/>
    <w:rsid w:val="00346C49"/>
    <w:rsid w:val="00346DD2"/>
    <w:rsid w:val="00346E0C"/>
    <w:rsid w:val="00346F04"/>
    <w:rsid w:val="00346F87"/>
    <w:rsid w:val="00347242"/>
    <w:rsid w:val="0034727F"/>
    <w:rsid w:val="00347301"/>
    <w:rsid w:val="00347325"/>
    <w:rsid w:val="0034739C"/>
    <w:rsid w:val="00347583"/>
    <w:rsid w:val="003478B2"/>
    <w:rsid w:val="0034790A"/>
    <w:rsid w:val="00347B43"/>
    <w:rsid w:val="00347BC0"/>
    <w:rsid w:val="00347F64"/>
    <w:rsid w:val="0035013A"/>
    <w:rsid w:val="00350149"/>
    <w:rsid w:val="003501D6"/>
    <w:rsid w:val="003501F4"/>
    <w:rsid w:val="0035028B"/>
    <w:rsid w:val="003502AD"/>
    <w:rsid w:val="003503A8"/>
    <w:rsid w:val="0035045F"/>
    <w:rsid w:val="00350736"/>
    <w:rsid w:val="00350800"/>
    <w:rsid w:val="0035088C"/>
    <w:rsid w:val="00350C18"/>
    <w:rsid w:val="00350E6F"/>
    <w:rsid w:val="00350FD8"/>
    <w:rsid w:val="0035142E"/>
    <w:rsid w:val="003515AF"/>
    <w:rsid w:val="00351616"/>
    <w:rsid w:val="00351839"/>
    <w:rsid w:val="00351860"/>
    <w:rsid w:val="003519C6"/>
    <w:rsid w:val="00351DE1"/>
    <w:rsid w:val="00351EF8"/>
    <w:rsid w:val="0035207E"/>
    <w:rsid w:val="003520B5"/>
    <w:rsid w:val="003520E8"/>
    <w:rsid w:val="003520F9"/>
    <w:rsid w:val="00352472"/>
    <w:rsid w:val="0035252D"/>
    <w:rsid w:val="0035256D"/>
    <w:rsid w:val="003525BA"/>
    <w:rsid w:val="00352ABC"/>
    <w:rsid w:val="00352D67"/>
    <w:rsid w:val="00352DBD"/>
    <w:rsid w:val="00352ECD"/>
    <w:rsid w:val="003531E5"/>
    <w:rsid w:val="003533D2"/>
    <w:rsid w:val="0035340B"/>
    <w:rsid w:val="00353479"/>
    <w:rsid w:val="00353500"/>
    <w:rsid w:val="00353638"/>
    <w:rsid w:val="00353689"/>
    <w:rsid w:val="00353AE7"/>
    <w:rsid w:val="00353C8E"/>
    <w:rsid w:val="00353FB7"/>
    <w:rsid w:val="0035403B"/>
    <w:rsid w:val="00354138"/>
    <w:rsid w:val="003541D1"/>
    <w:rsid w:val="003542DD"/>
    <w:rsid w:val="003544D0"/>
    <w:rsid w:val="00354711"/>
    <w:rsid w:val="00354731"/>
    <w:rsid w:val="003547B4"/>
    <w:rsid w:val="00354945"/>
    <w:rsid w:val="00354992"/>
    <w:rsid w:val="00354AA0"/>
    <w:rsid w:val="00354BB0"/>
    <w:rsid w:val="00354D62"/>
    <w:rsid w:val="00354DCD"/>
    <w:rsid w:val="00354E20"/>
    <w:rsid w:val="00354E55"/>
    <w:rsid w:val="00354E91"/>
    <w:rsid w:val="00354EB9"/>
    <w:rsid w:val="00354EF4"/>
    <w:rsid w:val="00354FD4"/>
    <w:rsid w:val="00355052"/>
    <w:rsid w:val="003555C1"/>
    <w:rsid w:val="0035569F"/>
    <w:rsid w:val="0035581E"/>
    <w:rsid w:val="00355946"/>
    <w:rsid w:val="00355D26"/>
    <w:rsid w:val="00355DE7"/>
    <w:rsid w:val="00355E56"/>
    <w:rsid w:val="00355FBF"/>
    <w:rsid w:val="003560C0"/>
    <w:rsid w:val="003561D4"/>
    <w:rsid w:val="00356275"/>
    <w:rsid w:val="003562A1"/>
    <w:rsid w:val="00356317"/>
    <w:rsid w:val="0035636D"/>
    <w:rsid w:val="00356371"/>
    <w:rsid w:val="003564C0"/>
    <w:rsid w:val="00356561"/>
    <w:rsid w:val="00356618"/>
    <w:rsid w:val="003568BC"/>
    <w:rsid w:val="00356C88"/>
    <w:rsid w:val="00356D07"/>
    <w:rsid w:val="003570C2"/>
    <w:rsid w:val="0035714C"/>
    <w:rsid w:val="003573B3"/>
    <w:rsid w:val="00357530"/>
    <w:rsid w:val="0035774A"/>
    <w:rsid w:val="00357864"/>
    <w:rsid w:val="003579A1"/>
    <w:rsid w:val="00357AA4"/>
    <w:rsid w:val="00357AC2"/>
    <w:rsid w:val="00357C60"/>
    <w:rsid w:val="00357DF1"/>
    <w:rsid w:val="00357EA7"/>
    <w:rsid w:val="00360027"/>
    <w:rsid w:val="0036029E"/>
    <w:rsid w:val="0036033E"/>
    <w:rsid w:val="003604F3"/>
    <w:rsid w:val="0036056A"/>
    <w:rsid w:val="00360572"/>
    <w:rsid w:val="0036070D"/>
    <w:rsid w:val="00360758"/>
    <w:rsid w:val="003607AE"/>
    <w:rsid w:val="003608D5"/>
    <w:rsid w:val="003609B6"/>
    <w:rsid w:val="00360A31"/>
    <w:rsid w:val="00360A5D"/>
    <w:rsid w:val="00360A78"/>
    <w:rsid w:val="00360E6B"/>
    <w:rsid w:val="00360F32"/>
    <w:rsid w:val="003610C5"/>
    <w:rsid w:val="0036115B"/>
    <w:rsid w:val="00361222"/>
    <w:rsid w:val="0036136F"/>
    <w:rsid w:val="00361417"/>
    <w:rsid w:val="0036156E"/>
    <w:rsid w:val="00361746"/>
    <w:rsid w:val="003618A5"/>
    <w:rsid w:val="00361963"/>
    <w:rsid w:val="00361989"/>
    <w:rsid w:val="00361BF3"/>
    <w:rsid w:val="00361DF6"/>
    <w:rsid w:val="00361E8D"/>
    <w:rsid w:val="00361ED2"/>
    <w:rsid w:val="003622C6"/>
    <w:rsid w:val="003624BB"/>
    <w:rsid w:val="003627BF"/>
    <w:rsid w:val="0036281C"/>
    <w:rsid w:val="00362B08"/>
    <w:rsid w:val="00362B49"/>
    <w:rsid w:val="00362C8B"/>
    <w:rsid w:val="0036304D"/>
    <w:rsid w:val="00363071"/>
    <w:rsid w:val="003634AF"/>
    <w:rsid w:val="00363651"/>
    <w:rsid w:val="0036365B"/>
    <w:rsid w:val="00363765"/>
    <w:rsid w:val="0036378F"/>
    <w:rsid w:val="0036399B"/>
    <w:rsid w:val="00363A6D"/>
    <w:rsid w:val="00363C2E"/>
    <w:rsid w:val="00363C80"/>
    <w:rsid w:val="00363D17"/>
    <w:rsid w:val="00363F28"/>
    <w:rsid w:val="00363FC1"/>
    <w:rsid w:val="00364294"/>
    <w:rsid w:val="0036434D"/>
    <w:rsid w:val="00364617"/>
    <w:rsid w:val="00364658"/>
    <w:rsid w:val="00364878"/>
    <w:rsid w:val="003649E4"/>
    <w:rsid w:val="00364A3B"/>
    <w:rsid w:val="00364B25"/>
    <w:rsid w:val="00364B60"/>
    <w:rsid w:val="00364BC8"/>
    <w:rsid w:val="00364C6A"/>
    <w:rsid w:val="00364E2A"/>
    <w:rsid w:val="00364E2E"/>
    <w:rsid w:val="00364E95"/>
    <w:rsid w:val="00364F74"/>
    <w:rsid w:val="0036506C"/>
    <w:rsid w:val="003650F2"/>
    <w:rsid w:val="0036523C"/>
    <w:rsid w:val="00365293"/>
    <w:rsid w:val="003653DD"/>
    <w:rsid w:val="00365435"/>
    <w:rsid w:val="0036550F"/>
    <w:rsid w:val="003655B5"/>
    <w:rsid w:val="00365707"/>
    <w:rsid w:val="0036573E"/>
    <w:rsid w:val="00365AF3"/>
    <w:rsid w:val="00365B27"/>
    <w:rsid w:val="00365CF9"/>
    <w:rsid w:val="00365F2F"/>
    <w:rsid w:val="0036612E"/>
    <w:rsid w:val="003661B5"/>
    <w:rsid w:val="003662BA"/>
    <w:rsid w:val="003662E7"/>
    <w:rsid w:val="0036632F"/>
    <w:rsid w:val="00366340"/>
    <w:rsid w:val="003664EE"/>
    <w:rsid w:val="00366519"/>
    <w:rsid w:val="0036674C"/>
    <w:rsid w:val="00366788"/>
    <w:rsid w:val="00366949"/>
    <w:rsid w:val="0036697B"/>
    <w:rsid w:val="00366BCB"/>
    <w:rsid w:val="00366E28"/>
    <w:rsid w:val="0036703D"/>
    <w:rsid w:val="00367145"/>
    <w:rsid w:val="00367444"/>
    <w:rsid w:val="00367454"/>
    <w:rsid w:val="003676AF"/>
    <w:rsid w:val="00367756"/>
    <w:rsid w:val="00367952"/>
    <w:rsid w:val="00367A0A"/>
    <w:rsid w:val="00367C44"/>
    <w:rsid w:val="00367D15"/>
    <w:rsid w:val="00367DAB"/>
    <w:rsid w:val="00367DFB"/>
    <w:rsid w:val="00367E0D"/>
    <w:rsid w:val="00367E94"/>
    <w:rsid w:val="00367EA8"/>
    <w:rsid w:val="00367EEF"/>
    <w:rsid w:val="0037001F"/>
    <w:rsid w:val="00370065"/>
    <w:rsid w:val="0037014B"/>
    <w:rsid w:val="003701DE"/>
    <w:rsid w:val="0037033E"/>
    <w:rsid w:val="003706DF"/>
    <w:rsid w:val="003706FE"/>
    <w:rsid w:val="00370710"/>
    <w:rsid w:val="00370848"/>
    <w:rsid w:val="0037095D"/>
    <w:rsid w:val="00370A78"/>
    <w:rsid w:val="00370B20"/>
    <w:rsid w:val="00371063"/>
    <w:rsid w:val="0037131A"/>
    <w:rsid w:val="0037167C"/>
    <w:rsid w:val="0037169E"/>
    <w:rsid w:val="003716F0"/>
    <w:rsid w:val="0037193D"/>
    <w:rsid w:val="00371A09"/>
    <w:rsid w:val="00371A3D"/>
    <w:rsid w:val="00371B7B"/>
    <w:rsid w:val="00371D50"/>
    <w:rsid w:val="00371DAA"/>
    <w:rsid w:val="00371DEA"/>
    <w:rsid w:val="00371F3D"/>
    <w:rsid w:val="00371F70"/>
    <w:rsid w:val="0037203F"/>
    <w:rsid w:val="003721D1"/>
    <w:rsid w:val="003722C9"/>
    <w:rsid w:val="003723E2"/>
    <w:rsid w:val="0037249B"/>
    <w:rsid w:val="003724F2"/>
    <w:rsid w:val="003725E6"/>
    <w:rsid w:val="003726AD"/>
    <w:rsid w:val="00372A1E"/>
    <w:rsid w:val="00372AF7"/>
    <w:rsid w:val="00372C75"/>
    <w:rsid w:val="00372D48"/>
    <w:rsid w:val="00372E7C"/>
    <w:rsid w:val="003733F0"/>
    <w:rsid w:val="003734F0"/>
    <w:rsid w:val="00373735"/>
    <w:rsid w:val="00373769"/>
    <w:rsid w:val="0037379C"/>
    <w:rsid w:val="003737A2"/>
    <w:rsid w:val="00373B68"/>
    <w:rsid w:val="00373B96"/>
    <w:rsid w:val="00373C0D"/>
    <w:rsid w:val="00373C96"/>
    <w:rsid w:val="00373CDF"/>
    <w:rsid w:val="00373CF7"/>
    <w:rsid w:val="00373D35"/>
    <w:rsid w:val="00373D49"/>
    <w:rsid w:val="00373DAD"/>
    <w:rsid w:val="00373F69"/>
    <w:rsid w:val="0037411A"/>
    <w:rsid w:val="003745CB"/>
    <w:rsid w:val="003746A3"/>
    <w:rsid w:val="003747A0"/>
    <w:rsid w:val="00374820"/>
    <w:rsid w:val="0037487A"/>
    <w:rsid w:val="003748A6"/>
    <w:rsid w:val="003749C1"/>
    <w:rsid w:val="003749F5"/>
    <w:rsid w:val="00374AAC"/>
    <w:rsid w:val="00374C1D"/>
    <w:rsid w:val="00374F67"/>
    <w:rsid w:val="00375188"/>
    <w:rsid w:val="0037527A"/>
    <w:rsid w:val="0037543B"/>
    <w:rsid w:val="0037566F"/>
    <w:rsid w:val="00375728"/>
    <w:rsid w:val="003759DC"/>
    <w:rsid w:val="00375A7E"/>
    <w:rsid w:val="00375DD7"/>
    <w:rsid w:val="00376108"/>
    <w:rsid w:val="003761EB"/>
    <w:rsid w:val="003762A8"/>
    <w:rsid w:val="003762CA"/>
    <w:rsid w:val="003764C8"/>
    <w:rsid w:val="003765DD"/>
    <w:rsid w:val="0037666D"/>
    <w:rsid w:val="003766DC"/>
    <w:rsid w:val="00376A2E"/>
    <w:rsid w:val="00376B34"/>
    <w:rsid w:val="00376C28"/>
    <w:rsid w:val="00376E6D"/>
    <w:rsid w:val="00376FD9"/>
    <w:rsid w:val="003770EA"/>
    <w:rsid w:val="00377191"/>
    <w:rsid w:val="003771B8"/>
    <w:rsid w:val="003771D8"/>
    <w:rsid w:val="003771FB"/>
    <w:rsid w:val="003772AA"/>
    <w:rsid w:val="00377358"/>
    <w:rsid w:val="0037737F"/>
    <w:rsid w:val="003774CC"/>
    <w:rsid w:val="00377534"/>
    <w:rsid w:val="003777D9"/>
    <w:rsid w:val="0037787D"/>
    <w:rsid w:val="00377A35"/>
    <w:rsid w:val="00377A8B"/>
    <w:rsid w:val="00377C35"/>
    <w:rsid w:val="00377C90"/>
    <w:rsid w:val="00377FB9"/>
    <w:rsid w:val="00377FC7"/>
    <w:rsid w:val="00380029"/>
    <w:rsid w:val="0038003B"/>
    <w:rsid w:val="003804CE"/>
    <w:rsid w:val="003805DA"/>
    <w:rsid w:val="003806E4"/>
    <w:rsid w:val="003807CC"/>
    <w:rsid w:val="00380B60"/>
    <w:rsid w:val="00380C4A"/>
    <w:rsid w:val="00380EDC"/>
    <w:rsid w:val="003810E3"/>
    <w:rsid w:val="003811F6"/>
    <w:rsid w:val="003812CB"/>
    <w:rsid w:val="003812CF"/>
    <w:rsid w:val="003815FB"/>
    <w:rsid w:val="00381655"/>
    <w:rsid w:val="0038167C"/>
    <w:rsid w:val="00381903"/>
    <w:rsid w:val="0038197E"/>
    <w:rsid w:val="0038199B"/>
    <w:rsid w:val="00381AA2"/>
    <w:rsid w:val="00381B24"/>
    <w:rsid w:val="00381BB9"/>
    <w:rsid w:val="00381CC0"/>
    <w:rsid w:val="00381E2A"/>
    <w:rsid w:val="00381E55"/>
    <w:rsid w:val="00381E59"/>
    <w:rsid w:val="00381F96"/>
    <w:rsid w:val="00381FB7"/>
    <w:rsid w:val="003821CA"/>
    <w:rsid w:val="00382207"/>
    <w:rsid w:val="0038227F"/>
    <w:rsid w:val="0038238F"/>
    <w:rsid w:val="00382537"/>
    <w:rsid w:val="00382681"/>
    <w:rsid w:val="003828B1"/>
    <w:rsid w:val="00382971"/>
    <w:rsid w:val="00382C18"/>
    <w:rsid w:val="00382CFE"/>
    <w:rsid w:val="00382F40"/>
    <w:rsid w:val="00383123"/>
    <w:rsid w:val="00383216"/>
    <w:rsid w:val="0038331A"/>
    <w:rsid w:val="00383368"/>
    <w:rsid w:val="00383498"/>
    <w:rsid w:val="00383622"/>
    <w:rsid w:val="00383682"/>
    <w:rsid w:val="0038383F"/>
    <w:rsid w:val="0038385F"/>
    <w:rsid w:val="00383995"/>
    <w:rsid w:val="003839D2"/>
    <w:rsid w:val="00383AD3"/>
    <w:rsid w:val="00383AE8"/>
    <w:rsid w:val="00383C65"/>
    <w:rsid w:val="00383D0D"/>
    <w:rsid w:val="00383E06"/>
    <w:rsid w:val="00383F55"/>
    <w:rsid w:val="00383F74"/>
    <w:rsid w:val="0038400B"/>
    <w:rsid w:val="00384302"/>
    <w:rsid w:val="0038433B"/>
    <w:rsid w:val="0038457C"/>
    <w:rsid w:val="0038458A"/>
    <w:rsid w:val="003845EC"/>
    <w:rsid w:val="00384799"/>
    <w:rsid w:val="003848B2"/>
    <w:rsid w:val="00384954"/>
    <w:rsid w:val="00384AD8"/>
    <w:rsid w:val="00384AE6"/>
    <w:rsid w:val="00384DAC"/>
    <w:rsid w:val="00384E44"/>
    <w:rsid w:val="00384E4F"/>
    <w:rsid w:val="0038503F"/>
    <w:rsid w:val="00385124"/>
    <w:rsid w:val="0038515D"/>
    <w:rsid w:val="00385169"/>
    <w:rsid w:val="0038528E"/>
    <w:rsid w:val="00385546"/>
    <w:rsid w:val="00385758"/>
    <w:rsid w:val="003857F8"/>
    <w:rsid w:val="00385843"/>
    <w:rsid w:val="00385AED"/>
    <w:rsid w:val="00385B32"/>
    <w:rsid w:val="00385C1D"/>
    <w:rsid w:val="00385CB6"/>
    <w:rsid w:val="00385DAA"/>
    <w:rsid w:val="003860E1"/>
    <w:rsid w:val="00386152"/>
    <w:rsid w:val="00386A7E"/>
    <w:rsid w:val="00386B2B"/>
    <w:rsid w:val="00386B60"/>
    <w:rsid w:val="00386B63"/>
    <w:rsid w:val="00386CBE"/>
    <w:rsid w:val="00386D8A"/>
    <w:rsid w:val="00386DBC"/>
    <w:rsid w:val="0038702B"/>
    <w:rsid w:val="003870B8"/>
    <w:rsid w:val="003873A9"/>
    <w:rsid w:val="003875CA"/>
    <w:rsid w:val="003877CA"/>
    <w:rsid w:val="00387813"/>
    <w:rsid w:val="0038782B"/>
    <w:rsid w:val="003878CF"/>
    <w:rsid w:val="00387900"/>
    <w:rsid w:val="00387991"/>
    <w:rsid w:val="00387B14"/>
    <w:rsid w:val="00387C18"/>
    <w:rsid w:val="00387DCD"/>
    <w:rsid w:val="00387E20"/>
    <w:rsid w:val="00387EF3"/>
    <w:rsid w:val="00387F1F"/>
    <w:rsid w:val="003900FF"/>
    <w:rsid w:val="00390443"/>
    <w:rsid w:val="003906F3"/>
    <w:rsid w:val="0039072F"/>
    <w:rsid w:val="003908FC"/>
    <w:rsid w:val="0039090A"/>
    <w:rsid w:val="00390B79"/>
    <w:rsid w:val="00390BD2"/>
    <w:rsid w:val="00390CB4"/>
    <w:rsid w:val="00390CF7"/>
    <w:rsid w:val="00390D66"/>
    <w:rsid w:val="00390DCD"/>
    <w:rsid w:val="00390E29"/>
    <w:rsid w:val="00391287"/>
    <w:rsid w:val="003912C5"/>
    <w:rsid w:val="003913FD"/>
    <w:rsid w:val="00391485"/>
    <w:rsid w:val="0039156F"/>
    <w:rsid w:val="003916A4"/>
    <w:rsid w:val="003918CF"/>
    <w:rsid w:val="003919AF"/>
    <w:rsid w:val="00391BC6"/>
    <w:rsid w:val="00391EB6"/>
    <w:rsid w:val="00391ECA"/>
    <w:rsid w:val="00392016"/>
    <w:rsid w:val="00392047"/>
    <w:rsid w:val="00392077"/>
    <w:rsid w:val="0039211E"/>
    <w:rsid w:val="00392283"/>
    <w:rsid w:val="0039228E"/>
    <w:rsid w:val="00392348"/>
    <w:rsid w:val="003923E5"/>
    <w:rsid w:val="0039260B"/>
    <w:rsid w:val="0039275B"/>
    <w:rsid w:val="00392771"/>
    <w:rsid w:val="003927AD"/>
    <w:rsid w:val="00392977"/>
    <w:rsid w:val="003929D0"/>
    <w:rsid w:val="003929DD"/>
    <w:rsid w:val="00392C70"/>
    <w:rsid w:val="00392C89"/>
    <w:rsid w:val="00392D3F"/>
    <w:rsid w:val="00392DCA"/>
    <w:rsid w:val="00392EFD"/>
    <w:rsid w:val="00392F3D"/>
    <w:rsid w:val="0039306F"/>
    <w:rsid w:val="003931E0"/>
    <w:rsid w:val="00393324"/>
    <w:rsid w:val="00393357"/>
    <w:rsid w:val="00393469"/>
    <w:rsid w:val="003934DA"/>
    <w:rsid w:val="00393535"/>
    <w:rsid w:val="00393537"/>
    <w:rsid w:val="0039363D"/>
    <w:rsid w:val="00393665"/>
    <w:rsid w:val="00393788"/>
    <w:rsid w:val="00393A6B"/>
    <w:rsid w:val="00393BEF"/>
    <w:rsid w:val="00393C58"/>
    <w:rsid w:val="00393CEC"/>
    <w:rsid w:val="00393D4B"/>
    <w:rsid w:val="003941F5"/>
    <w:rsid w:val="0039477A"/>
    <w:rsid w:val="0039487F"/>
    <w:rsid w:val="00394957"/>
    <w:rsid w:val="00394B0A"/>
    <w:rsid w:val="00394C85"/>
    <w:rsid w:val="00394EDA"/>
    <w:rsid w:val="00394F57"/>
    <w:rsid w:val="00394F8A"/>
    <w:rsid w:val="00394FEE"/>
    <w:rsid w:val="003954C1"/>
    <w:rsid w:val="00395740"/>
    <w:rsid w:val="003958B1"/>
    <w:rsid w:val="0039593B"/>
    <w:rsid w:val="003959BA"/>
    <w:rsid w:val="00395A71"/>
    <w:rsid w:val="00395B0F"/>
    <w:rsid w:val="00395BB6"/>
    <w:rsid w:val="00395BD1"/>
    <w:rsid w:val="00395D7B"/>
    <w:rsid w:val="00395DB2"/>
    <w:rsid w:val="0039608A"/>
    <w:rsid w:val="0039614D"/>
    <w:rsid w:val="003961B1"/>
    <w:rsid w:val="003961D8"/>
    <w:rsid w:val="0039630F"/>
    <w:rsid w:val="00396418"/>
    <w:rsid w:val="00396557"/>
    <w:rsid w:val="0039658E"/>
    <w:rsid w:val="00396780"/>
    <w:rsid w:val="0039697E"/>
    <w:rsid w:val="0039698C"/>
    <w:rsid w:val="00396B87"/>
    <w:rsid w:val="00396BBE"/>
    <w:rsid w:val="00396CF0"/>
    <w:rsid w:val="00396E5B"/>
    <w:rsid w:val="00396EEE"/>
    <w:rsid w:val="00396EF5"/>
    <w:rsid w:val="00396F47"/>
    <w:rsid w:val="00397102"/>
    <w:rsid w:val="003972B8"/>
    <w:rsid w:val="0039731C"/>
    <w:rsid w:val="003974C2"/>
    <w:rsid w:val="003974EB"/>
    <w:rsid w:val="00397544"/>
    <w:rsid w:val="0039760D"/>
    <w:rsid w:val="00397622"/>
    <w:rsid w:val="003976B5"/>
    <w:rsid w:val="00397770"/>
    <w:rsid w:val="00397940"/>
    <w:rsid w:val="00397950"/>
    <w:rsid w:val="00397BA8"/>
    <w:rsid w:val="00397D2B"/>
    <w:rsid w:val="00397E0B"/>
    <w:rsid w:val="003A0025"/>
    <w:rsid w:val="003A0062"/>
    <w:rsid w:val="003A01D8"/>
    <w:rsid w:val="003A03FC"/>
    <w:rsid w:val="003A0529"/>
    <w:rsid w:val="003A055D"/>
    <w:rsid w:val="003A05A0"/>
    <w:rsid w:val="003A06BB"/>
    <w:rsid w:val="003A07B3"/>
    <w:rsid w:val="003A0859"/>
    <w:rsid w:val="003A08A2"/>
    <w:rsid w:val="003A08E8"/>
    <w:rsid w:val="003A0906"/>
    <w:rsid w:val="003A09DF"/>
    <w:rsid w:val="003A0A1B"/>
    <w:rsid w:val="003A0AFC"/>
    <w:rsid w:val="003A0D92"/>
    <w:rsid w:val="003A0E07"/>
    <w:rsid w:val="003A0FDF"/>
    <w:rsid w:val="003A0FF3"/>
    <w:rsid w:val="003A14D5"/>
    <w:rsid w:val="003A1554"/>
    <w:rsid w:val="003A165D"/>
    <w:rsid w:val="003A1700"/>
    <w:rsid w:val="003A175C"/>
    <w:rsid w:val="003A191E"/>
    <w:rsid w:val="003A194D"/>
    <w:rsid w:val="003A1EBA"/>
    <w:rsid w:val="003A2028"/>
    <w:rsid w:val="003A22C7"/>
    <w:rsid w:val="003A235D"/>
    <w:rsid w:val="003A2617"/>
    <w:rsid w:val="003A26EE"/>
    <w:rsid w:val="003A29DF"/>
    <w:rsid w:val="003A2CEA"/>
    <w:rsid w:val="003A2E3A"/>
    <w:rsid w:val="003A2FB2"/>
    <w:rsid w:val="003A3199"/>
    <w:rsid w:val="003A31F1"/>
    <w:rsid w:val="003A3712"/>
    <w:rsid w:val="003A38C5"/>
    <w:rsid w:val="003A390F"/>
    <w:rsid w:val="003A395C"/>
    <w:rsid w:val="003A3AF0"/>
    <w:rsid w:val="003A3FB8"/>
    <w:rsid w:val="003A3FC6"/>
    <w:rsid w:val="003A4064"/>
    <w:rsid w:val="003A4128"/>
    <w:rsid w:val="003A4225"/>
    <w:rsid w:val="003A42BD"/>
    <w:rsid w:val="003A44AF"/>
    <w:rsid w:val="003A45F5"/>
    <w:rsid w:val="003A4853"/>
    <w:rsid w:val="003A4DD8"/>
    <w:rsid w:val="003A4F02"/>
    <w:rsid w:val="003A4FDC"/>
    <w:rsid w:val="003A50B2"/>
    <w:rsid w:val="003A5132"/>
    <w:rsid w:val="003A51C1"/>
    <w:rsid w:val="003A5268"/>
    <w:rsid w:val="003A5279"/>
    <w:rsid w:val="003A54C2"/>
    <w:rsid w:val="003A5672"/>
    <w:rsid w:val="003A58E7"/>
    <w:rsid w:val="003A5A83"/>
    <w:rsid w:val="003A5B0E"/>
    <w:rsid w:val="003A5BAF"/>
    <w:rsid w:val="003A5D65"/>
    <w:rsid w:val="003A5E16"/>
    <w:rsid w:val="003A5ED4"/>
    <w:rsid w:val="003A6262"/>
    <w:rsid w:val="003A660D"/>
    <w:rsid w:val="003A6695"/>
    <w:rsid w:val="003A669F"/>
    <w:rsid w:val="003A6761"/>
    <w:rsid w:val="003A6819"/>
    <w:rsid w:val="003A6DBC"/>
    <w:rsid w:val="003A7009"/>
    <w:rsid w:val="003A726E"/>
    <w:rsid w:val="003A75F5"/>
    <w:rsid w:val="003A765F"/>
    <w:rsid w:val="003A79AD"/>
    <w:rsid w:val="003A7BCC"/>
    <w:rsid w:val="003A7CCB"/>
    <w:rsid w:val="003A7E6F"/>
    <w:rsid w:val="003A7F0E"/>
    <w:rsid w:val="003B0015"/>
    <w:rsid w:val="003B0038"/>
    <w:rsid w:val="003B017B"/>
    <w:rsid w:val="003B018F"/>
    <w:rsid w:val="003B01C2"/>
    <w:rsid w:val="003B06C0"/>
    <w:rsid w:val="003B078B"/>
    <w:rsid w:val="003B07B2"/>
    <w:rsid w:val="003B0BA1"/>
    <w:rsid w:val="003B0D27"/>
    <w:rsid w:val="003B0D4C"/>
    <w:rsid w:val="003B0EA6"/>
    <w:rsid w:val="003B1064"/>
    <w:rsid w:val="003B1403"/>
    <w:rsid w:val="003B1535"/>
    <w:rsid w:val="003B1624"/>
    <w:rsid w:val="003B1743"/>
    <w:rsid w:val="003B1988"/>
    <w:rsid w:val="003B1D3C"/>
    <w:rsid w:val="003B1E46"/>
    <w:rsid w:val="003B1EE2"/>
    <w:rsid w:val="003B207F"/>
    <w:rsid w:val="003B20FD"/>
    <w:rsid w:val="003B21D9"/>
    <w:rsid w:val="003B228D"/>
    <w:rsid w:val="003B2474"/>
    <w:rsid w:val="003B2508"/>
    <w:rsid w:val="003B2653"/>
    <w:rsid w:val="003B2837"/>
    <w:rsid w:val="003B2958"/>
    <w:rsid w:val="003B2AD5"/>
    <w:rsid w:val="003B2B6D"/>
    <w:rsid w:val="003B2C38"/>
    <w:rsid w:val="003B2C66"/>
    <w:rsid w:val="003B2D35"/>
    <w:rsid w:val="003B2DE7"/>
    <w:rsid w:val="003B2E46"/>
    <w:rsid w:val="003B2E93"/>
    <w:rsid w:val="003B2EE1"/>
    <w:rsid w:val="003B2F10"/>
    <w:rsid w:val="003B2FC7"/>
    <w:rsid w:val="003B306D"/>
    <w:rsid w:val="003B30D5"/>
    <w:rsid w:val="003B3124"/>
    <w:rsid w:val="003B3485"/>
    <w:rsid w:val="003B3573"/>
    <w:rsid w:val="003B3774"/>
    <w:rsid w:val="003B386D"/>
    <w:rsid w:val="003B390C"/>
    <w:rsid w:val="003B3A10"/>
    <w:rsid w:val="003B3B03"/>
    <w:rsid w:val="003B3C6D"/>
    <w:rsid w:val="003B3E45"/>
    <w:rsid w:val="003B3F77"/>
    <w:rsid w:val="003B4019"/>
    <w:rsid w:val="003B407F"/>
    <w:rsid w:val="003B4251"/>
    <w:rsid w:val="003B4298"/>
    <w:rsid w:val="003B42FA"/>
    <w:rsid w:val="003B4303"/>
    <w:rsid w:val="003B4586"/>
    <w:rsid w:val="003B45D4"/>
    <w:rsid w:val="003B45DB"/>
    <w:rsid w:val="003B47BC"/>
    <w:rsid w:val="003B47FC"/>
    <w:rsid w:val="003B49B1"/>
    <w:rsid w:val="003B4A54"/>
    <w:rsid w:val="003B4A69"/>
    <w:rsid w:val="003B4A87"/>
    <w:rsid w:val="003B4CB5"/>
    <w:rsid w:val="003B4D47"/>
    <w:rsid w:val="003B4F5E"/>
    <w:rsid w:val="003B4FDB"/>
    <w:rsid w:val="003B5039"/>
    <w:rsid w:val="003B53DE"/>
    <w:rsid w:val="003B5405"/>
    <w:rsid w:val="003B54DE"/>
    <w:rsid w:val="003B5A8D"/>
    <w:rsid w:val="003B5AD3"/>
    <w:rsid w:val="003B5C1B"/>
    <w:rsid w:val="003B5C2C"/>
    <w:rsid w:val="003B5C39"/>
    <w:rsid w:val="003B6064"/>
    <w:rsid w:val="003B6069"/>
    <w:rsid w:val="003B60D9"/>
    <w:rsid w:val="003B6114"/>
    <w:rsid w:val="003B622B"/>
    <w:rsid w:val="003B630B"/>
    <w:rsid w:val="003B6334"/>
    <w:rsid w:val="003B6394"/>
    <w:rsid w:val="003B63A6"/>
    <w:rsid w:val="003B651A"/>
    <w:rsid w:val="003B6542"/>
    <w:rsid w:val="003B6577"/>
    <w:rsid w:val="003B67FA"/>
    <w:rsid w:val="003B6892"/>
    <w:rsid w:val="003B693E"/>
    <w:rsid w:val="003B696C"/>
    <w:rsid w:val="003B6A58"/>
    <w:rsid w:val="003B6B2E"/>
    <w:rsid w:val="003B6BB7"/>
    <w:rsid w:val="003B6C8F"/>
    <w:rsid w:val="003B6CF4"/>
    <w:rsid w:val="003B6D46"/>
    <w:rsid w:val="003B6D8C"/>
    <w:rsid w:val="003B6ED8"/>
    <w:rsid w:val="003B6FCA"/>
    <w:rsid w:val="003B70E3"/>
    <w:rsid w:val="003B72AE"/>
    <w:rsid w:val="003B7429"/>
    <w:rsid w:val="003B7479"/>
    <w:rsid w:val="003B75D0"/>
    <w:rsid w:val="003B7638"/>
    <w:rsid w:val="003B76F9"/>
    <w:rsid w:val="003B79AF"/>
    <w:rsid w:val="003B79C3"/>
    <w:rsid w:val="003B7A97"/>
    <w:rsid w:val="003B7C8F"/>
    <w:rsid w:val="003B7D52"/>
    <w:rsid w:val="003B7E5F"/>
    <w:rsid w:val="003B7ED6"/>
    <w:rsid w:val="003C0533"/>
    <w:rsid w:val="003C05C1"/>
    <w:rsid w:val="003C084E"/>
    <w:rsid w:val="003C08C4"/>
    <w:rsid w:val="003C08CC"/>
    <w:rsid w:val="003C09FB"/>
    <w:rsid w:val="003C0BDB"/>
    <w:rsid w:val="003C0C3E"/>
    <w:rsid w:val="003C0D86"/>
    <w:rsid w:val="003C0DDF"/>
    <w:rsid w:val="003C11A4"/>
    <w:rsid w:val="003C13EE"/>
    <w:rsid w:val="003C15C0"/>
    <w:rsid w:val="003C1753"/>
    <w:rsid w:val="003C182B"/>
    <w:rsid w:val="003C18C8"/>
    <w:rsid w:val="003C18E9"/>
    <w:rsid w:val="003C1942"/>
    <w:rsid w:val="003C194A"/>
    <w:rsid w:val="003C197E"/>
    <w:rsid w:val="003C1B93"/>
    <w:rsid w:val="003C1B95"/>
    <w:rsid w:val="003C1C0B"/>
    <w:rsid w:val="003C1E3E"/>
    <w:rsid w:val="003C1E7A"/>
    <w:rsid w:val="003C213D"/>
    <w:rsid w:val="003C2372"/>
    <w:rsid w:val="003C2456"/>
    <w:rsid w:val="003C2577"/>
    <w:rsid w:val="003C25AE"/>
    <w:rsid w:val="003C261F"/>
    <w:rsid w:val="003C28F9"/>
    <w:rsid w:val="003C2A34"/>
    <w:rsid w:val="003C2B35"/>
    <w:rsid w:val="003C2BE8"/>
    <w:rsid w:val="003C2C99"/>
    <w:rsid w:val="003C2D21"/>
    <w:rsid w:val="003C2E9B"/>
    <w:rsid w:val="003C314F"/>
    <w:rsid w:val="003C315C"/>
    <w:rsid w:val="003C3233"/>
    <w:rsid w:val="003C3287"/>
    <w:rsid w:val="003C340A"/>
    <w:rsid w:val="003C3437"/>
    <w:rsid w:val="003C3465"/>
    <w:rsid w:val="003C34BC"/>
    <w:rsid w:val="003C3762"/>
    <w:rsid w:val="003C3986"/>
    <w:rsid w:val="003C39E1"/>
    <w:rsid w:val="003C3A4A"/>
    <w:rsid w:val="003C3B78"/>
    <w:rsid w:val="003C3E2F"/>
    <w:rsid w:val="003C3E34"/>
    <w:rsid w:val="003C3F2C"/>
    <w:rsid w:val="003C3F98"/>
    <w:rsid w:val="003C417E"/>
    <w:rsid w:val="003C4269"/>
    <w:rsid w:val="003C42EC"/>
    <w:rsid w:val="003C4311"/>
    <w:rsid w:val="003C45DF"/>
    <w:rsid w:val="003C4615"/>
    <w:rsid w:val="003C4692"/>
    <w:rsid w:val="003C4741"/>
    <w:rsid w:val="003C4A9A"/>
    <w:rsid w:val="003C4F73"/>
    <w:rsid w:val="003C4FD3"/>
    <w:rsid w:val="003C50F1"/>
    <w:rsid w:val="003C52DC"/>
    <w:rsid w:val="003C52F6"/>
    <w:rsid w:val="003C5462"/>
    <w:rsid w:val="003C546B"/>
    <w:rsid w:val="003C54F3"/>
    <w:rsid w:val="003C54FB"/>
    <w:rsid w:val="003C5645"/>
    <w:rsid w:val="003C5702"/>
    <w:rsid w:val="003C586C"/>
    <w:rsid w:val="003C597C"/>
    <w:rsid w:val="003C59F3"/>
    <w:rsid w:val="003C5DAD"/>
    <w:rsid w:val="003C60D4"/>
    <w:rsid w:val="003C638C"/>
    <w:rsid w:val="003C6391"/>
    <w:rsid w:val="003C6616"/>
    <w:rsid w:val="003C6640"/>
    <w:rsid w:val="003C6718"/>
    <w:rsid w:val="003C67D4"/>
    <w:rsid w:val="003C67EA"/>
    <w:rsid w:val="003C6902"/>
    <w:rsid w:val="003C6A5C"/>
    <w:rsid w:val="003C6E44"/>
    <w:rsid w:val="003C7160"/>
    <w:rsid w:val="003C72D0"/>
    <w:rsid w:val="003C72F9"/>
    <w:rsid w:val="003C7535"/>
    <w:rsid w:val="003C768D"/>
    <w:rsid w:val="003C7A2B"/>
    <w:rsid w:val="003C7A51"/>
    <w:rsid w:val="003C7AF3"/>
    <w:rsid w:val="003C7BA0"/>
    <w:rsid w:val="003C7BF3"/>
    <w:rsid w:val="003C7C83"/>
    <w:rsid w:val="003C7E56"/>
    <w:rsid w:val="003C7E8A"/>
    <w:rsid w:val="003D02ED"/>
    <w:rsid w:val="003D0315"/>
    <w:rsid w:val="003D031D"/>
    <w:rsid w:val="003D04F1"/>
    <w:rsid w:val="003D0702"/>
    <w:rsid w:val="003D0733"/>
    <w:rsid w:val="003D0982"/>
    <w:rsid w:val="003D0A1E"/>
    <w:rsid w:val="003D0CCD"/>
    <w:rsid w:val="003D0CE3"/>
    <w:rsid w:val="003D0CFF"/>
    <w:rsid w:val="003D0E20"/>
    <w:rsid w:val="003D0E76"/>
    <w:rsid w:val="003D0F96"/>
    <w:rsid w:val="003D137F"/>
    <w:rsid w:val="003D13CD"/>
    <w:rsid w:val="003D16D4"/>
    <w:rsid w:val="003D1B55"/>
    <w:rsid w:val="003D1C09"/>
    <w:rsid w:val="003D1EE7"/>
    <w:rsid w:val="003D21E4"/>
    <w:rsid w:val="003D228F"/>
    <w:rsid w:val="003D231A"/>
    <w:rsid w:val="003D2590"/>
    <w:rsid w:val="003D26B6"/>
    <w:rsid w:val="003D2736"/>
    <w:rsid w:val="003D278F"/>
    <w:rsid w:val="003D2797"/>
    <w:rsid w:val="003D28AF"/>
    <w:rsid w:val="003D28CB"/>
    <w:rsid w:val="003D2B4C"/>
    <w:rsid w:val="003D2CE4"/>
    <w:rsid w:val="003D2D19"/>
    <w:rsid w:val="003D2FF5"/>
    <w:rsid w:val="003D305A"/>
    <w:rsid w:val="003D30B4"/>
    <w:rsid w:val="003D30CB"/>
    <w:rsid w:val="003D316C"/>
    <w:rsid w:val="003D3700"/>
    <w:rsid w:val="003D3BE0"/>
    <w:rsid w:val="003D4203"/>
    <w:rsid w:val="003D430B"/>
    <w:rsid w:val="003D437F"/>
    <w:rsid w:val="003D44CE"/>
    <w:rsid w:val="003D45BF"/>
    <w:rsid w:val="003D45E3"/>
    <w:rsid w:val="003D4682"/>
    <w:rsid w:val="003D46FD"/>
    <w:rsid w:val="003D48A1"/>
    <w:rsid w:val="003D49B2"/>
    <w:rsid w:val="003D4C70"/>
    <w:rsid w:val="003D4D47"/>
    <w:rsid w:val="003D4DD1"/>
    <w:rsid w:val="003D4F85"/>
    <w:rsid w:val="003D5205"/>
    <w:rsid w:val="003D524A"/>
    <w:rsid w:val="003D526A"/>
    <w:rsid w:val="003D5384"/>
    <w:rsid w:val="003D541F"/>
    <w:rsid w:val="003D548B"/>
    <w:rsid w:val="003D5666"/>
    <w:rsid w:val="003D575C"/>
    <w:rsid w:val="003D582D"/>
    <w:rsid w:val="003D5871"/>
    <w:rsid w:val="003D595D"/>
    <w:rsid w:val="003D5963"/>
    <w:rsid w:val="003D59D7"/>
    <w:rsid w:val="003D5A29"/>
    <w:rsid w:val="003D5C08"/>
    <w:rsid w:val="003D5D75"/>
    <w:rsid w:val="003D5E07"/>
    <w:rsid w:val="003D5E1D"/>
    <w:rsid w:val="003D5E20"/>
    <w:rsid w:val="003D5E79"/>
    <w:rsid w:val="003D5EB2"/>
    <w:rsid w:val="003D5EF3"/>
    <w:rsid w:val="003D6088"/>
    <w:rsid w:val="003D60AA"/>
    <w:rsid w:val="003D623A"/>
    <w:rsid w:val="003D6318"/>
    <w:rsid w:val="003D631D"/>
    <w:rsid w:val="003D636C"/>
    <w:rsid w:val="003D63DB"/>
    <w:rsid w:val="003D6413"/>
    <w:rsid w:val="003D6499"/>
    <w:rsid w:val="003D64F2"/>
    <w:rsid w:val="003D659A"/>
    <w:rsid w:val="003D65EB"/>
    <w:rsid w:val="003D6693"/>
    <w:rsid w:val="003D67E0"/>
    <w:rsid w:val="003D697E"/>
    <w:rsid w:val="003D6B87"/>
    <w:rsid w:val="003D6EA7"/>
    <w:rsid w:val="003D6FEE"/>
    <w:rsid w:val="003D704A"/>
    <w:rsid w:val="003D709E"/>
    <w:rsid w:val="003D731C"/>
    <w:rsid w:val="003D7608"/>
    <w:rsid w:val="003D7611"/>
    <w:rsid w:val="003D7658"/>
    <w:rsid w:val="003D76EC"/>
    <w:rsid w:val="003D7B20"/>
    <w:rsid w:val="003D7B6B"/>
    <w:rsid w:val="003D7E59"/>
    <w:rsid w:val="003E003D"/>
    <w:rsid w:val="003E0338"/>
    <w:rsid w:val="003E073B"/>
    <w:rsid w:val="003E0752"/>
    <w:rsid w:val="003E084C"/>
    <w:rsid w:val="003E08B3"/>
    <w:rsid w:val="003E093F"/>
    <w:rsid w:val="003E0960"/>
    <w:rsid w:val="003E0969"/>
    <w:rsid w:val="003E0992"/>
    <w:rsid w:val="003E0A1E"/>
    <w:rsid w:val="003E0A43"/>
    <w:rsid w:val="003E0AB9"/>
    <w:rsid w:val="003E0D26"/>
    <w:rsid w:val="003E0D32"/>
    <w:rsid w:val="003E135E"/>
    <w:rsid w:val="003E13E1"/>
    <w:rsid w:val="003E1508"/>
    <w:rsid w:val="003E161E"/>
    <w:rsid w:val="003E16AE"/>
    <w:rsid w:val="003E18BB"/>
    <w:rsid w:val="003E19E9"/>
    <w:rsid w:val="003E1B7D"/>
    <w:rsid w:val="003E1C86"/>
    <w:rsid w:val="003E1C89"/>
    <w:rsid w:val="003E1EC2"/>
    <w:rsid w:val="003E1EF7"/>
    <w:rsid w:val="003E1F5B"/>
    <w:rsid w:val="003E22FB"/>
    <w:rsid w:val="003E24A0"/>
    <w:rsid w:val="003E26E5"/>
    <w:rsid w:val="003E27E0"/>
    <w:rsid w:val="003E287F"/>
    <w:rsid w:val="003E28D2"/>
    <w:rsid w:val="003E2990"/>
    <w:rsid w:val="003E29B2"/>
    <w:rsid w:val="003E2C20"/>
    <w:rsid w:val="003E2C5B"/>
    <w:rsid w:val="003E2CAF"/>
    <w:rsid w:val="003E2F3F"/>
    <w:rsid w:val="003E321D"/>
    <w:rsid w:val="003E3241"/>
    <w:rsid w:val="003E32D0"/>
    <w:rsid w:val="003E3328"/>
    <w:rsid w:val="003E336C"/>
    <w:rsid w:val="003E34D2"/>
    <w:rsid w:val="003E3507"/>
    <w:rsid w:val="003E35D2"/>
    <w:rsid w:val="003E36E3"/>
    <w:rsid w:val="003E3987"/>
    <w:rsid w:val="003E3997"/>
    <w:rsid w:val="003E3A5A"/>
    <w:rsid w:val="003E3BD7"/>
    <w:rsid w:val="003E3C40"/>
    <w:rsid w:val="003E3CDB"/>
    <w:rsid w:val="003E3E9A"/>
    <w:rsid w:val="003E3EFB"/>
    <w:rsid w:val="003E3F3F"/>
    <w:rsid w:val="003E4000"/>
    <w:rsid w:val="003E44CA"/>
    <w:rsid w:val="003E453F"/>
    <w:rsid w:val="003E4591"/>
    <w:rsid w:val="003E4923"/>
    <w:rsid w:val="003E4B1B"/>
    <w:rsid w:val="003E4B1F"/>
    <w:rsid w:val="003E4B22"/>
    <w:rsid w:val="003E4CEA"/>
    <w:rsid w:val="003E4E0C"/>
    <w:rsid w:val="003E4F18"/>
    <w:rsid w:val="003E51C6"/>
    <w:rsid w:val="003E52FE"/>
    <w:rsid w:val="003E53E3"/>
    <w:rsid w:val="003E5495"/>
    <w:rsid w:val="003E57AA"/>
    <w:rsid w:val="003E5978"/>
    <w:rsid w:val="003E59A8"/>
    <w:rsid w:val="003E59D3"/>
    <w:rsid w:val="003E5C2B"/>
    <w:rsid w:val="003E5C50"/>
    <w:rsid w:val="003E5CBF"/>
    <w:rsid w:val="003E5D36"/>
    <w:rsid w:val="003E6206"/>
    <w:rsid w:val="003E631D"/>
    <w:rsid w:val="003E63E0"/>
    <w:rsid w:val="003E64E3"/>
    <w:rsid w:val="003E64EF"/>
    <w:rsid w:val="003E679D"/>
    <w:rsid w:val="003E69BC"/>
    <w:rsid w:val="003E6A00"/>
    <w:rsid w:val="003E6B9E"/>
    <w:rsid w:val="003E6C28"/>
    <w:rsid w:val="003E6D63"/>
    <w:rsid w:val="003E6EAE"/>
    <w:rsid w:val="003E701B"/>
    <w:rsid w:val="003E718F"/>
    <w:rsid w:val="003E71C8"/>
    <w:rsid w:val="003E7616"/>
    <w:rsid w:val="003E769D"/>
    <w:rsid w:val="003E77C1"/>
    <w:rsid w:val="003E77F0"/>
    <w:rsid w:val="003E77FF"/>
    <w:rsid w:val="003E7A2C"/>
    <w:rsid w:val="003E7A7F"/>
    <w:rsid w:val="003E7AE1"/>
    <w:rsid w:val="003E7B27"/>
    <w:rsid w:val="003E7BB7"/>
    <w:rsid w:val="003E7E55"/>
    <w:rsid w:val="003E7EA9"/>
    <w:rsid w:val="003E7EAB"/>
    <w:rsid w:val="003E7F5E"/>
    <w:rsid w:val="003F0103"/>
    <w:rsid w:val="003F019F"/>
    <w:rsid w:val="003F0297"/>
    <w:rsid w:val="003F029D"/>
    <w:rsid w:val="003F079D"/>
    <w:rsid w:val="003F0A0E"/>
    <w:rsid w:val="003F0A79"/>
    <w:rsid w:val="003F0E1F"/>
    <w:rsid w:val="003F0E3E"/>
    <w:rsid w:val="003F0EB2"/>
    <w:rsid w:val="003F1114"/>
    <w:rsid w:val="003F1163"/>
    <w:rsid w:val="003F1227"/>
    <w:rsid w:val="003F137A"/>
    <w:rsid w:val="003F13E6"/>
    <w:rsid w:val="003F146E"/>
    <w:rsid w:val="003F16C2"/>
    <w:rsid w:val="003F1738"/>
    <w:rsid w:val="003F1A09"/>
    <w:rsid w:val="003F1A5D"/>
    <w:rsid w:val="003F1A8E"/>
    <w:rsid w:val="003F1BC1"/>
    <w:rsid w:val="003F1DF2"/>
    <w:rsid w:val="003F1E38"/>
    <w:rsid w:val="003F1E99"/>
    <w:rsid w:val="003F1EC9"/>
    <w:rsid w:val="003F1F56"/>
    <w:rsid w:val="003F1F7C"/>
    <w:rsid w:val="003F2185"/>
    <w:rsid w:val="003F22E4"/>
    <w:rsid w:val="003F23EC"/>
    <w:rsid w:val="003F25BC"/>
    <w:rsid w:val="003F2733"/>
    <w:rsid w:val="003F27CA"/>
    <w:rsid w:val="003F287C"/>
    <w:rsid w:val="003F2916"/>
    <w:rsid w:val="003F2B3A"/>
    <w:rsid w:val="003F2B60"/>
    <w:rsid w:val="003F2C36"/>
    <w:rsid w:val="003F2FE5"/>
    <w:rsid w:val="003F30DB"/>
    <w:rsid w:val="003F31B5"/>
    <w:rsid w:val="003F31DC"/>
    <w:rsid w:val="003F3768"/>
    <w:rsid w:val="003F3862"/>
    <w:rsid w:val="003F3926"/>
    <w:rsid w:val="003F39B1"/>
    <w:rsid w:val="003F3A27"/>
    <w:rsid w:val="003F3AAA"/>
    <w:rsid w:val="003F3B0D"/>
    <w:rsid w:val="003F405F"/>
    <w:rsid w:val="003F40F5"/>
    <w:rsid w:val="003F41EF"/>
    <w:rsid w:val="003F4202"/>
    <w:rsid w:val="003F4289"/>
    <w:rsid w:val="003F4578"/>
    <w:rsid w:val="003F46D0"/>
    <w:rsid w:val="003F47B3"/>
    <w:rsid w:val="003F4C51"/>
    <w:rsid w:val="003F4C69"/>
    <w:rsid w:val="003F4FFF"/>
    <w:rsid w:val="003F520B"/>
    <w:rsid w:val="003F52EC"/>
    <w:rsid w:val="003F5317"/>
    <w:rsid w:val="003F542A"/>
    <w:rsid w:val="003F5491"/>
    <w:rsid w:val="003F5531"/>
    <w:rsid w:val="003F5622"/>
    <w:rsid w:val="003F5890"/>
    <w:rsid w:val="003F58E2"/>
    <w:rsid w:val="003F591E"/>
    <w:rsid w:val="003F5998"/>
    <w:rsid w:val="003F5A78"/>
    <w:rsid w:val="003F5B2C"/>
    <w:rsid w:val="003F5C0B"/>
    <w:rsid w:val="003F5D82"/>
    <w:rsid w:val="003F5DC9"/>
    <w:rsid w:val="003F5F1B"/>
    <w:rsid w:val="003F6036"/>
    <w:rsid w:val="003F631F"/>
    <w:rsid w:val="003F63D2"/>
    <w:rsid w:val="003F63F2"/>
    <w:rsid w:val="003F6475"/>
    <w:rsid w:val="003F6482"/>
    <w:rsid w:val="003F6815"/>
    <w:rsid w:val="003F68EF"/>
    <w:rsid w:val="003F6979"/>
    <w:rsid w:val="003F6ACD"/>
    <w:rsid w:val="003F6DBC"/>
    <w:rsid w:val="003F6E11"/>
    <w:rsid w:val="003F6E34"/>
    <w:rsid w:val="003F7131"/>
    <w:rsid w:val="003F74F1"/>
    <w:rsid w:val="003F75B4"/>
    <w:rsid w:val="003F7651"/>
    <w:rsid w:val="003F774D"/>
    <w:rsid w:val="003F77D9"/>
    <w:rsid w:val="003F7901"/>
    <w:rsid w:val="003F7C1A"/>
    <w:rsid w:val="003F7C9F"/>
    <w:rsid w:val="003F7F75"/>
    <w:rsid w:val="003F7F9B"/>
    <w:rsid w:val="00400036"/>
    <w:rsid w:val="00400043"/>
    <w:rsid w:val="004000C7"/>
    <w:rsid w:val="00400234"/>
    <w:rsid w:val="00400277"/>
    <w:rsid w:val="004003BA"/>
    <w:rsid w:val="004004AE"/>
    <w:rsid w:val="004004ED"/>
    <w:rsid w:val="00400548"/>
    <w:rsid w:val="004005B9"/>
    <w:rsid w:val="004005F4"/>
    <w:rsid w:val="0040063E"/>
    <w:rsid w:val="00400725"/>
    <w:rsid w:val="004008A9"/>
    <w:rsid w:val="0040096A"/>
    <w:rsid w:val="00400B87"/>
    <w:rsid w:val="00400D69"/>
    <w:rsid w:val="00400E4B"/>
    <w:rsid w:val="00400E8E"/>
    <w:rsid w:val="00401359"/>
    <w:rsid w:val="004013AF"/>
    <w:rsid w:val="0040157C"/>
    <w:rsid w:val="004016E9"/>
    <w:rsid w:val="00401758"/>
    <w:rsid w:val="0040182D"/>
    <w:rsid w:val="00401885"/>
    <w:rsid w:val="00401A3E"/>
    <w:rsid w:val="00401A9D"/>
    <w:rsid w:val="00401AC3"/>
    <w:rsid w:val="00401D9B"/>
    <w:rsid w:val="00401E8D"/>
    <w:rsid w:val="00402098"/>
    <w:rsid w:val="004021DA"/>
    <w:rsid w:val="004021E2"/>
    <w:rsid w:val="00402309"/>
    <w:rsid w:val="00402620"/>
    <w:rsid w:val="00402671"/>
    <w:rsid w:val="00402679"/>
    <w:rsid w:val="004028A4"/>
    <w:rsid w:val="004028EE"/>
    <w:rsid w:val="00402944"/>
    <w:rsid w:val="00402A02"/>
    <w:rsid w:val="00402D85"/>
    <w:rsid w:val="00402E8B"/>
    <w:rsid w:val="004030D7"/>
    <w:rsid w:val="004030F6"/>
    <w:rsid w:val="00403340"/>
    <w:rsid w:val="00403351"/>
    <w:rsid w:val="0040339A"/>
    <w:rsid w:val="00403733"/>
    <w:rsid w:val="0040388E"/>
    <w:rsid w:val="00403B1A"/>
    <w:rsid w:val="00403BB8"/>
    <w:rsid w:val="00403BE8"/>
    <w:rsid w:val="00403C1A"/>
    <w:rsid w:val="00403E6D"/>
    <w:rsid w:val="00403F3C"/>
    <w:rsid w:val="00404128"/>
    <w:rsid w:val="00404157"/>
    <w:rsid w:val="00404177"/>
    <w:rsid w:val="004042B8"/>
    <w:rsid w:val="0040431C"/>
    <w:rsid w:val="00404367"/>
    <w:rsid w:val="004043F4"/>
    <w:rsid w:val="0040454C"/>
    <w:rsid w:val="004046F6"/>
    <w:rsid w:val="004047C6"/>
    <w:rsid w:val="004047F4"/>
    <w:rsid w:val="0040495E"/>
    <w:rsid w:val="00404A37"/>
    <w:rsid w:val="00404AB6"/>
    <w:rsid w:val="00404C1B"/>
    <w:rsid w:val="00404CD1"/>
    <w:rsid w:val="00404D1F"/>
    <w:rsid w:val="00404EE1"/>
    <w:rsid w:val="00404EFD"/>
    <w:rsid w:val="004050E5"/>
    <w:rsid w:val="004051FE"/>
    <w:rsid w:val="004052E7"/>
    <w:rsid w:val="00405303"/>
    <w:rsid w:val="004053E7"/>
    <w:rsid w:val="004055A9"/>
    <w:rsid w:val="0040566E"/>
    <w:rsid w:val="0040568F"/>
    <w:rsid w:val="00405729"/>
    <w:rsid w:val="0040574A"/>
    <w:rsid w:val="004058E3"/>
    <w:rsid w:val="00405C03"/>
    <w:rsid w:val="00405C23"/>
    <w:rsid w:val="00405D2E"/>
    <w:rsid w:val="00405DB1"/>
    <w:rsid w:val="00405E56"/>
    <w:rsid w:val="00405E92"/>
    <w:rsid w:val="00405F60"/>
    <w:rsid w:val="00406298"/>
    <w:rsid w:val="00406696"/>
    <w:rsid w:val="00406745"/>
    <w:rsid w:val="00406A61"/>
    <w:rsid w:val="00406ABA"/>
    <w:rsid w:val="00406B24"/>
    <w:rsid w:val="00406D99"/>
    <w:rsid w:val="00406E94"/>
    <w:rsid w:val="00406FB6"/>
    <w:rsid w:val="0040704C"/>
    <w:rsid w:val="004072A7"/>
    <w:rsid w:val="004074D0"/>
    <w:rsid w:val="0040759F"/>
    <w:rsid w:val="004075DC"/>
    <w:rsid w:val="0040766D"/>
    <w:rsid w:val="004079BE"/>
    <w:rsid w:val="00407AFD"/>
    <w:rsid w:val="00407BBF"/>
    <w:rsid w:val="00407D27"/>
    <w:rsid w:val="00407E38"/>
    <w:rsid w:val="00407F6A"/>
    <w:rsid w:val="00407F85"/>
    <w:rsid w:val="004101AD"/>
    <w:rsid w:val="004102AA"/>
    <w:rsid w:val="004104E4"/>
    <w:rsid w:val="0041077B"/>
    <w:rsid w:val="004107A9"/>
    <w:rsid w:val="00410818"/>
    <w:rsid w:val="0041086C"/>
    <w:rsid w:val="00410A7F"/>
    <w:rsid w:val="00410B32"/>
    <w:rsid w:val="00410D8F"/>
    <w:rsid w:val="00410DC9"/>
    <w:rsid w:val="00410E17"/>
    <w:rsid w:val="00410E5C"/>
    <w:rsid w:val="00410F44"/>
    <w:rsid w:val="00410F5B"/>
    <w:rsid w:val="00410FBC"/>
    <w:rsid w:val="00411045"/>
    <w:rsid w:val="004112F1"/>
    <w:rsid w:val="0041142E"/>
    <w:rsid w:val="004115A2"/>
    <w:rsid w:val="00411676"/>
    <w:rsid w:val="00411750"/>
    <w:rsid w:val="0041196C"/>
    <w:rsid w:val="00411BEC"/>
    <w:rsid w:val="00411C4D"/>
    <w:rsid w:val="00411E74"/>
    <w:rsid w:val="00411E8A"/>
    <w:rsid w:val="00411EF7"/>
    <w:rsid w:val="00411EF8"/>
    <w:rsid w:val="00411F1A"/>
    <w:rsid w:val="00412270"/>
    <w:rsid w:val="00412446"/>
    <w:rsid w:val="004126D4"/>
    <w:rsid w:val="004129AD"/>
    <w:rsid w:val="00412B25"/>
    <w:rsid w:val="00412B28"/>
    <w:rsid w:val="00412BF5"/>
    <w:rsid w:val="00412C6C"/>
    <w:rsid w:val="00412DF2"/>
    <w:rsid w:val="00412E63"/>
    <w:rsid w:val="00412E9B"/>
    <w:rsid w:val="00412EB3"/>
    <w:rsid w:val="00412ECD"/>
    <w:rsid w:val="00412EF3"/>
    <w:rsid w:val="00413047"/>
    <w:rsid w:val="004130B5"/>
    <w:rsid w:val="00413162"/>
    <w:rsid w:val="004133FB"/>
    <w:rsid w:val="0041350A"/>
    <w:rsid w:val="0041352F"/>
    <w:rsid w:val="00413538"/>
    <w:rsid w:val="0041355C"/>
    <w:rsid w:val="0041365A"/>
    <w:rsid w:val="00413A28"/>
    <w:rsid w:val="00413A75"/>
    <w:rsid w:val="00413A7F"/>
    <w:rsid w:val="00413B6C"/>
    <w:rsid w:val="00413B82"/>
    <w:rsid w:val="00413C0E"/>
    <w:rsid w:val="00413DA6"/>
    <w:rsid w:val="00413DE3"/>
    <w:rsid w:val="00413E17"/>
    <w:rsid w:val="00413E62"/>
    <w:rsid w:val="00413E69"/>
    <w:rsid w:val="00413F15"/>
    <w:rsid w:val="00413F46"/>
    <w:rsid w:val="00414007"/>
    <w:rsid w:val="004140C2"/>
    <w:rsid w:val="0041418A"/>
    <w:rsid w:val="0041431D"/>
    <w:rsid w:val="00414458"/>
    <w:rsid w:val="0041451F"/>
    <w:rsid w:val="0041466B"/>
    <w:rsid w:val="0041473E"/>
    <w:rsid w:val="0041487F"/>
    <w:rsid w:val="00414A37"/>
    <w:rsid w:val="00414A81"/>
    <w:rsid w:val="00414B2D"/>
    <w:rsid w:val="00414D7F"/>
    <w:rsid w:val="00415090"/>
    <w:rsid w:val="004152D6"/>
    <w:rsid w:val="004153EC"/>
    <w:rsid w:val="00415495"/>
    <w:rsid w:val="004156F2"/>
    <w:rsid w:val="0041570F"/>
    <w:rsid w:val="0041590E"/>
    <w:rsid w:val="0041596C"/>
    <w:rsid w:val="00415C40"/>
    <w:rsid w:val="00415D0F"/>
    <w:rsid w:val="00415DF1"/>
    <w:rsid w:val="00416044"/>
    <w:rsid w:val="00416244"/>
    <w:rsid w:val="00416751"/>
    <w:rsid w:val="00416838"/>
    <w:rsid w:val="00416A7D"/>
    <w:rsid w:val="00416B29"/>
    <w:rsid w:val="00416C8F"/>
    <w:rsid w:val="00416CD3"/>
    <w:rsid w:val="00416CF7"/>
    <w:rsid w:val="004170FC"/>
    <w:rsid w:val="00417246"/>
    <w:rsid w:val="004172EA"/>
    <w:rsid w:val="0041737B"/>
    <w:rsid w:val="004173EF"/>
    <w:rsid w:val="004174E6"/>
    <w:rsid w:val="00417625"/>
    <w:rsid w:val="004179CB"/>
    <w:rsid w:val="00417A8F"/>
    <w:rsid w:val="00417BC2"/>
    <w:rsid w:val="00417D62"/>
    <w:rsid w:val="00417E7C"/>
    <w:rsid w:val="00420207"/>
    <w:rsid w:val="00420305"/>
    <w:rsid w:val="00420317"/>
    <w:rsid w:val="0042040A"/>
    <w:rsid w:val="004206BE"/>
    <w:rsid w:val="004208D3"/>
    <w:rsid w:val="004209C3"/>
    <w:rsid w:val="00420A8C"/>
    <w:rsid w:val="00420AB6"/>
    <w:rsid w:val="00420B00"/>
    <w:rsid w:val="00420B9B"/>
    <w:rsid w:val="00420C1B"/>
    <w:rsid w:val="00420C24"/>
    <w:rsid w:val="00420D54"/>
    <w:rsid w:val="00420DC2"/>
    <w:rsid w:val="00420E80"/>
    <w:rsid w:val="00420F86"/>
    <w:rsid w:val="0042101F"/>
    <w:rsid w:val="004211C4"/>
    <w:rsid w:val="004211DE"/>
    <w:rsid w:val="004212B4"/>
    <w:rsid w:val="00421348"/>
    <w:rsid w:val="0042146D"/>
    <w:rsid w:val="00421732"/>
    <w:rsid w:val="004217EB"/>
    <w:rsid w:val="00421C55"/>
    <w:rsid w:val="00421CAB"/>
    <w:rsid w:val="00421CE5"/>
    <w:rsid w:val="0042201E"/>
    <w:rsid w:val="0042202E"/>
    <w:rsid w:val="0042225F"/>
    <w:rsid w:val="004222FF"/>
    <w:rsid w:val="0042242D"/>
    <w:rsid w:val="00422543"/>
    <w:rsid w:val="00422669"/>
    <w:rsid w:val="00422790"/>
    <w:rsid w:val="00422967"/>
    <w:rsid w:val="0042299F"/>
    <w:rsid w:val="00422A72"/>
    <w:rsid w:val="00422A80"/>
    <w:rsid w:val="00422B62"/>
    <w:rsid w:val="00422D9C"/>
    <w:rsid w:val="00422DC9"/>
    <w:rsid w:val="00422E96"/>
    <w:rsid w:val="00423494"/>
    <w:rsid w:val="004236D7"/>
    <w:rsid w:val="004237C9"/>
    <w:rsid w:val="0042392E"/>
    <w:rsid w:val="00423AE2"/>
    <w:rsid w:val="00423D6F"/>
    <w:rsid w:val="00423D82"/>
    <w:rsid w:val="00423DBC"/>
    <w:rsid w:val="00424150"/>
    <w:rsid w:val="0042422B"/>
    <w:rsid w:val="004243E7"/>
    <w:rsid w:val="00424406"/>
    <w:rsid w:val="00424467"/>
    <w:rsid w:val="004244F2"/>
    <w:rsid w:val="0042487D"/>
    <w:rsid w:val="004248AF"/>
    <w:rsid w:val="00424AFE"/>
    <w:rsid w:val="00424DA4"/>
    <w:rsid w:val="00424E9C"/>
    <w:rsid w:val="00424EB4"/>
    <w:rsid w:val="00424FCB"/>
    <w:rsid w:val="0042504C"/>
    <w:rsid w:val="00425095"/>
    <w:rsid w:val="00425173"/>
    <w:rsid w:val="00425305"/>
    <w:rsid w:val="00425327"/>
    <w:rsid w:val="004253E5"/>
    <w:rsid w:val="00425438"/>
    <w:rsid w:val="00425467"/>
    <w:rsid w:val="004254AA"/>
    <w:rsid w:val="004255F7"/>
    <w:rsid w:val="004258B8"/>
    <w:rsid w:val="00425C03"/>
    <w:rsid w:val="00425C65"/>
    <w:rsid w:val="00425FE6"/>
    <w:rsid w:val="004265E4"/>
    <w:rsid w:val="00426706"/>
    <w:rsid w:val="0042676C"/>
    <w:rsid w:val="004267F5"/>
    <w:rsid w:val="004267F6"/>
    <w:rsid w:val="00426890"/>
    <w:rsid w:val="00426A84"/>
    <w:rsid w:val="00426B59"/>
    <w:rsid w:val="00426B86"/>
    <w:rsid w:val="00426BBD"/>
    <w:rsid w:val="00426C27"/>
    <w:rsid w:val="00426E18"/>
    <w:rsid w:val="004271AA"/>
    <w:rsid w:val="00427200"/>
    <w:rsid w:val="00427261"/>
    <w:rsid w:val="004272FA"/>
    <w:rsid w:val="0042730F"/>
    <w:rsid w:val="0042777B"/>
    <w:rsid w:val="004277DB"/>
    <w:rsid w:val="00427A87"/>
    <w:rsid w:val="00427AF3"/>
    <w:rsid w:val="00427B5D"/>
    <w:rsid w:val="00427D64"/>
    <w:rsid w:val="00427DB9"/>
    <w:rsid w:val="004300B9"/>
    <w:rsid w:val="00430144"/>
    <w:rsid w:val="0043017E"/>
    <w:rsid w:val="00430300"/>
    <w:rsid w:val="0043032F"/>
    <w:rsid w:val="0043037F"/>
    <w:rsid w:val="0043069E"/>
    <w:rsid w:val="00430730"/>
    <w:rsid w:val="0043078F"/>
    <w:rsid w:val="00430803"/>
    <w:rsid w:val="004308A0"/>
    <w:rsid w:val="00430970"/>
    <w:rsid w:val="004309A1"/>
    <w:rsid w:val="004309CE"/>
    <w:rsid w:val="00430ABD"/>
    <w:rsid w:val="00430AC9"/>
    <w:rsid w:val="00430EE9"/>
    <w:rsid w:val="0043115E"/>
    <w:rsid w:val="004311CB"/>
    <w:rsid w:val="004312FD"/>
    <w:rsid w:val="004313EF"/>
    <w:rsid w:val="0043140B"/>
    <w:rsid w:val="00431545"/>
    <w:rsid w:val="0043169E"/>
    <w:rsid w:val="004316C8"/>
    <w:rsid w:val="0043173F"/>
    <w:rsid w:val="00431801"/>
    <w:rsid w:val="004319A1"/>
    <w:rsid w:val="00431A82"/>
    <w:rsid w:val="00431AD6"/>
    <w:rsid w:val="00431C15"/>
    <w:rsid w:val="00431D42"/>
    <w:rsid w:val="00431FC1"/>
    <w:rsid w:val="0043200C"/>
    <w:rsid w:val="004320E5"/>
    <w:rsid w:val="0043220A"/>
    <w:rsid w:val="004323AA"/>
    <w:rsid w:val="004324C1"/>
    <w:rsid w:val="0043255A"/>
    <w:rsid w:val="004325BE"/>
    <w:rsid w:val="0043292C"/>
    <w:rsid w:val="00432947"/>
    <w:rsid w:val="004329A9"/>
    <w:rsid w:val="00432C45"/>
    <w:rsid w:val="00432D97"/>
    <w:rsid w:val="00432E7B"/>
    <w:rsid w:val="00432F0F"/>
    <w:rsid w:val="00432FC7"/>
    <w:rsid w:val="004331FB"/>
    <w:rsid w:val="004332E9"/>
    <w:rsid w:val="00433551"/>
    <w:rsid w:val="004336AF"/>
    <w:rsid w:val="00433759"/>
    <w:rsid w:val="004338F6"/>
    <w:rsid w:val="004338F7"/>
    <w:rsid w:val="00433986"/>
    <w:rsid w:val="00433C67"/>
    <w:rsid w:val="00433CB5"/>
    <w:rsid w:val="00433E35"/>
    <w:rsid w:val="00433EC0"/>
    <w:rsid w:val="00433F1B"/>
    <w:rsid w:val="00433FD1"/>
    <w:rsid w:val="00433FF1"/>
    <w:rsid w:val="004340B2"/>
    <w:rsid w:val="0043413F"/>
    <w:rsid w:val="00434213"/>
    <w:rsid w:val="0043425A"/>
    <w:rsid w:val="00434303"/>
    <w:rsid w:val="00434316"/>
    <w:rsid w:val="0043465B"/>
    <w:rsid w:val="004347F5"/>
    <w:rsid w:val="00434821"/>
    <w:rsid w:val="0043482E"/>
    <w:rsid w:val="00434847"/>
    <w:rsid w:val="004348CA"/>
    <w:rsid w:val="00434902"/>
    <w:rsid w:val="00434A05"/>
    <w:rsid w:val="00434C2E"/>
    <w:rsid w:val="00434D91"/>
    <w:rsid w:val="00434E89"/>
    <w:rsid w:val="004350CA"/>
    <w:rsid w:val="004355F9"/>
    <w:rsid w:val="00435624"/>
    <w:rsid w:val="00435638"/>
    <w:rsid w:val="0043567F"/>
    <w:rsid w:val="004358D3"/>
    <w:rsid w:val="00435A05"/>
    <w:rsid w:val="00436093"/>
    <w:rsid w:val="00436105"/>
    <w:rsid w:val="004361A4"/>
    <w:rsid w:val="0043698A"/>
    <w:rsid w:val="004369A8"/>
    <w:rsid w:val="00436A53"/>
    <w:rsid w:val="00436C7F"/>
    <w:rsid w:val="00436CC5"/>
    <w:rsid w:val="00436DF0"/>
    <w:rsid w:val="00436F24"/>
    <w:rsid w:val="0043727A"/>
    <w:rsid w:val="0043737F"/>
    <w:rsid w:val="004376E9"/>
    <w:rsid w:val="0043771B"/>
    <w:rsid w:val="004377B0"/>
    <w:rsid w:val="00437826"/>
    <w:rsid w:val="0043795D"/>
    <w:rsid w:val="004379C7"/>
    <w:rsid w:val="00437A71"/>
    <w:rsid w:val="00437C34"/>
    <w:rsid w:val="00437C7F"/>
    <w:rsid w:val="00437CD0"/>
    <w:rsid w:val="00437D7A"/>
    <w:rsid w:val="00437E48"/>
    <w:rsid w:val="00437F03"/>
    <w:rsid w:val="00437F2A"/>
    <w:rsid w:val="00437F84"/>
    <w:rsid w:val="0044025C"/>
    <w:rsid w:val="00440383"/>
    <w:rsid w:val="0044038B"/>
    <w:rsid w:val="00440437"/>
    <w:rsid w:val="004405B9"/>
    <w:rsid w:val="004406D7"/>
    <w:rsid w:val="004407E9"/>
    <w:rsid w:val="0044083D"/>
    <w:rsid w:val="0044084E"/>
    <w:rsid w:val="004408F6"/>
    <w:rsid w:val="00440907"/>
    <w:rsid w:val="00440929"/>
    <w:rsid w:val="00440AAE"/>
    <w:rsid w:val="00440BF9"/>
    <w:rsid w:val="00440EB0"/>
    <w:rsid w:val="00441076"/>
    <w:rsid w:val="004410CF"/>
    <w:rsid w:val="004413A5"/>
    <w:rsid w:val="004414A7"/>
    <w:rsid w:val="004417F9"/>
    <w:rsid w:val="00441955"/>
    <w:rsid w:val="00441A01"/>
    <w:rsid w:val="00441AD8"/>
    <w:rsid w:val="00441B5F"/>
    <w:rsid w:val="00441BF1"/>
    <w:rsid w:val="00441DC5"/>
    <w:rsid w:val="00441F61"/>
    <w:rsid w:val="0044220C"/>
    <w:rsid w:val="004426D8"/>
    <w:rsid w:val="004426FD"/>
    <w:rsid w:val="0044273C"/>
    <w:rsid w:val="00442999"/>
    <w:rsid w:val="00442BAC"/>
    <w:rsid w:val="00442BB3"/>
    <w:rsid w:val="00442EAA"/>
    <w:rsid w:val="00442F20"/>
    <w:rsid w:val="00442F99"/>
    <w:rsid w:val="004430D9"/>
    <w:rsid w:val="00443130"/>
    <w:rsid w:val="004431C4"/>
    <w:rsid w:val="00443261"/>
    <w:rsid w:val="0044341C"/>
    <w:rsid w:val="004434B5"/>
    <w:rsid w:val="004434BC"/>
    <w:rsid w:val="004435C2"/>
    <w:rsid w:val="004436E9"/>
    <w:rsid w:val="00443769"/>
    <w:rsid w:val="00443820"/>
    <w:rsid w:val="00443835"/>
    <w:rsid w:val="004439C2"/>
    <w:rsid w:val="00443A48"/>
    <w:rsid w:val="00443C07"/>
    <w:rsid w:val="00443C53"/>
    <w:rsid w:val="00443C5B"/>
    <w:rsid w:val="00443CE7"/>
    <w:rsid w:val="00443E43"/>
    <w:rsid w:val="0044401C"/>
    <w:rsid w:val="00444286"/>
    <w:rsid w:val="004442C3"/>
    <w:rsid w:val="004443B6"/>
    <w:rsid w:val="004443DA"/>
    <w:rsid w:val="004443E8"/>
    <w:rsid w:val="0044443D"/>
    <w:rsid w:val="0044452B"/>
    <w:rsid w:val="004446BA"/>
    <w:rsid w:val="004446D7"/>
    <w:rsid w:val="004447A2"/>
    <w:rsid w:val="004447C3"/>
    <w:rsid w:val="00444984"/>
    <w:rsid w:val="00444A93"/>
    <w:rsid w:val="00444BDA"/>
    <w:rsid w:val="00444C51"/>
    <w:rsid w:val="00444EB4"/>
    <w:rsid w:val="00444EEA"/>
    <w:rsid w:val="00444F16"/>
    <w:rsid w:val="0044506D"/>
    <w:rsid w:val="00445320"/>
    <w:rsid w:val="00445367"/>
    <w:rsid w:val="004453A2"/>
    <w:rsid w:val="00445468"/>
    <w:rsid w:val="00445522"/>
    <w:rsid w:val="004455A1"/>
    <w:rsid w:val="004456AB"/>
    <w:rsid w:val="00445732"/>
    <w:rsid w:val="004457A5"/>
    <w:rsid w:val="0044592C"/>
    <w:rsid w:val="00445A58"/>
    <w:rsid w:val="00445C0F"/>
    <w:rsid w:val="00445EA3"/>
    <w:rsid w:val="00445EC0"/>
    <w:rsid w:val="004461FB"/>
    <w:rsid w:val="004462D4"/>
    <w:rsid w:val="0044630F"/>
    <w:rsid w:val="00446528"/>
    <w:rsid w:val="004465BA"/>
    <w:rsid w:val="0044665A"/>
    <w:rsid w:val="00446847"/>
    <w:rsid w:val="00446AEB"/>
    <w:rsid w:val="00446B0F"/>
    <w:rsid w:val="00446EE0"/>
    <w:rsid w:val="00447014"/>
    <w:rsid w:val="0044705D"/>
    <w:rsid w:val="00447099"/>
    <w:rsid w:val="00447134"/>
    <w:rsid w:val="00447136"/>
    <w:rsid w:val="0044718D"/>
    <w:rsid w:val="004472DD"/>
    <w:rsid w:val="0044733C"/>
    <w:rsid w:val="00447431"/>
    <w:rsid w:val="004474DE"/>
    <w:rsid w:val="00447B66"/>
    <w:rsid w:val="00447C10"/>
    <w:rsid w:val="00447D80"/>
    <w:rsid w:val="00447EB0"/>
    <w:rsid w:val="00447EF7"/>
    <w:rsid w:val="00447F14"/>
    <w:rsid w:val="00447F65"/>
    <w:rsid w:val="00447FA3"/>
    <w:rsid w:val="00447FE3"/>
    <w:rsid w:val="00449B2F"/>
    <w:rsid w:val="00450251"/>
    <w:rsid w:val="004503D3"/>
    <w:rsid w:val="00450595"/>
    <w:rsid w:val="00450673"/>
    <w:rsid w:val="00450A6B"/>
    <w:rsid w:val="00450C25"/>
    <w:rsid w:val="00450EBC"/>
    <w:rsid w:val="00450F00"/>
    <w:rsid w:val="00450FF7"/>
    <w:rsid w:val="004510D0"/>
    <w:rsid w:val="0045117A"/>
    <w:rsid w:val="00451225"/>
    <w:rsid w:val="00451241"/>
    <w:rsid w:val="0045124D"/>
    <w:rsid w:val="004515CF"/>
    <w:rsid w:val="0045179D"/>
    <w:rsid w:val="004517A6"/>
    <w:rsid w:val="00451952"/>
    <w:rsid w:val="004519AA"/>
    <w:rsid w:val="00451BD6"/>
    <w:rsid w:val="00451DFB"/>
    <w:rsid w:val="00451F4F"/>
    <w:rsid w:val="00452154"/>
    <w:rsid w:val="004521FF"/>
    <w:rsid w:val="0045226A"/>
    <w:rsid w:val="004522DF"/>
    <w:rsid w:val="004522EA"/>
    <w:rsid w:val="00452344"/>
    <w:rsid w:val="00452505"/>
    <w:rsid w:val="0045251F"/>
    <w:rsid w:val="00452877"/>
    <w:rsid w:val="0045288E"/>
    <w:rsid w:val="004528D1"/>
    <w:rsid w:val="0045297D"/>
    <w:rsid w:val="00452980"/>
    <w:rsid w:val="00452DD3"/>
    <w:rsid w:val="00452E2D"/>
    <w:rsid w:val="00452E3C"/>
    <w:rsid w:val="00452F22"/>
    <w:rsid w:val="00453264"/>
    <w:rsid w:val="004532B7"/>
    <w:rsid w:val="004532E9"/>
    <w:rsid w:val="00453306"/>
    <w:rsid w:val="00453449"/>
    <w:rsid w:val="004535FC"/>
    <w:rsid w:val="004536A4"/>
    <w:rsid w:val="004536D5"/>
    <w:rsid w:val="00453724"/>
    <w:rsid w:val="00453763"/>
    <w:rsid w:val="00453877"/>
    <w:rsid w:val="004539E4"/>
    <w:rsid w:val="00453C24"/>
    <w:rsid w:val="00453E2B"/>
    <w:rsid w:val="00453FA4"/>
    <w:rsid w:val="00454579"/>
    <w:rsid w:val="0045459D"/>
    <w:rsid w:val="00454647"/>
    <w:rsid w:val="0045466A"/>
    <w:rsid w:val="004546DA"/>
    <w:rsid w:val="004547DF"/>
    <w:rsid w:val="0045492F"/>
    <w:rsid w:val="004549A1"/>
    <w:rsid w:val="00454A85"/>
    <w:rsid w:val="00454BB4"/>
    <w:rsid w:val="00454C1E"/>
    <w:rsid w:val="00454CD4"/>
    <w:rsid w:val="00454EB8"/>
    <w:rsid w:val="00455122"/>
    <w:rsid w:val="00455315"/>
    <w:rsid w:val="004554FA"/>
    <w:rsid w:val="00455543"/>
    <w:rsid w:val="004555C4"/>
    <w:rsid w:val="004557AB"/>
    <w:rsid w:val="00455AE6"/>
    <w:rsid w:val="00455BE1"/>
    <w:rsid w:val="00455C15"/>
    <w:rsid w:val="00455D36"/>
    <w:rsid w:val="00455EB2"/>
    <w:rsid w:val="00455F11"/>
    <w:rsid w:val="00455FBF"/>
    <w:rsid w:val="00455FFA"/>
    <w:rsid w:val="0045600C"/>
    <w:rsid w:val="00456033"/>
    <w:rsid w:val="0045603C"/>
    <w:rsid w:val="00456117"/>
    <w:rsid w:val="004561BC"/>
    <w:rsid w:val="00456272"/>
    <w:rsid w:val="004562FF"/>
    <w:rsid w:val="00456340"/>
    <w:rsid w:val="0045637F"/>
    <w:rsid w:val="004563E0"/>
    <w:rsid w:val="00456546"/>
    <w:rsid w:val="004565B5"/>
    <w:rsid w:val="00456920"/>
    <w:rsid w:val="0045699E"/>
    <w:rsid w:val="00456ACC"/>
    <w:rsid w:val="0045702C"/>
    <w:rsid w:val="00457047"/>
    <w:rsid w:val="0045709D"/>
    <w:rsid w:val="00457206"/>
    <w:rsid w:val="004572A6"/>
    <w:rsid w:val="004572AF"/>
    <w:rsid w:val="004573A8"/>
    <w:rsid w:val="0045758F"/>
    <w:rsid w:val="0045772F"/>
    <w:rsid w:val="0045785E"/>
    <w:rsid w:val="00457874"/>
    <w:rsid w:val="00457879"/>
    <w:rsid w:val="004578A9"/>
    <w:rsid w:val="00457A7F"/>
    <w:rsid w:val="00457E1D"/>
    <w:rsid w:val="00457E48"/>
    <w:rsid w:val="0046004F"/>
    <w:rsid w:val="00460233"/>
    <w:rsid w:val="004602F2"/>
    <w:rsid w:val="00460355"/>
    <w:rsid w:val="00460361"/>
    <w:rsid w:val="00460600"/>
    <w:rsid w:val="00460998"/>
    <w:rsid w:val="00460B56"/>
    <w:rsid w:val="00460CAB"/>
    <w:rsid w:val="0046128F"/>
    <w:rsid w:val="00461456"/>
    <w:rsid w:val="0046153C"/>
    <w:rsid w:val="004615C7"/>
    <w:rsid w:val="0046178E"/>
    <w:rsid w:val="00461A99"/>
    <w:rsid w:val="00461D37"/>
    <w:rsid w:val="00461D55"/>
    <w:rsid w:val="00461E4C"/>
    <w:rsid w:val="00461F17"/>
    <w:rsid w:val="00461FC3"/>
    <w:rsid w:val="00462049"/>
    <w:rsid w:val="004624C8"/>
    <w:rsid w:val="004625A7"/>
    <w:rsid w:val="004625C7"/>
    <w:rsid w:val="0046261B"/>
    <w:rsid w:val="00462713"/>
    <w:rsid w:val="00462804"/>
    <w:rsid w:val="00462906"/>
    <w:rsid w:val="0046295F"/>
    <w:rsid w:val="00462A4F"/>
    <w:rsid w:val="00462E6C"/>
    <w:rsid w:val="00462F93"/>
    <w:rsid w:val="0046319D"/>
    <w:rsid w:val="00463237"/>
    <w:rsid w:val="00463287"/>
    <w:rsid w:val="004632D6"/>
    <w:rsid w:val="00463482"/>
    <w:rsid w:val="004637A5"/>
    <w:rsid w:val="00463B08"/>
    <w:rsid w:val="00463B41"/>
    <w:rsid w:val="00463C7E"/>
    <w:rsid w:val="00463E1A"/>
    <w:rsid w:val="00463E48"/>
    <w:rsid w:val="00463E8C"/>
    <w:rsid w:val="004640FD"/>
    <w:rsid w:val="0046466A"/>
    <w:rsid w:val="004646BC"/>
    <w:rsid w:val="004647E5"/>
    <w:rsid w:val="004649E0"/>
    <w:rsid w:val="00464AA4"/>
    <w:rsid w:val="00464C6A"/>
    <w:rsid w:val="00464D41"/>
    <w:rsid w:val="00464D72"/>
    <w:rsid w:val="00464EB5"/>
    <w:rsid w:val="004650B0"/>
    <w:rsid w:val="004651B5"/>
    <w:rsid w:val="004651F1"/>
    <w:rsid w:val="004653A9"/>
    <w:rsid w:val="004653F9"/>
    <w:rsid w:val="00465810"/>
    <w:rsid w:val="00465993"/>
    <w:rsid w:val="00465BC6"/>
    <w:rsid w:val="00465C35"/>
    <w:rsid w:val="00465DB1"/>
    <w:rsid w:val="00465F35"/>
    <w:rsid w:val="00466187"/>
    <w:rsid w:val="004663C9"/>
    <w:rsid w:val="004663E5"/>
    <w:rsid w:val="004664E2"/>
    <w:rsid w:val="00466552"/>
    <w:rsid w:val="0046656D"/>
    <w:rsid w:val="004668C5"/>
    <w:rsid w:val="00466A87"/>
    <w:rsid w:val="00466B6D"/>
    <w:rsid w:val="00466E4A"/>
    <w:rsid w:val="00466F1B"/>
    <w:rsid w:val="00466F9B"/>
    <w:rsid w:val="0046715E"/>
    <w:rsid w:val="00467269"/>
    <w:rsid w:val="00467290"/>
    <w:rsid w:val="00467582"/>
    <w:rsid w:val="00467687"/>
    <w:rsid w:val="00467700"/>
    <w:rsid w:val="0046782A"/>
    <w:rsid w:val="00467860"/>
    <w:rsid w:val="004679AA"/>
    <w:rsid w:val="00467A1F"/>
    <w:rsid w:val="00467A96"/>
    <w:rsid w:val="00467AA8"/>
    <w:rsid w:val="00467AD5"/>
    <w:rsid w:val="00467B03"/>
    <w:rsid w:val="00467C43"/>
    <w:rsid w:val="00467F98"/>
    <w:rsid w:val="00467FA2"/>
    <w:rsid w:val="00470009"/>
    <w:rsid w:val="004700D2"/>
    <w:rsid w:val="00470290"/>
    <w:rsid w:val="00470397"/>
    <w:rsid w:val="004703B8"/>
    <w:rsid w:val="0047043C"/>
    <w:rsid w:val="0047048E"/>
    <w:rsid w:val="00470794"/>
    <w:rsid w:val="004707BC"/>
    <w:rsid w:val="00470901"/>
    <w:rsid w:val="00470947"/>
    <w:rsid w:val="0047099E"/>
    <w:rsid w:val="004709AD"/>
    <w:rsid w:val="00470A13"/>
    <w:rsid w:val="00470ADE"/>
    <w:rsid w:val="00470AEA"/>
    <w:rsid w:val="00471057"/>
    <w:rsid w:val="00471135"/>
    <w:rsid w:val="004712BD"/>
    <w:rsid w:val="00471364"/>
    <w:rsid w:val="00471366"/>
    <w:rsid w:val="0047139E"/>
    <w:rsid w:val="004713E6"/>
    <w:rsid w:val="00471720"/>
    <w:rsid w:val="00471730"/>
    <w:rsid w:val="00471A7D"/>
    <w:rsid w:val="00471BA4"/>
    <w:rsid w:val="00471C97"/>
    <w:rsid w:val="00471CC2"/>
    <w:rsid w:val="00471E2F"/>
    <w:rsid w:val="00471E49"/>
    <w:rsid w:val="00471E79"/>
    <w:rsid w:val="00471E84"/>
    <w:rsid w:val="00471F10"/>
    <w:rsid w:val="00471FB2"/>
    <w:rsid w:val="00471FB9"/>
    <w:rsid w:val="00472133"/>
    <w:rsid w:val="004721C3"/>
    <w:rsid w:val="00472392"/>
    <w:rsid w:val="004723CA"/>
    <w:rsid w:val="00472779"/>
    <w:rsid w:val="00472C95"/>
    <w:rsid w:val="00472F1E"/>
    <w:rsid w:val="00472F28"/>
    <w:rsid w:val="00473074"/>
    <w:rsid w:val="0047311A"/>
    <w:rsid w:val="0047325C"/>
    <w:rsid w:val="004733C4"/>
    <w:rsid w:val="00473480"/>
    <w:rsid w:val="004735D7"/>
    <w:rsid w:val="00473611"/>
    <w:rsid w:val="00473883"/>
    <w:rsid w:val="00473A7B"/>
    <w:rsid w:val="00473A84"/>
    <w:rsid w:val="00473BAA"/>
    <w:rsid w:val="00473C50"/>
    <w:rsid w:val="00473D98"/>
    <w:rsid w:val="00473E32"/>
    <w:rsid w:val="00473F05"/>
    <w:rsid w:val="00474569"/>
    <w:rsid w:val="00474596"/>
    <w:rsid w:val="00474603"/>
    <w:rsid w:val="0047462A"/>
    <w:rsid w:val="00474648"/>
    <w:rsid w:val="004746ED"/>
    <w:rsid w:val="00474717"/>
    <w:rsid w:val="004747F6"/>
    <w:rsid w:val="00474954"/>
    <w:rsid w:val="00474A55"/>
    <w:rsid w:val="004750A8"/>
    <w:rsid w:val="004750D0"/>
    <w:rsid w:val="0047520F"/>
    <w:rsid w:val="0047554F"/>
    <w:rsid w:val="00475735"/>
    <w:rsid w:val="00475913"/>
    <w:rsid w:val="004759B8"/>
    <w:rsid w:val="004759DA"/>
    <w:rsid w:val="00475AFE"/>
    <w:rsid w:val="00475B60"/>
    <w:rsid w:val="00475D46"/>
    <w:rsid w:val="00475DCA"/>
    <w:rsid w:val="00475F7A"/>
    <w:rsid w:val="00475FB6"/>
    <w:rsid w:val="0047601B"/>
    <w:rsid w:val="0047622E"/>
    <w:rsid w:val="00476295"/>
    <w:rsid w:val="00476367"/>
    <w:rsid w:val="00476491"/>
    <w:rsid w:val="004764CB"/>
    <w:rsid w:val="004766AA"/>
    <w:rsid w:val="004766B5"/>
    <w:rsid w:val="00476869"/>
    <w:rsid w:val="004768D1"/>
    <w:rsid w:val="004769FE"/>
    <w:rsid w:val="00476BA7"/>
    <w:rsid w:val="00476C75"/>
    <w:rsid w:val="00476CB2"/>
    <w:rsid w:val="00476EB3"/>
    <w:rsid w:val="004772B7"/>
    <w:rsid w:val="00477355"/>
    <w:rsid w:val="00477368"/>
    <w:rsid w:val="0047748E"/>
    <w:rsid w:val="0047759C"/>
    <w:rsid w:val="004776DA"/>
    <w:rsid w:val="0047777B"/>
    <w:rsid w:val="004779B8"/>
    <w:rsid w:val="00477C03"/>
    <w:rsid w:val="00477C36"/>
    <w:rsid w:val="00477DC8"/>
    <w:rsid w:val="00477E1A"/>
    <w:rsid w:val="004801B2"/>
    <w:rsid w:val="004801CE"/>
    <w:rsid w:val="0048029F"/>
    <w:rsid w:val="004804A3"/>
    <w:rsid w:val="004806A3"/>
    <w:rsid w:val="0048099C"/>
    <w:rsid w:val="004809E3"/>
    <w:rsid w:val="00480A49"/>
    <w:rsid w:val="00480BF5"/>
    <w:rsid w:val="00480E54"/>
    <w:rsid w:val="00480F05"/>
    <w:rsid w:val="00480F18"/>
    <w:rsid w:val="00480F33"/>
    <w:rsid w:val="00481023"/>
    <w:rsid w:val="0048151E"/>
    <w:rsid w:val="00481903"/>
    <w:rsid w:val="004819BD"/>
    <w:rsid w:val="00481ACD"/>
    <w:rsid w:val="00481B1D"/>
    <w:rsid w:val="00481BC4"/>
    <w:rsid w:val="00481C17"/>
    <w:rsid w:val="0048231D"/>
    <w:rsid w:val="0048248B"/>
    <w:rsid w:val="0048249C"/>
    <w:rsid w:val="00482513"/>
    <w:rsid w:val="00482540"/>
    <w:rsid w:val="0048259A"/>
    <w:rsid w:val="004829E0"/>
    <w:rsid w:val="00482AB6"/>
    <w:rsid w:val="00482BF9"/>
    <w:rsid w:val="00482C9E"/>
    <w:rsid w:val="00482CE1"/>
    <w:rsid w:val="00482DB0"/>
    <w:rsid w:val="00482EAD"/>
    <w:rsid w:val="00483017"/>
    <w:rsid w:val="004830D4"/>
    <w:rsid w:val="0048321F"/>
    <w:rsid w:val="00483337"/>
    <w:rsid w:val="004833CE"/>
    <w:rsid w:val="0048352E"/>
    <w:rsid w:val="0048356C"/>
    <w:rsid w:val="0048357B"/>
    <w:rsid w:val="004837C1"/>
    <w:rsid w:val="004837ED"/>
    <w:rsid w:val="00483812"/>
    <w:rsid w:val="0048386D"/>
    <w:rsid w:val="00483918"/>
    <w:rsid w:val="004839E0"/>
    <w:rsid w:val="00483A0C"/>
    <w:rsid w:val="00483A62"/>
    <w:rsid w:val="00483CAA"/>
    <w:rsid w:val="00483E73"/>
    <w:rsid w:val="00483F6D"/>
    <w:rsid w:val="00483F73"/>
    <w:rsid w:val="00483FD8"/>
    <w:rsid w:val="004841A5"/>
    <w:rsid w:val="004841D1"/>
    <w:rsid w:val="004842D3"/>
    <w:rsid w:val="00484319"/>
    <w:rsid w:val="00484626"/>
    <w:rsid w:val="0048484E"/>
    <w:rsid w:val="0048487A"/>
    <w:rsid w:val="004848A5"/>
    <w:rsid w:val="00484905"/>
    <w:rsid w:val="00484B4E"/>
    <w:rsid w:val="00484BF0"/>
    <w:rsid w:val="00484DC7"/>
    <w:rsid w:val="00485003"/>
    <w:rsid w:val="00485119"/>
    <w:rsid w:val="004853CE"/>
    <w:rsid w:val="0048543A"/>
    <w:rsid w:val="00485573"/>
    <w:rsid w:val="00485705"/>
    <w:rsid w:val="00485727"/>
    <w:rsid w:val="004858F5"/>
    <w:rsid w:val="00485D13"/>
    <w:rsid w:val="00485F32"/>
    <w:rsid w:val="004862DC"/>
    <w:rsid w:val="004862F4"/>
    <w:rsid w:val="004863ED"/>
    <w:rsid w:val="004865F9"/>
    <w:rsid w:val="00486628"/>
    <w:rsid w:val="00486674"/>
    <w:rsid w:val="0048674D"/>
    <w:rsid w:val="00486869"/>
    <w:rsid w:val="0048688D"/>
    <w:rsid w:val="00486995"/>
    <w:rsid w:val="00486CF7"/>
    <w:rsid w:val="00486F9C"/>
    <w:rsid w:val="00486FCC"/>
    <w:rsid w:val="00487177"/>
    <w:rsid w:val="0048724E"/>
    <w:rsid w:val="0048736E"/>
    <w:rsid w:val="004873A6"/>
    <w:rsid w:val="00487447"/>
    <w:rsid w:val="0048749E"/>
    <w:rsid w:val="00487591"/>
    <w:rsid w:val="004878A5"/>
    <w:rsid w:val="00487958"/>
    <w:rsid w:val="00487A07"/>
    <w:rsid w:val="00487D09"/>
    <w:rsid w:val="00487FD9"/>
    <w:rsid w:val="00490188"/>
    <w:rsid w:val="0049036F"/>
    <w:rsid w:val="00490446"/>
    <w:rsid w:val="00490621"/>
    <w:rsid w:val="004906BC"/>
    <w:rsid w:val="0049071D"/>
    <w:rsid w:val="004907DC"/>
    <w:rsid w:val="004908F8"/>
    <w:rsid w:val="00490979"/>
    <w:rsid w:val="00490A26"/>
    <w:rsid w:val="00490C38"/>
    <w:rsid w:val="00490C8B"/>
    <w:rsid w:val="00490D94"/>
    <w:rsid w:val="00490E89"/>
    <w:rsid w:val="00490F1E"/>
    <w:rsid w:val="00490F9B"/>
    <w:rsid w:val="004910B1"/>
    <w:rsid w:val="004910EA"/>
    <w:rsid w:val="00491357"/>
    <w:rsid w:val="004917F1"/>
    <w:rsid w:val="00491897"/>
    <w:rsid w:val="004919F0"/>
    <w:rsid w:val="00491C34"/>
    <w:rsid w:val="00491CF9"/>
    <w:rsid w:val="00491DD2"/>
    <w:rsid w:val="00492068"/>
    <w:rsid w:val="00492176"/>
    <w:rsid w:val="004924A7"/>
    <w:rsid w:val="004926C9"/>
    <w:rsid w:val="00492784"/>
    <w:rsid w:val="00492892"/>
    <w:rsid w:val="00492A5A"/>
    <w:rsid w:val="00492AAE"/>
    <w:rsid w:val="00492B00"/>
    <w:rsid w:val="00492B9C"/>
    <w:rsid w:val="00492E22"/>
    <w:rsid w:val="00492F1E"/>
    <w:rsid w:val="0049306C"/>
    <w:rsid w:val="004931A9"/>
    <w:rsid w:val="004931FC"/>
    <w:rsid w:val="004932DA"/>
    <w:rsid w:val="00493340"/>
    <w:rsid w:val="0049340B"/>
    <w:rsid w:val="00493687"/>
    <w:rsid w:val="00493804"/>
    <w:rsid w:val="004938C9"/>
    <w:rsid w:val="00493901"/>
    <w:rsid w:val="004939E5"/>
    <w:rsid w:val="004939F3"/>
    <w:rsid w:val="00493EAB"/>
    <w:rsid w:val="00493F09"/>
    <w:rsid w:val="00493F22"/>
    <w:rsid w:val="00493F24"/>
    <w:rsid w:val="00493FD8"/>
    <w:rsid w:val="00494042"/>
    <w:rsid w:val="004942B5"/>
    <w:rsid w:val="004944AE"/>
    <w:rsid w:val="004944F4"/>
    <w:rsid w:val="00494599"/>
    <w:rsid w:val="0049469D"/>
    <w:rsid w:val="00494A03"/>
    <w:rsid w:val="00494A24"/>
    <w:rsid w:val="00494A41"/>
    <w:rsid w:val="00494A56"/>
    <w:rsid w:val="00494A74"/>
    <w:rsid w:val="00494BCD"/>
    <w:rsid w:val="00494BFD"/>
    <w:rsid w:val="00494C35"/>
    <w:rsid w:val="00494C68"/>
    <w:rsid w:val="00494C81"/>
    <w:rsid w:val="00494F78"/>
    <w:rsid w:val="00494FC1"/>
    <w:rsid w:val="00495173"/>
    <w:rsid w:val="004951C6"/>
    <w:rsid w:val="004952E0"/>
    <w:rsid w:val="00495619"/>
    <w:rsid w:val="00495663"/>
    <w:rsid w:val="004957C7"/>
    <w:rsid w:val="00495A63"/>
    <w:rsid w:val="00495AF5"/>
    <w:rsid w:val="00495B20"/>
    <w:rsid w:val="00495B22"/>
    <w:rsid w:val="00495B90"/>
    <w:rsid w:val="00495F92"/>
    <w:rsid w:val="00496083"/>
    <w:rsid w:val="00496422"/>
    <w:rsid w:val="004964BB"/>
    <w:rsid w:val="0049653D"/>
    <w:rsid w:val="00496602"/>
    <w:rsid w:val="0049666A"/>
    <w:rsid w:val="004966DE"/>
    <w:rsid w:val="004968A4"/>
    <w:rsid w:val="0049690E"/>
    <w:rsid w:val="0049692F"/>
    <w:rsid w:val="0049698A"/>
    <w:rsid w:val="00496B23"/>
    <w:rsid w:val="00496B8D"/>
    <w:rsid w:val="00496BF7"/>
    <w:rsid w:val="00496CD1"/>
    <w:rsid w:val="00496D8B"/>
    <w:rsid w:val="004972C5"/>
    <w:rsid w:val="00497397"/>
    <w:rsid w:val="00497476"/>
    <w:rsid w:val="004975B7"/>
    <w:rsid w:val="004977E2"/>
    <w:rsid w:val="00497B02"/>
    <w:rsid w:val="00497D5A"/>
    <w:rsid w:val="00497F36"/>
    <w:rsid w:val="00497FA5"/>
    <w:rsid w:val="00497FAC"/>
    <w:rsid w:val="004A00CB"/>
    <w:rsid w:val="004A02B4"/>
    <w:rsid w:val="004A058E"/>
    <w:rsid w:val="004A0708"/>
    <w:rsid w:val="004A0AA1"/>
    <w:rsid w:val="004A0BBB"/>
    <w:rsid w:val="004A0E16"/>
    <w:rsid w:val="004A1057"/>
    <w:rsid w:val="004A10AC"/>
    <w:rsid w:val="004A10B6"/>
    <w:rsid w:val="004A1286"/>
    <w:rsid w:val="004A12A8"/>
    <w:rsid w:val="004A1313"/>
    <w:rsid w:val="004A13F7"/>
    <w:rsid w:val="004A1580"/>
    <w:rsid w:val="004A17FF"/>
    <w:rsid w:val="004A1974"/>
    <w:rsid w:val="004A1A37"/>
    <w:rsid w:val="004A1B21"/>
    <w:rsid w:val="004A1BF7"/>
    <w:rsid w:val="004A1C57"/>
    <w:rsid w:val="004A1CA8"/>
    <w:rsid w:val="004A1DA3"/>
    <w:rsid w:val="004A1DDA"/>
    <w:rsid w:val="004A1DF7"/>
    <w:rsid w:val="004A2336"/>
    <w:rsid w:val="004A2342"/>
    <w:rsid w:val="004A2372"/>
    <w:rsid w:val="004A241C"/>
    <w:rsid w:val="004A2497"/>
    <w:rsid w:val="004A253C"/>
    <w:rsid w:val="004A26C5"/>
    <w:rsid w:val="004A26CF"/>
    <w:rsid w:val="004A289D"/>
    <w:rsid w:val="004A296B"/>
    <w:rsid w:val="004A2A59"/>
    <w:rsid w:val="004A2F96"/>
    <w:rsid w:val="004A2FC7"/>
    <w:rsid w:val="004A3176"/>
    <w:rsid w:val="004A33F4"/>
    <w:rsid w:val="004A33F6"/>
    <w:rsid w:val="004A347B"/>
    <w:rsid w:val="004A3506"/>
    <w:rsid w:val="004A35A4"/>
    <w:rsid w:val="004A375A"/>
    <w:rsid w:val="004A391A"/>
    <w:rsid w:val="004A39F0"/>
    <w:rsid w:val="004A3A8A"/>
    <w:rsid w:val="004A3DF6"/>
    <w:rsid w:val="004A3EAD"/>
    <w:rsid w:val="004A3EC4"/>
    <w:rsid w:val="004A3ECC"/>
    <w:rsid w:val="004A3F3B"/>
    <w:rsid w:val="004A3FEC"/>
    <w:rsid w:val="004A4017"/>
    <w:rsid w:val="004A411B"/>
    <w:rsid w:val="004A416F"/>
    <w:rsid w:val="004A44AB"/>
    <w:rsid w:val="004A45A4"/>
    <w:rsid w:val="004A48A1"/>
    <w:rsid w:val="004A4953"/>
    <w:rsid w:val="004A4B77"/>
    <w:rsid w:val="004A4C0A"/>
    <w:rsid w:val="004A4C25"/>
    <w:rsid w:val="004A4CFE"/>
    <w:rsid w:val="004A5089"/>
    <w:rsid w:val="004A508E"/>
    <w:rsid w:val="004A52AC"/>
    <w:rsid w:val="004A5446"/>
    <w:rsid w:val="004A551A"/>
    <w:rsid w:val="004A5576"/>
    <w:rsid w:val="004A55B0"/>
    <w:rsid w:val="004A566A"/>
    <w:rsid w:val="004A5679"/>
    <w:rsid w:val="004A5745"/>
    <w:rsid w:val="004A5910"/>
    <w:rsid w:val="004A5AF4"/>
    <w:rsid w:val="004A5B53"/>
    <w:rsid w:val="004A5B71"/>
    <w:rsid w:val="004A5C72"/>
    <w:rsid w:val="004A5F3A"/>
    <w:rsid w:val="004A6145"/>
    <w:rsid w:val="004A63C2"/>
    <w:rsid w:val="004A65D2"/>
    <w:rsid w:val="004A677C"/>
    <w:rsid w:val="004A6A03"/>
    <w:rsid w:val="004A6A63"/>
    <w:rsid w:val="004A6A7C"/>
    <w:rsid w:val="004A6B63"/>
    <w:rsid w:val="004A6BC1"/>
    <w:rsid w:val="004A6E45"/>
    <w:rsid w:val="004A7091"/>
    <w:rsid w:val="004A70B1"/>
    <w:rsid w:val="004A711D"/>
    <w:rsid w:val="004A7276"/>
    <w:rsid w:val="004A7437"/>
    <w:rsid w:val="004A75BA"/>
    <w:rsid w:val="004A760B"/>
    <w:rsid w:val="004A776B"/>
    <w:rsid w:val="004A778F"/>
    <w:rsid w:val="004A77DF"/>
    <w:rsid w:val="004A794B"/>
    <w:rsid w:val="004A7B98"/>
    <w:rsid w:val="004A7C77"/>
    <w:rsid w:val="004A7DF0"/>
    <w:rsid w:val="004A7E73"/>
    <w:rsid w:val="004A7F2B"/>
    <w:rsid w:val="004A7F3E"/>
    <w:rsid w:val="004A7F98"/>
    <w:rsid w:val="004B026B"/>
    <w:rsid w:val="004B0351"/>
    <w:rsid w:val="004B0456"/>
    <w:rsid w:val="004B0476"/>
    <w:rsid w:val="004B0774"/>
    <w:rsid w:val="004B080E"/>
    <w:rsid w:val="004B0A85"/>
    <w:rsid w:val="004B0B71"/>
    <w:rsid w:val="004B0C1E"/>
    <w:rsid w:val="004B0C8B"/>
    <w:rsid w:val="004B0F18"/>
    <w:rsid w:val="004B1380"/>
    <w:rsid w:val="004B13F6"/>
    <w:rsid w:val="004B14FA"/>
    <w:rsid w:val="004B166B"/>
    <w:rsid w:val="004B17E3"/>
    <w:rsid w:val="004B17ED"/>
    <w:rsid w:val="004B189F"/>
    <w:rsid w:val="004B1A0A"/>
    <w:rsid w:val="004B1A3C"/>
    <w:rsid w:val="004B1A9B"/>
    <w:rsid w:val="004B1AB6"/>
    <w:rsid w:val="004B1BDF"/>
    <w:rsid w:val="004B1D94"/>
    <w:rsid w:val="004B1E12"/>
    <w:rsid w:val="004B1F60"/>
    <w:rsid w:val="004B1FF4"/>
    <w:rsid w:val="004B225A"/>
    <w:rsid w:val="004B25BA"/>
    <w:rsid w:val="004B25F8"/>
    <w:rsid w:val="004B270E"/>
    <w:rsid w:val="004B27A2"/>
    <w:rsid w:val="004B27FF"/>
    <w:rsid w:val="004B2C53"/>
    <w:rsid w:val="004B2E7E"/>
    <w:rsid w:val="004B2F1D"/>
    <w:rsid w:val="004B2FFD"/>
    <w:rsid w:val="004B31EC"/>
    <w:rsid w:val="004B32A6"/>
    <w:rsid w:val="004B34DB"/>
    <w:rsid w:val="004B35AC"/>
    <w:rsid w:val="004B37EA"/>
    <w:rsid w:val="004B399D"/>
    <w:rsid w:val="004B3A2E"/>
    <w:rsid w:val="004B3ADE"/>
    <w:rsid w:val="004B3CCF"/>
    <w:rsid w:val="004B3DC1"/>
    <w:rsid w:val="004B3E6B"/>
    <w:rsid w:val="004B404E"/>
    <w:rsid w:val="004B4062"/>
    <w:rsid w:val="004B41BE"/>
    <w:rsid w:val="004B427D"/>
    <w:rsid w:val="004B4334"/>
    <w:rsid w:val="004B4610"/>
    <w:rsid w:val="004B4901"/>
    <w:rsid w:val="004B4AF3"/>
    <w:rsid w:val="004B4C1B"/>
    <w:rsid w:val="004B4C42"/>
    <w:rsid w:val="004B4EE3"/>
    <w:rsid w:val="004B4F9B"/>
    <w:rsid w:val="004B510E"/>
    <w:rsid w:val="004B5219"/>
    <w:rsid w:val="004B53B0"/>
    <w:rsid w:val="004B55C6"/>
    <w:rsid w:val="004B56A2"/>
    <w:rsid w:val="004B586E"/>
    <w:rsid w:val="004B5A47"/>
    <w:rsid w:val="004B5AC4"/>
    <w:rsid w:val="004B5BBC"/>
    <w:rsid w:val="004B5C6E"/>
    <w:rsid w:val="004B5D61"/>
    <w:rsid w:val="004B5E38"/>
    <w:rsid w:val="004B5EBD"/>
    <w:rsid w:val="004B5F29"/>
    <w:rsid w:val="004B60FE"/>
    <w:rsid w:val="004B610F"/>
    <w:rsid w:val="004B6255"/>
    <w:rsid w:val="004B63AC"/>
    <w:rsid w:val="004B64F5"/>
    <w:rsid w:val="004B650A"/>
    <w:rsid w:val="004B658C"/>
    <w:rsid w:val="004B6690"/>
    <w:rsid w:val="004B66FA"/>
    <w:rsid w:val="004B6771"/>
    <w:rsid w:val="004B67E3"/>
    <w:rsid w:val="004B67EB"/>
    <w:rsid w:val="004B67ED"/>
    <w:rsid w:val="004B699C"/>
    <w:rsid w:val="004B6B7E"/>
    <w:rsid w:val="004B6CC9"/>
    <w:rsid w:val="004B6D20"/>
    <w:rsid w:val="004B6D66"/>
    <w:rsid w:val="004B6D8D"/>
    <w:rsid w:val="004B7017"/>
    <w:rsid w:val="004B7121"/>
    <w:rsid w:val="004B7247"/>
    <w:rsid w:val="004B738C"/>
    <w:rsid w:val="004B7477"/>
    <w:rsid w:val="004B7490"/>
    <w:rsid w:val="004B7712"/>
    <w:rsid w:val="004B781B"/>
    <w:rsid w:val="004B788F"/>
    <w:rsid w:val="004B7918"/>
    <w:rsid w:val="004B7AD9"/>
    <w:rsid w:val="004B7BB3"/>
    <w:rsid w:val="004B7BE0"/>
    <w:rsid w:val="004B7BF7"/>
    <w:rsid w:val="004B7F03"/>
    <w:rsid w:val="004C01D4"/>
    <w:rsid w:val="004C023C"/>
    <w:rsid w:val="004C03C0"/>
    <w:rsid w:val="004C046C"/>
    <w:rsid w:val="004C0540"/>
    <w:rsid w:val="004C06AC"/>
    <w:rsid w:val="004C06CB"/>
    <w:rsid w:val="004C06D2"/>
    <w:rsid w:val="004C08A9"/>
    <w:rsid w:val="004C0F88"/>
    <w:rsid w:val="004C100C"/>
    <w:rsid w:val="004C11D5"/>
    <w:rsid w:val="004C1249"/>
    <w:rsid w:val="004C12B0"/>
    <w:rsid w:val="004C1415"/>
    <w:rsid w:val="004C1536"/>
    <w:rsid w:val="004C157A"/>
    <w:rsid w:val="004C1581"/>
    <w:rsid w:val="004C15A3"/>
    <w:rsid w:val="004C16ED"/>
    <w:rsid w:val="004C1912"/>
    <w:rsid w:val="004C1C9B"/>
    <w:rsid w:val="004C1EF7"/>
    <w:rsid w:val="004C1F82"/>
    <w:rsid w:val="004C20F8"/>
    <w:rsid w:val="004C2134"/>
    <w:rsid w:val="004C21F5"/>
    <w:rsid w:val="004C2225"/>
    <w:rsid w:val="004C2391"/>
    <w:rsid w:val="004C2486"/>
    <w:rsid w:val="004C2760"/>
    <w:rsid w:val="004C28D5"/>
    <w:rsid w:val="004C2956"/>
    <w:rsid w:val="004C2DB1"/>
    <w:rsid w:val="004C2E55"/>
    <w:rsid w:val="004C2F25"/>
    <w:rsid w:val="004C2F5A"/>
    <w:rsid w:val="004C2F92"/>
    <w:rsid w:val="004C300C"/>
    <w:rsid w:val="004C320C"/>
    <w:rsid w:val="004C35B2"/>
    <w:rsid w:val="004C36AD"/>
    <w:rsid w:val="004C3721"/>
    <w:rsid w:val="004C379D"/>
    <w:rsid w:val="004C37D5"/>
    <w:rsid w:val="004C3803"/>
    <w:rsid w:val="004C398B"/>
    <w:rsid w:val="004C3B39"/>
    <w:rsid w:val="004C3FB2"/>
    <w:rsid w:val="004C3FD3"/>
    <w:rsid w:val="004C4153"/>
    <w:rsid w:val="004C429B"/>
    <w:rsid w:val="004C42B2"/>
    <w:rsid w:val="004C446B"/>
    <w:rsid w:val="004C46F3"/>
    <w:rsid w:val="004C4765"/>
    <w:rsid w:val="004C4962"/>
    <w:rsid w:val="004C4C72"/>
    <w:rsid w:val="004C4F1E"/>
    <w:rsid w:val="004C5150"/>
    <w:rsid w:val="004C5189"/>
    <w:rsid w:val="004C51D3"/>
    <w:rsid w:val="004C54CE"/>
    <w:rsid w:val="004C58A7"/>
    <w:rsid w:val="004C5916"/>
    <w:rsid w:val="004C5AA1"/>
    <w:rsid w:val="004C5AFB"/>
    <w:rsid w:val="004C5D3B"/>
    <w:rsid w:val="004C5D5C"/>
    <w:rsid w:val="004C5D69"/>
    <w:rsid w:val="004C6051"/>
    <w:rsid w:val="004C61AB"/>
    <w:rsid w:val="004C61C9"/>
    <w:rsid w:val="004C6241"/>
    <w:rsid w:val="004C6325"/>
    <w:rsid w:val="004C637F"/>
    <w:rsid w:val="004C67F0"/>
    <w:rsid w:val="004C6C65"/>
    <w:rsid w:val="004C6CB0"/>
    <w:rsid w:val="004C6CC1"/>
    <w:rsid w:val="004C71BC"/>
    <w:rsid w:val="004C72D9"/>
    <w:rsid w:val="004C73F3"/>
    <w:rsid w:val="004C770A"/>
    <w:rsid w:val="004C7715"/>
    <w:rsid w:val="004C78A8"/>
    <w:rsid w:val="004C79A1"/>
    <w:rsid w:val="004C79B5"/>
    <w:rsid w:val="004C7A61"/>
    <w:rsid w:val="004C7A6A"/>
    <w:rsid w:val="004C7B5C"/>
    <w:rsid w:val="004C7C70"/>
    <w:rsid w:val="004C7DB8"/>
    <w:rsid w:val="004C7E56"/>
    <w:rsid w:val="004C90DF"/>
    <w:rsid w:val="004D0008"/>
    <w:rsid w:val="004D01C9"/>
    <w:rsid w:val="004D0968"/>
    <w:rsid w:val="004D0A6C"/>
    <w:rsid w:val="004D0B14"/>
    <w:rsid w:val="004D0C14"/>
    <w:rsid w:val="004D0DAE"/>
    <w:rsid w:val="004D0E5A"/>
    <w:rsid w:val="004D1039"/>
    <w:rsid w:val="004D13C9"/>
    <w:rsid w:val="004D1427"/>
    <w:rsid w:val="004D169A"/>
    <w:rsid w:val="004D18A9"/>
    <w:rsid w:val="004D1994"/>
    <w:rsid w:val="004D19A3"/>
    <w:rsid w:val="004D1ACE"/>
    <w:rsid w:val="004D1D31"/>
    <w:rsid w:val="004D1DD1"/>
    <w:rsid w:val="004D1EA6"/>
    <w:rsid w:val="004D1F32"/>
    <w:rsid w:val="004D20C7"/>
    <w:rsid w:val="004D2173"/>
    <w:rsid w:val="004D21D1"/>
    <w:rsid w:val="004D227E"/>
    <w:rsid w:val="004D238B"/>
    <w:rsid w:val="004D23EC"/>
    <w:rsid w:val="004D24D6"/>
    <w:rsid w:val="004D2569"/>
    <w:rsid w:val="004D256D"/>
    <w:rsid w:val="004D26F6"/>
    <w:rsid w:val="004D27D9"/>
    <w:rsid w:val="004D281F"/>
    <w:rsid w:val="004D2852"/>
    <w:rsid w:val="004D29D3"/>
    <w:rsid w:val="004D2AC0"/>
    <w:rsid w:val="004D2AE3"/>
    <w:rsid w:val="004D2B2D"/>
    <w:rsid w:val="004D2C03"/>
    <w:rsid w:val="004D2F0B"/>
    <w:rsid w:val="004D3083"/>
    <w:rsid w:val="004D30E5"/>
    <w:rsid w:val="004D32E9"/>
    <w:rsid w:val="004D3541"/>
    <w:rsid w:val="004D3772"/>
    <w:rsid w:val="004D385F"/>
    <w:rsid w:val="004D3A8A"/>
    <w:rsid w:val="004D3ABB"/>
    <w:rsid w:val="004D3B06"/>
    <w:rsid w:val="004D3B0A"/>
    <w:rsid w:val="004D3C71"/>
    <w:rsid w:val="004D3DCF"/>
    <w:rsid w:val="004D3F56"/>
    <w:rsid w:val="004D4169"/>
    <w:rsid w:val="004D41EB"/>
    <w:rsid w:val="004D43C6"/>
    <w:rsid w:val="004D43F4"/>
    <w:rsid w:val="004D446D"/>
    <w:rsid w:val="004D449C"/>
    <w:rsid w:val="004D4602"/>
    <w:rsid w:val="004D461E"/>
    <w:rsid w:val="004D4685"/>
    <w:rsid w:val="004D48AA"/>
    <w:rsid w:val="004D48BB"/>
    <w:rsid w:val="004D4937"/>
    <w:rsid w:val="004D4948"/>
    <w:rsid w:val="004D4976"/>
    <w:rsid w:val="004D49DC"/>
    <w:rsid w:val="004D4A10"/>
    <w:rsid w:val="004D4A77"/>
    <w:rsid w:val="004D4B5D"/>
    <w:rsid w:val="004D4C8E"/>
    <w:rsid w:val="004D4CAE"/>
    <w:rsid w:val="004D4CD2"/>
    <w:rsid w:val="004D4DCA"/>
    <w:rsid w:val="004D4EAF"/>
    <w:rsid w:val="004D505A"/>
    <w:rsid w:val="004D53ED"/>
    <w:rsid w:val="004D53FB"/>
    <w:rsid w:val="004D540B"/>
    <w:rsid w:val="004D56B6"/>
    <w:rsid w:val="004D59E3"/>
    <w:rsid w:val="004D5B5D"/>
    <w:rsid w:val="004D5B9D"/>
    <w:rsid w:val="004D5BBC"/>
    <w:rsid w:val="004D5C80"/>
    <w:rsid w:val="004D5E33"/>
    <w:rsid w:val="004D5E60"/>
    <w:rsid w:val="004D5EA0"/>
    <w:rsid w:val="004D5ECD"/>
    <w:rsid w:val="004D5FDC"/>
    <w:rsid w:val="004D600F"/>
    <w:rsid w:val="004D6012"/>
    <w:rsid w:val="004D608F"/>
    <w:rsid w:val="004D6201"/>
    <w:rsid w:val="004D63CE"/>
    <w:rsid w:val="004D6A8F"/>
    <w:rsid w:val="004D6B36"/>
    <w:rsid w:val="004D6C11"/>
    <w:rsid w:val="004D6CE1"/>
    <w:rsid w:val="004D6E5B"/>
    <w:rsid w:val="004D7115"/>
    <w:rsid w:val="004D7133"/>
    <w:rsid w:val="004D7138"/>
    <w:rsid w:val="004D71E9"/>
    <w:rsid w:val="004D721C"/>
    <w:rsid w:val="004D7380"/>
    <w:rsid w:val="004D754C"/>
    <w:rsid w:val="004D755B"/>
    <w:rsid w:val="004D763A"/>
    <w:rsid w:val="004D7A58"/>
    <w:rsid w:val="004D7C32"/>
    <w:rsid w:val="004D7C8C"/>
    <w:rsid w:val="004D7FA7"/>
    <w:rsid w:val="004E023F"/>
    <w:rsid w:val="004E035C"/>
    <w:rsid w:val="004E0472"/>
    <w:rsid w:val="004E0AE1"/>
    <w:rsid w:val="004E0AEE"/>
    <w:rsid w:val="004E0B01"/>
    <w:rsid w:val="004E0B26"/>
    <w:rsid w:val="004E0C40"/>
    <w:rsid w:val="004E1004"/>
    <w:rsid w:val="004E1097"/>
    <w:rsid w:val="004E11BE"/>
    <w:rsid w:val="004E123E"/>
    <w:rsid w:val="004E143C"/>
    <w:rsid w:val="004E1921"/>
    <w:rsid w:val="004E19C0"/>
    <w:rsid w:val="004E1D42"/>
    <w:rsid w:val="004E1DB8"/>
    <w:rsid w:val="004E224F"/>
    <w:rsid w:val="004E275F"/>
    <w:rsid w:val="004E286B"/>
    <w:rsid w:val="004E28AD"/>
    <w:rsid w:val="004E2C93"/>
    <w:rsid w:val="004E2CEA"/>
    <w:rsid w:val="004E2D84"/>
    <w:rsid w:val="004E2F06"/>
    <w:rsid w:val="004E3035"/>
    <w:rsid w:val="004E345F"/>
    <w:rsid w:val="004E361A"/>
    <w:rsid w:val="004E37AD"/>
    <w:rsid w:val="004E3829"/>
    <w:rsid w:val="004E38FC"/>
    <w:rsid w:val="004E3944"/>
    <w:rsid w:val="004E3A31"/>
    <w:rsid w:val="004E3A6F"/>
    <w:rsid w:val="004E3B8A"/>
    <w:rsid w:val="004E3E92"/>
    <w:rsid w:val="004E3F6A"/>
    <w:rsid w:val="004E3FAC"/>
    <w:rsid w:val="004E3FC8"/>
    <w:rsid w:val="004E420B"/>
    <w:rsid w:val="004E4267"/>
    <w:rsid w:val="004E4344"/>
    <w:rsid w:val="004E4476"/>
    <w:rsid w:val="004E4542"/>
    <w:rsid w:val="004E4630"/>
    <w:rsid w:val="004E46A7"/>
    <w:rsid w:val="004E491F"/>
    <w:rsid w:val="004E4C60"/>
    <w:rsid w:val="004E4CD0"/>
    <w:rsid w:val="004E4DBF"/>
    <w:rsid w:val="004E4FA8"/>
    <w:rsid w:val="004E5080"/>
    <w:rsid w:val="004E50B9"/>
    <w:rsid w:val="004E50FD"/>
    <w:rsid w:val="004E5143"/>
    <w:rsid w:val="004E5166"/>
    <w:rsid w:val="004E5167"/>
    <w:rsid w:val="004E52FE"/>
    <w:rsid w:val="004E5612"/>
    <w:rsid w:val="004E5801"/>
    <w:rsid w:val="004E5835"/>
    <w:rsid w:val="004E5935"/>
    <w:rsid w:val="004E5C38"/>
    <w:rsid w:val="004E5D0D"/>
    <w:rsid w:val="004E5F0C"/>
    <w:rsid w:val="004E6029"/>
    <w:rsid w:val="004E6041"/>
    <w:rsid w:val="004E6064"/>
    <w:rsid w:val="004E608B"/>
    <w:rsid w:val="004E60EF"/>
    <w:rsid w:val="004E60F5"/>
    <w:rsid w:val="004E6159"/>
    <w:rsid w:val="004E6347"/>
    <w:rsid w:val="004E638A"/>
    <w:rsid w:val="004E63E4"/>
    <w:rsid w:val="004E6492"/>
    <w:rsid w:val="004E673C"/>
    <w:rsid w:val="004E68B4"/>
    <w:rsid w:val="004E68CF"/>
    <w:rsid w:val="004E69DD"/>
    <w:rsid w:val="004E6B74"/>
    <w:rsid w:val="004E6D22"/>
    <w:rsid w:val="004E6D3D"/>
    <w:rsid w:val="004E6E6F"/>
    <w:rsid w:val="004E6EA2"/>
    <w:rsid w:val="004E6F08"/>
    <w:rsid w:val="004E6FF7"/>
    <w:rsid w:val="004E70D6"/>
    <w:rsid w:val="004E7157"/>
    <w:rsid w:val="004E74C8"/>
    <w:rsid w:val="004E75B6"/>
    <w:rsid w:val="004E7616"/>
    <w:rsid w:val="004E77D9"/>
    <w:rsid w:val="004E79C1"/>
    <w:rsid w:val="004E7AD5"/>
    <w:rsid w:val="004E7D1B"/>
    <w:rsid w:val="004E7DCC"/>
    <w:rsid w:val="004E7E88"/>
    <w:rsid w:val="004E7FA8"/>
    <w:rsid w:val="004F011E"/>
    <w:rsid w:val="004F0318"/>
    <w:rsid w:val="004F05CF"/>
    <w:rsid w:val="004F0626"/>
    <w:rsid w:val="004F06B8"/>
    <w:rsid w:val="004F0728"/>
    <w:rsid w:val="004F0AE3"/>
    <w:rsid w:val="004F0C74"/>
    <w:rsid w:val="004F0CD8"/>
    <w:rsid w:val="004F0E32"/>
    <w:rsid w:val="004F0F6D"/>
    <w:rsid w:val="004F10A0"/>
    <w:rsid w:val="004F10C1"/>
    <w:rsid w:val="004F1108"/>
    <w:rsid w:val="004F12FD"/>
    <w:rsid w:val="004F1575"/>
    <w:rsid w:val="004F1640"/>
    <w:rsid w:val="004F1734"/>
    <w:rsid w:val="004F17AE"/>
    <w:rsid w:val="004F195E"/>
    <w:rsid w:val="004F1A12"/>
    <w:rsid w:val="004F1A42"/>
    <w:rsid w:val="004F1AAF"/>
    <w:rsid w:val="004F1AB7"/>
    <w:rsid w:val="004F1B2E"/>
    <w:rsid w:val="004F1BB3"/>
    <w:rsid w:val="004F1D05"/>
    <w:rsid w:val="004F1E42"/>
    <w:rsid w:val="004F1EDC"/>
    <w:rsid w:val="004F1F66"/>
    <w:rsid w:val="004F2262"/>
    <w:rsid w:val="004F2286"/>
    <w:rsid w:val="004F2413"/>
    <w:rsid w:val="004F2445"/>
    <w:rsid w:val="004F25D9"/>
    <w:rsid w:val="004F2668"/>
    <w:rsid w:val="004F2712"/>
    <w:rsid w:val="004F272C"/>
    <w:rsid w:val="004F28F0"/>
    <w:rsid w:val="004F2B76"/>
    <w:rsid w:val="004F2C1D"/>
    <w:rsid w:val="004F2FB0"/>
    <w:rsid w:val="004F3035"/>
    <w:rsid w:val="004F306B"/>
    <w:rsid w:val="004F3299"/>
    <w:rsid w:val="004F3611"/>
    <w:rsid w:val="004F36E8"/>
    <w:rsid w:val="004F392D"/>
    <w:rsid w:val="004F3A0D"/>
    <w:rsid w:val="004F3A8B"/>
    <w:rsid w:val="004F3AA7"/>
    <w:rsid w:val="004F3B94"/>
    <w:rsid w:val="004F3D75"/>
    <w:rsid w:val="004F4180"/>
    <w:rsid w:val="004F41E2"/>
    <w:rsid w:val="004F42A3"/>
    <w:rsid w:val="004F43DB"/>
    <w:rsid w:val="004F43FE"/>
    <w:rsid w:val="004F446A"/>
    <w:rsid w:val="004F45E2"/>
    <w:rsid w:val="004F45F6"/>
    <w:rsid w:val="004F4754"/>
    <w:rsid w:val="004F48B6"/>
    <w:rsid w:val="004F48FD"/>
    <w:rsid w:val="004F4D61"/>
    <w:rsid w:val="004F4D7F"/>
    <w:rsid w:val="004F4D8C"/>
    <w:rsid w:val="004F4D91"/>
    <w:rsid w:val="004F4DCC"/>
    <w:rsid w:val="004F4FD0"/>
    <w:rsid w:val="004F5147"/>
    <w:rsid w:val="004F51B7"/>
    <w:rsid w:val="004F51EE"/>
    <w:rsid w:val="004F5465"/>
    <w:rsid w:val="004F56A0"/>
    <w:rsid w:val="004F58F7"/>
    <w:rsid w:val="004F5B5B"/>
    <w:rsid w:val="004F5BB3"/>
    <w:rsid w:val="004F5E39"/>
    <w:rsid w:val="004F60A5"/>
    <w:rsid w:val="004F615E"/>
    <w:rsid w:val="004F62EB"/>
    <w:rsid w:val="004F64C6"/>
    <w:rsid w:val="004F652C"/>
    <w:rsid w:val="004F6704"/>
    <w:rsid w:val="004F67C0"/>
    <w:rsid w:val="004F6AC5"/>
    <w:rsid w:val="004F6EDE"/>
    <w:rsid w:val="004F6F55"/>
    <w:rsid w:val="004F7019"/>
    <w:rsid w:val="004F702A"/>
    <w:rsid w:val="004F7139"/>
    <w:rsid w:val="004F72ED"/>
    <w:rsid w:val="004F7338"/>
    <w:rsid w:val="004F7360"/>
    <w:rsid w:val="004F7417"/>
    <w:rsid w:val="004F743B"/>
    <w:rsid w:val="004F752E"/>
    <w:rsid w:val="004F797E"/>
    <w:rsid w:val="004F7A45"/>
    <w:rsid w:val="004F7ABC"/>
    <w:rsid w:val="004F7CAE"/>
    <w:rsid w:val="004F7D3A"/>
    <w:rsid w:val="004F7E63"/>
    <w:rsid w:val="004F7E8C"/>
    <w:rsid w:val="004F7F5B"/>
    <w:rsid w:val="00500002"/>
    <w:rsid w:val="00500100"/>
    <w:rsid w:val="00500240"/>
    <w:rsid w:val="0050034D"/>
    <w:rsid w:val="00500391"/>
    <w:rsid w:val="0050080B"/>
    <w:rsid w:val="0050084A"/>
    <w:rsid w:val="0050089E"/>
    <w:rsid w:val="00500A04"/>
    <w:rsid w:val="00500AF7"/>
    <w:rsid w:val="00500CD8"/>
    <w:rsid w:val="00500DF8"/>
    <w:rsid w:val="00500E08"/>
    <w:rsid w:val="00500E92"/>
    <w:rsid w:val="00500FBE"/>
    <w:rsid w:val="00501049"/>
    <w:rsid w:val="005011E1"/>
    <w:rsid w:val="0050126E"/>
    <w:rsid w:val="0050130C"/>
    <w:rsid w:val="005013D4"/>
    <w:rsid w:val="0050160A"/>
    <w:rsid w:val="00501699"/>
    <w:rsid w:val="00501711"/>
    <w:rsid w:val="00501755"/>
    <w:rsid w:val="005017BC"/>
    <w:rsid w:val="00501AB6"/>
    <w:rsid w:val="00501AC2"/>
    <w:rsid w:val="00501CD6"/>
    <w:rsid w:val="00501EDF"/>
    <w:rsid w:val="00501FB7"/>
    <w:rsid w:val="005020B4"/>
    <w:rsid w:val="00502109"/>
    <w:rsid w:val="00502145"/>
    <w:rsid w:val="00502244"/>
    <w:rsid w:val="005022E4"/>
    <w:rsid w:val="00502335"/>
    <w:rsid w:val="005023F3"/>
    <w:rsid w:val="00502555"/>
    <w:rsid w:val="0050259A"/>
    <w:rsid w:val="005025CD"/>
    <w:rsid w:val="005026A9"/>
    <w:rsid w:val="005028AF"/>
    <w:rsid w:val="00502918"/>
    <w:rsid w:val="00502AF8"/>
    <w:rsid w:val="00502C0F"/>
    <w:rsid w:val="00502C8C"/>
    <w:rsid w:val="005032A1"/>
    <w:rsid w:val="005033A9"/>
    <w:rsid w:val="005033C7"/>
    <w:rsid w:val="00503679"/>
    <w:rsid w:val="005036E7"/>
    <w:rsid w:val="0050386F"/>
    <w:rsid w:val="005039A0"/>
    <w:rsid w:val="00503A64"/>
    <w:rsid w:val="00503AAC"/>
    <w:rsid w:val="00503F37"/>
    <w:rsid w:val="00504031"/>
    <w:rsid w:val="00504083"/>
    <w:rsid w:val="00504118"/>
    <w:rsid w:val="005041B3"/>
    <w:rsid w:val="0050444A"/>
    <w:rsid w:val="005044EA"/>
    <w:rsid w:val="00504565"/>
    <w:rsid w:val="00504868"/>
    <w:rsid w:val="005049A8"/>
    <w:rsid w:val="00504A15"/>
    <w:rsid w:val="00504B58"/>
    <w:rsid w:val="00504CF5"/>
    <w:rsid w:val="00504E04"/>
    <w:rsid w:val="00504F3A"/>
    <w:rsid w:val="00505083"/>
    <w:rsid w:val="005052E8"/>
    <w:rsid w:val="00505602"/>
    <w:rsid w:val="0050562B"/>
    <w:rsid w:val="0050567F"/>
    <w:rsid w:val="005059C6"/>
    <w:rsid w:val="00505CAA"/>
    <w:rsid w:val="00505CC8"/>
    <w:rsid w:val="00505DB0"/>
    <w:rsid w:val="00506191"/>
    <w:rsid w:val="005061B3"/>
    <w:rsid w:val="00506262"/>
    <w:rsid w:val="00506486"/>
    <w:rsid w:val="00506489"/>
    <w:rsid w:val="005064AB"/>
    <w:rsid w:val="0050694D"/>
    <w:rsid w:val="005069A0"/>
    <w:rsid w:val="00506A2C"/>
    <w:rsid w:val="00506AF9"/>
    <w:rsid w:val="00506D44"/>
    <w:rsid w:val="005070EA"/>
    <w:rsid w:val="0050725A"/>
    <w:rsid w:val="005074F7"/>
    <w:rsid w:val="00507511"/>
    <w:rsid w:val="00507514"/>
    <w:rsid w:val="0050751E"/>
    <w:rsid w:val="00507845"/>
    <w:rsid w:val="00507946"/>
    <w:rsid w:val="00507AC0"/>
    <w:rsid w:val="00507AF7"/>
    <w:rsid w:val="00507AFF"/>
    <w:rsid w:val="00507BA5"/>
    <w:rsid w:val="00507C8E"/>
    <w:rsid w:val="00510065"/>
    <w:rsid w:val="00510136"/>
    <w:rsid w:val="005102AD"/>
    <w:rsid w:val="00510313"/>
    <w:rsid w:val="005103DD"/>
    <w:rsid w:val="0051043E"/>
    <w:rsid w:val="00510657"/>
    <w:rsid w:val="005106FA"/>
    <w:rsid w:val="0051080D"/>
    <w:rsid w:val="0051080E"/>
    <w:rsid w:val="0051084F"/>
    <w:rsid w:val="00510920"/>
    <w:rsid w:val="00510934"/>
    <w:rsid w:val="00510D31"/>
    <w:rsid w:val="00510E21"/>
    <w:rsid w:val="00510E41"/>
    <w:rsid w:val="00510F3E"/>
    <w:rsid w:val="00511010"/>
    <w:rsid w:val="0051121B"/>
    <w:rsid w:val="0051124B"/>
    <w:rsid w:val="00511405"/>
    <w:rsid w:val="0051141D"/>
    <w:rsid w:val="005114EF"/>
    <w:rsid w:val="00511632"/>
    <w:rsid w:val="005116E6"/>
    <w:rsid w:val="005119A8"/>
    <w:rsid w:val="00511D27"/>
    <w:rsid w:val="00511E13"/>
    <w:rsid w:val="00512149"/>
    <w:rsid w:val="00512338"/>
    <w:rsid w:val="00512539"/>
    <w:rsid w:val="00512643"/>
    <w:rsid w:val="00512829"/>
    <w:rsid w:val="0051285A"/>
    <w:rsid w:val="005128B7"/>
    <w:rsid w:val="005128E7"/>
    <w:rsid w:val="005129B2"/>
    <w:rsid w:val="005129F0"/>
    <w:rsid w:val="00512BFA"/>
    <w:rsid w:val="00512CD2"/>
    <w:rsid w:val="00512DC7"/>
    <w:rsid w:val="00512FB1"/>
    <w:rsid w:val="00512FC7"/>
    <w:rsid w:val="00513008"/>
    <w:rsid w:val="005130B0"/>
    <w:rsid w:val="005130EC"/>
    <w:rsid w:val="005134D8"/>
    <w:rsid w:val="005134DE"/>
    <w:rsid w:val="00513543"/>
    <w:rsid w:val="005136EE"/>
    <w:rsid w:val="005138EE"/>
    <w:rsid w:val="00513D76"/>
    <w:rsid w:val="00514050"/>
    <w:rsid w:val="005140DC"/>
    <w:rsid w:val="00514277"/>
    <w:rsid w:val="00514387"/>
    <w:rsid w:val="005145DC"/>
    <w:rsid w:val="0051464D"/>
    <w:rsid w:val="0051465F"/>
    <w:rsid w:val="0051467C"/>
    <w:rsid w:val="00514721"/>
    <w:rsid w:val="005147A7"/>
    <w:rsid w:val="00514863"/>
    <w:rsid w:val="005148C4"/>
    <w:rsid w:val="00514AC2"/>
    <w:rsid w:val="00514C49"/>
    <w:rsid w:val="00514CE3"/>
    <w:rsid w:val="00514E15"/>
    <w:rsid w:val="00514FC6"/>
    <w:rsid w:val="0051508B"/>
    <w:rsid w:val="00515109"/>
    <w:rsid w:val="00515259"/>
    <w:rsid w:val="0051525A"/>
    <w:rsid w:val="00515275"/>
    <w:rsid w:val="005152B1"/>
    <w:rsid w:val="005152EE"/>
    <w:rsid w:val="00515572"/>
    <w:rsid w:val="005155AF"/>
    <w:rsid w:val="00515628"/>
    <w:rsid w:val="005157FF"/>
    <w:rsid w:val="005158FB"/>
    <w:rsid w:val="00515A44"/>
    <w:rsid w:val="00515A86"/>
    <w:rsid w:val="00515C39"/>
    <w:rsid w:val="00515CFB"/>
    <w:rsid w:val="00515DA0"/>
    <w:rsid w:val="00515F7B"/>
    <w:rsid w:val="00516026"/>
    <w:rsid w:val="00516183"/>
    <w:rsid w:val="005161F4"/>
    <w:rsid w:val="00516328"/>
    <w:rsid w:val="00516372"/>
    <w:rsid w:val="005163B5"/>
    <w:rsid w:val="0051648A"/>
    <w:rsid w:val="00516531"/>
    <w:rsid w:val="00516561"/>
    <w:rsid w:val="00516787"/>
    <w:rsid w:val="00516797"/>
    <w:rsid w:val="005167B7"/>
    <w:rsid w:val="00516868"/>
    <w:rsid w:val="00516878"/>
    <w:rsid w:val="005169CC"/>
    <w:rsid w:val="00516A0A"/>
    <w:rsid w:val="00517082"/>
    <w:rsid w:val="00517107"/>
    <w:rsid w:val="0051712E"/>
    <w:rsid w:val="005175B1"/>
    <w:rsid w:val="00517667"/>
    <w:rsid w:val="0051769F"/>
    <w:rsid w:val="005177E4"/>
    <w:rsid w:val="00517987"/>
    <w:rsid w:val="00517AED"/>
    <w:rsid w:val="00517AF3"/>
    <w:rsid w:val="00517B96"/>
    <w:rsid w:val="00517C8C"/>
    <w:rsid w:val="00517D1F"/>
    <w:rsid w:val="00517DBE"/>
    <w:rsid w:val="00517EB4"/>
    <w:rsid w:val="00517FCF"/>
    <w:rsid w:val="00520143"/>
    <w:rsid w:val="00520692"/>
    <w:rsid w:val="00520741"/>
    <w:rsid w:val="005207DA"/>
    <w:rsid w:val="00520870"/>
    <w:rsid w:val="005209CB"/>
    <w:rsid w:val="00520A14"/>
    <w:rsid w:val="00521039"/>
    <w:rsid w:val="005214D9"/>
    <w:rsid w:val="0052153E"/>
    <w:rsid w:val="005216AE"/>
    <w:rsid w:val="00521BAB"/>
    <w:rsid w:val="00521BF8"/>
    <w:rsid w:val="00521C1D"/>
    <w:rsid w:val="00522045"/>
    <w:rsid w:val="0052224F"/>
    <w:rsid w:val="005224A9"/>
    <w:rsid w:val="005224C3"/>
    <w:rsid w:val="00522524"/>
    <w:rsid w:val="005225AE"/>
    <w:rsid w:val="005226F5"/>
    <w:rsid w:val="00522888"/>
    <w:rsid w:val="00522ACC"/>
    <w:rsid w:val="00522D77"/>
    <w:rsid w:val="00522E74"/>
    <w:rsid w:val="00522EC4"/>
    <w:rsid w:val="00523077"/>
    <w:rsid w:val="0052309D"/>
    <w:rsid w:val="00523232"/>
    <w:rsid w:val="00523435"/>
    <w:rsid w:val="00523667"/>
    <w:rsid w:val="005237FD"/>
    <w:rsid w:val="005238B5"/>
    <w:rsid w:val="005239FA"/>
    <w:rsid w:val="00523A69"/>
    <w:rsid w:val="00523AF7"/>
    <w:rsid w:val="00523B03"/>
    <w:rsid w:val="00523C51"/>
    <w:rsid w:val="00523C8D"/>
    <w:rsid w:val="00523D31"/>
    <w:rsid w:val="00523D65"/>
    <w:rsid w:val="00523FA9"/>
    <w:rsid w:val="00524352"/>
    <w:rsid w:val="005243FC"/>
    <w:rsid w:val="005244A9"/>
    <w:rsid w:val="005245F7"/>
    <w:rsid w:val="00524725"/>
    <w:rsid w:val="0052483D"/>
    <w:rsid w:val="005249E8"/>
    <w:rsid w:val="00524A3C"/>
    <w:rsid w:val="00524A50"/>
    <w:rsid w:val="00524CD4"/>
    <w:rsid w:val="00524FDE"/>
    <w:rsid w:val="00524FF0"/>
    <w:rsid w:val="00525263"/>
    <w:rsid w:val="005253C3"/>
    <w:rsid w:val="00525426"/>
    <w:rsid w:val="005255F2"/>
    <w:rsid w:val="00525613"/>
    <w:rsid w:val="00525663"/>
    <w:rsid w:val="00525701"/>
    <w:rsid w:val="0052578D"/>
    <w:rsid w:val="00525A5D"/>
    <w:rsid w:val="00525CC0"/>
    <w:rsid w:val="00526321"/>
    <w:rsid w:val="0052647F"/>
    <w:rsid w:val="0052650A"/>
    <w:rsid w:val="0052653B"/>
    <w:rsid w:val="00526670"/>
    <w:rsid w:val="00526679"/>
    <w:rsid w:val="00526723"/>
    <w:rsid w:val="0052674D"/>
    <w:rsid w:val="00526758"/>
    <w:rsid w:val="00526806"/>
    <w:rsid w:val="005269E5"/>
    <w:rsid w:val="00526C4B"/>
    <w:rsid w:val="00526E06"/>
    <w:rsid w:val="00527007"/>
    <w:rsid w:val="005272BF"/>
    <w:rsid w:val="005273BB"/>
    <w:rsid w:val="0052743A"/>
    <w:rsid w:val="0052768C"/>
    <w:rsid w:val="0052793A"/>
    <w:rsid w:val="00527960"/>
    <w:rsid w:val="00527A8D"/>
    <w:rsid w:val="00527BAE"/>
    <w:rsid w:val="00527BDE"/>
    <w:rsid w:val="00527F78"/>
    <w:rsid w:val="00527F9A"/>
    <w:rsid w:val="005300F0"/>
    <w:rsid w:val="0053013D"/>
    <w:rsid w:val="0053024F"/>
    <w:rsid w:val="005302A0"/>
    <w:rsid w:val="0053031A"/>
    <w:rsid w:val="00530333"/>
    <w:rsid w:val="00530396"/>
    <w:rsid w:val="005303C8"/>
    <w:rsid w:val="00530726"/>
    <w:rsid w:val="00530793"/>
    <w:rsid w:val="005307D0"/>
    <w:rsid w:val="00530908"/>
    <w:rsid w:val="005309C3"/>
    <w:rsid w:val="00530A0C"/>
    <w:rsid w:val="00530B41"/>
    <w:rsid w:val="00530C59"/>
    <w:rsid w:val="00530CB3"/>
    <w:rsid w:val="00530EF0"/>
    <w:rsid w:val="0053129D"/>
    <w:rsid w:val="0053153B"/>
    <w:rsid w:val="005315B5"/>
    <w:rsid w:val="0053182E"/>
    <w:rsid w:val="00531859"/>
    <w:rsid w:val="005318EF"/>
    <w:rsid w:val="00531A36"/>
    <w:rsid w:val="00531A40"/>
    <w:rsid w:val="00531BF5"/>
    <w:rsid w:val="00531CB0"/>
    <w:rsid w:val="00531CD9"/>
    <w:rsid w:val="00531E71"/>
    <w:rsid w:val="00531F31"/>
    <w:rsid w:val="0053204E"/>
    <w:rsid w:val="00532085"/>
    <w:rsid w:val="005320B3"/>
    <w:rsid w:val="005324A0"/>
    <w:rsid w:val="005325E1"/>
    <w:rsid w:val="005326D7"/>
    <w:rsid w:val="005328CE"/>
    <w:rsid w:val="005329DB"/>
    <w:rsid w:val="00532B1D"/>
    <w:rsid w:val="00532B23"/>
    <w:rsid w:val="00532F69"/>
    <w:rsid w:val="00532FF0"/>
    <w:rsid w:val="00533166"/>
    <w:rsid w:val="005332A1"/>
    <w:rsid w:val="005332EE"/>
    <w:rsid w:val="0053334E"/>
    <w:rsid w:val="00533457"/>
    <w:rsid w:val="0053347A"/>
    <w:rsid w:val="00533590"/>
    <w:rsid w:val="00533591"/>
    <w:rsid w:val="00533627"/>
    <w:rsid w:val="00533941"/>
    <w:rsid w:val="0053395D"/>
    <w:rsid w:val="00533A65"/>
    <w:rsid w:val="00533A92"/>
    <w:rsid w:val="00533AFE"/>
    <w:rsid w:val="00533B3B"/>
    <w:rsid w:val="00533E93"/>
    <w:rsid w:val="00533F00"/>
    <w:rsid w:val="00533FEF"/>
    <w:rsid w:val="0053401A"/>
    <w:rsid w:val="005344D9"/>
    <w:rsid w:val="0053450D"/>
    <w:rsid w:val="00534C86"/>
    <w:rsid w:val="00534DA4"/>
    <w:rsid w:val="00534E0D"/>
    <w:rsid w:val="0053506E"/>
    <w:rsid w:val="00535106"/>
    <w:rsid w:val="005351D3"/>
    <w:rsid w:val="005351E2"/>
    <w:rsid w:val="00535347"/>
    <w:rsid w:val="00535460"/>
    <w:rsid w:val="00535615"/>
    <w:rsid w:val="005356B6"/>
    <w:rsid w:val="005357A5"/>
    <w:rsid w:val="00535F23"/>
    <w:rsid w:val="00535FFA"/>
    <w:rsid w:val="00536367"/>
    <w:rsid w:val="0053647A"/>
    <w:rsid w:val="005364A7"/>
    <w:rsid w:val="00536579"/>
    <w:rsid w:val="00536A16"/>
    <w:rsid w:val="00536AA3"/>
    <w:rsid w:val="00536C2A"/>
    <w:rsid w:val="00536C59"/>
    <w:rsid w:val="00536C7D"/>
    <w:rsid w:val="00536EA5"/>
    <w:rsid w:val="00536EC5"/>
    <w:rsid w:val="00537000"/>
    <w:rsid w:val="005374D9"/>
    <w:rsid w:val="00537730"/>
    <w:rsid w:val="00537768"/>
    <w:rsid w:val="005377D1"/>
    <w:rsid w:val="00537A66"/>
    <w:rsid w:val="00537B3E"/>
    <w:rsid w:val="00537BD9"/>
    <w:rsid w:val="00537C04"/>
    <w:rsid w:val="00537D9A"/>
    <w:rsid w:val="00537F5D"/>
    <w:rsid w:val="00540086"/>
    <w:rsid w:val="00540294"/>
    <w:rsid w:val="0054052E"/>
    <w:rsid w:val="005405D5"/>
    <w:rsid w:val="005406D9"/>
    <w:rsid w:val="0054072E"/>
    <w:rsid w:val="00540746"/>
    <w:rsid w:val="00540762"/>
    <w:rsid w:val="0054078D"/>
    <w:rsid w:val="005409CE"/>
    <w:rsid w:val="00540A0D"/>
    <w:rsid w:val="00540AC8"/>
    <w:rsid w:val="00540BDB"/>
    <w:rsid w:val="00540ECB"/>
    <w:rsid w:val="00541146"/>
    <w:rsid w:val="005411C3"/>
    <w:rsid w:val="00541214"/>
    <w:rsid w:val="0054149C"/>
    <w:rsid w:val="00541513"/>
    <w:rsid w:val="00541575"/>
    <w:rsid w:val="00541616"/>
    <w:rsid w:val="005416C7"/>
    <w:rsid w:val="0054173E"/>
    <w:rsid w:val="0054177A"/>
    <w:rsid w:val="005417AC"/>
    <w:rsid w:val="00541949"/>
    <w:rsid w:val="00541978"/>
    <w:rsid w:val="00541DC7"/>
    <w:rsid w:val="00541DEF"/>
    <w:rsid w:val="00541DF1"/>
    <w:rsid w:val="00542194"/>
    <w:rsid w:val="0054226D"/>
    <w:rsid w:val="005422E1"/>
    <w:rsid w:val="0054244F"/>
    <w:rsid w:val="005425A9"/>
    <w:rsid w:val="0054264B"/>
    <w:rsid w:val="005426A9"/>
    <w:rsid w:val="0054298B"/>
    <w:rsid w:val="00542A0E"/>
    <w:rsid w:val="00542B84"/>
    <w:rsid w:val="00542C0B"/>
    <w:rsid w:val="00542C11"/>
    <w:rsid w:val="00542CCC"/>
    <w:rsid w:val="00543067"/>
    <w:rsid w:val="0054327F"/>
    <w:rsid w:val="00543296"/>
    <w:rsid w:val="005433BC"/>
    <w:rsid w:val="005434B6"/>
    <w:rsid w:val="005434DA"/>
    <w:rsid w:val="00543771"/>
    <w:rsid w:val="00543831"/>
    <w:rsid w:val="00543B60"/>
    <w:rsid w:val="00543C37"/>
    <w:rsid w:val="00543CAC"/>
    <w:rsid w:val="00543EFF"/>
    <w:rsid w:val="00543F62"/>
    <w:rsid w:val="005440BF"/>
    <w:rsid w:val="0054429B"/>
    <w:rsid w:val="005442B0"/>
    <w:rsid w:val="00544673"/>
    <w:rsid w:val="0054479F"/>
    <w:rsid w:val="005449F6"/>
    <w:rsid w:val="00544C59"/>
    <w:rsid w:val="00544D9C"/>
    <w:rsid w:val="00544E5A"/>
    <w:rsid w:val="00544EE4"/>
    <w:rsid w:val="0054515C"/>
    <w:rsid w:val="0054520B"/>
    <w:rsid w:val="00545246"/>
    <w:rsid w:val="00545250"/>
    <w:rsid w:val="00545480"/>
    <w:rsid w:val="00545543"/>
    <w:rsid w:val="0054563C"/>
    <w:rsid w:val="00545661"/>
    <w:rsid w:val="00545857"/>
    <w:rsid w:val="00545936"/>
    <w:rsid w:val="00545AFE"/>
    <w:rsid w:val="00545D7E"/>
    <w:rsid w:val="00545E14"/>
    <w:rsid w:val="00545E75"/>
    <w:rsid w:val="00545FD1"/>
    <w:rsid w:val="0054600C"/>
    <w:rsid w:val="00546192"/>
    <w:rsid w:val="005462CB"/>
    <w:rsid w:val="005462F6"/>
    <w:rsid w:val="00546411"/>
    <w:rsid w:val="00546428"/>
    <w:rsid w:val="0054642E"/>
    <w:rsid w:val="005464E2"/>
    <w:rsid w:val="005465AF"/>
    <w:rsid w:val="005465DE"/>
    <w:rsid w:val="0054663F"/>
    <w:rsid w:val="0054683E"/>
    <w:rsid w:val="0054685A"/>
    <w:rsid w:val="00546B81"/>
    <w:rsid w:val="00546B89"/>
    <w:rsid w:val="00546CF1"/>
    <w:rsid w:val="00546CFF"/>
    <w:rsid w:val="00546E18"/>
    <w:rsid w:val="005470DE"/>
    <w:rsid w:val="0054714F"/>
    <w:rsid w:val="005471C5"/>
    <w:rsid w:val="0054726B"/>
    <w:rsid w:val="0054732F"/>
    <w:rsid w:val="005474C6"/>
    <w:rsid w:val="00547569"/>
    <w:rsid w:val="00547673"/>
    <w:rsid w:val="00547692"/>
    <w:rsid w:val="00547935"/>
    <w:rsid w:val="00547AC2"/>
    <w:rsid w:val="00547CAF"/>
    <w:rsid w:val="00547D9A"/>
    <w:rsid w:val="00547E11"/>
    <w:rsid w:val="005501A7"/>
    <w:rsid w:val="005501FF"/>
    <w:rsid w:val="00550264"/>
    <w:rsid w:val="005502AE"/>
    <w:rsid w:val="00550426"/>
    <w:rsid w:val="00550A75"/>
    <w:rsid w:val="00550B2A"/>
    <w:rsid w:val="00550BF7"/>
    <w:rsid w:val="00550BFB"/>
    <w:rsid w:val="00550C44"/>
    <w:rsid w:val="00550E5A"/>
    <w:rsid w:val="00550E6A"/>
    <w:rsid w:val="00550F04"/>
    <w:rsid w:val="00550F19"/>
    <w:rsid w:val="005511E2"/>
    <w:rsid w:val="005511F3"/>
    <w:rsid w:val="0055120E"/>
    <w:rsid w:val="0055127C"/>
    <w:rsid w:val="005512E5"/>
    <w:rsid w:val="00551300"/>
    <w:rsid w:val="005513F2"/>
    <w:rsid w:val="005514C3"/>
    <w:rsid w:val="00551812"/>
    <w:rsid w:val="0055188E"/>
    <w:rsid w:val="00551937"/>
    <w:rsid w:val="005519F7"/>
    <w:rsid w:val="00551B57"/>
    <w:rsid w:val="00551BF2"/>
    <w:rsid w:val="00551C98"/>
    <w:rsid w:val="00551CC7"/>
    <w:rsid w:val="00551D4D"/>
    <w:rsid w:val="00551D9E"/>
    <w:rsid w:val="00551EB8"/>
    <w:rsid w:val="00551EE8"/>
    <w:rsid w:val="005520EC"/>
    <w:rsid w:val="00552198"/>
    <w:rsid w:val="0055224E"/>
    <w:rsid w:val="00552556"/>
    <w:rsid w:val="005526A8"/>
    <w:rsid w:val="005526F1"/>
    <w:rsid w:val="005528C7"/>
    <w:rsid w:val="00552D6B"/>
    <w:rsid w:val="00552F19"/>
    <w:rsid w:val="00552F88"/>
    <w:rsid w:val="0055301B"/>
    <w:rsid w:val="00553092"/>
    <w:rsid w:val="00553116"/>
    <w:rsid w:val="005535AD"/>
    <w:rsid w:val="00553627"/>
    <w:rsid w:val="00553781"/>
    <w:rsid w:val="005538C5"/>
    <w:rsid w:val="005538F7"/>
    <w:rsid w:val="005539A2"/>
    <w:rsid w:val="005539F0"/>
    <w:rsid w:val="00553C41"/>
    <w:rsid w:val="00553CD2"/>
    <w:rsid w:val="00553FD0"/>
    <w:rsid w:val="00553FE1"/>
    <w:rsid w:val="00553FF1"/>
    <w:rsid w:val="00553FFE"/>
    <w:rsid w:val="005540F9"/>
    <w:rsid w:val="005543CE"/>
    <w:rsid w:val="00554427"/>
    <w:rsid w:val="0055472C"/>
    <w:rsid w:val="00554907"/>
    <w:rsid w:val="005549E2"/>
    <w:rsid w:val="00554F08"/>
    <w:rsid w:val="00554F76"/>
    <w:rsid w:val="005550CD"/>
    <w:rsid w:val="00555155"/>
    <w:rsid w:val="00555286"/>
    <w:rsid w:val="00555394"/>
    <w:rsid w:val="00555524"/>
    <w:rsid w:val="005555FA"/>
    <w:rsid w:val="00555639"/>
    <w:rsid w:val="005557EA"/>
    <w:rsid w:val="005559E6"/>
    <w:rsid w:val="00555B26"/>
    <w:rsid w:val="00555C29"/>
    <w:rsid w:val="00555D14"/>
    <w:rsid w:val="0055627E"/>
    <w:rsid w:val="00556299"/>
    <w:rsid w:val="00556374"/>
    <w:rsid w:val="005563E8"/>
    <w:rsid w:val="00556571"/>
    <w:rsid w:val="00556656"/>
    <w:rsid w:val="005566C8"/>
    <w:rsid w:val="0055670F"/>
    <w:rsid w:val="0055690E"/>
    <w:rsid w:val="00556991"/>
    <w:rsid w:val="00556A33"/>
    <w:rsid w:val="00556A7E"/>
    <w:rsid w:val="00556A92"/>
    <w:rsid w:val="00556D8A"/>
    <w:rsid w:val="00556DF2"/>
    <w:rsid w:val="00556E50"/>
    <w:rsid w:val="00556F13"/>
    <w:rsid w:val="0055710D"/>
    <w:rsid w:val="00557216"/>
    <w:rsid w:val="0055732B"/>
    <w:rsid w:val="00557439"/>
    <w:rsid w:val="005574FE"/>
    <w:rsid w:val="00557751"/>
    <w:rsid w:val="00557802"/>
    <w:rsid w:val="0055781A"/>
    <w:rsid w:val="005578B4"/>
    <w:rsid w:val="005578FA"/>
    <w:rsid w:val="00557910"/>
    <w:rsid w:val="00557A75"/>
    <w:rsid w:val="00557B2B"/>
    <w:rsid w:val="00557C26"/>
    <w:rsid w:val="00557E58"/>
    <w:rsid w:val="00557F58"/>
    <w:rsid w:val="00557F81"/>
    <w:rsid w:val="00557FEA"/>
    <w:rsid w:val="0056019A"/>
    <w:rsid w:val="005601AA"/>
    <w:rsid w:val="005604CF"/>
    <w:rsid w:val="0056060E"/>
    <w:rsid w:val="00560715"/>
    <w:rsid w:val="005608D6"/>
    <w:rsid w:val="005608E8"/>
    <w:rsid w:val="00560A51"/>
    <w:rsid w:val="00560B86"/>
    <w:rsid w:val="00560B89"/>
    <w:rsid w:val="00560BB2"/>
    <w:rsid w:val="00560BE6"/>
    <w:rsid w:val="00560C0A"/>
    <w:rsid w:val="00560DBC"/>
    <w:rsid w:val="00560DF5"/>
    <w:rsid w:val="00560EEA"/>
    <w:rsid w:val="00560EEE"/>
    <w:rsid w:val="00560F12"/>
    <w:rsid w:val="00560F34"/>
    <w:rsid w:val="00560F91"/>
    <w:rsid w:val="00560FF2"/>
    <w:rsid w:val="00561011"/>
    <w:rsid w:val="005610E9"/>
    <w:rsid w:val="005612C6"/>
    <w:rsid w:val="00561327"/>
    <w:rsid w:val="00561388"/>
    <w:rsid w:val="00561425"/>
    <w:rsid w:val="0056145B"/>
    <w:rsid w:val="0056152E"/>
    <w:rsid w:val="00561764"/>
    <w:rsid w:val="0056180A"/>
    <w:rsid w:val="0056182A"/>
    <w:rsid w:val="00561890"/>
    <w:rsid w:val="00561A3A"/>
    <w:rsid w:val="00561A68"/>
    <w:rsid w:val="00561DD0"/>
    <w:rsid w:val="00562124"/>
    <w:rsid w:val="00562234"/>
    <w:rsid w:val="00562317"/>
    <w:rsid w:val="005625A7"/>
    <w:rsid w:val="00562A55"/>
    <w:rsid w:val="00562B01"/>
    <w:rsid w:val="00562D0D"/>
    <w:rsid w:val="00562DA4"/>
    <w:rsid w:val="00562FE5"/>
    <w:rsid w:val="00563167"/>
    <w:rsid w:val="00563225"/>
    <w:rsid w:val="00563314"/>
    <w:rsid w:val="005633DC"/>
    <w:rsid w:val="00563425"/>
    <w:rsid w:val="0056345D"/>
    <w:rsid w:val="0056351A"/>
    <w:rsid w:val="005637F5"/>
    <w:rsid w:val="005639AF"/>
    <w:rsid w:val="00563AD2"/>
    <w:rsid w:val="00563CD5"/>
    <w:rsid w:val="00563D7A"/>
    <w:rsid w:val="00563D94"/>
    <w:rsid w:val="00563EEE"/>
    <w:rsid w:val="00563F0B"/>
    <w:rsid w:val="00563F69"/>
    <w:rsid w:val="005640CB"/>
    <w:rsid w:val="00564299"/>
    <w:rsid w:val="0056447F"/>
    <w:rsid w:val="00564860"/>
    <w:rsid w:val="00564A6E"/>
    <w:rsid w:val="00564C16"/>
    <w:rsid w:val="00564D16"/>
    <w:rsid w:val="00564F9E"/>
    <w:rsid w:val="0056528C"/>
    <w:rsid w:val="005656CF"/>
    <w:rsid w:val="00565775"/>
    <w:rsid w:val="00565858"/>
    <w:rsid w:val="005658A0"/>
    <w:rsid w:val="0056598E"/>
    <w:rsid w:val="00565B57"/>
    <w:rsid w:val="00565B63"/>
    <w:rsid w:val="00565C45"/>
    <w:rsid w:val="00565E59"/>
    <w:rsid w:val="00565ED3"/>
    <w:rsid w:val="00565F57"/>
    <w:rsid w:val="00565F84"/>
    <w:rsid w:val="00565FDB"/>
    <w:rsid w:val="005660FD"/>
    <w:rsid w:val="005662BC"/>
    <w:rsid w:val="00566302"/>
    <w:rsid w:val="005663CA"/>
    <w:rsid w:val="005665C6"/>
    <w:rsid w:val="00566636"/>
    <w:rsid w:val="00566674"/>
    <w:rsid w:val="0056688F"/>
    <w:rsid w:val="00566891"/>
    <w:rsid w:val="00566AB5"/>
    <w:rsid w:val="00566B92"/>
    <w:rsid w:val="00566C89"/>
    <w:rsid w:val="00567057"/>
    <w:rsid w:val="0056708B"/>
    <w:rsid w:val="005671B8"/>
    <w:rsid w:val="00567333"/>
    <w:rsid w:val="0056740D"/>
    <w:rsid w:val="00567433"/>
    <w:rsid w:val="00567465"/>
    <w:rsid w:val="005674E7"/>
    <w:rsid w:val="00567660"/>
    <w:rsid w:val="00567798"/>
    <w:rsid w:val="00567799"/>
    <w:rsid w:val="00567AC6"/>
    <w:rsid w:val="00567AC9"/>
    <w:rsid w:val="00567B30"/>
    <w:rsid w:val="00567B5F"/>
    <w:rsid w:val="00567B76"/>
    <w:rsid w:val="00567D82"/>
    <w:rsid w:val="00570184"/>
    <w:rsid w:val="005702BA"/>
    <w:rsid w:val="005703ED"/>
    <w:rsid w:val="0057058E"/>
    <w:rsid w:val="0057066E"/>
    <w:rsid w:val="0057098E"/>
    <w:rsid w:val="00570AD2"/>
    <w:rsid w:val="00570AD6"/>
    <w:rsid w:val="00570CD0"/>
    <w:rsid w:val="00570CDC"/>
    <w:rsid w:val="00570D4D"/>
    <w:rsid w:val="00570E80"/>
    <w:rsid w:val="00570EB6"/>
    <w:rsid w:val="00570F55"/>
    <w:rsid w:val="0057122D"/>
    <w:rsid w:val="00571482"/>
    <w:rsid w:val="005716D9"/>
    <w:rsid w:val="00571837"/>
    <w:rsid w:val="005718DC"/>
    <w:rsid w:val="00571A49"/>
    <w:rsid w:val="00571ADA"/>
    <w:rsid w:val="00571B30"/>
    <w:rsid w:val="00571BEE"/>
    <w:rsid w:val="00571C76"/>
    <w:rsid w:val="00571F6C"/>
    <w:rsid w:val="00571FAF"/>
    <w:rsid w:val="0057205A"/>
    <w:rsid w:val="00572402"/>
    <w:rsid w:val="005724DC"/>
    <w:rsid w:val="00572564"/>
    <w:rsid w:val="00572710"/>
    <w:rsid w:val="0057276D"/>
    <w:rsid w:val="00572A3D"/>
    <w:rsid w:val="00572A8B"/>
    <w:rsid w:val="00572AD3"/>
    <w:rsid w:val="00572BF7"/>
    <w:rsid w:val="00572C00"/>
    <w:rsid w:val="00572E20"/>
    <w:rsid w:val="00572E86"/>
    <w:rsid w:val="005730AF"/>
    <w:rsid w:val="005730E7"/>
    <w:rsid w:val="005731E2"/>
    <w:rsid w:val="0057326B"/>
    <w:rsid w:val="005733A3"/>
    <w:rsid w:val="0057361C"/>
    <w:rsid w:val="005736B4"/>
    <w:rsid w:val="0057385F"/>
    <w:rsid w:val="00573998"/>
    <w:rsid w:val="00573C24"/>
    <w:rsid w:val="00573CE1"/>
    <w:rsid w:val="00573E11"/>
    <w:rsid w:val="00573E72"/>
    <w:rsid w:val="00573EEC"/>
    <w:rsid w:val="005742EB"/>
    <w:rsid w:val="00574437"/>
    <w:rsid w:val="00574675"/>
    <w:rsid w:val="005746AF"/>
    <w:rsid w:val="00574787"/>
    <w:rsid w:val="005747A0"/>
    <w:rsid w:val="0057482A"/>
    <w:rsid w:val="0057485E"/>
    <w:rsid w:val="005749CA"/>
    <w:rsid w:val="00574BD9"/>
    <w:rsid w:val="00574BEC"/>
    <w:rsid w:val="00574CEF"/>
    <w:rsid w:val="00574DC1"/>
    <w:rsid w:val="00574DD3"/>
    <w:rsid w:val="00574EEE"/>
    <w:rsid w:val="00574F94"/>
    <w:rsid w:val="005750A8"/>
    <w:rsid w:val="00575144"/>
    <w:rsid w:val="00575159"/>
    <w:rsid w:val="005751EF"/>
    <w:rsid w:val="005752BE"/>
    <w:rsid w:val="005753A1"/>
    <w:rsid w:val="005753EA"/>
    <w:rsid w:val="0057566F"/>
    <w:rsid w:val="00575718"/>
    <w:rsid w:val="0057588E"/>
    <w:rsid w:val="00575B2D"/>
    <w:rsid w:val="00575D36"/>
    <w:rsid w:val="00575DBF"/>
    <w:rsid w:val="00575EF5"/>
    <w:rsid w:val="00575FEE"/>
    <w:rsid w:val="00576215"/>
    <w:rsid w:val="005762E9"/>
    <w:rsid w:val="005763AB"/>
    <w:rsid w:val="005766EC"/>
    <w:rsid w:val="005769AD"/>
    <w:rsid w:val="005769DD"/>
    <w:rsid w:val="005769FD"/>
    <w:rsid w:val="00576A35"/>
    <w:rsid w:val="00576B6D"/>
    <w:rsid w:val="00576C88"/>
    <w:rsid w:val="00576CE2"/>
    <w:rsid w:val="00576D0A"/>
    <w:rsid w:val="00576DA1"/>
    <w:rsid w:val="00576DCA"/>
    <w:rsid w:val="00576DD0"/>
    <w:rsid w:val="00576E87"/>
    <w:rsid w:val="00576FAC"/>
    <w:rsid w:val="00576FE2"/>
    <w:rsid w:val="00576FF9"/>
    <w:rsid w:val="005770D5"/>
    <w:rsid w:val="00577173"/>
    <w:rsid w:val="005771ED"/>
    <w:rsid w:val="0057728B"/>
    <w:rsid w:val="00577368"/>
    <w:rsid w:val="005773F6"/>
    <w:rsid w:val="00577567"/>
    <w:rsid w:val="005775EB"/>
    <w:rsid w:val="00577673"/>
    <w:rsid w:val="00577882"/>
    <w:rsid w:val="00577B6D"/>
    <w:rsid w:val="00577D0A"/>
    <w:rsid w:val="00577DB3"/>
    <w:rsid w:val="00577EF5"/>
    <w:rsid w:val="00577F95"/>
    <w:rsid w:val="005801A5"/>
    <w:rsid w:val="005801DE"/>
    <w:rsid w:val="005802C9"/>
    <w:rsid w:val="0058077F"/>
    <w:rsid w:val="00580825"/>
    <w:rsid w:val="005809F9"/>
    <w:rsid w:val="00580AE8"/>
    <w:rsid w:val="00580C84"/>
    <w:rsid w:val="00580DD9"/>
    <w:rsid w:val="00580E2E"/>
    <w:rsid w:val="00580FA3"/>
    <w:rsid w:val="00581234"/>
    <w:rsid w:val="0058125F"/>
    <w:rsid w:val="0058136A"/>
    <w:rsid w:val="005813DE"/>
    <w:rsid w:val="0058163D"/>
    <w:rsid w:val="0058180B"/>
    <w:rsid w:val="00581C97"/>
    <w:rsid w:val="00581D36"/>
    <w:rsid w:val="00581E49"/>
    <w:rsid w:val="00581E85"/>
    <w:rsid w:val="00581EAB"/>
    <w:rsid w:val="00582047"/>
    <w:rsid w:val="005820E8"/>
    <w:rsid w:val="00582107"/>
    <w:rsid w:val="0058211F"/>
    <w:rsid w:val="00582142"/>
    <w:rsid w:val="005822D1"/>
    <w:rsid w:val="005824A0"/>
    <w:rsid w:val="00582759"/>
    <w:rsid w:val="005827C8"/>
    <w:rsid w:val="005828B2"/>
    <w:rsid w:val="00582972"/>
    <w:rsid w:val="00582AF9"/>
    <w:rsid w:val="00582E5F"/>
    <w:rsid w:val="00582F8F"/>
    <w:rsid w:val="005832D9"/>
    <w:rsid w:val="0058344D"/>
    <w:rsid w:val="005835A7"/>
    <w:rsid w:val="0058365D"/>
    <w:rsid w:val="0058372F"/>
    <w:rsid w:val="0058386D"/>
    <w:rsid w:val="00583891"/>
    <w:rsid w:val="00583969"/>
    <w:rsid w:val="0058398E"/>
    <w:rsid w:val="00583DE3"/>
    <w:rsid w:val="00584067"/>
    <w:rsid w:val="005840FB"/>
    <w:rsid w:val="005841DD"/>
    <w:rsid w:val="005841FA"/>
    <w:rsid w:val="00584552"/>
    <w:rsid w:val="0058458B"/>
    <w:rsid w:val="005846B4"/>
    <w:rsid w:val="005848CC"/>
    <w:rsid w:val="00584EB0"/>
    <w:rsid w:val="00584F82"/>
    <w:rsid w:val="0058552F"/>
    <w:rsid w:val="0058555B"/>
    <w:rsid w:val="00585629"/>
    <w:rsid w:val="00585712"/>
    <w:rsid w:val="005857AE"/>
    <w:rsid w:val="005859C0"/>
    <w:rsid w:val="00585BB3"/>
    <w:rsid w:val="00585E16"/>
    <w:rsid w:val="00585EB4"/>
    <w:rsid w:val="00586114"/>
    <w:rsid w:val="00586239"/>
    <w:rsid w:val="005862E9"/>
    <w:rsid w:val="0058643D"/>
    <w:rsid w:val="005864BA"/>
    <w:rsid w:val="005864BE"/>
    <w:rsid w:val="00586555"/>
    <w:rsid w:val="00586873"/>
    <w:rsid w:val="00586879"/>
    <w:rsid w:val="00586A1C"/>
    <w:rsid w:val="00586A49"/>
    <w:rsid w:val="00586BBD"/>
    <w:rsid w:val="00586E2C"/>
    <w:rsid w:val="00586E35"/>
    <w:rsid w:val="00586F57"/>
    <w:rsid w:val="005870E9"/>
    <w:rsid w:val="005871A6"/>
    <w:rsid w:val="0058730E"/>
    <w:rsid w:val="00587312"/>
    <w:rsid w:val="005876C7"/>
    <w:rsid w:val="005876FC"/>
    <w:rsid w:val="00587713"/>
    <w:rsid w:val="0058776E"/>
    <w:rsid w:val="00587A80"/>
    <w:rsid w:val="00587BB0"/>
    <w:rsid w:val="00587BED"/>
    <w:rsid w:val="00587C07"/>
    <w:rsid w:val="00587E52"/>
    <w:rsid w:val="00587FDB"/>
    <w:rsid w:val="00590037"/>
    <w:rsid w:val="0059004A"/>
    <w:rsid w:val="00590091"/>
    <w:rsid w:val="005900B7"/>
    <w:rsid w:val="005900F4"/>
    <w:rsid w:val="00590149"/>
    <w:rsid w:val="00590271"/>
    <w:rsid w:val="005905E8"/>
    <w:rsid w:val="0059066A"/>
    <w:rsid w:val="005907CD"/>
    <w:rsid w:val="0059082A"/>
    <w:rsid w:val="00590848"/>
    <w:rsid w:val="00590928"/>
    <w:rsid w:val="00590995"/>
    <w:rsid w:val="005909C1"/>
    <w:rsid w:val="005909E1"/>
    <w:rsid w:val="00590A2B"/>
    <w:rsid w:val="00590B67"/>
    <w:rsid w:val="00590C54"/>
    <w:rsid w:val="00590CD8"/>
    <w:rsid w:val="00590DC3"/>
    <w:rsid w:val="00590DCE"/>
    <w:rsid w:val="005911F9"/>
    <w:rsid w:val="00591449"/>
    <w:rsid w:val="00591A90"/>
    <w:rsid w:val="00591B13"/>
    <w:rsid w:val="00591B32"/>
    <w:rsid w:val="00591B56"/>
    <w:rsid w:val="00591C76"/>
    <w:rsid w:val="00591D20"/>
    <w:rsid w:val="00591DDE"/>
    <w:rsid w:val="00591E7E"/>
    <w:rsid w:val="00591E86"/>
    <w:rsid w:val="00591ECA"/>
    <w:rsid w:val="00592124"/>
    <w:rsid w:val="0059236A"/>
    <w:rsid w:val="00592569"/>
    <w:rsid w:val="005926C7"/>
    <w:rsid w:val="00592787"/>
    <w:rsid w:val="00592862"/>
    <w:rsid w:val="0059295A"/>
    <w:rsid w:val="00592BA8"/>
    <w:rsid w:val="00592C42"/>
    <w:rsid w:val="00592CDC"/>
    <w:rsid w:val="00592D40"/>
    <w:rsid w:val="00592DDE"/>
    <w:rsid w:val="00592E63"/>
    <w:rsid w:val="00592E96"/>
    <w:rsid w:val="00592FBB"/>
    <w:rsid w:val="005931E0"/>
    <w:rsid w:val="005931F9"/>
    <w:rsid w:val="00593266"/>
    <w:rsid w:val="005933FB"/>
    <w:rsid w:val="0059341C"/>
    <w:rsid w:val="00593423"/>
    <w:rsid w:val="0059357B"/>
    <w:rsid w:val="0059372B"/>
    <w:rsid w:val="00593730"/>
    <w:rsid w:val="00593938"/>
    <w:rsid w:val="00593A2C"/>
    <w:rsid w:val="00593AA9"/>
    <w:rsid w:val="00593B84"/>
    <w:rsid w:val="00593E67"/>
    <w:rsid w:val="00593E8F"/>
    <w:rsid w:val="00593F42"/>
    <w:rsid w:val="00593F84"/>
    <w:rsid w:val="00594107"/>
    <w:rsid w:val="0059415C"/>
    <w:rsid w:val="00594174"/>
    <w:rsid w:val="005942E3"/>
    <w:rsid w:val="00594395"/>
    <w:rsid w:val="005946BD"/>
    <w:rsid w:val="00594843"/>
    <w:rsid w:val="005948A4"/>
    <w:rsid w:val="00594A7C"/>
    <w:rsid w:val="00594BB7"/>
    <w:rsid w:val="00594BC8"/>
    <w:rsid w:val="00594E89"/>
    <w:rsid w:val="00595127"/>
    <w:rsid w:val="0059514F"/>
    <w:rsid w:val="0059525B"/>
    <w:rsid w:val="005952FA"/>
    <w:rsid w:val="00595345"/>
    <w:rsid w:val="005953A6"/>
    <w:rsid w:val="00595433"/>
    <w:rsid w:val="005956E1"/>
    <w:rsid w:val="005957C4"/>
    <w:rsid w:val="005957C9"/>
    <w:rsid w:val="005957D6"/>
    <w:rsid w:val="005958D7"/>
    <w:rsid w:val="00595922"/>
    <w:rsid w:val="00595CC5"/>
    <w:rsid w:val="00595CDC"/>
    <w:rsid w:val="00595DE6"/>
    <w:rsid w:val="00596077"/>
    <w:rsid w:val="00596434"/>
    <w:rsid w:val="005965A2"/>
    <w:rsid w:val="005965E6"/>
    <w:rsid w:val="0059666C"/>
    <w:rsid w:val="005966D4"/>
    <w:rsid w:val="005968B7"/>
    <w:rsid w:val="005969EA"/>
    <w:rsid w:val="00596CD9"/>
    <w:rsid w:val="00596DB0"/>
    <w:rsid w:val="00596FE3"/>
    <w:rsid w:val="005972E0"/>
    <w:rsid w:val="005975BF"/>
    <w:rsid w:val="005975F3"/>
    <w:rsid w:val="0059760F"/>
    <w:rsid w:val="0059761B"/>
    <w:rsid w:val="0059771A"/>
    <w:rsid w:val="0059775B"/>
    <w:rsid w:val="005977F2"/>
    <w:rsid w:val="005978F8"/>
    <w:rsid w:val="00597A96"/>
    <w:rsid w:val="00597D84"/>
    <w:rsid w:val="00597DD9"/>
    <w:rsid w:val="00597EB2"/>
    <w:rsid w:val="00597FCA"/>
    <w:rsid w:val="005A02F4"/>
    <w:rsid w:val="005A0330"/>
    <w:rsid w:val="005A0379"/>
    <w:rsid w:val="005A0395"/>
    <w:rsid w:val="005A043E"/>
    <w:rsid w:val="005A04FF"/>
    <w:rsid w:val="005A0987"/>
    <w:rsid w:val="005A09CF"/>
    <w:rsid w:val="005A0B0F"/>
    <w:rsid w:val="005A0BAC"/>
    <w:rsid w:val="005A0D01"/>
    <w:rsid w:val="005A0F13"/>
    <w:rsid w:val="005A0F81"/>
    <w:rsid w:val="005A12F0"/>
    <w:rsid w:val="005A134C"/>
    <w:rsid w:val="005A17D4"/>
    <w:rsid w:val="005A1864"/>
    <w:rsid w:val="005A19B2"/>
    <w:rsid w:val="005A1A26"/>
    <w:rsid w:val="005A1CAA"/>
    <w:rsid w:val="005A1F4B"/>
    <w:rsid w:val="005A1F85"/>
    <w:rsid w:val="005A201B"/>
    <w:rsid w:val="005A2148"/>
    <w:rsid w:val="005A2165"/>
    <w:rsid w:val="005A22E2"/>
    <w:rsid w:val="005A2305"/>
    <w:rsid w:val="005A23D1"/>
    <w:rsid w:val="005A255C"/>
    <w:rsid w:val="005A2685"/>
    <w:rsid w:val="005A27FF"/>
    <w:rsid w:val="005A2803"/>
    <w:rsid w:val="005A282F"/>
    <w:rsid w:val="005A28B8"/>
    <w:rsid w:val="005A2A25"/>
    <w:rsid w:val="005A2A54"/>
    <w:rsid w:val="005A2FC5"/>
    <w:rsid w:val="005A3004"/>
    <w:rsid w:val="005A30F5"/>
    <w:rsid w:val="005A3156"/>
    <w:rsid w:val="005A3183"/>
    <w:rsid w:val="005A3269"/>
    <w:rsid w:val="005A328A"/>
    <w:rsid w:val="005A32BE"/>
    <w:rsid w:val="005A3387"/>
    <w:rsid w:val="005A3597"/>
    <w:rsid w:val="005A3658"/>
    <w:rsid w:val="005A3833"/>
    <w:rsid w:val="005A3837"/>
    <w:rsid w:val="005A39B4"/>
    <w:rsid w:val="005A3A34"/>
    <w:rsid w:val="005A3A39"/>
    <w:rsid w:val="005A3BB8"/>
    <w:rsid w:val="005A3DDB"/>
    <w:rsid w:val="005A3E57"/>
    <w:rsid w:val="005A3F09"/>
    <w:rsid w:val="005A3FBE"/>
    <w:rsid w:val="005A4020"/>
    <w:rsid w:val="005A41CA"/>
    <w:rsid w:val="005A4302"/>
    <w:rsid w:val="005A4626"/>
    <w:rsid w:val="005A4824"/>
    <w:rsid w:val="005A4913"/>
    <w:rsid w:val="005A4A08"/>
    <w:rsid w:val="005A4A20"/>
    <w:rsid w:val="005A4BE1"/>
    <w:rsid w:val="005A4E8E"/>
    <w:rsid w:val="005A4EBC"/>
    <w:rsid w:val="005A4F63"/>
    <w:rsid w:val="005A50C3"/>
    <w:rsid w:val="005A50D3"/>
    <w:rsid w:val="005A517B"/>
    <w:rsid w:val="005A5556"/>
    <w:rsid w:val="005A5705"/>
    <w:rsid w:val="005A5874"/>
    <w:rsid w:val="005A58D6"/>
    <w:rsid w:val="005A58EC"/>
    <w:rsid w:val="005A5920"/>
    <w:rsid w:val="005A594E"/>
    <w:rsid w:val="005A5BA5"/>
    <w:rsid w:val="005A5D1E"/>
    <w:rsid w:val="005A5DD0"/>
    <w:rsid w:val="005A5EC8"/>
    <w:rsid w:val="005A608C"/>
    <w:rsid w:val="005A60CE"/>
    <w:rsid w:val="005A6238"/>
    <w:rsid w:val="005A62B8"/>
    <w:rsid w:val="005A6337"/>
    <w:rsid w:val="005A63A2"/>
    <w:rsid w:val="005A64D0"/>
    <w:rsid w:val="005A6639"/>
    <w:rsid w:val="005A68C8"/>
    <w:rsid w:val="005A6934"/>
    <w:rsid w:val="005A6CD9"/>
    <w:rsid w:val="005A6CED"/>
    <w:rsid w:val="005A6FC3"/>
    <w:rsid w:val="005A70B2"/>
    <w:rsid w:val="005A70BE"/>
    <w:rsid w:val="005A70C5"/>
    <w:rsid w:val="005A70FF"/>
    <w:rsid w:val="005A7609"/>
    <w:rsid w:val="005A7679"/>
    <w:rsid w:val="005A76CF"/>
    <w:rsid w:val="005A7886"/>
    <w:rsid w:val="005A79D4"/>
    <w:rsid w:val="005A7A73"/>
    <w:rsid w:val="005A7B1B"/>
    <w:rsid w:val="005A7EA2"/>
    <w:rsid w:val="005A7F2D"/>
    <w:rsid w:val="005B018E"/>
    <w:rsid w:val="005B02E2"/>
    <w:rsid w:val="005B04BB"/>
    <w:rsid w:val="005B09FA"/>
    <w:rsid w:val="005B0A2A"/>
    <w:rsid w:val="005B1033"/>
    <w:rsid w:val="005B10BD"/>
    <w:rsid w:val="005B11EA"/>
    <w:rsid w:val="005B14B0"/>
    <w:rsid w:val="005B15BB"/>
    <w:rsid w:val="005B17F6"/>
    <w:rsid w:val="005B180C"/>
    <w:rsid w:val="005B186A"/>
    <w:rsid w:val="005B18ED"/>
    <w:rsid w:val="005B1938"/>
    <w:rsid w:val="005B1970"/>
    <w:rsid w:val="005B1C72"/>
    <w:rsid w:val="005B1D82"/>
    <w:rsid w:val="005B1E14"/>
    <w:rsid w:val="005B1E3E"/>
    <w:rsid w:val="005B1F7E"/>
    <w:rsid w:val="005B204D"/>
    <w:rsid w:val="005B2127"/>
    <w:rsid w:val="005B2198"/>
    <w:rsid w:val="005B25E3"/>
    <w:rsid w:val="005B2631"/>
    <w:rsid w:val="005B269E"/>
    <w:rsid w:val="005B272B"/>
    <w:rsid w:val="005B285B"/>
    <w:rsid w:val="005B2873"/>
    <w:rsid w:val="005B28A5"/>
    <w:rsid w:val="005B2A6B"/>
    <w:rsid w:val="005B2EEF"/>
    <w:rsid w:val="005B2F24"/>
    <w:rsid w:val="005B3225"/>
    <w:rsid w:val="005B3254"/>
    <w:rsid w:val="005B336F"/>
    <w:rsid w:val="005B340D"/>
    <w:rsid w:val="005B3603"/>
    <w:rsid w:val="005B376D"/>
    <w:rsid w:val="005B383E"/>
    <w:rsid w:val="005B38E9"/>
    <w:rsid w:val="005B3958"/>
    <w:rsid w:val="005B3A28"/>
    <w:rsid w:val="005B3A36"/>
    <w:rsid w:val="005B3A48"/>
    <w:rsid w:val="005B41A1"/>
    <w:rsid w:val="005B42CD"/>
    <w:rsid w:val="005B432F"/>
    <w:rsid w:val="005B44DD"/>
    <w:rsid w:val="005B4563"/>
    <w:rsid w:val="005B4668"/>
    <w:rsid w:val="005B466B"/>
    <w:rsid w:val="005B4717"/>
    <w:rsid w:val="005B474F"/>
    <w:rsid w:val="005B4798"/>
    <w:rsid w:val="005B488B"/>
    <w:rsid w:val="005B4892"/>
    <w:rsid w:val="005B4893"/>
    <w:rsid w:val="005B48B1"/>
    <w:rsid w:val="005B4E36"/>
    <w:rsid w:val="005B4EDF"/>
    <w:rsid w:val="005B4FBD"/>
    <w:rsid w:val="005B513A"/>
    <w:rsid w:val="005B522C"/>
    <w:rsid w:val="005B52CA"/>
    <w:rsid w:val="005B545E"/>
    <w:rsid w:val="005B56A8"/>
    <w:rsid w:val="005B5767"/>
    <w:rsid w:val="005B578E"/>
    <w:rsid w:val="005B5798"/>
    <w:rsid w:val="005B57D4"/>
    <w:rsid w:val="005B5918"/>
    <w:rsid w:val="005B5D52"/>
    <w:rsid w:val="005B5EBD"/>
    <w:rsid w:val="005B5FED"/>
    <w:rsid w:val="005B6037"/>
    <w:rsid w:val="005B618C"/>
    <w:rsid w:val="005B61BD"/>
    <w:rsid w:val="005B620B"/>
    <w:rsid w:val="005B63DB"/>
    <w:rsid w:val="005B64EF"/>
    <w:rsid w:val="005B6522"/>
    <w:rsid w:val="005B6646"/>
    <w:rsid w:val="005B67B0"/>
    <w:rsid w:val="005B68DE"/>
    <w:rsid w:val="005B6959"/>
    <w:rsid w:val="005B6A28"/>
    <w:rsid w:val="005B6B05"/>
    <w:rsid w:val="005B6B49"/>
    <w:rsid w:val="005B6C86"/>
    <w:rsid w:val="005B6D6B"/>
    <w:rsid w:val="005B6DD1"/>
    <w:rsid w:val="005B6F86"/>
    <w:rsid w:val="005B703D"/>
    <w:rsid w:val="005B728C"/>
    <w:rsid w:val="005B73F5"/>
    <w:rsid w:val="005B7505"/>
    <w:rsid w:val="005B7564"/>
    <w:rsid w:val="005B77D9"/>
    <w:rsid w:val="005B7A7B"/>
    <w:rsid w:val="005B7B1F"/>
    <w:rsid w:val="005B7CDF"/>
    <w:rsid w:val="005B7D96"/>
    <w:rsid w:val="005C010C"/>
    <w:rsid w:val="005C0147"/>
    <w:rsid w:val="005C0287"/>
    <w:rsid w:val="005C05E9"/>
    <w:rsid w:val="005C078B"/>
    <w:rsid w:val="005C08B5"/>
    <w:rsid w:val="005C08BA"/>
    <w:rsid w:val="005C0A75"/>
    <w:rsid w:val="005C0BFD"/>
    <w:rsid w:val="005C0CCC"/>
    <w:rsid w:val="005C0EE8"/>
    <w:rsid w:val="005C1255"/>
    <w:rsid w:val="005C1328"/>
    <w:rsid w:val="005C1523"/>
    <w:rsid w:val="005C1584"/>
    <w:rsid w:val="005C160D"/>
    <w:rsid w:val="005C1680"/>
    <w:rsid w:val="005C17E3"/>
    <w:rsid w:val="005C1B3A"/>
    <w:rsid w:val="005C1B5C"/>
    <w:rsid w:val="005C1D5B"/>
    <w:rsid w:val="005C1F7B"/>
    <w:rsid w:val="005C201A"/>
    <w:rsid w:val="005C20D7"/>
    <w:rsid w:val="005C22A1"/>
    <w:rsid w:val="005C24D4"/>
    <w:rsid w:val="005C2523"/>
    <w:rsid w:val="005C26FB"/>
    <w:rsid w:val="005C27E8"/>
    <w:rsid w:val="005C2E32"/>
    <w:rsid w:val="005C2F5F"/>
    <w:rsid w:val="005C2F75"/>
    <w:rsid w:val="005C2FF9"/>
    <w:rsid w:val="005C3017"/>
    <w:rsid w:val="005C305E"/>
    <w:rsid w:val="005C3064"/>
    <w:rsid w:val="005C32FA"/>
    <w:rsid w:val="005C3660"/>
    <w:rsid w:val="005C39EE"/>
    <w:rsid w:val="005C3AD1"/>
    <w:rsid w:val="005C3B81"/>
    <w:rsid w:val="005C3BF0"/>
    <w:rsid w:val="005C3E4C"/>
    <w:rsid w:val="005C42A0"/>
    <w:rsid w:val="005C4387"/>
    <w:rsid w:val="005C45AA"/>
    <w:rsid w:val="005C478A"/>
    <w:rsid w:val="005C49C5"/>
    <w:rsid w:val="005C4AA9"/>
    <w:rsid w:val="005C4BA7"/>
    <w:rsid w:val="005C4C75"/>
    <w:rsid w:val="005C4DC8"/>
    <w:rsid w:val="005C508A"/>
    <w:rsid w:val="005C51B2"/>
    <w:rsid w:val="005C5392"/>
    <w:rsid w:val="005C548F"/>
    <w:rsid w:val="005C5495"/>
    <w:rsid w:val="005C54A1"/>
    <w:rsid w:val="005C54DD"/>
    <w:rsid w:val="005C55E7"/>
    <w:rsid w:val="005C57B6"/>
    <w:rsid w:val="005C581B"/>
    <w:rsid w:val="005C5A13"/>
    <w:rsid w:val="005C5AB6"/>
    <w:rsid w:val="005C5AE5"/>
    <w:rsid w:val="005C5D7E"/>
    <w:rsid w:val="005C618C"/>
    <w:rsid w:val="005C6235"/>
    <w:rsid w:val="005C624D"/>
    <w:rsid w:val="005C62A7"/>
    <w:rsid w:val="005C6358"/>
    <w:rsid w:val="005C63FD"/>
    <w:rsid w:val="005C642B"/>
    <w:rsid w:val="005C6551"/>
    <w:rsid w:val="005C656C"/>
    <w:rsid w:val="005C68E3"/>
    <w:rsid w:val="005C68E8"/>
    <w:rsid w:val="005C693C"/>
    <w:rsid w:val="005C6958"/>
    <w:rsid w:val="005C6AC3"/>
    <w:rsid w:val="005C6BAC"/>
    <w:rsid w:val="005C6C5E"/>
    <w:rsid w:val="005C6D54"/>
    <w:rsid w:val="005C6E38"/>
    <w:rsid w:val="005C7067"/>
    <w:rsid w:val="005C7220"/>
    <w:rsid w:val="005C739A"/>
    <w:rsid w:val="005C75D3"/>
    <w:rsid w:val="005C762E"/>
    <w:rsid w:val="005C772A"/>
    <w:rsid w:val="005C7750"/>
    <w:rsid w:val="005C7D03"/>
    <w:rsid w:val="005C7D7C"/>
    <w:rsid w:val="005C7DD7"/>
    <w:rsid w:val="005C7E08"/>
    <w:rsid w:val="005C7E3C"/>
    <w:rsid w:val="005C7F71"/>
    <w:rsid w:val="005D0067"/>
    <w:rsid w:val="005D00C6"/>
    <w:rsid w:val="005D0164"/>
    <w:rsid w:val="005D0288"/>
    <w:rsid w:val="005D02FB"/>
    <w:rsid w:val="005D0527"/>
    <w:rsid w:val="005D05E5"/>
    <w:rsid w:val="005D060B"/>
    <w:rsid w:val="005D06AD"/>
    <w:rsid w:val="005D06C2"/>
    <w:rsid w:val="005D076F"/>
    <w:rsid w:val="005D0819"/>
    <w:rsid w:val="005D0C5C"/>
    <w:rsid w:val="005D0D4F"/>
    <w:rsid w:val="005D0E8C"/>
    <w:rsid w:val="005D12E8"/>
    <w:rsid w:val="005D12F9"/>
    <w:rsid w:val="005D1855"/>
    <w:rsid w:val="005D192F"/>
    <w:rsid w:val="005D1985"/>
    <w:rsid w:val="005D1B53"/>
    <w:rsid w:val="005D1C91"/>
    <w:rsid w:val="005D231C"/>
    <w:rsid w:val="005D23BE"/>
    <w:rsid w:val="005D25E3"/>
    <w:rsid w:val="005D27D6"/>
    <w:rsid w:val="005D290D"/>
    <w:rsid w:val="005D2B39"/>
    <w:rsid w:val="005D2B7B"/>
    <w:rsid w:val="005D2B9F"/>
    <w:rsid w:val="005D2CE0"/>
    <w:rsid w:val="005D2F02"/>
    <w:rsid w:val="005D30F8"/>
    <w:rsid w:val="005D325E"/>
    <w:rsid w:val="005D3277"/>
    <w:rsid w:val="005D33D3"/>
    <w:rsid w:val="005D341A"/>
    <w:rsid w:val="005D34BF"/>
    <w:rsid w:val="005D3557"/>
    <w:rsid w:val="005D362F"/>
    <w:rsid w:val="005D373D"/>
    <w:rsid w:val="005D3796"/>
    <w:rsid w:val="005D3841"/>
    <w:rsid w:val="005D38D0"/>
    <w:rsid w:val="005D390C"/>
    <w:rsid w:val="005D3948"/>
    <w:rsid w:val="005D39AD"/>
    <w:rsid w:val="005D3C83"/>
    <w:rsid w:val="005D4061"/>
    <w:rsid w:val="005D4374"/>
    <w:rsid w:val="005D43FF"/>
    <w:rsid w:val="005D465F"/>
    <w:rsid w:val="005D46AB"/>
    <w:rsid w:val="005D471D"/>
    <w:rsid w:val="005D4797"/>
    <w:rsid w:val="005D4800"/>
    <w:rsid w:val="005D4814"/>
    <w:rsid w:val="005D484E"/>
    <w:rsid w:val="005D4991"/>
    <w:rsid w:val="005D4A7D"/>
    <w:rsid w:val="005D4ACE"/>
    <w:rsid w:val="005D4BB1"/>
    <w:rsid w:val="005D4BEC"/>
    <w:rsid w:val="005D4BF2"/>
    <w:rsid w:val="005D4C34"/>
    <w:rsid w:val="005D4E73"/>
    <w:rsid w:val="005D4F99"/>
    <w:rsid w:val="005D500F"/>
    <w:rsid w:val="005D517E"/>
    <w:rsid w:val="005D5209"/>
    <w:rsid w:val="005D527B"/>
    <w:rsid w:val="005D537A"/>
    <w:rsid w:val="005D53BD"/>
    <w:rsid w:val="005D5413"/>
    <w:rsid w:val="005D5416"/>
    <w:rsid w:val="005D542B"/>
    <w:rsid w:val="005D585A"/>
    <w:rsid w:val="005D5AF2"/>
    <w:rsid w:val="005D5D08"/>
    <w:rsid w:val="005D5E66"/>
    <w:rsid w:val="005D5F44"/>
    <w:rsid w:val="005D5F91"/>
    <w:rsid w:val="005D63EA"/>
    <w:rsid w:val="005D65C6"/>
    <w:rsid w:val="005D65CF"/>
    <w:rsid w:val="005D66C5"/>
    <w:rsid w:val="005D6817"/>
    <w:rsid w:val="005D6820"/>
    <w:rsid w:val="005D69AE"/>
    <w:rsid w:val="005D6A9E"/>
    <w:rsid w:val="005D6D59"/>
    <w:rsid w:val="005D702D"/>
    <w:rsid w:val="005D72D1"/>
    <w:rsid w:val="005D72F9"/>
    <w:rsid w:val="005D7470"/>
    <w:rsid w:val="005D7525"/>
    <w:rsid w:val="005D76E0"/>
    <w:rsid w:val="005D77CB"/>
    <w:rsid w:val="005D781A"/>
    <w:rsid w:val="005D78DD"/>
    <w:rsid w:val="005D7A46"/>
    <w:rsid w:val="005D7AAD"/>
    <w:rsid w:val="005D7AB6"/>
    <w:rsid w:val="005D7AEF"/>
    <w:rsid w:val="005D7DD7"/>
    <w:rsid w:val="005E0387"/>
    <w:rsid w:val="005E056A"/>
    <w:rsid w:val="005E0709"/>
    <w:rsid w:val="005E0A19"/>
    <w:rsid w:val="005E0C32"/>
    <w:rsid w:val="005E0E0C"/>
    <w:rsid w:val="005E0E17"/>
    <w:rsid w:val="005E0F40"/>
    <w:rsid w:val="005E1074"/>
    <w:rsid w:val="005E1093"/>
    <w:rsid w:val="005E1463"/>
    <w:rsid w:val="005E1596"/>
    <w:rsid w:val="005E15EE"/>
    <w:rsid w:val="005E165C"/>
    <w:rsid w:val="005E1B89"/>
    <w:rsid w:val="005E1C76"/>
    <w:rsid w:val="005E2271"/>
    <w:rsid w:val="005E2304"/>
    <w:rsid w:val="005E235C"/>
    <w:rsid w:val="005E2392"/>
    <w:rsid w:val="005E23BF"/>
    <w:rsid w:val="005E23FF"/>
    <w:rsid w:val="005E25CA"/>
    <w:rsid w:val="005E288B"/>
    <w:rsid w:val="005E2947"/>
    <w:rsid w:val="005E29CA"/>
    <w:rsid w:val="005E2A58"/>
    <w:rsid w:val="005E2BFD"/>
    <w:rsid w:val="005E2C50"/>
    <w:rsid w:val="005E2E53"/>
    <w:rsid w:val="005E2F2E"/>
    <w:rsid w:val="005E305E"/>
    <w:rsid w:val="005E3166"/>
    <w:rsid w:val="005E3201"/>
    <w:rsid w:val="005E3204"/>
    <w:rsid w:val="005E3340"/>
    <w:rsid w:val="005E3354"/>
    <w:rsid w:val="005E3604"/>
    <w:rsid w:val="005E3660"/>
    <w:rsid w:val="005E37DB"/>
    <w:rsid w:val="005E3B78"/>
    <w:rsid w:val="005E3BA0"/>
    <w:rsid w:val="005E3CF2"/>
    <w:rsid w:val="005E3D43"/>
    <w:rsid w:val="005E3D9B"/>
    <w:rsid w:val="005E3FDC"/>
    <w:rsid w:val="005E401A"/>
    <w:rsid w:val="005E4119"/>
    <w:rsid w:val="005E41B1"/>
    <w:rsid w:val="005E432A"/>
    <w:rsid w:val="005E46F1"/>
    <w:rsid w:val="005E48AB"/>
    <w:rsid w:val="005E48BD"/>
    <w:rsid w:val="005E4C37"/>
    <w:rsid w:val="005E4D67"/>
    <w:rsid w:val="005E50C9"/>
    <w:rsid w:val="005E51AE"/>
    <w:rsid w:val="005E542A"/>
    <w:rsid w:val="005E542F"/>
    <w:rsid w:val="005E564D"/>
    <w:rsid w:val="005E56AD"/>
    <w:rsid w:val="005E5831"/>
    <w:rsid w:val="005E58B4"/>
    <w:rsid w:val="005E5BBB"/>
    <w:rsid w:val="005E5CBB"/>
    <w:rsid w:val="005E5CC0"/>
    <w:rsid w:val="005E5DC2"/>
    <w:rsid w:val="005E5EE5"/>
    <w:rsid w:val="005E6099"/>
    <w:rsid w:val="005E60A5"/>
    <w:rsid w:val="005E627E"/>
    <w:rsid w:val="005E637C"/>
    <w:rsid w:val="005E642E"/>
    <w:rsid w:val="005E64C3"/>
    <w:rsid w:val="005E653E"/>
    <w:rsid w:val="005E66A5"/>
    <w:rsid w:val="005E682D"/>
    <w:rsid w:val="005E6880"/>
    <w:rsid w:val="005E6B15"/>
    <w:rsid w:val="005E6D1A"/>
    <w:rsid w:val="005E6D92"/>
    <w:rsid w:val="005E6E03"/>
    <w:rsid w:val="005E6F39"/>
    <w:rsid w:val="005E7202"/>
    <w:rsid w:val="005E722C"/>
    <w:rsid w:val="005E7270"/>
    <w:rsid w:val="005E72B7"/>
    <w:rsid w:val="005E7321"/>
    <w:rsid w:val="005E74A1"/>
    <w:rsid w:val="005E772C"/>
    <w:rsid w:val="005E7A7C"/>
    <w:rsid w:val="005E7DBD"/>
    <w:rsid w:val="005E7E06"/>
    <w:rsid w:val="005F0174"/>
    <w:rsid w:val="005F03C8"/>
    <w:rsid w:val="005F0653"/>
    <w:rsid w:val="005F0729"/>
    <w:rsid w:val="005F0884"/>
    <w:rsid w:val="005F0AF8"/>
    <w:rsid w:val="005F0C7F"/>
    <w:rsid w:val="005F0F1A"/>
    <w:rsid w:val="005F0FF0"/>
    <w:rsid w:val="005F11C5"/>
    <w:rsid w:val="005F12D4"/>
    <w:rsid w:val="005F139E"/>
    <w:rsid w:val="005F14A3"/>
    <w:rsid w:val="005F14D5"/>
    <w:rsid w:val="005F160F"/>
    <w:rsid w:val="005F17C8"/>
    <w:rsid w:val="005F18E6"/>
    <w:rsid w:val="005F1992"/>
    <w:rsid w:val="005F1A98"/>
    <w:rsid w:val="005F1B6A"/>
    <w:rsid w:val="005F1DC4"/>
    <w:rsid w:val="005F1DD9"/>
    <w:rsid w:val="005F1DFF"/>
    <w:rsid w:val="005F1E90"/>
    <w:rsid w:val="005F1FAF"/>
    <w:rsid w:val="005F207C"/>
    <w:rsid w:val="005F23D1"/>
    <w:rsid w:val="005F251C"/>
    <w:rsid w:val="005F28D7"/>
    <w:rsid w:val="005F2A2C"/>
    <w:rsid w:val="005F2CF6"/>
    <w:rsid w:val="005F3520"/>
    <w:rsid w:val="005F35A1"/>
    <w:rsid w:val="005F36F0"/>
    <w:rsid w:val="005F3771"/>
    <w:rsid w:val="005F37AD"/>
    <w:rsid w:val="005F38E7"/>
    <w:rsid w:val="005F3C1D"/>
    <w:rsid w:val="005F3D25"/>
    <w:rsid w:val="005F3EB5"/>
    <w:rsid w:val="005F3ECB"/>
    <w:rsid w:val="005F403E"/>
    <w:rsid w:val="005F40EC"/>
    <w:rsid w:val="005F4216"/>
    <w:rsid w:val="005F42B1"/>
    <w:rsid w:val="005F435C"/>
    <w:rsid w:val="005F4383"/>
    <w:rsid w:val="005F450A"/>
    <w:rsid w:val="005F456A"/>
    <w:rsid w:val="005F45A5"/>
    <w:rsid w:val="005F4891"/>
    <w:rsid w:val="005F4985"/>
    <w:rsid w:val="005F49EA"/>
    <w:rsid w:val="005F4CA9"/>
    <w:rsid w:val="005F4DB0"/>
    <w:rsid w:val="005F4E11"/>
    <w:rsid w:val="005F4E6C"/>
    <w:rsid w:val="005F53AA"/>
    <w:rsid w:val="005F5517"/>
    <w:rsid w:val="005F551A"/>
    <w:rsid w:val="005F5598"/>
    <w:rsid w:val="005F5790"/>
    <w:rsid w:val="005F5899"/>
    <w:rsid w:val="005F5905"/>
    <w:rsid w:val="005F59E0"/>
    <w:rsid w:val="005F5A06"/>
    <w:rsid w:val="005F5CBB"/>
    <w:rsid w:val="005F5CE9"/>
    <w:rsid w:val="005F5E37"/>
    <w:rsid w:val="005F5EFF"/>
    <w:rsid w:val="005F5FD9"/>
    <w:rsid w:val="005F62B3"/>
    <w:rsid w:val="005F636D"/>
    <w:rsid w:val="005F637D"/>
    <w:rsid w:val="005F63BC"/>
    <w:rsid w:val="005F63E8"/>
    <w:rsid w:val="005F6536"/>
    <w:rsid w:val="005F657E"/>
    <w:rsid w:val="005F6738"/>
    <w:rsid w:val="005F67B0"/>
    <w:rsid w:val="005F67B8"/>
    <w:rsid w:val="005F6858"/>
    <w:rsid w:val="005F69C1"/>
    <w:rsid w:val="005F6A82"/>
    <w:rsid w:val="005F6FE0"/>
    <w:rsid w:val="005F7133"/>
    <w:rsid w:val="005F735E"/>
    <w:rsid w:val="005F7385"/>
    <w:rsid w:val="005F7544"/>
    <w:rsid w:val="005F7A93"/>
    <w:rsid w:val="005F7AAC"/>
    <w:rsid w:val="005F7DA4"/>
    <w:rsid w:val="005F7ED5"/>
    <w:rsid w:val="005F7FA0"/>
    <w:rsid w:val="005F7FB4"/>
    <w:rsid w:val="0060001A"/>
    <w:rsid w:val="00600046"/>
    <w:rsid w:val="006000D6"/>
    <w:rsid w:val="00600107"/>
    <w:rsid w:val="006001A0"/>
    <w:rsid w:val="00600262"/>
    <w:rsid w:val="0060027D"/>
    <w:rsid w:val="00600334"/>
    <w:rsid w:val="00600337"/>
    <w:rsid w:val="00600606"/>
    <w:rsid w:val="0060060F"/>
    <w:rsid w:val="00600767"/>
    <w:rsid w:val="0060079A"/>
    <w:rsid w:val="006007E8"/>
    <w:rsid w:val="00600834"/>
    <w:rsid w:val="00600A4F"/>
    <w:rsid w:val="00600CA8"/>
    <w:rsid w:val="00600FC3"/>
    <w:rsid w:val="00601148"/>
    <w:rsid w:val="00601366"/>
    <w:rsid w:val="006013CC"/>
    <w:rsid w:val="006013D1"/>
    <w:rsid w:val="006014D0"/>
    <w:rsid w:val="00601531"/>
    <w:rsid w:val="0060154C"/>
    <w:rsid w:val="0060159D"/>
    <w:rsid w:val="006015FE"/>
    <w:rsid w:val="006016EB"/>
    <w:rsid w:val="00601823"/>
    <w:rsid w:val="00601898"/>
    <w:rsid w:val="006018C2"/>
    <w:rsid w:val="006018E7"/>
    <w:rsid w:val="00601B60"/>
    <w:rsid w:val="00601E22"/>
    <w:rsid w:val="00602186"/>
    <w:rsid w:val="00602492"/>
    <w:rsid w:val="0060269F"/>
    <w:rsid w:val="006027E7"/>
    <w:rsid w:val="00602827"/>
    <w:rsid w:val="00602A03"/>
    <w:rsid w:val="00602A52"/>
    <w:rsid w:val="0060341E"/>
    <w:rsid w:val="0060373D"/>
    <w:rsid w:val="006037DD"/>
    <w:rsid w:val="006038B6"/>
    <w:rsid w:val="00604064"/>
    <w:rsid w:val="0060407F"/>
    <w:rsid w:val="006042F2"/>
    <w:rsid w:val="0060432A"/>
    <w:rsid w:val="00604603"/>
    <w:rsid w:val="00604753"/>
    <w:rsid w:val="006047C5"/>
    <w:rsid w:val="006049C0"/>
    <w:rsid w:val="00604A09"/>
    <w:rsid w:val="00604E97"/>
    <w:rsid w:val="00604FF2"/>
    <w:rsid w:val="00605007"/>
    <w:rsid w:val="0060501C"/>
    <w:rsid w:val="00605185"/>
    <w:rsid w:val="0060522B"/>
    <w:rsid w:val="006052B0"/>
    <w:rsid w:val="006055DD"/>
    <w:rsid w:val="0060573D"/>
    <w:rsid w:val="006058A8"/>
    <w:rsid w:val="00605C0E"/>
    <w:rsid w:val="00605C1A"/>
    <w:rsid w:val="00605DDC"/>
    <w:rsid w:val="00605F32"/>
    <w:rsid w:val="0060616E"/>
    <w:rsid w:val="00606357"/>
    <w:rsid w:val="006063B9"/>
    <w:rsid w:val="00606615"/>
    <w:rsid w:val="00606671"/>
    <w:rsid w:val="006066A1"/>
    <w:rsid w:val="0060673C"/>
    <w:rsid w:val="00606792"/>
    <w:rsid w:val="006067CE"/>
    <w:rsid w:val="00606868"/>
    <w:rsid w:val="00606942"/>
    <w:rsid w:val="00606987"/>
    <w:rsid w:val="00606E94"/>
    <w:rsid w:val="00606EE1"/>
    <w:rsid w:val="0060719D"/>
    <w:rsid w:val="0060735A"/>
    <w:rsid w:val="006073E7"/>
    <w:rsid w:val="00607494"/>
    <w:rsid w:val="006074B3"/>
    <w:rsid w:val="00607752"/>
    <w:rsid w:val="0060780F"/>
    <w:rsid w:val="0060794E"/>
    <w:rsid w:val="00607F83"/>
    <w:rsid w:val="00610174"/>
    <w:rsid w:val="00610235"/>
    <w:rsid w:val="00610289"/>
    <w:rsid w:val="006102E9"/>
    <w:rsid w:val="00610441"/>
    <w:rsid w:val="00610470"/>
    <w:rsid w:val="00610551"/>
    <w:rsid w:val="006106B3"/>
    <w:rsid w:val="006107F8"/>
    <w:rsid w:val="00610872"/>
    <w:rsid w:val="006108F3"/>
    <w:rsid w:val="00610C7D"/>
    <w:rsid w:val="00610E67"/>
    <w:rsid w:val="0061109E"/>
    <w:rsid w:val="0061157E"/>
    <w:rsid w:val="00611581"/>
    <w:rsid w:val="006116EC"/>
    <w:rsid w:val="00611763"/>
    <w:rsid w:val="006117DE"/>
    <w:rsid w:val="006117F4"/>
    <w:rsid w:val="00611941"/>
    <w:rsid w:val="00611A25"/>
    <w:rsid w:val="00611B44"/>
    <w:rsid w:val="00611ECC"/>
    <w:rsid w:val="006120EB"/>
    <w:rsid w:val="006122BA"/>
    <w:rsid w:val="00612449"/>
    <w:rsid w:val="006124EC"/>
    <w:rsid w:val="0061257A"/>
    <w:rsid w:val="006126DA"/>
    <w:rsid w:val="00612750"/>
    <w:rsid w:val="006129E1"/>
    <w:rsid w:val="00612A31"/>
    <w:rsid w:val="00612ACD"/>
    <w:rsid w:val="00612EB6"/>
    <w:rsid w:val="00612EC9"/>
    <w:rsid w:val="00612F1D"/>
    <w:rsid w:val="006131F9"/>
    <w:rsid w:val="00613258"/>
    <w:rsid w:val="00613547"/>
    <w:rsid w:val="006135BF"/>
    <w:rsid w:val="0061366E"/>
    <w:rsid w:val="00613921"/>
    <w:rsid w:val="006139AB"/>
    <w:rsid w:val="00613C18"/>
    <w:rsid w:val="00613C36"/>
    <w:rsid w:val="00613C7C"/>
    <w:rsid w:val="00613D31"/>
    <w:rsid w:val="00613E1E"/>
    <w:rsid w:val="00614024"/>
    <w:rsid w:val="00614124"/>
    <w:rsid w:val="00614131"/>
    <w:rsid w:val="0061413D"/>
    <w:rsid w:val="006141B1"/>
    <w:rsid w:val="0061430C"/>
    <w:rsid w:val="0061456B"/>
    <w:rsid w:val="0061459B"/>
    <w:rsid w:val="0061461B"/>
    <w:rsid w:val="006146F6"/>
    <w:rsid w:val="00614820"/>
    <w:rsid w:val="006148E2"/>
    <w:rsid w:val="00614906"/>
    <w:rsid w:val="00614994"/>
    <w:rsid w:val="00614A10"/>
    <w:rsid w:val="00614A53"/>
    <w:rsid w:val="00614E93"/>
    <w:rsid w:val="00614EEA"/>
    <w:rsid w:val="00615085"/>
    <w:rsid w:val="0061526B"/>
    <w:rsid w:val="0061531D"/>
    <w:rsid w:val="00615341"/>
    <w:rsid w:val="00615595"/>
    <w:rsid w:val="0061584F"/>
    <w:rsid w:val="00615B93"/>
    <w:rsid w:val="00615DC5"/>
    <w:rsid w:val="00615E3B"/>
    <w:rsid w:val="00615F6C"/>
    <w:rsid w:val="00616105"/>
    <w:rsid w:val="00616143"/>
    <w:rsid w:val="006161D9"/>
    <w:rsid w:val="006161E9"/>
    <w:rsid w:val="006162BE"/>
    <w:rsid w:val="006162F3"/>
    <w:rsid w:val="00616336"/>
    <w:rsid w:val="006163CD"/>
    <w:rsid w:val="0061664C"/>
    <w:rsid w:val="006168C2"/>
    <w:rsid w:val="0061699F"/>
    <w:rsid w:val="006169FD"/>
    <w:rsid w:val="00616BCF"/>
    <w:rsid w:val="00616CFA"/>
    <w:rsid w:val="00616D80"/>
    <w:rsid w:val="00616D8B"/>
    <w:rsid w:val="00616EA2"/>
    <w:rsid w:val="00616EE7"/>
    <w:rsid w:val="0061737C"/>
    <w:rsid w:val="0061749B"/>
    <w:rsid w:val="006174E7"/>
    <w:rsid w:val="00617523"/>
    <w:rsid w:val="00617628"/>
    <w:rsid w:val="00617770"/>
    <w:rsid w:val="006177E6"/>
    <w:rsid w:val="006177EC"/>
    <w:rsid w:val="00617929"/>
    <w:rsid w:val="00617A16"/>
    <w:rsid w:val="00617A5B"/>
    <w:rsid w:val="00617B26"/>
    <w:rsid w:val="00617DF8"/>
    <w:rsid w:val="00617FD9"/>
    <w:rsid w:val="0062003E"/>
    <w:rsid w:val="006200CF"/>
    <w:rsid w:val="006200D6"/>
    <w:rsid w:val="00620342"/>
    <w:rsid w:val="00620421"/>
    <w:rsid w:val="00620482"/>
    <w:rsid w:val="00620599"/>
    <w:rsid w:val="0062060F"/>
    <w:rsid w:val="006206CE"/>
    <w:rsid w:val="00620829"/>
    <w:rsid w:val="0062089C"/>
    <w:rsid w:val="006208FB"/>
    <w:rsid w:val="006209FE"/>
    <w:rsid w:val="00620B1B"/>
    <w:rsid w:val="00620C03"/>
    <w:rsid w:val="00620CC0"/>
    <w:rsid w:val="00620D85"/>
    <w:rsid w:val="00621084"/>
    <w:rsid w:val="006210BA"/>
    <w:rsid w:val="00621149"/>
    <w:rsid w:val="00621231"/>
    <w:rsid w:val="00621246"/>
    <w:rsid w:val="00621403"/>
    <w:rsid w:val="00621537"/>
    <w:rsid w:val="0062184A"/>
    <w:rsid w:val="006219BA"/>
    <w:rsid w:val="00621AA2"/>
    <w:rsid w:val="00621B84"/>
    <w:rsid w:val="00621C4D"/>
    <w:rsid w:val="00621E62"/>
    <w:rsid w:val="00621E84"/>
    <w:rsid w:val="00621F72"/>
    <w:rsid w:val="00622128"/>
    <w:rsid w:val="006221A7"/>
    <w:rsid w:val="00622242"/>
    <w:rsid w:val="006222D8"/>
    <w:rsid w:val="0062246F"/>
    <w:rsid w:val="00622567"/>
    <w:rsid w:val="0062256A"/>
    <w:rsid w:val="006225BE"/>
    <w:rsid w:val="0062266C"/>
    <w:rsid w:val="006226DB"/>
    <w:rsid w:val="006227DF"/>
    <w:rsid w:val="0062296B"/>
    <w:rsid w:val="006229D2"/>
    <w:rsid w:val="00622B91"/>
    <w:rsid w:val="00622CEC"/>
    <w:rsid w:val="00622DAF"/>
    <w:rsid w:val="00622E2D"/>
    <w:rsid w:val="00622EB9"/>
    <w:rsid w:val="006230D0"/>
    <w:rsid w:val="006230E0"/>
    <w:rsid w:val="00623161"/>
    <w:rsid w:val="00623337"/>
    <w:rsid w:val="00623422"/>
    <w:rsid w:val="006234AE"/>
    <w:rsid w:val="0062353A"/>
    <w:rsid w:val="00623658"/>
    <w:rsid w:val="00623A73"/>
    <w:rsid w:val="00623ACB"/>
    <w:rsid w:val="00623C42"/>
    <w:rsid w:val="00623C55"/>
    <w:rsid w:val="00623DDB"/>
    <w:rsid w:val="0062406A"/>
    <w:rsid w:val="00624092"/>
    <w:rsid w:val="0062410A"/>
    <w:rsid w:val="00624187"/>
    <w:rsid w:val="006241F4"/>
    <w:rsid w:val="0062424B"/>
    <w:rsid w:val="006244FC"/>
    <w:rsid w:val="0062461E"/>
    <w:rsid w:val="006247C2"/>
    <w:rsid w:val="006248BD"/>
    <w:rsid w:val="006249B3"/>
    <w:rsid w:val="00624A0E"/>
    <w:rsid w:val="00624A52"/>
    <w:rsid w:val="00624A70"/>
    <w:rsid w:val="00624B89"/>
    <w:rsid w:val="00624DC8"/>
    <w:rsid w:val="00624F29"/>
    <w:rsid w:val="006250D0"/>
    <w:rsid w:val="006254DB"/>
    <w:rsid w:val="006254E8"/>
    <w:rsid w:val="00625931"/>
    <w:rsid w:val="0062599A"/>
    <w:rsid w:val="006259DE"/>
    <w:rsid w:val="00625A18"/>
    <w:rsid w:val="00625C51"/>
    <w:rsid w:val="00625D20"/>
    <w:rsid w:val="00625D4B"/>
    <w:rsid w:val="00625E4E"/>
    <w:rsid w:val="00625FE4"/>
    <w:rsid w:val="006262F1"/>
    <w:rsid w:val="0062643D"/>
    <w:rsid w:val="00626686"/>
    <w:rsid w:val="00626693"/>
    <w:rsid w:val="006266D1"/>
    <w:rsid w:val="00626760"/>
    <w:rsid w:val="0062677C"/>
    <w:rsid w:val="00626872"/>
    <w:rsid w:val="00626892"/>
    <w:rsid w:val="006268B3"/>
    <w:rsid w:val="0062697A"/>
    <w:rsid w:val="00626A1D"/>
    <w:rsid w:val="00626ABE"/>
    <w:rsid w:val="00626D35"/>
    <w:rsid w:val="00626EC7"/>
    <w:rsid w:val="00626EF2"/>
    <w:rsid w:val="00627041"/>
    <w:rsid w:val="006271B2"/>
    <w:rsid w:val="006272E4"/>
    <w:rsid w:val="00627327"/>
    <w:rsid w:val="00627631"/>
    <w:rsid w:val="00627648"/>
    <w:rsid w:val="0062798E"/>
    <w:rsid w:val="00627B0E"/>
    <w:rsid w:val="00627E7D"/>
    <w:rsid w:val="00627FAE"/>
    <w:rsid w:val="0063000D"/>
    <w:rsid w:val="00630079"/>
    <w:rsid w:val="00630099"/>
    <w:rsid w:val="006301F4"/>
    <w:rsid w:val="00630318"/>
    <w:rsid w:val="0063078A"/>
    <w:rsid w:val="00630991"/>
    <w:rsid w:val="006309B0"/>
    <w:rsid w:val="00630C22"/>
    <w:rsid w:val="00630D15"/>
    <w:rsid w:val="00630D40"/>
    <w:rsid w:val="00630EBA"/>
    <w:rsid w:val="00630F0E"/>
    <w:rsid w:val="0063107F"/>
    <w:rsid w:val="00631091"/>
    <w:rsid w:val="00631157"/>
    <w:rsid w:val="00631168"/>
    <w:rsid w:val="00631227"/>
    <w:rsid w:val="00631242"/>
    <w:rsid w:val="006312A1"/>
    <w:rsid w:val="006317C9"/>
    <w:rsid w:val="00631806"/>
    <w:rsid w:val="00631831"/>
    <w:rsid w:val="00631A00"/>
    <w:rsid w:val="00631CB6"/>
    <w:rsid w:val="00631CE8"/>
    <w:rsid w:val="00631D6C"/>
    <w:rsid w:val="00631D82"/>
    <w:rsid w:val="00631DFC"/>
    <w:rsid w:val="00631E6A"/>
    <w:rsid w:val="00631EB5"/>
    <w:rsid w:val="00631FAC"/>
    <w:rsid w:val="00632259"/>
    <w:rsid w:val="0063226C"/>
    <w:rsid w:val="0063256C"/>
    <w:rsid w:val="00632616"/>
    <w:rsid w:val="006327E8"/>
    <w:rsid w:val="00632802"/>
    <w:rsid w:val="00632A63"/>
    <w:rsid w:val="00632B6B"/>
    <w:rsid w:val="00632BBB"/>
    <w:rsid w:val="00632D0B"/>
    <w:rsid w:val="00632D2A"/>
    <w:rsid w:val="00632D8C"/>
    <w:rsid w:val="00632EC7"/>
    <w:rsid w:val="006333B8"/>
    <w:rsid w:val="00633407"/>
    <w:rsid w:val="0063341E"/>
    <w:rsid w:val="00633662"/>
    <w:rsid w:val="00633716"/>
    <w:rsid w:val="00633739"/>
    <w:rsid w:val="00633802"/>
    <w:rsid w:val="006338B7"/>
    <w:rsid w:val="006338F8"/>
    <w:rsid w:val="006339ED"/>
    <w:rsid w:val="00633A2B"/>
    <w:rsid w:val="00633AB2"/>
    <w:rsid w:val="00633D5F"/>
    <w:rsid w:val="00633EC2"/>
    <w:rsid w:val="00633F3A"/>
    <w:rsid w:val="006343AF"/>
    <w:rsid w:val="00634460"/>
    <w:rsid w:val="00634593"/>
    <w:rsid w:val="00634741"/>
    <w:rsid w:val="0063489B"/>
    <w:rsid w:val="006348B8"/>
    <w:rsid w:val="00634A70"/>
    <w:rsid w:val="00634AB1"/>
    <w:rsid w:val="00634B4C"/>
    <w:rsid w:val="00634E51"/>
    <w:rsid w:val="0063511D"/>
    <w:rsid w:val="00635181"/>
    <w:rsid w:val="006351AB"/>
    <w:rsid w:val="00635419"/>
    <w:rsid w:val="006358E6"/>
    <w:rsid w:val="00635AA6"/>
    <w:rsid w:val="00635CDF"/>
    <w:rsid w:val="00635FF4"/>
    <w:rsid w:val="00636279"/>
    <w:rsid w:val="0063627F"/>
    <w:rsid w:val="006363CC"/>
    <w:rsid w:val="00636644"/>
    <w:rsid w:val="006366C9"/>
    <w:rsid w:val="0063672A"/>
    <w:rsid w:val="006367D8"/>
    <w:rsid w:val="00636950"/>
    <w:rsid w:val="00636A19"/>
    <w:rsid w:val="00636AC9"/>
    <w:rsid w:val="00636B0B"/>
    <w:rsid w:val="00636B4C"/>
    <w:rsid w:val="00636C30"/>
    <w:rsid w:val="0063710B"/>
    <w:rsid w:val="00637142"/>
    <w:rsid w:val="006371ED"/>
    <w:rsid w:val="00637678"/>
    <w:rsid w:val="00637862"/>
    <w:rsid w:val="006379A4"/>
    <w:rsid w:val="00637B2D"/>
    <w:rsid w:val="00637B6B"/>
    <w:rsid w:val="00637CC9"/>
    <w:rsid w:val="00637EC7"/>
    <w:rsid w:val="00637EEA"/>
    <w:rsid w:val="00637F6E"/>
    <w:rsid w:val="006400CF"/>
    <w:rsid w:val="006400D0"/>
    <w:rsid w:val="00640106"/>
    <w:rsid w:val="00640285"/>
    <w:rsid w:val="006403B8"/>
    <w:rsid w:val="00640451"/>
    <w:rsid w:val="006404BC"/>
    <w:rsid w:val="006404FB"/>
    <w:rsid w:val="0064091C"/>
    <w:rsid w:val="00640A0C"/>
    <w:rsid w:val="00640B65"/>
    <w:rsid w:val="00640C0C"/>
    <w:rsid w:val="00640D2B"/>
    <w:rsid w:val="00640FA9"/>
    <w:rsid w:val="006410EA"/>
    <w:rsid w:val="00641542"/>
    <w:rsid w:val="00641573"/>
    <w:rsid w:val="00641623"/>
    <w:rsid w:val="006417A8"/>
    <w:rsid w:val="0064188E"/>
    <w:rsid w:val="00641D28"/>
    <w:rsid w:val="00641E24"/>
    <w:rsid w:val="00641EB4"/>
    <w:rsid w:val="00641EB9"/>
    <w:rsid w:val="00641F33"/>
    <w:rsid w:val="00642133"/>
    <w:rsid w:val="00642260"/>
    <w:rsid w:val="00642292"/>
    <w:rsid w:val="00642463"/>
    <w:rsid w:val="00642561"/>
    <w:rsid w:val="006425E5"/>
    <w:rsid w:val="00642615"/>
    <w:rsid w:val="0064267F"/>
    <w:rsid w:val="006426D7"/>
    <w:rsid w:val="00642B2C"/>
    <w:rsid w:val="00642C0D"/>
    <w:rsid w:val="00642C1D"/>
    <w:rsid w:val="00642C79"/>
    <w:rsid w:val="00642CED"/>
    <w:rsid w:val="00642CF9"/>
    <w:rsid w:val="00642D1A"/>
    <w:rsid w:val="00642E18"/>
    <w:rsid w:val="00643040"/>
    <w:rsid w:val="0064305F"/>
    <w:rsid w:val="0064308A"/>
    <w:rsid w:val="006430B0"/>
    <w:rsid w:val="006431DD"/>
    <w:rsid w:val="0064321B"/>
    <w:rsid w:val="00643348"/>
    <w:rsid w:val="006437AE"/>
    <w:rsid w:val="006437C3"/>
    <w:rsid w:val="0064383F"/>
    <w:rsid w:val="0064388A"/>
    <w:rsid w:val="00643A05"/>
    <w:rsid w:val="00643A62"/>
    <w:rsid w:val="00643B03"/>
    <w:rsid w:val="00643B86"/>
    <w:rsid w:val="00643C07"/>
    <w:rsid w:val="00643DA6"/>
    <w:rsid w:val="00643F77"/>
    <w:rsid w:val="006440B0"/>
    <w:rsid w:val="006446AF"/>
    <w:rsid w:val="00644973"/>
    <w:rsid w:val="00644A1D"/>
    <w:rsid w:val="00644C30"/>
    <w:rsid w:val="00644D1B"/>
    <w:rsid w:val="00644E96"/>
    <w:rsid w:val="00645000"/>
    <w:rsid w:val="00645036"/>
    <w:rsid w:val="006450CC"/>
    <w:rsid w:val="00645108"/>
    <w:rsid w:val="0064521F"/>
    <w:rsid w:val="0064526A"/>
    <w:rsid w:val="006452F5"/>
    <w:rsid w:val="0064548C"/>
    <w:rsid w:val="0064550F"/>
    <w:rsid w:val="006455A3"/>
    <w:rsid w:val="00645664"/>
    <w:rsid w:val="00645721"/>
    <w:rsid w:val="006457B9"/>
    <w:rsid w:val="006457CB"/>
    <w:rsid w:val="006457E0"/>
    <w:rsid w:val="00645844"/>
    <w:rsid w:val="0064596E"/>
    <w:rsid w:val="006459F9"/>
    <w:rsid w:val="00645A2A"/>
    <w:rsid w:val="00645AAC"/>
    <w:rsid w:val="00645B8E"/>
    <w:rsid w:val="00645F58"/>
    <w:rsid w:val="00645F78"/>
    <w:rsid w:val="00646095"/>
    <w:rsid w:val="0064617B"/>
    <w:rsid w:val="00646325"/>
    <w:rsid w:val="00646944"/>
    <w:rsid w:val="00646A2B"/>
    <w:rsid w:val="00646DCA"/>
    <w:rsid w:val="00646DCD"/>
    <w:rsid w:val="00646FA4"/>
    <w:rsid w:val="00647116"/>
    <w:rsid w:val="006471AF"/>
    <w:rsid w:val="006471E5"/>
    <w:rsid w:val="006473ED"/>
    <w:rsid w:val="006476AA"/>
    <w:rsid w:val="0064779F"/>
    <w:rsid w:val="0064789A"/>
    <w:rsid w:val="00647B92"/>
    <w:rsid w:val="00647CCE"/>
    <w:rsid w:val="00647E97"/>
    <w:rsid w:val="00647F65"/>
    <w:rsid w:val="00647F7F"/>
    <w:rsid w:val="0065026A"/>
    <w:rsid w:val="006504A1"/>
    <w:rsid w:val="00650524"/>
    <w:rsid w:val="0065054E"/>
    <w:rsid w:val="006505B2"/>
    <w:rsid w:val="00650871"/>
    <w:rsid w:val="00650890"/>
    <w:rsid w:val="00650A0E"/>
    <w:rsid w:val="00650AAB"/>
    <w:rsid w:val="00650B62"/>
    <w:rsid w:val="00650C10"/>
    <w:rsid w:val="00650DC3"/>
    <w:rsid w:val="00650F0C"/>
    <w:rsid w:val="00650F55"/>
    <w:rsid w:val="00650FF0"/>
    <w:rsid w:val="00651044"/>
    <w:rsid w:val="00651265"/>
    <w:rsid w:val="006512A8"/>
    <w:rsid w:val="00651302"/>
    <w:rsid w:val="00651356"/>
    <w:rsid w:val="00651394"/>
    <w:rsid w:val="006513AE"/>
    <w:rsid w:val="00651435"/>
    <w:rsid w:val="00651958"/>
    <w:rsid w:val="006519DA"/>
    <w:rsid w:val="00651A0C"/>
    <w:rsid w:val="00651A56"/>
    <w:rsid w:val="00651A76"/>
    <w:rsid w:val="00651BC3"/>
    <w:rsid w:val="00651CBE"/>
    <w:rsid w:val="00651E1A"/>
    <w:rsid w:val="0065200C"/>
    <w:rsid w:val="00652171"/>
    <w:rsid w:val="006524B2"/>
    <w:rsid w:val="00652560"/>
    <w:rsid w:val="006527CE"/>
    <w:rsid w:val="006527F8"/>
    <w:rsid w:val="00652893"/>
    <w:rsid w:val="006528F8"/>
    <w:rsid w:val="00652A12"/>
    <w:rsid w:val="00652A4F"/>
    <w:rsid w:val="00652AFC"/>
    <w:rsid w:val="00652BB3"/>
    <w:rsid w:val="00652BEB"/>
    <w:rsid w:val="00652F34"/>
    <w:rsid w:val="00653125"/>
    <w:rsid w:val="0065319D"/>
    <w:rsid w:val="00653269"/>
    <w:rsid w:val="006533CA"/>
    <w:rsid w:val="0065361F"/>
    <w:rsid w:val="0065366D"/>
    <w:rsid w:val="00653690"/>
    <w:rsid w:val="00653691"/>
    <w:rsid w:val="0065372B"/>
    <w:rsid w:val="00653772"/>
    <w:rsid w:val="0065397C"/>
    <w:rsid w:val="00653AAD"/>
    <w:rsid w:val="00653C8F"/>
    <w:rsid w:val="00654014"/>
    <w:rsid w:val="00654397"/>
    <w:rsid w:val="00654588"/>
    <w:rsid w:val="006546A2"/>
    <w:rsid w:val="006546FB"/>
    <w:rsid w:val="00654948"/>
    <w:rsid w:val="00654CC1"/>
    <w:rsid w:val="00654CEA"/>
    <w:rsid w:val="00654DCB"/>
    <w:rsid w:val="006550DB"/>
    <w:rsid w:val="00655286"/>
    <w:rsid w:val="006552B3"/>
    <w:rsid w:val="00655414"/>
    <w:rsid w:val="00655415"/>
    <w:rsid w:val="00655427"/>
    <w:rsid w:val="0065548D"/>
    <w:rsid w:val="006554A0"/>
    <w:rsid w:val="0065567A"/>
    <w:rsid w:val="00655735"/>
    <w:rsid w:val="006557B9"/>
    <w:rsid w:val="00655836"/>
    <w:rsid w:val="00655983"/>
    <w:rsid w:val="00655A05"/>
    <w:rsid w:val="00655AD7"/>
    <w:rsid w:val="00655B36"/>
    <w:rsid w:val="00655BA9"/>
    <w:rsid w:val="00655C62"/>
    <w:rsid w:val="00655DAB"/>
    <w:rsid w:val="00655F83"/>
    <w:rsid w:val="00655FD5"/>
    <w:rsid w:val="00656295"/>
    <w:rsid w:val="006562EC"/>
    <w:rsid w:val="00656431"/>
    <w:rsid w:val="0065647F"/>
    <w:rsid w:val="006564BB"/>
    <w:rsid w:val="006564E8"/>
    <w:rsid w:val="006564E9"/>
    <w:rsid w:val="00656504"/>
    <w:rsid w:val="0065660E"/>
    <w:rsid w:val="0065668F"/>
    <w:rsid w:val="0065677F"/>
    <w:rsid w:val="0065693D"/>
    <w:rsid w:val="006569D7"/>
    <w:rsid w:val="00656A53"/>
    <w:rsid w:val="00656B76"/>
    <w:rsid w:val="00656C87"/>
    <w:rsid w:val="00656E1B"/>
    <w:rsid w:val="00656EF7"/>
    <w:rsid w:val="0065707D"/>
    <w:rsid w:val="006572C1"/>
    <w:rsid w:val="00657688"/>
    <w:rsid w:val="006577BC"/>
    <w:rsid w:val="0065789A"/>
    <w:rsid w:val="006578F6"/>
    <w:rsid w:val="00657A90"/>
    <w:rsid w:val="00657EDF"/>
    <w:rsid w:val="00660026"/>
    <w:rsid w:val="006604E5"/>
    <w:rsid w:val="0066084A"/>
    <w:rsid w:val="00660A31"/>
    <w:rsid w:val="00660A51"/>
    <w:rsid w:val="00660AA6"/>
    <w:rsid w:val="00660B03"/>
    <w:rsid w:val="00660B66"/>
    <w:rsid w:val="00660BDF"/>
    <w:rsid w:val="00660CB1"/>
    <w:rsid w:val="00660ECF"/>
    <w:rsid w:val="0066108A"/>
    <w:rsid w:val="006611AE"/>
    <w:rsid w:val="00661260"/>
    <w:rsid w:val="00661571"/>
    <w:rsid w:val="00661748"/>
    <w:rsid w:val="00661897"/>
    <w:rsid w:val="006618E5"/>
    <w:rsid w:val="00661915"/>
    <w:rsid w:val="00661C47"/>
    <w:rsid w:val="00661CFE"/>
    <w:rsid w:val="0066219E"/>
    <w:rsid w:val="00662482"/>
    <w:rsid w:val="006624B3"/>
    <w:rsid w:val="0066257A"/>
    <w:rsid w:val="0066267D"/>
    <w:rsid w:val="00662930"/>
    <w:rsid w:val="00662C32"/>
    <w:rsid w:val="00662CD2"/>
    <w:rsid w:val="00662D2F"/>
    <w:rsid w:val="00662E76"/>
    <w:rsid w:val="0066329C"/>
    <w:rsid w:val="006632F6"/>
    <w:rsid w:val="00663896"/>
    <w:rsid w:val="006639DB"/>
    <w:rsid w:val="00663A09"/>
    <w:rsid w:val="00663B9F"/>
    <w:rsid w:val="00663BC8"/>
    <w:rsid w:val="00663C1D"/>
    <w:rsid w:val="006640A2"/>
    <w:rsid w:val="0066422F"/>
    <w:rsid w:val="006644B0"/>
    <w:rsid w:val="00664799"/>
    <w:rsid w:val="0066484A"/>
    <w:rsid w:val="006648D7"/>
    <w:rsid w:val="00664D1E"/>
    <w:rsid w:val="00664F26"/>
    <w:rsid w:val="00665024"/>
    <w:rsid w:val="0066507B"/>
    <w:rsid w:val="00665214"/>
    <w:rsid w:val="0066525B"/>
    <w:rsid w:val="006652C4"/>
    <w:rsid w:val="006655D6"/>
    <w:rsid w:val="00665876"/>
    <w:rsid w:val="006658D5"/>
    <w:rsid w:val="00665EC9"/>
    <w:rsid w:val="006662B7"/>
    <w:rsid w:val="006662EC"/>
    <w:rsid w:val="00666428"/>
    <w:rsid w:val="006666D8"/>
    <w:rsid w:val="00666899"/>
    <w:rsid w:val="006668C9"/>
    <w:rsid w:val="00666B98"/>
    <w:rsid w:val="00666C06"/>
    <w:rsid w:val="00666C38"/>
    <w:rsid w:val="00666C96"/>
    <w:rsid w:val="00666E51"/>
    <w:rsid w:val="00666EB2"/>
    <w:rsid w:val="00666ED5"/>
    <w:rsid w:val="006670B8"/>
    <w:rsid w:val="00667200"/>
    <w:rsid w:val="006672E7"/>
    <w:rsid w:val="00667332"/>
    <w:rsid w:val="006675B0"/>
    <w:rsid w:val="006677F6"/>
    <w:rsid w:val="006678E3"/>
    <w:rsid w:val="00667B84"/>
    <w:rsid w:val="00667BE3"/>
    <w:rsid w:val="00667DDD"/>
    <w:rsid w:val="00667F08"/>
    <w:rsid w:val="00667F5D"/>
    <w:rsid w:val="006700AB"/>
    <w:rsid w:val="006700CC"/>
    <w:rsid w:val="00670179"/>
    <w:rsid w:val="006701C3"/>
    <w:rsid w:val="006701ED"/>
    <w:rsid w:val="00670321"/>
    <w:rsid w:val="0067056A"/>
    <w:rsid w:val="006705BD"/>
    <w:rsid w:val="0067068F"/>
    <w:rsid w:val="00670788"/>
    <w:rsid w:val="00670888"/>
    <w:rsid w:val="0067088A"/>
    <w:rsid w:val="006708FC"/>
    <w:rsid w:val="00670A61"/>
    <w:rsid w:val="00670B46"/>
    <w:rsid w:val="00670DDF"/>
    <w:rsid w:val="00670E21"/>
    <w:rsid w:val="00670EF5"/>
    <w:rsid w:val="00670F1F"/>
    <w:rsid w:val="00670FB8"/>
    <w:rsid w:val="00671064"/>
    <w:rsid w:val="0067114C"/>
    <w:rsid w:val="00671171"/>
    <w:rsid w:val="00671647"/>
    <w:rsid w:val="006716CB"/>
    <w:rsid w:val="00671726"/>
    <w:rsid w:val="00671AC6"/>
    <w:rsid w:val="00671B57"/>
    <w:rsid w:val="00671C18"/>
    <w:rsid w:val="00671CFC"/>
    <w:rsid w:val="006720E3"/>
    <w:rsid w:val="00672835"/>
    <w:rsid w:val="0067286A"/>
    <w:rsid w:val="00672AFF"/>
    <w:rsid w:val="00672B66"/>
    <w:rsid w:val="00672C16"/>
    <w:rsid w:val="00672C27"/>
    <w:rsid w:val="00672D9E"/>
    <w:rsid w:val="00672F5E"/>
    <w:rsid w:val="0067305A"/>
    <w:rsid w:val="00673067"/>
    <w:rsid w:val="0067313B"/>
    <w:rsid w:val="00673425"/>
    <w:rsid w:val="00673547"/>
    <w:rsid w:val="00673583"/>
    <w:rsid w:val="006736EA"/>
    <w:rsid w:val="00673791"/>
    <w:rsid w:val="006737C0"/>
    <w:rsid w:val="00673867"/>
    <w:rsid w:val="00673A88"/>
    <w:rsid w:val="00673CC0"/>
    <w:rsid w:val="00673E43"/>
    <w:rsid w:val="00673E89"/>
    <w:rsid w:val="00673FB2"/>
    <w:rsid w:val="00674229"/>
    <w:rsid w:val="00674259"/>
    <w:rsid w:val="0067426D"/>
    <w:rsid w:val="00674293"/>
    <w:rsid w:val="00674313"/>
    <w:rsid w:val="00674392"/>
    <w:rsid w:val="006745CB"/>
    <w:rsid w:val="0067466B"/>
    <w:rsid w:val="006747FC"/>
    <w:rsid w:val="00674964"/>
    <w:rsid w:val="0067498B"/>
    <w:rsid w:val="00674A01"/>
    <w:rsid w:val="00674A89"/>
    <w:rsid w:val="00674B46"/>
    <w:rsid w:val="00674CC4"/>
    <w:rsid w:val="00674EBB"/>
    <w:rsid w:val="00674FC1"/>
    <w:rsid w:val="00675243"/>
    <w:rsid w:val="0067536F"/>
    <w:rsid w:val="00675446"/>
    <w:rsid w:val="00675472"/>
    <w:rsid w:val="006754F2"/>
    <w:rsid w:val="00675987"/>
    <w:rsid w:val="006759EA"/>
    <w:rsid w:val="00675A63"/>
    <w:rsid w:val="00675B19"/>
    <w:rsid w:val="00675BE8"/>
    <w:rsid w:val="00675C8D"/>
    <w:rsid w:val="00675DA8"/>
    <w:rsid w:val="00675DDD"/>
    <w:rsid w:val="00675E1A"/>
    <w:rsid w:val="00675EFE"/>
    <w:rsid w:val="00676033"/>
    <w:rsid w:val="0067606B"/>
    <w:rsid w:val="00676188"/>
    <w:rsid w:val="00676281"/>
    <w:rsid w:val="006762C6"/>
    <w:rsid w:val="00676342"/>
    <w:rsid w:val="006764AE"/>
    <w:rsid w:val="00676519"/>
    <w:rsid w:val="006766CE"/>
    <w:rsid w:val="00676819"/>
    <w:rsid w:val="006768AA"/>
    <w:rsid w:val="006769D7"/>
    <w:rsid w:val="006769EF"/>
    <w:rsid w:val="00676A65"/>
    <w:rsid w:val="00676AFC"/>
    <w:rsid w:val="00676B5F"/>
    <w:rsid w:val="00676C1C"/>
    <w:rsid w:val="00676C2E"/>
    <w:rsid w:val="00676C5B"/>
    <w:rsid w:val="00676CBA"/>
    <w:rsid w:val="00676E50"/>
    <w:rsid w:val="00676EDF"/>
    <w:rsid w:val="00677015"/>
    <w:rsid w:val="006774C1"/>
    <w:rsid w:val="00677697"/>
    <w:rsid w:val="0067771D"/>
    <w:rsid w:val="006779BA"/>
    <w:rsid w:val="00677DED"/>
    <w:rsid w:val="00677E07"/>
    <w:rsid w:val="00677EAA"/>
    <w:rsid w:val="00677F4A"/>
    <w:rsid w:val="00677FCE"/>
    <w:rsid w:val="00680235"/>
    <w:rsid w:val="006802BC"/>
    <w:rsid w:val="006803AE"/>
    <w:rsid w:val="006803FF"/>
    <w:rsid w:val="00680474"/>
    <w:rsid w:val="00680549"/>
    <w:rsid w:val="00680662"/>
    <w:rsid w:val="00680686"/>
    <w:rsid w:val="00680A28"/>
    <w:rsid w:val="00680A48"/>
    <w:rsid w:val="00680B5B"/>
    <w:rsid w:val="00680ECF"/>
    <w:rsid w:val="00680F3F"/>
    <w:rsid w:val="00680FFF"/>
    <w:rsid w:val="006811DA"/>
    <w:rsid w:val="00681208"/>
    <w:rsid w:val="0068134F"/>
    <w:rsid w:val="00681368"/>
    <w:rsid w:val="00681403"/>
    <w:rsid w:val="00681513"/>
    <w:rsid w:val="006815C6"/>
    <w:rsid w:val="006817D0"/>
    <w:rsid w:val="0068188E"/>
    <w:rsid w:val="00681989"/>
    <w:rsid w:val="00681BB9"/>
    <w:rsid w:val="00681C54"/>
    <w:rsid w:val="00681CD5"/>
    <w:rsid w:val="00681EF2"/>
    <w:rsid w:val="006821C2"/>
    <w:rsid w:val="0068233D"/>
    <w:rsid w:val="006823B1"/>
    <w:rsid w:val="0068247D"/>
    <w:rsid w:val="006825A6"/>
    <w:rsid w:val="00682684"/>
    <w:rsid w:val="00682757"/>
    <w:rsid w:val="00682C06"/>
    <w:rsid w:val="00682DF4"/>
    <w:rsid w:val="00682FCC"/>
    <w:rsid w:val="00682FD9"/>
    <w:rsid w:val="0068327F"/>
    <w:rsid w:val="00683289"/>
    <w:rsid w:val="0068329B"/>
    <w:rsid w:val="0068333B"/>
    <w:rsid w:val="006835CD"/>
    <w:rsid w:val="006836E6"/>
    <w:rsid w:val="006836F1"/>
    <w:rsid w:val="0068375D"/>
    <w:rsid w:val="006839F3"/>
    <w:rsid w:val="00683C89"/>
    <w:rsid w:val="00683D40"/>
    <w:rsid w:val="00683DD7"/>
    <w:rsid w:val="00683E41"/>
    <w:rsid w:val="00683FD4"/>
    <w:rsid w:val="0068457D"/>
    <w:rsid w:val="006845DD"/>
    <w:rsid w:val="00684713"/>
    <w:rsid w:val="00684840"/>
    <w:rsid w:val="00684925"/>
    <w:rsid w:val="00684AF4"/>
    <w:rsid w:val="00684B11"/>
    <w:rsid w:val="00684BF2"/>
    <w:rsid w:val="00684C38"/>
    <w:rsid w:val="00684D64"/>
    <w:rsid w:val="006852A0"/>
    <w:rsid w:val="00685433"/>
    <w:rsid w:val="006854E0"/>
    <w:rsid w:val="00685568"/>
    <w:rsid w:val="0068558F"/>
    <w:rsid w:val="0068560B"/>
    <w:rsid w:val="00685949"/>
    <w:rsid w:val="00685994"/>
    <w:rsid w:val="00685999"/>
    <w:rsid w:val="006859AD"/>
    <w:rsid w:val="00685B17"/>
    <w:rsid w:val="00685CE1"/>
    <w:rsid w:val="00685DD0"/>
    <w:rsid w:val="00685E00"/>
    <w:rsid w:val="00685F9B"/>
    <w:rsid w:val="00685FC5"/>
    <w:rsid w:val="006862C8"/>
    <w:rsid w:val="00686311"/>
    <w:rsid w:val="006863CC"/>
    <w:rsid w:val="006863FB"/>
    <w:rsid w:val="00686440"/>
    <w:rsid w:val="006865EF"/>
    <w:rsid w:val="00686949"/>
    <w:rsid w:val="00686BB0"/>
    <w:rsid w:val="00686C78"/>
    <w:rsid w:val="00686CA3"/>
    <w:rsid w:val="00686CD0"/>
    <w:rsid w:val="00686DC4"/>
    <w:rsid w:val="00686E55"/>
    <w:rsid w:val="00686EF7"/>
    <w:rsid w:val="00686F4E"/>
    <w:rsid w:val="00686FAB"/>
    <w:rsid w:val="00687176"/>
    <w:rsid w:val="006871BA"/>
    <w:rsid w:val="006872CB"/>
    <w:rsid w:val="006872D0"/>
    <w:rsid w:val="0068733E"/>
    <w:rsid w:val="00687429"/>
    <w:rsid w:val="0068748C"/>
    <w:rsid w:val="00687595"/>
    <w:rsid w:val="00687685"/>
    <w:rsid w:val="00687718"/>
    <w:rsid w:val="00687AB3"/>
    <w:rsid w:val="00687AFE"/>
    <w:rsid w:val="00687BD8"/>
    <w:rsid w:val="00687CB6"/>
    <w:rsid w:val="00687CC0"/>
    <w:rsid w:val="00687E7C"/>
    <w:rsid w:val="00687F46"/>
    <w:rsid w:val="00687FB5"/>
    <w:rsid w:val="006902DC"/>
    <w:rsid w:val="00690382"/>
    <w:rsid w:val="006904C7"/>
    <w:rsid w:val="00690560"/>
    <w:rsid w:val="006906A1"/>
    <w:rsid w:val="00690767"/>
    <w:rsid w:val="00690780"/>
    <w:rsid w:val="00690A6C"/>
    <w:rsid w:val="00690C90"/>
    <w:rsid w:val="00690EC6"/>
    <w:rsid w:val="006910F1"/>
    <w:rsid w:val="00691118"/>
    <w:rsid w:val="0069127B"/>
    <w:rsid w:val="006912D5"/>
    <w:rsid w:val="006913A1"/>
    <w:rsid w:val="006913B7"/>
    <w:rsid w:val="0069162E"/>
    <w:rsid w:val="0069164C"/>
    <w:rsid w:val="00691A75"/>
    <w:rsid w:val="00691AE3"/>
    <w:rsid w:val="00691BCF"/>
    <w:rsid w:val="00691D1B"/>
    <w:rsid w:val="00691D59"/>
    <w:rsid w:val="00691D8E"/>
    <w:rsid w:val="00691EAC"/>
    <w:rsid w:val="00691FA6"/>
    <w:rsid w:val="0069216B"/>
    <w:rsid w:val="0069221A"/>
    <w:rsid w:val="00692235"/>
    <w:rsid w:val="0069223F"/>
    <w:rsid w:val="006924CF"/>
    <w:rsid w:val="00692538"/>
    <w:rsid w:val="006926A8"/>
    <w:rsid w:val="006927D4"/>
    <w:rsid w:val="00692939"/>
    <w:rsid w:val="00692993"/>
    <w:rsid w:val="00692BD6"/>
    <w:rsid w:val="00692C34"/>
    <w:rsid w:val="00692CEC"/>
    <w:rsid w:val="00692E1C"/>
    <w:rsid w:val="00692FEE"/>
    <w:rsid w:val="00693078"/>
    <w:rsid w:val="00693236"/>
    <w:rsid w:val="006932E0"/>
    <w:rsid w:val="00693593"/>
    <w:rsid w:val="006936F2"/>
    <w:rsid w:val="006937D3"/>
    <w:rsid w:val="00693CF5"/>
    <w:rsid w:val="00693DF4"/>
    <w:rsid w:val="00694161"/>
    <w:rsid w:val="006942AC"/>
    <w:rsid w:val="006944E8"/>
    <w:rsid w:val="0069457C"/>
    <w:rsid w:val="0069467B"/>
    <w:rsid w:val="00694713"/>
    <w:rsid w:val="006947B7"/>
    <w:rsid w:val="006948CD"/>
    <w:rsid w:val="00694930"/>
    <w:rsid w:val="00694A49"/>
    <w:rsid w:val="00694AD2"/>
    <w:rsid w:val="00694E76"/>
    <w:rsid w:val="00694EAC"/>
    <w:rsid w:val="00694F2B"/>
    <w:rsid w:val="00694FF8"/>
    <w:rsid w:val="006951C4"/>
    <w:rsid w:val="006951D7"/>
    <w:rsid w:val="00695203"/>
    <w:rsid w:val="00695309"/>
    <w:rsid w:val="00695400"/>
    <w:rsid w:val="00695447"/>
    <w:rsid w:val="006954E2"/>
    <w:rsid w:val="006955A4"/>
    <w:rsid w:val="0069571D"/>
    <w:rsid w:val="006958C6"/>
    <w:rsid w:val="00695B45"/>
    <w:rsid w:val="00695C6F"/>
    <w:rsid w:val="00695E6F"/>
    <w:rsid w:val="00695F4E"/>
    <w:rsid w:val="0069606F"/>
    <w:rsid w:val="00696437"/>
    <w:rsid w:val="0069653D"/>
    <w:rsid w:val="006965F8"/>
    <w:rsid w:val="00696699"/>
    <w:rsid w:val="00696822"/>
    <w:rsid w:val="00696856"/>
    <w:rsid w:val="00696921"/>
    <w:rsid w:val="00696AB1"/>
    <w:rsid w:val="00696B01"/>
    <w:rsid w:val="00696B7F"/>
    <w:rsid w:val="00696BC0"/>
    <w:rsid w:val="00696C8C"/>
    <w:rsid w:val="00696E80"/>
    <w:rsid w:val="00697484"/>
    <w:rsid w:val="006974BD"/>
    <w:rsid w:val="006974DF"/>
    <w:rsid w:val="0069755E"/>
    <w:rsid w:val="0069757A"/>
    <w:rsid w:val="006975E6"/>
    <w:rsid w:val="0069789A"/>
    <w:rsid w:val="00697AE5"/>
    <w:rsid w:val="00697C36"/>
    <w:rsid w:val="00697D70"/>
    <w:rsid w:val="00697EF4"/>
    <w:rsid w:val="006A01F2"/>
    <w:rsid w:val="006A0284"/>
    <w:rsid w:val="006A039F"/>
    <w:rsid w:val="006A05DD"/>
    <w:rsid w:val="006A05E4"/>
    <w:rsid w:val="006A0777"/>
    <w:rsid w:val="006A07B6"/>
    <w:rsid w:val="006A084B"/>
    <w:rsid w:val="006A096C"/>
    <w:rsid w:val="006A09D9"/>
    <w:rsid w:val="006A0A44"/>
    <w:rsid w:val="006A0B2E"/>
    <w:rsid w:val="006A0D91"/>
    <w:rsid w:val="006A1019"/>
    <w:rsid w:val="006A105C"/>
    <w:rsid w:val="006A1076"/>
    <w:rsid w:val="006A122B"/>
    <w:rsid w:val="006A123F"/>
    <w:rsid w:val="006A1271"/>
    <w:rsid w:val="006A1385"/>
    <w:rsid w:val="006A13B3"/>
    <w:rsid w:val="006A166C"/>
    <w:rsid w:val="006A1826"/>
    <w:rsid w:val="006A1A4E"/>
    <w:rsid w:val="006A1B66"/>
    <w:rsid w:val="006A1CCB"/>
    <w:rsid w:val="006A1FD7"/>
    <w:rsid w:val="006A20E0"/>
    <w:rsid w:val="006A219E"/>
    <w:rsid w:val="006A21D1"/>
    <w:rsid w:val="006A2251"/>
    <w:rsid w:val="006A227E"/>
    <w:rsid w:val="006A242C"/>
    <w:rsid w:val="006A24D6"/>
    <w:rsid w:val="006A2503"/>
    <w:rsid w:val="006A257A"/>
    <w:rsid w:val="006A2661"/>
    <w:rsid w:val="006A27C0"/>
    <w:rsid w:val="006A2817"/>
    <w:rsid w:val="006A28D9"/>
    <w:rsid w:val="006A29F5"/>
    <w:rsid w:val="006A2AA6"/>
    <w:rsid w:val="006A2D8E"/>
    <w:rsid w:val="006A2EDF"/>
    <w:rsid w:val="006A2F15"/>
    <w:rsid w:val="006A3292"/>
    <w:rsid w:val="006A355E"/>
    <w:rsid w:val="006A3573"/>
    <w:rsid w:val="006A395F"/>
    <w:rsid w:val="006A3B25"/>
    <w:rsid w:val="006A3B80"/>
    <w:rsid w:val="006A3C07"/>
    <w:rsid w:val="006A3E1C"/>
    <w:rsid w:val="006A3F68"/>
    <w:rsid w:val="006A40A6"/>
    <w:rsid w:val="006A410E"/>
    <w:rsid w:val="006A414E"/>
    <w:rsid w:val="006A458C"/>
    <w:rsid w:val="006A459D"/>
    <w:rsid w:val="006A45AD"/>
    <w:rsid w:val="006A45B8"/>
    <w:rsid w:val="006A47FD"/>
    <w:rsid w:val="006A4886"/>
    <w:rsid w:val="006A4A7E"/>
    <w:rsid w:val="006A4AC5"/>
    <w:rsid w:val="006A4B96"/>
    <w:rsid w:val="006A4BA0"/>
    <w:rsid w:val="006A4BA3"/>
    <w:rsid w:val="006A4CDD"/>
    <w:rsid w:val="006A4D7F"/>
    <w:rsid w:val="006A4E13"/>
    <w:rsid w:val="006A4E46"/>
    <w:rsid w:val="006A5430"/>
    <w:rsid w:val="006A55B5"/>
    <w:rsid w:val="006A55C4"/>
    <w:rsid w:val="006A568F"/>
    <w:rsid w:val="006A578E"/>
    <w:rsid w:val="006A5957"/>
    <w:rsid w:val="006A5A53"/>
    <w:rsid w:val="006A5C68"/>
    <w:rsid w:val="006A5D64"/>
    <w:rsid w:val="006A5DAD"/>
    <w:rsid w:val="006A5E6F"/>
    <w:rsid w:val="006A5F74"/>
    <w:rsid w:val="006A5F84"/>
    <w:rsid w:val="006A5FA6"/>
    <w:rsid w:val="006A5FDB"/>
    <w:rsid w:val="006A5FEC"/>
    <w:rsid w:val="006A60EF"/>
    <w:rsid w:val="006A6559"/>
    <w:rsid w:val="006A66E2"/>
    <w:rsid w:val="006A66F5"/>
    <w:rsid w:val="006A67D7"/>
    <w:rsid w:val="006A6836"/>
    <w:rsid w:val="006A690B"/>
    <w:rsid w:val="006A6B42"/>
    <w:rsid w:val="006A6C29"/>
    <w:rsid w:val="006A6CB1"/>
    <w:rsid w:val="006A6D1B"/>
    <w:rsid w:val="006A6E71"/>
    <w:rsid w:val="006A70AA"/>
    <w:rsid w:val="006A7153"/>
    <w:rsid w:val="006A7157"/>
    <w:rsid w:val="006A728D"/>
    <w:rsid w:val="006A74BD"/>
    <w:rsid w:val="006A77E2"/>
    <w:rsid w:val="006A7860"/>
    <w:rsid w:val="006A79A3"/>
    <w:rsid w:val="006A7C68"/>
    <w:rsid w:val="006A7D46"/>
    <w:rsid w:val="006A7F8B"/>
    <w:rsid w:val="006B00CA"/>
    <w:rsid w:val="006B00F6"/>
    <w:rsid w:val="006B0111"/>
    <w:rsid w:val="006B0155"/>
    <w:rsid w:val="006B047E"/>
    <w:rsid w:val="006B07F9"/>
    <w:rsid w:val="006B0A9C"/>
    <w:rsid w:val="006B0E88"/>
    <w:rsid w:val="006B10B7"/>
    <w:rsid w:val="006B12A6"/>
    <w:rsid w:val="006B1357"/>
    <w:rsid w:val="006B13A8"/>
    <w:rsid w:val="006B1505"/>
    <w:rsid w:val="006B155E"/>
    <w:rsid w:val="006B1619"/>
    <w:rsid w:val="006B177F"/>
    <w:rsid w:val="006B1850"/>
    <w:rsid w:val="006B193F"/>
    <w:rsid w:val="006B1A99"/>
    <w:rsid w:val="006B1BB6"/>
    <w:rsid w:val="006B1D1D"/>
    <w:rsid w:val="006B1DFA"/>
    <w:rsid w:val="006B1EC1"/>
    <w:rsid w:val="006B1F3C"/>
    <w:rsid w:val="006B228D"/>
    <w:rsid w:val="006B234F"/>
    <w:rsid w:val="006B246A"/>
    <w:rsid w:val="006B2713"/>
    <w:rsid w:val="006B27A8"/>
    <w:rsid w:val="006B29D3"/>
    <w:rsid w:val="006B2BEE"/>
    <w:rsid w:val="006B2C63"/>
    <w:rsid w:val="006B2E62"/>
    <w:rsid w:val="006B2F81"/>
    <w:rsid w:val="006B3277"/>
    <w:rsid w:val="006B353B"/>
    <w:rsid w:val="006B372E"/>
    <w:rsid w:val="006B38FA"/>
    <w:rsid w:val="006B3AB3"/>
    <w:rsid w:val="006B3DA1"/>
    <w:rsid w:val="006B3DB9"/>
    <w:rsid w:val="006B3E10"/>
    <w:rsid w:val="006B3E74"/>
    <w:rsid w:val="006B3F1A"/>
    <w:rsid w:val="006B3FA8"/>
    <w:rsid w:val="006B4270"/>
    <w:rsid w:val="006B45D0"/>
    <w:rsid w:val="006B460B"/>
    <w:rsid w:val="006B4715"/>
    <w:rsid w:val="006B4C4D"/>
    <w:rsid w:val="006B4D14"/>
    <w:rsid w:val="006B4EF3"/>
    <w:rsid w:val="006B4FFE"/>
    <w:rsid w:val="006B53F7"/>
    <w:rsid w:val="006B558A"/>
    <w:rsid w:val="006B5612"/>
    <w:rsid w:val="006B56E8"/>
    <w:rsid w:val="006B57CC"/>
    <w:rsid w:val="006B5AC7"/>
    <w:rsid w:val="006B5DAB"/>
    <w:rsid w:val="006B615E"/>
    <w:rsid w:val="006B6191"/>
    <w:rsid w:val="006B6230"/>
    <w:rsid w:val="006B64AA"/>
    <w:rsid w:val="006B67F4"/>
    <w:rsid w:val="006B69F1"/>
    <w:rsid w:val="006B6AC6"/>
    <w:rsid w:val="006B6BD2"/>
    <w:rsid w:val="006B6BE3"/>
    <w:rsid w:val="006B6D51"/>
    <w:rsid w:val="006B6F2F"/>
    <w:rsid w:val="006B6F46"/>
    <w:rsid w:val="006B710D"/>
    <w:rsid w:val="006B7310"/>
    <w:rsid w:val="006B76C0"/>
    <w:rsid w:val="006B76F5"/>
    <w:rsid w:val="006B7735"/>
    <w:rsid w:val="006B7833"/>
    <w:rsid w:val="006C010F"/>
    <w:rsid w:val="006C01D2"/>
    <w:rsid w:val="006C0498"/>
    <w:rsid w:val="006C07C5"/>
    <w:rsid w:val="006C0841"/>
    <w:rsid w:val="006C0ABB"/>
    <w:rsid w:val="006C0B0E"/>
    <w:rsid w:val="006C0BAB"/>
    <w:rsid w:val="006C0C64"/>
    <w:rsid w:val="006C0D7D"/>
    <w:rsid w:val="006C0E03"/>
    <w:rsid w:val="006C0F23"/>
    <w:rsid w:val="006C1015"/>
    <w:rsid w:val="006C11CC"/>
    <w:rsid w:val="006C11D0"/>
    <w:rsid w:val="006C13C6"/>
    <w:rsid w:val="006C1558"/>
    <w:rsid w:val="006C1623"/>
    <w:rsid w:val="006C16C9"/>
    <w:rsid w:val="006C16E0"/>
    <w:rsid w:val="006C178A"/>
    <w:rsid w:val="006C1A10"/>
    <w:rsid w:val="006C1C60"/>
    <w:rsid w:val="006C1E56"/>
    <w:rsid w:val="006C1F71"/>
    <w:rsid w:val="006C1FF4"/>
    <w:rsid w:val="006C2066"/>
    <w:rsid w:val="006C2168"/>
    <w:rsid w:val="006C21CC"/>
    <w:rsid w:val="006C2710"/>
    <w:rsid w:val="006C2733"/>
    <w:rsid w:val="006C2901"/>
    <w:rsid w:val="006C2AA7"/>
    <w:rsid w:val="006C2B7C"/>
    <w:rsid w:val="006C30B8"/>
    <w:rsid w:val="006C3214"/>
    <w:rsid w:val="006C3221"/>
    <w:rsid w:val="006C334B"/>
    <w:rsid w:val="006C3723"/>
    <w:rsid w:val="006C3757"/>
    <w:rsid w:val="006C3910"/>
    <w:rsid w:val="006C3992"/>
    <w:rsid w:val="006C3D6B"/>
    <w:rsid w:val="006C3DE7"/>
    <w:rsid w:val="006C3EB4"/>
    <w:rsid w:val="006C418C"/>
    <w:rsid w:val="006C4358"/>
    <w:rsid w:val="006C436B"/>
    <w:rsid w:val="006C437A"/>
    <w:rsid w:val="006C467F"/>
    <w:rsid w:val="006C4774"/>
    <w:rsid w:val="006C4780"/>
    <w:rsid w:val="006C47A5"/>
    <w:rsid w:val="006C4B6F"/>
    <w:rsid w:val="006C4C0B"/>
    <w:rsid w:val="006C4D25"/>
    <w:rsid w:val="006C4E03"/>
    <w:rsid w:val="006C4F67"/>
    <w:rsid w:val="006C509C"/>
    <w:rsid w:val="006C50EA"/>
    <w:rsid w:val="006C51D0"/>
    <w:rsid w:val="006C51F7"/>
    <w:rsid w:val="006C5226"/>
    <w:rsid w:val="006C52B7"/>
    <w:rsid w:val="006C5352"/>
    <w:rsid w:val="006C53EE"/>
    <w:rsid w:val="006C56BD"/>
    <w:rsid w:val="006C578E"/>
    <w:rsid w:val="006C59FF"/>
    <w:rsid w:val="006C5A39"/>
    <w:rsid w:val="006C5ADC"/>
    <w:rsid w:val="006C5B4E"/>
    <w:rsid w:val="006C5CD0"/>
    <w:rsid w:val="006C5E28"/>
    <w:rsid w:val="006C5E52"/>
    <w:rsid w:val="006C653B"/>
    <w:rsid w:val="006C661D"/>
    <w:rsid w:val="006C67D2"/>
    <w:rsid w:val="006C696A"/>
    <w:rsid w:val="006C69B0"/>
    <w:rsid w:val="006C69B4"/>
    <w:rsid w:val="006C6CD5"/>
    <w:rsid w:val="006C6D1F"/>
    <w:rsid w:val="006C6DF4"/>
    <w:rsid w:val="006C7135"/>
    <w:rsid w:val="006C7315"/>
    <w:rsid w:val="006C76A5"/>
    <w:rsid w:val="006C78B0"/>
    <w:rsid w:val="006C7951"/>
    <w:rsid w:val="006C79C0"/>
    <w:rsid w:val="006C79DA"/>
    <w:rsid w:val="006C7AF7"/>
    <w:rsid w:val="006C7B06"/>
    <w:rsid w:val="006C7C7A"/>
    <w:rsid w:val="006C7D5F"/>
    <w:rsid w:val="006C7E1D"/>
    <w:rsid w:val="006C7EB2"/>
    <w:rsid w:val="006D01BE"/>
    <w:rsid w:val="006D0269"/>
    <w:rsid w:val="006D03C8"/>
    <w:rsid w:val="006D03E8"/>
    <w:rsid w:val="006D0498"/>
    <w:rsid w:val="006D054D"/>
    <w:rsid w:val="006D0625"/>
    <w:rsid w:val="006D0704"/>
    <w:rsid w:val="006D0AFA"/>
    <w:rsid w:val="006D0B1F"/>
    <w:rsid w:val="006D0BA1"/>
    <w:rsid w:val="006D0BCF"/>
    <w:rsid w:val="006D0C35"/>
    <w:rsid w:val="006D0C5A"/>
    <w:rsid w:val="006D1003"/>
    <w:rsid w:val="006D11E9"/>
    <w:rsid w:val="006D12D8"/>
    <w:rsid w:val="006D156B"/>
    <w:rsid w:val="006D161A"/>
    <w:rsid w:val="006D1649"/>
    <w:rsid w:val="006D1653"/>
    <w:rsid w:val="006D17CE"/>
    <w:rsid w:val="006D17F9"/>
    <w:rsid w:val="006D194F"/>
    <w:rsid w:val="006D19F4"/>
    <w:rsid w:val="006D1CEF"/>
    <w:rsid w:val="006D2055"/>
    <w:rsid w:val="006D218F"/>
    <w:rsid w:val="006D2311"/>
    <w:rsid w:val="006D23D6"/>
    <w:rsid w:val="006D23ED"/>
    <w:rsid w:val="006D23EE"/>
    <w:rsid w:val="006D241C"/>
    <w:rsid w:val="006D2520"/>
    <w:rsid w:val="006D2844"/>
    <w:rsid w:val="006D293C"/>
    <w:rsid w:val="006D2A54"/>
    <w:rsid w:val="006D2EC9"/>
    <w:rsid w:val="006D2FAB"/>
    <w:rsid w:val="006D3326"/>
    <w:rsid w:val="006D33FD"/>
    <w:rsid w:val="006D34A7"/>
    <w:rsid w:val="006D367B"/>
    <w:rsid w:val="006D37AB"/>
    <w:rsid w:val="006D39A6"/>
    <w:rsid w:val="006D3AAF"/>
    <w:rsid w:val="006D3AE2"/>
    <w:rsid w:val="006D3AED"/>
    <w:rsid w:val="006D3BC4"/>
    <w:rsid w:val="006D3CE6"/>
    <w:rsid w:val="006D3D16"/>
    <w:rsid w:val="006D3D52"/>
    <w:rsid w:val="006D3EBB"/>
    <w:rsid w:val="006D4103"/>
    <w:rsid w:val="006D418B"/>
    <w:rsid w:val="006D4270"/>
    <w:rsid w:val="006D4362"/>
    <w:rsid w:val="006D470F"/>
    <w:rsid w:val="006D483F"/>
    <w:rsid w:val="006D4A98"/>
    <w:rsid w:val="006D4BDD"/>
    <w:rsid w:val="006D4BED"/>
    <w:rsid w:val="006D4D4F"/>
    <w:rsid w:val="006D4D81"/>
    <w:rsid w:val="006D4F62"/>
    <w:rsid w:val="006D4F74"/>
    <w:rsid w:val="006D4FA2"/>
    <w:rsid w:val="006D507A"/>
    <w:rsid w:val="006D5597"/>
    <w:rsid w:val="006D56D6"/>
    <w:rsid w:val="006D57C4"/>
    <w:rsid w:val="006D5910"/>
    <w:rsid w:val="006D59BD"/>
    <w:rsid w:val="006D5CA9"/>
    <w:rsid w:val="006D5CC6"/>
    <w:rsid w:val="006D604A"/>
    <w:rsid w:val="006D609C"/>
    <w:rsid w:val="006D6109"/>
    <w:rsid w:val="006D62D3"/>
    <w:rsid w:val="006D63BA"/>
    <w:rsid w:val="006D647F"/>
    <w:rsid w:val="006D6537"/>
    <w:rsid w:val="006D675D"/>
    <w:rsid w:val="006D6775"/>
    <w:rsid w:val="006D677F"/>
    <w:rsid w:val="006D68F8"/>
    <w:rsid w:val="006D6A3C"/>
    <w:rsid w:val="006D6AB9"/>
    <w:rsid w:val="006D6B8F"/>
    <w:rsid w:val="006D6C1A"/>
    <w:rsid w:val="006D6C7C"/>
    <w:rsid w:val="006D6F41"/>
    <w:rsid w:val="006D7060"/>
    <w:rsid w:val="006D7234"/>
    <w:rsid w:val="006D73B5"/>
    <w:rsid w:val="006D7542"/>
    <w:rsid w:val="006D764B"/>
    <w:rsid w:val="006D7784"/>
    <w:rsid w:val="006D7845"/>
    <w:rsid w:val="006D7959"/>
    <w:rsid w:val="006D7A38"/>
    <w:rsid w:val="006D7D30"/>
    <w:rsid w:val="006D7D48"/>
    <w:rsid w:val="006E00B6"/>
    <w:rsid w:val="006E012A"/>
    <w:rsid w:val="006E01B4"/>
    <w:rsid w:val="006E028F"/>
    <w:rsid w:val="006E0385"/>
    <w:rsid w:val="006E05FA"/>
    <w:rsid w:val="006E0838"/>
    <w:rsid w:val="006E0849"/>
    <w:rsid w:val="006E085B"/>
    <w:rsid w:val="006E08BE"/>
    <w:rsid w:val="006E0A6E"/>
    <w:rsid w:val="006E0DEC"/>
    <w:rsid w:val="006E1246"/>
    <w:rsid w:val="006E12D5"/>
    <w:rsid w:val="006E1305"/>
    <w:rsid w:val="006E1397"/>
    <w:rsid w:val="006E195A"/>
    <w:rsid w:val="006E1ACC"/>
    <w:rsid w:val="006E1C22"/>
    <w:rsid w:val="006E1C66"/>
    <w:rsid w:val="006E1D08"/>
    <w:rsid w:val="006E1D62"/>
    <w:rsid w:val="006E1DDA"/>
    <w:rsid w:val="006E1E30"/>
    <w:rsid w:val="006E1EC6"/>
    <w:rsid w:val="006E1F0F"/>
    <w:rsid w:val="006E1F41"/>
    <w:rsid w:val="006E1F8F"/>
    <w:rsid w:val="006E2044"/>
    <w:rsid w:val="006E2077"/>
    <w:rsid w:val="006E245E"/>
    <w:rsid w:val="006E25FC"/>
    <w:rsid w:val="006E267F"/>
    <w:rsid w:val="006E29D0"/>
    <w:rsid w:val="006E2AC9"/>
    <w:rsid w:val="006E2D1E"/>
    <w:rsid w:val="006E2DA5"/>
    <w:rsid w:val="006E30EC"/>
    <w:rsid w:val="006E3201"/>
    <w:rsid w:val="006E3239"/>
    <w:rsid w:val="006E3285"/>
    <w:rsid w:val="006E3329"/>
    <w:rsid w:val="006E35C5"/>
    <w:rsid w:val="006E3614"/>
    <w:rsid w:val="006E3740"/>
    <w:rsid w:val="006E37DF"/>
    <w:rsid w:val="006E38DF"/>
    <w:rsid w:val="006E3C86"/>
    <w:rsid w:val="006E3DA9"/>
    <w:rsid w:val="006E3E37"/>
    <w:rsid w:val="006E410D"/>
    <w:rsid w:val="006E430F"/>
    <w:rsid w:val="006E4694"/>
    <w:rsid w:val="006E4761"/>
    <w:rsid w:val="006E47E7"/>
    <w:rsid w:val="006E499F"/>
    <w:rsid w:val="006E4D8B"/>
    <w:rsid w:val="006E4EFC"/>
    <w:rsid w:val="006E5044"/>
    <w:rsid w:val="006E54DC"/>
    <w:rsid w:val="006E5576"/>
    <w:rsid w:val="006E56F0"/>
    <w:rsid w:val="006E577D"/>
    <w:rsid w:val="006E5AB4"/>
    <w:rsid w:val="006E5CAE"/>
    <w:rsid w:val="006E5CE2"/>
    <w:rsid w:val="006E5DBB"/>
    <w:rsid w:val="006E5F9F"/>
    <w:rsid w:val="006E61F4"/>
    <w:rsid w:val="006E62C4"/>
    <w:rsid w:val="006E6427"/>
    <w:rsid w:val="006E659F"/>
    <w:rsid w:val="006E6652"/>
    <w:rsid w:val="006E676F"/>
    <w:rsid w:val="006E690C"/>
    <w:rsid w:val="006E6A0B"/>
    <w:rsid w:val="006E6AAC"/>
    <w:rsid w:val="006E6D20"/>
    <w:rsid w:val="006E6DAB"/>
    <w:rsid w:val="006E6F48"/>
    <w:rsid w:val="006E6FB8"/>
    <w:rsid w:val="006E70A5"/>
    <w:rsid w:val="006E7210"/>
    <w:rsid w:val="006E72AE"/>
    <w:rsid w:val="006E72D7"/>
    <w:rsid w:val="006E7383"/>
    <w:rsid w:val="006E7440"/>
    <w:rsid w:val="006E773D"/>
    <w:rsid w:val="006E78D7"/>
    <w:rsid w:val="006E7940"/>
    <w:rsid w:val="006E7B3D"/>
    <w:rsid w:val="006E7D4C"/>
    <w:rsid w:val="006F011C"/>
    <w:rsid w:val="006F024E"/>
    <w:rsid w:val="006F0285"/>
    <w:rsid w:val="006F0299"/>
    <w:rsid w:val="006F02F6"/>
    <w:rsid w:val="006F036F"/>
    <w:rsid w:val="006F0902"/>
    <w:rsid w:val="006F09B2"/>
    <w:rsid w:val="006F0C54"/>
    <w:rsid w:val="006F0C8D"/>
    <w:rsid w:val="006F0CF6"/>
    <w:rsid w:val="006F0EB1"/>
    <w:rsid w:val="006F0F66"/>
    <w:rsid w:val="006F1236"/>
    <w:rsid w:val="006F1258"/>
    <w:rsid w:val="006F16C4"/>
    <w:rsid w:val="006F17A9"/>
    <w:rsid w:val="006F18CA"/>
    <w:rsid w:val="006F1C6C"/>
    <w:rsid w:val="006F1C8F"/>
    <w:rsid w:val="006F1CAA"/>
    <w:rsid w:val="006F20B9"/>
    <w:rsid w:val="006F21B1"/>
    <w:rsid w:val="006F2234"/>
    <w:rsid w:val="006F24A4"/>
    <w:rsid w:val="006F266F"/>
    <w:rsid w:val="006F27AB"/>
    <w:rsid w:val="006F2A7E"/>
    <w:rsid w:val="006F2C03"/>
    <w:rsid w:val="006F2D55"/>
    <w:rsid w:val="006F2D7C"/>
    <w:rsid w:val="006F2DB6"/>
    <w:rsid w:val="006F2EC1"/>
    <w:rsid w:val="006F317B"/>
    <w:rsid w:val="006F3206"/>
    <w:rsid w:val="006F32B2"/>
    <w:rsid w:val="006F3375"/>
    <w:rsid w:val="006F3605"/>
    <w:rsid w:val="006F3629"/>
    <w:rsid w:val="006F3703"/>
    <w:rsid w:val="006F379F"/>
    <w:rsid w:val="006F3E6B"/>
    <w:rsid w:val="006F407A"/>
    <w:rsid w:val="006F40DD"/>
    <w:rsid w:val="006F40F1"/>
    <w:rsid w:val="006F40FB"/>
    <w:rsid w:val="006F42BE"/>
    <w:rsid w:val="006F4412"/>
    <w:rsid w:val="006F45A9"/>
    <w:rsid w:val="006F45E1"/>
    <w:rsid w:val="006F4628"/>
    <w:rsid w:val="006F482C"/>
    <w:rsid w:val="006F4CF3"/>
    <w:rsid w:val="006F4D84"/>
    <w:rsid w:val="006F4FE9"/>
    <w:rsid w:val="006F5068"/>
    <w:rsid w:val="006F507C"/>
    <w:rsid w:val="006F52DA"/>
    <w:rsid w:val="006F5314"/>
    <w:rsid w:val="006F54F2"/>
    <w:rsid w:val="006F5547"/>
    <w:rsid w:val="006F5820"/>
    <w:rsid w:val="006F5A09"/>
    <w:rsid w:val="006F5A99"/>
    <w:rsid w:val="006F5BA9"/>
    <w:rsid w:val="006F5C21"/>
    <w:rsid w:val="006F5D93"/>
    <w:rsid w:val="006F5E2C"/>
    <w:rsid w:val="006F5E8C"/>
    <w:rsid w:val="006F5F7D"/>
    <w:rsid w:val="006F606B"/>
    <w:rsid w:val="006F634D"/>
    <w:rsid w:val="006F641C"/>
    <w:rsid w:val="006F6437"/>
    <w:rsid w:val="006F6730"/>
    <w:rsid w:val="006F6ADB"/>
    <w:rsid w:val="006F6C42"/>
    <w:rsid w:val="006F6CB6"/>
    <w:rsid w:val="006F6D75"/>
    <w:rsid w:val="006F6F5B"/>
    <w:rsid w:val="006F6F74"/>
    <w:rsid w:val="006F6FD6"/>
    <w:rsid w:val="006F70A4"/>
    <w:rsid w:val="006F73D9"/>
    <w:rsid w:val="006F74BD"/>
    <w:rsid w:val="006F7544"/>
    <w:rsid w:val="006F755C"/>
    <w:rsid w:val="006F75FE"/>
    <w:rsid w:val="006F7631"/>
    <w:rsid w:val="006F769A"/>
    <w:rsid w:val="006F77F4"/>
    <w:rsid w:val="006F7A87"/>
    <w:rsid w:val="006F7B1A"/>
    <w:rsid w:val="006F7D06"/>
    <w:rsid w:val="006F7E6B"/>
    <w:rsid w:val="006F7F5F"/>
    <w:rsid w:val="006F7F6A"/>
    <w:rsid w:val="00700061"/>
    <w:rsid w:val="00700063"/>
    <w:rsid w:val="007001FF"/>
    <w:rsid w:val="00700343"/>
    <w:rsid w:val="007004AB"/>
    <w:rsid w:val="007004FF"/>
    <w:rsid w:val="0070057D"/>
    <w:rsid w:val="00700A12"/>
    <w:rsid w:val="00700A46"/>
    <w:rsid w:val="00700B54"/>
    <w:rsid w:val="007013A6"/>
    <w:rsid w:val="007013E5"/>
    <w:rsid w:val="007013FE"/>
    <w:rsid w:val="0070159B"/>
    <w:rsid w:val="00701609"/>
    <w:rsid w:val="0070179A"/>
    <w:rsid w:val="00701832"/>
    <w:rsid w:val="00701983"/>
    <w:rsid w:val="00701B94"/>
    <w:rsid w:val="00701F54"/>
    <w:rsid w:val="00701FDF"/>
    <w:rsid w:val="00702045"/>
    <w:rsid w:val="00702051"/>
    <w:rsid w:val="00702135"/>
    <w:rsid w:val="0070218A"/>
    <w:rsid w:val="0070250B"/>
    <w:rsid w:val="00702662"/>
    <w:rsid w:val="007026ED"/>
    <w:rsid w:val="007026FD"/>
    <w:rsid w:val="007027A0"/>
    <w:rsid w:val="00702947"/>
    <w:rsid w:val="007029C0"/>
    <w:rsid w:val="00702A2C"/>
    <w:rsid w:val="00702C1F"/>
    <w:rsid w:val="00702CAC"/>
    <w:rsid w:val="00702CC3"/>
    <w:rsid w:val="00702DD3"/>
    <w:rsid w:val="0070314B"/>
    <w:rsid w:val="007031C8"/>
    <w:rsid w:val="00703288"/>
    <w:rsid w:val="0070328A"/>
    <w:rsid w:val="00703374"/>
    <w:rsid w:val="007033C6"/>
    <w:rsid w:val="00703469"/>
    <w:rsid w:val="0070347C"/>
    <w:rsid w:val="0070352E"/>
    <w:rsid w:val="007035D0"/>
    <w:rsid w:val="007035DF"/>
    <w:rsid w:val="00703680"/>
    <w:rsid w:val="007037A3"/>
    <w:rsid w:val="00703C37"/>
    <w:rsid w:val="00703D0E"/>
    <w:rsid w:val="00703D38"/>
    <w:rsid w:val="00703DD5"/>
    <w:rsid w:val="00703E2C"/>
    <w:rsid w:val="00703E58"/>
    <w:rsid w:val="00703E84"/>
    <w:rsid w:val="00703F55"/>
    <w:rsid w:val="0070402B"/>
    <w:rsid w:val="007040F6"/>
    <w:rsid w:val="0070413A"/>
    <w:rsid w:val="007042FA"/>
    <w:rsid w:val="00704345"/>
    <w:rsid w:val="0070445E"/>
    <w:rsid w:val="007046B6"/>
    <w:rsid w:val="00704737"/>
    <w:rsid w:val="00704800"/>
    <w:rsid w:val="007048C0"/>
    <w:rsid w:val="0070493D"/>
    <w:rsid w:val="0070497C"/>
    <w:rsid w:val="00704BA8"/>
    <w:rsid w:val="00704E61"/>
    <w:rsid w:val="00704FEA"/>
    <w:rsid w:val="00705181"/>
    <w:rsid w:val="007051E6"/>
    <w:rsid w:val="0070522A"/>
    <w:rsid w:val="00705745"/>
    <w:rsid w:val="0070590C"/>
    <w:rsid w:val="007059F4"/>
    <w:rsid w:val="00705E10"/>
    <w:rsid w:val="00705E14"/>
    <w:rsid w:val="00705E5B"/>
    <w:rsid w:val="00706117"/>
    <w:rsid w:val="00706198"/>
    <w:rsid w:val="00706243"/>
    <w:rsid w:val="0070636A"/>
    <w:rsid w:val="00706395"/>
    <w:rsid w:val="007063F5"/>
    <w:rsid w:val="007066F3"/>
    <w:rsid w:val="00706950"/>
    <w:rsid w:val="00706CA4"/>
    <w:rsid w:val="00706DA5"/>
    <w:rsid w:val="00706E1D"/>
    <w:rsid w:val="00707181"/>
    <w:rsid w:val="00707188"/>
    <w:rsid w:val="0070729E"/>
    <w:rsid w:val="00707425"/>
    <w:rsid w:val="0070747E"/>
    <w:rsid w:val="00707608"/>
    <w:rsid w:val="007076A1"/>
    <w:rsid w:val="007076D2"/>
    <w:rsid w:val="007076FD"/>
    <w:rsid w:val="007078FD"/>
    <w:rsid w:val="00707919"/>
    <w:rsid w:val="00707AAF"/>
    <w:rsid w:val="00707BC2"/>
    <w:rsid w:val="00707CAB"/>
    <w:rsid w:val="00707CCE"/>
    <w:rsid w:val="00707ECC"/>
    <w:rsid w:val="00710018"/>
    <w:rsid w:val="00710042"/>
    <w:rsid w:val="00710060"/>
    <w:rsid w:val="007101F3"/>
    <w:rsid w:val="00710342"/>
    <w:rsid w:val="007104E6"/>
    <w:rsid w:val="007105CE"/>
    <w:rsid w:val="00710650"/>
    <w:rsid w:val="007107C8"/>
    <w:rsid w:val="00710B24"/>
    <w:rsid w:val="00710F49"/>
    <w:rsid w:val="00710F4D"/>
    <w:rsid w:val="007113C7"/>
    <w:rsid w:val="00711425"/>
    <w:rsid w:val="00711435"/>
    <w:rsid w:val="0071153E"/>
    <w:rsid w:val="007115DA"/>
    <w:rsid w:val="0071177F"/>
    <w:rsid w:val="00711891"/>
    <w:rsid w:val="007118B5"/>
    <w:rsid w:val="007118DF"/>
    <w:rsid w:val="00711908"/>
    <w:rsid w:val="007119B1"/>
    <w:rsid w:val="007119CE"/>
    <w:rsid w:val="00711BBB"/>
    <w:rsid w:val="00711EF0"/>
    <w:rsid w:val="00711F25"/>
    <w:rsid w:val="0071214F"/>
    <w:rsid w:val="00712163"/>
    <w:rsid w:val="007122D5"/>
    <w:rsid w:val="007125E7"/>
    <w:rsid w:val="0071262A"/>
    <w:rsid w:val="0071279E"/>
    <w:rsid w:val="007127A2"/>
    <w:rsid w:val="007127F3"/>
    <w:rsid w:val="00712CB7"/>
    <w:rsid w:val="00712D38"/>
    <w:rsid w:val="007130C9"/>
    <w:rsid w:val="00713163"/>
    <w:rsid w:val="0071322C"/>
    <w:rsid w:val="007132B9"/>
    <w:rsid w:val="0071337C"/>
    <w:rsid w:val="0071339C"/>
    <w:rsid w:val="007134E4"/>
    <w:rsid w:val="007135CA"/>
    <w:rsid w:val="00713661"/>
    <w:rsid w:val="00713693"/>
    <w:rsid w:val="007136A2"/>
    <w:rsid w:val="00713800"/>
    <w:rsid w:val="00713848"/>
    <w:rsid w:val="0071396E"/>
    <w:rsid w:val="00713A35"/>
    <w:rsid w:val="00713B07"/>
    <w:rsid w:val="00713B84"/>
    <w:rsid w:val="00713BB7"/>
    <w:rsid w:val="00713C71"/>
    <w:rsid w:val="00713CD9"/>
    <w:rsid w:val="00713D20"/>
    <w:rsid w:val="00713F41"/>
    <w:rsid w:val="00714036"/>
    <w:rsid w:val="007140CE"/>
    <w:rsid w:val="00714110"/>
    <w:rsid w:val="0071435A"/>
    <w:rsid w:val="0071445F"/>
    <w:rsid w:val="0071465B"/>
    <w:rsid w:val="007146FA"/>
    <w:rsid w:val="007147DB"/>
    <w:rsid w:val="00714AF4"/>
    <w:rsid w:val="00714B61"/>
    <w:rsid w:val="00714B8C"/>
    <w:rsid w:val="00714D51"/>
    <w:rsid w:val="007153AD"/>
    <w:rsid w:val="00715486"/>
    <w:rsid w:val="007157BA"/>
    <w:rsid w:val="00715A2A"/>
    <w:rsid w:val="00715D59"/>
    <w:rsid w:val="00715E66"/>
    <w:rsid w:val="00715F37"/>
    <w:rsid w:val="00715FE7"/>
    <w:rsid w:val="007161BA"/>
    <w:rsid w:val="00716270"/>
    <w:rsid w:val="007166C9"/>
    <w:rsid w:val="007167AB"/>
    <w:rsid w:val="00716974"/>
    <w:rsid w:val="00716AFB"/>
    <w:rsid w:val="00716DD0"/>
    <w:rsid w:val="00717111"/>
    <w:rsid w:val="007175C8"/>
    <w:rsid w:val="0071765A"/>
    <w:rsid w:val="007177C4"/>
    <w:rsid w:val="0071783D"/>
    <w:rsid w:val="00717858"/>
    <w:rsid w:val="00717911"/>
    <w:rsid w:val="007179BA"/>
    <w:rsid w:val="007179CB"/>
    <w:rsid w:val="00717BEC"/>
    <w:rsid w:val="00717CAF"/>
    <w:rsid w:val="00717ECB"/>
    <w:rsid w:val="00717F38"/>
    <w:rsid w:val="00720145"/>
    <w:rsid w:val="00720384"/>
    <w:rsid w:val="007203BF"/>
    <w:rsid w:val="007205B1"/>
    <w:rsid w:val="007206FD"/>
    <w:rsid w:val="007209F1"/>
    <w:rsid w:val="00720BFD"/>
    <w:rsid w:val="00720C24"/>
    <w:rsid w:val="00720D0C"/>
    <w:rsid w:val="00720E29"/>
    <w:rsid w:val="00720FDB"/>
    <w:rsid w:val="007210A6"/>
    <w:rsid w:val="007210D3"/>
    <w:rsid w:val="0072116E"/>
    <w:rsid w:val="0072131A"/>
    <w:rsid w:val="007213F2"/>
    <w:rsid w:val="007216D1"/>
    <w:rsid w:val="007217AB"/>
    <w:rsid w:val="007217F1"/>
    <w:rsid w:val="007217FB"/>
    <w:rsid w:val="0072188F"/>
    <w:rsid w:val="007219A9"/>
    <w:rsid w:val="00721D8B"/>
    <w:rsid w:val="00722083"/>
    <w:rsid w:val="0072210B"/>
    <w:rsid w:val="00722129"/>
    <w:rsid w:val="0072224D"/>
    <w:rsid w:val="00722613"/>
    <w:rsid w:val="00722747"/>
    <w:rsid w:val="0072281B"/>
    <w:rsid w:val="007228C0"/>
    <w:rsid w:val="00722957"/>
    <w:rsid w:val="00722C83"/>
    <w:rsid w:val="00722D03"/>
    <w:rsid w:val="00722F19"/>
    <w:rsid w:val="00722FA9"/>
    <w:rsid w:val="00722FDA"/>
    <w:rsid w:val="007230C2"/>
    <w:rsid w:val="00723441"/>
    <w:rsid w:val="007234E2"/>
    <w:rsid w:val="00723556"/>
    <w:rsid w:val="007237E8"/>
    <w:rsid w:val="00723818"/>
    <w:rsid w:val="0072381A"/>
    <w:rsid w:val="00723867"/>
    <w:rsid w:val="00723B68"/>
    <w:rsid w:val="00723C44"/>
    <w:rsid w:val="00723E7A"/>
    <w:rsid w:val="00723F96"/>
    <w:rsid w:val="007241B2"/>
    <w:rsid w:val="00724460"/>
    <w:rsid w:val="007245E5"/>
    <w:rsid w:val="00724970"/>
    <w:rsid w:val="007249AC"/>
    <w:rsid w:val="00724A03"/>
    <w:rsid w:val="00724AD5"/>
    <w:rsid w:val="00724C2D"/>
    <w:rsid w:val="00724C9A"/>
    <w:rsid w:val="00724DEA"/>
    <w:rsid w:val="00724E60"/>
    <w:rsid w:val="00724E7C"/>
    <w:rsid w:val="00724ED7"/>
    <w:rsid w:val="00724F85"/>
    <w:rsid w:val="00725025"/>
    <w:rsid w:val="00725037"/>
    <w:rsid w:val="00725118"/>
    <w:rsid w:val="00725295"/>
    <w:rsid w:val="00725323"/>
    <w:rsid w:val="007253CB"/>
    <w:rsid w:val="007253EF"/>
    <w:rsid w:val="007254A7"/>
    <w:rsid w:val="007254F4"/>
    <w:rsid w:val="0072560B"/>
    <w:rsid w:val="00725619"/>
    <w:rsid w:val="00725802"/>
    <w:rsid w:val="00725A0B"/>
    <w:rsid w:val="00725A80"/>
    <w:rsid w:val="00725D32"/>
    <w:rsid w:val="00725E08"/>
    <w:rsid w:val="00725E52"/>
    <w:rsid w:val="00726048"/>
    <w:rsid w:val="007264D9"/>
    <w:rsid w:val="00726532"/>
    <w:rsid w:val="007265BE"/>
    <w:rsid w:val="007266EB"/>
    <w:rsid w:val="00726718"/>
    <w:rsid w:val="0072672B"/>
    <w:rsid w:val="00726753"/>
    <w:rsid w:val="00726ABC"/>
    <w:rsid w:val="00726C7A"/>
    <w:rsid w:val="00726D64"/>
    <w:rsid w:val="00726E11"/>
    <w:rsid w:val="00726E29"/>
    <w:rsid w:val="00726F01"/>
    <w:rsid w:val="0072701A"/>
    <w:rsid w:val="00727127"/>
    <w:rsid w:val="00727138"/>
    <w:rsid w:val="0072743F"/>
    <w:rsid w:val="007274A9"/>
    <w:rsid w:val="007275F2"/>
    <w:rsid w:val="00727674"/>
    <w:rsid w:val="00727688"/>
    <w:rsid w:val="007276CF"/>
    <w:rsid w:val="007277A4"/>
    <w:rsid w:val="00727806"/>
    <w:rsid w:val="00727AA8"/>
    <w:rsid w:val="00727B85"/>
    <w:rsid w:val="00727BA5"/>
    <w:rsid w:val="00727C5F"/>
    <w:rsid w:val="00727CFE"/>
    <w:rsid w:val="00727DA2"/>
    <w:rsid w:val="0072B3E9"/>
    <w:rsid w:val="0072C85D"/>
    <w:rsid w:val="007300CF"/>
    <w:rsid w:val="00730357"/>
    <w:rsid w:val="00730422"/>
    <w:rsid w:val="007307F9"/>
    <w:rsid w:val="00730910"/>
    <w:rsid w:val="00730A16"/>
    <w:rsid w:val="00730A1F"/>
    <w:rsid w:val="00730B5C"/>
    <w:rsid w:val="00730DA2"/>
    <w:rsid w:val="00730E7D"/>
    <w:rsid w:val="00730F52"/>
    <w:rsid w:val="0073112E"/>
    <w:rsid w:val="00731196"/>
    <w:rsid w:val="0073125E"/>
    <w:rsid w:val="00731313"/>
    <w:rsid w:val="0073133F"/>
    <w:rsid w:val="007313D0"/>
    <w:rsid w:val="00731456"/>
    <w:rsid w:val="007314E7"/>
    <w:rsid w:val="007317AA"/>
    <w:rsid w:val="0073183B"/>
    <w:rsid w:val="007318BF"/>
    <w:rsid w:val="00731AD0"/>
    <w:rsid w:val="00731B05"/>
    <w:rsid w:val="00731B5F"/>
    <w:rsid w:val="00731B8F"/>
    <w:rsid w:val="00731C6D"/>
    <w:rsid w:val="00731EA5"/>
    <w:rsid w:val="00731EBF"/>
    <w:rsid w:val="00731FE5"/>
    <w:rsid w:val="00732041"/>
    <w:rsid w:val="00732066"/>
    <w:rsid w:val="0073215A"/>
    <w:rsid w:val="007321E2"/>
    <w:rsid w:val="00732219"/>
    <w:rsid w:val="0073231A"/>
    <w:rsid w:val="007323A7"/>
    <w:rsid w:val="00732451"/>
    <w:rsid w:val="007325D8"/>
    <w:rsid w:val="007326BD"/>
    <w:rsid w:val="00732C94"/>
    <w:rsid w:val="00732E1E"/>
    <w:rsid w:val="00732F9A"/>
    <w:rsid w:val="0073308B"/>
    <w:rsid w:val="007330CD"/>
    <w:rsid w:val="00733167"/>
    <w:rsid w:val="00733226"/>
    <w:rsid w:val="007339F9"/>
    <w:rsid w:val="00733AA8"/>
    <w:rsid w:val="00733BA9"/>
    <w:rsid w:val="00733BFE"/>
    <w:rsid w:val="00733F9E"/>
    <w:rsid w:val="00733FEC"/>
    <w:rsid w:val="00734374"/>
    <w:rsid w:val="00734402"/>
    <w:rsid w:val="00734B20"/>
    <w:rsid w:val="00734C79"/>
    <w:rsid w:val="00734CA4"/>
    <w:rsid w:val="00734DE6"/>
    <w:rsid w:val="00734E90"/>
    <w:rsid w:val="00734EF6"/>
    <w:rsid w:val="00734FE8"/>
    <w:rsid w:val="00735390"/>
    <w:rsid w:val="00735398"/>
    <w:rsid w:val="00735536"/>
    <w:rsid w:val="0073553C"/>
    <w:rsid w:val="00735667"/>
    <w:rsid w:val="007356B1"/>
    <w:rsid w:val="00735899"/>
    <w:rsid w:val="0073594E"/>
    <w:rsid w:val="00735966"/>
    <w:rsid w:val="0073597A"/>
    <w:rsid w:val="00735999"/>
    <w:rsid w:val="00735B22"/>
    <w:rsid w:val="00735BFE"/>
    <w:rsid w:val="00735E05"/>
    <w:rsid w:val="00736020"/>
    <w:rsid w:val="00736062"/>
    <w:rsid w:val="0073633E"/>
    <w:rsid w:val="00736531"/>
    <w:rsid w:val="007365D6"/>
    <w:rsid w:val="00736642"/>
    <w:rsid w:val="00736647"/>
    <w:rsid w:val="00736685"/>
    <w:rsid w:val="007366E1"/>
    <w:rsid w:val="00736800"/>
    <w:rsid w:val="007368A7"/>
    <w:rsid w:val="007368E3"/>
    <w:rsid w:val="007368FE"/>
    <w:rsid w:val="0073693C"/>
    <w:rsid w:val="00736B65"/>
    <w:rsid w:val="00736B70"/>
    <w:rsid w:val="00736D64"/>
    <w:rsid w:val="007370A7"/>
    <w:rsid w:val="00737237"/>
    <w:rsid w:val="007372F8"/>
    <w:rsid w:val="0073768F"/>
    <w:rsid w:val="00737701"/>
    <w:rsid w:val="00737A9E"/>
    <w:rsid w:val="00737D5C"/>
    <w:rsid w:val="00740113"/>
    <w:rsid w:val="00740287"/>
    <w:rsid w:val="007403AB"/>
    <w:rsid w:val="00740452"/>
    <w:rsid w:val="007404FB"/>
    <w:rsid w:val="00740665"/>
    <w:rsid w:val="007406B4"/>
    <w:rsid w:val="007406E6"/>
    <w:rsid w:val="007407CF"/>
    <w:rsid w:val="00740825"/>
    <w:rsid w:val="00740890"/>
    <w:rsid w:val="007408B1"/>
    <w:rsid w:val="00740914"/>
    <w:rsid w:val="00740B12"/>
    <w:rsid w:val="00740B25"/>
    <w:rsid w:val="00740CAD"/>
    <w:rsid w:val="00740DBF"/>
    <w:rsid w:val="00740F29"/>
    <w:rsid w:val="00741009"/>
    <w:rsid w:val="00741269"/>
    <w:rsid w:val="00741279"/>
    <w:rsid w:val="007412D7"/>
    <w:rsid w:val="00741525"/>
    <w:rsid w:val="0074159D"/>
    <w:rsid w:val="0074168A"/>
    <w:rsid w:val="00741766"/>
    <w:rsid w:val="007417A4"/>
    <w:rsid w:val="007417BD"/>
    <w:rsid w:val="00741841"/>
    <w:rsid w:val="0074189F"/>
    <w:rsid w:val="00741BCE"/>
    <w:rsid w:val="00741BD9"/>
    <w:rsid w:val="00741C49"/>
    <w:rsid w:val="00741EC1"/>
    <w:rsid w:val="00742077"/>
    <w:rsid w:val="0074216A"/>
    <w:rsid w:val="0074218D"/>
    <w:rsid w:val="0074256C"/>
    <w:rsid w:val="007425DB"/>
    <w:rsid w:val="00742674"/>
    <w:rsid w:val="007426E7"/>
    <w:rsid w:val="00742716"/>
    <w:rsid w:val="00742760"/>
    <w:rsid w:val="0074298A"/>
    <w:rsid w:val="007429CC"/>
    <w:rsid w:val="00742A67"/>
    <w:rsid w:val="00742AA9"/>
    <w:rsid w:val="00742CB5"/>
    <w:rsid w:val="00742D88"/>
    <w:rsid w:val="00742D94"/>
    <w:rsid w:val="00742E5C"/>
    <w:rsid w:val="00742EA9"/>
    <w:rsid w:val="00742EC5"/>
    <w:rsid w:val="007431E9"/>
    <w:rsid w:val="00743398"/>
    <w:rsid w:val="0074342A"/>
    <w:rsid w:val="00743482"/>
    <w:rsid w:val="00743672"/>
    <w:rsid w:val="007436BB"/>
    <w:rsid w:val="00743714"/>
    <w:rsid w:val="00743B94"/>
    <w:rsid w:val="00743BAB"/>
    <w:rsid w:val="00743BE9"/>
    <w:rsid w:val="00743C5D"/>
    <w:rsid w:val="00743F51"/>
    <w:rsid w:val="00743FD9"/>
    <w:rsid w:val="0074406D"/>
    <w:rsid w:val="00744092"/>
    <w:rsid w:val="007440F0"/>
    <w:rsid w:val="007441AA"/>
    <w:rsid w:val="0074444E"/>
    <w:rsid w:val="00744724"/>
    <w:rsid w:val="0074475D"/>
    <w:rsid w:val="00744784"/>
    <w:rsid w:val="00744967"/>
    <w:rsid w:val="00744B53"/>
    <w:rsid w:val="00744C43"/>
    <w:rsid w:val="00744DDC"/>
    <w:rsid w:val="007450F0"/>
    <w:rsid w:val="00745199"/>
    <w:rsid w:val="00745311"/>
    <w:rsid w:val="0074552E"/>
    <w:rsid w:val="00745699"/>
    <w:rsid w:val="0074570D"/>
    <w:rsid w:val="0074573D"/>
    <w:rsid w:val="007457C2"/>
    <w:rsid w:val="0074599B"/>
    <w:rsid w:val="007459F8"/>
    <w:rsid w:val="00745A4D"/>
    <w:rsid w:val="00745BEC"/>
    <w:rsid w:val="00745D44"/>
    <w:rsid w:val="00745D9F"/>
    <w:rsid w:val="00745DC4"/>
    <w:rsid w:val="00745F47"/>
    <w:rsid w:val="00745FAA"/>
    <w:rsid w:val="007461C5"/>
    <w:rsid w:val="00746209"/>
    <w:rsid w:val="0074670A"/>
    <w:rsid w:val="00746E8E"/>
    <w:rsid w:val="007471A6"/>
    <w:rsid w:val="00747463"/>
    <w:rsid w:val="007474DC"/>
    <w:rsid w:val="00747A86"/>
    <w:rsid w:val="00747AAD"/>
    <w:rsid w:val="00747B75"/>
    <w:rsid w:val="00747B9C"/>
    <w:rsid w:val="00747F6D"/>
    <w:rsid w:val="0075009E"/>
    <w:rsid w:val="007500AA"/>
    <w:rsid w:val="0075028E"/>
    <w:rsid w:val="0075043D"/>
    <w:rsid w:val="007505E0"/>
    <w:rsid w:val="007505FC"/>
    <w:rsid w:val="00750661"/>
    <w:rsid w:val="0075083E"/>
    <w:rsid w:val="007508A1"/>
    <w:rsid w:val="00750971"/>
    <w:rsid w:val="00750A76"/>
    <w:rsid w:val="00750B0D"/>
    <w:rsid w:val="00750C76"/>
    <w:rsid w:val="00750D84"/>
    <w:rsid w:val="00750EA6"/>
    <w:rsid w:val="0075104E"/>
    <w:rsid w:val="00751257"/>
    <w:rsid w:val="007513C5"/>
    <w:rsid w:val="007515D9"/>
    <w:rsid w:val="007516A9"/>
    <w:rsid w:val="00751757"/>
    <w:rsid w:val="007517E7"/>
    <w:rsid w:val="0075188F"/>
    <w:rsid w:val="0075197B"/>
    <w:rsid w:val="00751A58"/>
    <w:rsid w:val="00751AFB"/>
    <w:rsid w:val="00751BE1"/>
    <w:rsid w:val="00751F88"/>
    <w:rsid w:val="00752022"/>
    <w:rsid w:val="00752555"/>
    <w:rsid w:val="00752704"/>
    <w:rsid w:val="0075289D"/>
    <w:rsid w:val="00752943"/>
    <w:rsid w:val="007529F3"/>
    <w:rsid w:val="00752D47"/>
    <w:rsid w:val="00752F06"/>
    <w:rsid w:val="00752F7E"/>
    <w:rsid w:val="007531E0"/>
    <w:rsid w:val="00753533"/>
    <w:rsid w:val="00753722"/>
    <w:rsid w:val="00753868"/>
    <w:rsid w:val="00753988"/>
    <w:rsid w:val="00753AB0"/>
    <w:rsid w:val="00753B8F"/>
    <w:rsid w:val="00753E60"/>
    <w:rsid w:val="00754090"/>
    <w:rsid w:val="00754303"/>
    <w:rsid w:val="007544AC"/>
    <w:rsid w:val="00754534"/>
    <w:rsid w:val="0075469F"/>
    <w:rsid w:val="007546D3"/>
    <w:rsid w:val="00754852"/>
    <w:rsid w:val="00754956"/>
    <w:rsid w:val="00754BE1"/>
    <w:rsid w:val="00754E37"/>
    <w:rsid w:val="00754FD4"/>
    <w:rsid w:val="00755200"/>
    <w:rsid w:val="00755457"/>
    <w:rsid w:val="0075557A"/>
    <w:rsid w:val="00755791"/>
    <w:rsid w:val="007558BD"/>
    <w:rsid w:val="007558D8"/>
    <w:rsid w:val="00755A25"/>
    <w:rsid w:val="00755AB6"/>
    <w:rsid w:val="00755C26"/>
    <w:rsid w:val="00755CA7"/>
    <w:rsid w:val="00755E5D"/>
    <w:rsid w:val="007561CA"/>
    <w:rsid w:val="007564CB"/>
    <w:rsid w:val="007564FF"/>
    <w:rsid w:val="00756726"/>
    <w:rsid w:val="007567CB"/>
    <w:rsid w:val="00756C80"/>
    <w:rsid w:val="00756DF3"/>
    <w:rsid w:val="0075717A"/>
    <w:rsid w:val="0075743C"/>
    <w:rsid w:val="007574BA"/>
    <w:rsid w:val="007574EE"/>
    <w:rsid w:val="007574FC"/>
    <w:rsid w:val="00757653"/>
    <w:rsid w:val="0075796A"/>
    <w:rsid w:val="007579F1"/>
    <w:rsid w:val="00757A1C"/>
    <w:rsid w:val="00757B55"/>
    <w:rsid w:val="00757DE5"/>
    <w:rsid w:val="00757E4A"/>
    <w:rsid w:val="00757EC0"/>
    <w:rsid w:val="00757F86"/>
    <w:rsid w:val="00757FAD"/>
    <w:rsid w:val="007600F6"/>
    <w:rsid w:val="00760262"/>
    <w:rsid w:val="007606ED"/>
    <w:rsid w:val="00760700"/>
    <w:rsid w:val="00760843"/>
    <w:rsid w:val="00760878"/>
    <w:rsid w:val="00760A16"/>
    <w:rsid w:val="00760A3A"/>
    <w:rsid w:val="00760ABF"/>
    <w:rsid w:val="00760ADA"/>
    <w:rsid w:val="00760D65"/>
    <w:rsid w:val="00760F95"/>
    <w:rsid w:val="007610A0"/>
    <w:rsid w:val="007611EF"/>
    <w:rsid w:val="00761362"/>
    <w:rsid w:val="00761381"/>
    <w:rsid w:val="00761590"/>
    <w:rsid w:val="00761672"/>
    <w:rsid w:val="007619FF"/>
    <w:rsid w:val="0076207E"/>
    <w:rsid w:val="007620D8"/>
    <w:rsid w:val="00762104"/>
    <w:rsid w:val="0076218E"/>
    <w:rsid w:val="00762232"/>
    <w:rsid w:val="0076250A"/>
    <w:rsid w:val="0076258A"/>
    <w:rsid w:val="007626B4"/>
    <w:rsid w:val="00762A00"/>
    <w:rsid w:val="00762B6C"/>
    <w:rsid w:val="00762C74"/>
    <w:rsid w:val="00762D73"/>
    <w:rsid w:val="00762F34"/>
    <w:rsid w:val="00762FDC"/>
    <w:rsid w:val="007632A3"/>
    <w:rsid w:val="007632E5"/>
    <w:rsid w:val="0076346C"/>
    <w:rsid w:val="00763703"/>
    <w:rsid w:val="007637D1"/>
    <w:rsid w:val="0076383E"/>
    <w:rsid w:val="007638F7"/>
    <w:rsid w:val="00763A3E"/>
    <w:rsid w:val="00763BFB"/>
    <w:rsid w:val="00763C6D"/>
    <w:rsid w:val="00763DF1"/>
    <w:rsid w:val="00763ED9"/>
    <w:rsid w:val="007641D2"/>
    <w:rsid w:val="00764813"/>
    <w:rsid w:val="00764A16"/>
    <w:rsid w:val="00765174"/>
    <w:rsid w:val="00765188"/>
    <w:rsid w:val="00765218"/>
    <w:rsid w:val="0076537C"/>
    <w:rsid w:val="0076562C"/>
    <w:rsid w:val="00765788"/>
    <w:rsid w:val="00765939"/>
    <w:rsid w:val="00765A68"/>
    <w:rsid w:val="00765AEC"/>
    <w:rsid w:val="00765B76"/>
    <w:rsid w:val="00765C13"/>
    <w:rsid w:val="00765C2D"/>
    <w:rsid w:val="00765C41"/>
    <w:rsid w:val="00766037"/>
    <w:rsid w:val="007660BC"/>
    <w:rsid w:val="00766164"/>
    <w:rsid w:val="007661D2"/>
    <w:rsid w:val="00766246"/>
    <w:rsid w:val="00766370"/>
    <w:rsid w:val="007663D6"/>
    <w:rsid w:val="00766580"/>
    <w:rsid w:val="007665AC"/>
    <w:rsid w:val="00766837"/>
    <w:rsid w:val="00766992"/>
    <w:rsid w:val="00766ABE"/>
    <w:rsid w:val="00766B3D"/>
    <w:rsid w:val="00766C15"/>
    <w:rsid w:val="00766C87"/>
    <w:rsid w:val="00766CB5"/>
    <w:rsid w:val="007670D0"/>
    <w:rsid w:val="00767360"/>
    <w:rsid w:val="007676EF"/>
    <w:rsid w:val="00767797"/>
    <w:rsid w:val="00767830"/>
    <w:rsid w:val="00767A8B"/>
    <w:rsid w:val="00767A9F"/>
    <w:rsid w:val="00767B2A"/>
    <w:rsid w:val="00767B6A"/>
    <w:rsid w:val="00767C08"/>
    <w:rsid w:val="00767C90"/>
    <w:rsid w:val="00767DBB"/>
    <w:rsid w:val="00767E5E"/>
    <w:rsid w:val="00767F7D"/>
    <w:rsid w:val="00767FD2"/>
    <w:rsid w:val="00767FDA"/>
    <w:rsid w:val="00770017"/>
    <w:rsid w:val="00770128"/>
    <w:rsid w:val="00770211"/>
    <w:rsid w:val="00770440"/>
    <w:rsid w:val="007705A9"/>
    <w:rsid w:val="007705D4"/>
    <w:rsid w:val="0077098D"/>
    <w:rsid w:val="00770B74"/>
    <w:rsid w:val="00770C61"/>
    <w:rsid w:val="00770D24"/>
    <w:rsid w:val="00770D6F"/>
    <w:rsid w:val="00770E5C"/>
    <w:rsid w:val="00771215"/>
    <w:rsid w:val="007714A5"/>
    <w:rsid w:val="00771557"/>
    <w:rsid w:val="007717B3"/>
    <w:rsid w:val="007717FA"/>
    <w:rsid w:val="00771A6B"/>
    <w:rsid w:val="00771AF3"/>
    <w:rsid w:val="00771B75"/>
    <w:rsid w:val="00771C52"/>
    <w:rsid w:val="00771D48"/>
    <w:rsid w:val="00771E6E"/>
    <w:rsid w:val="00771F00"/>
    <w:rsid w:val="007720A4"/>
    <w:rsid w:val="00772280"/>
    <w:rsid w:val="00772309"/>
    <w:rsid w:val="00772334"/>
    <w:rsid w:val="00772541"/>
    <w:rsid w:val="007725EB"/>
    <w:rsid w:val="0077271F"/>
    <w:rsid w:val="00772777"/>
    <w:rsid w:val="007727B1"/>
    <w:rsid w:val="007727B4"/>
    <w:rsid w:val="007729A5"/>
    <w:rsid w:val="007729EA"/>
    <w:rsid w:val="00772A6D"/>
    <w:rsid w:val="00772C11"/>
    <w:rsid w:val="00772C85"/>
    <w:rsid w:val="00773014"/>
    <w:rsid w:val="00773074"/>
    <w:rsid w:val="00773096"/>
    <w:rsid w:val="00773137"/>
    <w:rsid w:val="0077314C"/>
    <w:rsid w:val="007735E1"/>
    <w:rsid w:val="0077361A"/>
    <w:rsid w:val="007736C7"/>
    <w:rsid w:val="0077378A"/>
    <w:rsid w:val="00773859"/>
    <w:rsid w:val="007739CE"/>
    <w:rsid w:val="00773D75"/>
    <w:rsid w:val="00773E2F"/>
    <w:rsid w:val="00773E34"/>
    <w:rsid w:val="00774453"/>
    <w:rsid w:val="007747FF"/>
    <w:rsid w:val="00774C11"/>
    <w:rsid w:val="00774DC4"/>
    <w:rsid w:val="00774ED2"/>
    <w:rsid w:val="00774EEC"/>
    <w:rsid w:val="00774F7C"/>
    <w:rsid w:val="00774F98"/>
    <w:rsid w:val="00774FD3"/>
    <w:rsid w:val="00775004"/>
    <w:rsid w:val="00775088"/>
    <w:rsid w:val="00775158"/>
    <w:rsid w:val="007752BB"/>
    <w:rsid w:val="007753E7"/>
    <w:rsid w:val="0077547B"/>
    <w:rsid w:val="00775708"/>
    <w:rsid w:val="00775941"/>
    <w:rsid w:val="007759EF"/>
    <w:rsid w:val="00775B1A"/>
    <w:rsid w:val="00775CB0"/>
    <w:rsid w:val="00775E10"/>
    <w:rsid w:val="00775E1F"/>
    <w:rsid w:val="00775F9C"/>
    <w:rsid w:val="00775FC0"/>
    <w:rsid w:val="00776043"/>
    <w:rsid w:val="007760D6"/>
    <w:rsid w:val="007762A4"/>
    <w:rsid w:val="00776330"/>
    <w:rsid w:val="00776449"/>
    <w:rsid w:val="00776547"/>
    <w:rsid w:val="00776682"/>
    <w:rsid w:val="00776732"/>
    <w:rsid w:val="00776746"/>
    <w:rsid w:val="00776AE2"/>
    <w:rsid w:val="00776B0D"/>
    <w:rsid w:val="00776B0F"/>
    <w:rsid w:val="00776C5A"/>
    <w:rsid w:val="00776C61"/>
    <w:rsid w:val="00776DDE"/>
    <w:rsid w:val="00776F20"/>
    <w:rsid w:val="007771AB"/>
    <w:rsid w:val="007772B9"/>
    <w:rsid w:val="0077755B"/>
    <w:rsid w:val="0077773B"/>
    <w:rsid w:val="00777760"/>
    <w:rsid w:val="00777772"/>
    <w:rsid w:val="007777B0"/>
    <w:rsid w:val="007778AA"/>
    <w:rsid w:val="00777A8E"/>
    <w:rsid w:val="00777B3A"/>
    <w:rsid w:val="00777C47"/>
    <w:rsid w:val="00777CC7"/>
    <w:rsid w:val="00777D5A"/>
    <w:rsid w:val="00777DE5"/>
    <w:rsid w:val="00780147"/>
    <w:rsid w:val="00780148"/>
    <w:rsid w:val="0078014F"/>
    <w:rsid w:val="007804D2"/>
    <w:rsid w:val="0078055F"/>
    <w:rsid w:val="007805A0"/>
    <w:rsid w:val="00780620"/>
    <w:rsid w:val="00780641"/>
    <w:rsid w:val="00780758"/>
    <w:rsid w:val="007807A8"/>
    <w:rsid w:val="00780A76"/>
    <w:rsid w:val="00780AD0"/>
    <w:rsid w:val="00780C1A"/>
    <w:rsid w:val="00780CD6"/>
    <w:rsid w:val="00780D26"/>
    <w:rsid w:val="00780DC1"/>
    <w:rsid w:val="00780E2D"/>
    <w:rsid w:val="00781021"/>
    <w:rsid w:val="007811C4"/>
    <w:rsid w:val="007811EC"/>
    <w:rsid w:val="00781280"/>
    <w:rsid w:val="007812F6"/>
    <w:rsid w:val="00781785"/>
    <w:rsid w:val="00781896"/>
    <w:rsid w:val="0078192A"/>
    <w:rsid w:val="007819D2"/>
    <w:rsid w:val="007819F5"/>
    <w:rsid w:val="00781BA6"/>
    <w:rsid w:val="00781BFF"/>
    <w:rsid w:val="00781E09"/>
    <w:rsid w:val="00781E86"/>
    <w:rsid w:val="00781E89"/>
    <w:rsid w:val="007821D0"/>
    <w:rsid w:val="0078237F"/>
    <w:rsid w:val="00782396"/>
    <w:rsid w:val="00782398"/>
    <w:rsid w:val="0078262F"/>
    <w:rsid w:val="007829CA"/>
    <w:rsid w:val="00782B59"/>
    <w:rsid w:val="00782C97"/>
    <w:rsid w:val="00782CB9"/>
    <w:rsid w:val="00782D68"/>
    <w:rsid w:val="00782F0A"/>
    <w:rsid w:val="00783078"/>
    <w:rsid w:val="007830B5"/>
    <w:rsid w:val="007832C4"/>
    <w:rsid w:val="00783570"/>
    <w:rsid w:val="00783893"/>
    <w:rsid w:val="00783A2F"/>
    <w:rsid w:val="00783AA6"/>
    <w:rsid w:val="00783D1D"/>
    <w:rsid w:val="00783DA2"/>
    <w:rsid w:val="00783E22"/>
    <w:rsid w:val="00784433"/>
    <w:rsid w:val="00784484"/>
    <w:rsid w:val="007844F7"/>
    <w:rsid w:val="007846A3"/>
    <w:rsid w:val="00784719"/>
    <w:rsid w:val="00784760"/>
    <w:rsid w:val="0078495C"/>
    <w:rsid w:val="00784984"/>
    <w:rsid w:val="00784985"/>
    <w:rsid w:val="00784BDE"/>
    <w:rsid w:val="00784C69"/>
    <w:rsid w:val="00784EA2"/>
    <w:rsid w:val="00785080"/>
    <w:rsid w:val="0078558D"/>
    <w:rsid w:val="007856F2"/>
    <w:rsid w:val="007859D4"/>
    <w:rsid w:val="00785AD9"/>
    <w:rsid w:val="00785BAF"/>
    <w:rsid w:val="00785BCE"/>
    <w:rsid w:val="00785D24"/>
    <w:rsid w:val="00785D6D"/>
    <w:rsid w:val="00785DD2"/>
    <w:rsid w:val="00785F8E"/>
    <w:rsid w:val="00786087"/>
    <w:rsid w:val="007860E5"/>
    <w:rsid w:val="007863AA"/>
    <w:rsid w:val="007863AF"/>
    <w:rsid w:val="007864BD"/>
    <w:rsid w:val="00786510"/>
    <w:rsid w:val="007865FD"/>
    <w:rsid w:val="0078674C"/>
    <w:rsid w:val="007867F8"/>
    <w:rsid w:val="007867FB"/>
    <w:rsid w:val="0078685B"/>
    <w:rsid w:val="007868C8"/>
    <w:rsid w:val="007869D8"/>
    <w:rsid w:val="00786ABF"/>
    <w:rsid w:val="00786CA2"/>
    <w:rsid w:val="00786DA5"/>
    <w:rsid w:val="00786F6A"/>
    <w:rsid w:val="00787019"/>
    <w:rsid w:val="00787030"/>
    <w:rsid w:val="00787223"/>
    <w:rsid w:val="0078722E"/>
    <w:rsid w:val="007873AC"/>
    <w:rsid w:val="007873C3"/>
    <w:rsid w:val="00787505"/>
    <w:rsid w:val="0078791F"/>
    <w:rsid w:val="00787922"/>
    <w:rsid w:val="00787992"/>
    <w:rsid w:val="00787A28"/>
    <w:rsid w:val="00787B51"/>
    <w:rsid w:val="00787C63"/>
    <w:rsid w:val="00787E0C"/>
    <w:rsid w:val="00787EC5"/>
    <w:rsid w:val="00787F48"/>
    <w:rsid w:val="00790084"/>
    <w:rsid w:val="007900AD"/>
    <w:rsid w:val="007902C4"/>
    <w:rsid w:val="007904BF"/>
    <w:rsid w:val="007904DD"/>
    <w:rsid w:val="00790599"/>
    <w:rsid w:val="007905D6"/>
    <w:rsid w:val="00790606"/>
    <w:rsid w:val="0079061E"/>
    <w:rsid w:val="00790653"/>
    <w:rsid w:val="007909A3"/>
    <w:rsid w:val="00790A21"/>
    <w:rsid w:val="00790B92"/>
    <w:rsid w:val="00790D57"/>
    <w:rsid w:val="00790DCB"/>
    <w:rsid w:val="00790FCC"/>
    <w:rsid w:val="00790FF3"/>
    <w:rsid w:val="00791047"/>
    <w:rsid w:val="007910EB"/>
    <w:rsid w:val="007910FB"/>
    <w:rsid w:val="00791140"/>
    <w:rsid w:val="007919A2"/>
    <w:rsid w:val="00791A55"/>
    <w:rsid w:val="00791AC4"/>
    <w:rsid w:val="00791BAA"/>
    <w:rsid w:val="00791CD3"/>
    <w:rsid w:val="00791D0F"/>
    <w:rsid w:val="00791E49"/>
    <w:rsid w:val="00791F90"/>
    <w:rsid w:val="00792504"/>
    <w:rsid w:val="0079260E"/>
    <w:rsid w:val="007926B9"/>
    <w:rsid w:val="007928D3"/>
    <w:rsid w:val="00792A7F"/>
    <w:rsid w:val="00792A9E"/>
    <w:rsid w:val="00792AA1"/>
    <w:rsid w:val="00792BF3"/>
    <w:rsid w:val="00792C96"/>
    <w:rsid w:val="00792F0A"/>
    <w:rsid w:val="007931ED"/>
    <w:rsid w:val="0079322A"/>
    <w:rsid w:val="007932F5"/>
    <w:rsid w:val="00793537"/>
    <w:rsid w:val="007935FB"/>
    <w:rsid w:val="0079385F"/>
    <w:rsid w:val="00793A03"/>
    <w:rsid w:val="00793ADB"/>
    <w:rsid w:val="00793B1A"/>
    <w:rsid w:val="00793C42"/>
    <w:rsid w:val="00793DEC"/>
    <w:rsid w:val="00793EA1"/>
    <w:rsid w:val="00793EF9"/>
    <w:rsid w:val="00793F70"/>
    <w:rsid w:val="00793FE2"/>
    <w:rsid w:val="007941C1"/>
    <w:rsid w:val="00794238"/>
    <w:rsid w:val="007942C1"/>
    <w:rsid w:val="00794339"/>
    <w:rsid w:val="007944AB"/>
    <w:rsid w:val="007944BB"/>
    <w:rsid w:val="00794587"/>
    <w:rsid w:val="0079466E"/>
    <w:rsid w:val="00794706"/>
    <w:rsid w:val="007947CB"/>
    <w:rsid w:val="00794890"/>
    <w:rsid w:val="007948D2"/>
    <w:rsid w:val="00794990"/>
    <w:rsid w:val="007949E9"/>
    <w:rsid w:val="00794A75"/>
    <w:rsid w:val="00794EBF"/>
    <w:rsid w:val="00795155"/>
    <w:rsid w:val="007953C9"/>
    <w:rsid w:val="0079544F"/>
    <w:rsid w:val="00795536"/>
    <w:rsid w:val="00795D63"/>
    <w:rsid w:val="00795DDB"/>
    <w:rsid w:val="00795E90"/>
    <w:rsid w:val="00795EA9"/>
    <w:rsid w:val="00796290"/>
    <w:rsid w:val="00796554"/>
    <w:rsid w:val="00796578"/>
    <w:rsid w:val="0079659B"/>
    <w:rsid w:val="007965EF"/>
    <w:rsid w:val="00796686"/>
    <w:rsid w:val="00796896"/>
    <w:rsid w:val="00796944"/>
    <w:rsid w:val="00796B55"/>
    <w:rsid w:val="00796B97"/>
    <w:rsid w:val="00796F7A"/>
    <w:rsid w:val="0079716C"/>
    <w:rsid w:val="007971ED"/>
    <w:rsid w:val="007973CE"/>
    <w:rsid w:val="00797672"/>
    <w:rsid w:val="007978D6"/>
    <w:rsid w:val="00797976"/>
    <w:rsid w:val="00797A1D"/>
    <w:rsid w:val="00797B6F"/>
    <w:rsid w:val="00797C29"/>
    <w:rsid w:val="00797EDB"/>
    <w:rsid w:val="00797FF6"/>
    <w:rsid w:val="007A0094"/>
    <w:rsid w:val="007A01A2"/>
    <w:rsid w:val="007A01AF"/>
    <w:rsid w:val="007A01EE"/>
    <w:rsid w:val="007A0334"/>
    <w:rsid w:val="007A07C3"/>
    <w:rsid w:val="007A084B"/>
    <w:rsid w:val="007A09A5"/>
    <w:rsid w:val="007A09F1"/>
    <w:rsid w:val="007A0A9F"/>
    <w:rsid w:val="007A0AD6"/>
    <w:rsid w:val="007A0AFC"/>
    <w:rsid w:val="007A0BA2"/>
    <w:rsid w:val="007A0DA1"/>
    <w:rsid w:val="007A0EF0"/>
    <w:rsid w:val="007A11E7"/>
    <w:rsid w:val="007A1254"/>
    <w:rsid w:val="007A1643"/>
    <w:rsid w:val="007A1658"/>
    <w:rsid w:val="007A1661"/>
    <w:rsid w:val="007A189C"/>
    <w:rsid w:val="007A1921"/>
    <w:rsid w:val="007A192A"/>
    <w:rsid w:val="007A1A11"/>
    <w:rsid w:val="007A1E13"/>
    <w:rsid w:val="007A2119"/>
    <w:rsid w:val="007A2271"/>
    <w:rsid w:val="007A24C9"/>
    <w:rsid w:val="007A26A2"/>
    <w:rsid w:val="007A26C6"/>
    <w:rsid w:val="007A2821"/>
    <w:rsid w:val="007A28E9"/>
    <w:rsid w:val="007A290B"/>
    <w:rsid w:val="007A2A0D"/>
    <w:rsid w:val="007A2E10"/>
    <w:rsid w:val="007A2E38"/>
    <w:rsid w:val="007A30AD"/>
    <w:rsid w:val="007A3125"/>
    <w:rsid w:val="007A3139"/>
    <w:rsid w:val="007A3262"/>
    <w:rsid w:val="007A328D"/>
    <w:rsid w:val="007A3349"/>
    <w:rsid w:val="007A33FD"/>
    <w:rsid w:val="007A3700"/>
    <w:rsid w:val="007A3791"/>
    <w:rsid w:val="007A38C4"/>
    <w:rsid w:val="007A38D2"/>
    <w:rsid w:val="007A3B17"/>
    <w:rsid w:val="007A3BBB"/>
    <w:rsid w:val="007A3BCC"/>
    <w:rsid w:val="007A3D82"/>
    <w:rsid w:val="007A3ECC"/>
    <w:rsid w:val="007A3F2A"/>
    <w:rsid w:val="007A3F2E"/>
    <w:rsid w:val="007A4031"/>
    <w:rsid w:val="007A4084"/>
    <w:rsid w:val="007A4108"/>
    <w:rsid w:val="007A4420"/>
    <w:rsid w:val="007A466D"/>
    <w:rsid w:val="007A479D"/>
    <w:rsid w:val="007A4855"/>
    <w:rsid w:val="007A4883"/>
    <w:rsid w:val="007A48DF"/>
    <w:rsid w:val="007A49C5"/>
    <w:rsid w:val="007A49F5"/>
    <w:rsid w:val="007A4B86"/>
    <w:rsid w:val="007A4BFC"/>
    <w:rsid w:val="007A50EB"/>
    <w:rsid w:val="007A51EA"/>
    <w:rsid w:val="007A5274"/>
    <w:rsid w:val="007A5307"/>
    <w:rsid w:val="007A53C0"/>
    <w:rsid w:val="007A5540"/>
    <w:rsid w:val="007A55C2"/>
    <w:rsid w:val="007A56FE"/>
    <w:rsid w:val="007A592A"/>
    <w:rsid w:val="007A596C"/>
    <w:rsid w:val="007A5A48"/>
    <w:rsid w:val="007A5E89"/>
    <w:rsid w:val="007A5EE5"/>
    <w:rsid w:val="007A6024"/>
    <w:rsid w:val="007A60B4"/>
    <w:rsid w:val="007A60EE"/>
    <w:rsid w:val="007A640A"/>
    <w:rsid w:val="007A664C"/>
    <w:rsid w:val="007A6884"/>
    <w:rsid w:val="007A6945"/>
    <w:rsid w:val="007A696B"/>
    <w:rsid w:val="007A7324"/>
    <w:rsid w:val="007A7382"/>
    <w:rsid w:val="007A7436"/>
    <w:rsid w:val="007A7571"/>
    <w:rsid w:val="007A75E9"/>
    <w:rsid w:val="007A7612"/>
    <w:rsid w:val="007A76CE"/>
    <w:rsid w:val="007A7712"/>
    <w:rsid w:val="007A7A6D"/>
    <w:rsid w:val="007A7A71"/>
    <w:rsid w:val="007A7A81"/>
    <w:rsid w:val="007A7A97"/>
    <w:rsid w:val="007A7CDD"/>
    <w:rsid w:val="007B0050"/>
    <w:rsid w:val="007B0286"/>
    <w:rsid w:val="007B0381"/>
    <w:rsid w:val="007B0419"/>
    <w:rsid w:val="007B04E8"/>
    <w:rsid w:val="007B0514"/>
    <w:rsid w:val="007B0615"/>
    <w:rsid w:val="007B06BB"/>
    <w:rsid w:val="007B0736"/>
    <w:rsid w:val="007B0844"/>
    <w:rsid w:val="007B091D"/>
    <w:rsid w:val="007B0950"/>
    <w:rsid w:val="007B0BF7"/>
    <w:rsid w:val="007B0C6B"/>
    <w:rsid w:val="007B0D29"/>
    <w:rsid w:val="007B0D34"/>
    <w:rsid w:val="007B0D68"/>
    <w:rsid w:val="007B0DFD"/>
    <w:rsid w:val="007B1007"/>
    <w:rsid w:val="007B133F"/>
    <w:rsid w:val="007B13D6"/>
    <w:rsid w:val="007B1428"/>
    <w:rsid w:val="007B142B"/>
    <w:rsid w:val="007B1468"/>
    <w:rsid w:val="007B1617"/>
    <w:rsid w:val="007B16A7"/>
    <w:rsid w:val="007B1AC5"/>
    <w:rsid w:val="007B1C62"/>
    <w:rsid w:val="007B1DDC"/>
    <w:rsid w:val="007B1E56"/>
    <w:rsid w:val="007B1EFF"/>
    <w:rsid w:val="007B1FF9"/>
    <w:rsid w:val="007B200D"/>
    <w:rsid w:val="007B2053"/>
    <w:rsid w:val="007B2072"/>
    <w:rsid w:val="007B2518"/>
    <w:rsid w:val="007B2574"/>
    <w:rsid w:val="007B2765"/>
    <w:rsid w:val="007B2864"/>
    <w:rsid w:val="007B28F6"/>
    <w:rsid w:val="007B29F7"/>
    <w:rsid w:val="007B2B2F"/>
    <w:rsid w:val="007B2CF1"/>
    <w:rsid w:val="007B2D1F"/>
    <w:rsid w:val="007B330F"/>
    <w:rsid w:val="007B345E"/>
    <w:rsid w:val="007B351A"/>
    <w:rsid w:val="007B35F7"/>
    <w:rsid w:val="007B3BA2"/>
    <w:rsid w:val="007B3C44"/>
    <w:rsid w:val="007B3EBE"/>
    <w:rsid w:val="007B41EB"/>
    <w:rsid w:val="007B42CF"/>
    <w:rsid w:val="007B42F9"/>
    <w:rsid w:val="007B43C4"/>
    <w:rsid w:val="007B4487"/>
    <w:rsid w:val="007B46E4"/>
    <w:rsid w:val="007B48A6"/>
    <w:rsid w:val="007B4943"/>
    <w:rsid w:val="007B4BC5"/>
    <w:rsid w:val="007B4D3B"/>
    <w:rsid w:val="007B4D58"/>
    <w:rsid w:val="007B4DED"/>
    <w:rsid w:val="007B4EB7"/>
    <w:rsid w:val="007B500F"/>
    <w:rsid w:val="007B5011"/>
    <w:rsid w:val="007B5049"/>
    <w:rsid w:val="007B52DB"/>
    <w:rsid w:val="007B5300"/>
    <w:rsid w:val="007B5407"/>
    <w:rsid w:val="007B546A"/>
    <w:rsid w:val="007B54BC"/>
    <w:rsid w:val="007B54E2"/>
    <w:rsid w:val="007B54EA"/>
    <w:rsid w:val="007B5598"/>
    <w:rsid w:val="007B580F"/>
    <w:rsid w:val="007B5ACC"/>
    <w:rsid w:val="007B5B10"/>
    <w:rsid w:val="007B5BB6"/>
    <w:rsid w:val="007B5D4D"/>
    <w:rsid w:val="007B5DED"/>
    <w:rsid w:val="007B5E5D"/>
    <w:rsid w:val="007B60C5"/>
    <w:rsid w:val="007B619E"/>
    <w:rsid w:val="007B627F"/>
    <w:rsid w:val="007B6299"/>
    <w:rsid w:val="007B65D9"/>
    <w:rsid w:val="007B66BF"/>
    <w:rsid w:val="007B6810"/>
    <w:rsid w:val="007B6865"/>
    <w:rsid w:val="007B6873"/>
    <w:rsid w:val="007B6931"/>
    <w:rsid w:val="007B6A22"/>
    <w:rsid w:val="007B6AD3"/>
    <w:rsid w:val="007B6BA4"/>
    <w:rsid w:val="007B6C3A"/>
    <w:rsid w:val="007B6D1E"/>
    <w:rsid w:val="007B6EDE"/>
    <w:rsid w:val="007B6F0D"/>
    <w:rsid w:val="007B719A"/>
    <w:rsid w:val="007B7281"/>
    <w:rsid w:val="007B7372"/>
    <w:rsid w:val="007B7465"/>
    <w:rsid w:val="007B76B0"/>
    <w:rsid w:val="007B7A1E"/>
    <w:rsid w:val="007B7A97"/>
    <w:rsid w:val="007B7B62"/>
    <w:rsid w:val="007B7B73"/>
    <w:rsid w:val="007B7BF0"/>
    <w:rsid w:val="007B7CDF"/>
    <w:rsid w:val="007B7DB5"/>
    <w:rsid w:val="007B7EA1"/>
    <w:rsid w:val="007B7F73"/>
    <w:rsid w:val="007C0100"/>
    <w:rsid w:val="007C0148"/>
    <w:rsid w:val="007C0150"/>
    <w:rsid w:val="007C01E1"/>
    <w:rsid w:val="007C02D0"/>
    <w:rsid w:val="007C0339"/>
    <w:rsid w:val="007C04E0"/>
    <w:rsid w:val="007C0548"/>
    <w:rsid w:val="007C0591"/>
    <w:rsid w:val="007C07E0"/>
    <w:rsid w:val="007C0861"/>
    <w:rsid w:val="007C08CE"/>
    <w:rsid w:val="007C092E"/>
    <w:rsid w:val="007C0A04"/>
    <w:rsid w:val="007C0B92"/>
    <w:rsid w:val="007C0D39"/>
    <w:rsid w:val="007C0F47"/>
    <w:rsid w:val="007C119E"/>
    <w:rsid w:val="007C129F"/>
    <w:rsid w:val="007C131C"/>
    <w:rsid w:val="007C139B"/>
    <w:rsid w:val="007C155C"/>
    <w:rsid w:val="007C18C4"/>
    <w:rsid w:val="007C1A92"/>
    <w:rsid w:val="007C1D0B"/>
    <w:rsid w:val="007C1D88"/>
    <w:rsid w:val="007C1E6A"/>
    <w:rsid w:val="007C1E6F"/>
    <w:rsid w:val="007C21EC"/>
    <w:rsid w:val="007C22B6"/>
    <w:rsid w:val="007C2354"/>
    <w:rsid w:val="007C2381"/>
    <w:rsid w:val="007C2419"/>
    <w:rsid w:val="007C26B8"/>
    <w:rsid w:val="007C27DA"/>
    <w:rsid w:val="007C289B"/>
    <w:rsid w:val="007C28ED"/>
    <w:rsid w:val="007C2A10"/>
    <w:rsid w:val="007C2CF7"/>
    <w:rsid w:val="007C2D76"/>
    <w:rsid w:val="007C31CE"/>
    <w:rsid w:val="007C31EC"/>
    <w:rsid w:val="007C332A"/>
    <w:rsid w:val="007C335A"/>
    <w:rsid w:val="007C3372"/>
    <w:rsid w:val="007C350C"/>
    <w:rsid w:val="007C35FE"/>
    <w:rsid w:val="007C36A5"/>
    <w:rsid w:val="007C36FA"/>
    <w:rsid w:val="007C37B3"/>
    <w:rsid w:val="007C3840"/>
    <w:rsid w:val="007C3B64"/>
    <w:rsid w:val="007C3EAE"/>
    <w:rsid w:val="007C3FB1"/>
    <w:rsid w:val="007C3FDB"/>
    <w:rsid w:val="007C40BC"/>
    <w:rsid w:val="007C4142"/>
    <w:rsid w:val="007C421F"/>
    <w:rsid w:val="007C422A"/>
    <w:rsid w:val="007C4297"/>
    <w:rsid w:val="007C438C"/>
    <w:rsid w:val="007C44D4"/>
    <w:rsid w:val="007C457C"/>
    <w:rsid w:val="007C47C4"/>
    <w:rsid w:val="007C4826"/>
    <w:rsid w:val="007C485E"/>
    <w:rsid w:val="007C493A"/>
    <w:rsid w:val="007C4ACA"/>
    <w:rsid w:val="007C4B57"/>
    <w:rsid w:val="007C4BAE"/>
    <w:rsid w:val="007C4C12"/>
    <w:rsid w:val="007C4CE3"/>
    <w:rsid w:val="007C5043"/>
    <w:rsid w:val="007C51D3"/>
    <w:rsid w:val="007C51FA"/>
    <w:rsid w:val="007C5200"/>
    <w:rsid w:val="007C52E4"/>
    <w:rsid w:val="007C53C8"/>
    <w:rsid w:val="007C54DC"/>
    <w:rsid w:val="007C57A8"/>
    <w:rsid w:val="007C5B4F"/>
    <w:rsid w:val="007C604D"/>
    <w:rsid w:val="007C607B"/>
    <w:rsid w:val="007C60F0"/>
    <w:rsid w:val="007C610B"/>
    <w:rsid w:val="007C6111"/>
    <w:rsid w:val="007C61EB"/>
    <w:rsid w:val="007C6226"/>
    <w:rsid w:val="007C6278"/>
    <w:rsid w:val="007C62B6"/>
    <w:rsid w:val="007C62C5"/>
    <w:rsid w:val="007C652D"/>
    <w:rsid w:val="007C659B"/>
    <w:rsid w:val="007C66BF"/>
    <w:rsid w:val="007C67FA"/>
    <w:rsid w:val="007C697E"/>
    <w:rsid w:val="007C6B57"/>
    <w:rsid w:val="007C6CD5"/>
    <w:rsid w:val="007C6E62"/>
    <w:rsid w:val="007C6EB6"/>
    <w:rsid w:val="007C6EC9"/>
    <w:rsid w:val="007C6F0F"/>
    <w:rsid w:val="007C7320"/>
    <w:rsid w:val="007C752D"/>
    <w:rsid w:val="007C75D0"/>
    <w:rsid w:val="007C76E8"/>
    <w:rsid w:val="007C7744"/>
    <w:rsid w:val="007C7A44"/>
    <w:rsid w:val="007C7A66"/>
    <w:rsid w:val="007C7D09"/>
    <w:rsid w:val="007C7DE2"/>
    <w:rsid w:val="007C7DE8"/>
    <w:rsid w:val="007C7F49"/>
    <w:rsid w:val="007D0118"/>
    <w:rsid w:val="007D055F"/>
    <w:rsid w:val="007D05A6"/>
    <w:rsid w:val="007D091B"/>
    <w:rsid w:val="007D0BED"/>
    <w:rsid w:val="007D0CE4"/>
    <w:rsid w:val="007D0CFA"/>
    <w:rsid w:val="007D0D56"/>
    <w:rsid w:val="007D0D86"/>
    <w:rsid w:val="007D0D8B"/>
    <w:rsid w:val="007D0F03"/>
    <w:rsid w:val="007D1190"/>
    <w:rsid w:val="007D1392"/>
    <w:rsid w:val="007D14CF"/>
    <w:rsid w:val="007D153A"/>
    <w:rsid w:val="007D1688"/>
    <w:rsid w:val="007D17B0"/>
    <w:rsid w:val="007D1830"/>
    <w:rsid w:val="007D1887"/>
    <w:rsid w:val="007D18B7"/>
    <w:rsid w:val="007D192D"/>
    <w:rsid w:val="007D1A56"/>
    <w:rsid w:val="007D1A82"/>
    <w:rsid w:val="007D1A9D"/>
    <w:rsid w:val="007D1BA1"/>
    <w:rsid w:val="007D1C22"/>
    <w:rsid w:val="007D1E11"/>
    <w:rsid w:val="007D1FC9"/>
    <w:rsid w:val="007D203A"/>
    <w:rsid w:val="007D217F"/>
    <w:rsid w:val="007D2222"/>
    <w:rsid w:val="007D22AA"/>
    <w:rsid w:val="007D22C5"/>
    <w:rsid w:val="007D235B"/>
    <w:rsid w:val="007D2519"/>
    <w:rsid w:val="007D26E8"/>
    <w:rsid w:val="007D2730"/>
    <w:rsid w:val="007D27DF"/>
    <w:rsid w:val="007D29C0"/>
    <w:rsid w:val="007D2A02"/>
    <w:rsid w:val="007D2AC3"/>
    <w:rsid w:val="007D2B04"/>
    <w:rsid w:val="007D2B20"/>
    <w:rsid w:val="007D2BF9"/>
    <w:rsid w:val="007D2C23"/>
    <w:rsid w:val="007D2CFA"/>
    <w:rsid w:val="007D2E83"/>
    <w:rsid w:val="007D3213"/>
    <w:rsid w:val="007D3338"/>
    <w:rsid w:val="007D3343"/>
    <w:rsid w:val="007D3358"/>
    <w:rsid w:val="007D33B4"/>
    <w:rsid w:val="007D34A9"/>
    <w:rsid w:val="007D370C"/>
    <w:rsid w:val="007D370E"/>
    <w:rsid w:val="007D37A8"/>
    <w:rsid w:val="007D38BA"/>
    <w:rsid w:val="007D3A7A"/>
    <w:rsid w:val="007D3C58"/>
    <w:rsid w:val="007D3F48"/>
    <w:rsid w:val="007D3F7E"/>
    <w:rsid w:val="007D3FC8"/>
    <w:rsid w:val="007D4023"/>
    <w:rsid w:val="007D402D"/>
    <w:rsid w:val="007D4088"/>
    <w:rsid w:val="007D4234"/>
    <w:rsid w:val="007D439A"/>
    <w:rsid w:val="007D4643"/>
    <w:rsid w:val="007D4844"/>
    <w:rsid w:val="007D4A99"/>
    <w:rsid w:val="007D4D18"/>
    <w:rsid w:val="007D4D4E"/>
    <w:rsid w:val="007D4E1C"/>
    <w:rsid w:val="007D4E7B"/>
    <w:rsid w:val="007D4EB7"/>
    <w:rsid w:val="007D4F36"/>
    <w:rsid w:val="007D4FCA"/>
    <w:rsid w:val="007D5168"/>
    <w:rsid w:val="007D51E5"/>
    <w:rsid w:val="007D51F1"/>
    <w:rsid w:val="007D5203"/>
    <w:rsid w:val="007D523B"/>
    <w:rsid w:val="007D530A"/>
    <w:rsid w:val="007D5470"/>
    <w:rsid w:val="007D54BD"/>
    <w:rsid w:val="007D573C"/>
    <w:rsid w:val="007D5746"/>
    <w:rsid w:val="007D5750"/>
    <w:rsid w:val="007D579E"/>
    <w:rsid w:val="007D5845"/>
    <w:rsid w:val="007D5C17"/>
    <w:rsid w:val="007D5D26"/>
    <w:rsid w:val="007D5E8A"/>
    <w:rsid w:val="007D6051"/>
    <w:rsid w:val="007D63E0"/>
    <w:rsid w:val="007D655F"/>
    <w:rsid w:val="007D66E7"/>
    <w:rsid w:val="007D66F6"/>
    <w:rsid w:val="007D678B"/>
    <w:rsid w:val="007D6B48"/>
    <w:rsid w:val="007D6B5B"/>
    <w:rsid w:val="007D6B97"/>
    <w:rsid w:val="007D6C51"/>
    <w:rsid w:val="007D6FBD"/>
    <w:rsid w:val="007D7054"/>
    <w:rsid w:val="007D7108"/>
    <w:rsid w:val="007D71D9"/>
    <w:rsid w:val="007D7560"/>
    <w:rsid w:val="007D76DF"/>
    <w:rsid w:val="007D7757"/>
    <w:rsid w:val="007D7775"/>
    <w:rsid w:val="007D77A9"/>
    <w:rsid w:val="007D78CD"/>
    <w:rsid w:val="007D7979"/>
    <w:rsid w:val="007D7D3A"/>
    <w:rsid w:val="007D7E5E"/>
    <w:rsid w:val="007D7F8B"/>
    <w:rsid w:val="007E0138"/>
    <w:rsid w:val="007E033F"/>
    <w:rsid w:val="007E03CA"/>
    <w:rsid w:val="007E050B"/>
    <w:rsid w:val="007E051A"/>
    <w:rsid w:val="007E0526"/>
    <w:rsid w:val="007E09D4"/>
    <w:rsid w:val="007E09F0"/>
    <w:rsid w:val="007E0BCB"/>
    <w:rsid w:val="007E0C5D"/>
    <w:rsid w:val="007E0CD3"/>
    <w:rsid w:val="007E0D2E"/>
    <w:rsid w:val="007E0F6E"/>
    <w:rsid w:val="007E1131"/>
    <w:rsid w:val="007E1195"/>
    <w:rsid w:val="007E11D3"/>
    <w:rsid w:val="007E11DA"/>
    <w:rsid w:val="007E1266"/>
    <w:rsid w:val="007E12C3"/>
    <w:rsid w:val="007E1338"/>
    <w:rsid w:val="007E1454"/>
    <w:rsid w:val="007E1781"/>
    <w:rsid w:val="007E17C1"/>
    <w:rsid w:val="007E185A"/>
    <w:rsid w:val="007E194B"/>
    <w:rsid w:val="007E1A87"/>
    <w:rsid w:val="007E1B84"/>
    <w:rsid w:val="007E1C95"/>
    <w:rsid w:val="007E1DA2"/>
    <w:rsid w:val="007E201F"/>
    <w:rsid w:val="007E2049"/>
    <w:rsid w:val="007E20FD"/>
    <w:rsid w:val="007E22FD"/>
    <w:rsid w:val="007E25B7"/>
    <w:rsid w:val="007E2830"/>
    <w:rsid w:val="007E2875"/>
    <w:rsid w:val="007E2A7D"/>
    <w:rsid w:val="007E2C51"/>
    <w:rsid w:val="007E2C57"/>
    <w:rsid w:val="007E2E77"/>
    <w:rsid w:val="007E3083"/>
    <w:rsid w:val="007E3178"/>
    <w:rsid w:val="007E32C8"/>
    <w:rsid w:val="007E32EA"/>
    <w:rsid w:val="007E352A"/>
    <w:rsid w:val="007E3639"/>
    <w:rsid w:val="007E369F"/>
    <w:rsid w:val="007E372D"/>
    <w:rsid w:val="007E39A9"/>
    <w:rsid w:val="007E3AF0"/>
    <w:rsid w:val="007E3C1D"/>
    <w:rsid w:val="007E3C95"/>
    <w:rsid w:val="007E3F4F"/>
    <w:rsid w:val="007E3FC4"/>
    <w:rsid w:val="007E4161"/>
    <w:rsid w:val="007E4166"/>
    <w:rsid w:val="007E4189"/>
    <w:rsid w:val="007E41F0"/>
    <w:rsid w:val="007E423A"/>
    <w:rsid w:val="007E4389"/>
    <w:rsid w:val="007E43BA"/>
    <w:rsid w:val="007E46FD"/>
    <w:rsid w:val="007E4726"/>
    <w:rsid w:val="007E4E0A"/>
    <w:rsid w:val="007E4E8A"/>
    <w:rsid w:val="007E50AF"/>
    <w:rsid w:val="007E5152"/>
    <w:rsid w:val="007E51B5"/>
    <w:rsid w:val="007E51E8"/>
    <w:rsid w:val="007E51EB"/>
    <w:rsid w:val="007E539C"/>
    <w:rsid w:val="007E5466"/>
    <w:rsid w:val="007E55C9"/>
    <w:rsid w:val="007E55CF"/>
    <w:rsid w:val="007E56B7"/>
    <w:rsid w:val="007E57D2"/>
    <w:rsid w:val="007E57E6"/>
    <w:rsid w:val="007E58C2"/>
    <w:rsid w:val="007E5A4D"/>
    <w:rsid w:val="007E5A92"/>
    <w:rsid w:val="007E5AEC"/>
    <w:rsid w:val="007E5B20"/>
    <w:rsid w:val="007E5CEA"/>
    <w:rsid w:val="007E5F39"/>
    <w:rsid w:val="007E5F92"/>
    <w:rsid w:val="007E604F"/>
    <w:rsid w:val="007E60BA"/>
    <w:rsid w:val="007E615A"/>
    <w:rsid w:val="007E6198"/>
    <w:rsid w:val="007E61CC"/>
    <w:rsid w:val="007E624E"/>
    <w:rsid w:val="007E62F8"/>
    <w:rsid w:val="007E6481"/>
    <w:rsid w:val="007E671F"/>
    <w:rsid w:val="007E6797"/>
    <w:rsid w:val="007E6865"/>
    <w:rsid w:val="007E6976"/>
    <w:rsid w:val="007E6CEC"/>
    <w:rsid w:val="007E70C0"/>
    <w:rsid w:val="007E7172"/>
    <w:rsid w:val="007E71EC"/>
    <w:rsid w:val="007E72DE"/>
    <w:rsid w:val="007E7656"/>
    <w:rsid w:val="007E7657"/>
    <w:rsid w:val="007E7706"/>
    <w:rsid w:val="007E7719"/>
    <w:rsid w:val="007E771A"/>
    <w:rsid w:val="007E77E4"/>
    <w:rsid w:val="007E7922"/>
    <w:rsid w:val="007E7D0B"/>
    <w:rsid w:val="007E7DC5"/>
    <w:rsid w:val="007E7F94"/>
    <w:rsid w:val="007F011E"/>
    <w:rsid w:val="007F0136"/>
    <w:rsid w:val="007F02BD"/>
    <w:rsid w:val="007F03BA"/>
    <w:rsid w:val="007F04EB"/>
    <w:rsid w:val="007F0538"/>
    <w:rsid w:val="007F062E"/>
    <w:rsid w:val="007F0643"/>
    <w:rsid w:val="007F065D"/>
    <w:rsid w:val="007F0830"/>
    <w:rsid w:val="007F0C81"/>
    <w:rsid w:val="007F0D8C"/>
    <w:rsid w:val="007F0E11"/>
    <w:rsid w:val="007F0E59"/>
    <w:rsid w:val="007F0EA5"/>
    <w:rsid w:val="007F1065"/>
    <w:rsid w:val="007F1336"/>
    <w:rsid w:val="007F1370"/>
    <w:rsid w:val="007F14C7"/>
    <w:rsid w:val="007F1791"/>
    <w:rsid w:val="007F17A3"/>
    <w:rsid w:val="007F183C"/>
    <w:rsid w:val="007F18F0"/>
    <w:rsid w:val="007F1932"/>
    <w:rsid w:val="007F1ED4"/>
    <w:rsid w:val="007F1FD5"/>
    <w:rsid w:val="007F2052"/>
    <w:rsid w:val="007F212F"/>
    <w:rsid w:val="007F2139"/>
    <w:rsid w:val="007F21D4"/>
    <w:rsid w:val="007F23A1"/>
    <w:rsid w:val="007F2709"/>
    <w:rsid w:val="007F284F"/>
    <w:rsid w:val="007F28BC"/>
    <w:rsid w:val="007F29C0"/>
    <w:rsid w:val="007F2B33"/>
    <w:rsid w:val="007F2CCD"/>
    <w:rsid w:val="007F2E2C"/>
    <w:rsid w:val="007F3115"/>
    <w:rsid w:val="007F3209"/>
    <w:rsid w:val="007F322D"/>
    <w:rsid w:val="007F3355"/>
    <w:rsid w:val="007F3586"/>
    <w:rsid w:val="007F3697"/>
    <w:rsid w:val="007F38E9"/>
    <w:rsid w:val="007F3BA6"/>
    <w:rsid w:val="007F3C74"/>
    <w:rsid w:val="007F3C91"/>
    <w:rsid w:val="007F3D85"/>
    <w:rsid w:val="007F3D87"/>
    <w:rsid w:val="007F4414"/>
    <w:rsid w:val="007F44D7"/>
    <w:rsid w:val="007F4693"/>
    <w:rsid w:val="007F46B3"/>
    <w:rsid w:val="007F478F"/>
    <w:rsid w:val="007F4790"/>
    <w:rsid w:val="007F47A1"/>
    <w:rsid w:val="007F47A5"/>
    <w:rsid w:val="007F4A19"/>
    <w:rsid w:val="007F4A71"/>
    <w:rsid w:val="007F4BCC"/>
    <w:rsid w:val="007F4DBC"/>
    <w:rsid w:val="007F4DF5"/>
    <w:rsid w:val="007F4E45"/>
    <w:rsid w:val="007F4F0B"/>
    <w:rsid w:val="007F4FEA"/>
    <w:rsid w:val="007F5024"/>
    <w:rsid w:val="007F5094"/>
    <w:rsid w:val="007F50FC"/>
    <w:rsid w:val="007F512B"/>
    <w:rsid w:val="007F51B6"/>
    <w:rsid w:val="007F5372"/>
    <w:rsid w:val="007F5432"/>
    <w:rsid w:val="007F54AE"/>
    <w:rsid w:val="007F54D2"/>
    <w:rsid w:val="007F54FD"/>
    <w:rsid w:val="007F590F"/>
    <w:rsid w:val="007F59D1"/>
    <w:rsid w:val="007F5BAB"/>
    <w:rsid w:val="007F5CB7"/>
    <w:rsid w:val="007F5D96"/>
    <w:rsid w:val="007F5DB8"/>
    <w:rsid w:val="007F5DE9"/>
    <w:rsid w:val="007F5DF3"/>
    <w:rsid w:val="007F5E99"/>
    <w:rsid w:val="007F5F1B"/>
    <w:rsid w:val="007F5F82"/>
    <w:rsid w:val="007F6018"/>
    <w:rsid w:val="007F6048"/>
    <w:rsid w:val="007F60F2"/>
    <w:rsid w:val="007F60FF"/>
    <w:rsid w:val="007F610A"/>
    <w:rsid w:val="007F6126"/>
    <w:rsid w:val="007F618C"/>
    <w:rsid w:val="007F6197"/>
    <w:rsid w:val="007F61B1"/>
    <w:rsid w:val="007F61E2"/>
    <w:rsid w:val="007F62A5"/>
    <w:rsid w:val="007F6305"/>
    <w:rsid w:val="007F6506"/>
    <w:rsid w:val="007F6701"/>
    <w:rsid w:val="007F676D"/>
    <w:rsid w:val="007F678B"/>
    <w:rsid w:val="007F67FE"/>
    <w:rsid w:val="007F68FC"/>
    <w:rsid w:val="007F6AF7"/>
    <w:rsid w:val="007F6F52"/>
    <w:rsid w:val="007F7006"/>
    <w:rsid w:val="007F7286"/>
    <w:rsid w:val="007F758E"/>
    <w:rsid w:val="007F7671"/>
    <w:rsid w:val="007F7780"/>
    <w:rsid w:val="007F77E2"/>
    <w:rsid w:val="007F7920"/>
    <w:rsid w:val="007F7ABE"/>
    <w:rsid w:val="007F7C0D"/>
    <w:rsid w:val="007F7D56"/>
    <w:rsid w:val="007F7D69"/>
    <w:rsid w:val="007F7E27"/>
    <w:rsid w:val="007F7F7A"/>
    <w:rsid w:val="00800118"/>
    <w:rsid w:val="008001AE"/>
    <w:rsid w:val="00800750"/>
    <w:rsid w:val="00800785"/>
    <w:rsid w:val="0080079E"/>
    <w:rsid w:val="008007C2"/>
    <w:rsid w:val="008007CC"/>
    <w:rsid w:val="00800C36"/>
    <w:rsid w:val="00800E53"/>
    <w:rsid w:val="008012D1"/>
    <w:rsid w:val="00801507"/>
    <w:rsid w:val="00801529"/>
    <w:rsid w:val="0080156A"/>
    <w:rsid w:val="008015AE"/>
    <w:rsid w:val="00801A66"/>
    <w:rsid w:val="00801AF5"/>
    <w:rsid w:val="00801B47"/>
    <w:rsid w:val="00801DCB"/>
    <w:rsid w:val="00801ED1"/>
    <w:rsid w:val="008021BA"/>
    <w:rsid w:val="0080246D"/>
    <w:rsid w:val="0080253D"/>
    <w:rsid w:val="008026B4"/>
    <w:rsid w:val="008027E9"/>
    <w:rsid w:val="00802820"/>
    <w:rsid w:val="008028E6"/>
    <w:rsid w:val="0080292A"/>
    <w:rsid w:val="00802BFE"/>
    <w:rsid w:val="00802C8A"/>
    <w:rsid w:val="00802D20"/>
    <w:rsid w:val="00802D89"/>
    <w:rsid w:val="00803068"/>
    <w:rsid w:val="008030C5"/>
    <w:rsid w:val="008037CE"/>
    <w:rsid w:val="00803801"/>
    <w:rsid w:val="00803B47"/>
    <w:rsid w:val="00803C5A"/>
    <w:rsid w:val="00803CE8"/>
    <w:rsid w:val="00803E71"/>
    <w:rsid w:val="00803EAC"/>
    <w:rsid w:val="00803F30"/>
    <w:rsid w:val="00804016"/>
    <w:rsid w:val="0080425D"/>
    <w:rsid w:val="0080428B"/>
    <w:rsid w:val="00804440"/>
    <w:rsid w:val="00804511"/>
    <w:rsid w:val="008045C4"/>
    <w:rsid w:val="008045E8"/>
    <w:rsid w:val="00804699"/>
    <w:rsid w:val="0080487E"/>
    <w:rsid w:val="008048CB"/>
    <w:rsid w:val="008048E8"/>
    <w:rsid w:val="00804912"/>
    <w:rsid w:val="00804991"/>
    <w:rsid w:val="00804BA1"/>
    <w:rsid w:val="00804C4B"/>
    <w:rsid w:val="00804DB4"/>
    <w:rsid w:val="00804E4E"/>
    <w:rsid w:val="00805029"/>
    <w:rsid w:val="00805106"/>
    <w:rsid w:val="00805202"/>
    <w:rsid w:val="00805236"/>
    <w:rsid w:val="0080542F"/>
    <w:rsid w:val="00805565"/>
    <w:rsid w:val="0080558A"/>
    <w:rsid w:val="00805791"/>
    <w:rsid w:val="0080580B"/>
    <w:rsid w:val="008058CB"/>
    <w:rsid w:val="00805CB7"/>
    <w:rsid w:val="00805D16"/>
    <w:rsid w:val="00805E21"/>
    <w:rsid w:val="00805F81"/>
    <w:rsid w:val="00805FBD"/>
    <w:rsid w:val="00806163"/>
    <w:rsid w:val="008063CC"/>
    <w:rsid w:val="0080652F"/>
    <w:rsid w:val="00806574"/>
    <w:rsid w:val="00806707"/>
    <w:rsid w:val="00806723"/>
    <w:rsid w:val="00806873"/>
    <w:rsid w:val="00806908"/>
    <w:rsid w:val="00806B30"/>
    <w:rsid w:val="00806B4C"/>
    <w:rsid w:val="00806C11"/>
    <w:rsid w:val="00806CD8"/>
    <w:rsid w:val="00806E5F"/>
    <w:rsid w:val="00806E96"/>
    <w:rsid w:val="00806F40"/>
    <w:rsid w:val="0080702C"/>
    <w:rsid w:val="0080709D"/>
    <w:rsid w:val="00807182"/>
    <w:rsid w:val="008073A3"/>
    <w:rsid w:val="0080749E"/>
    <w:rsid w:val="008075A7"/>
    <w:rsid w:val="00807760"/>
    <w:rsid w:val="00807788"/>
    <w:rsid w:val="00807AED"/>
    <w:rsid w:val="00807B9E"/>
    <w:rsid w:val="00807BB6"/>
    <w:rsid w:val="00807D97"/>
    <w:rsid w:val="00807DC2"/>
    <w:rsid w:val="00807DD1"/>
    <w:rsid w:val="00807EEF"/>
    <w:rsid w:val="0081008C"/>
    <w:rsid w:val="00810246"/>
    <w:rsid w:val="008102BB"/>
    <w:rsid w:val="008104F4"/>
    <w:rsid w:val="008106D6"/>
    <w:rsid w:val="00810805"/>
    <w:rsid w:val="008108B5"/>
    <w:rsid w:val="008109BB"/>
    <w:rsid w:val="00810AA6"/>
    <w:rsid w:val="00810D14"/>
    <w:rsid w:val="00810D2A"/>
    <w:rsid w:val="00810DA6"/>
    <w:rsid w:val="00810DBC"/>
    <w:rsid w:val="00810EA5"/>
    <w:rsid w:val="008112CB"/>
    <w:rsid w:val="0081142C"/>
    <w:rsid w:val="008114CE"/>
    <w:rsid w:val="00811753"/>
    <w:rsid w:val="0081186B"/>
    <w:rsid w:val="00811A23"/>
    <w:rsid w:val="00811BB2"/>
    <w:rsid w:val="00811C85"/>
    <w:rsid w:val="00812182"/>
    <w:rsid w:val="00812211"/>
    <w:rsid w:val="00812221"/>
    <w:rsid w:val="008123E1"/>
    <w:rsid w:val="008123F9"/>
    <w:rsid w:val="00812492"/>
    <w:rsid w:val="008125BE"/>
    <w:rsid w:val="008127DB"/>
    <w:rsid w:val="00812958"/>
    <w:rsid w:val="00812BBC"/>
    <w:rsid w:val="00812C6A"/>
    <w:rsid w:val="00812D5D"/>
    <w:rsid w:val="00812F76"/>
    <w:rsid w:val="00813494"/>
    <w:rsid w:val="0081350A"/>
    <w:rsid w:val="0081350F"/>
    <w:rsid w:val="00813BB1"/>
    <w:rsid w:val="00813C5C"/>
    <w:rsid w:val="00813EA1"/>
    <w:rsid w:val="00813FF0"/>
    <w:rsid w:val="0081406F"/>
    <w:rsid w:val="008140FE"/>
    <w:rsid w:val="00814114"/>
    <w:rsid w:val="0081418B"/>
    <w:rsid w:val="0081424C"/>
    <w:rsid w:val="00814286"/>
    <w:rsid w:val="0081435B"/>
    <w:rsid w:val="00814552"/>
    <w:rsid w:val="0081464B"/>
    <w:rsid w:val="00814817"/>
    <w:rsid w:val="008149A2"/>
    <w:rsid w:val="00814BE4"/>
    <w:rsid w:val="00814D0F"/>
    <w:rsid w:val="0081522A"/>
    <w:rsid w:val="008153AB"/>
    <w:rsid w:val="0081547C"/>
    <w:rsid w:val="008156C8"/>
    <w:rsid w:val="00815908"/>
    <w:rsid w:val="00815C15"/>
    <w:rsid w:val="00815FEE"/>
    <w:rsid w:val="0081602C"/>
    <w:rsid w:val="00816161"/>
    <w:rsid w:val="00816171"/>
    <w:rsid w:val="008161DA"/>
    <w:rsid w:val="008162FD"/>
    <w:rsid w:val="00816318"/>
    <w:rsid w:val="008163CB"/>
    <w:rsid w:val="008165B0"/>
    <w:rsid w:val="008165C7"/>
    <w:rsid w:val="00816606"/>
    <w:rsid w:val="0081698C"/>
    <w:rsid w:val="00816A50"/>
    <w:rsid w:val="00816C48"/>
    <w:rsid w:val="00816CFC"/>
    <w:rsid w:val="00816E12"/>
    <w:rsid w:val="00816E58"/>
    <w:rsid w:val="00816F15"/>
    <w:rsid w:val="008170C7"/>
    <w:rsid w:val="008171C3"/>
    <w:rsid w:val="008172FA"/>
    <w:rsid w:val="00817409"/>
    <w:rsid w:val="008174AC"/>
    <w:rsid w:val="00817528"/>
    <w:rsid w:val="00817598"/>
    <w:rsid w:val="008177BD"/>
    <w:rsid w:val="008178F8"/>
    <w:rsid w:val="00817B1A"/>
    <w:rsid w:val="00817B63"/>
    <w:rsid w:val="00817C12"/>
    <w:rsid w:val="00817E98"/>
    <w:rsid w:val="00817FE9"/>
    <w:rsid w:val="00820053"/>
    <w:rsid w:val="008200BC"/>
    <w:rsid w:val="0082013E"/>
    <w:rsid w:val="00820386"/>
    <w:rsid w:val="00820395"/>
    <w:rsid w:val="008203F2"/>
    <w:rsid w:val="00820431"/>
    <w:rsid w:val="00820479"/>
    <w:rsid w:val="0082050D"/>
    <w:rsid w:val="00820521"/>
    <w:rsid w:val="008205F7"/>
    <w:rsid w:val="008207E3"/>
    <w:rsid w:val="0082094D"/>
    <w:rsid w:val="0082097B"/>
    <w:rsid w:val="008209B7"/>
    <w:rsid w:val="00820A07"/>
    <w:rsid w:val="00820A26"/>
    <w:rsid w:val="00820AC2"/>
    <w:rsid w:val="00820D3A"/>
    <w:rsid w:val="00820DA5"/>
    <w:rsid w:val="00821111"/>
    <w:rsid w:val="00821144"/>
    <w:rsid w:val="00821181"/>
    <w:rsid w:val="008211E7"/>
    <w:rsid w:val="00821228"/>
    <w:rsid w:val="008212CB"/>
    <w:rsid w:val="008212F0"/>
    <w:rsid w:val="0082138A"/>
    <w:rsid w:val="008213F3"/>
    <w:rsid w:val="00821564"/>
    <w:rsid w:val="00821582"/>
    <w:rsid w:val="00821757"/>
    <w:rsid w:val="0082180C"/>
    <w:rsid w:val="0082196B"/>
    <w:rsid w:val="00821988"/>
    <w:rsid w:val="00821A8F"/>
    <w:rsid w:val="00821C25"/>
    <w:rsid w:val="00821D66"/>
    <w:rsid w:val="00821DB4"/>
    <w:rsid w:val="00821DEF"/>
    <w:rsid w:val="00821E1E"/>
    <w:rsid w:val="00821E29"/>
    <w:rsid w:val="00821FBA"/>
    <w:rsid w:val="008221EF"/>
    <w:rsid w:val="008222E1"/>
    <w:rsid w:val="008223A4"/>
    <w:rsid w:val="008223D6"/>
    <w:rsid w:val="00822414"/>
    <w:rsid w:val="00822612"/>
    <w:rsid w:val="008228AF"/>
    <w:rsid w:val="00822CC2"/>
    <w:rsid w:val="00823073"/>
    <w:rsid w:val="008230EA"/>
    <w:rsid w:val="00823194"/>
    <w:rsid w:val="00823581"/>
    <w:rsid w:val="00823A5F"/>
    <w:rsid w:val="00823D95"/>
    <w:rsid w:val="0082403D"/>
    <w:rsid w:val="008241BA"/>
    <w:rsid w:val="00824287"/>
    <w:rsid w:val="0082454D"/>
    <w:rsid w:val="00824566"/>
    <w:rsid w:val="008245A5"/>
    <w:rsid w:val="00824647"/>
    <w:rsid w:val="0082469B"/>
    <w:rsid w:val="00824735"/>
    <w:rsid w:val="00824939"/>
    <w:rsid w:val="00824950"/>
    <w:rsid w:val="008249AA"/>
    <w:rsid w:val="00824A46"/>
    <w:rsid w:val="00824A52"/>
    <w:rsid w:val="00824EE6"/>
    <w:rsid w:val="00824FC2"/>
    <w:rsid w:val="00825096"/>
    <w:rsid w:val="0082511F"/>
    <w:rsid w:val="0082518F"/>
    <w:rsid w:val="0082519D"/>
    <w:rsid w:val="0082539B"/>
    <w:rsid w:val="008253B1"/>
    <w:rsid w:val="008253ED"/>
    <w:rsid w:val="0082554B"/>
    <w:rsid w:val="0082559D"/>
    <w:rsid w:val="00825606"/>
    <w:rsid w:val="008257A6"/>
    <w:rsid w:val="00825919"/>
    <w:rsid w:val="0082594A"/>
    <w:rsid w:val="00825C33"/>
    <w:rsid w:val="00825CD7"/>
    <w:rsid w:val="00825FBE"/>
    <w:rsid w:val="00825FE2"/>
    <w:rsid w:val="008260F0"/>
    <w:rsid w:val="008261B2"/>
    <w:rsid w:val="008262C4"/>
    <w:rsid w:val="008262CA"/>
    <w:rsid w:val="00826499"/>
    <w:rsid w:val="0082666A"/>
    <w:rsid w:val="00826754"/>
    <w:rsid w:val="00826797"/>
    <w:rsid w:val="00826858"/>
    <w:rsid w:val="00826928"/>
    <w:rsid w:val="008269EF"/>
    <w:rsid w:val="00826AF1"/>
    <w:rsid w:val="00826AFA"/>
    <w:rsid w:val="00826BB0"/>
    <w:rsid w:val="00826F23"/>
    <w:rsid w:val="00826FFE"/>
    <w:rsid w:val="008271A3"/>
    <w:rsid w:val="00827503"/>
    <w:rsid w:val="0082766E"/>
    <w:rsid w:val="0082769C"/>
    <w:rsid w:val="008276C4"/>
    <w:rsid w:val="0082794C"/>
    <w:rsid w:val="0082796B"/>
    <w:rsid w:val="00827B4F"/>
    <w:rsid w:val="00827BE6"/>
    <w:rsid w:val="00827CDE"/>
    <w:rsid w:val="00827F8F"/>
    <w:rsid w:val="00830020"/>
    <w:rsid w:val="008301BA"/>
    <w:rsid w:val="0083021E"/>
    <w:rsid w:val="008302B6"/>
    <w:rsid w:val="0083045A"/>
    <w:rsid w:val="0083053B"/>
    <w:rsid w:val="008307D1"/>
    <w:rsid w:val="008307E8"/>
    <w:rsid w:val="008308B5"/>
    <w:rsid w:val="00830906"/>
    <w:rsid w:val="0083092E"/>
    <w:rsid w:val="00830AA4"/>
    <w:rsid w:val="00830EC6"/>
    <w:rsid w:val="008311A1"/>
    <w:rsid w:val="008311C7"/>
    <w:rsid w:val="008312CE"/>
    <w:rsid w:val="008315DB"/>
    <w:rsid w:val="008316FD"/>
    <w:rsid w:val="0083170D"/>
    <w:rsid w:val="00831AF2"/>
    <w:rsid w:val="00831DBF"/>
    <w:rsid w:val="00831DC6"/>
    <w:rsid w:val="00832133"/>
    <w:rsid w:val="0083222D"/>
    <w:rsid w:val="0083282B"/>
    <w:rsid w:val="008328F0"/>
    <w:rsid w:val="00832970"/>
    <w:rsid w:val="00832B75"/>
    <w:rsid w:val="00832B98"/>
    <w:rsid w:val="00832BC7"/>
    <w:rsid w:val="00832CC1"/>
    <w:rsid w:val="00832E43"/>
    <w:rsid w:val="0083306F"/>
    <w:rsid w:val="00833084"/>
    <w:rsid w:val="008331B5"/>
    <w:rsid w:val="008332DD"/>
    <w:rsid w:val="008333BA"/>
    <w:rsid w:val="008335E0"/>
    <w:rsid w:val="00833B56"/>
    <w:rsid w:val="00833BB6"/>
    <w:rsid w:val="00833D97"/>
    <w:rsid w:val="00833EEB"/>
    <w:rsid w:val="00834057"/>
    <w:rsid w:val="0083412F"/>
    <w:rsid w:val="008343E5"/>
    <w:rsid w:val="008346B4"/>
    <w:rsid w:val="00834743"/>
    <w:rsid w:val="008347C6"/>
    <w:rsid w:val="008348C6"/>
    <w:rsid w:val="008348EB"/>
    <w:rsid w:val="00834990"/>
    <w:rsid w:val="00834B4F"/>
    <w:rsid w:val="00834BDD"/>
    <w:rsid w:val="00834C29"/>
    <w:rsid w:val="00834C58"/>
    <w:rsid w:val="00834D1E"/>
    <w:rsid w:val="00834D28"/>
    <w:rsid w:val="00834F0B"/>
    <w:rsid w:val="00834F4D"/>
    <w:rsid w:val="0083501B"/>
    <w:rsid w:val="0083551C"/>
    <w:rsid w:val="00835537"/>
    <w:rsid w:val="00835640"/>
    <w:rsid w:val="00835689"/>
    <w:rsid w:val="00835BC2"/>
    <w:rsid w:val="00835C04"/>
    <w:rsid w:val="00835C42"/>
    <w:rsid w:val="00835C97"/>
    <w:rsid w:val="00835D43"/>
    <w:rsid w:val="00835EF6"/>
    <w:rsid w:val="00835F7F"/>
    <w:rsid w:val="0083601E"/>
    <w:rsid w:val="008360DF"/>
    <w:rsid w:val="008361FA"/>
    <w:rsid w:val="0083634D"/>
    <w:rsid w:val="008363A3"/>
    <w:rsid w:val="008363E8"/>
    <w:rsid w:val="00836896"/>
    <w:rsid w:val="008368F7"/>
    <w:rsid w:val="00836BAE"/>
    <w:rsid w:val="00836C4A"/>
    <w:rsid w:val="00836C7F"/>
    <w:rsid w:val="00836D78"/>
    <w:rsid w:val="0083710E"/>
    <w:rsid w:val="00837210"/>
    <w:rsid w:val="00837319"/>
    <w:rsid w:val="00837381"/>
    <w:rsid w:val="008375DB"/>
    <w:rsid w:val="008375F7"/>
    <w:rsid w:val="00837A8A"/>
    <w:rsid w:val="00837C01"/>
    <w:rsid w:val="00837C26"/>
    <w:rsid w:val="00837C37"/>
    <w:rsid w:val="00837E20"/>
    <w:rsid w:val="00837E40"/>
    <w:rsid w:val="0084001D"/>
    <w:rsid w:val="00840119"/>
    <w:rsid w:val="00840440"/>
    <w:rsid w:val="008405B1"/>
    <w:rsid w:val="00840A4E"/>
    <w:rsid w:val="00840CB5"/>
    <w:rsid w:val="00840FCC"/>
    <w:rsid w:val="008410F2"/>
    <w:rsid w:val="008412AD"/>
    <w:rsid w:val="008414AA"/>
    <w:rsid w:val="00841965"/>
    <w:rsid w:val="00841C18"/>
    <w:rsid w:val="00841D78"/>
    <w:rsid w:val="00841DD4"/>
    <w:rsid w:val="00842085"/>
    <w:rsid w:val="0084210F"/>
    <w:rsid w:val="008422C4"/>
    <w:rsid w:val="008422E9"/>
    <w:rsid w:val="008423DA"/>
    <w:rsid w:val="00842465"/>
    <w:rsid w:val="00842644"/>
    <w:rsid w:val="008427E4"/>
    <w:rsid w:val="00842991"/>
    <w:rsid w:val="00842A1A"/>
    <w:rsid w:val="00842B8D"/>
    <w:rsid w:val="00842D5F"/>
    <w:rsid w:val="00842F00"/>
    <w:rsid w:val="008431EE"/>
    <w:rsid w:val="008434AD"/>
    <w:rsid w:val="008434C0"/>
    <w:rsid w:val="008435A3"/>
    <w:rsid w:val="008435E4"/>
    <w:rsid w:val="00843772"/>
    <w:rsid w:val="00843B76"/>
    <w:rsid w:val="00843FEE"/>
    <w:rsid w:val="008440A2"/>
    <w:rsid w:val="00844213"/>
    <w:rsid w:val="0084433E"/>
    <w:rsid w:val="0084461A"/>
    <w:rsid w:val="0084467C"/>
    <w:rsid w:val="008447D3"/>
    <w:rsid w:val="008447ED"/>
    <w:rsid w:val="00844823"/>
    <w:rsid w:val="00844828"/>
    <w:rsid w:val="008448A3"/>
    <w:rsid w:val="00844A07"/>
    <w:rsid w:val="00844A0A"/>
    <w:rsid w:val="00844CBE"/>
    <w:rsid w:val="00844D34"/>
    <w:rsid w:val="00844D44"/>
    <w:rsid w:val="00844E8B"/>
    <w:rsid w:val="008450DA"/>
    <w:rsid w:val="0084518E"/>
    <w:rsid w:val="00845251"/>
    <w:rsid w:val="0084537E"/>
    <w:rsid w:val="0084540B"/>
    <w:rsid w:val="008454CC"/>
    <w:rsid w:val="00845646"/>
    <w:rsid w:val="00845938"/>
    <w:rsid w:val="00845A78"/>
    <w:rsid w:val="00845BC1"/>
    <w:rsid w:val="00845CA1"/>
    <w:rsid w:val="00845E9D"/>
    <w:rsid w:val="008461C7"/>
    <w:rsid w:val="008465BF"/>
    <w:rsid w:val="008465F3"/>
    <w:rsid w:val="00846643"/>
    <w:rsid w:val="00846743"/>
    <w:rsid w:val="008467FC"/>
    <w:rsid w:val="00846820"/>
    <w:rsid w:val="008468EF"/>
    <w:rsid w:val="0084691A"/>
    <w:rsid w:val="00846AA0"/>
    <w:rsid w:val="00846BE9"/>
    <w:rsid w:val="00846C78"/>
    <w:rsid w:val="00846E4D"/>
    <w:rsid w:val="00846FC8"/>
    <w:rsid w:val="008473FB"/>
    <w:rsid w:val="008473FC"/>
    <w:rsid w:val="00847487"/>
    <w:rsid w:val="0084748E"/>
    <w:rsid w:val="008474C4"/>
    <w:rsid w:val="00847569"/>
    <w:rsid w:val="008477F1"/>
    <w:rsid w:val="0084799D"/>
    <w:rsid w:val="00847A5D"/>
    <w:rsid w:val="00847CC3"/>
    <w:rsid w:val="00847D03"/>
    <w:rsid w:val="00847E14"/>
    <w:rsid w:val="00847F39"/>
    <w:rsid w:val="00847FE5"/>
    <w:rsid w:val="00850002"/>
    <w:rsid w:val="008502CE"/>
    <w:rsid w:val="008502D3"/>
    <w:rsid w:val="008504FC"/>
    <w:rsid w:val="00850987"/>
    <w:rsid w:val="008509B9"/>
    <w:rsid w:val="00850CE8"/>
    <w:rsid w:val="00850D38"/>
    <w:rsid w:val="00850D3E"/>
    <w:rsid w:val="00851128"/>
    <w:rsid w:val="00851144"/>
    <w:rsid w:val="0085142B"/>
    <w:rsid w:val="008516C3"/>
    <w:rsid w:val="0085176D"/>
    <w:rsid w:val="00851890"/>
    <w:rsid w:val="00851A1D"/>
    <w:rsid w:val="00851B09"/>
    <w:rsid w:val="00851C48"/>
    <w:rsid w:val="00851DD3"/>
    <w:rsid w:val="00851EFB"/>
    <w:rsid w:val="0085222C"/>
    <w:rsid w:val="00852275"/>
    <w:rsid w:val="0085230B"/>
    <w:rsid w:val="008523AA"/>
    <w:rsid w:val="008524C0"/>
    <w:rsid w:val="00852596"/>
    <w:rsid w:val="008525E5"/>
    <w:rsid w:val="00852704"/>
    <w:rsid w:val="00852719"/>
    <w:rsid w:val="0085279F"/>
    <w:rsid w:val="0085286A"/>
    <w:rsid w:val="00852CAE"/>
    <w:rsid w:val="00853100"/>
    <w:rsid w:val="0085349F"/>
    <w:rsid w:val="008535F0"/>
    <w:rsid w:val="00853756"/>
    <w:rsid w:val="00853916"/>
    <w:rsid w:val="0085395B"/>
    <w:rsid w:val="00853A1C"/>
    <w:rsid w:val="00853AD6"/>
    <w:rsid w:val="00853D67"/>
    <w:rsid w:val="00853F5C"/>
    <w:rsid w:val="00853F91"/>
    <w:rsid w:val="00853FAC"/>
    <w:rsid w:val="00853FBE"/>
    <w:rsid w:val="00853FF5"/>
    <w:rsid w:val="008540B3"/>
    <w:rsid w:val="008541CD"/>
    <w:rsid w:val="0085423B"/>
    <w:rsid w:val="00854359"/>
    <w:rsid w:val="00854388"/>
    <w:rsid w:val="008543A2"/>
    <w:rsid w:val="00854456"/>
    <w:rsid w:val="008544CA"/>
    <w:rsid w:val="00854874"/>
    <w:rsid w:val="00854BB8"/>
    <w:rsid w:val="00854EA6"/>
    <w:rsid w:val="008550E6"/>
    <w:rsid w:val="008553CC"/>
    <w:rsid w:val="00855460"/>
    <w:rsid w:val="00855535"/>
    <w:rsid w:val="00855594"/>
    <w:rsid w:val="0085566F"/>
    <w:rsid w:val="008556EF"/>
    <w:rsid w:val="0085574C"/>
    <w:rsid w:val="0085596E"/>
    <w:rsid w:val="00855B68"/>
    <w:rsid w:val="00855CFB"/>
    <w:rsid w:val="00855D5B"/>
    <w:rsid w:val="00855D63"/>
    <w:rsid w:val="00855DCC"/>
    <w:rsid w:val="00855E3A"/>
    <w:rsid w:val="0085603D"/>
    <w:rsid w:val="0085604E"/>
    <w:rsid w:val="0085640D"/>
    <w:rsid w:val="00856877"/>
    <w:rsid w:val="0085689E"/>
    <w:rsid w:val="00856930"/>
    <w:rsid w:val="008569AF"/>
    <w:rsid w:val="008569E2"/>
    <w:rsid w:val="00856A59"/>
    <w:rsid w:val="00856B46"/>
    <w:rsid w:val="00856C10"/>
    <w:rsid w:val="00856E6A"/>
    <w:rsid w:val="00856EF0"/>
    <w:rsid w:val="008572D2"/>
    <w:rsid w:val="0085732E"/>
    <w:rsid w:val="0085735E"/>
    <w:rsid w:val="0085736B"/>
    <w:rsid w:val="0085749C"/>
    <w:rsid w:val="00857526"/>
    <w:rsid w:val="008575B1"/>
    <w:rsid w:val="00857622"/>
    <w:rsid w:val="00857685"/>
    <w:rsid w:val="0085770D"/>
    <w:rsid w:val="0085774B"/>
    <w:rsid w:val="00857C0D"/>
    <w:rsid w:val="00857C3A"/>
    <w:rsid w:val="00857ECC"/>
    <w:rsid w:val="00857ED5"/>
    <w:rsid w:val="00857F5E"/>
    <w:rsid w:val="0086003E"/>
    <w:rsid w:val="0086009C"/>
    <w:rsid w:val="0086018E"/>
    <w:rsid w:val="00860258"/>
    <w:rsid w:val="00860284"/>
    <w:rsid w:val="008602A6"/>
    <w:rsid w:val="00860329"/>
    <w:rsid w:val="0086033C"/>
    <w:rsid w:val="00860565"/>
    <w:rsid w:val="00860571"/>
    <w:rsid w:val="008606C3"/>
    <w:rsid w:val="008607F1"/>
    <w:rsid w:val="008609CD"/>
    <w:rsid w:val="00860C89"/>
    <w:rsid w:val="00860DCC"/>
    <w:rsid w:val="00861156"/>
    <w:rsid w:val="0086128D"/>
    <w:rsid w:val="008612A3"/>
    <w:rsid w:val="008614EC"/>
    <w:rsid w:val="008615B0"/>
    <w:rsid w:val="00861724"/>
    <w:rsid w:val="008617F7"/>
    <w:rsid w:val="00861971"/>
    <w:rsid w:val="00861BF2"/>
    <w:rsid w:val="00861C6F"/>
    <w:rsid w:val="00861C7D"/>
    <w:rsid w:val="00861C89"/>
    <w:rsid w:val="00861DB2"/>
    <w:rsid w:val="00862181"/>
    <w:rsid w:val="00862285"/>
    <w:rsid w:val="00862778"/>
    <w:rsid w:val="008627F4"/>
    <w:rsid w:val="008628A8"/>
    <w:rsid w:val="008628C0"/>
    <w:rsid w:val="00862C1B"/>
    <w:rsid w:val="00862C49"/>
    <w:rsid w:val="00862F08"/>
    <w:rsid w:val="00862F7B"/>
    <w:rsid w:val="00862FA2"/>
    <w:rsid w:val="00863517"/>
    <w:rsid w:val="0086358C"/>
    <w:rsid w:val="0086360F"/>
    <w:rsid w:val="00863692"/>
    <w:rsid w:val="008636B2"/>
    <w:rsid w:val="008639D3"/>
    <w:rsid w:val="00863C0D"/>
    <w:rsid w:val="00863CBA"/>
    <w:rsid w:val="00863E6F"/>
    <w:rsid w:val="00863EB5"/>
    <w:rsid w:val="00863FB7"/>
    <w:rsid w:val="008640AD"/>
    <w:rsid w:val="0086417D"/>
    <w:rsid w:val="0086429D"/>
    <w:rsid w:val="008646E2"/>
    <w:rsid w:val="008647B5"/>
    <w:rsid w:val="008647F9"/>
    <w:rsid w:val="00864B83"/>
    <w:rsid w:val="00864D14"/>
    <w:rsid w:val="00864D1D"/>
    <w:rsid w:val="00864E64"/>
    <w:rsid w:val="00865037"/>
    <w:rsid w:val="008650F4"/>
    <w:rsid w:val="00865124"/>
    <w:rsid w:val="0086515D"/>
    <w:rsid w:val="0086515E"/>
    <w:rsid w:val="0086526E"/>
    <w:rsid w:val="0086529D"/>
    <w:rsid w:val="00865875"/>
    <w:rsid w:val="00865BD2"/>
    <w:rsid w:val="00865DCE"/>
    <w:rsid w:val="0086637C"/>
    <w:rsid w:val="00866553"/>
    <w:rsid w:val="00866799"/>
    <w:rsid w:val="00866811"/>
    <w:rsid w:val="0086696E"/>
    <w:rsid w:val="00866F56"/>
    <w:rsid w:val="0086712B"/>
    <w:rsid w:val="008671B4"/>
    <w:rsid w:val="00867223"/>
    <w:rsid w:val="0086751F"/>
    <w:rsid w:val="008676E6"/>
    <w:rsid w:val="00867896"/>
    <w:rsid w:val="0086795A"/>
    <w:rsid w:val="00867C47"/>
    <w:rsid w:val="00867C91"/>
    <w:rsid w:val="00867E41"/>
    <w:rsid w:val="0087006D"/>
    <w:rsid w:val="008700E5"/>
    <w:rsid w:val="00870129"/>
    <w:rsid w:val="008701A0"/>
    <w:rsid w:val="008701A7"/>
    <w:rsid w:val="008701BB"/>
    <w:rsid w:val="008701EB"/>
    <w:rsid w:val="00870230"/>
    <w:rsid w:val="00870239"/>
    <w:rsid w:val="00870367"/>
    <w:rsid w:val="008707FA"/>
    <w:rsid w:val="00870D2E"/>
    <w:rsid w:val="00870EAA"/>
    <w:rsid w:val="00870EB5"/>
    <w:rsid w:val="00870EDB"/>
    <w:rsid w:val="00870F7A"/>
    <w:rsid w:val="00871247"/>
    <w:rsid w:val="0087125D"/>
    <w:rsid w:val="00871287"/>
    <w:rsid w:val="0087138F"/>
    <w:rsid w:val="008714A9"/>
    <w:rsid w:val="008715A8"/>
    <w:rsid w:val="008716FA"/>
    <w:rsid w:val="008718A2"/>
    <w:rsid w:val="00871BA2"/>
    <w:rsid w:val="00871C8C"/>
    <w:rsid w:val="00871CBB"/>
    <w:rsid w:val="00871DC0"/>
    <w:rsid w:val="00871DE9"/>
    <w:rsid w:val="008720F5"/>
    <w:rsid w:val="00872116"/>
    <w:rsid w:val="00872739"/>
    <w:rsid w:val="008727AF"/>
    <w:rsid w:val="0087281A"/>
    <w:rsid w:val="0087284A"/>
    <w:rsid w:val="008728C2"/>
    <w:rsid w:val="008729A5"/>
    <w:rsid w:val="00872AB6"/>
    <w:rsid w:val="00872E35"/>
    <w:rsid w:val="00873297"/>
    <w:rsid w:val="008735B1"/>
    <w:rsid w:val="008737C9"/>
    <w:rsid w:val="0087380F"/>
    <w:rsid w:val="00873995"/>
    <w:rsid w:val="00873A83"/>
    <w:rsid w:val="00873AF6"/>
    <w:rsid w:val="00873BB2"/>
    <w:rsid w:val="00873C71"/>
    <w:rsid w:val="00873CF4"/>
    <w:rsid w:val="00873D6A"/>
    <w:rsid w:val="00873D91"/>
    <w:rsid w:val="00873E0C"/>
    <w:rsid w:val="0087401F"/>
    <w:rsid w:val="008742BB"/>
    <w:rsid w:val="008742DB"/>
    <w:rsid w:val="00874629"/>
    <w:rsid w:val="008747C9"/>
    <w:rsid w:val="00874CEC"/>
    <w:rsid w:val="00874D05"/>
    <w:rsid w:val="00874D4B"/>
    <w:rsid w:val="00874EC6"/>
    <w:rsid w:val="00875168"/>
    <w:rsid w:val="00875309"/>
    <w:rsid w:val="008753F4"/>
    <w:rsid w:val="0087556D"/>
    <w:rsid w:val="008755EF"/>
    <w:rsid w:val="00875724"/>
    <w:rsid w:val="008757D1"/>
    <w:rsid w:val="008757EB"/>
    <w:rsid w:val="0087581C"/>
    <w:rsid w:val="00875861"/>
    <w:rsid w:val="008759EE"/>
    <w:rsid w:val="00875A66"/>
    <w:rsid w:val="00875AAF"/>
    <w:rsid w:val="00875AEC"/>
    <w:rsid w:val="00875BB9"/>
    <w:rsid w:val="00875C8B"/>
    <w:rsid w:val="00875DF3"/>
    <w:rsid w:val="00875E18"/>
    <w:rsid w:val="00875E34"/>
    <w:rsid w:val="008760B3"/>
    <w:rsid w:val="0087612F"/>
    <w:rsid w:val="00876275"/>
    <w:rsid w:val="00876277"/>
    <w:rsid w:val="00876290"/>
    <w:rsid w:val="008765D7"/>
    <w:rsid w:val="0087676A"/>
    <w:rsid w:val="00876853"/>
    <w:rsid w:val="0087695D"/>
    <w:rsid w:val="00876A0A"/>
    <w:rsid w:val="00876A1B"/>
    <w:rsid w:val="00876A80"/>
    <w:rsid w:val="00876A97"/>
    <w:rsid w:val="00876ACE"/>
    <w:rsid w:val="00876B0D"/>
    <w:rsid w:val="00876BE9"/>
    <w:rsid w:val="0087713A"/>
    <w:rsid w:val="008771D5"/>
    <w:rsid w:val="0087723E"/>
    <w:rsid w:val="0087746C"/>
    <w:rsid w:val="0087779F"/>
    <w:rsid w:val="00877832"/>
    <w:rsid w:val="00877852"/>
    <w:rsid w:val="0087788E"/>
    <w:rsid w:val="00877A59"/>
    <w:rsid w:val="00877A6A"/>
    <w:rsid w:val="00877B4D"/>
    <w:rsid w:val="00877C49"/>
    <w:rsid w:val="00877D23"/>
    <w:rsid w:val="00880032"/>
    <w:rsid w:val="00880044"/>
    <w:rsid w:val="008800C6"/>
    <w:rsid w:val="00880299"/>
    <w:rsid w:val="00880554"/>
    <w:rsid w:val="00880601"/>
    <w:rsid w:val="008806BD"/>
    <w:rsid w:val="008808D3"/>
    <w:rsid w:val="0088094B"/>
    <w:rsid w:val="00880B15"/>
    <w:rsid w:val="00880BBF"/>
    <w:rsid w:val="00880C84"/>
    <w:rsid w:val="00880F4C"/>
    <w:rsid w:val="00881009"/>
    <w:rsid w:val="008812CE"/>
    <w:rsid w:val="00881495"/>
    <w:rsid w:val="008814F2"/>
    <w:rsid w:val="008815CA"/>
    <w:rsid w:val="0088177F"/>
    <w:rsid w:val="008817E1"/>
    <w:rsid w:val="008817F5"/>
    <w:rsid w:val="00881B2C"/>
    <w:rsid w:val="00881D77"/>
    <w:rsid w:val="00881E72"/>
    <w:rsid w:val="00881EF7"/>
    <w:rsid w:val="008821BA"/>
    <w:rsid w:val="0088222A"/>
    <w:rsid w:val="0088234A"/>
    <w:rsid w:val="008823AE"/>
    <w:rsid w:val="008826B1"/>
    <w:rsid w:val="00882906"/>
    <w:rsid w:val="00882E07"/>
    <w:rsid w:val="00882F34"/>
    <w:rsid w:val="00882FB2"/>
    <w:rsid w:val="0088301F"/>
    <w:rsid w:val="008830A0"/>
    <w:rsid w:val="008831ED"/>
    <w:rsid w:val="0088322B"/>
    <w:rsid w:val="00883245"/>
    <w:rsid w:val="0088333D"/>
    <w:rsid w:val="0088342C"/>
    <w:rsid w:val="00883470"/>
    <w:rsid w:val="008836FE"/>
    <w:rsid w:val="00883714"/>
    <w:rsid w:val="008837E0"/>
    <w:rsid w:val="008837FC"/>
    <w:rsid w:val="00883949"/>
    <w:rsid w:val="00883A61"/>
    <w:rsid w:val="00883C23"/>
    <w:rsid w:val="00883D0E"/>
    <w:rsid w:val="00883DD9"/>
    <w:rsid w:val="00883EBC"/>
    <w:rsid w:val="00883F8F"/>
    <w:rsid w:val="008841A4"/>
    <w:rsid w:val="008841F5"/>
    <w:rsid w:val="008842DC"/>
    <w:rsid w:val="00884302"/>
    <w:rsid w:val="00884440"/>
    <w:rsid w:val="00884546"/>
    <w:rsid w:val="00884575"/>
    <w:rsid w:val="00884637"/>
    <w:rsid w:val="008846A5"/>
    <w:rsid w:val="008846C2"/>
    <w:rsid w:val="00884858"/>
    <w:rsid w:val="008848D2"/>
    <w:rsid w:val="008848E2"/>
    <w:rsid w:val="0088492B"/>
    <w:rsid w:val="00884A46"/>
    <w:rsid w:val="00884A75"/>
    <w:rsid w:val="00884B05"/>
    <w:rsid w:val="00884B0F"/>
    <w:rsid w:val="00884EEA"/>
    <w:rsid w:val="00884FB9"/>
    <w:rsid w:val="0088504D"/>
    <w:rsid w:val="00885075"/>
    <w:rsid w:val="008850AA"/>
    <w:rsid w:val="008850F7"/>
    <w:rsid w:val="0088514B"/>
    <w:rsid w:val="0088518B"/>
    <w:rsid w:val="00885297"/>
    <w:rsid w:val="00885315"/>
    <w:rsid w:val="00885442"/>
    <w:rsid w:val="008856DC"/>
    <w:rsid w:val="008857B5"/>
    <w:rsid w:val="00885887"/>
    <w:rsid w:val="008859C1"/>
    <w:rsid w:val="00885C57"/>
    <w:rsid w:val="00885CD2"/>
    <w:rsid w:val="00886370"/>
    <w:rsid w:val="0088645D"/>
    <w:rsid w:val="00886668"/>
    <w:rsid w:val="0088676C"/>
    <w:rsid w:val="0088696B"/>
    <w:rsid w:val="008869A2"/>
    <w:rsid w:val="00886A54"/>
    <w:rsid w:val="00886A9E"/>
    <w:rsid w:val="00886BD9"/>
    <w:rsid w:val="00886C33"/>
    <w:rsid w:val="00886E56"/>
    <w:rsid w:val="00887066"/>
    <w:rsid w:val="008871E6"/>
    <w:rsid w:val="008872A0"/>
    <w:rsid w:val="0088767D"/>
    <w:rsid w:val="00887779"/>
    <w:rsid w:val="00887818"/>
    <w:rsid w:val="00887870"/>
    <w:rsid w:val="008879F3"/>
    <w:rsid w:val="00887AC2"/>
    <w:rsid w:val="00887BBD"/>
    <w:rsid w:val="00887E38"/>
    <w:rsid w:val="00887E51"/>
    <w:rsid w:val="00887EC6"/>
    <w:rsid w:val="0089014D"/>
    <w:rsid w:val="00890353"/>
    <w:rsid w:val="00890361"/>
    <w:rsid w:val="00890413"/>
    <w:rsid w:val="008904A0"/>
    <w:rsid w:val="00890673"/>
    <w:rsid w:val="0089071C"/>
    <w:rsid w:val="0089079B"/>
    <w:rsid w:val="008907BD"/>
    <w:rsid w:val="00890D3B"/>
    <w:rsid w:val="00890FBE"/>
    <w:rsid w:val="0089105A"/>
    <w:rsid w:val="00891194"/>
    <w:rsid w:val="00891641"/>
    <w:rsid w:val="008916BA"/>
    <w:rsid w:val="008916E5"/>
    <w:rsid w:val="00891736"/>
    <w:rsid w:val="0089189A"/>
    <w:rsid w:val="00891951"/>
    <w:rsid w:val="00891AD5"/>
    <w:rsid w:val="00891BB0"/>
    <w:rsid w:val="00891CBF"/>
    <w:rsid w:val="00891E0C"/>
    <w:rsid w:val="00891E8A"/>
    <w:rsid w:val="00891EC7"/>
    <w:rsid w:val="00891F12"/>
    <w:rsid w:val="00891F8D"/>
    <w:rsid w:val="00892006"/>
    <w:rsid w:val="00892086"/>
    <w:rsid w:val="008920A3"/>
    <w:rsid w:val="008920B9"/>
    <w:rsid w:val="00892175"/>
    <w:rsid w:val="00892315"/>
    <w:rsid w:val="008923A5"/>
    <w:rsid w:val="0089263B"/>
    <w:rsid w:val="00892694"/>
    <w:rsid w:val="0089288B"/>
    <w:rsid w:val="00892A01"/>
    <w:rsid w:val="00892B35"/>
    <w:rsid w:val="00892C0A"/>
    <w:rsid w:val="00892D6B"/>
    <w:rsid w:val="00892FC3"/>
    <w:rsid w:val="0089306A"/>
    <w:rsid w:val="0089318D"/>
    <w:rsid w:val="008931D9"/>
    <w:rsid w:val="00893328"/>
    <w:rsid w:val="008933A5"/>
    <w:rsid w:val="008933D0"/>
    <w:rsid w:val="0089352F"/>
    <w:rsid w:val="008935C6"/>
    <w:rsid w:val="00893615"/>
    <w:rsid w:val="008936B5"/>
    <w:rsid w:val="0089387C"/>
    <w:rsid w:val="00893A05"/>
    <w:rsid w:val="00893AD2"/>
    <w:rsid w:val="00893AF1"/>
    <w:rsid w:val="00893B42"/>
    <w:rsid w:val="00893C01"/>
    <w:rsid w:val="00893CAB"/>
    <w:rsid w:val="00893CC3"/>
    <w:rsid w:val="00893F06"/>
    <w:rsid w:val="00893F6A"/>
    <w:rsid w:val="008943DA"/>
    <w:rsid w:val="008945D4"/>
    <w:rsid w:val="00894783"/>
    <w:rsid w:val="0089479F"/>
    <w:rsid w:val="008947E0"/>
    <w:rsid w:val="00894903"/>
    <w:rsid w:val="008949AE"/>
    <w:rsid w:val="00894C31"/>
    <w:rsid w:val="00894DDE"/>
    <w:rsid w:val="00894E25"/>
    <w:rsid w:val="00894FC8"/>
    <w:rsid w:val="00895015"/>
    <w:rsid w:val="008951FB"/>
    <w:rsid w:val="008952E1"/>
    <w:rsid w:val="00895565"/>
    <w:rsid w:val="0089559F"/>
    <w:rsid w:val="008955F1"/>
    <w:rsid w:val="0089574F"/>
    <w:rsid w:val="00895760"/>
    <w:rsid w:val="00895B71"/>
    <w:rsid w:val="00895CAC"/>
    <w:rsid w:val="00895ECB"/>
    <w:rsid w:val="00895F72"/>
    <w:rsid w:val="00896376"/>
    <w:rsid w:val="00896589"/>
    <w:rsid w:val="00896775"/>
    <w:rsid w:val="008967C6"/>
    <w:rsid w:val="00896928"/>
    <w:rsid w:val="00896BE9"/>
    <w:rsid w:val="00896CD8"/>
    <w:rsid w:val="00897019"/>
    <w:rsid w:val="008971F3"/>
    <w:rsid w:val="0089726A"/>
    <w:rsid w:val="00897459"/>
    <w:rsid w:val="00897479"/>
    <w:rsid w:val="008974C7"/>
    <w:rsid w:val="008975A9"/>
    <w:rsid w:val="0089766E"/>
    <w:rsid w:val="008976F9"/>
    <w:rsid w:val="008977EA"/>
    <w:rsid w:val="00897899"/>
    <w:rsid w:val="008979B5"/>
    <w:rsid w:val="00897B25"/>
    <w:rsid w:val="00897DFF"/>
    <w:rsid w:val="00897EA8"/>
    <w:rsid w:val="00897F41"/>
    <w:rsid w:val="00897FB2"/>
    <w:rsid w:val="008A0053"/>
    <w:rsid w:val="008A01D5"/>
    <w:rsid w:val="008A036F"/>
    <w:rsid w:val="008A0439"/>
    <w:rsid w:val="008A0582"/>
    <w:rsid w:val="008A05AE"/>
    <w:rsid w:val="008A0826"/>
    <w:rsid w:val="008A0A3C"/>
    <w:rsid w:val="008A0CAE"/>
    <w:rsid w:val="008A0E15"/>
    <w:rsid w:val="008A0EDD"/>
    <w:rsid w:val="008A0EDE"/>
    <w:rsid w:val="008A1056"/>
    <w:rsid w:val="008A123D"/>
    <w:rsid w:val="008A14DF"/>
    <w:rsid w:val="008A1696"/>
    <w:rsid w:val="008A177D"/>
    <w:rsid w:val="008A1857"/>
    <w:rsid w:val="008A1B09"/>
    <w:rsid w:val="008A1C68"/>
    <w:rsid w:val="008A1D20"/>
    <w:rsid w:val="008A1D27"/>
    <w:rsid w:val="008A20EE"/>
    <w:rsid w:val="008A2130"/>
    <w:rsid w:val="008A2311"/>
    <w:rsid w:val="008A232F"/>
    <w:rsid w:val="008A23CC"/>
    <w:rsid w:val="008A24F5"/>
    <w:rsid w:val="008A24F7"/>
    <w:rsid w:val="008A26E5"/>
    <w:rsid w:val="008A26F1"/>
    <w:rsid w:val="008A277E"/>
    <w:rsid w:val="008A2798"/>
    <w:rsid w:val="008A27E5"/>
    <w:rsid w:val="008A2917"/>
    <w:rsid w:val="008A2A30"/>
    <w:rsid w:val="008A2B1F"/>
    <w:rsid w:val="008A2BDA"/>
    <w:rsid w:val="008A2C22"/>
    <w:rsid w:val="008A2CCD"/>
    <w:rsid w:val="008A2E78"/>
    <w:rsid w:val="008A2F10"/>
    <w:rsid w:val="008A2F5D"/>
    <w:rsid w:val="008A3273"/>
    <w:rsid w:val="008A327D"/>
    <w:rsid w:val="008A33A5"/>
    <w:rsid w:val="008A34B5"/>
    <w:rsid w:val="008A35E2"/>
    <w:rsid w:val="008A361B"/>
    <w:rsid w:val="008A36A6"/>
    <w:rsid w:val="008A39E9"/>
    <w:rsid w:val="008A3A71"/>
    <w:rsid w:val="008A3AAA"/>
    <w:rsid w:val="008A3ACB"/>
    <w:rsid w:val="008A3BCC"/>
    <w:rsid w:val="008A3C05"/>
    <w:rsid w:val="008A406A"/>
    <w:rsid w:val="008A408C"/>
    <w:rsid w:val="008A4363"/>
    <w:rsid w:val="008A443E"/>
    <w:rsid w:val="008A4562"/>
    <w:rsid w:val="008A4678"/>
    <w:rsid w:val="008A4751"/>
    <w:rsid w:val="008A477E"/>
    <w:rsid w:val="008A47DD"/>
    <w:rsid w:val="008A47E5"/>
    <w:rsid w:val="008A498C"/>
    <w:rsid w:val="008A4A50"/>
    <w:rsid w:val="008A4ADE"/>
    <w:rsid w:val="008A4C9F"/>
    <w:rsid w:val="008A4E95"/>
    <w:rsid w:val="008A4FB3"/>
    <w:rsid w:val="008A5024"/>
    <w:rsid w:val="008A506C"/>
    <w:rsid w:val="008A51C0"/>
    <w:rsid w:val="008A51D0"/>
    <w:rsid w:val="008A51EB"/>
    <w:rsid w:val="008A52E2"/>
    <w:rsid w:val="008A538B"/>
    <w:rsid w:val="008A53F6"/>
    <w:rsid w:val="008A53FC"/>
    <w:rsid w:val="008A54F3"/>
    <w:rsid w:val="008A5523"/>
    <w:rsid w:val="008A5534"/>
    <w:rsid w:val="008A5565"/>
    <w:rsid w:val="008A55D3"/>
    <w:rsid w:val="008A57B9"/>
    <w:rsid w:val="008A5950"/>
    <w:rsid w:val="008A5964"/>
    <w:rsid w:val="008A5AD0"/>
    <w:rsid w:val="008A5B1C"/>
    <w:rsid w:val="008A5D9D"/>
    <w:rsid w:val="008A5F2F"/>
    <w:rsid w:val="008A6100"/>
    <w:rsid w:val="008A6375"/>
    <w:rsid w:val="008A6475"/>
    <w:rsid w:val="008A64CD"/>
    <w:rsid w:val="008A6679"/>
    <w:rsid w:val="008A677E"/>
    <w:rsid w:val="008A677F"/>
    <w:rsid w:val="008A6857"/>
    <w:rsid w:val="008A6A65"/>
    <w:rsid w:val="008A6AF7"/>
    <w:rsid w:val="008A6C90"/>
    <w:rsid w:val="008A6CC9"/>
    <w:rsid w:val="008A7021"/>
    <w:rsid w:val="008A704C"/>
    <w:rsid w:val="008A70B2"/>
    <w:rsid w:val="008A7297"/>
    <w:rsid w:val="008A741C"/>
    <w:rsid w:val="008A7532"/>
    <w:rsid w:val="008A7888"/>
    <w:rsid w:val="008A7AE5"/>
    <w:rsid w:val="008A7DBC"/>
    <w:rsid w:val="008A7E6A"/>
    <w:rsid w:val="008A7F9A"/>
    <w:rsid w:val="008B00F0"/>
    <w:rsid w:val="008B01B6"/>
    <w:rsid w:val="008B033E"/>
    <w:rsid w:val="008B049E"/>
    <w:rsid w:val="008B04CF"/>
    <w:rsid w:val="008B05AF"/>
    <w:rsid w:val="008B05DD"/>
    <w:rsid w:val="008B0641"/>
    <w:rsid w:val="008B078D"/>
    <w:rsid w:val="008B07CD"/>
    <w:rsid w:val="008B0915"/>
    <w:rsid w:val="008B09E8"/>
    <w:rsid w:val="008B0A2E"/>
    <w:rsid w:val="008B0C7E"/>
    <w:rsid w:val="008B0CD3"/>
    <w:rsid w:val="008B0CE8"/>
    <w:rsid w:val="008B0D1F"/>
    <w:rsid w:val="008B0E8A"/>
    <w:rsid w:val="008B120B"/>
    <w:rsid w:val="008B1276"/>
    <w:rsid w:val="008B1478"/>
    <w:rsid w:val="008B167C"/>
    <w:rsid w:val="008B1802"/>
    <w:rsid w:val="008B18A9"/>
    <w:rsid w:val="008B18B1"/>
    <w:rsid w:val="008B18C6"/>
    <w:rsid w:val="008B1944"/>
    <w:rsid w:val="008B1B7A"/>
    <w:rsid w:val="008B1C7E"/>
    <w:rsid w:val="008B1C9A"/>
    <w:rsid w:val="008B1CBE"/>
    <w:rsid w:val="008B1F5F"/>
    <w:rsid w:val="008B2378"/>
    <w:rsid w:val="008B24BF"/>
    <w:rsid w:val="008B24DC"/>
    <w:rsid w:val="008B250F"/>
    <w:rsid w:val="008B25F5"/>
    <w:rsid w:val="008B266E"/>
    <w:rsid w:val="008B26C6"/>
    <w:rsid w:val="008B283F"/>
    <w:rsid w:val="008B28B5"/>
    <w:rsid w:val="008B2C80"/>
    <w:rsid w:val="008B2DD1"/>
    <w:rsid w:val="008B2E07"/>
    <w:rsid w:val="008B3420"/>
    <w:rsid w:val="008B342D"/>
    <w:rsid w:val="008B344D"/>
    <w:rsid w:val="008B3543"/>
    <w:rsid w:val="008B3602"/>
    <w:rsid w:val="008B365F"/>
    <w:rsid w:val="008B38AF"/>
    <w:rsid w:val="008B3A19"/>
    <w:rsid w:val="008B3AFA"/>
    <w:rsid w:val="008B3B44"/>
    <w:rsid w:val="008B3BB2"/>
    <w:rsid w:val="008B3CA5"/>
    <w:rsid w:val="008B3F43"/>
    <w:rsid w:val="008B3FEB"/>
    <w:rsid w:val="008B40DC"/>
    <w:rsid w:val="008B412B"/>
    <w:rsid w:val="008B4229"/>
    <w:rsid w:val="008B4823"/>
    <w:rsid w:val="008B4A01"/>
    <w:rsid w:val="008B4AF2"/>
    <w:rsid w:val="008B4C49"/>
    <w:rsid w:val="008B4D9B"/>
    <w:rsid w:val="008B4FC5"/>
    <w:rsid w:val="008B51D9"/>
    <w:rsid w:val="008B525F"/>
    <w:rsid w:val="008B5462"/>
    <w:rsid w:val="008B558C"/>
    <w:rsid w:val="008B58D6"/>
    <w:rsid w:val="008B591E"/>
    <w:rsid w:val="008B5C25"/>
    <w:rsid w:val="008B5CB1"/>
    <w:rsid w:val="008B5E72"/>
    <w:rsid w:val="008B5E87"/>
    <w:rsid w:val="008B6033"/>
    <w:rsid w:val="008B608E"/>
    <w:rsid w:val="008B60EC"/>
    <w:rsid w:val="008B6174"/>
    <w:rsid w:val="008B6231"/>
    <w:rsid w:val="008B635B"/>
    <w:rsid w:val="008B64B4"/>
    <w:rsid w:val="008B651F"/>
    <w:rsid w:val="008B6548"/>
    <w:rsid w:val="008B660A"/>
    <w:rsid w:val="008B66B5"/>
    <w:rsid w:val="008B6AB7"/>
    <w:rsid w:val="008B6B59"/>
    <w:rsid w:val="008B6CAE"/>
    <w:rsid w:val="008B6D4D"/>
    <w:rsid w:val="008B7012"/>
    <w:rsid w:val="008B7060"/>
    <w:rsid w:val="008B7095"/>
    <w:rsid w:val="008B70A9"/>
    <w:rsid w:val="008B71AB"/>
    <w:rsid w:val="008B71D5"/>
    <w:rsid w:val="008B7426"/>
    <w:rsid w:val="008B75F0"/>
    <w:rsid w:val="008B79B7"/>
    <w:rsid w:val="008B7BB7"/>
    <w:rsid w:val="008B7DB0"/>
    <w:rsid w:val="008C00B2"/>
    <w:rsid w:val="008C01AF"/>
    <w:rsid w:val="008C06C9"/>
    <w:rsid w:val="008C0751"/>
    <w:rsid w:val="008C081B"/>
    <w:rsid w:val="008C0827"/>
    <w:rsid w:val="008C09C8"/>
    <w:rsid w:val="008C0C3E"/>
    <w:rsid w:val="008C0C9F"/>
    <w:rsid w:val="008C0D58"/>
    <w:rsid w:val="008C0F00"/>
    <w:rsid w:val="008C0FCF"/>
    <w:rsid w:val="008C10A3"/>
    <w:rsid w:val="008C10B8"/>
    <w:rsid w:val="008C11DA"/>
    <w:rsid w:val="008C1366"/>
    <w:rsid w:val="008C1437"/>
    <w:rsid w:val="008C1678"/>
    <w:rsid w:val="008C18FF"/>
    <w:rsid w:val="008C1A83"/>
    <w:rsid w:val="008C1CEA"/>
    <w:rsid w:val="008C1E7B"/>
    <w:rsid w:val="008C20E5"/>
    <w:rsid w:val="008C2349"/>
    <w:rsid w:val="008C24A3"/>
    <w:rsid w:val="008C25C6"/>
    <w:rsid w:val="008C2753"/>
    <w:rsid w:val="008C27D6"/>
    <w:rsid w:val="008C2810"/>
    <w:rsid w:val="008C2842"/>
    <w:rsid w:val="008C2908"/>
    <w:rsid w:val="008C29CE"/>
    <w:rsid w:val="008C2D09"/>
    <w:rsid w:val="008C2F5D"/>
    <w:rsid w:val="008C2FC4"/>
    <w:rsid w:val="008C30BF"/>
    <w:rsid w:val="008C3125"/>
    <w:rsid w:val="008C3137"/>
    <w:rsid w:val="008C3296"/>
    <w:rsid w:val="008C34EC"/>
    <w:rsid w:val="008C362C"/>
    <w:rsid w:val="008C3806"/>
    <w:rsid w:val="008C391F"/>
    <w:rsid w:val="008C3E96"/>
    <w:rsid w:val="008C3F5C"/>
    <w:rsid w:val="008C40EE"/>
    <w:rsid w:val="008C41FC"/>
    <w:rsid w:val="008C425A"/>
    <w:rsid w:val="008C4300"/>
    <w:rsid w:val="008C43F9"/>
    <w:rsid w:val="008C456E"/>
    <w:rsid w:val="008C45B5"/>
    <w:rsid w:val="008C45F0"/>
    <w:rsid w:val="008C4648"/>
    <w:rsid w:val="008C4914"/>
    <w:rsid w:val="008C4A40"/>
    <w:rsid w:val="008C5398"/>
    <w:rsid w:val="008C53DD"/>
    <w:rsid w:val="008C58A7"/>
    <w:rsid w:val="008C58F0"/>
    <w:rsid w:val="008C5B06"/>
    <w:rsid w:val="008C618B"/>
    <w:rsid w:val="008C628B"/>
    <w:rsid w:val="008C632F"/>
    <w:rsid w:val="008C643E"/>
    <w:rsid w:val="008C64AB"/>
    <w:rsid w:val="008C6514"/>
    <w:rsid w:val="008C6580"/>
    <w:rsid w:val="008C6664"/>
    <w:rsid w:val="008C6695"/>
    <w:rsid w:val="008C6761"/>
    <w:rsid w:val="008C68D6"/>
    <w:rsid w:val="008C6A44"/>
    <w:rsid w:val="008C6A60"/>
    <w:rsid w:val="008C6A77"/>
    <w:rsid w:val="008C6AAB"/>
    <w:rsid w:val="008C6CF1"/>
    <w:rsid w:val="008C6D0F"/>
    <w:rsid w:val="008C6D67"/>
    <w:rsid w:val="008C6D72"/>
    <w:rsid w:val="008C6F8F"/>
    <w:rsid w:val="008C7036"/>
    <w:rsid w:val="008C72D9"/>
    <w:rsid w:val="008C7515"/>
    <w:rsid w:val="008C75B6"/>
    <w:rsid w:val="008C75E3"/>
    <w:rsid w:val="008C7644"/>
    <w:rsid w:val="008C77F9"/>
    <w:rsid w:val="008C78F0"/>
    <w:rsid w:val="008C79E5"/>
    <w:rsid w:val="008C7A91"/>
    <w:rsid w:val="008C7BCC"/>
    <w:rsid w:val="008C7C83"/>
    <w:rsid w:val="008C7CBB"/>
    <w:rsid w:val="008C7D87"/>
    <w:rsid w:val="008D008A"/>
    <w:rsid w:val="008D02E9"/>
    <w:rsid w:val="008D0378"/>
    <w:rsid w:val="008D03CB"/>
    <w:rsid w:val="008D03D3"/>
    <w:rsid w:val="008D0413"/>
    <w:rsid w:val="008D0626"/>
    <w:rsid w:val="008D090A"/>
    <w:rsid w:val="008D091C"/>
    <w:rsid w:val="008D0AD2"/>
    <w:rsid w:val="008D0BD7"/>
    <w:rsid w:val="008D0D01"/>
    <w:rsid w:val="008D0D20"/>
    <w:rsid w:val="008D0F28"/>
    <w:rsid w:val="008D125D"/>
    <w:rsid w:val="008D1448"/>
    <w:rsid w:val="008D161B"/>
    <w:rsid w:val="008D1753"/>
    <w:rsid w:val="008D2002"/>
    <w:rsid w:val="008D20CE"/>
    <w:rsid w:val="008D253D"/>
    <w:rsid w:val="008D2563"/>
    <w:rsid w:val="008D25FF"/>
    <w:rsid w:val="008D2655"/>
    <w:rsid w:val="008D2738"/>
    <w:rsid w:val="008D27D0"/>
    <w:rsid w:val="008D2890"/>
    <w:rsid w:val="008D2905"/>
    <w:rsid w:val="008D29D2"/>
    <w:rsid w:val="008D2A98"/>
    <w:rsid w:val="008D2AA4"/>
    <w:rsid w:val="008D2B58"/>
    <w:rsid w:val="008D2BA2"/>
    <w:rsid w:val="008D2C12"/>
    <w:rsid w:val="008D30D2"/>
    <w:rsid w:val="008D31A3"/>
    <w:rsid w:val="008D324B"/>
    <w:rsid w:val="008D3274"/>
    <w:rsid w:val="008D32FA"/>
    <w:rsid w:val="008D3376"/>
    <w:rsid w:val="008D346D"/>
    <w:rsid w:val="008D34AC"/>
    <w:rsid w:val="008D34D0"/>
    <w:rsid w:val="008D34D2"/>
    <w:rsid w:val="008D3527"/>
    <w:rsid w:val="008D356E"/>
    <w:rsid w:val="008D3592"/>
    <w:rsid w:val="008D3648"/>
    <w:rsid w:val="008D37D5"/>
    <w:rsid w:val="008D399E"/>
    <w:rsid w:val="008D3A80"/>
    <w:rsid w:val="008D3CE9"/>
    <w:rsid w:val="008D3D58"/>
    <w:rsid w:val="008D3D73"/>
    <w:rsid w:val="008D3E32"/>
    <w:rsid w:val="008D407C"/>
    <w:rsid w:val="008D4102"/>
    <w:rsid w:val="008D4113"/>
    <w:rsid w:val="008D441B"/>
    <w:rsid w:val="008D44C4"/>
    <w:rsid w:val="008D459E"/>
    <w:rsid w:val="008D45B7"/>
    <w:rsid w:val="008D4689"/>
    <w:rsid w:val="008D46EA"/>
    <w:rsid w:val="008D4989"/>
    <w:rsid w:val="008D4A32"/>
    <w:rsid w:val="008D4F9A"/>
    <w:rsid w:val="008D502A"/>
    <w:rsid w:val="008D50C6"/>
    <w:rsid w:val="008D5233"/>
    <w:rsid w:val="008D5426"/>
    <w:rsid w:val="008D5538"/>
    <w:rsid w:val="008D5580"/>
    <w:rsid w:val="008D5778"/>
    <w:rsid w:val="008D5815"/>
    <w:rsid w:val="008D5985"/>
    <w:rsid w:val="008D5A6A"/>
    <w:rsid w:val="008D5B67"/>
    <w:rsid w:val="008D5E8D"/>
    <w:rsid w:val="008D6128"/>
    <w:rsid w:val="008D6189"/>
    <w:rsid w:val="008D63E8"/>
    <w:rsid w:val="008D6458"/>
    <w:rsid w:val="008D66F9"/>
    <w:rsid w:val="008D6719"/>
    <w:rsid w:val="008D684C"/>
    <w:rsid w:val="008D698C"/>
    <w:rsid w:val="008D69EA"/>
    <w:rsid w:val="008D6B3B"/>
    <w:rsid w:val="008D6B4D"/>
    <w:rsid w:val="008D6E18"/>
    <w:rsid w:val="008D6E36"/>
    <w:rsid w:val="008D6E76"/>
    <w:rsid w:val="008D702E"/>
    <w:rsid w:val="008D7042"/>
    <w:rsid w:val="008D7567"/>
    <w:rsid w:val="008D783A"/>
    <w:rsid w:val="008D7AA3"/>
    <w:rsid w:val="008D7DEE"/>
    <w:rsid w:val="008D7F4A"/>
    <w:rsid w:val="008DE351"/>
    <w:rsid w:val="008E01BE"/>
    <w:rsid w:val="008E0220"/>
    <w:rsid w:val="008E0424"/>
    <w:rsid w:val="008E047C"/>
    <w:rsid w:val="008E0583"/>
    <w:rsid w:val="008E06C2"/>
    <w:rsid w:val="008E0735"/>
    <w:rsid w:val="008E084D"/>
    <w:rsid w:val="008E08DD"/>
    <w:rsid w:val="008E0A67"/>
    <w:rsid w:val="008E0AF0"/>
    <w:rsid w:val="008E0B68"/>
    <w:rsid w:val="008E0FD0"/>
    <w:rsid w:val="008E1083"/>
    <w:rsid w:val="008E11D0"/>
    <w:rsid w:val="008E14B7"/>
    <w:rsid w:val="008E193B"/>
    <w:rsid w:val="008E193C"/>
    <w:rsid w:val="008E199E"/>
    <w:rsid w:val="008E1B1E"/>
    <w:rsid w:val="008E1C92"/>
    <w:rsid w:val="008E1DED"/>
    <w:rsid w:val="008E2122"/>
    <w:rsid w:val="008E214C"/>
    <w:rsid w:val="008E2260"/>
    <w:rsid w:val="008E234F"/>
    <w:rsid w:val="008E2494"/>
    <w:rsid w:val="008E2718"/>
    <w:rsid w:val="008E2803"/>
    <w:rsid w:val="008E2837"/>
    <w:rsid w:val="008E29EF"/>
    <w:rsid w:val="008E2BD9"/>
    <w:rsid w:val="008E2C82"/>
    <w:rsid w:val="008E2CFC"/>
    <w:rsid w:val="008E2D63"/>
    <w:rsid w:val="008E2D6D"/>
    <w:rsid w:val="008E2D72"/>
    <w:rsid w:val="008E2DF7"/>
    <w:rsid w:val="008E31D2"/>
    <w:rsid w:val="008E33A9"/>
    <w:rsid w:val="008E33E2"/>
    <w:rsid w:val="008E351E"/>
    <w:rsid w:val="008E3742"/>
    <w:rsid w:val="008E3827"/>
    <w:rsid w:val="008E3A49"/>
    <w:rsid w:val="008E3C63"/>
    <w:rsid w:val="008E3FEE"/>
    <w:rsid w:val="008E40E8"/>
    <w:rsid w:val="008E41CE"/>
    <w:rsid w:val="008E41DF"/>
    <w:rsid w:val="008E42A4"/>
    <w:rsid w:val="008E455A"/>
    <w:rsid w:val="008E4924"/>
    <w:rsid w:val="008E4929"/>
    <w:rsid w:val="008E4982"/>
    <w:rsid w:val="008E4BA9"/>
    <w:rsid w:val="008E4ECD"/>
    <w:rsid w:val="008E51FF"/>
    <w:rsid w:val="008E5230"/>
    <w:rsid w:val="008E52A6"/>
    <w:rsid w:val="008E5517"/>
    <w:rsid w:val="008E567F"/>
    <w:rsid w:val="008E5833"/>
    <w:rsid w:val="008E583D"/>
    <w:rsid w:val="008E58B5"/>
    <w:rsid w:val="008E59DF"/>
    <w:rsid w:val="008E5A65"/>
    <w:rsid w:val="008E5B0F"/>
    <w:rsid w:val="008E5C7B"/>
    <w:rsid w:val="008E5D39"/>
    <w:rsid w:val="008E5FC1"/>
    <w:rsid w:val="008E6188"/>
    <w:rsid w:val="008E61DC"/>
    <w:rsid w:val="008E6436"/>
    <w:rsid w:val="008E643C"/>
    <w:rsid w:val="008E64C5"/>
    <w:rsid w:val="008E654C"/>
    <w:rsid w:val="008E6646"/>
    <w:rsid w:val="008E6739"/>
    <w:rsid w:val="008E67D7"/>
    <w:rsid w:val="008E69EC"/>
    <w:rsid w:val="008E6AA4"/>
    <w:rsid w:val="008E6B31"/>
    <w:rsid w:val="008E6B38"/>
    <w:rsid w:val="008E6C47"/>
    <w:rsid w:val="008E6CA7"/>
    <w:rsid w:val="008E70B2"/>
    <w:rsid w:val="008E72EB"/>
    <w:rsid w:val="008E73E4"/>
    <w:rsid w:val="008E7447"/>
    <w:rsid w:val="008E748C"/>
    <w:rsid w:val="008E7520"/>
    <w:rsid w:val="008E756C"/>
    <w:rsid w:val="008E757B"/>
    <w:rsid w:val="008E76F2"/>
    <w:rsid w:val="008E7A2B"/>
    <w:rsid w:val="008E7A3E"/>
    <w:rsid w:val="008E7A54"/>
    <w:rsid w:val="008E7CEF"/>
    <w:rsid w:val="008E7DD8"/>
    <w:rsid w:val="008E7E30"/>
    <w:rsid w:val="008E7EE6"/>
    <w:rsid w:val="008E7F89"/>
    <w:rsid w:val="008F00F8"/>
    <w:rsid w:val="008F02E2"/>
    <w:rsid w:val="008F0354"/>
    <w:rsid w:val="008F03FA"/>
    <w:rsid w:val="008F052B"/>
    <w:rsid w:val="008F0761"/>
    <w:rsid w:val="008F0818"/>
    <w:rsid w:val="008F092D"/>
    <w:rsid w:val="008F0A37"/>
    <w:rsid w:val="008F0A53"/>
    <w:rsid w:val="008F0BF7"/>
    <w:rsid w:val="008F0E27"/>
    <w:rsid w:val="008F0F7F"/>
    <w:rsid w:val="008F108E"/>
    <w:rsid w:val="008F11B6"/>
    <w:rsid w:val="008F12AA"/>
    <w:rsid w:val="008F1547"/>
    <w:rsid w:val="008F1A34"/>
    <w:rsid w:val="008F1A89"/>
    <w:rsid w:val="008F1DDF"/>
    <w:rsid w:val="008F1EE8"/>
    <w:rsid w:val="008F1EF5"/>
    <w:rsid w:val="008F1F99"/>
    <w:rsid w:val="008F2024"/>
    <w:rsid w:val="008F2047"/>
    <w:rsid w:val="008F209A"/>
    <w:rsid w:val="008F2114"/>
    <w:rsid w:val="008F22AB"/>
    <w:rsid w:val="008F22AF"/>
    <w:rsid w:val="008F2393"/>
    <w:rsid w:val="008F2458"/>
    <w:rsid w:val="008F2522"/>
    <w:rsid w:val="008F2612"/>
    <w:rsid w:val="008F2671"/>
    <w:rsid w:val="008F270E"/>
    <w:rsid w:val="008F2A88"/>
    <w:rsid w:val="008F2BDC"/>
    <w:rsid w:val="008F2C0D"/>
    <w:rsid w:val="008F2CEF"/>
    <w:rsid w:val="008F2DCE"/>
    <w:rsid w:val="008F30BF"/>
    <w:rsid w:val="008F315F"/>
    <w:rsid w:val="008F3215"/>
    <w:rsid w:val="008F3453"/>
    <w:rsid w:val="008F34BB"/>
    <w:rsid w:val="008F353E"/>
    <w:rsid w:val="008F369F"/>
    <w:rsid w:val="008F375A"/>
    <w:rsid w:val="008F3843"/>
    <w:rsid w:val="008F3AAD"/>
    <w:rsid w:val="008F3B39"/>
    <w:rsid w:val="008F3BBD"/>
    <w:rsid w:val="008F3BC4"/>
    <w:rsid w:val="008F3CFB"/>
    <w:rsid w:val="008F3D4F"/>
    <w:rsid w:val="008F4423"/>
    <w:rsid w:val="008F4519"/>
    <w:rsid w:val="008F45F5"/>
    <w:rsid w:val="008F47BE"/>
    <w:rsid w:val="008F4A0A"/>
    <w:rsid w:val="008F4A96"/>
    <w:rsid w:val="008F4ADA"/>
    <w:rsid w:val="008F4F00"/>
    <w:rsid w:val="008F4FA1"/>
    <w:rsid w:val="008F4FAC"/>
    <w:rsid w:val="008F526B"/>
    <w:rsid w:val="008F5398"/>
    <w:rsid w:val="008F55D6"/>
    <w:rsid w:val="008F5601"/>
    <w:rsid w:val="008F561D"/>
    <w:rsid w:val="008F5796"/>
    <w:rsid w:val="008F57A9"/>
    <w:rsid w:val="008F582C"/>
    <w:rsid w:val="008F59E5"/>
    <w:rsid w:val="008F5B5F"/>
    <w:rsid w:val="008F5D45"/>
    <w:rsid w:val="008F604E"/>
    <w:rsid w:val="008F6168"/>
    <w:rsid w:val="008F61F8"/>
    <w:rsid w:val="008F6343"/>
    <w:rsid w:val="008F6673"/>
    <w:rsid w:val="008F6684"/>
    <w:rsid w:val="008F686E"/>
    <w:rsid w:val="008F6A93"/>
    <w:rsid w:val="008F6B26"/>
    <w:rsid w:val="008F6B6D"/>
    <w:rsid w:val="008F6BE7"/>
    <w:rsid w:val="008F6CC8"/>
    <w:rsid w:val="008F6D48"/>
    <w:rsid w:val="008F6D7A"/>
    <w:rsid w:val="008F6DED"/>
    <w:rsid w:val="008F6E85"/>
    <w:rsid w:val="008F704E"/>
    <w:rsid w:val="008F707F"/>
    <w:rsid w:val="008F7237"/>
    <w:rsid w:val="008F7266"/>
    <w:rsid w:val="008F72BA"/>
    <w:rsid w:val="008F72C0"/>
    <w:rsid w:val="008F72C4"/>
    <w:rsid w:val="008F7618"/>
    <w:rsid w:val="008F7643"/>
    <w:rsid w:val="008F780E"/>
    <w:rsid w:val="008F7AF4"/>
    <w:rsid w:val="008F7C05"/>
    <w:rsid w:val="008F7D14"/>
    <w:rsid w:val="008F7DA5"/>
    <w:rsid w:val="008F7DC3"/>
    <w:rsid w:val="008F7DD9"/>
    <w:rsid w:val="008F7E35"/>
    <w:rsid w:val="008F7E82"/>
    <w:rsid w:val="008F7F6A"/>
    <w:rsid w:val="008F7F8E"/>
    <w:rsid w:val="0090033E"/>
    <w:rsid w:val="0090043C"/>
    <w:rsid w:val="009006CF"/>
    <w:rsid w:val="0090080A"/>
    <w:rsid w:val="0090089C"/>
    <w:rsid w:val="0090097F"/>
    <w:rsid w:val="00900AA3"/>
    <w:rsid w:val="00900CD0"/>
    <w:rsid w:val="00900D5A"/>
    <w:rsid w:val="00900DD6"/>
    <w:rsid w:val="00900EAF"/>
    <w:rsid w:val="00900F4C"/>
    <w:rsid w:val="00900F74"/>
    <w:rsid w:val="00900FDA"/>
    <w:rsid w:val="00900FF4"/>
    <w:rsid w:val="009013EC"/>
    <w:rsid w:val="00901431"/>
    <w:rsid w:val="0090173B"/>
    <w:rsid w:val="0090175B"/>
    <w:rsid w:val="009017E6"/>
    <w:rsid w:val="009019AF"/>
    <w:rsid w:val="00901C0F"/>
    <w:rsid w:val="00901C4C"/>
    <w:rsid w:val="00901C89"/>
    <w:rsid w:val="00901CBB"/>
    <w:rsid w:val="00901E3E"/>
    <w:rsid w:val="00901EBC"/>
    <w:rsid w:val="009022D3"/>
    <w:rsid w:val="0090232E"/>
    <w:rsid w:val="00902458"/>
    <w:rsid w:val="0090253B"/>
    <w:rsid w:val="00902603"/>
    <w:rsid w:val="009026D6"/>
    <w:rsid w:val="009026DB"/>
    <w:rsid w:val="009028C9"/>
    <w:rsid w:val="009029C1"/>
    <w:rsid w:val="009029FF"/>
    <w:rsid w:val="00902B2E"/>
    <w:rsid w:val="00902FCA"/>
    <w:rsid w:val="00903171"/>
    <w:rsid w:val="0090325C"/>
    <w:rsid w:val="009032DD"/>
    <w:rsid w:val="009033C5"/>
    <w:rsid w:val="009034BD"/>
    <w:rsid w:val="0090356B"/>
    <w:rsid w:val="0090359F"/>
    <w:rsid w:val="009037D6"/>
    <w:rsid w:val="00903929"/>
    <w:rsid w:val="009039F5"/>
    <w:rsid w:val="00903A31"/>
    <w:rsid w:val="00903A7A"/>
    <w:rsid w:val="00903AFA"/>
    <w:rsid w:val="00903C6D"/>
    <w:rsid w:val="00903F40"/>
    <w:rsid w:val="00903F62"/>
    <w:rsid w:val="00903FF6"/>
    <w:rsid w:val="00903FFE"/>
    <w:rsid w:val="0090401D"/>
    <w:rsid w:val="00904079"/>
    <w:rsid w:val="009040DF"/>
    <w:rsid w:val="009041C4"/>
    <w:rsid w:val="0090422B"/>
    <w:rsid w:val="00904257"/>
    <w:rsid w:val="009042C3"/>
    <w:rsid w:val="00904522"/>
    <w:rsid w:val="009045B0"/>
    <w:rsid w:val="00904685"/>
    <w:rsid w:val="0090491A"/>
    <w:rsid w:val="00904939"/>
    <w:rsid w:val="00904988"/>
    <w:rsid w:val="00904A3E"/>
    <w:rsid w:val="00904D1E"/>
    <w:rsid w:val="009050C9"/>
    <w:rsid w:val="0090516D"/>
    <w:rsid w:val="0090537D"/>
    <w:rsid w:val="00905393"/>
    <w:rsid w:val="0090554D"/>
    <w:rsid w:val="00905738"/>
    <w:rsid w:val="00905803"/>
    <w:rsid w:val="009058FD"/>
    <w:rsid w:val="00905ACF"/>
    <w:rsid w:val="00905C5C"/>
    <w:rsid w:val="00905C9F"/>
    <w:rsid w:val="00905CA2"/>
    <w:rsid w:val="00905EA7"/>
    <w:rsid w:val="00905F37"/>
    <w:rsid w:val="00906064"/>
    <w:rsid w:val="00906086"/>
    <w:rsid w:val="009060ED"/>
    <w:rsid w:val="009061C0"/>
    <w:rsid w:val="00906435"/>
    <w:rsid w:val="0090648D"/>
    <w:rsid w:val="0090661A"/>
    <w:rsid w:val="0090663B"/>
    <w:rsid w:val="00906A6E"/>
    <w:rsid w:val="00906E4F"/>
    <w:rsid w:val="00907151"/>
    <w:rsid w:val="0090758D"/>
    <w:rsid w:val="0090764D"/>
    <w:rsid w:val="0090766F"/>
    <w:rsid w:val="00907775"/>
    <w:rsid w:val="00907A33"/>
    <w:rsid w:val="00907C3A"/>
    <w:rsid w:val="00907E62"/>
    <w:rsid w:val="0091008C"/>
    <w:rsid w:val="009100DF"/>
    <w:rsid w:val="0091029C"/>
    <w:rsid w:val="00910422"/>
    <w:rsid w:val="0091050D"/>
    <w:rsid w:val="00910640"/>
    <w:rsid w:val="0091074C"/>
    <w:rsid w:val="0091078C"/>
    <w:rsid w:val="009109AC"/>
    <w:rsid w:val="009109C8"/>
    <w:rsid w:val="00910A89"/>
    <w:rsid w:val="00910AF7"/>
    <w:rsid w:val="00910BD6"/>
    <w:rsid w:val="00910C03"/>
    <w:rsid w:val="00910DF3"/>
    <w:rsid w:val="00910F1A"/>
    <w:rsid w:val="009111BD"/>
    <w:rsid w:val="0091134B"/>
    <w:rsid w:val="009113DC"/>
    <w:rsid w:val="009114EB"/>
    <w:rsid w:val="0091189D"/>
    <w:rsid w:val="0091192F"/>
    <w:rsid w:val="00911997"/>
    <w:rsid w:val="0091199E"/>
    <w:rsid w:val="00911B46"/>
    <w:rsid w:val="00911DD0"/>
    <w:rsid w:val="00911E76"/>
    <w:rsid w:val="00911E82"/>
    <w:rsid w:val="00912016"/>
    <w:rsid w:val="009120B6"/>
    <w:rsid w:val="00912291"/>
    <w:rsid w:val="009122DD"/>
    <w:rsid w:val="009123FC"/>
    <w:rsid w:val="00912402"/>
    <w:rsid w:val="0091245F"/>
    <w:rsid w:val="009125C7"/>
    <w:rsid w:val="00912728"/>
    <w:rsid w:val="009127C0"/>
    <w:rsid w:val="00912816"/>
    <w:rsid w:val="009128C5"/>
    <w:rsid w:val="00912916"/>
    <w:rsid w:val="009129E8"/>
    <w:rsid w:val="00912A71"/>
    <w:rsid w:val="00912AC2"/>
    <w:rsid w:val="00912B7C"/>
    <w:rsid w:val="00912BFE"/>
    <w:rsid w:val="00912CF4"/>
    <w:rsid w:val="00912DC2"/>
    <w:rsid w:val="00912E66"/>
    <w:rsid w:val="00912E7D"/>
    <w:rsid w:val="00912EC4"/>
    <w:rsid w:val="00913047"/>
    <w:rsid w:val="00913086"/>
    <w:rsid w:val="00913187"/>
    <w:rsid w:val="009131D3"/>
    <w:rsid w:val="009131E8"/>
    <w:rsid w:val="0091331A"/>
    <w:rsid w:val="009134AC"/>
    <w:rsid w:val="00913542"/>
    <w:rsid w:val="009135E0"/>
    <w:rsid w:val="00913748"/>
    <w:rsid w:val="00913842"/>
    <w:rsid w:val="00913910"/>
    <w:rsid w:val="0091391C"/>
    <w:rsid w:val="00913B77"/>
    <w:rsid w:val="00913C18"/>
    <w:rsid w:val="00913D07"/>
    <w:rsid w:val="00913D5C"/>
    <w:rsid w:val="00913EAC"/>
    <w:rsid w:val="00913EB5"/>
    <w:rsid w:val="00913FD6"/>
    <w:rsid w:val="00913FFE"/>
    <w:rsid w:val="009141E5"/>
    <w:rsid w:val="009144AA"/>
    <w:rsid w:val="00914559"/>
    <w:rsid w:val="00914994"/>
    <w:rsid w:val="00914A0A"/>
    <w:rsid w:val="00914EF5"/>
    <w:rsid w:val="00914F58"/>
    <w:rsid w:val="00914FB4"/>
    <w:rsid w:val="00914FC0"/>
    <w:rsid w:val="00915278"/>
    <w:rsid w:val="0091538C"/>
    <w:rsid w:val="009153A6"/>
    <w:rsid w:val="00915544"/>
    <w:rsid w:val="00915574"/>
    <w:rsid w:val="00915997"/>
    <w:rsid w:val="00915A16"/>
    <w:rsid w:val="00915AEF"/>
    <w:rsid w:val="00915B76"/>
    <w:rsid w:val="00915BC0"/>
    <w:rsid w:val="00915DDF"/>
    <w:rsid w:val="00915F83"/>
    <w:rsid w:val="009160C6"/>
    <w:rsid w:val="009160CE"/>
    <w:rsid w:val="009161DE"/>
    <w:rsid w:val="00916240"/>
    <w:rsid w:val="0091624C"/>
    <w:rsid w:val="00916254"/>
    <w:rsid w:val="009162B2"/>
    <w:rsid w:val="00916401"/>
    <w:rsid w:val="0091645C"/>
    <w:rsid w:val="009165F0"/>
    <w:rsid w:val="00916647"/>
    <w:rsid w:val="009168FB"/>
    <w:rsid w:val="00916A88"/>
    <w:rsid w:val="00916AA5"/>
    <w:rsid w:val="00916E60"/>
    <w:rsid w:val="00917071"/>
    <w:rsid w:val="00917195"/>
    <w:rsid w:val="009171C3"/>
    <w:rsid w:val="009172E0"/>
    <w:rsid w:val="009172FE"/>
    <w:rsid w:val="00917410"/>
    <w:rsid w:val="0091755C"/>
    <w:rsid w:val="00917698"/>
    <w:rsid w:val="009177CB"/>
    <w:rsid w:val="00917888"/>
    <w:rsid w:val="009178B4"/>
    <w:rsid w:val="009178E0"/>
    <w:rsid w:val="00917930"/>
    <w:rsid w:val="0091796F"/>
    <w:rsid w:val="00917AC8"/>
    <w:rsid w:val="00917C88"/>
    <w:rsid w:val="00917CDA"/>
    <w:rsid w:val="00917D84"/>
    <w:rsid w:val="00917DAE"/>
    <w:rsid w:val="00917EF4"/>
    <w:rsid w:val="009200B4"/>
    <w:rsid w:val="0092023C"/>
    <w:rsid w:val="00920246"/>
    <w:rsid w:val="009202D8"/>
    <w:rsid w:val="0092059D"/>
    <w:rsid w:val="00920B31"/>
    <w:rsid w:val="00920CBD"/>
    <w:rsid w:val="00920F65"/>
    <w:rsid w:val="00920F80"/>
    <w:rsid w:val="009210B8"/>
    <w:rsid w:val="009212E0"/>
    <w:rsid w:val="0092134E"/>
    <w:rsid w:val="00921399"/>
    <w:rsid w:val="009214CB"/>
    <w:rsid w:val="009216F8"/>
    <w:rsid w:val="009219ED"/>
    <w:rsid w:val="00921FA5"/>
    <w:rsid w:val="00921FBB"/>
    <w:rsid w:val="009220FF"/>
    <w:rsid w:val="0092212C"/>
    <w:rsid w:val="00922251"/>
    <w:rsid w:val="009222E5"/>
    <w:rsid w:val="009222EF"/>
    <w:rsid w:val="00922361"/>
    <w:rsid w:val="0092236F"/>
    <w:rsid w:val="0092238B"/>
    <w:rsid w:val="00922410"/>
    <w:rsid w:val="00922442"/>
    <w:rsid w:val="00922449"/>
    <w:rsid w:val="0092264B"/>
    <w:rsid w:val="009227B1"/>
    <w:rsid w:val="00922950"/>
    <w:rsid w:val="00922C14"/>
    <w:rsid w:val="00922C79"/>
    <w:rsid w:val="00922E24"/>
    <w:rsid w:val="00922F5D"/>
    <w:rsid w:val="00922FCF"/>
    <w:rsid w:val="00923140"/>
    <w:rsid w:val="00923154"/>
    <w:rsid w:val="00923168"/>
    <w:rsid w:val="009232B1"/>
    <w:rsid w:val="0092341C"/>
    <w:rsid w:val="00923430"/>
    <w:rsid w:val="0092348E"/>
    <w:rsid w:val="00923497"/>
    <w:rsid w:val="00923651"/>
    <w:rsid w:val="009236AD"/>
    <w:rsid w:val="009237EC"/>
    <w:rsid w:val="00923810"/>
    <w:rsid w:val="009239BB"/>
    <w:rsid w:val="00923A76"/>
    <w:rsid w:val="00923DF4"/>
    <w:rsid w:val="00923E71"/>
    <w:rsid w:val="00923E87"/>
    <w:rsid w:val="0092411E"/>
    <w:rsid w:val="009244BD"/>
    <w:rsid w:val="0092474C"/>
    <w:rsid w:val="009247D9"/>
    <w:rsid w:val="0092482F"/>
    <w:rsid w:val="009249D7"/>
    <w:rsid w:val="00924B19"/>
    <w:rsid w:val="00924C31"/>
    <w:rsid w:val="00924C65"/>
    <w:rsid w:val="00924E24"/>
    <w:rsid w:val="00924E54"/>
    <w:rsid w:val="00924F95"/>
    <w:rsid w:val="00924FA7"/>
    <w:rsid w:val="00924FF9"/>
    <w:rsid w:val="00925094"/>
    <w:rsid w:val="009250AD"/>
    <w:rsid w:val="0092510B"/>
    <w:rsid w:val="0092512E"/>
    <w:rsid w:val="009251F0"/>
    <w:rsid w:val="00925250"/>
    <w:rsid w:val="009252E5"/>
    <w:rsid w:val="00925390"/>
    <w:rsid w:val="00925578"/>
    <w:rsid w:val="009255C5"/>
    <w:rsid w:val="009257C9"/>
    <w:rsid w:val="009257D4"/>
    <w:rsid w:val="00925A11"/>
    <w:rsid w:val="00925AAC"/>
    <w:rsid w:val="00925B6A"/>
    <w:rsid w:val="00925C19"/>
    <w:rsid w:val="00925E4B"/>
    <w:rsid w:val="00925E8F"/>
    <w:rsid w:val="00925ED2"/>
    <w:rsid w:val="00925F36"/>
    <w:rsid w:val="0092641F"/>
    <w:rsid w:val="0092645F"/>
    <w:rsid w:val="009264DF"/>
    <w:rsid w:val="0092691D"/>
    <w:rsid w:val="0092691F"/>
    <w:rsid w:val="00926960"/>
    <w:rsid w:val="00926B69"/>
    <w:rsid w:val="00926B8B"/>
    <w:rsid w:val="00926BC7"/>
    <w:rsid w:val="00926DBA"/>
    <w:rsid w:val="00926EC2"/>
    <w:rsid w:val="00926ED4"/>
    <w:rsid w:val="00927090"/>
    <w:rsid w:val="009271FF"/>
    <w:rsid w:val="009272AF"/>
    <w:rsid w:val="009272EF"/>
    <w:rsid w:val="0092730C"/>
    <w:rsid w:val="009273D2"/>
    <w:rsid w:val="009274CB"/>
    <w:rsid w:val="00927963"/>
    <w:rsid w:val="00927974"/>
    <w:rsid w:val="00927AF8"/>
    <w:rsid w:val="00927C5C"/>
    <w:rsid w:val="00927C92"/>
    <w:rsid w:val="009300B2"/>
    <w:rsid w:val="009301B8"/>
    <w:rsid w:val="009301D3"/>
    <w:rsid w:val="009302C0"/>
    <w:rsid w:val="009302CD"/>
    <w:rsid w:val="00930777"/>
    <w:rsid w:val="009307BD"/>
    <w:rsid w:val="00930836"/>
    <w:rsid w:val="009308FD"/>
    <w:rsid w:val="0093091A"/>
    <w:rsid w:val="0093098F"/>
    <w:rsid w:val="00930B0B"/>
    <w:rsid w:val="00930C77"/>
    <w:rsid w:val="00930D96"/>
    <w:rsid w:val="00930E20"/>
    <w:rsid w:val="00930F8C"/>
    <w:rsid w:val="0093100D"/>
    <w:rsid w:val="0093105E"/>
    <w:rsid w:val="0093140A"/>
    <w:rsid w:val="00931578"/>
    <w:rsid w:val="009315C7"/>
    <w:rsid w:val="0093167B"/>
    <w:rsid w:val="009317E1"/>
    <w:rsid w:val="00931881"/>
    <w:rsid w:val="009318B5"/>
    <w:rsid w:val="009318D4"/>
    <w:rsid w:val="0093191D"/>
    <w:rsid w:val="00931989"/>
    <w:rsid w:val="00931A88"/>
    <w:rsid w:val="00931C2C"/>
    <w:rsid w:val="00931C63"/>
    <w:rsid w:val="00931C9D"/>
    <w:rsid w:val="00931DD1"/>
    <w:rsid w:val="00932062"/>
    <w:rsid w:val="009321BD"/>
    <w:rsid w:val="00932414"/>
    <w:rsid w:val="00932459"/>
    <w:rsid w:val="00932650"/>
    <w:rsid w:val="00932703"/>
    <w:rsid w:val="00932A49"/>
    <w:rsid w:val="00932D7E"/>
    <w:rsid w:val="00932EEF"/>
    <w:rsid w:val="009332EF"/>
    <w:rsid w:val="00933323"/>
    <w:rsid w:val="009333E6"/>
    <w:rsid w:val="00933658"/>
    <w:rsid w:val="0093388E"/>
    <w:rsid w:val="00933CA1"/>
    <w:rsid w:val="00933DB3"/>
    <w:rsid w:val="00933E14"/>
    <w:rsid w:val="00933ED2"/>
    <w:rsid w:val="00933F15"/>
    <w:rsid w:val="009340E3"/>
    <w:rsid w:val="009341FB"/>
    <w:rsid w:val="009345AD"/>
    <w:rsid w:val="00934787"/>
    <w:rsid w:val="00934810"/>
    <w:rsid w:val="0093485A"/>
    <w:rsid w:val="0093489D"/>
    <w:rsid w:val="00934920"/>
    <w:rsid w:val="009349FD"/>
    <w:rsid w:val="00934BA1"/>
    <w:rsid w:val="00934BF6"/>
    <w:rsid w:val="00934DB5"/>
    <w:rsid w:val="009350D0"/>
    <w:rsid w:val="00935102"/>
    <w:rsid w:val="00935180"/>
    <w:rsid w:val="009351E0"/>
    <w:rsid w:val="0093541E"/>
    <w:rsid w:val="009354E4"/>
    <w:rsid w:val="0093553B"/>
    <w:rsid w:val="009355CA"/>
    <w:rsid w:val="00935622"/>
    <w:rsid w:val="0093574E"/>
    <w:rsid w:val="00935852"/>
    <w:rsid w:val="00935B2E"/>
    <w:rsid w:val="00935C95"/>
    <w:rsid w:val="00935D9F"/>
    <w:rsid w:val="00935E04"/>
    <w:rsid w:val="00935E72"/>
    <w:rsid w:val="00935F68"/>
    <w:rsid w:val="009360AD"/>
    <w:rsid w:val="00936237"/>
    <w:rsid w:val="0093663E"/>
    <w:rsid w:val="00936655"/>
    <w:rsid w:val="00936667"/>
    <w:rsid w:val="009368A6"/>
    <w:rsid w:val="00936A6A"/>
    <w:rsid w:val="00936B30"/>
    <w:rsid w:val="00936B5C"/>
    <w:rsid w:val="00936C33"/>
    <w:rsid w:val="00936C40"/>
    <w:rsid w:val="00936CA0"/>
    <w:rsid w:val="00936E67"/>
    <w:rsid w:val="009374B9"/>
    <w:rsid w:val="00937535"/>
    <w:rsid w:val="009377E7"/>
    <w:rsid w:val="00937881"/>
    <w:rsid w:val="009378D6"/>
    <w:rsid w:val="00937969"/>
    <w:rsid w:val="00937F15"/>
    <w:rsid w:val="00937F97"/>
    <w:rsid w:val="00940103"/>
    <w:rsid w:val="009402F9"/>
    <w:rsid w:val="00940317"/>
    <w:rsid w:val="00940483"/>
    <w:rsid w:val="009405A0"/>
    <w:rsid w:val="0094076F"/>
    <w:rsid w:val="009408B7"/>
    <w:rsid w:val="00940BE8"/>
    <w:rsid w:val="00940F72"/>
    <w:rsid w:val="00940FD0"/>
    <w:rsid w:val="00941224"/>
    <w:rsid w:val="00941307"/>
    <w:rsid w:val="00941351"/>
    <w:rsid w:val="009417AC"/>
    <w:rsid w:val="0094198F"/>
    <w:rsid w:val="00941ADD"/>
    <w:rsid w:val="00941C03"/>
    <w:rsid w:val="00941CB1"/>
    <w:rsid w:val="00941CE6"/>
    <w:rsid w:val="00941DE7"/>
    <w:rsid w:val="00942117"/>
    <w:rsid w:val="009421FF"/>
    <w:rsid w:val="00942276"/>
    <w:rsid w:val="0094227D"/>
    <w:rsid w:val="00942324"/>
    <w:rsid w:val="009426DF"/>
    <w:rsid w:val="00942A3D"/>
    <w:rsid w:val="00942B96"/>
    <w:rsid w:val="00942BF8"/>
    <w:rsid w:val="00942E18"/>
    <w:rsid w:val="00942ED7"/>
    <w:rsid w:val="00942EFB"/>
    <w:rsid w:val="009431A4"/>
    <w:rsid w:val="009431F7"/>
    <w:rsid w:val="0094327E"/>
    <w:rsid w:val="009432D5"/>
    <w:rsid w:val="009433D2"/>
    <w:rsid w:val="00943665"/>
    <w:rsid w:val="0094368D"/>
    <w:rsid w:val="009436AD"/>
    <w:rsid w:val="009436D1"/>
    <w:rsid w:val="00943746"/>
    <w:rsid w:val="00943BF4"/>
    <w:rsid w:val="00943C40"/>
    <w:rsid w:val="00943CB0"/>
    <w:rsid w:val="00943D3F"/>
    <w:rsid w:val="00943EAF"/>
    <w:rsid w:val="00943F5C"/>
    <w:rsid w:val="00943F6A"/>
    <w:rsid w:val="00943FEE"/>
    <w:rsid w:val="00944149"/>
    <w:rsid w:val="00944179"/>
    <w:rsid w:val="009441A9"/>
    <w:rsid w:val="009441BC"/>
    <w:rsid w:val="00944219"/>
    <w:rsid w:val="009443A9"/>
    <w:rsid w:val="00944557"/>
    <w:rsid w:val="00944596"/>
    <w:rsid w:val="009445F7"/>
    <w:rsid w:val="00944772"/>
    <w:rsid w:val="0094493B"/>
    <w:rsid w:val="00944B59"/>
    <w:rsid w:val="00944BA0"/>
    <w:rsid w:val="00944C40"/>
    <w:rsid w:val="00944CB9"/>
    <w:rsid w:val="00944F23"/>
    <w:rsid w:val="0094524B"/>
    <w:rsid w:val="00945937"/>
    <w:rsid w:val="00945BBF"/>
    <w:rsid w:val="00945C80"/>
    <w:rsid w:val="00946036"/>
    <w:rsid w:val="0094609D"/>
    <w:rsid w:val="00946143"/>
    <w:rsid w:val="0094617A"/>
    <w:rsid w:val="00946217"/>
    <w:rsid w:val="009464B6"/>
    <w:rsid w:val="00946508"/>
    <w:rsid w:val="00946592"/>
    <w:rsid w:val="00946660"/>
    <w:rsid w:val="00946824"/>
    <w:rsid w:val="009468D0"/>
    <w:rsid w:val="009469C5"/>
    <w:rsid w:val="00946AAC"/>
    <w:rsid w:val="00946AD7"/>
    <w:rsid w:val="00946B09"/>
    <w:rsid w:val="00946B45"/>
    <w:rsid w:val="00946C70"/>
    <w:rsid w:val="00946C91"/>
    <w:rsid w:val="00946D12"/>
    <w:rsid w:val="00946E5B"/>
    <w:rsid w:val="00946F70"/>
    <w:rsid w:val="0094706F"/>
    <w:rsid w:val="009471D6"/>
    <w:rsid w:val="0094727C"/>
    <w:rsid w:val="009472D7"/>
    <w:rsid w:val="009473A4"/>
    <w:rsid w:val="009473C6"/>
    <w:rsid w:val="009474BB"/>
    <w:rsid w:val="009475BA"/>
    <w:rsid w:val="00947A23"/>
    <w:rsid w:val="00947A9F"/>
    <w:rsid w:val="00947C41"/>
    <w:rsid w:val="0094DBD9"/>
    <w:rsid w:val="00950015"/>
    <w:rsid w:val="00950129"/>
    <w:rsid w:val="0095069F"/>
    <w:rsid w:val="009509F3"/>
    <w:rsid w:val="00950C0C"/>
    <w:rsid w:val="00950C49"/>
    <w:rsid w:val="00950C97"/>
    <w:rsid w:val="00950CBA"/>
    <w:rsid w:val="00950D97"/>
    <w:rsid w:val="00950E14"/>
    <w:rsid w:val="00950E29"/>
    <w:rsid w:val="00951292"/>
    <w:rsid w:val="009512C4"/>
    <w:rsid w:val="009514C7"/>
    <w:rsid w:val="0095158C"/>
    <w:rsid w:val="0095168C"/>
    <w:rsid w:val="00951978"/>
    <w:rsid w:val="00951A79"/>
    <w:rsid w:val="00951A7C"/>
    <w:rsid w:val="00951AFC"/>
    <w:rsid w:val="00951C63"/>
    <w:rsid w:val="00951FF1"/>
    <w:rsid w:val="0095209B"/>
    <w:rsid w:val="00952105"/>
    <w:rsid w:val="00952135"/>
    <w:rsid w:val="00952215"/>
    <w:rsid w:val="009523FB"/>
    <w:rsid w:val="0095246A"/>
    <w:rsid w:val="009526D3"/>
    <w:rsid w:val="009527BB"/>
    <w:rsid w:val="009527FA"/>
    <w:rsid w:val="009529C5"/>
    <w:rsid w:val="00952A91"/>
    <w:rsid w:val="00952C4D"/>
    <w:rsid w:val="00952F3C"/>
    <w:rsid w:val="00953063"/>
    <w:rsid w:val="0095308B"/>
    <w:rsid w:val="0095338B"/>
    <w:rsid w:val="009534E8"/>
    <w:rsid w:val="009538C1"/>
    <w:rsid w:val="0095400B"/>
    <w:rsid w:val="009540A9"/>
    <w:rsid w:val="00954166"/>
    <w:rsid w:val="009541AB"/>
    <w:rsid w:val="00954235"/>
    <w:rsid w:val="00954355"/>
    <w:rsid w:val="009545EC"/>
    <w:rsid w:val="009547E2"/>
    <w:rsid w:val="009547F9"/>
    <w:rsid w:val="00954989"/>
    <w:rsid w:val="00954A53"/>
    <w:rsid w:val="00954BD1"/>
    <w:rsid w:val="00954C15"/>
    <w:rsid w:val="00954C71"/>
    <w:rsid w:val="00954E75"/>
    <w:rsid w:val="00954ED6"/>
    <w:rsid w:val="00954EEC"/>
    <w:rsid w:val="00955608"/>
    <w:rsid w:val="00955647"/>
    <w:rsid w:val="009556A1"/>
    <w:rsid w:val="00955A65"/>
    <w:rsid w:val="00955F6C"/>
    <w:rsid w:val="00955FB8"/>
    <w:rsid w:val="0095601B"/>
    <w:rsid w:val="00956039"/>
    <w:rsid w:val="009561C7"/>
    <w:rsid w:val="0095626A"/>
    <w:rsid w:val="009563C6"/>
    <w:rsid w:val="0095641E"/>
    <w:rsid w:val="009564C0"/>
    <w:rsid w:val="009566B7"/>
    <w:rsid w:val="00956E45"/>
    <w:rsid w:val="00956FEA"/>
    <w:rsid w:val="0095704A"/>
    <w:rsid w:val="00957262"/>
    <w:rsid w:val="009572F7"/>
    <w:rsid w:val="009573E3"/>
    <w:rsid w:val="0095746B"/>
    <w:rsid w:val="009574D0"/>
    <w:rsid w:val="0095767D"/>
    <w:rsid w:val="00957688"/>
    <w:rsid w:val="009578FC"/>
    <w:rsid w:val="0095791D"/>
    <w:rsid w:val="009579E2"/>
    <w:rsid w:val="00957B5E"/>
    <w:rsid w:val="00957C6E"/>
    <w:rsid w:val="00957DD8"/>
    <w:rsid w:val="00957E55"/>
    <w:rsid w:val="00957E66"/>
    <w:rsid w:val="00957FA6"/>
    <w:rsid w:val="00957FC9"/>
    <w:rsid w:val="009600D3"/>
    <w:rsid w:val="0096027A"/>
    <w:rsid w:val="0096093C"/>
    <w:rsid w:val="009609B7"/>
    <w:rsid w:val="009609ED"/>
    <w:rsid w:val="00960B07"/>
    <w:rsid w:val="00960C96"/>
    <w:rsid w:val="00960D84"/>
    <w:rsid w:val="00960F84"/>
    <w:rsid w:val="009610D0"/>
    <w:rsid w:val="00961111"/>
    <w:rsid w:val="009611C8"/>
    <w:rsid w:val="009615AF"/>
    <w:rsid w:val="009618F2"/>
    <w:rsid w:val="00961B16"/>
    <w:rsid w:val="00961B24"/>
    <w:rsid w:val="00961CDA"/>
    <w:rsid w:val="00961E2B"/>
    <w:rsid w:val="00961E89"/>
    <w:rsid w:val="00961FEC"/>
    <w:rsid w:val="009621C3"/>
    <w:rsid w:val="00962290"/>
    <w:rsid w:val="009622D2"/>
    <w:rsid w:val="009622D5"/>
    <w:rsid w:val="00962438"/>
    <w:rsid w:val="009628D3"/>
    <w:rsid w:val="0096295E"/>
    <w:rsid w:val="009629AA"/>
    <w:rsid w:val="009629AD"/>
    <w:rsid w:val="009629FE"/>
    <w:rsid w:val="00962D45"/>
    <w:rsid w:val="00962DA5"/>
    <w:rsid w:val="00962E1D"/>
    <w:rsid w:val="009630EF"/>
    <w:rsid w:val="009630F0"/>
    <w:rsid w:val="0096319B"/>
    <w:rsid w:val="0096326B"/>
    <w:rsid w:val="009633C5"/>
    <w:rsid w:val="009633FB"/>
    <w:rsid w:val="009634CF"/>
    <w:rsid w:val="0096351D"/>
    <w:rsid w:val="00963A88"/>
    <w:rsid w:val="00963AFD"/>
    <w:rsid w:val="00963C03"/>
    <w:rsid w:val="00964002"/>
    <w:rsid w:val="009641A5"/>
    <w:rsid w:val="009642C4"/>
    <w:rsid w:val="009647C3"/>
    <w:rsid w:val="009648D6"/>
    <w:rsid w:val="00964A6D"/>
    <w:rsid w:val="00964ABD"/>
    <w:rsid w:val="00964B6E"/>
    <w:rsid w:val="00964BA9"/>
    <w:rsid w:val="00964BF8"/>
    <w:rsid w:val="00964C03"/>
    <w:rsid w:val="00964C5B"/>
    <w:rsid w:val="00964C9B"/>
    <w:rsid w:val="00964D47"/>
    <w:rsid w:val="00964E7D"/>
    <w:rsid w:val="00964F1D"/>
    <w:rsid w:val="00964F41"/>
    <w:rsid w:val="00964F8B"/>
    <w:rsid w:val="00964F94"/>
    <w:rsid w:val="00965002"/>
    <w:rsid w:val="009650E1"/>
    <w:rsid w:val="0096513C"/>
    <w:rsid w:val="009652D0"/>
    <w:rsid w:val="00965707"/>
    <w:rsid w:val="0096572B"/>
    <w:rsid w:val="009657EE"/>
    <w:rsid w:val="00965D18"/>
    <w:rsid w:val="0096608A"/>
    <w:rsid w:val="009661CF"/>
    <w:rsid w:val="009664C5"/>
    <w:rsid w:val="00966549"/>
    <w:rsid w:val="00966919"/>
    <w:rsid w:val="009669EC"/>
    <w:rsid w:val="009669ED"/>
    <w:rsid w:val="00966A98"/>
    <w:rsid w:val="00966ABA"/>
    <w:rsid w:val="00966B20"/>
    <w:rsid w:val="00966FC0"/>
    <w:rsid w:val="00967073"/>
    <w:rsid w:val="009672E1"/>
    <w:rsid w:val="00967378"/>
    <w:rsid w:val="00967612"/>
    <w:rsid w:val="00967667"/>
    <w:rsid w:val="00967692"/>
    <w:rsid w:val="009678FC"/>
    <w:rsid w:val="0096798A"/>
    <w:rsid w:val="00967A75"/>
    <w:rsid w:val="00967B67"/>
    <w:rsid w:val="00967C43"/>
    <w:rsid w:val="00967D4C"/>
    <w:rsid w:val="00967D5F"/>
    <w:rsid w:val="00967DFE"/>
    <w:rsid w:val="00970037"/>
    <w:rsid w:val="009701A0"/>
    <w:rsid w:val="009703DA"/>
    <w:rsid w:val="009705DD"/>
    <w:rsid w:val="009708DA"/>
    <w:rsid w:val="00970969"/>
    <w:rsid w:val="00970A5B"/>
    <w:rsid w:val="00970B9D"/>
    <w:rsid w:val="00970D08"/>
    <w:rsid w:val="00970D57"/>
    <w:rsid w:val="00970ECF"/>
    <w:rsid w:val="0097108B"/>
    <w:rsid w:val="00971230"/>
    <w:rsid w:val="0097139B"/>
    <w:rsid w:val="009713B4"/>
    <w:rsid w:val="009714AD"/>
    <w:rsid w:val="0097192A"/>
    <w:rsid w:val="009719BD"/>
    <w:rsid w:val="00971ADD"/>
    <w:rsid w:val="00971B15"/>
    <w:rsid w:val="00971CF8"/>
    <w:rsid w:val="00971CFC"/>
    <w:rsid w:val="00971D86"/>
    <w:rsid w:val="00971D96"/>
    <w:rsid w:val="00971E52"/>
    <w:rsid w:val="0097209C"/>
    <w:rsid w:val="009720FF"/>
    <w:rsid w:val="009721D0"/>
    <w:rsid w:val="00972256"/>
    <w:rsid w:val="00972336"/>
    <w:rsid w:val="009723EF"/>
    <w:rsid w:val="00972526"/>
    <w:rsid w:val="009726B3"/>
    <w:rsid w:val="00972919"/>
    <w:rsid w:val="00972952"/>
    <w:rsid w:val="00972AB3"/>
    <w:rsid w:val="00972ACE"/>
    <w:rsid w:val="00972F7D"/>
    <w:rsid w:val="009730D0"/>
    <w:rsid w:val="0097319F"/>
    <w:rsid w:val="00973437"/>
    <w:rsid w:val="00973486"/>
    <w:rsid w:val="0097376F"/>
    <w:rsid w:val="009738EF"/>
    <w:rsid w:val="009739DF"/>
    <w:rsid w:val="00973BFA"/>
    <w:rsid w:val="00973E07"/>
    <w:rsid w:val="00973E3D"/>
    <w:rsid w:val="0097407B"/>
    <w:rsid w:val="009743C7"/>
    <w:rsid w:val="009744E6"/>
    <w:rsid w:val="009745AE"/>
    <w:rsid w:val="00974886"/>
    <w:rsid w:val="009748EC"/>
    <w:rsid w:val="00974991"/>
    <w:rsid w:val="00974A5E"/>
    <w:rsid w:val="00974ADD"/>
    <w:rsid w:val="00974BE0"/>
    <w:rsid w:val="00974CD8"/>
    <w:rsid w:val="00974CEB"/>
    <w:rsid w:val="00974D11"/>
    <w:rsid w:val="00974D36"/>
    <w:rsid w:val="00974DFA"/>
    <w:rsid w:val="009751EF"/>
    <w:rsid w:val="00975270"/>
    <w:rsid w:val="009754AF"/>
    <w:rsid w:val="009755C5"/>
    <w:rsid w:val="00975644"/>
    <w:rsid w:val="0097566B"/>
    <w:rsid w:val="0097569B"/>
    <w:rsid w:val="009756B5"/>
    <w:rsid w:val="00975704"/>
    <w:rsid w:val="00975759"/>
    <w:rsid w:val="00975830"/>
    <w:rsid w:val="00975842"/>
    <w:rsid w:val="00975BF9"/>
    <w:rsid w:val="00975E0C"/>
    <w:rsid w:val="00975E2F"/>
    <w:rsid w:val="00975F1E"/>
    <w:rsid w:val="00975FB7"/>
    <w:rsid w:val="00976048"/>
    <w:rsid w:val="009760A2"/>
    <w:rsid w:val="009761AB"/>
    <w:rsid w:val="009761B6"/>
    <w:rsid w:val="0097648A"/>
    <w:rsid w:val="00976601"/>
    <w:rsid w:val="00976723"/>
    <w:rsid w:val="0097683F"/>
    <w:rsid w:val="0097690A"/>
    <w:rsid w:val="00976C70"/>
    <w:rsid w:val="00976E79"/>
    <w:rsid w:val="009770AD"/>
    <w:rsid w:val="009771A3"/>
    <w:rsid w:val="00977309"/>
    <w:rsid w:val="009774C6"/>
    <w:rsid w:val="00977689"/>
    <w:rsid w:val="009777B3"/>
    <w:rsid w:val="009777C6"/>
    <w:rsid w:val="00977818"/>
    <w:rsid w:val="0097784F"/>
    <w:rsid w:val="00977ADD"/>
    <w:rsid w:val="00977BD2"/>
    <w:rsid w:val="00977C33"/>
    <w:rsid w:val="00977C92"/>
    <w:rsid w:val="00977FE2"/>
    <w:rsid w:val="00980062"/>
    <w:rsid w:val="009803B4"/>
    <w:rsid w:val="009806A1"/>
    <w:rsid w:val="009809FC"/>
    <w:rsid w:val="00980D22"/>
    <w:rsid w:val="00980DE8"/>
    <w:rsid w:val="00980F1B"/>
    <w:rsid w:val="00980FC0"/>
    <w:rsid w:val="00981022"/>
    <w:rsid w:val="0098102D"/>
    <w:rsid w:val="0098107C"/>
    <w:rsid w:val="00981090"/>
    <w:rsid w:val="009810FF"/>
    <w:rsid w:val="00981135"/>
    <w:rsid w:val="00981426"/>
    <w:rsid w:val="009814EC"/>
    <w:rsid w:val="0098189F"/>
    <w:rsid w:val="009819E6"/>
    <w:rsid w:val="00981CE0"/>
    <w:rsid w:val="00981D54"/>
    <w:rsid w:val="00981FA8"/>
    <w:rsid w:val="00982052"/>
    <w:rsid w:val="00982166"/>
    <w:rsid w:val="00982193"/>
    <w:rsid w:val="009823D2"/>
    <w:rsid w:val="00982793"/>
    <w:rsid w:val="0098279E"/>
    <w:rsid w:val="009827E5"/>
    <w:rsid w:val="00982850"/>
    <w:rsid w:val="0098298C"/>
    <w:rsid w:val="009829EA"/>
    <w:rsid w:val="00982BBB"/>
    <w:rsid w:val="00982D1E"/>
    <w:rsid w:val="00982DDE"/>
    <w:rsid w:val="00982E1A"/>
    <w:rsid w:val="00982E78"/>
    <w:rsid w:val="00982FF3"/>
    <w:rsid w:val="00983230"/>
    <w:rsid w:val="009833EE"/>
    <w:rsid w:val="00983612"/>
    <w:rsid w:val="0098363A"/>
    <w:rsid w:val="00983A34"/>
    <w:rsid w:val="00983B39"/>
    <w:rsid w:val="00983C13"/>
    <w:rsid w:val="00983C3E"/>
    <w:rsid w:val="00983C41"/>
    <w:rsid w:val="00983D2A"/>
    <w:rsid w:val="00983F17"/>
    <w:rsid w:val="0098410D"/>
    <w:rsid w:val="00984372"/>
    <w:rsid w:val="009845FF"/>
    <w:rsid w:val="0098462C"/>
    <w:rsid w:val="00984870"/>
    <w:rsid w:val="00984A30"/>
    <w:rsid w:val="00984CA3"/>
    <w:rsid w:val="00984DAF"/>
    <w:rsid w:val="00984DB0"/>
    <w:rsid w:val="009850A2"/>
    <w:rsid w:val="009850D5"/>
    <w:rsid w:val="009850E6"/>
    <w:rsid w:val="00985195"/>
    <w:rsid w:val="00985242"/>
    <w:rsid w:val="009852AA"/>
    <w:rsid w:val="009856AB"/>
    <w:rsid w:val="00985A79"/>
    <w:rsid w:val="009860E0"/>
    <w:rsid w:val="009860F1"/>
    <w:rsid w:val="0098611D"/>
    <w:rsid w:val="0098613E"/>
    <w:rsid w:val="009861B4"/>
    <w:rsid w:val="00986316"/>
    <w:rsid w:val="009863B7"/>
    <w:rsid w:val="0098648B"/>
    <w:rsid w:val="009864FB"/>
    <w:rsid w:val="00986686"/>
    <w:rsid w:val="00986859"/>
    <w:rsid w:val="00986930"/>
    <w:rsid w:val="00986B64"/>
    <w:rsid w:val="00986CBA"/>
    <w:rsid w:val="00986D89"/>
    <w:rsid w:val="009870A1"/>
    <w:rsid w:val="00987291"/>
    <w:rsid w:val="009876B4"/>
    <w:rsid w:val="009877C1"/>
    <w:rsid w:val="00987A28"/>
    <w:rsid w:val="00987A3C"/>
    <w:rsid w:val="00987BC0"/>
    <w:rsid w:val="00987C2E"/>
    <w:rsid w:val="00987C8D"/>
    <w:rsid w:val="00987E2C"/>
    <w:rsid w:val="00990420"/>
    <w:rsid w:val="009909F8"/>
    <w:rsid w:val="00990A2B"/>
    <w:rsid w:val="00990BAD"/>
    <w:rsid w:val="00990BCE"/>
    <w:rsid w:val="00990BF7"/>
    <w:rsid w:val="00991129"/>
    <w:rsid w:val="00991322"/>
    <w:rsid w:val="009913DD"/>
    <w:rsid w:val="00991427"/>
    <w:rsid w:val="00991453"/>
    <w:rsid w:val="00991454"/>
    <w:rsid w:val="009914C4"/>
    <w:rsid w:val="00991555"/>
    <w:rsid w:val="0099170B"/>
    <w:rsid w:val="00991755"/>
    <w:rsid w:val="009917C9"/>
    <w:rsid w:val="0099185E"/>
    <w:rsid w:val="009918BB"/>
    <w:rsid w:val="00991AFC"/>
    <w:rsid w:val="00991C23"/>
    <w:rsid w:val="00991C5B"/>
    <w:rsid w:val="00991CE9"/>
    <w:rsid w:val="00991D0C"/>
    <w:rsid w:val="00991D42"/>
    <w:rsid w:val="00991D7F"/>
    <w:rsid w:val="00992044"/>
    <w:rsid w:val="00992096"/>
    <w:rsid w:val="009920AE"/>
    <w:rsid w:val="009920CE"/>
    <w:rsid w:val="00992545"/>
    <w:rsid w:val="00992958"/>
    <w:rsid w:val="00992997"/>
    <w:rsid w:val="00992CC5"/>
    <w:rsid w:val="00992D7F"/>
    <w:rsid w:val="00992DDE"/>
    <w:rsid w:val="00993015"/>
    <w:rsid w:val="00993021"/>
    <w:rsid w:val="009930D5"/>
    <w:rsid w:val="00993211"/>
    <w:rsid w:val="009933A5"/>
    <w:rsid w:val="009933AE"/>
    <w:rsid w:val="00993419"/>
    <w:rsid w:val="0099362C"/>
    <w:rsid w:val="0099370C"/>
    <w:rsid w:val="0099387B"/>
    <w:rsid w:val="009938FC"/>
    <w:rsid w:val="009939AC"/>
    <w:rsid w:val="00993A86"/>
    <w:rsid w:val="00993A9E"/>
    <w:rsid w:val="00993B7D"/>
    <w:rsid w:val="00993BCC"/>
    <w:rsid w:val="0099404E"/>
    <w:rsid w:val="00994070"/>
    <w:rsid w:val="009940A9"/>
    <w:rsid w:val="00994605"/>
    <w:rsid w:val="00994A28"/>
    <w:rsid w:val="00994D79"/>
    <w:rsid w:val="00994E75"/>
    <w:rsid w:val="00995027"/>
    <w:rsid w:val="0099508C"/>
    <w:rsid w:val="009950FF"/>
    <w:rsid w:val="0099510B"/>
    <w:rsid w:val="00995135"/>
    <w:rsid w:val="00995473"/>
    <w:rsid w:val="00995596"/>
    <w:rsid w:val="00995601"/>
    <w:rsid w:val="00995672"/>
    <w:rsid w:val="009956A4"/>
    <w:rsid w:val="0099570C"/>
    <w:rsid w:val="0099574B"/>
    <w:rsid w:val="0099589A"/>
    <w:rsid w:val="00995919"/>
    <w:rsid w:val="009959BD"/>
    <w:rsid w:val="00995D86"/>
    <w:rsid w:val="00995DD7"/>
    <w:rsid w:val="0099601A"/>
    <w:rsid w:val="00996415"/>
    <w:rsid w:val="009964D2"/>
    <w:rsid w:val="0099656F"/>
    <w:rsid w:val="00996603"/>
    <w:rsid w:val="00996621"/>
    <w:rsid w:val="00996677"/>
    <w:rsid w:val="00996682"/>
    <w:rsid w:val="00996A81"/>
    <w:rsid w:val="00996B2F"/>
    <w:rsid w:val="00996B60"/>
    <w:rsid w:val="00996BBD"/>
    <w:rsid w:val="00996ECD"/>
    <w:rsid w:val="00996ECE"/>
    <w:rsid w:val="00996ED1"/>
    <w:rsid w:val="00996F04"/>
    <w:rsid w:val="009970F9"/>
    <w:rsid w:val="00997222"/>
    <w:rsid w:val="009978C5"/>
    <w:rsid w:val="009978EA"/>
    <w:rsid w:val="00997A2E"/>
    <w:rsid w:val="00997B8F"/>
    <w:rsid w:val="00997D68"/>
    <w:rsid w:val="00997E6E"/>
    <w:rsid w:val="009A02DB"/>
    <w:rsid w:val="009A0351"/>
    <w:rsid w:val="009A0618"/>
    <w:rsid w:val="009A0726"/>
    <w:rsid w:val="009A0869"/>
    <w:rsid w:val="009A0A28"/>
    <w:rsid w:val="009A0A2A"/>
    <w:rsid w:val="009A0A76"/>
    <w:rsid w:val="009A0BB4"/>
    <w:rsid w:val="009A0D45"/>
    <w:rsid w:val="009A109B"/>
    <w:rsid w:val="009A10DA"/>
    <w:rsid w:val="009A1144"/>
    <w:rsid w:val="009A14FA"/>
    <w:rsid w:val="009A1772"/>
    <w:rsid w:val="009A17D0"/>
    <w:rsid w:val="009A1969"/>
    <w:rsid w:val="009A199E"/>
    <w:rsid w:val="009A1A3C"/>
    <w:rsid w:val="009A1AD9"/>
    <w:rsid w:val="009A1B36"/>
    <w:rsid w:val="009A1D35"/>
    <w:rsid w:val="009A1FAD"/>
    <w:rsid w:val="009A2484"/>
    <w:rsid w:val="009A24A6"/>
    <w:rsid w:val="009A24BB"/>
    <w:rsid w:val="009A25BC"/>
    <w:rsid w:val="009A2620"/>
    <w:rsid w:val="009A2744"/>
    <w:rsid w:val="009A2747"/>
    <w:rsid w:val="009A2980"/>
    <w:rsid w:val="009A29E2"/>
    <w:rsid w:val="009A2B9E"/>
    <w:rsid w:val="009A2D4B"/>
    <w:rsid w:val="009A2EB9"/>
    <w:rsid w:val="009A2F15"/>
    <w:rsid w:val="009A3108"/>
    <w:rsid w:val="009A31E8"/>
    <w:rsid w:val="009A3252"/>
    <w:rsid w:val="009A32B7"/>
    <w:rsid w:val="009A3347"/>
    <w:rsid w:val="009A33C0"/>
    <w:rsid w:val="009A35BE"/>
    <w:rsid w:val="009A3692"/>
    <w:rsid w:val="009A36F2"/>
    <w:rsid w:val="009A37AB"/>
    <w:rsid w:val="009A393C"/>
    <w:rsid w:val="009A399A"/>
    <w:rsid w:val="009A3AF2"/>
    <w:rsid w:val="009A3C10"/>
    <w:rsid w:val="009A3C23"/>
    <w:rsid w:val="009A3C36"/>
    <w:rsid w:val="009A3FEC"/>
    <w:rsid w:val="009A4214"/>
    <w:rsid w:val="009A4280"/>
    <w:rsid w:val="009A42DA"/>
    <w:rsid w:val="009A44F1"/>
    <w:rsid w:val="009A4583"/>
    <w:rsid w:val="009A462C"/>
    <w:rsid w:val="009A4656"/>
    <w:rsid w:val="009A469B"/>
    <w:rsid w:val="009A47B5"/>
    <w:rsid w:val="009A47F8"/>
    <w:rsid w:val="009A4919"/>
    <w:rsid w:val="009A4B85"/>
    <w:rsid w:val="009A4C6F"/>
    <w:rsid w:val="009A4D73"/>
    <w:rsid w:val="009A4DCB"/>
    <w:rsid w:val="009A4EBB"/>
    <w:rsid w:val="009A4EEF"/>
    <w:rsid w:val="009A5059"/>
    <w:rsid w:val="009A5118"/>
    <w:rsid w:val="009A5241"/>
    <w:rsid w:val="009A5279"/>
    <w:rsid w:val="009A52B5"/>
    <w:rsid w:val="009A52FE"/>
    <w:rsid w:val="009A535E"/>
    <w:rsid w:val="009A54C4"/>
    <w:rsid w:val="009A54D1"/>
    <w:rsid w:val="009A54E6"/>
    <w:rsid w:val="009A54F8"/>
    <w:rsid w:val="009A555D"/>
    <w:rsid w:val="009A5643"/>
    <w:rsid w:val="009A5651"/>
    <w:rsid w:val="009A56BA"/>
    <w:rsid w:val="009A5773"/>
    <w:rsid w:val="009A5A13"/>
    <w:rsid w:val="009A5A64"/>
    <w:rsid w:val="009A5BC1"/>
    <w:rsid w:val="009A5C65"/>
    <w:rsid w:val="009A5D5F"/>
    <w:rsid w:val="009A60A9"/>
    <w:rsid w:val="009A60B2"/>
    <w:rsid w:val="009A6395"/>
    <w:rsid w:val="009A65B8"/>
    <w:rsid w:val="009A6621"/>
    <w:rsid w:val="009A6694"/>
    <w:rsid w:val="009A669A"/>
    <w:rsid w:val="009A66DB"/>
    <w:rsid w:val="009A68BB"/>
    <w:rsid w:val="009A6A08"/>
    <w:rsid w:val="009A6A61"/>
    <w:rsid w:val="009A6C54"/>
    <w:rsid w:val="009A6D0D"/>
    <w:rsid w:val="009A6E7E"/>
    <w:rsid w:val="009A71F6"/>
    <w:rsid w:val="009A7237"/>
    <w:rsid w:val="009A7446"/>
    <w:rsid w:val="009A74DF"/>
    <w:rsid w:val="009A788A"/>
    <w:rsid w:val="009A79BE"/>
    <w:rsid w:val="009A7A52"/>
    <w:rsid w:val="009A7AAE"/>
    <w:rsid w:val="009A7BBD"/>
    <w:rsid w:val="009A7BD3"/>
    <w:rsid w:val="009A7CA4"/>
    <w:rsid w:val="009A7D21"/>
    <w:rsid w:val="009A7E7A"/>
    <w:rsid w:val="009AF357"/>
    <w:rsid w:val="009B0247"/>
    <w:rsid w:val="009B02B2"/>
    <w:rsid w:val="009B04BA"/>
    <w:rsid w:val="009B0802"/>
    <w:rsid w:val="009B0924"/>
    <w:rsid w:val="009B0ADC"/>
    <w:rsid w:val="009B0ADD"/>
    <w:rsid w:val="009B0AE3"/>
    <w:rsid w:val="009B0C3E"/>
    <w:rsid w:val="009B0C7B"/>
    <w:rsid w:val="009B0D87"/>
    <w:rsid w:val="009B0EE4"/>
    <w:rsid w:val="009B0F5A"/>
    <w:rsid w:val="009B123B"/>
    <w:rsid w:val="009B1276"/>
    <w:rsid w:val="009B12D7"/>
    <w:rsid w:val="009B13BA"/>
    <w:rsid w:val="009B13E9"/>
    <w:rsid w:val="009B1896"/>
    <w:rsid w:val="009B18E5"/>
    <w:rsid w:val="009B1B15"/>
    <w:rsid w:val="009B1C92"/>
    <w:rsid w:val="009B1DF0"/>
    <w:rsid w:val="009B1EA1"/>
    <w:rsid w:val="009B1ED8"/>
    <w:rsid w:val="009B2005"/>
    <w:rsid w:val="009B2078"/>
    <w:rsid w:val="009B223C"/>
    <w:rsid w:val="009B2289"/>
    <w:rsid w:val="009B2458"/>
    <w:rsid w:val="009B25F8"/>
    <w:rsid w:val="009B26AB"/>
    <w:rsid w:val="009B2900"/>
    <w:rsid w:val="009B29BD"/>
    <w:rsid w:val="009B2B89"/>
    <w:rsid w:val="009B2E20"/>
    <w:rsid w:val="009B2F90"/>
    <w:rsid w:val="009B3023"/>
    <w:rsid w:val="009B30E2"/>
    <w:rsid w:val="009B324F"/>
    <w:rsid w:val="009B3354"/>
    <w:rsid w:val="009B33C2"/>
    <w:rsid w:val="009B3447"/>
    <w:rsid w:val="009B3473"/>
    <w:rsid w:val="009B3700"/>
    <w:rsid w:val="009B3762"/>
    <w:rsid w:val="009B376E"/>
    <w:rsid w:val="009B3787"/>
    <w:rsid w:val="009B3900"/>
    <w:rsid w:val="009B3907"/>
    <w:rsid w:val="009B3CA1"/>
    <w:rsid w:val="009B3CEA"/>
    <w:rsid w:val="009B3D30"/>
    <w:rsid w:val="009B3E07"/>
    <w:rsid w:val="009B3E49"/>
    <w:rsid w:val="009B3E5B"/>
    <w:rsid w:val="009B3F31"/>
    <w:rsid w:val="009B3F8E"/>
    <w:rsid w:val="009B4117"/>
    <w:rsid w:val="009B420A"/>
    <w:rsid w:val="009B42C0"/>
    <w:rsid w:val="009B439B"/>
    <w:rsid w:val="009B4456"/>
    <w:rsid w:val="009B449F"/>
    <w:rsid w:val="009B45F6"/>
    <w:rsid w:val="009B46E2"/>
    <w:rsid w:val="009B491B"/>
    <w:rsid w:val="009B49CD"/>
    <w:rsid w:val="009B4C14"/>
    <w:rsid w:val="009B4C79"/>
    <w:rsid w:val="009B4CC9"/>
    <w:rsid w:val="009B4CEF"/>
    <w:rsid w:val="009B4FAE"/>
    <w:rsid w:val="009B4FCC"/>
    <w:rsid w:val="009B52A0"/>
    <w:rsid w:val="009B5449"/>
    <w:rsid w:val="009B546A"/>
    <w:rsid w:val="009B54A0"/>
    <w:rsid w:val="009B560E"/>
    <w:rsid w:val="009B561D"/>
    <w:rsid w:val="009B56ED"/>
    <w:rsid w:val="009B571F"/>
    <w:rsid w:val="009B58BB"/>
    <w:rsid w:val="009B5A3E"/>
    <w:rsid w:val="009B5B2D"/>
    <w:rsid w:val="009B5C68"/>
    <w:rsid w:val="009B5CCD"/>
    <w:rsid w:val="009B5D2C"/>
    <w:rsid w:val="009B5D69"/>
    <w:rsid w:val="009B5FF1"/>
    <w:rsid w:val="009B61CE"/>
    <w:rsid w:val="009B62F3"/>
    <w:rsid w:val="009B646A"/>
    <w:rsid w:val="009B6599"/>
    <w:rsid w:val="009B66A1"/>
    <w:rsid w:val="009B6A34"/>
    <w:rsid w:val="009B6C0C"/>
    <w:rsid w:val="009B6C23"/>
    <w:rsid w:val="009B6CAD"/>
    <w:rsid w:val="009B6D57"/>
    <w:rsid w:val="009B6DBA"/>
    <w:rsid w:val="009B6DEE"/>
    <w:rsid w:val="009B6E3F"/>
    <w:rsid w:val="009B6E4F"/>
    <w:rsid w:val="009B712D"/>
    <w:rsid w:val="009B71AE"/>
    <w:rsid w:val="009B72F9"/>
    <w:rsid w:val="009B730F"/>
    <w:rsid w:val="009B738F"/>
    <w:rsid w:val="009B744D"/>
    <w:rsid w:val="009B758A"/>
    <w:rsid w:val="009B76EC"/>
    <w:rsid w:val="009B7793"/>
    <w:rsid w:val="009B7C3E"/>
    <w:rsid w:val="009B7D2F"/>
    <w:rsid w:val="009B7D3F"/>
    <w:rsid w:val="009C0257"/>
    <w:rsid w:val="009C0279"/>
    <w:rsid w:val="009C02CE"/>
    <w:rsid w:val="009C0365"/>
    <w:rsid w:val="009C094E"/>
    <w:rsid w:val="009C09C7"/>
    <w:rsid w:val="009C0A3A"/>
    <w:rsid w:val="009C0C3E"/>
    <w:rsid w:val="009C0F99"/>
    <w:rsid w:val="009C1016"/>
    <w:rsid w:val="009C1046"/>
    <w:rsid w:val="009C10CF"/>
    <w:rsid w:val="009C12FF"/>
    <w:rsid w:val="009C136C"/>
    <w:rsid w:val="009C1383"/>
    <w:rsid w:val="009C1662"/>
    <w:rsid w:val="009C1837"/>
    <w:rsid w:val="009C18AA"/>
    <w:rsid w:val="009C1924"/>
    <w:rsid w:val="009C1A20"/>
    <w:rsid w:val="009C1C85"/>
    <w:rsid w:val="009C1DEE"/>
    <w:rsid w:val="009C1EC7"/>
    <w:rsid w:val="009C1F8C"/>
    <w:rsid w:val="009C207A"/>
    <w:rsid w:val="009C209F"/>
    <w:rsid w:val="009C2107"/>
    <w:rsid w:val="009C22A2"/>
    <w:rsid w:val="009C22D7"/>
    <w:rsid w:val="009C2391"/>
    <w:rsid w:val="009C23F3"/>
    <w:rsid w:val="009C2437"/>
    <w:rsid w:val="009C25F0"/>
    <w:rsid w:val="009C27A3"/>
    <w:rsid w:val="009C27E2"/>
    <w:rsid w:val="009C2A87"/>
    <w:rsid w:val="009C2C83"/>
    <w:rsid w:val="009C2CA7"/>
    <w:rsid w:val="009C2E23"/>
    <w:rsid w:val="009C2FC1"/>
    <w:rsid w:val="009C304C"/>
    <w:rsid w:val="009C3190"/>
    <w:rsid w:val="009C31B2"/>
    <w:rsid w:val="009C3350"/>
    <w:rsid w:val="009C3353"/>
    <w:rsid w:val="009C33B7"/>
    <w:rsid w:val="009C34C6"/>
    <w:rsid w:val="009C361E"/>
    <w:rsid w:val="009C367C"/>
    <w:rsid w:val="009C377C"/>
    <w:rsid w:val="009C3848"/>
    <w:rsid w:val="009C39E6"/>
    <w:rsid w:val="009C3B00"/>
    <w:rsid w:val="009C3B23"/>
    <w:rsid w:val="009C3FE0"/>
    <w:rsid w:val="009C4251"/>
    <w:rsid w:val="009C434F"/>
    <w:rsid w:val="009C440F"/>
    <w:rsid w:val="009C4672"/>
    <w:rsid w:val="009C482C"/>
    <w:rsid w:val="009C4AAC"/>
    <w:rsid w:val="009C4EB8"/>
    <w:rsid w:val="009C5273"/>
    <w:rsid w:val="009C52A0"/>
    <w:rsid w:val="009C5320"/>
    <w:rsid w:val="009C549B"/>
    <w:rsid w:val="009C5565"/>
    <w:rsid w:val="009C556D"/>
    <w:rsid w:val="009C55A9"/>
    <w:rsid w:val="009C55F9"/>
    <w:rsid w:val="009C562D"/>
    <w:rsid w:val="009C580A"/>
    <w:rsid w:val="009C5994"/>
    <w:rsid w:val="009C5A6A"/>
    <w:rsid w:val="009C5AEE"/>
    <w:rsid w:val="009C5F42"/>
    <w:rsid w:val="009C5F51"/>
    <w:rsid w:val="009C5F68"/>
    <w:rsid w:val="009C5FCD"/>
    <w:rsid w:val="009C60E3"/>
    <w:rsid w:val="009C614B"/>
    <w:rsid w:val="009C6180"/>
    <w:rsid w:val="009C6375"/>
    <w:rsid w:val="009C64FE"/>
    <w:rsid w:val="009C663B"/>
    <w:rsid w:val="009C6671"/>
    <w:rsid w:val="009C6883"/>
    <w:rsid w:val="009C68B3"/>
    <w:rsid w:val="009C69B7"/>
    <w:rsid w:val="009C6A48"/>
    <w:rsid w:val="009C6B59"/>
    <w:rsid w:val="009C6CAE"/>
    <w:rsid w:val="009C6CD7"/>
    <w:rsid w:val="009C7083"/>
    <w:rsid w:val="009C7144"/>
    <w:rsid w:val="009C727B"/>
    <w:rsid w:val="009C739F"/>
    <w:rsid w:val="009C748C"/>
    <w:rsid w:val="009C74F8"/>
    <w:rsid w:val="009C77F2"/>
    <w:rsid w:val="009C7AFA"/>
    <w:rsid w:val="009C7B38"/>
    <w:rsid w:val="009C7D35"/>
    <w:rsid w:val="009D0147"/>
    <w:rsid w:val="009D0315"/>
    <w:rsid w:val="009D041C"/>
    <w:rsid w:val="009D0520"/>
    <w:rsid w:val="009D0683"/>
    <w:rsid w:val="009D0708"/>
    <w:rsid w:val="009D0760"/>
    <w:rsid w:val="009D08C1"/>
    <w:rsid w:val="009D0908"/>
    <w:rsid w:val="009D0A62"/>
    <w:rsid w:val="009D0A88"/>
    <w:rsid w:val="009D0B7A"/>
    <w:rsid w:val="009D0BDC"/>
    <w:rsid w:val="009D1162"/>
    <w:rsid w:val="009D148B"/>
    <w:rsid w:val="009D1624"/>
    <w:rsid w:val="009D16C1"/>
    <w:rsid w:val="009D1AC1"/>
    <w:rsid w:val="009D1D0E"/>
    <w:rsid w:val="009D1F99"/>
    <w:rsid w:val="009D1FBD"/>
    <w:rsid w:val="009D21E5"/>
    <w:rsid w:val="009D2267"/>
    <w:rsid w:val="009D241A"/>
    <w:rsid w:val="009D2470"/>
    <w:rsid w:val="009D26C8"/>
    <w:rsid w:val="009D28B7"/>
    <w:rsid w:val="009D2918"/>
    <w:rsid w:val="009D297A"/>
    <w:rsid w:val="009D2C0B"/>
    <w:rsid w:val="009D2E48"/>
    <w:rsid w:val="009D3131"/>
    <w:rsid w:val="009D3151"/>
    <w:rsid w:val="009D31C7"/>
    <w:rsid w:val="009D34A3"/>
    <w:rsid w:val="009D372C"/>
    <w:rsid w:val="009D37C3"/>
    <w:rsid w:val="009D39C4"/>
    <w:rsid w:val="009D3C04"/>
    <w:rsid w:val="009D3CFB"/>
    <w:rsid w:val="009D3DB9"/>
    <w:rsid w:val="009D3E2E"/>
    <w:rsid w:val="009D403B"/>
    <w:rsid w:val="009D427C"/>
    <w:rsid w:val="009D4434"/>
    <w:rsid w:val="009D4436"/>
    <w:rsid w:val="009D4762"/>
    <w:rsid w:val="009D4A23"/>
    <w:rsid w:val="009D4A40"/>
    <w:rsid w:val="009D4BB5"/>
    <w:rsid w:val="009D4BD7"/>
    <w:rsid w:val="009D4BF7"/>
    <w:rsid w:val="009D4CFA"/>
    <w:rsid w:val="009D4EFD"/>
    <w:rsid w:val="009D4FE2"/>
    <w:rsid w:val="009D4FFA"/>
    <w:rsid w:val="009D5078"/>
    <w:rsid w:val="009D525B"/>
    <w:rsid w:val="009D540D"/>
    <w:rsid w:val="009D5549"/>
    <w:rsid w:val="009D5737"/>
    <w:rsid w:val="009D5A0F"/>
    <w:rsid w:val="009D5B09"/>
    <w:rsid w:val="009D5EA3"/>
    <w:rsid w:val="009D6021"/>
    <w:rsid w:val="009D61AC"/>
    <w:rsid w:val="009D6283"/>
    <w:rsid w:val="009D63A2"/>
    <w:rsid w:val="009D63CC"/>
    <w:rsid w:val="009D63D6"/>
    <w:rsid w:val="009D668F"/>
    <w:rsid w:val="009D69B4"/>
    <w:rsid w:val="009D69DE"/>
    <w:rsid w:val="009D6A44"/>
    <w:rsid w:val="009D6B6C"/>
    <w:rsid w:val="009D6D23"/>
    <w:rsid w:val="009D6E9D"/>
    <w:rsid w:val="009D7241"/>
    <w:rsid w:val="009D742D"/>
    <w:rsid w:val="009D74AD"/>
    <w:rsid w:val="009D74C9"/>
    <w:rsid w:val="009D7605"/>
    <w:rsid w:val="009D7801"/>
    <w:rsid w:val="009D796F"/>
    <w:rsid w:val="009D7A8B"/>
    <w:rsid w:val="009D7AD7"/>
    <w:rsid w:val="009D7FBE"/>
    <w:rsid w:val="009E0078"/>
    <w:rsid w:val="009E0545"/>
    <w:rsid w:val="009E06A5"/>
    <w:rsid w:val="009E08ED"/>
    <w:rsid w:val="009E0A51"/>
    <w:rsid w:val="009E0B31"/>
    <w:rsid w:val="009E0BE2"/>
    <w:rsid w:val="009E0E62"/>
    <w:rsid w:val="009E0F1F"/>
    <w:rsid w:val="009E0F84"/>
    <w:rsid w:val="009E10A0"/>
    <w:rsid w:val="009E129A"/>
    <w:rsid w:val="009E12B0"/>
    <w:rsid w:val="009E13D6"/>
    <w:rsid w:val="009E1471"/>
    <w:rsid w:val="009E14FB"/>
    <w:rsid w:val="009E1778"/>
    <w:rsid w:val="009E17A2"/>
    <w:rsid w:val="009E1A8B"/>
    <w:rsid w:val="009E1AC5"/>
    <w:rsid w:val="009E1B1D"/>
    <w:rsid w:val="009E1BD1"/>
    <w:rsid w:val="009E1DDE"/>
    <w:rsid w:val="009E1E61"/>
    <w:rsid w:val="009E206F"/>
    <w:rsid w:val="009E2174"/>
    <w:rsid w:val="009E226E"/>
    <w:rsid w:val="009E22F9"/>
    <w:rsid w:val="009E2304"/>
    <w:rsid w:val="009E2387"/>
    <w:rsid w:val="009E2405"/>
    <w:rsid w:val="009E2586"/>
    <w:rsid w:val="009E27E7"/>
    <w:rsid w:val="009E298B"/>
    <w:rsid w:val="009E2A2C"/>
    <w:rsid w:val="009E2E45"/>
    <w:rsid w:val="009E3085"/>
    <w:rsid w:val="009E30BF"/>
    <w:rsid w:val="009E3139"/>
    <w:rsid w:val="009E327D"/>
    <w:rsid w:val="009E3442"/>
    <w:rsid w:val="009E349E"/>
    <w:rsid w:val="009E3668"/>
    <w:rsid w:val="009E3680"/>
    <w:rsid w:val="009E36CC"/>
    <w:rsid w:val="009E3762"/>
    <w:rsid w:val="009E3820"/>
    <w:rsid w:val="009E3A1D"/>
    <w:rsid w:val="009E3A82"/>
    <w:rsid w:val="009E3AEB"/>
    <w:rsid w:val="009E3BA7"/>
    <w:rsid w:val="009E3BBC"/>
    <w:rsid w:val="009E3C64"/>
    <w:rsid w:val="009E3CEC"/>
    <w:rsid w:val="009E3E1F"/>
    <w:rsid w:val="009E3F92"/>
    <w:rsid w:val="009E40F6"/>
    <w:rsid w:val="009E40FE"/>
    <w:rsid w:val="009E411A"/>
    <w:rsid w:val="009E4138"/>
    <w:rsid w:val="009E4292"/>
    <w:rsid w:val="009E430E"/>
    <w:rsid w:val="009E47F7"/>
    <w:rsid w:val="009E4883"/>
    <w:rsid w:val="009E48EB"/>
    <w:rsid w:val="009E495D"/>
    <w:rsid w:val="009E4BC5"/>
    <w:rsid w:val="009E4CD5"/>
    <w:rsid w:val="009E4DC0"/>
    <w:rsid w:val="009E4F54"/>
    <w:rsid w:val="009E5578"/>
    <w:rsid w:val="009E5643"/>
    <w:rsid w:val="009E5689"/>
    <w:rsid w:val="009E56E2"/>
    <w:rsid w:val="009E57FB"/>
    <w:rsid w:val="009E597F"/>
    <w:rsid w:val="009E5A8B"/>
    <w:rsid w:val="009E5BAE"/>
    <w:rsid w:val="009E5EFF"/>
    <w:rsid w:val="009E5FC2"/>
    <w:rsid w:val="009E6076"/>
    <w:rsid w:val="009E60A8"/>
    <w:rsid w:val="009E63C0"/>
    <w:rsid w:val="009E64D4"/>
    <w:rsid w:val="009E6679"/>
    <w:rsid w:val="009E6684"/>
    <w:rsid w:val="009E6741"/>
    <w:rsid w:val="009E6774"/>
    <w:rsid w:val="009E67FB"/>
    <w:rsid w:val="009E6B44"/>
    <w:rsid w:val="009E6E55"/>
    <w:rsid w:val="009E6E69"/>
    <w:rsid w:val="009E6EE0"/>
    <w:rsid w:val="009E6FB6"/>
    <w:rsid w:val="009E6FC4"/>
    <w:rsid w:val="009E70F0"/>
    <w:rsid w:val="009E7337"/>
    <w:rsid w:val="009E75C7"/>
    <w:rsid w:val="009E7601"/>
    <w:rsid w:val="009E76C7"/>
    <w:rsid w:val="009E7748"/>
    <w:rsid w:val="009E786B"/>
    <w:rsid w:val="009E7AAE"/>
    <w:rsid w:val="009E7C67"/>
    <w:rsid w:val="009E7CC3"/>
    <w:rsid w:val="009E7D9B"/>
    <w:rsid w:val="009E7DEE"/>
    <w:rsid w:val="009E7EC5"/>
    <w:rsid w:val="009E7F24"/>
    <w:rsid w:val="009E7F90"/>
    <w:rsid w:val="009E7FAC"/>
    <w:rsid w:val="009E7FFD"/>
    <w:rsid w:val="009F00E2"/>
    <w:rsid w:val="009F0110"/>
    <w:rsid w:val="009F01C1"/>
    <w:rsid w:val="009F0328"/>
    <w:rsid w:val="009F03E6"/>
    <w:rsid w:val="009F05A4"/>
    <w:rsid w:val="009F0715"/>
    <w:rsid w:val="009F079E"/>
    <w:rsid w:val="009F0ABA"/>
    <w:rsid w:val="009F0C7D"/>
    <w:rsid w:val="009F0D81"/>
    <w:rsid w:val="009F0DB4"/>
    <w:rsid w:val="009F0F1D"/>
    <w:rsid w:val="009F0F6C"/>
    <w:rsid w:val="009F10D6"/>
    <w:rsid w:val="009F1130"/>
    <w:rsid w:val="009F11BF"/>
    <w:rsid w:val="009F11DC"/>
    <w:rsid w:val="009F128D"/>
    <w:rsid w:val="009F133D"/>
    <w:rsid w:val="009F1602"/>
    <w:rsid w:val="009F167F"/>
    <w:rsid w:val="009F16F4"/>
    <w:rsid w:val="009F1927"/>
    <w:rsid w:val="009F1957"/>
    <w:rsid w:val="009F19FA"/>
    <w:rsid w:val="009F1C37"/>
    <w:rsid w:val="009F1D42"/>
    <w:rsid w:val="009F1D43"/>
    <w:rsid w:val="009F215E"/>
    <w:rsid w:val="009F21D6"/>
    <w:rsid w:val="009F2318"/>
    <w:rsid w:val="009F2332"/>
    <w:rsid w:val="009F23CB"/>
    <w:rsid w:val="009F2591"/>
    <w:rsid w:val="009F28D5"/>
    <w:rsid w:val="009F2B13"/>
    <w:rsid w:val="009F2BF1"/>
    <w:rsid w:val="009F2D6C"/>
    <w:rsid w:val="009F2DAD"/>
    <w:rsid w:val="009F2FE4"/>
    <w:rsid w:val="009F305E"/>
    <w:rsid w:val="009F30FF"/>
    <w:rsid w:val="009F31AF"/>
    <w:rsid w:val="009F331A"/>
    <w:rsid w:val="009F3479"/>
    <w:rsid w:val="009F3822"/>
    <w:rsid w:val="009F3848"/>
    <w:rsid w:val="009F3869"/>
    <w:rsid w:val="009F3981"/>
    <w:rsid w:val="009F3A20"/>
    <w:rsid w:val="009F3D29"/>
    <w:rsid w:val="009F3D5D"/>
    <w:rsid w:val="009F3E62"/>
    <w:rsid w:val="009F3F69"/>
    <w:rsid w:val="009F409C"/>
    <w:rsid w:val="009F41C2"/>
    <w:rsid w:val="009F42FD"/>
    <w:rsid w:val="009F4465"/>
    <w:rsid w:val="009F4573"/>
    <w:rsid w:val="009F4950"/>
    <w:rsid w:val="009F4B1F"/>
    <w:rsid w:val="009F4B22"/>
    <w:rsid w:val="009F4CF2"/>
    <w:rsid w:val="009F4E50"/>
    <w:rsid w:val="009F4EA7"/>
    <w:rsid w:val="009F4EBC"/>
    <w:rsid w:val="009F51A9"/>
    <w:rsid w:val="009F51E6"/>
    <w:rsid w:val="009F5231"/>
    <w:rsid w:val="009F53BB"/>
    <w:rsid w:val="009F53F1"/>
    <w:rsid w:val="009F54A4"/>
    <w:rsid w:val="009F550F"/>
    <w:rsid w:val="009F556E"/>
    <w:rsid w:val="009F56AA"/>
    <w:rsid w:val="009F57A5"/>
    <w:rsid w:val="009F5978"/>
    <w:rsid w:val="009F5B46"/>
    <w:rsid w:val="009F5CCC"/>
    <w:rsid w:val="009F5DDF"/>
    <w:rsid w:val="009F600E"/>
    <w:rsid w:val="009F60B2"/>
    <w:rsid w:val="009F617A"/>
    <w:rsid w:val="009F648E"/>
    <w:rsid w:val="009F69FA"/>
    <w:rsid w:val="009F6A17"/>
    <w:rsid w:val="009F6ED3"/>
    <w:rsid w:val="009F6FCF"/>
    <w:rsid w:val="009F701B"/>
    <w:rsid w:val="009F703D"/>
    <w:rsid w:val="009F712D"/>
    <w:rsid w:val="009F71B4"/>
    <w:rsid w:val="009F71B9"/>
    <w:rsid w:val="009F71CE"/>
    <w:rsid w:val="009F7247"/>
    <w:rsid w:val="009F74AF"/>
    <w:rsid w:val="009F7AB9"/>
    <w:rsid w:val="009F7AEE"/>
    <w:rsid w:val="009F7B1E"/>
    <w:rsid w:val="009F7B3B"/>
    <w:rsid w:val="009F7BD8"/>
    <w:rsid w:val="009F7BE9"/>
    <w:rsid w:val="009F7C62"/>
    <w:rsid w:val="009F7C97"/>
    <w:rsid w:val="009F7D63"/>
    <w:rsid w:val="009F7DCA"/>
    <w:rsid w:val="00A00018"/>
    <w:rsid w:val="00A001D6"/>
    <w:rsid w:val="00A0059E"/>
    <w:rsid w:val="00A007E8"/>
    <w:rsid w:val="00A0091B"/>
    <w:rsid w:val="00A00A8B"/>
    <w:rsid w:val="00A00B93"/>
    <w:rsid w:val="00A00CD6"/>
    <w:rsid w:val="00A0104C"/>
    <w:rsid w:val="00A01137"/>
    <w:rsid w:val="00A011A3"/>
    <w:rsid w:val="00A011CD"/>
    <w:rsid w:val="00A0129B"/>
    <w:rsid w:val="00A01364"/>
    <w:rsid w:val="00A0140B"/>
    <w:rsid w:val="00A016CD"/>
    <w:rsid w:val="00A0170B"/>
    <w:rsid w:val="00A018A1"/>
    <w:rsid w:val="00A019A8"/>
    <w:rsid w:val="00A01AA1"/>
    <w:rsid w:val="00A01AAF"/>
    <w:rsid w:val="00A01BA3"/>
    <w:rsid w:val="00A01DFE"/>
    <w:rsid w:val="00A01E05"/>
    <w:rsid w:val="00A0203C"/>
    <w:rsid w:val="00A020D6"/>
    <w:rsid w:val="00A021B4"/>
    <w:rsid w:val="00A021CB"/>
    <w:rsid w:val="00A02404"/>
    <w:rsid w:val="00A026C1"/>
    <w:rsid w:val="00A026C4"/>
    <w:rsid w:val="00A027F4"/>
    <w:rsid w:val="00A028FA"/>
    <w:rsid w:val="00A028FE"/>
    <w:rsid w:val="00A02CEA"/>
    <w:rsid w:val="00A02D5A"/>
    <w:rsid w:val="00A02EA2"/>
    <w:rsid w:val="00A02FB2"/>
    <w:rsid w:val="00A03056"/>
    <w:rsid w:val="00A03213"/>
    <w:rsid w:val="00A03472"/>
    <w:rsid w:val="00A0352C"/>
    <w:rsid w:val="00A037FC"/>
    <w:rsid w:val="00A03898"/>
    <w:rsid w:val="00A03A3D"/>
    <w:rsid w:val="00A03D13"/>
    <w:rsid w:val="00A03D43"/>
    <w:rsid w:val="00A03DE3"/>
    <w:rsid w:val="00A0435E"/>
    <w:rsid w:val="00A0436C"/>
    <w:rsid w:val="00A04610"/>
    <w:rsid w:val="00A04736"/>
    <w:rsid w:val="00A047A2"/>
    <w:rsid w:val="00A048C7"/>
    <w:rsid w:val="00A04ABE"/>
    <w:rsid w:val="00A04B1B"/>
    <w:rsid w:val="00A04CCE"/>
    <w:rsid w:val="00A04D39"/>
    <w:rsid w:val="00A04D3E"/>
    <w:rsid w:val="00A04F1E"/>
    <w:rsid w:val="00A05029"/>
    <w:rsid w:val="00A05069"/>
    <w:rsid w:val="00A050DC"/>
    <w:rsid w:val="00A0583F"/>
    <w:rsid w:val="00A0586E"/>
    <w:rsid w:val="00A05B5F"/>
    <w:rsid w:val="00A05BBF"/>
    <w:rsid w:val="00A05BC7"/>
    <w:rsid w:val="00A05C53"/>
    <w:rsid w:val="00A05CD0"/>
    <w:rsid w:val="00A05D9E"/>
    <w:rsid w:val="00A05E4F"/>
    <w:rsid w:val="00A05F63"/>
    <w:rsid w:val="00A0617B"/>
    <w:rsid w:val="00A061DF"/>
    <w:rsid w:val="00A062B8"/>
    <w:rsid w:val="00A0632D"/>
    <w:rsid w:val="00A063A8"/>
    <w:rsid w:val="00A063AF"/>
    <w:rsid w:val="00A06701"/>
    <w:rsid w:val="00A06A44"/>
    <w:rsid w:val="00A06A9B"/>
    <w:rsid w:val="00A06AE9"/>
    <w:rsid w:val="00A06CE1"/>
    <w:rsid w:val="00A06D4A"/>
    <w:rsid w:val="00A06EDA"/>
    <w:rsid w:val="00A07009"/>
    <w:rsid w:val="00A07051"/>
    <w:rsid w:val="00A0719E"/>
    <w:rsid w:val="00A07417"/>
    <w:rsid w:val="00A0766D"/>
    <w:rsid w:val="00A07950"/>
    <w:rsid w:val="00A07989"/>
    <w:rsid w:val="00A07A1A"/>
    <w:rsid w:val="00A07A76"/>
    <w:rsid w:val="00A07B26"/>
    <w:rsid w:val="00A07B2B"/>
    <w:rsid w:val="00A07E86"/>
    <w:rsid w:val="00A10019"/>
    <w:rsid w:val="00A1005B"/>
    <w:rsid w:val="00A100F4"/>
    <w:rsid w:val="00A10226"/>
    <w:rsid w:val="00A10239"/>
    <w:rsid w:val="00A1030D"/>
    <w:rsid w:val="00A107F2"/>
    <w:rsid w:val="00A10BBB"/>
    <w:rsid w:val="00A10FC5"/>
    <w:rsid w:val="00A1107B"/>
    <w:rsid w:val="00A11129"/>
    <w:rsid w:val="00A112E2"/>
    <w:rsid w:val="00A11420"/>
    <w:rsid w:val="00A115D0"/>
    <w:rsid w:val="00A117B2"/>
    <w:rsid w:val="00A11855"/>
    <w:rsid w:val="00A118F8"/>
    <w:rsid w:val="00A119C1"/>
    <w:rsid w:val="00A11ABE"/>
    <w:rsid w:val="00A11AC9"/>
    <w:rsid w:val="00A11E14"/>
    <w:rsid w:val="00A11E89"/>
    <w:rsid w:val="00A11EF0"/>
    <w:rsid w:val="00A11FF0"/>
    <w:rsid w:val="00A12234"/>
    <w:rsid w:val="00A124FC"/>
    <w:rsid w:val="00A12622"/>
    <w:rsid w:val="00A1265D"/>
    <w:rsid w:val="00A126A7"/>
    <w:rsid w:val="00A12761"/>
    <w:rsid w:val="00A1292E"/>
    <w:rsid w:val="00A12BDF"/>
    <w:rsid w:val="00A12CBD"/>
    <w:rsid w:val="00A12CF0"/>
    <w:rsid w:val="00A12DCF"/>
    <w:rsid w:val="00A12E39"/>
    <w:rsid w:val="00A12E5B"/>
    <w:rsid w:val="00A12E95"/>
    <w:rsid w:val="00A12F67"/>
    <w:rsid w:val="00A13044"/>
    <w:rsid w:val="00A13063"/>
    <w:rsid w:val="00A13166"/>
    <w:rsid w:val="00A13221"/>
    <w:rsid w:val="00A132E8"/>
    <w:rsid w:val="00A1330E"/>
    <w:rsid w:val="00A133AD"/>
    <w:rsid w:val="00A13426"/>
    <w:rsid w:val="00A135C7"/>
    <w:rsid w:val="00A136E5"/>
    <w:rsid w:val="00A13808"/>
    <w:rsid w:val="00A13F08"/>
    <w:rsid w:val="00A141C3"/>
    <w:rsid w:val="00A14236"/>
    <w:rsid w:val="00A14291"/>
    <w:rsid w:val="00A1432F"/>
    <w:rsid w:val="00A144CE"/>
    <w:rsid w:val="00A144D3"/>
    <w:rsid w:val="00A14800"/>
    <w:rsid w:val="00A148BA"/>
    <w:rsid w:val="00A14AFC"/>
    <w:rsid w:val="00A14C6F"/>
    <w:rsid w:val="00A14C84"/>
    <w:rsid w:val="00A14D47"/>
    <w:rsid w:val="00A14D93"/>
    <w:rsid w:val="00A14FA4"/>
    <w:rsid w:val="00A15011"/>
    <w:rsid w:val="00A15015"/>
    <w:rsid w:val="00A150AB"/>
    <w:rsid w:val="00A15455"/>
    <w:rsid w:val="00A1557D"/>
    <w:rsid w:val="00A15599"/>
    <w:rsid w:val="00A15692"/>
    <w:rsid w:val="00A15877"/>
    <w:rsid w:val="00A15962"/>
    <w:rsid w:val="00A1596B"/>
    <w:rsid w:val="00A15BAF"/>
    <w:rsid w:val="00A15C63"/>
    <w:rsid w:val="00A15C8A"/>
    <w:rsid w:val="00A15CB2"/>
    <w:rsid w:val="00A15D03"/>
    <w:rsid w:val="00A15DC7"/>
    <w:rsid w:val="00A16139"/>
    <w:rsid w:val="00A163F0"/>
    <w:rsid w:val="00A16508"/>
    <w:rsid w:val="00A16523"/>
    <w:rsid w:val="00A166C1"/>
    <w:rsid w:val="00A16991"/>
    <w:rsid w:val="00A16B0B"/>
    <w:rsid w:val="00A16CA5"/>
    <w:rsid w:val="00A16CE2"/>
    <w:rsid w:val="00A16DFB"/>
    <w:rsid w:val="00A16EF7"/>
    <w:rsid w:val="00A16FBA"/>
    <w:rsid w:val="00A170C9"/>
    <w:rsid w:val="00A17207"/>
    <w:rsid w:val="00A172CF"/>
    <w:rsid w:val="00A17456"/>
    <w:rsid w:val="00A17482"/>
    <w:rsid w:val="00A176AA"/>
    <w:rsid w:val="00A1770C"/>
    <w:rsid w:val="00A17739"/>
    <w:rsid w:val="00A177AE"/>
    <w:rsid w:val="00A178B9"/>
    <w:rsid w:val="00A178EE"/>
    <w:rsid w:val="00A179EE"/>
    <w:rsid w:val="00A17BD2"/>
    <w:rsid w:val="00A17C73"/>
    <w:rsid w:val="00A17DE1"/>
    <w:rsid w:val="00A17E0F"/>
    <w:rsid w:val="00A17F05"/>
    <w:rsid w:val="00A17F60"/>
    <w:rsid w:val="00A200FE"/>
    <w:rsid w:val="00A201D8"/>
    <w:rsid w:val="00A20224"/>
    <w:rsid w:val="00A205C1"/>
    <w:rsid w:val="00A20613"/>
    <w:rsid w:val="00A2089D"/>
    <w:rsid w:val="00A209CD"/>
    <w:rsid w:val="00A20A39"/>
    <w:rsid w:val="00A20A7E"/>
    <w:rsid w:val="00A20E5F"/>
    <w:rsid w:val="00A20FB9"/>
    <w:rsid w:val="00A21070"/>
    <w:rsid w:val="00A21236"/>
    <w:rsid w:val="00A21267"/>
    <w:rsid w:val="00A21707"/>
    <w:rsid w:val="00A21790"/>
    <w:rsid w:val="00A2199E"/>
    <w:rsid w:val="00A21A29"/>
    <w:rsid w:val="00A21E9D"/>
    <w:rsid w:val="00A226AF"/>
    <w:rsid w:val="00A226E8"/>
    <w:rsid w:val="00A228A2"/>
    <w:rsid w:val="00A229D0"/>
    <w:rsid w:val="00A22A09"/>
    <w:rsid w:val="00A22A3B"/>
    <w:rsid w:val="00A22AE6"/>
    <w:rsid w:val="00A22E2E"/>
    <w:rsid w:val="00A22F9F"/>
    <w:rsid w:val="00A22FF2"/>
    <w:rsid w:val="00A23336"/>
    <w:rsid w:val="00A23434"/>
    <w:rsid w:val="00A23461"/>
    <w:rsid w:val="00A23503"/>
    <w:rsid w:val="00A23522"/>
    <w:rsid w:val="00A2357E"/>
    <w:rsid w:val="00A23666"/>
    <w:rsid w:val="00A23829"/>
    <w:rsid w:val="00A2384E"/>
    <w:rsid w:val="00A23A57"/>
    <w:rsid w:val="00A23CDD"/>
    <w:rsid w:val="00A23CE3"/>
    <w:rsid w:val="00A23D99"/>
    <w:rsid w:val="00A23E09"/>
    <w:rsid w:val="00A23E1B"/>
    <w:rsid w:val="00A23E45"/>
    <w:rsid w:val="00A24026"/>
    <w:rsid w:val="00A240A4"/>
    <w:rsid w:val="00A24108"/>
    <w:rsid w:val="00A24187"/>
    <w:rsid w:val="00A2418F"/>
    <w:rsid w:val="00A242F8"/>
    <w:rsid w:val="00A244C6"/>
    <w:rsid w:val="00A24533"/>
    <w:rsid w:val="00A24566"/>
    <w:rsid w:val="00A24812"/>
    <w:rsid w:val="00A24868"/>
    <w:rsid w:val="00A24941"/>
    <w:rsid w:val="00A249BD"/>
    <w:rsid w:val="00A249CE"/>
    <w:rsid w:val="00A24A0C"/>
    <w:rsid w:val="00A24BB4"/>
    <w:rsid w:val="00A24BDB"/>
    <w:rsid w:val="00A24C47"/>
    <w:rsid w:val="00A24CB3"/>
    <w:rsid w:val="00A24DAB"/>
    <w:rsid w:val="00A24DC8"/>
    <w:rsid w:val="00A24E32"/>
    <w:rsid w:val="00A24E72"/>
    <w:rsid w:val="00A24E79"/>
    <w:rsid w:val="00A25010"/>
    <w:rsid w:val="00A25151"/>
    <w:rsid w:val="00A25229"/>
    <w:rsid w:val="00A252A5"/>
    <w:rsid w:val="00A252E8"/>
    <w:rsid w:val="00A2531B"/>
    <w:rsid w:val="00A25420"/>
    <w:rsid w:val="00A25880"/>
    <w:rsid w:val="00A258A3"/>
    <w:rsid w:val="00A25A0A"/>
    <w:rsid w:val="00A25AEE"/>
    <w:rsid w:val="00A25C9C"/>
    <w:rsid w:val="00A25D48"/>
    <w:rsid w:val="00A25E0B"/>
    <w:rsid w:val="00A25F5B"/>
    <w:rsid w:val="00A25FA6"/>
    <w:rsid w:val="00A2614F"/>
    <w:rsid w:val="00A26273"/>
    <w:rsid w:val="00A2643A"/>
    <w:rsid w:val="00A26715"/>
    <w:rsid w:val="00A26923"/>
    <w:rsid w:val="00A26934"/>
    <w:rsid w:val="00A26CBE"/>
    <w:rsid w:val="00A26D6D"/>
    <w:rsid w:val="00A26ED5"/>
    <w:rsid w:val="00A26FD7"/>
    <w:rsid w:val="00A2727F"/>
    <w:rsid w:val="00A274E3"/>
    <w:rsid w:val="00A27562"/>
    <w:rsid w:val="00A276CB"/>
    <w:rsid w:val="00A27711"/>
    <w:rsid w:val="00A277D0"/>
    <w:rsid w:val="00A277F8"/>
    <w:rsid w:val="00A27896"/>
    <w:rsid w:val="00A278A5"/>
    <w:rsid w:val="00A279DB"/>
    <w:rsid w:val="00A27A9A"/>
    <w:rsid w:val="00A27C26"/>
    <w:rsid w:val="00A27C60"/>
    <w:rsid w:val="00A27D3D"/>
    <w:rsid w:val="00A27E21"/>
    <w:rsid w:val="00A27E6D"/>
    <w:rsid w:val="00A27F84"/>
    <w:rsid w:val="00A30032"/>
    <w:rsid w:val="00A30353"/>
    <w:rsid w:val="00A305EF"/>
    <w:rsid w:val="00A30683"/>
    <w:rsid w:val="00A30691"/>
    <w:rsid w:val="00A307E3"/>
    <w:rsid w:val="00A308D1"/>
    <w:rsid w:val="00A30A70"/>
    <w:rsid w:val="00A30BCE"/>
    <w:rsid w:val="00A30D48"/>
    <w:rsid w:val="00A30D8A"/>
    <w:rsid w:val="00A30DB7"/>
    <w:rsid w:val="00A31083"/>
    <w:rsid w:val="00A31472"/>
    <w:rsid w:val="00A314BA"/>
    <w:rsid w:val="00A3183C"/>
    <w:rsid w:val="00A31989"/>
    <w:rsid w:val="00A3198C"/>
    <w:rsid w:val="00A31BBA"/>
    <w:rsid w:val="00A31D2B"/>
    <w:rsid w:val="00A31E4B"/>
    <w:rsid w:val="00A31ECE"/>
    <w:rsid w:val="00A31F4D"/>
    <w:rsid w:val="00A31FD8"/>
    <w:rsid w:val="00A32112"/>
    <w:rsid w:val="00A32476"/>
    <w:rsid w:val="00A3255D"/>
    <w:rsid w:val="00A327DE"/>
    <w:rsid w:val="00A327F5"/>
    <w:rsid w:val="00A3288D"/>
    <w:rsid w:val="00A32995"/>
    <w:rsid w:val="00A32A04"/>
    <w:rsid w:val="00A32D1D"/>
    <w:rsid w:val="00A32D28"/>
    <w:rsid w:val="00A32DC2"/>
    <w:rsid w:val="00A3309B"/>
    <w:rsid w:val="00A330FC"/>
    <w:rsid w:val="00A332FE"/>
    <w:rsid w:val="00A33439"/>
    <w:rsid w:val="00A3346A"/>
    <w:rsid w:val="00A3397C"/>
    <w:rsid w:val="00A33B40"/>
    <w:rsid w:val="00A33B75"/>
    <w:rsid w:val="00A33F35"/>
    <w:rsid w:val="00A34169"/>
    <w:rsid w:val="00A34359"/>
    <w:rsid w:val="00A3474B"/>
    <w:rsid w:val="00A34830"/>
    <w:rsid w:val="00A348BC"/>
    <w:rsid w:val="00A34A77"/>
    <w:rsid w:val="00A34B1C"/>
    <w:rsid w:val="00A34E00"/>
    <w:rsid w:val="00A34ED7"/>
    <w:rsid w:val="00A35059"/>
    <w:rsid w:val="00A35073"/>
    <w:rsid w:val="00A350C1"/>
    <w:rsid w:val="00A35213"/>
    <w:rsid w:val="00A352A8"/>
    <w:rsid w:val="00A352CE"/>
    <w:rsid w:val="00A35354"/>
    <w:rsid w:val="00A35398"/>
    <w:rsid w:val="00A3539D"/>
    <w:rsid w:val="00A356AF"/>
    <w:rsid w:val="00A356B7"/>
    <w:rsid w:val="00A356E7"/>
    <w:rsid w:val="00A359BE"/>
    <w:rsid w:val="00A35AFC"/>
    <w:rsid w:val="00A35DE6"/>
    <w:rsid w:val="00A35E9B"/>
    <w:rsid w:val="00A35EC9"/>
    <w:rsid w:val="00A35F77"/>
    <w:rsid w:val="00A35F9E"/>
    <w:rsid w:val="00A360D1"/>
    <w:rsid w:val="00A36254"/>
    <w:rsid w:val="00A36406"/>
    <w:rsid w:val="00A36576"/>
    <w:rsid w:val="00A365B4"/>
    <w:rsid w:val="00A36762"/>
    <w:rsid w:val="00A36936"/>
    <w:rsid w:val="00A36AB7"/>
    <w:rsid w:val="00A36BD1"/>
    <w:rsid w:val="00A36E60"/>
    <w:rsid w:val="00A36E80"/>
    <w:rsid w:val="00A36F8B"/>
    <w:rsid w:val="00A36FB4"/>
    <w:rsid w:val="00A37003"/>
    <w:rsid w:val="00A37014"/>
    <w:rsid w:val="00A37111"/>
    <w:rsid w:val="00A37176"/>
    <w:rsid w:val="00A371E7"/>
    <w:rsid w:val="00A3748C"/>
    <w:rsid w:val="00A37506"/>
    <w:rsid w:val="00A3770E"/>
    <w:rsid w:val="00A37AC4"/>
    <w:rsid w:val="00A37D0D"/>
    <w:rsid w:val="00A37D7E"/>
    <w:rsid w:val="00A37D83"/>
    <w:rsid w:val="00A37DBA"/>
    <w:rsid w:val="00A37E0A"/>
    <w:rsid w:val="00A37E24"/>
    <w:rsid w:val="00A37FA6"/>
    <w:rsid w:val="00A37FF8"/>
    <w:rsid w:val="00A40060"/>
    <w:rsid w:val="00A400D9"/>
    <w:rsid w:val="00A402CF"/>
    <w:rsid w:val="00A404A8"/>
    <w:rsid w:val="00A40547"/>
    <w:rsid w:val="00A4074B"/>
    <w:rsid w:val="00A4079D"/>
    <w:rsid w:val="00A4081B"/>
    <w:rsid w:val="00A4090A"/>
    <w:rsid w:val="00A40917"/>
    <w:rsid w:val="00A40A94"/>
    <w:rsid w:val="00A40B73"/>
    <w:rsid w:val="00A40BEC"/>
    <w:rsid w:val="00A40CAA"/>
    <w:rsid w:val="00A40EC3"/>
    <w:rsid w:val="00A40F44"/>
    <w:rsid w:val="00A40F9C"/>
    <w:rsid w:val="00A40FD1"/>
    <w:rsid w:val="00A4114E"/>
    <w:rsid w:val="00A4117C"/>
    <w:rsid w:val="00A4117E"/>
    <w:rsid w:val="00A4131E"/>
    <w:rsid w:val="00A41345"/>
    <w:rsid w:val="00A41373"/>
    <w:rsid w:val="00A4146E"/>
    <w:rsid w:val="00A414DA"/>
    <w:rsid w:val="00A41502"/>
    <w:rsid w:val="00A41844"/>
    <w:rsid w:val="00A418E8"/>
    <w:rsid w:val="00A4197F"/>
    <w:rsid w:val="00A419FA"/>
    <w:rsid w:val="00A41B3B"/>
    <w:rsid w:val="00A41BBC"/>
    <w:rsid w:val="00A41EB8"/>
    <w:rsid w:val="00A41F7C"/>
    <w:rsid w:val="00A420F8"/>
    <w:rsid w:val="00A42279"/>
    <w:rsid w:val="00A422E5"/>
    <w:rsid w:val="00A426D5"/>
    <w:rsid w:val="00A427D3"/>
    <w:rsid w:val="00A42A54"/>
    <w:rsid w:val="00A42BFE"/>
    <w:rsid w:val="00A42DBD"/>
    <w:rsid w:val="00A42FB9"/>
    <w:rsid w:val="00A4305B"/>
    <w:rsid w:val="00A4316B"/>
    <w:rsid w:val="00A431F6"/>
    <w:rsid w:val="00A4323A"/>
    <w:rsid w:val="00A432B9"/>
    <w:rsid w:val="00A432DF"/>
    <w:rsid w:val="00A434B3"/>
    <w:rsid w:val="00A43516"/>
    <w:rsid w:val="00A43567"/>
    <w:rsid w:val="00A436BB"/>
    <w:rsid w:val="00A4377B"/>
    <w:rsid w:val="00A4390F"/>
    <w:rsid w:val="00A43AC2"/>
    <w:rsid w:val="00A43AD4"/>
    <w:rsid w:val="00A43B4B"/>
    <w:rsid w:val="00A43EB9"/>
    <w:rsid w:val="00A44098"/>
    <w:rsid w:val="00A44101"/>
    <w:rsid w:val="00A44155"/>
    <w:rsid w:val="00A442D1"/>
    <w:rsid w:val="00A44411"/>
    <w:rsid w:val="00A44438"/>
    <w:rsid w:val="00A4471B"/>
    <w:rsid w:val="00A44736"/>
    <w:rsid w:val="00A44787"/>
    <w:rsid w:val="00A447BF"/>
    <w:rsid w:val="00A447D7"/>
    <w:rsid w:val="00A449A7"/>
    <w:rsid w:val="00A44C89"/>
    <w:rsid w:val="00A44DA0"/>
    <w:rsid w:val="00A44DB1"/>
    <w:rsid w:val="00A44E27"/>
    <w:rsid w:val="00A4503C"/>
    <w:rsid w:val="00A45115"/>
    <w:rsid w:val="00A4515B"/>
    <w:rsid w:val="00A451F8"/>
    <w:rsid w:val="00A45270"/>
    <w:rsid w:val="00A452E9"/>
    <w:rsid w:val="00A4531C"/>
    <w:rsid w:val="00A4538C"/>
    <w:rsid w:val="00A45424"/>
    <w:rsid w:val="00A4555E"/>
    <w:rsid w:val="00A45578"/>
    <w:rsid w:val="00A45713"/>
    <w:rsid w:val="00A45B55"/>
    <w:rsid w:val="00A45BDB"/>
    <w:rsid w:val="00A45C42"/>
    <w:rsid w:val="00A45E41"/>
    <w:rsid w:val="00A45E9E"/>
    <w:rsid w:val="00A45F3F"/>
    <w:rsid w:val="00A46042"/>
    <w:rsid w:val="00A460DB"/>
    <w:rsid w:val="00A46251"/>
    <w:rsid w:val="00A46477"/>
    <w:rsid w:val="00A468A0"/>
    <w:rsid w:val="00A4698B"/>
    <w:rsid w:val="00A469AF"/>
    <w:rsid w:val="00A469D5"/>
    <w:rsid w:val="00A46A5C"/>
    <w:rsid w:val="00A46D47"/>
    <w:rsid w:val="00A46E82"/>
    <w:rsid w:val="00A46F1B"/>
    <w:rsid w:val="00A46F87"/>
    <w:rsid w:val="00A46FE9"/>
    <w:rsid w:val="00A47034"/>
    <w:rsid w:val="00A47150"/>
    <w:rsid w:val="00A4749C"/>
    <w:rsid w:val="00A475D7"/>
    <w:rsid w:val="00A47773"/>
    <w:rsid w:val="00A4781E"/>
    <w:rsid w:val="00A47869"/>
    <w:rsid w:val="00A478A6"/>
    <w:rsid w:val="00A47DD5"/>
    <w:rsid w:val="00A5007E"/>
    <w:rsid w:val="00A500C2"/>
    <w:rsid w:val="00A501F1"/>
    <w:rsid w:val="00A50252"/>
    <w:rsid w:val="00A502F5"/>
    <w:rsid w:val="00A50597"/>
    <w:rsid w:val="00A505D9"/>
    <w:rsid w:val="00A5065D"/>
    <w:rsid w:val="00A506C9"/>
    <w:rsid w:val="00A506D1"/>
    <w:rsid w:val="00A50B0B"/>
    <w:rsid w:val="00A50C00"/>
    <w:rsid w:val="00A50C62"/>
    <w:rsid w:val="00A50CBE"/>
    <w:rsid w:val="00A50E42"/>
    <w:rsid w:val="00A50E72"/>
    <w:rsid w:val="00A511F4"/>
    <w:rsid w:val="00A5154D"/>
    <w:rsid w:val="00A51615"/>
    <w:rsid w:val="00A517A3"/>
    <w:rsid w:val="00A517B3"/>
    <w:rsid w:val="00A5186D"/>
    <w:rsid w:val="00A51956"/>
    <w:rsid w:val="00A51A71"/>
    <w:rsid w:val="00A51B10"/>
    <w:rsid w:val="00A51BB6"/>
    <w:rsid w:val="00A51CE3"/>
    <w:rsid w:val="00A51E33"/>
    <w:rsid w:val="00A51E42"/>
    <w:rsid w:val="00A51E4A"/>
    <w:rsid w:val="00A51EBC"/>
    <w:rsid w:val="00A5224D"/>
    <w:rsid w:val="00A5227D"/>
    <w:rsid w:val="00A52695"/>
    <w:rsid w:val="00A527CA"/>
    <w:rsid w:val="00A52A39"/>
    <w:rsid w:val="00A52A56"/>
    <w:rsid w:val="00A52A63"/>
    <w:rsid w:val="00A52A99"/>
    <w:rsid w:val="00A52B36"/>
    <w:rsid w:val="00A52C44"/>
    <w:rsid w:val="00A52D99"/>
    <w:rsid w:val="00A52E78"/>
    <w:rsid w:val="00A52E99"/>
    <w:rsid w:val="00A52F22"/>
    <w:rsid w:val="00A530A5"/>
    <w:rsid w:val="00A531B8"/>
    <w:rsid w:val="00A53212"/>
    <w:rsid w:val="00A534FF"/>
    <w:rsid w:val="00A5357B"/>
    <w:rsid w:val="00A535FA"/>
    <w:rsid w:val="00A53636"/>
    <w:rsid w:val="00A5366C"/>
    <w:rsid w:val="00A536AA"/>
    <w:rsid w:val="00A538BA"/>
    <w:rsid w:val="00A538E4"/>
    <w:rsid w:val="00A53A2E"/>
    <w:rsid w:val="00A53B03"/>
    <w:rsid w:val="00A53CD0"/>
    <w:rsid w:val="00A53D8F"/>
    <w:rsid w:val="00A53DC8"/>
    <w:rsid w:val="00A53DCE"/>
    <w:rsid w:val="00A53F03"/>
    <w:rsid w:val="00A5406B"/>
    <w:rsid w:val="00A54406"/>
    <w:rsid w:val="00A547A5"/>
    <w:rsid w:val="00A549E5"/>
    <w:rsid w:val="00A54EC4"/>
    <w:rsid w:val="00A54F33"/>
    <w:rsid w:val="00A54FC4"/>
    <w:rsid w:val="00A5505E"/>
    <w:rsid w:val="00A55077"/>
    <w:rsid w:val="00A55175"/>
    <w:rsid w:val="00A55287"/>
    <w:rsid w:val="00A55366"/>
    <w:rsid w:val="00A5553B"/>
    <w:rsid w:val="00A5560C"/>
    <w:rsid w:val="00A5579C"/>
    <w:rsid w:val="00A55869"/>
    <w:rsid w:val="00A5594F"/>
    <w:rsid w:val="00A55A63"/>
    <w:rsid w:val="00A55ACC"/>
    <w:rsid w:val="00A55B02"/>
    <w:rsid w:val="00A55B17"/>
    <w:rsid w:val="00A55E09"/>
    <w:rsid w:val="00A55ECB"/>
    <w:rsid w:val="00A55F26"/>
    <w:rsid w:val="00A5627E"/>
    <w:rsid w:val="00A562E6"/>
    <w:rsid w:val="00A563A0"/>
    <w:rsid w:val="00A5683E"/>
    <w:rsid w:val="00A56DB7"/>
    <w:rsid w:val="00A570B7"/>
    <w:rsid w:val="00A570FF"/>
    <w:rsid w:val="00A5726F"/>
    <w:rsid w:val="00A574B0"/>
    <w:rsid w:val="00A5762D"/>
    <w:rsid w:val="00A5771F"/>
    <w:rsid w:val="00A57BE4"/>
    <w:rsid w:val="00A57E15"/>
    <w:rsid w:val="00A57F8B"/>
    <w:rsid w:val="00A601EE"/>
    <w:rsid w:val="00A60467"/>
    <w:rsid w:val="00A6053B"/>
    <w:rsid w:val="00A6076F"/>
    <w:rsid w:val="00A60A2D"/>
    <w:rsid w:val="00A60CE9"/>
    <w:rsid w:val="00A60D42"/>
    <w:rsid w:val="00A610DA"/>
    <w:rsid w:val="00A6112A"/>
    <w:rsid w:val="00A61293"/>
    <w:rsid w:val="00A612B0"/>
    <w:rsid w:val="00A6163A"/>
    <w:rsid w:val="00A6171D"/>
    <w:rsid w:val="00A61720"/>
    <w:rsid w:val="00A618CF"/>
    <w:rsid w:val="00A6197D"/>
    <w:rsid w:val="00A61B02"/>
    <w:rsid w:val="00A61D75"/>
    <w:rsid w:val="00A61DA9"/>
    <w:rsid w:val="00A61DC6"/>
    <w:rsid w:val="00A61E5F"/>
    <w:rsid w:val="00A61F36"/>
    <w:rsid w:val="00A62053"/>
    <w:rsid w:val="00A62094"/>
    <w:rsid w:val="00A621B6"/>
    <w:rsid w:val="00A62206"/>
    <w:rsid w:val="00A62338"/>
    <w:rsid w:val="00A6236E"/>
    <w:rsid w:val="00A62691"/>
    <w:rsid w:val="00A6270F"/>
    <w:rsid w:val="00A62729"/>
    <w:rsid w:val="00A62923"/>
    <w:rsid w:val="00A62934"/>
    <w:rsid w:val="00A62A1E"/>
    <w:rsid w:val="00A62A9D"/>
    <w:rsid w:val="00A63067"/>
    <w:rsid w:val="00A630E3"/>
    <w:rsid w:val="00A63162"/>
    <w:rsid w:val="00A6316D"/>
    <w:rsid w:val="00A632EA"/>
    <w:rsid w:val="00A63318"/>
    <w:rsid w:val="00A6339A"/>
    <w:rsid w:val="00A6339C"/>
    <w:rsid w:val="00A63939"/>
    <w:rsid w:val="00A639A1"/>
    <w:rsid w:val="00A63B55"/>
    <w:rsid w:val="00A63C64"/>
    <w:rsid w:val="00A63EC7"/>
    <w:rsid w:val="00A63F0F"/>
    <w:rsid w:val="00A640A5"/>
    <w:rsid w:val="00A640EE"/>
    <w:rsid w:val="00A6416E"/>
    <w:rsid w:val="00A644AB"/>
    <w:rsid w:val="00A644F0"/>
    <w:rsid w:val="00A64589"/>
    <w:rsid w:val="00A645FA"/>
    <w:rsid w:val="00A649BC"/>
    <w:rsid w:val="00A64A42"/>
    <w:rsid w:val="00A64A54"/>
    <w:rsid w:val="00A64B30"/>
    <w:rsid w:val="00A64C14"/>
    <w:rsid w:val="00A64D27"/>
    <w:rsid w:val="00A64DD8"/>
    <w:rsid w:val="00A64FDF"/>
    <w:rsid w:val="00A651E1"/>
    <w:rsid w:val="00A65340"/>
    <w:rsid w:val="00A65407"/>
    <w:rsid w:val="00A65493"/>
    <w:rsid w:val="00A654E8"/>
    <w:rsid w:val="00A65513"/>
    <w:rsid w:val="00A65A32"/>
    <w:rsid w:val="00A65D16"/>
    <w:rsid w:val="00A65D2B"/>
    <w:rsid w:val="00A65D31"/>
    <w:rsid w:val="00A65F32"/>
    <w:rsid w:val="00A6609D"/>
    <w:rsid w:val="00A660A0"/>
    <w:rsid w:val="00A66105"/>
    <w:rsid w:val="00A66118"/>
    <w:rsid w:val="00A661BA"/>
    <w:rsid w:val="00A6621F"/>
    <w:rsid w:val="00A666E3"/>
    <w:rsid w:val="00A6682D"/>
    <w:rsid w:val="00A668F2"/>
    <w:rsid w:val="00A66998"/>
    <w:rsid w:val="00A669B5"/>
    <w:rsid w:val="00A66A0D"/>
    <w:rsid w:val="00A66BD1"/>
    <w:rsid w:val="00A66C51"/>
    <w:rsid w:val="00A66C61"/>
    <w:rsid w:val="00A66E9B"/>
    <w:rsid w:val="00A66EFD"/>
    <w:rsid w:val="00A66F75"/>
    <w:rsid w:val="00A66FB9"/>
    <w:rsid w:val="00A6703F"/>
    <w:rsid w:val="00A6704E"/>
    <w:rsid w:val="00A67109"/>
    <w:rsid w:val="00A6711F"/>
    <w:rsid w:val="00A67332"/>
    <w:rsid w:val="00A6789F"/>
    <w:rsid w:val="00A6795C"/>
    <w:rsid w:val="00A679BD"/>
    <w:rsid w:val="00A67A3A"/>
    <w:rsid w:val="00A67AD5"/>
    <w:rsid w:val="00A67B01"/>
    <w:rsid w:val="00A67C89"/>
    <w:rsid w:val="00A67D6C"/>
    <w:rsid w:val="00A70030"/>
    <w:rsid w:val="00A700AB"/>
    <w:rsid w:val="00A700DF"/>
    <w:rsid w:val="00A70115"/>
    <w:rsid w:val="00A70149"/>
    <w:rsid w:val="00A702CF"/>
    <w:rsid w:val="00A70395"/>
    <w:rsid w:val="00A705AA"/>
    <w:rsid w:val="00A706D0"/>
    <w:rsid w:val="00A7078A"/>
    <w:rsid w:val="00A707D2"/>
    <w:rsid w:val="00A70930"/>
    <w:rsid w:val="00A7099F"/>
    <w:rsid w:val="00A70A3D"/>
    <w:rsid w:val="00A70BE7"/>
    <w:rsid w:val="00A70CD4"/>
    <w:rsid w:val="00A70CF3"/>
    <w:rsid w:val="00A70E05"/>
    <w:rsid w:val="00A70F14"/>
    <w:rsid w:val="00A70F36"/>
    <w:rsid w:val="00A71131"/>
    <w:rsid w:val="00A711FC"/>
    <w:rsid w:val="00A71414"/>
    <w:rsid w:val="00A71415"/>
    <w:rsid w:val="00A71443"/>
    <w:rsid w:val="00A71AEB"/>
    <w:rsid w:val="00A71B25"/>
    <w:rsid w:val="00A71C6F"/>
    <w:rsid w:val="00A71CA5"/>
    <w:rsid w:val="00A71DD0"/>
    <w:rsid w:val="00A71EDF"/>
    <w:rsid w:val="00A72093"/>
    <w:rsid w:val="00A721C2"/>
    <w:rsid w:val="00A72253"/>
    <w:rsid w:val="00A723F7"/>
    <w:rsid w:val="00A725D9"/>
    <w:rsid w:val="00A7265A"/>
    <w:rsid w:val="00A72793"/>
    <w:rsid w:val="00A7291D"/>
    <w:rsid w:val="00A72B47"/>
    <w:rsid w:val="00A72C52"/>
    <w:rsid w:val="00A72EFF"/>
    <w:rsid w:val="00A72FB4"/>
    <w:rsid w:val="00A73143"/>
    <w:rsid w:val="00A731D6"/>
    <w:rsid w:val="00A734AB"/>
    <w:rsid w:val="00A737A8"/>
    <w:rsid w:val="00A738AC"/>
    <w:rsid w:val="00A738F0"/>
    <w:rsid w:val="00A73C55"/>
    <w:rsid w:val="00A73DFE"/>
    <w:rsid w:val="00A73E27"/>
    <w:rsid w:val="00A73F4B"/>
    <w:rsid w:val="00A7419C"/>
    <w:rsid w:val="00A7428B"/>
    <w:rsid w:val="00A74351"/>
    <w:rsid w:val="00A7435D"/>
    <w:rsid w:val="00A743C6"/>
    <w:rsid w:val="00A745B9"/>
    <w:rsid w:val="00A749E5"/>
    <w:rsid w:val="00A74A98"/>
    <w:rsid w:val="00A74B0A"/>
    <w:rsid w:val="00A74B69"/>
    <w:rsid w:val="00A74BC2"/>
    <w:rsid w:val="00A74C56"/>
    <w:rsid w:val="00A74CF1"/>
    <w:rsid w:val="00A74D67"/>
    <w:rsid w:val="00A74EA4"/>
    <w:rsid w:val="00A74EB3"/>
    <w:rsid w:val="00A74FB4"/>
    <w:rsid w:val="00A750A7"/>
    <w:rsid w:val="00A753C3"/>
    <w:rsid w:val="00A7578F"/>
    <w:rsid w:val="00A75965"/>
    <w:rsid w:val="00A75977"/>
    <w:rsid w:val="00A759A5"/>
    <w:rsid w:val="00A75C32"/>
    <w:rsid w:val="00A75CA1"/>
    <w:rsid w:val="00A75FE0"/>
    <w:rsid w:val="00A76262"/>
    <w:rsid w:val="00A76300"/>
    <w:rsid w:val="00A7655D"/>
    <w:rsid w:val="00A76792"/>
    <w:rsid w:val="00A768EB"/>
    <w:rsid w:val="00A76E73"/>
    <w:rsid w:val="00A76EE4"/>
    <w:rsid w:val="00A77067"/>
    <w:rsid w:val="00A770C9"/>
    <w:rsid w:val="00A77165"/>
    <w:rsid w:val="00A776A6"/>
    <w:rsid w:val="00A7777E"/>
    <w:rsid w:val="00A7790A"/>
    <w:rsid w:val="00A779BC"/>
    <w:rsid w:val="00A779F0"/>
    <w:rsid w:val="00A77A87"/>
    <w:rsid w:val="00A77AAE"/>
    <w:rsid w:val="00A77D13"/>
    <w:rsid w:val="00A77D32"/>
    <w:rsid w:val="00A77D43"/>
    <w:rsid w:val="00A77FDC"/>
    <w:rsid w:val="00A80319"/>
    <w:rsid w:val="00A80408"/>
    <w:rsid w:val="00A8051E"/>
    <w:rsid w:val="00A8053C"/>
    <w:rsid w:val="00A8056F"/>
    <w:rsid w:val="00A805C8"/>
    <w:rsid w:val="00A805DD"/>
    <w:rsid w:val="00A80829"/>
    <w:rsid w:val="00A809C3"/>
    <w:rsid w:val="00A80D53"/>
    <w:rsid w:val="00A80DD4"/>
    <w:rsid w:val="00A80DF6"/>
    <w:rsid w:val="00A80E46"/>
    <w:rsid w:val="00A80EC4"/>
    <w:rsid w:val="00A80ECD"/>
    <w:rsid w:val="00A81017"/>
    <w:rsid w:val="00A81609"/>
    <w:rsid w:val="00A8173F"/>
    <w:rsid w:val="00A81782"/>
    <w:rsid w:val="00A82175"/>
    <w:rsid w:val="00A82294"/>
    <w:rsid w:val="00A82380"/>
    <w:rsid w:val="00A82746"/>
    <w:rsid w:val="00A82755"/>
    <w:rsid w:val="00A82862"/>
    <w:rsid w:val="00A82866"/>
    <w:rsid w:val="00A82963"/>
    <w:rsid w:val="00A82CF2"/>
    <w:rsid w:val="00A82DE6"/>
    <w:rsid w:val="00A82E04"/>
    <w:rsid w:val="00A82E2C"/>
    <w:rsid w:val="00A82F0D"/>
    <w:rsid w:val="00A82F45"/>
    <w:rsid w:val="00A830C4"/>
    <w:rsid w:val="00A830E5"/>
    <w:rsid w:val="00A83172"/>
    <w:rsid w:val="00A83174"/>
    <w:rsid w:val="00A8325E"/>
    <w:rsid w:val="00A83381"/>
    <w:rsid w:val="00A835E3"/>
    <w:rsid w:val="00A83619"/>
    <w:rsid w:val="00A838E2"/>
    <w:rsid w:val="00A83972"/>
    <w:rsid w:val="00A839B1"/>
    <w:rsid w:val="00A83A56"/>
    <w:rsid w:val="00A83F41"/>
    <w:rsid w:val="00A83FC7"/>
    <w:rsid w:val="00A841CA"/>
    <w:rsid w:val="00A842A9"/>
    <w:rsid w:val="00A843F7"/>
    <w:rsid w:val="00A84565"/>
    <w:rsid w:val="00A846FD"/>
    <w:rsid w:val="00A84823"/>
    <w:rsid w:val="00A848EF"/>
    <w:rsid w:val="00A84B24"/>
    <w:rsid w:val="00A84C4E"/>
    <w:rsid w:val="00A84CD5"/>
    <w:rsid w:val="00A84E66"/>
    <w:rsid w:val="00A84E7F"/>
    <w:rsid w:val="00A84EE8"/>
    <w:rsid w:val="00A85053"/>
    <w:rsid w:val="00A851F3"/>
    <w:rsid w:val="00A85216"/>
    <w:rsid w:val="00A85221"/>
    <w:rsid w:val="00A852CB"/>
    <w:rsid w:val="00A857E7"/>
    <w:rsid w:val="00A858B4"/>
    <w:rsid w:val="00A85926"/>
    <w:rsid w:val="00A85929"/>
    <w:rsid w:val="00A85AB0"/>
    <w:rsid w:val="00A85D5E"/>
    <w:rsid w:val="00A86004"/>
    <w:rsid w:val="00A86219"/>
    <w:rsid w:val="00A867A9"/>
    <w:rsid w:val="00A86852"/>
    <w:rsid w:val="00A868AB"/>
    <w:rsid w:val="00A869CF"/>
    <w:rsid w:val="00A86A15"/>
    <w:rsid w:val="00A86AD9"/>
    <w:rsid w:val="00A86FEE"/>
    <w:rsid w:val="00A872F7"/>
    <w:rsid w:val="00A873F5"/>
    <w:rsid w:val="00A87514"/>
    <w:rsid w:val="00A87577"/>
    <w:rsid w:val="00A876B7"/>
    <w:rsid w:val="00A87A56"/>
    <w:rsid w:val="00A87B36"/>
    <w:rsid w:val="00A87B43"/>
    <w:rsid w:val="00A87B6F"/>
    <w:rsid w:val="00A87C37"/>
    <w:rsid w:val="00A87CE1"/>
    <w:rsid w:val="00A87D11"/>
    <w:rsid w:val="00A87E5F"/>
    <w:rsid w:val="00A87F4B"/>
    <w:rsid w:val="00A87FA9"/>
    <w:rsid w:val="00A90135"/>
    <w:rsid w:val="00A90164"/>
    <w:rsid w:val="00A90278"/>
    <w:rsid w:val="00A90304"/>
    <w:rsid w:val="00A903C0"/>
    <w:rsid w:val="00A9045C"/>
    <w:rsid w:val="00A904A5"/>
    <w:rsid w:val="00A90869"/>
    <w:rsid w:val="00A90920"/>
    <w:rsid w:val="00A9093D"/>
    <w:rsid w:val="00A909E8"/>
    <w:rsid w:val="00A90AD8"/>
    <w:rsid w:val="00A90C48"/>
    <w:rsid w:val="00A90E14"/>
    <w:rsid w:val="00A90FF4"/>
    <w:rsid w:val="00A91244"/>
    <w:rsid w:val="00A91338"/>
    <w:rsid w:val="00A91398"/>
    <w:rsid w:val="00A91408"/>
    <w:rsid w:val="00A91436"/>
    <w:rsid w:val="00A9150D"/>
    <w:rsid w:val="00A91524"/>
    <w:rsid w:val="00A91543"/>
    <w:rsid w:val="00A91595"/>
    <w:rsid w:val="00A91789"/>
    <w:rsid w:val="00A91816"/>
    <w:rsid w:val="00A91A37"/>
    <w:rsid w:val="00A91B16"/>
    <w:rsid w:val="00A91B89"/>
    <w:rsid w:val="00A91C3D"/>
    <w:rsid w:val="00A91D5D"/>
    <w:rsid w:val="00A91E1E"/>
    <w:rsid w:val="00A91E84"/>
    <w:rsid w:val="00A91FA2"/>
    <w:rsid w:val="00A921F3"/>
    <w:rsid w:val="00A92496"/>
    <w:rsid w:val="00A925F8"/>
    <w:rsid w:val="00A9298D"/>
    <w:rsid w:val="00A929AD"/>
    <w:rsid w:val="00A92A99"/>
    <w:rsid w:val="00A92CBD"/>
    <w:rsid w:val="00A92F1C"/>
    <w:rsid w:val="00A931ED"/>
    <w:rsid w:val="00A93260"/>
    <w:rsid w:val="00A93A7F"/>
    <w:rsid w:val="00A93AAB"/>
    <w:rsid w:val="00A94036"/>
    <w:rsid w:val="00A940CA"/>
    <w:rsid w:val="00A94105"/>
    <w:rsid w:val="00A94527"/>
    <w:rsid w:val="00A94A4F"/>
    <w:rsid w:val="00A94A99"/>
    <w:rsid w:val="00A94B07"/>
    <w:rsid w:val="00A94C22"/>
    <w:rsid w:val="00A94E31"/>
    <w:rsid w:val="00A94EE6"/>
    <w:rsid w:val="00A94FF8"/>
    <w:rsid w:val="00A951E3"/>
    <w:rsid w:val="00A954FB"/>
    <w:rsid w:val="00A9576A"/>
    <w:rsid w:val="00A9597F"/>
    <w:rsid w:val="00A95A9A"/>
    <w:rsid w:val="00A95AC3"/>
    <w:rsid w:val="00A95AD8"/>
    <w:rsid w:val="00A95B95"/>
    <w:rsid w:val="00A95E0E"/>
    <w:rsid w:val="00A95E86"/>
    <w:rsid w:val="00A960A2"/>
    <w:rsid w:val="00A96220"/>
    <w:rsid w:val="00A96222"/>
    <w:rsid w:val="00A9632A"/>
    <w:rsid w:val="00A963AC"/>
    <w:rsid w:val="00A96689"/>
    <w:rsid w:val="00A966F0"/>
    <w:rsid w:val="00A96741"/>
    <w:rsid w:val="00A9674B"/>
    <w:rsid w:val="00A967D9"/>
    <w:rsid w:val="00A9696C"/>
    <w:rsid w:val="00A97122"/>
    <w:rsid w:val="00A971A8"/>
    <w:rsid w:val="00A971C8"/>
    <w:rsid w:val="00A9720F"/>
    <w:rsid w:val="00A97455"/>
    <w:rsid w:val="00A974A2"/>
    <w:rsid w:val="00A97B1F"/>
    <w:rsid w:val="00A97D29"/>
    <w:rsid w:val="00A97D50"/>
    <w:rsid w:val="00A97E51"/>
    <w:rsid w:val="00A97FDD"/>
    <w:rsid w:val="00A9E1E8"/>
    <w:rsid w:val="00AA00D5"/>
    <w:rsid w:val="00AA0197"/>
    <w:rsid w:val="00AA025B"/>
    <w:rsid w:val="00AA042C"/>
    <w:rsid w:val="00AA048A"/>
    <w:rsid w:val="00AA04F3"/>
    <w:rsid w:val="00AA0755"/>
    <w:rsid w:val="00AA0ADA"/>
    <w:rsid w:val="00AA0CD8"/>
    <w:rsid w:val="00AA1049"/>
    <w:rsid w:val="00AA1078"/>
    <w:rsid w:val="00AA1244"/>
    <w:rsid w:val="00AA13C0"/>
    <w:rsid w:val="00AA1607"/>
    <w:rsid w:val="00AA16D3"/>
    <w:rsid w:val="00AA18B9"/>
    <w:rsid w:val="00AA1941"/>
    <w:rsid w:val="00AA1C93"/>
    <w:rsid w:val="00AA1CDC"/>
    <w:rsid w:val="00AA1F95"/>
    <w:rsid w:val="00AA2314"/>
    <w:rsid w:val="00AA2462"/>
    <w:rsid w:val="00AA249A"/>
    <w:rsid w:val="00AA24B5"/>
    <w:rsid w:val="00AA2512"/>
    <w:rsid w:val="00AA263E"/>
    <w:rsid w:val="00AA2723"/>
    <w:rsid w:val="00AA278F"/>
    <w:rsid w:val="00AA2A25"/>
    <w:rsid w:val="00AA2B2F"/>
    <w:rsid w:val="00AA2D18"/>
    <w:rsid w:val="00AA3047"/>
    <w:rsid w:val="00AA310D"/>
    <w:rsid w:val="00AA3221"/>
    <w:rsid w:val="00AA32AD"/>
    <w:rsid w:val="00AA32F1"/>
    <w:rsid w:val="00AA3422"/>
    <w:rsid w:val="00AA3424"/>
    <w:rsid w:val="00AA3529"/>
    <w:rsid w:val="00AA3860"/>
    <w:rsid w:val="00AA391A"/>
    <w:rsid w:val="00AA394E"/>
    <w:rsid w:val="00AA3B52"/>
    <w:rsid w:val="00AA3D5E"/>
    <w:rsid w:val="00AA3E12"/>
    <w:rsid w:val="00AA3E82"/>
    <w:rsid w:val="00AA406A"/>
    <w:rsid w:val="00AA4324"/>
    <w:rsid w:val="00AA436C"/>
    <w:rsid w:val="00AA447B"/>
    <w:rsid w:val="00AA448B"/>
    <w:rsid w:val="00AA44CB"/>
    <w:rsid w:val="00AA44D4"/>
    <w:rsid w:val="00AA4519"/>
    <w:rsid w:val="00AA4689"/>
    <w:rsid w:val="00AA489B"/>
    <w:rsid w:val="00AA4ABB"/>
    <w:rsid w:val="00AA4D6E"/>
    <w:rsid w:val="00AA4DC7"/>
    <w:rsid w:val="00AA50AC"/>
    <w:rsid w:val="00AA522E"/>
    <w:rsid w:val="00AA5362"/>
    <w:rsid w:val="00AA54CB"/>
    <w:rsid w:val="00AA54F3"/>
    <w:rsid w:val="00AA564E"/>
    <w:rsid w:val="00AA56DC"/>
    <w:rsid w:val="00AA57E2"/>
    <w:rsid w:val="00AA5937"/>
    <w:rsid w:val="00AA5A03"/>
    <w:rsid w:val="00AA5A2D"/>
    <w:rsid w:val="00AA5A66"/>
    <w:rsid w:val="00AA5B77"/>
    <w:rsid w:val="00AA640A"/>
    <w:rsid w:val="00AA69F1"/>
    <w:rsid w:val="00AA6A2F"/>
    <w:rsid w:val="00AA6B05"/>
    <w:rsid w:val="00AA6B65"/>
    <w:rsid w:val="00AA6BB3"/>
    <w:rsid w:val="00AA6C7C"/>
    <w:rsid w:val="00AA6E7E"/>
    <w:rsid w:val="00AA6F06"/>
    <w:rsid w:val="00AA6F17"/>
    <w:rsid w:val="00AA6F6A"/>
    <w:rsid w:val="00AA6FD5"/>
    <w:rsid w:val="00AA703D"/>
    <w:rsid w:val="00AA7096"/>
    <w:rsid w:val="00AA7127"/>
    <w:rsid w:val="00AA71B2"/>
    <w:rsid w:val="00AA71CD"/>
    <w:rsid w:val="00AA73A4"/>
    <w:rsid w:val="00AA73C6"/>
    <w:rsid w:val="00AA73FF"/>
    <w:rsid w:val="00AA7839"/>
    <w:rsid w:val="00AA7A2C"/>
    <w:rsid w:val="00AA7B0D"/>
    <w:rsid w:val="00AA7E52"/>
    <w:rsid w:val="00AB0173"/>
    <w:rsid w:val="00AB02AB"/>
    <w:rsid w:val="00AB05D0"/>
    <w:rsid w:val="00AB061F"/>
    <w:rsid w:val="00AB0723"/>
    <w:rsid w:val="00AB0885"/>
    <w:rsid w:val="00AB090A"/>
    <w:rsid w:val="00AB0919"/>
    <w:rsid w:val="00AB09CD"/>
    <w:rsid w:val="00AB0B00"/>
    <w:rsid w:val="00AB0B41"/>
    <w:rsid w:val="00AB0C23"/>
    <w:rsid w:val="00AB0DEB"/>
    <w:rsid w:val="00AB0FC8"/>
    <w:rsid w:val="00AB0FF5"/>
    <w:rsid w:val="00AB107B"/>
    <w:rsid w:val="00AB10E3"/>
    <w:rsid w:val="00AB1125"/>
    <w:rsid w:val="00AB11A0"/>
    <w:rsid w:val="00AB126D"/>
    <w:rsid w:val="00AB12EC"/>
    <w:rsid w:val="00AB13BB"/>
    <w:rsid w:val="00AB1556"/>
    <w:rsid w:val="00AB155F"/>
    <w:rsid w:val="00AB1565"/>
    <w:rsid w:val="00AB15DA"/>
    <w:rsid w:val="00AB1627"/>
    <w:rsid w:val="00AB1B12"/>
    <w:rsid w:val="00AB1B77"/>
    <w:rsid w:val="00AB1BFF"/>
    <w:rsid w:val="00AB1C9A"/>
    <w:rsid w:val="00AB1D41"/>
    <w:rsid w:val="00AB1D76"/>
    <w:rsid w:val="00AB209B"/>
    <w:rsid w:val="00AB20C0"/>
    <w:rsid w:val="00AB2111"/>
    <w:rsid w:val="00AB2267"/>
    <w:rsid w:val="00AB22EC"/>
    <w:rsid w:val="00AB23E5"/>
    <w:rsid w:val="00AB251C"/>
    <w:rsid w:val="00AB2670"/>
    <w:rsid w:val="00AB2812"/>
    <w:rsid w:val="00AB2AD7"/>
    <w:rsid w:val="00AB2B2B"/>
    <w:rsid w:val="00AB2BE2"/>
    <w:rsid w:val="00AB2CFD"/>
    <w:rsid w:val="00AB2DAB"/>
    <w:rsid w:val="00AB2F6A"/>
    <w:rsid w:val="00AB3101"/>
    <w:rsid w:val="00AB315E"/>
    <w:rsid w:val="00AB3282"/>
    <w:rsid w:val="00AB32CC"/>
    <w:rsid w:val="00AB3787"/>
    <w:rsid w:val="00AB37EF"/>
    <w:rsid w:val="00AB382A"/>
    <w:rsid w:val="00AB396F"/>
    <w:rsid w:val="00AB39AC"/>
    <w:rsid w:val="00AB3AB6"/>
    <w:rsid w:val="00AB3B79"/>
    <w:rsid w:val="00AB3BAB"/>
    <w:rsid w:val="00AB3C75"/>
    <w:rsid w:val="00AB3DE9"/>
    <w:rsid w:val="00AB40A4"/>
    <w:rsid w:val="00AB422F"/>
    <w:rsid w:val="00AB4262"/>
    <w:rsid w:val="00AB4411"/>
    <w:rsid w:val="00AB4527"/>
    <w:rsid w:val="00AB45B5"/>
    <w:rsid w:val="00AB4642"/>
    <w:rsid w:val="00AB4735"/>
    <w:rsid w:val="00AB4953"/>
    <w:rsid w:val="00AB4A90"/>
    <w:rsid w:val="00AB4C1F"/>
    <w:rsid w:val="00AB52FD"/>
    <w:rsid w:val="00AB53AB"/>
    <w:rsid w:val="00AB55DE"/>
    <w:rsid w:val="00AB5782"/>
    <w:rsid w:val="00AB5913"/>
    <w:rsid w:val="00AB5BB2"/>
    <w:rsid w:val="00AB5BC4"/>
    <w:rsid w:val="00AB5C4C"/>
    <w:rsid w:val="00AB5D83"/>
    <w:rsid w:val="00AB5E53"/>
    <w:rsid w:val="00AB5EA4"/>
    <w:rsid w:val="00AB5EE7"/>
    <w:rsid w:val="00AB61A3"/>
    <w:rsid w:val="00AB6391"/>
    <w:rsid w:val="00AB63AC"/>
    <w:rsid w:val="00AB6473"/>
    <w:rsid w:val="00AB6560"/>
    <w:rsid w:val="00AB659C"/>
    <w:rsid w:val="00AB65E4"/>
    <w:rsid w:val="00AB68BC"/>
    <w:rsid w:val="00AB68F1"/>
    <w:rsid w:val="00AB6A79"/>
    <w:rsid w:val="00AB6DC5"/>
    <w:rsid w:val="00AB6DDC"/>
    <w:rsid w:val="00AB6E51"/>
    <w:rsid w:val="00AB6EEC"/>
    <w:rsid w:val="00AB7588"/>
    <w:rsid w:val="00AB7673"/>
    <w:rsid w:val="00AB7804"/>
    <w:rsid w:val="00AB7828"/>
    <w:rsid w:val="00AB7835"/>
    <w:rsid w:val="00AB7AD0"/>
    <w:rsid w:val="00AB7AFB"/>
    <w:rsid w:val="00AB7CAB"/>
    <w:rsid w:val="00AB7D2C"/>
    <w:rsid w:val="00AB7E0C"/>
    <w:rsid w:val="00AB7E68"/>
    <w:rsid w:val="00AB81AC"/>
    <w:rsid w:val="00AC00C3"/>
    <w:rsid w:val="00AC032F"/>
    <w:rsid w:val="00AC039C"/>
    <w:rsid w:val="00AC05F1"/>
    <w:rsid w:val="00AC0884"/>
    <w:rsid w:val="00AC0A8E"/>
    <w:rsid w:val="00AC0B3D"/>
    <w:rsid w:val="00AC0C76"/>
    <w:rsid w:val="00AC0C85"/>
    <w:rsid w:val="00AC0CDD"/>
    <w:rsid w:val="00AC0CE3"/>
    <w:rsid w:val="00AC0E5D"/>
    <w:rsid w:val="00AC0E62"/>
    <w:rsid w:val="00AC0F68"/>
    <w:rsid w:val="00AC109E"/>
    <w:rsid w:val="00AC1110"/>
    <w:rsid w:val="00AC1188"/>
    <w:rsid w:val="00AC1202"/>
    <w:rsid w:val="00AC13D9"/>
    <w:rsid w:val="00AC13E8"/>
    <w:rsid w:val="00AC14CA"/>
    <w:rsid w:val="00AC1705"/>
    <w:rsid w:val="00AC1A7A"/>
    <w:rsid w:val="00AC1D55"/>
    <w:rsid w:val="00AC1E8A"/>
    <w:rsid w:val="00AC1EF1"/>
    <w:rsid w:val="00AC21A6"/>
    <w:rsid w:val="00AC2461"/>
    <w:rsid w:val="00AC2641"/>
    <w:rsid w:val="00AC2752"/>
    <w:rsid w:val="00AC28BD"/>
    <w:rsid w:val="00AC29E5"/>
    <w:rsid w:val="00AC29F6"/>
    <w:rsid w:val="00AC2A23"/>
    <w:rsid w:val="00AC2A65"/>
    <w:rsid w:val="00AC2AF6"/>
    <w:rsid w:val="00AC2E3C"/>
    <w:rsid w:val="00AC2F2B"/>
    <w:rsid w:val="00AC2FC2"/>
    <w:rsid w:val="00AC313F"/>
    <w:rsid w:val="00AC3164"/>
    <w:rsid w:val="00AC3356"/>
    <w:rsid w:val="00AC3504"/>
    <w:rsid w:val="00AC3839"/>
    <w:rsid w:val="00AC3A58"/>
    <w:rsid w:val="00AC3B40"/>
    <w:rsid w:val="00AC3B45"/>
    <w:rsid w:val="00AC3C6E"/>
    <w:rsid w:val="00AC3DBD"/>
    <w:rsid w:val="00AC3FF5"/>
    <w:rsid w:val="00AC40A2"/>
    <w:rsid w:val="00AC4154"/>
    <w:rsid w:val="00AC42ED"/>
    <w:rsid w:val="00AC462A"/>
    <w:rsid w:val="00AC480D"/>
    <w:rsid w:val="00AC4928"/>
    <w:rsid w:val="00AC498A"/>
    <w:rsid w:val="00AC4A36"/>
    <w:rsid w:val="00AC4B12"/>
    <w:rsid w:val="00AC4B3D"/>
    <w:rsid w:val="00AC4B8F"/>
    <w:rsid w:val="00AC4BCC"/>
    <w:rsid w:val="00AC4E03"/>
    <w:rsid w:val="00AC4E6A"/>
    <w:rsid w:val="00AC4F62"/>
    <w:rsid w:val="00AC5073"/>
    <w:rsid w:val="00AC50FD"/>
    <w:rsid w:val="00AC52D9"/>
    <w:rsid w:val="00AC52EC"/>
    <w:rsid w:val="00AC5568"/>
    <w:rsid w:val="00AC57ED"/>
    <w:rsid w:val="00AC592D"/>
    <w:rsid w:val="00AC593C"/>
    <w:rsid w:val="00AC5C32"/>
    <w:rsid w:val="00AC5C51"/>
    <w:rsid w:val="00AC5D4A"/>
    <w:rsid w:val="00AC5D56"/>
    <w:rsid w:val="00AC5D9F"/>
    <w:rsid w:val="00AC5DB3"/>
    <w:rsid w:val="00AC5E18"/>
    <w:rsid w:val="00AC5E89"/>
    <w:rsid w:val="00AC5FAB"/>
    <w:rsid w:val="00AC6007"/>
    <w:rsid w:val="00AC6300"/>
    <w:rsid w:val="00AC66A7"/>
    <w:rsid w:val="00AC67F0"/>
    <w:rsid w:val="00AC69A3"/>
    <w:rsid w:val="00AC69A4"/>
    <w:rsid w:val="00AC69AE"/>
    <w:rsid w:val="00AC6AE2"/>
    <w:rsid w:val="00AC6E35"/>
    <w:rsid w:val="00AC6E49"/>
    <w:rsid w:val="00AC6E91"/>
    <w:rsid w:val="00AC6E9F"/>
    <w:rsid w:val="00AC6EEC"/>
    <w:rsid w:val="00AC6FB0"/>
    <w:rsid w:val="00AC702B"/>
    <w:rsid w:val="00AC705D"/>
    <w:rsid w:val="00AC708D"/>
    <w:rsid w:val="00AC74B0"/>
    <w:rsid w:val="00AC74D2"/>
    <w:rsid w:val="00AC7666"/>
    <w:rsid w:val="00AC77BC"/>
    <w:rsid w:val="00AC7805"/>
    <w:rsid w:val="00AC797D"/>
    <w:rsid w:val="00AC79AF"/>
    <w:rsid w:val="00AC79F6"/>
    <w:rsid w:val="00AC7B92"/>
    <w:rsid w:val="00AC7C41"/>
    <w:rsid w:val="00AC7CA8"/>
    <w:rsid w:val="00AC7D08"/>
    <w:rsid w:val="00AC7D48"/>
    <w:rsid w:val="00AD0100"/>
    <w:rsid w:val="00AD08DE"/>
    <w:rsid w:val="00AD09E4"/>
    <w:rsid w:val="00AD0A25"/>
    <w:rsid w:val="00AD0AC0"/>
    <w:rsid w:val="00AD0BE2"/>
    <w:rsid w:val="00AD0E6E"/>
    <w:rsid w:val="00AD0E8D"/>
    <w:rsid w:val="00AD12FF"/>
    <w:rsid w:val="00AD1322"/>
    <w:rsid w:val="00AD1424"/>
    <w:rsid w:val="00AD14DF"/>
    <w:rsid w:val="00AD15F9"/>
    <w:rsid w:val="00AD16A2"/>
    <w:rsid w:val="00AD189C"/>
    <w:rsid w:val="00AD18B0"/>
    <w:rsid w:val="00AD18D0"/>
    <w:rsid w:val="00AD1FDC"/>
    <w:rsid w:val="00AD220A"/>
    <w:rsid w:val="00AD23C0"/>
    <w:rsid w:val="00AD23C1"/>
    <w:rsid w:val="00AD2419"/>
    <w:rsid w:val="00AD2579"/>
    <w:rsid w:val="00AD26A8"/>
    <w:rsid w:val="00AD2755"/>
    <w:rsid w:val="00AD28B5"/>
    <w:rsid w:val="00AD2953"/>
    <w:rsid w:val="00AD2A75"/>
    <w:rsid w:val="00AD2CF5"/>
    <w:rsid w:val="00AD2CF6"/>
    <w:rsid w:val="00AD2D1C"/>
    <w:rsid w:val="00AD2D30"/>
    <w:rsid w:val="00AD2F1C"/>
    <w:rsid w:val="00AD33BD"/>
    <w:rsid w:val="00AD34F6"/>
    <w:rsid w:val="00AD3B4D"/>
    <w:rsid w:val="00AD3CA5"/>
    <w:rsid w:val="00AD3CC6"/>
    <w:rsid w:val="00AD3E94"/>
    <w:rsid w:val="00AD3EEA"/>
    <w:rsid w:val="00AD402B"/>
    <w:rsid w:val="00AD4030"/>
    <w:rsid w:val="00AD40BD"/>
    <w:rsid w:val="00AD41A1"/>
    <w:rsid w:val="00AD41E4"/>
    <w:rsid w:val="00AD432B"/>
    <w:rsid w:val="00AD441C"/>
    <w:rsid w:val="00AD458E"/>
    <w:rsid w:val="00AD4618"/>
    <w:rsid w:val="00AD4810"/>
    <w:rsid w:val="00AD491D"/>
    <w:rsid w:val="00AD49BD"/>
    <w:rsid w:val="00AD4AB7"/>
    <w:rsid w:val="00AD4B43"/>
    <w:rsid w:val="00AD4B6B"/>
    <w:rsid w:val="00AD4D73"/>
    <w:rsid w:val="00AD4DF8"/>
    <w:rsid w:val="00AD4E1E"/>
    <w:rsid w:val="00AD4FAE"/>
    <w:rsid w:val="00AD5128"/>
    <w:rsid w:val="00AD514A"/>
    <w:rsid w:val="00AD5225"/>
    <w:rsid w:val="00AD52FD"/>
    <w:rsid w:val="00AD5305"/>
    <w:rsid w:val="00AD538A"/>
    <w:rsid w:val="00AD57B3"/>
    <w:rsid w:val="00AD5883"/>
    <w:rsid w:val="00AD5899"/>
    <w:rsid w:val="00AD58F3"/>
    <w:rsid w:val="00AD5AB7"/>
    <w:rsid w:val="00AD5B8C"/>
    <w:rsid w:val="00AD5BA7"/>
    <w:rsid w:val="00AD5DAF"/>
    <w:rsid w:val="00AD5E4A"/>
    <w:rsid w:val="00AD5E76"/>
    <w:rsid w:val="00AD5EA9"/>
    <w:rsid w:val="00AD5F83"/>
    <w:rsid w:val="00AD6041"/>
    <w:rsid w:val="00AD607C"/>
    <w:rsid w:val="00AD611F"/>
    <w:rsid w:val="00AD6125"/>
    <w:rsid w:val="00AD6329"/>
    <w:rsid w:val="00AD6533"/>
    <w:rsid w:val="00AD6706"/>
    <w:rsid w:val="00AD6824"/>
    <w:rsid w:val="00AD6951"/>
    <w:rsid w:val="00AD6A01"/>
    <w:rsid w:val="00AD6A4A"/>
    <w:rsid w:val="00AD6AB6"/>
    <w:rsid w:val="00AD6BFF"/>
    <w:rsid w:val="00AD6C59"/>
    <w:rsid w:val="00AD6C65"/>
    <w:rsid w:val="00AD6D7D"/>
    <w:rsid w:val="00AD7114"/>
    <w:rsid w:val="00AD7369"/>
    <w:rsid w:val="00AD748C"/>
    <w:rsid w:val="00AD7568"/>
    <w:rsid w:val="00AD777F"/>
    <w:rsid w:val="00AD798F"/>
    <w:rsid w:val="00AD79EF"/>
    <w:rsid w:val="00AD7B0D"/>
    <w:rsid w:val="00AD7C12"/>
    <w:rsid w:val="00AD7DEF"/>
    <w:rsid w:val="00AD7EED"/>
    <w:rsid w:val="00AD7FC0"/>
    <w:rsid w:val="00AE00A5"/>
    <w:rsid w:val="00AE028B"/>
    <w:rsid w:val="00AE0474"/>
    <w:rsid w:val="00AE058A"/>
    <w:rsid w:val="00AE0763"/>
    <w:rsid w:val="00AE07CD"/>
    <w:rsid w:val="00AE0883"/>
    <w:rsid w:val="00AE09AC"/>
    <w:rsid w:val="00AE0A4B"/>
    <w:rsid w:val="00AE0AC9"/>
    <w:rsid w:val="00AE0CD4"/>
    <w:rsid w:val="00AE0DA2"/>
    <w:rsid w:val="00AE11D4"/>
    <w:rsid w:val="00AE12EF"/>
    <w:rsid w:val="00AE148F"/>
    <w:rsid w:val="00AE14EA"/>
    <w:rsid w:val="00AE1513"/>
    <w:rsid w:val="00AE1529"/>
    <w:rsid w:val="00AE1599"/>
    <w:rsid w:val="00AE15E9"/>
    <w:rsid w:val="00AE1625"/>
    <w:rsid w:val="00AE1774"/>
    <w:rsid w:val="00AE187C"/>
    <w:rsid w:val="00AE1AE4"/>
    <w:rsid w:val="00AE1B1E"/>
    <w:rsid w:val="00AE212E"/>
    <w:rsid w:val="00AE2197"/>
    <w:rsid w:val="00AE2246"/>
    <w:rsid w:val="00AE234F"/>
    <w:rsid w:val="00AE239C"/>
    <w:rsid w:val="00AE2428"/>
    <w:rsid w:val="00AE246B"/>
    <w:rsid w:val="00AE2519"/>
    <w:rsid w:val="00AE265B"/>
    <w:rsid w:val="00AE274A"/>
    <w:rsid w:val="00AE2993"/>
    <w:rsid w:val="00AE29A4"/>
    <w:rsid w:val="00AE29F8"/>
    <w:rsid w:val="00AE2AD7"/>
    <w:rsid w:val="00AE2BF2"/>
    <w:rsid w:val="00AE2CBA"/>
    <w:rsid w:val="00AE3112"/>
    <w:rsid w:val="00AE3151"/>
    <w:rsid w:val="00AE328D"/>
    <w:rsid w:val="00AE3352"/>
    <w:rsid w:val="00AE3639"/>
    <w:rsid w:val="00AE3661"/>
    <w:rsid w:val="00AE3675"/>
    <w:rsid w:val="00AE3683"/>
    <w:rsid w:val="00AE3818"/>
    <w:rsid w:val="00AE3860"/>
    <w:rsid w:val="00AE3B2E"/>
    <w:rsid w:val="00AE3B5B"/>
    <w:rsid w:val="00AE3C88"/>
    <w:rsid w:val="00AE3DAB"/>
    <w:rsid w:val="00AE4291"/>
    <w:rsid w:val="00AE44D0"/>
    <w:rsid w:val="00AE456F"/>
    <w:rsid w:val="00AE45C9"/>
    <w:rsid w:val="00AE46C4"/>
    <w:rsid w:val="00AE4910"/>
    <w:rsid w:val="00AE4A4B"/>
    <w:rsid w:val="00AE4A7D"/>
    <w:rsid w:val="00AE4B6A"/>
    <w:rsid w:val="00AE4DBB"/>
    <w:rsid w:val="00AE51A4"/>
    <w:rsid w:val="00AE5228"/>
    <w:rsid w:val="00AE5281"/>
    <w:rsid w:val="00AE55D6"/>
    <w:rsid w:val="00AE55F0"/>
    <w:rsid w:val="00AE577A"/>
    <w:rsid w:val="00AE58CF"/>
    <w:rsid w:val="00AE59A2"/>
    <w:rsid w:val="00AE5A52"/>
    <w:rsid w:val="00AE5A5F"/>
    <w:rsid w:val="00AE5E9C"/>
    <w:rsid w:val="00AE5EF9"/>
    <w:rsid w:val="00AE5F1E"/>
    <w:rsid w:val="00AE6033"/>
    <w:rsid w:val="00AE6145"/>
    <w:rsid w:val="00AE62DB"/>
    <w:rsid w:val="00AE63F3"/>
    <w:rsid w:val="00AE6487"/>
    <w:rsid w:val="00AE65CE"/>
    <w:rsid w:val="00AE6615"/>
    <w:rsid w:val="00AE6665"/>
    <w:rsid w:val="00AE6791"/>
    <w:rsid w:val="00AE67B5"/>
    <w:rsid w:val="00AE6834"/>
    <w:rsid w:val="00AE6B02"/>
    <w:rsid w:val="00AE6C79"/>
    <w:rsid w:val="00AE6E41"/>
    <w:rsid w:val="00AE7052"/>
    <w:rsid w:val="00AE70BB"/>
    <w:rsid w:val="00AE742E"/>
    <w:rsid w:val="00AE74B9"/>
    <w:rsid w:val="00AE74F8"/>
    <w:rsid w:val="00AE77DA"/>
    <w:rsid w:val="00AE7836"/>
    <w:rsid w:val="00AE7881"/>
    <w:rsid w:val="00AE7995"/>
    <w:rsid w:val="00AE7A70"/>
    <w:rsid w:val="00AE7B26"/>
    <w:rsid w:val="00AE7DBE"/>
    <w:rsid w:val="00AE7EB4"/>
    <w:rsid w:val="00AE7FAC"/>
    <w:rsid w:val="00AF00AB"/>
    <w:rsid w:val="00AF04F0"/>
    <w:rsid w:val="00AF0586"/>
    <w:rsid w:val="00AF05B5"/>
    <w:rsid w:val="00AF05C8"/>
    <w:rsid w:val="00AF0614"/>
    <w:rsid w:val="00AF0832"/>
    <w:rsid w:val="00AF0898"/>
    <w:rsid w:val="00AF0900"/>
    <w:rsid w:val="00AF0994"/>
    <w:rsid w:val="00AF09D0"/>
    <w:rsid w:val="00AF09E5"/>
    <w:rsid w:val="00AF0A35"/>
    <w:rsid w:val="00AF0C19"/>
    <w:rsid w:val="00AF0D70"/>
    <w:rsid w:val="00AF0EE9"/>
    <w:rsid w:val="00AF0EF2"/>
    <w:rsid w:val="00AF0F72"/>
    <w:rsid w:val="00AF0FAB"/>
    <w:rsid w:val="00AF1080"/>
    <w:rsid w:val="00AF111B"/>
    <w:rsid w:val="00AF1141"/>
    <w:rsid w:val="00AF1223"/>
    <w:rsid w:val="00AF1366"/>
    <w:rsid w:val="00AF1396"/>
    <w:rsid w:val="00AF164B"/>
    <w:rsid w:val="00AF186B"/>
    <w:rsid w:val="00AF18B4"/>
    <w:rsid w:val="00AF1BED"/>
    <w:rsid w:val="00AF1C03"/>
    <w:rsid w:val="00AF1E02"/>
    <w:rsid w:val="00AF1EE7"/>
    <w:rsid w:val="00AF1FA8"/>
    <w:rsid w:val="00AF20FF"/>
    <w:rsid w:val="00AF21E4"/>
    <w:rsid w:val="00AF23E6"/>
    <w:rsid w:val="00AF2458"/>
    <w:rsid w:val="00AF2463"/>
    <w:rsid w:val="00AF26DD"/>
    <w:rsid w:val="00AF29D3"/>
    <w:rsid w:val="00AF2AF8"/>
    <w:rsid w:val="00AF2D6B"/>
    <w:rsid w:val="00AF2FE9"/>
    <w:rsid w:val="00AF32E1"/>
    <w:rsid w:val="00AF363C"/>
    <w:rsid w:val="00AF368D"/>
    <w:rsid w:val="00AF3A51"/>
    <w:rsid w:val="00AF3B65"/>
    <w:rsid w:val="00AF3C54"/>
    <w:rsid w:val="00AF3CBB"/>
    <w:rsid w:val="00AF4150"/>
    <w:rsid w:val="00AF432A"/>
    <w:rsid w:val="00AF4620"/>
    <w:rsid w:val="00AF4881"/>
    <w:rsid w:val="00AF494F"/>
    <w:rsid w:val="00AF4AA8"/>
    <w:rsid w:val="00AF4BB3"/>
    <w:rsid w:val="00AF4FE1"/>
    <w:rsid w:val="00AF4FFF"/>
    <w:rsid w:val="00AF5175"/>
    <w:rsid w:val="00AF5277"/>
    <w:rsid w:val="00AF5282"/>
    <w:rsid w:val="00AF55A9"/>
    <w:rsid w:val="00AF55FE"/>
    <w:rsid w:val="00AF5940"/>
    <w:rsid w:val="00AF5A5A"/>
    <w:rsid w:val="00AF5DE3"/>
    <w:rsid w:val="00AF5E8C"/>
    <w:rsid w:val="00AF5EB0"/>
    <w:rsid w:val="00AF5EB2"/>
    <w:rsid w:val="00AF6354"/>
    <w:rsid w:val="00AF635D"/>
    <w:rsid w:val="00AF6382"/>
    <w:rsid w:val="00AF65CF"/>
    <w:rsid w:val="00AF66FB"/>
    <w:rsid w:val="00AF67F4"/>
    <w:rsid w:val="00AF6881"/>
    <w:rsid w:val="00AF69B0"/>
    <w:rsid w:val="00AF6AE2"/>
    <w:rsid w:val="00AF6C97"/>
    <w:rsid w:val="00AF6E30"/>
    <w:rsid w:val="00AF6F3B"/>
    <w:rsid w:val="00AF707E"/>
    <w:rsid w:val="00AF71CD"/>
    <w:rsid w:val="00AF71D9"/>
    <w:rsid w:val="00AF7216"/>
    <w:rsid w:val="00AF726C"/>
    <w:rsid w:val="00AF757A"/>
    <w:rsid w:val="00AF75F1"/>
    <w:rsid w:val="00AF7A3B"/>
    <w:rsid w:val="00AF7A50"/>
    <w:rsid w:val="00AF7B70"/>
    <w:rsid w:val="00AF7C33"/>
    <w:rsid w:val="00AF7DD9"/>
    <w:rsid w:val="00AF7DDB"/>
    <w:rsid w:val="00AF7E1B"/>
    <w:rsid w:val="00AF7F99"/>
    <w:rsid w:val="00AFA2FD"/>
    <w:rsid w:val="00B00267"/>
    <w:rsid w:val="00B002FA"/>
    <w:rsid w:val="00B003D2"/>
    <w:rsid w:val="00B003DA"/>
    <w:rsid w:val="00B0069C"/>
    <w:rsid w:val="00B006DD"/>
    <w:rsid w:val="00B00E78"/>
    <w:rsid w:val="00B01130"/>
    <w:rsid w:val="00B01303"/>
    <w:rsid w:val="00B0137D"/>
    <w:rsid w:val="00B014AA"/>
    <w:rsid w:val="00B01582"/>
    <w:rsid w:val="00B01640"/>
    <w:rsid w:val="00B01689"/>
    <w:rsid w:val="00B01743"/>
    <w:rsid w:val="00B0195C"/>
    <w:rsid w:val="00B019BC"/>
    <w:rsid w:val="00B019E0"/>
    <w:rsid w:val="00B01AC5"/>
    <w:rsid w:val="00B01F80"/>
    <w:rsid w:val="00B02242"/>
    <w:rsid w:val="00B025E0"/>
    <w:rsid w:val="00B02934"/>
    <w:rsid w:val="00B02C0B"/>
    <w:rsid w:val="00B02C4F"/>
    <w:rsid w:val="00B02DB2"/>
    <w:rsid w:val="00B02F39"/>
    <w:rsid w:val="00B02FDA"/>
    <w:rsid w:val="00B030E8"/>
    <w:rsid w:val="00B0314C"/>
    <w:rsid w:val="00B032C6"/>
    <w:rsid w:val="00B0353D"/>
    <w:rsid w:val="00B0362B"/>
    <w:rsid w:val="00B036F0"/>
    <w:rsid w:val="00B03769"/>
    <w:rsid w:val="00B037B2"/>
    <w:rsid w:val="00B038F6"/>
    <w:rsid w:val="00B03A36"/>
    <w:rsid w:val="00B03A72"/>
    <w:rsid w:val="00B03B49"/>
    <w:rsid w:val="00B03ED9"/>
    <w:rsid w:val="00B03F7C"/>
    <w:rsid w:val="00B04066"/>
    <w:rsid w:val="00B04441"/>
    <w:rsid w:val="00B04472"/>
    <w:rsid w:val="00B0449B"/>
    <w:rsid w:val="00B044C7"/>
    <w:rsid w:val="00B04533"/>
    <w:rsid w:val="00B045C3"/>
    <w:rsid w:val="00B04629"/>
    <w:rsid w:val="00B049CE"/>
    <w:rsid w:val="00B04A93"/>
    <w:rsid w:val="00B04B61"/>
    <w:rsid w:val="00B04CCC"/>
    <w:rsid w:val="00B04D49"/>
    <w:rsid w:val="00B04EC2"/>
    <w:rsid w:val="00B0544D"/>
    <w:rsid w:val="00B0560F"/>
    <w:rsid w:val="00B0569B"/>
    <w:rsid w:val="00B056DD"/>
    <w:rsid w:val="00B056E6"/>
    <w:rsid w:val="00B057A2"/>
    <w:rsid w:val="00B057DE"/>
    <w:rsid w:val="00B059CA"/>
    <w:rsid w:val="00B05C54"/>
    <w:rsid w:val="00B05C9D"/>
    <w:rsid w:val="00B05D1A"/>
    <w:rsid w:val="00B0618A"/>
    <w:rsid w:val="00B0624D"/>
    <w:rsid w:val="00B06331"/>
    <w:rsid w:val="00B064A6"/>
    <w:rsid w:val="00B065C0"/>
    <w:rsid w:val="00B06712"/>
    <w:rsid w:val="00B06744"/>
    <w:rsid w:val="00B06803"/>
    <w:rsid w:val="00B068BB"/>
    <w:rsid w:val="00B06935"/>
    <w:rsid w:val="00B069A4"/>
    <w:rsid w:val="00B06AC9"/>
    <w:rsid w:val="00B06D27"/>
    <w:rsid w:val="00B06F0B"/>
    <w:rsid w:val="00B07001"/>
    <w:rsid w:val="00B07154"/>
    <w:rsid w:val="00B0768E"/>
    <w:rsid w:val="00B0769C"/>
    <w:rsid w:val="00B077FC"/>
    <w:rsid w:val="00B07BBD"/>
    <w:rsid w:val="00B07CCE"/>
    <w:rsid w:val="00B07D7E"/>
    <w:rsid w:val="00B1002B"/>
    <w:rsid w:val="00B100AA"/>
    <w:rsid w:val="00B10158"/>
    <w:rsid w:val="00B10430"/>
    <w:rsid w:val="00B104FA"/>
    <w:rsid w:val="00B105F8"/>
    <w:rsid w:val="00B106F4"/>
    <w:rsid w:val="00B108DB"/>
    <w:rsid w:val="00B10980"/>
    <w:rsid w:val="00B10A49"/>
    <w:rsid w:val="00B10B52"/>
    <w:rsid w:val="00B10C0B"/>
    <w:rsid w:val="00B10C4B"/>
    <w:rsid w:val="00B10FF5"/>
    <w:rsid w:val="00B114BC"/>
    <w:rsid w:val="00B114FC"/>
    <w:rsid w:val="00B1162D"/>
    <w:rsid w:val="00B116A1"/>
    <w:rsid w:val="00B11705"/>
    <w:rsid w:val="00B11852"/>
    <w:rsid w:val="00B1187E"/>
    <w:rsid w:val="00B118A0"/>
    <w:rsid w:val="00B118D2"/>
    <w:rsid w:val="00B119F2"/>
    <w:rsid w:val="00B11B85"/>
    <w:rsid w:val="00B11CEC"/>
    <w:rsid w:val="00B11FE7"/>
    <w:rsid w:val="00B12054"/>
    <w:rsid w:val="00B1212D"/>
    <w:rsid w:val="00B1213C"/>
    <w:rsid w:val="00B122C6"/>
    <w:rsid w:val="00B124C1"/>
    <w:rsid w:val="00B12670"/>
    <w:rsid w:val="00B12A49"/>
    <w:rsid w:val="00B12B9A"/>
    <w:rsid w:val="00B12E6E"/>
    <w:rsid w:val="00B12F2C"/>
    <w:rsid w:val="00B13035"/>
    <w:rsid w:val="00B130FA"/>
    <w:rsid w:val="00B13182"/>
    <w:rsid w:val="00B132D1"/>
    <w:rsid w:val="00B13535"/>
    <w:rsid w:val="00B138CD"/>
    <w:rsid w:val="00B13B9D"/>
    <w:rsid w:val="00B13BE1"/>
    <w:rsid w:val="00B13C38"/>
    <w:rsid w:val="00B13EC4"/>
    <w:rsid w:val="00B13EDE"/>
    <w:rsid w:val="00B13FAB"/>
    <w:rsid w:val="00B143E9"/>
    <w:rsid w:val="00B1479A"/>
    <w:rsid w:val="00B1491A"/>
    <w:rsid w:val="00B14A3A"/>
    <w:rsid w:val="00B14A59"/>
    <w:rsid w:val="00B14CAE"/>
    <w:rsid w:val="00B14E27"/>
    <w:rsid w:val="00B15201"/>
    <w:rsid w:val="00B1526B"/>
    <w:rsid w:val="00B152D8"/>
    <w:rsid w:val="00B154F8"/>
    <w:rsid w:val="00B1550D"/>
    <w:rsid w:val="00B15828"/>
    <w:rsid w:val="00B15A10"/>
    <w:rsid w:val="00B15B45"/>
    <w:rsid w:val="00B15B7A"/>
    <w:rsid w:val="00B15CF1"/>
    <w:rsid w:val="00B15EF1"/>
    <w:rsid w:val="00B15FEF"/>
    <w:rsid w:val="00B16060"/>
    <w:rsid w:val="00B164F0"/>
    <w:rsid w:val="00B16590"/>
    <w:rsid w:val="00B16651"/>
    <w:rsid w:val="00B1671F"/>
    <w:rsid w:val="00B16741"/>
    <w:rsid w:val="00B16759"/>
    <w:rsid w:val="00B16A46"/>
    <w:rsid w:val="00B16A56"/>
    <w:rsid w:val="00B16B1E"/>
    <w:rsid w:val="00B16DEE"/>
    <w:rsid w:val="00B16E05"/>
    <w:rsid w:val="00B16E5F"/>
    <w:rsid w:val="00B17071"/>
    <w:rsid w:val="00B17139"/>
    <w:rsid w:val="00B172C0"/>
    <w:rsid w:val="00B17631"/>
    <w:rsid w:val="00B17ADB"/>
    <w:rsid w:val="00B17D54"/>
    <w:rsid w:val="00B17FCB"/>
    <w:rsid w:val="00B20061"/>
    <w:rsid w:val="00B20201"/>
    <w:rsid w:val="00B20887"/>
    <w:rsid w:val="00B208AF"/>
    <w:rsid w:val="00B209ED"/>
    <w:rsid w:val="00B20A72"/>
    <w:rsid w:val="00B20AD3"/>
    <w:rsid w:val="00B20B27"/>
    <w:rsid w:val="00B20C4A"/>
    <w:rsid w:val="00B20D51"/>
    <w:rsid w:val="00B20E79"/>
    <w:rsid w:val="00B20E84"/>
    <w:rsid w:val="00B210CD"/>
    <w:rsid w:val="00B210E7"/>
    <w:rsid w:val="00B21132"/>
    <w:rsid w:val="00B21377"/>
    <w:rsid w:val="00B21395"/>
    <w:rsid w:val="00B21508"/>
    <w:rsid w:val="00B21734"/>
    <w:rsid w:val="00B21821"/>
    <w:rsid w:val="00B21900"/>
    <w:rsid w:val="00B21A37"/>
    <w:rsid w:val="00B21B90"/>
    <w:rsid w:val="00B21BE8"/>
    <w:rsid w:val="00B21C5B"/>
    <w:rsid w:val="00B21DCE"/>
    <w:rsid w:val="00B221D0"/>
    <w:rsid w:val="00B224D3"/>
    <w:rsid w:val="00B224F1"/>
    <w:rsid w:val="00B225A7"/>
    <w:rsid w:val="00B22602"/>
    <w:rsid w:val="00B22759"/>
    <w:rsid w:val="00B22D15"/>
    <w:rsid w:val="00B22DE9"/>
    <w:rsid w:val="00B22F62"/>
    <w:rsid w:val="00B231AB"/>
    <w:rsid w:val="00B23321"/>
    <w:rsid w:val="00B23477"/>
    <w:rsid w:val="00B23670"/>
    <w:rsid w:val="00B23A50"/>
    <w:rsid w:val="00B23ACC"/>
    <w:rsid w:val="00B23BAD"/>
    <w:rsid w:val="00B23C63"/>
    <w:rsid w:val="00B23D78"/>
    <w:rsid w:val="00B240FB"/>
    <w:rsid w:val="00B24159"/>
    <w:rsid w:val="00B241E3"/>
    <w:rsid w:val="00B24207"/>
    <w:rsid w:val="00B2432E"/>
    <w:rsid w:val="00B24341"/>
    <w:rsid w:val="00B2447D"/>
    <w:rsid w:val="00B24510"/>
    <w:rsid w:val="00B2463F"/>
    <w:rsid w:val="00B2469B"/>
    <w:rsid w:val="00B246B5"/>
    <w:rsid w:val="00B247F0"/>
    <w:rsid w:val="00B24900"/>
    <w:rsid w:val="00B24AF2"/>
    <w:rsid w:val="00B24BFF"/>
    <w:rsid w:val="00B25019"/>
    <w:rsid w:val="00B25090"/>
    <w:rsid w:val="00B2521E"/>
    <w:rsid w:val="00B25509"/>
    <w:rsid w:val="00B255A4"/>
    <w:rsid w:val="00B255FB"/>
    <w:rsid w:val="00B255FF"/>
    <w:rsid w:val="00B2562D"/>
    <w:rsid w:val="00B25868"/>
    <w:rsid w:val="00B258B8"/>
    <w:rsid w:val="00B25AD0"/>
    <w:rsid w:val="00B25B6F"/>
    <w:rsid w:val="00B25BC0"/>
    <w:rsid w:val="00B25DF8"/>
    <w:rsid w:val="00B25E5A"/>
    <w:rsid w:val="00B25FB6"/>
    <w:rsid w:val="00B2609E"/>
    <w:rsid w:val="00B260AB"/>
    <w:rsid w:val="00B260FD"/>
    <w:rsid w:val="00B26161"/>
    <w:rsid w:val="00B262D9"/>
    <w:rsid w:val="00B2645D"/>
    <w:rsid w:val="00B268EC"/>
    <w:rsid w:val="00B2690F"/>
    <w:rsid w:val="00B26976"/>
    <w:rsid w:val="00B26AC3"/>
    <w:rsid w:val="00B26E24"/>
    <w:rsid w:val="00B26E57"/>
    <w:rsid w:val="00B26EF2"/>
    <w:rsid w:val="00B26F17"/>
    <w:rsid w:val="00B26F6D"/>
    <w:rsid w:val="00B270B0"/>
    <w:rsid w:val="00B271A8"/>
    <w:rsid w:val="00B271A9"/>
    <w:rsid w:val="00B27264"/>
    <w:rsid w:val="00B273FB"/>
    <w:rsid w:val="00B274B5"/>
    <w:rsid w:val="00B2752D"/>
    <w:rsid w:val="00B27860"/>
    <w:rsid w:val="00B278CE"/>
    <w:rsid w:val="00B2791C"/>
    <w:rsid w:val="00B27A26"/>
    <w:rsid w:val="00B27A4B"/>
    <w:rsid w:val="00B27CC4"/>
    <w:rsid w:val="00B27E2F"/>
    <w:rsid w:val="00B27E5D"/>
    <w:rsid w:val="00B27F4F"/>
    <w:rsid w:val="00B27F83"/>
    <w:rsid w:val="00B3009F"/>
    <w:rsid w:val="00B30135"/>
    <w:rsid w:val="00B3014A"/>
    <w:rsid w:val="00B301C3"/>
    <w:rsid w:val="00B30453"/>
    <w:rsid w:val="00B3057E"/>
    <w:rsid w:val="00B306FB"/>
    <w:rsid w:val="00B30837"/>
    <w:rsid w:val="00B308E0"/>
    <w:rsid w:val="00B30986"/>
    <w:rsid w:val="00B309FC"/>
    <w:rsid w:val="00B30B74"/>
    <w:rsid w:val="00B30C26"/>
    <w:rsid w:val="00B30E13"/>
    <w:rsid w:val="00B30E14"/>
    <w:rsid w:val="00B30E35"/>
    <w:rsid w:val="00B30E6E"/>
    <w:rsid w:val="00B30F4E"/>
    <w:rsid w:val="00B311D1"/>
    <w:rsid w:val="00B3126F"/>
    <w:rsid w:val="00B312B0"/>
    <w:rsid w:val="00B31554"/>
    <w:rsid w:val="00B3162C"/>
    <w:rsid w:val="00B317C0"/>
    <w:rsid w:val="00B319E4"/>
    <w:rsid w:val="00B31A7A"/>
    <w:rsid w:val="00B31BE7"/>
    <w:rsid w:val="00B31CE5"/>
    <w:rsid w:val="00B31D3E"/>
    <w:rsid w:val="00B31D6A"/>
    <w:rsid w:val="00B31E2D"/>
    <w:rsid w:val="00B31F51"/>
    <w:rsid w:val="00B3203D"/>
    <w:rsid w:val="00B32054"/>
    <w:rsid w:val="00B322E0"/>
    <w:rsid w:val="00B3237D"/>
    <w:rsid w:val="00B323A2"/>
    <w:rsid w:val="00B32586"/>
    <w:rsid w:val="00B32627"/>
    <w:rsid w:val="00B32860"/>
    <w:rsid w:val="00B32B15"/>
    <w:rsid w:val="00B32CDB"/>
    <w:rsid w:val="00B32F24"/>
    <w:rsid w:val="00B33063"/>
    <w:rsid w:val="00B33313"/>
    <w:rsid w:val="00B3341C"/>
    <w:rsid w:val="00B334C7"/>
    <w:rsid w:val="00B334D8"/>
    <w:rsid w:val="00B33674"/>
    <w:rsid w:val="00B33698"/>
    <w:rsid w:val="00B3370C"/>
    <w:rsid w:val="00B339AD"/>
    <w:rsid w:val="00B33A68"/>
    <w:rsid w:val="00B33AD8"/>
    <w:rsid w:val="00B33B07"/>
    <w:rsid w:val="00B33B59"/>
    <w:rsid w:val="00B33DB7"/>
    <w:rsid w:val="00B33E5C"/>
    <w:rsid w:val="00B34069"/>
    <w:rsid w:val="00B340D1"/>
    <w:rsid w:val="00B34196"/>
    <w:rsid w:val="00B34197"/>
    <w:rsid w:val="00B342D4"/>
    <w:rsid w:val="00B34561"/>
    <w:rsid w:val="00B345AC"/>
    <w:rsid w:val="00B346D1"/>
    <w:rsid w:val="00B347FF"/>
    <w:rsid w:val="00B348F2"/>
    <w:rsid w:val="00B34C4E"/>
    <w:rsid w:val="00B34DFF"/>
    <w:rsid w:val="00B34F73"/>
    <w:rsid w:val="00B35124"/>
    <w:rsid w:val="00B35154"/>
    <w:rsid w:val="00B3521C"/>
    <w:rsid w:val="00B353C4"/>
    <w:rsid w:val="00B354C2"/>
    <w:rsid w:val="00B35658"/>
    <w:rsid w:val="00B35680"/>
    <w:rsid w:val="00B356B8"/>
    <w:rsid w:val="00B356D8"/>
    <w:rsid w:val="00B35708"/>
    <w:rsid w:val="00B3575C"/>
    <w:rsid w:val="00B35A11"/>
    <w:rsid w:val="00B35A41"/>
    <w:rsid w:val="00B35BF8"/>
    <w:rsid w:val="00B35C07"/>
    <w:rsid w:val="00B35C3F"/>
    <w:rsid w:val="00B35DDF"/>
    <w:rsid w:val="00B360BC"/>
    <w:rsid w:val="00B3625C"/>
    <w:rsid w:val="00B363FE"/>
    <w:rsid w:val="00B36423"/>
    <w:rsid w:val="00B36784"/>
    <w:rsid w:val="00B368A2"/>
    <w:rsid w:val="00B36A1C"/>
    <w:rsid w:val="00B36B0F"/>
    <w:rsid w:val="00B36CCA"/>
    <w:rsid w:val="00B36DAB"/>
    <w:rsid w:val="00B36EA2"/>
    <w:rsid w:val="00B37191"/>
    <w:rsid w:val="00B3734D"/>
    <w:rsid w:val="00B37B3B"/>
    <w:rsid w:val="00B37BD9"/>
    <w:rsid w:val="00B37BE8"/>
    <w:rsid w:val="00B37CA6"/>
    <w:rsid w:val="00B37CE5"/>
    <w:rsid w:val="00B37FE1"/>
    <w:rsid w:val="00B40112"/>
    <w:rsid w:val="00B40216"/>
    <w:rsid w:val="00B402BA"/>
    <w:rsid w:val="00B40372"/>
    <w:rsid w:val="00B40B4D"/>
    <w:rsid w:val="00B40E91"/>
    <w:rsid w:val="00B40EF2"/>
    <w:rsid w:val="00B4105F"/>
    <w:rsid w:val="00B410D0"/>
    <w:rsid w:val="00B4135A"/>
    <w:rsid w:val="00B41434"/>
    <w:rsid w:val="00B4157E"/>
    <w:rsid w:val="00B41865"/>
    <w:rsid w:val="00B41A64"/>
    <w:rsid w:val="00B41A67"/>
    <w:rsid w:val="00B41B37"/>
    <w:rsid w:val="00B41DDD"/>
    <w:rsid w:val="00B41E01"/>
    <w:rsid w:val="00B4228A"/>
    <w:rsid w:val="00B424D4"/>
    <w:rsid w:val="00B42847"/>
    <w:rsid w:val="00B428E4"/>
    <w:rsid w:val="00B4293B"/>
    <w:rsid w:val="00B42B03"/>
    <w:rsid w:val="00B42BE4"/>
    <w:rsid w:val="00B42C12"/>
    <w:rsid w:val="00B42EF1"/>
    <w:rsid w:val="00B43179"/>
    <w:rsid w:val="00B4324B"/>
    <w:rsid w:val="00B43568"/>
    <w:rsid w:val="00B438B0"/>
    <w:rsid w:val="00B43A61"/>
    <w:rsid w:val="00B43A9E"/>
    <w:rsid w:val="00B43E2D"/>
    <w:rsid w:val="00B43E74"/>
    <w:rsid w:val="00B43F04"/>
    <w:rsid w:val="00B43F1F"/>
    <w:rsid w:val="00B43FE2"/>
    <w:rsid w:val="00B43FF1"/>
    <w:rsid w:val="00B4449C"/>
    <w:rsid w:val="00B444D8"/>
    <w:rsid w:val="00B44578"/>
    <w:rsid w:val="00B44600"/>
    <w:rsid w:val="00B44812"/>
    <w:rsid w:val="00B44AA2"/>
    <w:rsid w:val="00B44AE3"/>
    <w:rsid w:val="00B44B1A"/>
    <w:rsid w:val="00B44F25"/>
    <w:rsid w:val="00B450B0"/>
    <w:rsid w:val="00B4529C"/>
    <w:rsid w:val="00B45379"/>
    <w:rsid w:val="00B456AE"/>
    <w:rsid w:val="00B45720"/>
    <w:rsid w:val="00B45732"/>
    <w:rsid w:val="00B45B6A"/>
    <w:rsid w:val="00B45C29"/>
    <w:rsid w:val="00B45EEC"/>
    <w:rsid w:val="00B46130"/>
    <w:rsid w:val="00B463B1"/>
    <w:rsid w:val="00B464C1"/>
    <w:rsid w:val="00B46684"/>
    <w:rsid w:val="00B46746"/>
    <w:rsid w:val="00B4688E"/>
    <w:rsid w:val="00B468AA"/>
    <w:rsid w:val="00B46987"/>
    <w:rsid w:val="00B46ACC"/>
    <w:rsid w:val="00B46AD3"/>
    <w:rsid w:val="00B46B87"/>
    <w:rsid w:val="00B46CDA"/>
    <w:rsid w:val="00B46FD9"/>
    <w:rsid w:val="00B470A7"/>
    <w:rsid w:val="00B47268"/>
    <w:rsid w:val="00B473FF"/>
    <w:rsid w:val="00B476E9"/>
    <w:rsid w:val="00B47716"/>
    <w:rsid w:val="00B47719"/>
    <w:rsid w:val="00B47785"/>
    <w:rsid w:val="00B47B42"/>
    <w:rsid w:val="00B47C5E"/>
    <w:rsid w:val="00B47C8C"/>
    <w:rsid w:val="00B47D26"/>
    <w:rsid w:val="00B47E63"/>
    <w:rsid w:val="00B47FDE"/>
    <w:rsid w:val="00B47FDF"/>
    <w:rsid w:val="00B5016A"/>
    <w:rsid w:val="00B5072B"/>
    <w:rsid w:val="00B507A2"/>
    <w:rsid w:val="00B50917"/>
    <w:rsid w:val="00B50C9C"/>
    <w:rsid w:val="00B50F9C"/>
    <w:rsid w:val="00B51044"/>
    <w:rsid w:val="00B5112D"/>
    <w:rsid w:val="00B51360"/>
    <w:rsid w:val="00B5139E"/>
    <w:rsid w:val="00B513DF"/>
    <w:rsid w:val="00B515C0"/>
    <w:rsid w:val="00B516BB"/>
    <w:rsid w:val="00B51979"/>
    <w:rsid w:val="00B51A79"/>
    <w:rsid w:val="00B51EA2"/>
    <w:rsid w:val="00B51FA8"/>
    <w:rsid w:val="00B52044"/>
    <w:rsid w:val="00B5212B"/>
    <w:rsid w:val="00B521A4"/>
    <w:rsid w:val="00B521EC"/>
    <w:rsid w:val="00B5244C"/>
    <w:rsid w:val="00B525F3"/>
    <w:rsid w:val="00B5272C"/>
    <w:rsid w:val="00B5277E"/>
    <w:rsid w:val="00B52BC6"/>
    <w:rsid w:val="00B52C34"/>
    <w:rsid w:val="00B52C44"/>
    <w:rsid w:val="00B52C4B"/>
    <w:rsid w:val="00B52C60"/>
    <w:rsid w:val="00B52CDA"/>
    <w:rsid w:val="00B52EE0"/>
    <w:rsid w:val="00B52FC5"/>
    <w:rsid w:val="00B52FE9"/>
    <w:rsid w:val="00B53022"/>
    <w:rsid w:val="00B530E4"/>
    <w:rsid w:val="00B5314C"/>
    <w:rsid w:val="00B53261"/>
    <w:rsid w:val="00B5348B"/>
    <w:rsid w:val="00B53521"/>
    <w:rsid w:val="00B535D8"/>
    <w:rsid w:val="00B53630"/>
    <w:rsid w:val="00B538FF"/>
    <w:rsid w:val="00B53972"/>
    <w:rsid w:val="00B53A01"/>
    <w:rsid w:val="00B53A49"/>
    <w:rsid w:val="00B53DF3"/>
    <w:rsid w:val="00B54083"/>
    <w:rsid w:val="00B542BD"/>
    <w:rsid w:val="00B54301"/>
    <w:rsid w:val="00B543B6"/>
    <w:rsid w:val="00B5452C"/>
    <w:rsid w:val="00B545BE"/>
    <w:rsid w:val="00B545F0"/>
    <w:rsid w:val="00B546B4"/>
    <w:rsid w:val="00B547B5"/>
    <w:rsid w:val="00B54873"/>
    <w:rsid w:val="00B54B39"/>
    <w:rsid w:val="00B54BA8"/>
    <w:rsid w:val="00B54BC2"/>
    <w:rsid w:val="00B54D7C"/>
    <w:rsid w:val="00B54EEA"/>
    <w:rsid w:val="00B5508B"/>
    <w:rsid w:val="00B55132"/>
    <w:rsid w:val="00B5524F"/>
    <w:rsid w:val="00B552DD"/>
    <w:rsid w:val="00B553B0"/>
    <w:rsid w:val="00B55422"/>
    <w:rsid w:val="00B55512"/>
    <w:rsid w:val="00B55585"/>
    <w:rsid w:val="00B55846"/>
    <w:rsid w:val="00B55AEF"/>
    <w:rsid w:val="00B55B8F"/>
    <w:rsid w:val="00B55EE8"/>
    <w:rsid w:val="00B55F0C"/>
    <w:rsid w:val="00B56202"/>
    <w:rsid w:val="00B56265"/>
    <w:rsid w:val="00B56470"/>
    <w:rsid w:val="00B565C6"/>
    <w:rsid w:val="00B5693B"/>
    <w:rsid w:val="00B56C4C"/>
    <w:rsid w:val="00B56D17"/>
    <w:rsid w:val="00B56EF1"/>
    <w:rsid w:val="00B5701E"/>
    <w:rsid w:val="00B5715D"/>
    <w:rsid w:val="00B57289"/>
    <w:rsid w:val="00B57390"/>
    <w:rsid w:val="00B57867"/>
    <w:rsid w:val="00B578CB"/>
    <w:rsid w:val="00B579E0"/>
    <w:rsid w:val="00B57A24"/>
    <w:rsid w:val="00B57ADA"/>
    <w:rsid w:val="00B57BE8"/>
    <w:rsid w:val="00B57E4F"/>
    <w:rsid w:val="00B57F4C"/>
    <w:rsid w:val="00B57FC7"/>
    <w:rsid w:val="00B60035"/>
    <w:rsid w:val="00B600F0"/>
    <w:rsid w:val="00B601B8"/>
    <w:rsid w:val="00B60525"/>
    <w:rsid w:val="00B60732"/>
    <w:rsid w:val="00B607A6"/>
    <w:rsid w:val="00B60803"/>
    <w:rsid w:val="00B608F8"/>
    <w:rsid w:val="00B60996"/>
    <w:rsid w:val="00B60AED"/>
    <w:rsid w:val="00B60D44"/>
    <w:rsid w:val="00B60E51"/>
    <w:rsid w:val="00B60E69"/>
    <w:rsid w:val="00B60EA7"/>
    <w:rsid w:val="00B60F59"/>
    <w:rsid w:val="00B6117E"/>
    <w:rsid w:val="00B615C7"/>
    <w:rsid w:val="00B61642"/>
    <w:rsid w:val="00B616D7"/>
    <w:rsid w:val="00B616F1"/>
    <w:rsid w:val="00B6173C"/>
    <w:rsid w:val="00B61782"/>
    <w:rsid w:val="00B61A05"/>
    <w:rsid w:val="00B61A19"/>
    <w:rsid w:val="00B61A8D"/>
    <w:rsid w:val="00B61BBB"/>
    <w:rsid w:val="00B61D79"/>
    <w:rsid w:val="00B61EFA"/>
    <w:rsid w:val="00B62017"/>
    <w:rsid w:val="00B62190"/>
    <w:rsid w:val="00B6233F"/>
    <w:rsid w:val="00B624BF"/>
    <w:rsid w:val="00B62533"/>
    <w:rsid w:val="00B6255D"/>
    <w:rsid w:val="00B625FF"/>
    <w:rsid w:val="00B626B4"/>
    <w:rsid w:val="00B6288A"/>
    <w:rsid w:val="00B62A3E"/>
    <w:rsid w:val="00B62B00"/>
    <w:rsid w:val="00B62C83"/>
    <w:rsid w:val="00B62D52"/>
    <w:rsid w:val="00B62ED0"/>
    <w:rsid w:val="00B62FB4"/>
    <w:rsid w:val="00B630AF"/>
    <w:rsid w:val="00B63526"/>
    <w:rsid w:val="00B635C7"/>
    <w:rsid w:val="00B6377D"/>
    <w:rsid w:val="00B637C9"/>
    <w:rsid w:val="00B63AA2"/>
    <w:rsid w:val="00B63D5E"/>
    <w:rsid w:val="00B63EAE"/>
    <w:rsid w:val="00B6403A"/>
    <w:rsid w:val="00B641CF"/>
    <w:rsid w:val="00B6420F"/>
    <w:rsid w:val="00B642B5"/>
    <w:rsid w:val="00B64561"/>
    <w:rsid w:val="00B64580"/>
    <w:rsid w:val="00B64655"/>
    <w:rsid w:val="00B64716"/>
    <w:rsid w:val="00B647A8"/>
    <w:rsid w:val="00B6488D"/>
    <w:rsid w:val="00B64A36"/>
    <w:rsid w:val="00B64CAE"/>
    <w:rsid w:val="00B64E76"/>
    <w:rsid w:val="00B64E89"/>
    <w:rsid w:val="00B656E3"/>
    <w:rsid w:val="00B657E0"/>
    <w:rsid w:val="00B658C0"/>
    <w:rsid w:val="00B65907"/>
    <w:rsid w:val="00B65B3C"/>
    <w:rsid w:val="00B65B68"/>
    <w:rsid w:val="00B65D36"/>
    <w:rsid w:val="00B66059"/>
    <w:rsid w:val="00B66163"/>
    <w:rsid w:val="00B66444"/>
    <w:rsid w:val="00B665B7"/>
    <w:rsid w:val="00B6665D"/>
    <w:rsid w:val="00B66918"/>
    <w:rsid w:val="00B66A43"/>
    <w:rsid w:val="00B66B3C"/>
    <w:rsid w:val="00B66E58"/>
    <w:rsid w:val="00B66EAA"/>
    <w:rsid w:val="00B66EAC"/>
    <w:rsid w:val="00B66EC3"/>
    <w:rsid w:val="00B66FB2"/>
    <w:rsid w:val="00B66FC5"/>
    <w:rsid w:val="00B67457"/>
    <w:rsid w:val="00B6798B"/>
    <w:rsid w:val="00B679AB"/>
    <w:rsid w:val="00B67B72"/>
    <w:rsid w:val="00B67BCD"/>
    <w:rsid w:val="00B67CBC"/>
    <w:rsid w:val="00B67CDB"/>
    <w:rsid w:val="00B67E0C"/>
    <w:rsid w:val="00B67F5E"/>
    <w:rsid w:val="00B67FC0"/>
    <w:rsid w:val="00B702A4"/>
    <w:rsid w:val="00B70343"/>
    <w:rsid w:val="00B704A0"/>
    <w:rsid w:val="00B7089C"/>
    <w:rsid w:val="00B708D9"/>
    <w:rsid w:val="00B70C10"/>
    <w:rsid w:val="00B70CFD"/>
    <w:rsid w:val="00B710FB"/>
    <w:rsid w:val="00B7119E"/>
    <w:rsid w:val="00B71230"/>
    <w:rsid w:val="00B7129A"/>
    <w:rsid w:val="00B712AE"/>
    <w:rsid w:val="00B712CF"/>
    <w:rsid w:val="00B7149A"/>
    <w:rsid w:val="00B716AC"/>
    <w:rsid w:val="00B716C6"/>
    <w:rsid w:val="00B71929"/>
    <w:rsid w:val="00B71AA6"/>
    <w:rsid w:val="00B71CDF"/>
    <w:rsid w:val="00B71E5A"/>
    <w:rsid w:val="00B71E5F"/>
    <w:rsid w:val="00B71FFF"/>
    <w:rsid w:val="00B720E0"/>
    <w:rsid w:val="00B7210F"/>
    <w:rsid w:val="00B72158"/>
    <w:rsid w:val="00B72198"/>
    <w:rsid w:val="00B7229B"/>
    <w:rsid w:val="00B7252F"/>
    <w:rsid w:val="00B7271F"/>
    <w:rsid w:val="00B72964"/>
    <w:rsid w:val="00B72983"/>
    <w:rsid w:val="00B72A32"/>
    <w:rsid w:val="00B72B58"/>
    <w:rsid w:val="00B72B97"/>
    <w:rsid w:val="00B72CB1"/>
    <w:rsid w:val="00B72ECC"/>
    <w:rsid w:val="00B73186"/>
    <w:rsid w:val="00B73344"/>
    <w:rsid w:val="00B73497"/>
    <w:rsid w:val="00B734CB"/>
    <w:rsid w:val="00B735D2"/>
    <w:rsid w:val="00B73B58"/>
    <w:rsid w:val="00B73C51"/>
    <w:rsid w:val="00B73C69"/>
    <w:rsid w:val="00B73C87"/>
    <w:rsid w:val="00B73CE1"/>
    <w:rsid w:val="00B73DE5"/>
    <w:rsid w:val="00B73E1C"/>
    <w:rsid w:val="00B73EDA"/>
    <w:rsid w:val="00B73EDB"/>
    <w:rsid w:val="00B740FF"/>
    <w:rsid w:val="00B7424E"/>
    <w:rsid w:val="00B742DC"/>
    <w:rsid w:val="00B743F3"/>
    <w:rsid w:val="00B74416"/>
    <w:rsid w:val="00B74425"/>
    <w:rsid w:val="00B744DE"/>
    <w:rsid w:val="00B7451B"/>
    <w:rsid w:val="00B74791"/>
    <w:rsid w:val="00B74964"/>
    <w:rsid w:val="00B74A2C"/>
    <w:rsid w:val="00B74B6A"/>
    <w:rsid w:val="00B74C0E"/>
    <w:rsid w:val="00B74C33"/>
    <w:rsid w:val="00B74C4C"/>
    <w:rsid w:val="00B74E67"/>
    <w:rsid w:val="00B750BC"/>
    <w:rsid w:val="00B750EA"/>
    <w:rsid w:val="00B75160"/>
    <w:rsid w:val="00B7556F"/>
    <w:rsid w:val="00B756E1"/>
    <w:rsid w:val="00B75740"/>
    <w:rsid w:val="00B75D99"/>
    <w:rsid w:val="00B75E7E"/>
    <w:rsid w:val="00B7606E"/>
    <w:rsid w:val="00B76399"/>
    <w:rsid w:val="00B76431"/>
    <w:rsid w:val="00B764C4"/>
    <w:rsid w:val="00B7654D"/>
    <w:rsid w:val="00B765EA"/>
    <w:rsid w:val="00B76804"/>
    <w:rsid w:val="00B76A55"/>
    <w:rsid w:val="00B76DB1"/>
    <w:rsid w:val="00B77099"/>
    <w:rsid w:val="00B77308"/>
    <w:rsid w:val="00B77487"/>
    <w:rsid w:val="00B7758E"/>
    <w:rsid w:val="00B775D5"/>
    <w:rsid w:val="00B77852"/>
    <w:rsid w:val="00B778A5"/>
    <w:rsid w:val="00B779D0"/>
    <w:rsid w:val="00B77F24"/>
    <w:rsid w:val="00B8003D"/>
    <w:rsid w:val="00B80235"/>
    <w:rsid w:val="00B804C0"/>
    <w:rsid w:val="00B804F7"/>
    <w:rsid w:val="00B805CC"/>
    <w:rsid w:val="00B8069E"/>
    <w:rsid w:val="00B80A22"/>
    <w:rsid w:val="00B80D9F"/>
    <w:rsid w:val="00B80DFE"/>
    <w:rsid w:val="00B80E25"/>
    <w:rsid w:val="00B80F64"/>
    <w:rsid w:val="00B81131"/>
    <w:rsid w:val="00B81204"/>
    <w:rsid w:val="00B814AA"/>
    <w:rsid w:val="00B814FF"/>
    <w:rsid w:val="00B81536"/>
    <w:rsid w:val="00B81644"/>
    <w:rsid w:val="00B8164A"/>
    <w:rsid w:val="00B816B4"/>
    <w:rsid w:val="00B816E4"/>
    <w:rsid w:val="00B81731"/>
    <w:rsid w:val="00B8178A"/>
    <w:rsid w:val="00B81931"/>
    <w:rsid w:val="00B81BB3"/>
    <w:rsid w:val="00B81D4E"/>
    <w:rsid w:val="00B81DE1"/>
    <w:rsid w:val="00B81EB6"/>
    <w:rsid w:val="00B82015"/>
    <w:rsid w:val="00B820CC"/>
    <w:rsid w:val="00B82314"/>
    <w:rsid w:val="00B823F8"/>
    <w:rsid w:val="00B8255F"/>
    <w:rsid w:val="00B8273C"/>
    <w:rsid w:val="00B8290C"/>
    <w:rsid w:val="00B82A72"/>
    <w:rsid w:val="00B82AA8"/>
    <w:rsid w:val="00B82B58"/>
    <w:rsid w:val="00B82D30"/>
    <w:rsid w:val="00B82DA2"/>
    <w:rsid w:val="00B830B9"/>
    <w:rsid w:val="00B830EF"/>
    <w:rsid w:val="00B83178"/>
    <w:rsid w:val="00B834FF"/>
    <w:rsid w:val="00B83DE7"/>
    <w:rsid w:val="00B83E74"/>
    <w:rsid w:val="00B83E98"/>
    <w:rsid w:val="00B83EA6"/>
    <w:rsid w:val="00B840EA"/>
    <w:rsid w:val="00B8427B"/>
    <w:rsid w:val="00B843C3"/>
    <w:rsid w:val="00B84426"/>
    <w:rsid w:val="00B8444F"/>
    <w:rsid w:val="00B8445F"/>
    <w:rsid w:val="00B84735"/>
    <w:rsid w:val="00B847FE"/>
    <w:rsid w:val="00B848C1"/>
    <w:rsid w:val="00B8491F"/>
    <w:rsid w:val="00B84B44"/>
    <w:rsid w:val="00B84CF8"/>
    <w:rsid w:val="00B84EA8"/>
    <w:rsid w:val="00B84F86"/>
    <w:rsid w:val="00B8569E"/>
    <w:rsid w:val="00B8573A"/>
    <w:rsid w:val="00B85871"/>
    <w:rsid w:val="00B858D5"/>
    <w:rsid w:val="00B85BB9"/>
    <w:rsid w:val="00B85ED4"/>
    <w:rsid w:val="00B86000"/>
    <w:rsid w:val="00B8609C"/>
    <w:rsid w:val="00B861AF"/>
    <w:rsid w:val="00B8633B"/>
    <w:rsid w:val="00B86414"/>
    <w:rsid w:val="00B867AF"/>
    <w:rsid w:val="00B8685C"/>
    <w:rsid w:val="00B8691F"/>
    <w:rsid w:val="00B8692C"/>
    <w:rsid w:val="00B869D4"/>
    <w:rsid w:val="00B86B01"/>
    <w:rsid w:val="00B86B56"/>
    <w:rsid w:val="00B86D7A"/>
    <w:rsid w:val="00B86EBE"/>
    <w:rsid w:val="00B86F94"/>
    <w:rsid w:val="00B870FF"/>
    <w:rsid w:val="00B87147"/>
    <w:rsid w:val="00B8716A"/>
    <w:rsid w:val="00B87223"/>
    <w:rsid w:val="00B872BB"/>
    <w:rsid w:val="00B873F3"/>
    <w:rsid w:val="00B8741C"/>
    <w:rsid w:val="00B87587"/>
    <w:rsid w:val="00B8764F"/>
    <w:rsid w:val="00B87798"/>
    <w:rsid w:val="00B87B34"/>
    <w:rsid w:val="00B87C25"/>
    <w:rsid w:val="00B87E48"/>
    <w:rsid w:val="00B87F49"/>
    <w:rsid w:val="00B87FF2"/>
    <w:rsid w:val="00B90015"/>
    <w:rsid w:val="00B90243"/>
    <w:rsid w:val="00B902E5"/>
    <w:rsid w:val="00B90347"/>
    <w:rsid w:val="00B903A8"/>
    <w:rsid w:val="00B90518"/>
    <w:rsid w:val="00B908D6"/>
    <w:rsid w:val="00B9095D"/>
    <w:rsid w:val="00B9096F"/>
    <w:rsid w:val="00B90998"/>
    <w:rsid w:val="00B90AAC"/>
    <w:rsid w:val="00B90B91"/>
    <w:rsid w:val="00B90CD7"/>
    <w:rsid w:val="00B90F70"/>
    <w:rsid w:val="00B91047"/>
    <w:rsid w:val="00B91199"/>
    <w:rsid w:val="00B9129B"/>
    <w:rsid w:val="00B912BB"/>
    <w:rsid w:val="00B914B9"/>
    <w:rsid w:val="00B91525"/>
    <w:rsid w:val="00B9155C"/>
    <w:rsid w:val="00B915C0"/>
    <w:rsid w:val="00B91818"/>
    <w:rsid w:val="00B9187F"/>
    <w:rsid w:val="00B91910"/>
    <w:rsid w:val="00B91B05"/>
    <w:rsid w:val="00B91C5B"/>
    <w:rsid w:val="00B91D04"/>
    <w:rsid w:val="00B91DF5"/>
    <w:rsid w:val="00B91E8D"/>
    <w:rsid w:val="00B91EE2"/>
    <w:rsid w:val="00B91FDA"/>
    <w:rsid w:val="00B92006"/>
    <w:rsid w:val="00B920AA"/>
    <w:rsid w:val="00B9213D"/>
    <w:rsid w:val="00B922AB"/>
    <w:rsid w:val="00B92394"/>
    <w:rsid w:val="00B923B1"/>
    <w:rsid w:val="00B92443"/>
    <w:rsid w:val="00B9252D"/>
    <w:rsid w:val="00B925BE"/>
    <w:rsid w:val="00B92627"/>
    <w:rsid w:val="00B9262D"/>
    <w:rsid w:val="00B926DA"/>
    <w:rsid w:val="00B92844"/>
    <w:rsid w:val="00B92A6E"/>
    <w:rsid w:val="00B92A9D"/>
    <w:rsid w:val="00B92AA6"/>
    <w:rsid w:val="00B92D1A"/>
    <w:rsid w:val="00B92D6F"/>
    <w:rsid w:val="00B92E8B"/>
    <w:rsid w:val="00B92F28"/>
    <w:rsid w:val="00B9349A"/>
    <w:rsid w:val="00B9384D"/>
    <w:rsid w:val="00B93B6B"/>
    <w:rsid w:val="00B93BC5"/>
    <w:rsid w:val="00B93E1E"/>
    <w:rsid w:val="00B93FC4"/>
    <w:rsid w:val="00B9408D"/>
    <w:rsid w:val="00B9430D"/>
    <w:rsid w:val="00B947C1"/>
    <w:rsid w:val="00B9480F"/>
    <w:rsid w:val="00B94E4A"/>
    <w:rsid w:val="00B94FCE"/>
    <w:rsid w:val="00B950C8"/>
    <w:rsid w:val="00B95168"/>
    <w:rsid w:val="00B95267"/>
    <w:rsid w:val="00B95773"/>
    <w:rsid w:val="00B957A0"/>
    <w:rsid w:val="00B957C5"/>
    <w:rsid w:val="00B958AC"/>
    <w:rsid w:val="00B95C6A"/>
    <w:rsid w:val="00B95D5A"/>
    <w:rsid w:val="00B95DC2"/>
    <w:rsid w:val="00B95E21"/>
    <w:rsid w:val="00B95F11"/>
    <w:rsid w:val="00B9602A"/>
    <w:rsid w:val="00B96275"/>
    <w:rsid w:val="00B962F3"/>
    <w:rsid w:val="00B96592"/>
    <w:rsid w:val="00B965A2"/>
    <w:rsid w:val="00B9680C"/>
    <w:rsid w:val="00B96871"/>
    <w:rsid w:val="00B96899"/>
    <w:rsid w:val="00B96B66"/>
    <w:rsid w:val="00B96E3E"/>
    <w:rsid w:val="00B96EB2"/>
    <w:rsid w:val="00B96F40"/>
    <w:rsid w:val="00B970A5"/>
    <w:rsid w:val="00B97396"/>
    <w:rsid w:val="00B97CF0"/>
    <w:rsid w:val="00B97DDA"/>
    <w:rsid w:val="00B97E65"/>
    <w:rsid w:val="00B97EAB"/>
    <w:rsid w:val="00B97FEF"/>
    <w:rsid w:val="00BA0212"/>
    <w:rsid w:val="00BA02CF"/>
    <w:rsid w:val="00BA0362"/>
    <w:rsid w:val="00BA042B"/>
    <w:rsid w:val="00BA0436"/>
    <w:rsid w:val="00BA0444"/>
    <w:rsid w:val="00BA0564"/>
    <w:rsid w:val="00BA05B2"/>
    <w:rsid w:val="00BA05E4"/>
    <w:rsid w:val="00BA05FD"/>
    <w:rsid w:val="00BA06B3"/>
    <w:rsid w:val="00BA06BF"/>
    <w:rsid w:val="00BA07B7"/>
    <w:rsid w:val="00BA0B6D"/>
    <w:rsid w:val="00BA0C25"/>
    <w:rsid w:val="00BA1062"/>
    <w:rsid w:val="00BA1081"/>
    <w:rsid w:val="00BA10DD"/>
    <w:rsid w:val="00BA10FF"/>
    <w:rsid w:val="00BA120E"/>
    <w:rsid w:val="00BA1214"/>
    <w:rsid w:val="00BA1414"/>
    <w:rsid w:val="00BA1505"/>
    <w:rsid w:val="00BA162E"/>
    <w:rsid w:val="00BA181E"/>
    <w:rsid w:val="00BA1A20"/>
    <w:rsid w:val="00BA1B5E"/>
    <w:rsid w:val="00BA1C1A"/>
    <w:rsid w:val="00BA1CFD"/>
    <w:rsid w:val="00BA1E22"/>
    <w:rsid w:val="00BA2049"/>
    <w:rsid w:val="00BA24AE"/>
    <w:rsid w:val="00BA2517"/>
    <w:rsid w:val="00BA259B"/>
    <w:rsid w:val="00BA25C5"/>
    <w:rsid w:val="00BA26B0"/>
    <w:rsid w:val="00BA2829"/>
    <w:rsid w:val="00BA2868"/>
    <w:rsid w:val="00BA28A7"/>
    <w:rsid w:val="00BA28A9"/>
    <w:rsid w:val="00BA29F7"/>
    <w:rsid w:val="00BA2A6B"/>
    <w:rsid w:val="00BA2B88"/>
    <w:rsid w:val="00BA2B8F"/>
    <w:rsid w:val="00BA2BF5"/>
    <w:rsid w:val="00BA2D75"/>
    <w:rsid w:val="00BA2D7B"/>
    <w:rsid w:val="00BA2F2E"/>
    <w:rsid w:val="00BA2F83"/>
    <w:rsid w:val="00BA3972"/>
    <w:rsid w:val="00BA399E"/>
    <w:rsid w:val="00BA3C7A"/>
    <w:rsid w:val="00BA3E55"/>
    <w:rsid w:val="00BA3E77"/>
    <w:rsid w:val="00BA3EA9"/>
    <w:rsid w:val="00BA3EFE"/>
    <w:rsid w:val="00BA3FAE"/>
    <w:rsid w:val="00BA401D"/>
    <w:rsid w:val="00BA4192"/>
    <w:rsid w:val="00BA4673"/>
    <w:rsid w:val="00BA4C58"/>
    <w:rsid w:val="00BA4CC7"/>
    <w:rsid w:val="00BA4CFF"/>
    <w:rsid w:val="00BA4E91"/>
    <w:rsid w:val="00BA4F7D"/>
    <w:rsid w:val="00BA5056"/>
    <w:rsid w:val="00BA5142"/>
    <w:rsid w:val="00BA522D"/>
    <w:rsid w:val="00BA5267"/>
    <w:rsid w:val="00BA537D"/>
    <w:rsid w:val="00BA5454"/>
    <w:rsid w:val="00BA5599"/>
    <w:rsid w:val="00BA55A2"/>
    <w:rsid w:val="00BA576A"/>
    <w:rsid w:val="00BA5798"/>
    <w:rsid w:val="00BA57E5"/>
    <w:rsid w:val="00BA5851"/>
    <w:rsid w:val="00BA5A5E"/>
    <w:rsid w:val="00BA5AB8"/>
    <w:rsid w:val="00BA5B18"/>
    <w:rsid w:val="00BA5C64"/>
    <w:rsid w:val="00BA5C69"/>
    <w:rsid w:val="00BA5ECB"/>
    <w:rsid w:val="00BA6030"/>
    <w:rsid w:val="00BA63C2"/>
    <w:rsid w:val="00BA679C"/>
    <w:rsid w:val="00BA67B7"/>
    <w:rsid w:val="00BA67FA"/>
    <w:rsid w:val="00BA68FB"/>
    <w:rsid w:val="00BA691D"/>
    <w:rsid w:val="00BA6950"/>
    <w:rsid w:val="00BA69E5"/>
    <w:rsid w:val="00BA69FA"/>
    <w:rsid w:val="00BA6A03"/>
    <w:rsid w:val="00BA6A08"/>
    <w:rsid w:val="00BA6A87"/>
    <w:rsid w:val="00BA6AA6"/>
    <w:rsid w:val="00BA6BBD"/>
    <w:rsid w:val="00BA6EBB"/>
    <w:rsid w:val="00BA6EC0"/>
    <w:rsid w:val="00BA6FBB"/>
    <w:rsid w:val="00BA7121"/>
    <w:rsid w:val="00BA72F7"/>
    <w:rsid w:val="00BA745B"/>
    <w:rsid w:val="00BA7669"/>
    <w:rsid w:val="00BA7710"/>
    <w:rsid w:val="00BA79DC"/>
    <w:rsid w:val="00BA7C4F"/>
    <w:rsid w:val="00BA7E26"/>
    <w:rsid w:val="00BA7EDF"/>
    <w:rsid w:val="00BB0141"/>
    <w:rsid w:val="00BB01C9"/>
    <w:rsid w:val="00BB02A0"/>
    <w:rsid w:val="00BB0358"/>
    <w:rsid w:val="00BB0489"/>
    <w:rsid w:val="00BB050D"/>
    <w:rsid w:val="00BB0732"/>
    <w:rsid w:val="00BB079A"/>
    <w:rsid w:val="00BB07FF"/>
    <w:rsid w:val="00BB0A07"/>
    <w:rsid w:val="00BB0A57"/>
    <w:rsid w:val="00BB0B13"/>
    <w:rsid w:val="00BB0C6E"/>
    <w:rsid w:val="00BB0CC1"/>
    <w:rsid w:val="00BB125B"/>
    <w:rsid w:val="00BB1296"/>
    <w:rsid w:val="00BB1400"/>
    <w:rsid w:val="00BB146A"/>
    <w:rsid w:val="00BB17B7"/>
    <w:rsid w:val="00BB17CA"/>
    <w:rsid w:val="00BB18AA"/>
    <w:rsid w:val="00BB1995"/>
    <w:rsid w:val="00BB1A32"/>
    <w:rsid w:val="00BB1ABA"/>
    <w:rsid w:val="00BB1C55"/>
    <w:rsid w:val="00BB234B"/>
    <w:rsid w:val="00BB2498"/>
    <w:rsid w:val="00BB24C5"/>
    <w:rsid w:val="00BB24D1"/>
    <w:rsid w:val="00BB25AB"/>
    <w:rsid w:val="00BB26EC"/>
    <w:rsid w:val="00BB2764"/>
    <w:rsid w:val="00BB27FD"/>
    <w:rsid w:val="00BB2B75"/>
    <w:rsid w:val="00BB2BF6"/>
    <w:rsid w:val="00BB2C08"/>
    <w:rsid w:val="00BB2E0D"/>
    <w:rsid w:val="00BB2E65"/>
    <w:rsid w:val="00BB2FC3"/>
    <w:rsid w:val="00BB3060"/>
    <w:rsid w:val="00BB36FF"/>
    <w:rsid w:val="00BB39CA"/>
    <w:rsid w:val="00BB3AF1"/>
    <w:rsid w:val="00BB3BB2"/>
    <w:rsid w:val="00BB3C71"/>
    <w:rsid w:val="00BB3D54"/>
    <w:rsid w:val="00BB3F07"/>
    <w:rsid w:val="00BB3FE4"/>
    <w:rsid w:val="00BB42FB"/>
    <w:rsid w:val="00BB4465"/>
    <w:rsid w:val="00BB4564"/>
    <w:rsid w:val="00BB46E1"/>
    <w:rsid w:val="00BB479D"/>
    <w:rsid w:val="00BB48DA"/>
    <w:rsid w:val="00BB48E6"/>
    <w:rsid w:val="00BB4963"/>
    <w:rsid w:val="00BB4D79"/>
    <w:rsid w:val="00BB4F1D"/>
    <w:rsid w:val="00BB4F3B"/>
    <w:rsid w:val="00BB50E7"/>
    <w:rsid w:val="00BB515A"/>
    <w:rsid w:val="00BB52D5"/>
    <w:rsid w:val="00BB555C"/>
    <w:rsid w:val="00BB558B"/>
    <w:rsid w:val="00BB5845"/>
    <w:rsid w:val="00BB5888"/>
    <w:rsid w:val="00BB599E"/>
    <w:rsid w:val="00BB5C10"/>
    <w:rsid w:val="00BB5DDE"/>
    <w:rsid w:val="00BB5EBE"/>
    <w:rsid w:val="00BB5F8A"/>
    <w:rsid w:val="00BB5FA8"/>
    <w:rsid w:val="00BB5FF1"/>
    <w:rsid w:val="00BB6166"/>
    <w:rsid w:val="00BB6430"/>
    <w:rsid w:val="00BB64CA"/>
    <w:rsid w:val="00BB65C1"/>
    <w:rsid w:val="00BB668C"/>
    <w:rsid w:val="00BB6948"/>
    <w:rsid w:val="00BB6CCF"/>
    <w:rsid w:val="00BB6D01"/>
    <w:rsid w:val="00BB6D6D"/>
    <w:rsid w:val="00BB6E4B"/>
    <w:rsid w:val="00BB6EF1"/>
    <w:rsid w:val="00BB6FB9"/>
    <w:rsid w:val="00BB7019"/>
    <w:rsid w:val="00BB7106"/>
    <w:rsid w:val="00BB72E8"/>
    <w:rsid w:val="00BB7378"/>
    <w:rsid w:val="00BB7399"/>
    <w:rsid w:val="00BB73FB"/>
    <w:rsid w:val="00BB751D"/>
    <w:rsid w:val="00BB7682"/>
    <w:rsid w:val="00BB7783"/>
    <w:rsid w:val="00BB795E"/>
    <w:rsid w:val="00BB7A1E"/>
    <w:rsid w:val="00BB7AB0"/>
    <w:rsid w:val="00BB7B5D"/>
    <w:rsid w:val="00BB7D03"/>
    <w:rsid w:val="00BB7D9A"/>
    <w:rsid w:val="00BC002F"/>
    <w:rsid w:val="00BC0073"/>
    <w:rsid w:val="00BC0138"/>
    <w:rsid w:val="00BC031F"/>
    <w:rsid w:val="00BC03C3"/>
    <w:rsid w:val="00BC0566"/>
    <w:rsid w:val="00BC056F"/>
    <w:rsid w:val="00BC06E6"/>
    <w:rsid w:val="00BC0818"/>
    <w:rsid w:val="00BC09DA"/>
    <w:rsid w:val="00BC0D75"/>
    <w:rsid w:val="00BC0E12"/>
    <w:rsid w:val="00BC0EBF"/>
    <w:rsid w:val="00BC0EC5"/>
    <w:rsid w:val="00BC0FE5"/>
    <w:rsid w:val="00BC13E0"/>
    <w:rsid w:val="00BC1554"/>
    <w:rsid w:val="00BC172B"/>
    <w:rsid w:val="00BC17E5"/>
    <w:rsid w:val="00BC1B65"/>
    <w:rsid w:val="00BC1B9C"/>
    <w:rsid w:val="00BC1BBC"/>
    <w:rsid w:val="00BC1BC6"/>
    <w:rsid w:val="00BC1BCA"/>
    <w:rsid w:val="00BC1C01"/>
    <w:rsid w:val="00BC1C95"/>
    <w:rsid w:val="00BC1D0E"/>
    <w:rsid w:val="00BC1D30"/>
    <w:rsid w:val="00BC1D6B"/>
    <w:rsid w:val="00BC1FAC"/>
    <w:rsid w:val="00BC201E"/>
    <w:rsid w:val="00BC2102"/>
    <w:rsid w:val="00BC2189"/>
    <w:rsid w:val="00BC2219"/>
    <w:rsid w:val="00BC2373"/>
    <w:rsid w:val="00BC2389"/>
    <w:rsid w:val="00BC2506"/>
    <w:rsid w:val="00BC2551"/>
    <w:rsid w:val="00BC2644"/>
    <w:rsid w:val="00BC269F"/>
    <w:rsid w:val="00BC2A14"/>
    <w:rsid w:val="00BC2AAA"/>
    <w:rsid w:val="00BC2BFD"/>
    <w:rsid w:val="00BC3358"/>
    <w:rsid w:val="00BC3662"/>
    <w:rsid w:val="00BC3925"/>
    <w:rsid w:val="00BC3941"/>
    <w:rsid w:val="00BC39E3"/>
    <w:rsid w:val="00BC3B19"/>
    <w:rsid w:val="00BC3B31"/>
    <w:rsid w:val="00BC3B6D"/>
    <w:rsid w:val="00BC3C02"/>
    <w:rsid w:val="00BC3D58"/>
    <w:rsid w:val="00BC3E01"/>
    <w:rsid w:val="00BC3F98"/>
    <w:rsid w:val="00BC3FAF"/>
    <w:rsid w:val="00BC4131"/>
    <w:rsid w:val="00BC4327"/>
    <w:rsid w:val="00BC4574"/>
    <w:rsid w:val="00BC4662"/>
    <w:rsid w:val="00BC47B3"/>
    <w:rsid w:val="00BC4917"/>
    <w:rsid w:val="00BC4A7A"/>
    <w:rsid w:val="00BC4BEC"/>
    <w:rsid w:val="00BC4CAC"/>
    <w:rsid w:val="00BC4E8F"/>
    <w:rsid w:val="00BC4ED0"/>
    <w:rsid w:val="00BC5116"/>
    <w:rsid w:val="00BC52EA"/>
    <w:rsid w:val="00BC539F"/>
    <w:rsid w:val="00BC53A2"/>
    <w:rsid w:val="00BC53B7"/>
    <w:rsid w:val="00BC5434"/>
    <w:rsid w:val="00BC554F"/>
    <w:rsid w:val="00BC5593"/>
    <w:rsid w:val="00BC5670"/>
    <w:rsid w:val="00BC5809"/>
    <w:rsid w:val="00BC593F"/>
    <w:rsid w:val="00BC597D"/>
    <w:rsid w:val="00BC598E"/>
    <w:rsid w:val="00BC59D1"/>
    <w:rsid w:val="00BC5D83"/>
    <w:rsid w:val="00BC5F8C"/>
    <w:rsid w:val="00BC646F"/>
    <w:rsid w:val="00BC65A7"/>
    <w:rsid w:val="00BC6625"/>
    <w:rsid w:val="00BC6675"/>
    <w:rsid w:val="00BC6951"/>
    <w:rsid w:val="00BC69AC"/>
    <w:rsid w:val="00BC6A1D"/>
    <w:rsid w:val="00BC6C58"/>
    <w:rsid w:val="00BC6E21"/>
    <w:rsid w:val="00BC6F9B"/>
    <w:rsid w:val="00BC6FB7"/>
    <w:rsid w:val="00BC710E"/>
    <w:rsid w:val="00BC71B9"/>
    <w:rsid w:val="00BC73B1"/>
    <w:rsid w:val="00BC7403"/>
    <w:rsid w:val="00BC757B"/>
    <w:rsid w:val="00BC7593"/>
    <w:rsid w:val="00BC75A3"/>
    <w:rsid w:val="00BC7737"/>
    <w:rsid w:val="00BC79F2"/>
    <w:rsid w:val="00BC7B8E"/>
    <w:rsid w:val="00BC7B94"/>
    <w:rsid w:val="00BC7C0D"/>
    <w:rsid w:val="00BC7CB6"/>
    <w:rsid w:val="00BD013E"/>
    <w:rsid w:val="00BD01E7"/>
    <w:rsid w:val="00BD02D0"/>
    <w:rsid w:val="00BD0316"/>
    <w:rsid w:val="00BD040B"/>
    <w:rsid w:val="00BD06E7"/>
    <w:rsid w:val="00BD07F2"/>
    <w:rsid w:val="00BD08B8"/>
    <w:rsid w:val="00BD08C4"/>
    <w:rsid w:val="00BD0983"/>
    <w:rsid w:val="00BD0C2E"/>
    <w:rsid w:val="00BD0EA0"/>
    <w:rsid w:val="00BD1056"/>
    <w:rsid w:val="00BD1094"/>
    <w:rsid w:val="00BD10D3"/>
    <w:rsid w:val="00BD1506"/>
    <w:rsid w:val="00BD1683"/>
    <w:rsid w:val="00BD1897"/>
    <w:rsid w:val="00BD189B"/>
    <w:rsid w:val="00BD1AEA"/>
    <w:rsid w:val="00BD1B2D"/>
    <w:rsid w:val="00BD1F98"/>
    <w:rsid w:val="00BD20E3"/>
    <w:rsid w:val="00BD2153"/>
    <w:rsid w:val="00BD22CB"/>
    <w:rsid w:val="00BD2352"/>
    <w:rsid w:val="00BD23B7"/>
    <w:rsid w:val="00BD249D"/>
    <w:rsid w:val="00BD2816"/>
    <w:rsid w:val="00BD2B68"/>
    <w:rsid w:val="00BD2B96"/>
    <w:rsid w:val="00BD2FC2"/>
    <w:rsid w:val="00BD2FE6"/>
    <w:rsid w:val="00BD2FF5"/>
    <w:rsid w:val="00BD307D"/>
    <w:rsid w:val="00BD3198"/>
    <w:rsid w:val="00BD333B"/>
    <w:rsid w:val="00BD33EC"/>
    <w:rsid w:val="00BD3527"/>
    <w:rsid w:val="00BD3689"/>
    <w:rsid w:val="00BD38DD"/>
    <w:rsid w:val="00BD3A59"/>
    <w:rsid w:val="00BD3A79"/>
    <w:rsid w:val="00BD3C06"/>
    <w:rsid w:val="00BD3C40"/>
    <w:rsid w:val="00BD3D7F"/>
    <w:rsid w:val="00BD3E4E"/>
    <w:rsid w:val="00BD40D9"/>
    <w:rsid w:val="00BD417B"/>
    <w:rsid w:val="00BD42B5"/>
    <w:rsid w:val="00BD4305"/>
    <w:rsid w:val="00BD44D1"/>
    <w:rsid w:val="00BD46BF"/>
    <w:rsid w:val="00BD4732"/>
    <w:rsid w:val="00BD475F"/>
    <w:rsid w:val="00BD4903"/>
    <w:rsid w:val="00BD4A4E"/>
    <w:rsid w:val="00BD4B26"/>
    <w:rsid w:val="00BD4BAF"/>
    <w:rsid w:val="00BD4DEE"/>
    <w:rsid w:val="00BD4E4F"/>
    <w:rsid w:val="00BD4E80"/>
    <w:rsid w:val="00BD50E7"/>
    <w:rsid w:val="00BD53B9"/>
    <w:rsid w:val="00BD5692"/>
    <w:rsid w:val="00BD5868"/>
    <w:rsid w:val="00BD594C"/>
    <w:rsid w:val="00BD596C"/>
    <w:rsid w:val="00BD5C0A"/>
    <w:rsid w:val="00BD5C21"/>
    <w:rsid w:val="00BD6167"/>
    <w:rsid w:val="00BD61A7"/>
    <w:rsid w:val="00BD61E4"/>
    <w:rsid w:val="00BD622A"/>
    <w:rsid w:val="00BD62B3"/>
    <w:rsid w:val="00BD633D"/>
    <w:rsid w:val="00BD6362"/>
    <w:rsid w:val="00BD6372"/>
    <w:rsid w:val="00BD6647"/>
    <w:rsid w:val="00BD66AD"/>
    <w:rsid w:val="00BD66D3"/>
    <w:rsid w:val="00BD688A"/>
    <w:rsid w:val="00BD6B44"/>
    <w:rsid w:val="00BD6BC6"/>
    <w:rsid w:val="00BD6CFA"/>
    <w:rsid w:val="00BD6E29"/>
    <w:rsid w:val="00BD6F61"/>
    <w:rsid w:val="00BD704D"/>
    <w:rsid w:val="00BD7143"/>
    <w:rsid w:val="00BD721E"/>
    <w:rsid w:val="00BD785F"/>
    <w:rsid w:val="00BD789B"/>
    <w:rsid w:val="00BD78DB"/>
    <w:rsid w:val="00BD79CC"/>
    <w:rsid w:val="00BD7A96"/>
    <w:rsid w:val="00BD7AA1"/>
    <w:rsid w:val="00BD7AC2"/>
    <w:rsid w:val="00BD7AE6"/>
    <w:rsid w:val="00BD7B2C"/>
    <w:rsid w:val="00BD7B69"/>
    <w:rsid w:val="00BD7C4A"/>
    <w:rsid w:val="00BD7CA7"/>
    <w:rsid w:val="00BD7E14"/>
    <w:rsid w:val="00BD7FE5"/>
    <w:rsid w:val="00BE0229"/>
    <w:rsid w:val="00BE05B0"/>
    <w:rsid w:val="00BE066F"/>
    <w:rsid w:val="00BE07E4"/>
    <w:rsid w:val="00BE08A3"/>
    <w:rsid w:val="00BE0920"/>
    <w:rsid w:val="00BE09F8"/>
    <w:rsid w:val="00BE0A13"/>
    <w:rsid w:val="00BE0A31"/>
    <w:rsid w:val="00BE0B32"/>
    <w:rsid w:val="00BE0B6E"/>
    <w:rsid w:val="00BE0BF4"/>
    <w:rsid w:val="00BE0CE8"/>
    <w:rsid w:val="00BE0F85"/>
    <w:rsid w:val="00BE1359"/>
    <w:rsid w:val="00BE1416"/>
    <w:rsid w:val="00BE1830"/>
    <w:rsid w:val="00BE18E1"/>
    <w:rsid w:val="00BE1B69"/>
    <w:rsid w:val="00BE1CCF"/>
    <w:rsid w:val="00BE1EC4"/>
    <w:rsid w:val="00BE2030"/>
    <w:rsid w:val="00BE2217"/>
    <w:rsid w:val="00BE226B"/>
    <w:rsid w:val="00BE2368"/>
    <w:rsid w:val="00BE2407"/>
    <w:rsid w:val="00BE2628"/>
    <w:rsid w:val="00BE268E"/>
    <w:rsid w:val="00BE2845"/>
    <w:rsid w:val="00BE292E"/>
    <w:rsid w:val="00BE295A"/>
    <w:rsid w:val="00BE2A2E"/>
    <w:rsid w:val="00BE2AE8"/>
    <w:rsid w:val="00BE2D2E"/>
    <w:rsid w:val="00BE2ED7"/>
    <w:rsid w:val="00BE319A"/>
    <w:rsid w:val="00BE31EE"/>
    <w:rsid w:val="00BE336C"/>
    <w:rsid w:val="00BE33BA"/>
    <w:rsid w:val="00BE3541"/>
    <w:rsid w:val="00BE35FE"/>
    <w:rsid w:val="00BE3787"/>
    <w:rsid w:val="00BE37F1"/>
    <w:rsid w:val="00BE389A"/>
    <w:rsid w:val="00BE3906"/>
    <w:rsid w:val="00BE3E58"/>
    <w:rsid w:val="00BE3E9B"/>
    <w:rsid w:val="00BE3FDF"/>
    <w:rsid w:val="00BE430E"/>
    <w:rsid w:val="00BE4338"/>
    <w:rsid w:val="00BE44D9"/>
    <w:rsid w:val="00BE4783"/>
    <w:rsid w:val="00BE48BA"/>
    <w:rsid w:val="00BE4A9B"/>
    <w:rsid w:val="00BE4ACD"/>
    <w:rsid w:val="00BE4B05"/>
    <w:rsid w:val="00BE5166"/>
    <w:rsid w:val="00BE534C"/>
    <w:rsid w:val="00BE5644"/>
    <w:rsid w:val="00BE5857"/>
    <w:rsid w:val="00BE588C"/>
    <w:rsid w:val="00BE58FB"/>
    <w:rsid w:val="00BE5902"/>
    <w:rsid w:val="00BE5BA1"/>
    <w:rsid w:val="00BE5BC8"/>
    <w:rsid w:val="00BE5CB0"/>
    <w:rsid w:val="00BE5CF0"/>
    <w:rsid w:val="00BE5D59"/>
    <w:rsid w:val="00BE5EA7"/>
    <w:rsid w:val="00BE5F64"/>
    <w:rsid w:val="00BE6284"/>
    <w:rsid w:val="00BE63F2"/>
    <w:rsid w:val="00BE650B"/>
    <w:rsid w:val="00BE6594"/>
    <w:rsid w:val="00BE6745"/>
    <w:rsid w:val="00BE698B"/>
    <w:rsid w:val="00BE6ADE"/>
    <w:rsid w:val="00BE6AF5"/>
    <w:rsid w:val="00BE6DDA"/>
    <w:rsid w:val="00BE6E64"/>
    <w:rsid w:val="00BE7056"/>
    <w:rsid w:val="00BE70BC"/>
    <w:rsid w:val="00BE71A5"/>
    <w:rsid w:val="00BE71D2"/>
    <w:rsid w:val="00BE731F"/>
    <w:rsid w:val="00BE7365"/>
    <w:rsid w:val="00BE7537"/>
    <w:rsid w:val="00BE75D8"/>
    <w:rsid w:val="00BE78C8"/>
    <w:rsid w:val="00BE7A95"/>
    <w:rsid w:val="00BE7C3A"/>
    <w:rsid w:val="00BE7C4B"/>
    <w:rsid w:val="00BE7DA1"/>
    <w:rsid w:val="00BE7DEE"/>
    <w:rsid w:val="00BE7E9D"/>
    <w:rsid w:val="00BF00C8"/>
    <w:rsid w:val="00BF00D5"/>
    <w:rsid w:val="00BF010F"/>
    <w:rsid w:val="00BF0252"/>
    <w:rsid w:val="00BF03BC"/>
    <w:rsid w:val="00BF092A"/>
    <w:rsid w:val="00BF0A55"/>
    <w:rsid w:val="00BF0ACB"/>
    <w:rsid w:val="00BF0AEE"/>
    <w:rsid w:val="00BF0C9B"/>
    <w:rsid w:val="00BF0D1F"/>
    <w:rsid w:val="00BF0E71"/>
    <w:rsid w:val="00BF0F5D"/>
    <w:rsid w:val="00BF1022"/>
    <w:rsid w:val="00BF10C1"/>
    <w:rsid w:val="00BF11E2"/>
    <w:rsid w:val="00BF144F"/>
    <w:rsid w:val="00BF1507"/>
    <w:rsid w:val="00BF1703"/>
    <w:rsid w:val="00BF1826"/>
    <w:rsid w:val="00BF1AC4"/>
    <w:rsid w:val="00BF1B24"/>
    <w:rsid w:val="00BF1BCE"/>
    <w:rsid w:val="00BF1E3D"/>
    <w:rsid w:val="00BF1EF7"/>
    <w:rsid w:val="00BF211A"/>
    <w:rsid w:val="00BF21DB"/>
    <w:rsid w:val="00BF22DF"/>
    <w:rsid w:val="00BF2354"/>
    <w:rsid w:val="00BF2481"/>
    <w:rsid w:val="00BF2539"/>
    <w:rsid w:val="00BF27A0"/>
    <w:rsid w:val="00BF27BF"/>
    <w:rsid w:val="00BF29A5"/>
    <w:rsid w:val="00BF2A90"/>
    <w:rsid w:val="00BF2CCA"/>
    <w:rsid w:val="00BF2CED"/>
    <w:rsid w:val="00BF2DC9"/>
    <w:rsid w:val="00BF2EEB"/>
    <w:rsid w:val="00BF2F0C"/>
    <w:rsid w:val="00BF2FF0"/>
    <w:rsid w:val="00BF30D5"/>
    <w:rsid w:val="00BF32BB"/>
    <w:rsid w:val="00BF3546"/>
    <w:rsid w:val="00BF359B"/>
    <w:rsid w:val="00BF361A"/>
    <w:rsid w:val="00BF3666"/>
    <w:rsid w:val="00BF3706"/>
    <w:rsid w:val="00BF375A"/>
    <w:rsid w:val="00BF386F"/>
    <w:rsid w:val="00BF3C14"/>
    <w:rsid w:val="00BF3D3B"/>
    <w:rsid w:val="00BF3D65"/>
    <w:rsid w:val="00BF3DF0"/>
    <w:rsid w:val="00BF3EA1"/>
    <w:rsid w:val="00BF3EE8"/>
    <w:rsid w:val="00BF4152"/>
    <w:rsid w:val="00BF4298"/>
    <w:rsid w:val="00BF45EA"/>
    <w:rsid w:val="00BF4651"/>
    <w:rsid w:val="00BF4888"/>
    <w:rsid w:val="00BF4EE4"/>
    <w:rsid w:val="00BF502B"/>
    <w:rsid w:val="00BF505E"/>
    <w:rsid w:val="00BF5073"/>
    <w:rsid w:val="00BF5169"/>
    <w:rsid w:val="00BF538F"/>
    <w:rsid w:val="00BF55FD"/>
    <w:rsid w:val="00BF560C"/>
    <w:rsid w:val="00BF5748"/>
    <w:rsid w:val="00BF5A95"/>
    <w:rsid w:val="00BF5ADD"/>
    <w:rsid w:val="00BF5C28"/>
    <w:rsid w:val="00BF5CBC"/>
    <w:rsid w:val="00BF5D7D"/>
    <w:rsid w:val="00BF5DD7"/>
    <w:rsid w:val="00BF5F4A"/>
    <w:rsid w:val="00BF6252"/>
    <w:rsid w:val="00BF6412"/>
    <w:rsid w:val="00BF6481"/>
    <w:rsid w:val="00BF64A0"/>
    <w:rsid w:val="00BF6598"/>
    <w:rsid w:val="00BF66A8"/>
    <w:rsid w:val="00BF6858"/>
    <w:rsid w:val="00BF6A47"/>
    <w:rsid w:val="00BF6B12"/>
    <w:rsid w:val="00BF6D51"/>
    <w:rsid w:val="00BF6E0C"/>
    <w:rsid w:val="00BF721B"/>
    <w:rsid w:val="00BF7259"/>
    <w:rsid w:val="00BF726B"/>
    <w:rsid w:val="00BF7458"/>
    <w:rsid w:val="00BF7522"/>
    <w:rsid w:val="00BF7875"/>
    <w:rsid w:val="00BF7898"/>
    <w:rsid w:val="00BF78CD"/>
    <w:rsid w:val="00BF7C3A"/>
    <w:rsid w:val="00C000F9"/>
    <w:rsid w:val="00C001CC"/>
    <w:rsid w:val="00C0068A"/>
    <w:rsid w:val="00C00769"/>
    <w:rsid w:val="00C00B34"/>
    <w:rsid w:val="00C00B3D"/>
    <w:rsid w:val="00C00C37"/>
    <w:rsid w:val="00C01392"/>
    <w:rsid w:val="00C013E8"/>
    <w:rsid w:val="00C0158D"/>
    <w:rsid w:val="00C016FD"/>
    <w:rsid w:val="00C01704"/>
    <w:rsid w:val="00C018F5"/>
    <w:rsid w:val="00C019AD"/>
    <w:rsid w:val="00C01A4F"/>
    <w:rsid w:val="00C01BD7"/>
    <w:rsid w:val="00C01C0D"/>
    <w:rsid w:val="00C01CCB"/>
    <w:rsid w:val="00C02044"/>
    <w:rsid w:val="00C020B2"/>
    <w:rsid w:val="00C02277"/>
    <w:rsid w:val="00C0231D"/>
    <w:rsid w:val="00C0236A"/>
    <w:rsid w:val="00C0236C"/>
    <w:rsid w:val="00C023D4"/>
    <w:rsid w:val="00C025E5"/>
    <w:rsid w:val="00C0283E"/>
    <w:rsid w:val="00C02911"/>
    <w:rsid w:val="00C02A5D"/>
    <w:rsid w:val="00C02E2B"/>
    <w:rsid w:val="00C02EB4"/>
    <w:rsid w:val="00C02EFD"/>
    <w:rsid w:val="00C02F7A"/>
    <w:rsid w:val="00C030F8"/>
    <w:rsid w:val="00C03153"/>
    <w:rsid w:val="00C031BC"/>
    <w:rsid w:val="00C03282"/>
    <w:rsid w:val="00C0338A"/>
    <w:rsid w:val="00C033AB"/>
    <w:rsid w:val="00C0372F"/>
    <w:rsid w:val="00C0378F"/>
    <w:rsid w:val="00C037FE"/>
    <w:rsid w:val="00C0382C"/>
    <w:rsid w:val="00C03925"/>
    <w:rsid w:val="00C03C5B"/>
    <w:rsid w:val="00C03F86"/>
    <w:rsid w:val="00C03FD1"/>
    <w:rsid w:val="00C04034"/>
    <w:rsid w:val="00C04059"/>
    <w:rsid w:val="00C04132"/>
    <w:rsid w:val="00C04145"/>
    <w:rsid w:val="00C04426"/>
    <w:rsid w:val="00C04653"/>
    <w:rsid w:val="00C0471E"/>
    <w:rsid w:val="00C0477E"/>
    <w:rsid w:val="00C04DD5"/>
    <w:rsid w:val="00C04EB7"/>
    <w:rsid w:val="00C0503F"/>
    <w:rsid w:val="00C050B0"/>
    <w:rsid w:val="00C053D1"/>
    <w:rsid w:val="00C05492"/>
    <w:rsid w:val="00C0584F"/>
    <w:rsid w:val="00C0588D"/>
    <w:rsid w:val="00C0588E"/>
    <w:rsid w:val="00C0596C"/>
    <w:rsid w:val="00C05979"/>
    <w:rsid w:val="00C059B2"/>
    <w:rsid w:val="00C059E4"/>
    <w:rsid w:val="00C05B2E"/>
    <w:rsid w:val="00C05D4A"/>
    <w:rsid w:val="00C05E09"/>
    <w:rsid w:val="00C05E0F"/>
    <w:rsid w:val="00C05F56"/>
    <w:rsid w:val="00C06125"/>
    <w:rsid w:val="00C0629D"/>
    <w:rsid w:val="00C0653B"/>
    <w:rsid w:val="00C0662B"/>
    <w:rsid w:val="00C06770"/>
    <w:rsid w:val="00C06881"/>
    <w:rsid w:val="00C068E5"/>
    <w:rsid w:val="00C06931"/>
    <w:rsid w:val="00C06936"/>
    <w:rsid w:val="00C06CBC"/>
    <w:rsid w:val="00C06DD5"/>
    <w:rsid w:val="00C070CB"/>
    <w:rsid w:val="00C0717D"/>
    <w:rsid w:val="00C0723D"/>
    <w:rsid w:val="00C076A2"/>
    <w:rsid w:val="00C076DC"/>
    <w:rsid w:val="00C07792"/>
    <w:rsid w:val="00C077F5"/>
    <w:rsid w:val="00C07858"/>
    <w:rsid w:val="00C07B13"/>
    <w:rsid w:val="00C07BB3"/>
    <w:rsid w:val="00C07C93"/>
    <w:rsid w:val="00C07E45"/>
    <w:rsid w:val="00C07ED2"/>
    <w:rsid w:val="00C10042"/>
    <w:rsid w:val="00C100EA"/>
    <w:rsid w:val="00C10116"/>
    <w:rsid w:val="00C1014C"/>
    <w:rsid w:val="00C1027F"/>
    <w:rsid w:val="00C1038D"/>
    <w:rsid w:val="00C1057E"/>
    <w:rsid w:val="00C10583"/>
    <w:rsid w:val="00C1058D"/>
    <w:rsid w:val="00C105A2"/>
    <w:rsid w:val="00C10747"/>
    <w:rsid w:val="00C107C6"/>
    <w:rsid w:val="00C10BBE"/>
    <w:rsid w:val="00C10C7F"/>
    <w:rsid w:val="00C10D23"/>
    <w:rsid w:val="00C10DD0"/>
    <w:rsid w:val="00C10F3B"/>
    <w:rsid w:val="00C10F53"/>
    <w:rsid w:val="00C10FE0"/>
    <w:rsid w:val="00C110DA"/>
    <w:rsid w:val="00C11342"/>
    <w:rsid w:val="00C1151C"/>
    <w:rsid w:val="00C1157C"/>
    <w:rsid w:val="00C11583"/>
    <w:rsid w:val="00C116DA"/>
    <w:rsid w:val="00C116EB"/>
    <w:rsid w:val="00C1191F"/>
    <w:rsid w:val="00C1195E"/>
    <w:rsid w:val="00C119B7"/>
    <w:rsid w:val="00C11A58"/>
    <w:rsid w:val="00C11BB5"/>
    <w:rsid w:val="00C11CDE"/>
    <w:rsid w:val="00C11D0F"/>
    <w:rsid w:val="00C11DF1"/>
    <w:rsid w:val="00C11FA5"/>
    <w:rsid w:val="00C12178"/>
    <w:rsid w:val="00C123F5"/>
    <w:rsid w:val="00C12448"/>
    <w:rsid w:val="00C124FE"/>
    <w:rsid w:val="00C1263E"/>
    <w:rsid w:val="00C1296C"/>
    <w:rsid w:val="00C12988"/>
    <w:rsid w:val="00C12A5B"/>
    <w:rsid w:val="00C12C77"/>
    <w:rsid w:val="00C12CEC"/>
    <w:rsid w:val="00C12E31"/>
    <w:rsid w:val="00C12EA0"/>
    <w:rsid w:val="00C1306E"/>
    <w:rsid w:val="00C1312E"/>
    <w:rsid w:val="00C1335E"/>
    <w:rsid w:val="00C13374"/>
    <w:rsid w:val="00C133D0"/>
    <w:rsid w:val="00C1359C"/>
    <w:rsid w:val="00C138E8"/>
    <w:rsid w:val="00C13A15"/>
    <w:rsid w:val="00C13C40"/>
    <w:rsid w:val="00C13CBB"/>
    <w:rsid w:val="00C13D7D"/>
    <w:rsid w:val="00C13E3E"/>
    <w:rsid w:val="00C13F8F"/>
    <w:rsid w:val="00C14035"/>
    <w:rsid w:val="00C1407A"/>
    <w:rsid w:val="00C1416E"/>
    <w:rsid w:val="00C14406"/>
    <w:rsid w:val="00C144C6"/>
    <w:rsid w:val="00C14526"/>
    <w:rsid w:val="00C14565"/>
    <w:rsid w:val="00C1458E"/>
    <w:rsid w:val="00C14865"/>
    <w:rsid w:val="00C14949"/>
    <w:rsid w:val="00C14A3B"/>
    <w:rsid w:val="00C14B55"/>
    <w:rsid w:val="00C14C10"/>
    <w:rsid w:val="00C14CC2"/>
    <w:rsid w:val="00C150A4"/>
    <w:rsid w:val="00C1512E"/>
    <w:rsid w:val="00C1513A"/>
    <w:rsid w:val="00C151E6"/>
    <w:rsid w:val="00C153F3"/>
    <w:rsid w:val="00C1550B"/>
    <w:rsid w:val="00C15566"/>
    <w:rsid w:val="00C155AA"/>
    <w:rsid w:val="00C15683"/>
    <w:rsid w:val="00C157C9"/>
    <w:rsid w:val="00C1582D"/>
    <w:rsid w:val="00C15853"/>
    <w:rsid w:val="00C158AB"/>
    <w:rsid w:val="00C15B8B"/>
    <w:rsid w:val="00C15D79"/>
    <w:rsid w:val="00C15D98"/>
    <w:rsid w:val="00C15E8B"/>
    <w:rsid w:val="00C1609D"/>
    <w:rsid w:val="00C16138"/>
    <w:rsid w:val="00C162CF"/>
    <w:rsid w:val="00C162D3"/>
    <w:rsid w:val="00C162FB"/>
    <w:rsid w:val="00C16326"/>
    <w:rsid w:val="00C16333"/>
    <w:rsid w:val="00C163D3"/>
    <w:rsid w:val="00C165BB"/>
    <w:rsid w:val="00C16615"/>
    <w:rsid w:val="00C1667E"/>
    <w:rsid w:val="00C166FA"/>
    <w:rsid w:val="00C168F0"/>
    <w:rsid w:val="00C16A0C"/>
    <w:rsid w:val="00C16A9F"/>
    <w:rsid w:val="00C16B74"/>
    <w:rsid w:val="00C16C89"/>
    <w:rsid w:val="00C16D4D"/>
    <w:rsid w:val="00C16DD0"/>
    <w:rsid w:val="00C170B9"/>
    <w:rsid w:val="00C172F7"/>
    <w:rsid w:val="00C173FA"/>
    <w:rsid w:val="00C17440"/>
    <w:rsid w:val="00C17456"/>
    <w:rsid w:val="00C17598"/>
    <w:rsid w:val="00C175D0"/>
    <w:rsid w:val="00C175E8"/>
    <w:rsid w:val="00C176E0"/>
    <w:rsid w:val="00C177AF"/>
    <w:rsid w:val="00C17890"/>
    <w:rsid w:val="00C178C1"/>
    <w:rsid w:val="00C17A34"/>
    <w:rsid w:val="00C17B39"/>
    <w:rsid w:val="00C17B51"/>
    <w:rsid w:val="00C17C7A"/>
    <w:rsid w:val="00C17D0A"/>
    <w:rsid w:val="00C17EF7"/>
    <w:rsid w:val="00C20002"/>
    <w:rsid w:val="00C200BE"/>
    <w:rsid w:val="00C2026C"/>
    <w:rsid w:val="00C2027C"/>
    <w:rsid w:val="00C20457"/>
    <w:rsid w:val="00C20694"/>
    <w:rsid w:val="00C207FC"/>
    <w:rsid w:val="00C208B8"/>
    <w:rsid w:val="00C2099B"/>
    <w:rsid w:val="00C209FC"/>
    <w:rsid w:val="00C20AD1"/>
    <w:rsid w:val="00C20B32"/>
    <w:rsid w:val="00C20CA8"/>
    <w:rsid w:val="00C20D40"/>
    <w:rsid w:val="00C20DFE"/>
    <w:rsid w:val="00C20FC7"/>
    <w:rsid w:val="00C210C5"/>
    <w:rsid w:val="00C211DC"/>
    <w:rsid w:val="00C212F4"/>
    <w:rsid w:val="00C21448"/>
    <w:rsid w:val="00C21469"/>
    <w:rsid w:val="00C21743"/>
    <w:rsid w:val="00C219D6"/>
    <w:rsid w:val="00C21B36"/>
    <w:rsid w:val="00C21C61"/>
    <w:rsid w:val="00C21D4B"/>
    <w:rsid w:val="00C21E54"/>
    <w:rsid w:val="00C21EBC"/>
    <w:rsid w:val="00C221D7"/>
    <w:rsid w:val="00C2239E"/>
    <w:rsid w:val="00C224EA"/>
    <w:rsid w:val="00C22878"/>
    <w:rsid w:val="00C22929"/>
    <w:rsid w:val="00C2292D"/>
    <w:rsid w:val="00C22979"/>
    <w:rsid w:val="00C22D4C"/>
    <w:rsid w:val="00C22DEA"/>
    <w:rsid w:val="00C22E63"/>
    <w:rsid w:val="00C22E9A"/>
    <w:rsid w:val="00C22ECB"/>
    <w:rsid w:val="00C22F7E"/>
    <w:rsid w:val="00C22FE4"/>
    <w:rsid w:val="00C22FFB"/>
    <w:rsid w:val="00C231E5"/>
    <w:rsid w:val="00C23579"/>
    <w:rsid w:val="00C2364A"/>
    <w:rsid w:val="00C239A4"/>
    <w:rsid w:val="00C23B6C"/>
    <w:rsid w:val="00C23B99"/>
    <w:rsid w:val="00C23C94"/>
    <w:rsid w:val="00C23EE0"/>
    <w:rsid w:val="00C240F8"/>
    <w:rsid w:val="00C243FF"/>
    <w:rsid w:val="00C245AB"/>
    <w:rsid w:val="00C245BE"/>
    <w:rsid w:val="00C2482A"/>
    <w:rsid w:val="00C248B2"/>
    <w:rsid w:val="00C2490F"/>
    <w:rsid w:val="00C24A38"/>
    <w:rsid w:val="00C24BFB"/>
    <w:rsid w:val="00C24CEB"/>
    <w:rsid w:val="00C24D41"/>
    <w:rsid w:val="00C25005"/>
    <w:rsid w:val="00C2507B"/>
    <w:rsid w:val="00C250DD"/>
    <w:rsid w:val="00C2513B"/>
    <w:rsid w:val="00C25211"/>
    <w:rsid w:val="00C256F2"/>
    <w:rsid w:val="00C25989"/>
    <w:rsid w:val="00C259F5"/>
    <w:rsid w:val="00C25A12"/>
    <w:rsid w:val="00C25BBA"/>
    <w:rsid w:val="00C25CB4"/>
    <w:rsid w:val="00C25F7D"/>
    <w:rsid w:val="00C25F84"/>
    <w:rsid w:val="00C260B3"/>
    <w:rsid w:val="00C26275"/>
    <w:rsid w:val="00C2628A"/>
    <w:rsid w:val="00C26412"/>
    <w:rsid w:val="00C26714"/>
    <w:rsid w:val="00C26814"/>
    <w:rsid w:val="00C26C9C"/>
    <w:rsid w:val="00C26E39"/>
    <w:rsid w:val="00C2703E"/>
    <w:rsid w:val="00C27091"/>
    <w:rsid w:val="00C27180"/>
    <w:rsid w:val="00C2721B"/>
    <w:rsid w:val="00C2727A"/>
    <w:rsid w:val="00C27321"/>
    <w:rsid w:val="00C273EC"/>
    <w:rsid w:val="00C274CA"/>
    <w:rsid w:val="00C2754F"/>
    <w:rsid w:val="00C27640"/>
    <w:rsid w:val="00C27696"/>
    <w:rsid w:val="00C276B8"/>
    <w:rsid w:val="00C278EA"/>
    <w:rsid w:val="00C2797E"/>
    <w:rsid w:val="00C279A8"/>
    <w:rsid w:val="00C279BF"/>
    <w:rsid w:val="00C27A14"/>
    <w:rsid w:val="00C27A6A"/>
    <w:rsid w:val="00C27AEE"/>
    <w:rsid w:val="00C27C59"/>
    <w:rsid w:val="00C27CE9"/>
    <w:rsid w:val="00C27D26"/>
    <w:rsid w:val="00C27D7D"/>
    <w:rsid w:val="00C30151"/>
    <w:rsid w:val="00C3015B"/>
    <w:rsid w:val="00C3021E"/>
    <w:rsid w:val="00C30292"/>
    <w:rsid w:val="00C30293"/>
    <w:rsid w:val="00C30331"/>
    <w:rsid w:val="00C30460"/>
    <w:rsid w:val="00C3054B"/>
    <w:rsid w:val="00C30580"/>
    <w:rsid w:val="00C305A0"/>
    <w:rsid w:val="00C3069F"/>
    <w:rsid w:val="00C30700"/>
    <w:rsid w:val="00C30732"/>
    <w:rsid w:val="00C30857"/>
    <w:rsid w:val="00C30B40"/>
    <w:rsid w:val="00C30E86"/>
    <w:rsid w:val="00C30F7D"/>
    <w:rsid w:val="00C31063"/>
    <w:rsid w:val="00C311ED"/>
    <w:rsid w:val="00C3172C"/>
    <w:rsid w:val="00C31746"/>
    <w:rsid w:val="00C317E8"/>
    <w:rsid w:val="00C31863"/>
    <w:rsid w:val="00C31A19"/>
    <w:rsid w:val="00C31B29"/>
    <w:rsid w:val="00C31BCE"/>
    <w:rsid w:val="00C31D6A"/>
    <w:rsid w:val="00C31DFF"/>
    <w:rsid w:val="00C31FB0"/>
    <w:rsid w:val="00C31FC0"/>
    <w:rsid w:val="00C32123"/>
    <w:rsid w:val="00C324A5"/>
    <w:rsid w:val="00C324BA"/>
    <w:rsid w:val="00C325AE"/>
    <w:rsid w:val="00C325EE"/>
    <w:rsid w:val="00C3287B"/>
    <w:rsid w:val="00C32A04"/>
    <w:rsid w:val="00C32A37"/>
    <w:rsid w:val="00C32BE9"/>
    <w:rsid w:val="00C32C77"/>
    <w:rsid w:val="00C32D3F"/>
    <w:rsid w:val="00C32D41"/>
    <w:rsid w:val="00C32E08"/>
    <w:rsid w:val="00C32F80"/>
    <w:rsid w:val="00C32F81"/>
    <w:rsid w:val="00C3306A"/>
    <w:rsid w:val="00C33088"/>
    <w:rsid w:val="00C3319C"/>
    <w:rsid w:val="00C3344E"/>
    <w:rsid w:val="00C335D0"/>
    <w:rsid w:val="00C335F8"/>
    <w:rsid w:val="00C33820"/>
    <w:rsid w:val="00C33896"/>
    <w:rsid w:val="00C33A58"/>
    <w:rsid w:val="00C3407E"/>
    <w:rsid w:val="00C343E8"/>
    <w:rsid w:val="00C344B0"/>
    <w:rsid w:val="00C345CE"/>
    <w:rsid w:val="00C3495A"/>
    <w:rsid w:val="00C34BB7"/>
    <w:rsid w:val="00C34BC4"/>
    <w:rsid w:val="00C34EF5"/>
    <w:rsid w:val="00C3522E"/>
    <w:rsid w:val="00C3533F"/>
    <w:rsid w:val="00C3536A"/>
    <w:rsid w:val="00C354F4"/>
    <w:rsid w:val="00C35516"/>
    <w:rsid w:val="00C3571C"/>
    <w:rsid w:val="00C3582A"/>
    <w:rsid w:val="00C35A2B"/>
    <w:rsid w:val="00C35B37"/>
    <w:rsid w:val="00C35BCF"/>
    <w:rsid w:val="00C35D2F"/>
    <w:rsid w:val="00C35D65"/>
    <w:rsid w:val="00C36241"/>
    <w:rsid w:val="00C3640D"/>
    <w:rsid w:val="00C3644A"/>
    <w:rsid w:val="00C3645E"/>
    <w:rsid w:val="00C365F8"/>
    <w:rsid w:val="00C36616"/>
    <w:rsid w:val="00C36827"/>
    <w:rsid w:val="00C368BC"/>
    <w:rsid w:val="00C3698C"/>
    <w:rsid w:val="00C36A3F"/>
    <w:rsid w:val="00C36CE8"/>
    <w:rsid w:val="00C36F37"/>
    <w:rsid w:val="00C370D8"/>
    <w:rsid w:val="00C3728D"/>
    <w:rsid w:val="00C374EF"/>
    <w:rsid w:val="00C37A97"/>
    <w:rsid w:val="00C37B50"/>
    <w:rsid w:val="00C37CCE"/>
    <w:rsid w:val="00C37E59"/>
    <w:rsid w:val="00C37E8A"/>
    <w:rsid w:val="00C37FE8"/>
    <w:rsid w:val="00C4010C"/>
    <w:rsid w:val="00C40229"/>
    <w:rsid w:val="00C4037F"/>
    <w:rsid w:val="00C403CA"/>
    <w:rsid w:val="00C40514"/>
    <w:rsid w:val="00C40694"/>
    <w:rsid w:val="00C406F0"/>
    <w:rsid w:val="00C4075B"/>
    <w:rsid w:val="00C4093C"/>
    <w:rsid w:val="00C40BE0"/>
    <w:rsid w:val="00C40DB9"/>
    <w:rsid w:val="00C40FFE"/>
    <w:rsid w:val="00C4121F"/>
    <w:rsid w:val="00C413AA"/>
    <w:rsid w:val="00C413C4"/>
    <w:rsid w:val="00C41427"/>
    <w:rsid w:val="00C414B8"/>
    <w:rsid w:val="00C4153A"/>
    <w:rsid w:val="00C41A5F"/>
    <w:rsid w:val="00C41B3F"/>
    <w:rsid w:val="00C41BC0"/>
    <w:rsid w:val="00C41CF6"/>
    <w:rsid w:val="00C41D14"/>
    <w:rsid w:val="00C41D33"/>
    <w:rsid w:val="00C41E07"/>
    <w:rsid w:val="00C41E50"/>
    <w:rsid w:val="00C41EFD"/>
    <w:rsid w:val="00C41FE0"/>
    <w:rsid w:val="00C420DE"/>
    <w:rsid w:val="00C4232B"/>
    <w:rsid w:val="00C4240F"/>
    <w:rsid w:val="00C4257F"/>
    <w:rsid w:val="00C428EA"/>
    <w:rsid w:val="00C42919"/>
    <w:rsid w:val="00C4292D"/>
    <w:rsid w:val="00C4295D"/>
    <w:rsid w:val="00C42A90"/>
    <w:rsid w:val="00C42B6F"/>
    <w:rsid w:val="00C42E06"/>
    <w:rsid w:val="00C42EC6"/>
    <w:rsid w:val="00C430F2"/>
    <w:rsid w:val="00C43195"/>
    <w:rsid w:val="00C435B6"/>
    <w:rsid w:val="00C43607"/>
    <w:rsid w:val="00C4390D"/>
    <w:rsid w:val="00C43A50"/>
    <w:rsid w:val="00C43B9C"/>
    <w:rsid w:val="00C43BCA"/>
    <w:rsid w:val="00C43D7D"/>
    <w:rsid w:val="00C43DF6"/>
    <w:rsid w:val="00C43ED0"/>
    <w:rsid w:val="00C4417A"/>
    <w:rsid w:val="00C441C4"/>
    <w:rsid w:val="00C44238"/>
    <w:rsid w:val="00C44270"/>
    <w:rsid w:val="00C4428E"/>
    <w:rsid w:val="00C44310"/>
    <w:rsid w:val="00C44394"/>
    <w:rsid w:val="00C443EC"/>
    <w:rsid w:val="00C44582"/>
    <w:rsid w:val="00C44876"/>
    <w:rsid w:val="00C4488C"/>
    <w:rsid w:val="00C44A38"/>
    <w:rsid w:val="00C44A5B"/>
    <w:rsid w:val="00C44A64"/>
    <w:rsid w:val="00C44AE8"/>
    <w:rsid w:val="00C44B24"/>
    <w:rsid w:val="00C45158"/>
    <w:rsid w:val="00C45761"/>
    <w:rsid w:val="00C459BE"/>
    <w:rsid w:val="00C45A45"/>
    <w:rsid w:val="00C45BDE"/>
    <w:rsid w:val="00C45C0E"/>
    <w:rsid w:val="00C45F5D"/>
    <w:rsid w:val="00C45F61"/>
    <w:rsid w:val="00C45FE9"/>
    <w:rsid w:val="00C46112"/>
    <w:rsid w:val="00C462DD"/>
    <w:rsid w:val="00C46405"/>
    <w:rsid w:val="00C468B8"/>
    <w:rsid w:val="00C469A0"/>
    <w:rsid w:val="00C46C3C"/>
    <w:rsid w:val="00C46CE9"/>
    <w:rsid w:val="00C46FDF"/>
    <w:rsid w:val="00C47063"/>
    <w:rsid w:val="00C472A7"/>
    <w:rsid w:val="00C472D6"/>
    <w:rsid w:val="00C47533"/>
    <w:rsid w:val="00C47592"/>
    <w:rsid w:val="00C47597"/>
    <w:rsid w:val="00C476AB"/>
    <w:rsid w:val="00C476BA"/>
    <w:rsid w:val="00C477B8"/>
    <w:rsid w:val="00C477BC"/>
    <w:rsid w:val="00C4797F"/>
    <w:rsid w:val="00C4799A"/>
    <w:rsid w:val="00C47A35"/>
    <w:rsid w:val="00C47ACA"/>
    <w:rsid w:val="00C47B35"/>
    <w:rsid w:val="00C47CF8"/>
    <w:rsid w:val="00C47E71"/>
    <w:rsid w:val="00C47E78"/>
    <w:rsid w:val="00C47EE3"/>
    <w:rsid w:val="00C500F4"/>
    <w:rsid w:val="00C501EE"/>
    <w:rsid w:val="00C503BC"/>
    <w:rsid w:val="00C5059C"/>
    <w:rsid w:val="00C505FD"/>
    <w:rsid w:val="00C506DB"/>
    <w:rsid w:val="00C50A22"/>
    <w:rsid w:val="00C50BB6"/>
    <w:rsid w:val="00C50C2C"/>
    <w:rsid w:val="00C50D67"/>
    <w:rsid w:val="00C50DE0"/>
    <w:rsid w:val="00C50DFD"/>
    <w:rsid w:val="00C50E9F"/>
    <w:rsid w:val="00C5100E"/>
    <w:rsid w:val="00C51115"/>
    <w:rsid w:val="00C5114E"/>
    <w:rsid w:val="00C51349"/>
    <w:rsid w:val="00C5147B"/>
    <w:rsid w:val="00C5155D"/>
    <w:rsid w:val="00C516AF"/>
    <w:rsid w:val="00C51898"/>
    <w:rsid w:val="00C51946"/>
    <w:rsid w:val="00C51DF7"/>
    <w:rsid w:val="00C51EE9"/>
    <w:rsid w:val="00C52418"/>
    <w:rsid w:val="00C52623"/>
    <w:rsid w:val="00C527CD"/>
    <w:rsid w:val="00C52B00"/>
    <w:rsid w:val="00C52CC7"/>
    <w:rsid w:val="00C52D4A"/>
    <w:rsid w:val="00C53030"/>
    <w:rsid w:val="00C530BC"/>
    <w:rsid w:val="00C530F5"/>
    <w:rsid w:val="00C531EA"/>
    <w:rsid w:val="00C53288"/>
    <w:rsid w:val="00C53445"/>
    <w:rsid w:val="00C536CB"/>
    <w:rsid w:val="00C53998"/>
    <w:rsid w:val="00C53B1A"/>
    <w:rsid w:val="00C53BEF"/>
    <w:rsid w:val="00C53C7F"/>
    <w:rsid w:val="00C53E23"/>
    <w:rsid w:val="00C53F1A"/>
    <w:rsid w:val="00C53F59"/>
    <w:rsid w:val="00C54073"/>
    <w:rsid w:val="00C5409B"/>
    <w:rsid w:val="00C5491C"/>
    <w:rsid w:val="00C549AA"/>
    <w:rsid w:val="00C549C4"/>
    <w:rsid w:val="00C54D85"/>
    <w:rsid w:val="00C54F5B"/>
    <w:rsid w:val="00C54FEE"/>
    <w:rsid w:val="00C55184"/>
    <w:rsid w:val="00C55288"/>
    <w:rsid w:val="00C55440"/>
    <w:rsid w:val="00C5548D"/>
    <w:rsid w:val="00C55558"/>
    <w:rsid w:val="00C55619"/>
    <w:rsid w:val="00C5566F"/>
    <w:rsid w:val="00C556C8"/>
    <w:rsid w:val="00C559FF"/>
    <w:rsid w:val="00C55BE6"/>
    <w:rsid w:val="00C55D3B"/>
    <w:rsid w:val="00C55DCF"/>
    <w:rsid w:val="00C55E32"/>
    <w:rsid w:val="00C55FC5"/>
    <w:rsid w:val="00C56030"/>
    <w:rsid w:val="00C56055"/>
    <w:rsid w:val="00C56267"/>
    <w:rsid w:val="00C56458"/>
    <w:rsid w:val="00C569D7"/>
    <w:rsid w:val="00C56A17"/>
    <w:rsid w:val="00C56BB0"/>
    <w:rsid w:val="00C56C03"/>
    <w:rsid w:val="00C57095"/>
    <w:rsid w:val="00C57136"/>
    <w:rsid w:val="00C5721D"/>
    <w:rsid w:val="00C5745B"/>
    <w:rsid w:val="00C575EF"/>
    <w:rsid w:val="00C57702"/>
    <w:rsid w:val="00C578FE"/>
    <w:rsid w:val="00C57A3A"/>
    <w:rsid w:val="00C57B07"/>
    <w:rsid w:val="00C57CCC"/>
    <w:rsid w:val="00C57F46"/>
    <w:rsid w:val="00C6001A"/>
    <w:rsid w:val="00C600B5"/>
    <w:rsid w:val="00C60525"/>
    <w:rsid w:val="00C608EB"/>
    <w:rsid w:val="00C60970"/>
    <w:rsid w:val="00C60A25"/>
    <w:rsid w:val="00C60A6A"/>
    <w:rsid w:val="00C60AE6"/>
    <w:rsid w:val="00C60B1E"/>
    <w:rsid w:val="00C60F49"/>
    <w:rsid w:val="00C60FFC"/>
    <w:rsid w:val="00C6112F"/>
    <w:rsid w:val="00C61419"/>
    <w:rsid w:val="00C614D6"/>
    <w:rsid w:val="00C615FF"/>
    <w:rsid w:val="00C6160A"/>
    <w:rsid w:val="00C6166A"/>
    <w:rsid w:val="00C6167F"/>
    <w:rsid w:val="00C61731"/>
    <w:rsid w:val="00C617E1"/>
    <w:rsid w:val="00C618D2"/>
    <w:rsid w:val="00C6195C"/>
    <w:rsid w:val="00C6197D"/>
    <w:rsid w:val="00C61AC0"/>
    <w:rsid w:val="00C61CD9"/>
    <w:rsid w:val="00C61DF5"/>
    <w:rsid w:val="00C61EAD"/>
    <w:rsid w:val="00C61FDE"/>
    <w:rsid w:val="00C62042"/>
    <w:rsid w:val="00C621A8"/>
    <w:rsid w:val="00C62424"/>
    <w:rsid w:val="00C62449"/>
    <w:rsid w:val="00C62623"/>
    <w:rsid w:val="00C626CF"/>
    <w:rsid w:val="00C627A7"/>
    <w:rsid w:val="00C627E1"/>
    <w:rsid w:val="00C628B9"/>
    <w:rsid w:val="00C628E7"/>
    <w:rsid w:val="00C629EE"/>
    <w:rsid w:val="00C62C41"/>
    <w:rsid w:val="00C62C84"/>
    <w:rsid w:val="00C62DF7"/>
    <w:rsid w:val="00C62FA1"/>
    <w:rsid w:val="00C6307A"/>
    <w:rsid w:val="00C63228"/>
    <w:rsid w:val="00C635BA"/>
    <w:rsid w:val="00C63693"/>
    <w:rsid w:val="00C636AA"/>
    <w:rsid w:val="00C636DC"/>
    <w:rsid w:val="00C63AA4"/>
    <w:rsid w:val="00C63CBC"/>
    <w:rsid w:val="00C63E75"/>
    <w:rsid w:val="00C63E95"/>
    <w:rsid w:val="00C640EC"/>
    <w:rsid w:val="00C6415B"/>
    <w:rsid w:val="00C64334"/>
    <w:rsid w:val="00C645EA"/>
    <w:rsid w:val="00C6466E"/>
    <w:rsid w:val="00C6472C"/>
    <w:rsid w:val="00C64832"/>
    <w:rsid w:val="00C64954"/>
    <w:rsid w:val="00C64977"/>
    <w:rsid w:val="00C649F3"/>
    <w:rsid w:val="00C64B3A"/>
    <w:rsid w:val="00C64BE4"/>
    <w:rsid w:val="00C64DF3"/>
    <w:rsid w:val="00C65016"/>
    <w:rsid w:val="00C65159"/>
    <w:rsid w:val="00C652D3"/>
    <w:rsid w:val="00C652FA"/>
    <w:rsid w:val="00C65355"/>
    <w:rsid w:val="00C65446"/>
    <w:rsid w:val="00C65561"/>
    <w:rsid w:val="00C65758"/>
    <w:rsid w:val="00C65962"/>
    <w:rsid w:val="00C659EA"/>
    <w:rsid w:val="00C65A58"/>
    <w:rsid w:val="00C65A8E"/>
    <w:rsid w:val="00C65C15"/>
    <w:rsid w:val="00C65D86"/>
    <w:rsid w:val="00C65E91"/>
    <w:rsid w:val="00C66058"/>
    <w:rsid w:val="00C666A7"/>
    <w:rsid w:val="00C666E9"/>
    <w:rsid w:val="00C6676A"/>
    <w:rsid w:val="00C668C1"/>
    <w:rsid w:val="00C66A27"/>
    <w:rsid w:val="00C66B3C"/>
    <w:rsid w:val="00C66C76"/>
    <w:rsid w:val="00C66D27"/>
    <w:rsid w:val="00C66DB1"/>
    <w:rsid w:val="00C66E25"/>
    <w:rsid w:val="00C66E3A"/>
    <w:rsid w:val="00C66EAA"/>
    <w:rsid w:val="00C66FC6"/>
    <w:rsid w:val="00C66FCD"/>
    <w:rsid w:val="00C671DB"/>
    <w:rsid w:val="00C6723F"/>
    <w:rsid w:val="00C673DE"/>
    <w:rsid w:val="00C6748D"/>
    <w:rsid w:val="00C67932"/>
    <w:rsid w:val="00C67940"/>
    <w:rsid w:val="00C67AED"/>
    <w:rsid w:val="00C67D9D"/>
    <w:rsid w:val="00C67E7E"/>
    <w:rsid w:val="00C67ECD"/>
    <w:rsid w:val="00C67FD2"/>
    <w:rsid w:val="00C70066"/>
    <w:rsid w:val="00C700CA"/>
    <w:rsid w:val="00C7012F"/>
    <w:rsid w:val="00C7013A"/>
    <w:rsid w:val="00C70148"/>
    <w:rsid w:val="00C7037F"/>
    <w:rsid w:val="00C703B3"/>
    <w:rsid w:val="00C70596"/>
    <w:rsid w:val="00C707A2"/>
    <w:rsid w:val="00C707F0"/>
    <w:rsid w:val="00C70896"/>
    <w:rsid w:val="00C70C8B"/>
    <w:rsid w:val="00C70DD8"/>
    <w:rsid w:val="00C70F93"/>
    <w:rsid w:val="00C71229"/>
    <w:rsid w:val="00C71299"/>
    <w:rsid w:val="00C71342"/>
    <w:rsid w:val="00C714C0"/>
    <w:rsid w:val="00C71523"/>
    <w:rsid w:val="00C7160A"/>
    <w:rsid w:val="00C7166C"/>
    <w:rsid w:val="00C718BB"/>
    <w:rsid w:val="00C7196B"/>
    <w:rsid w:val="00C71D48"/>
    <w:rsid w:val="00C71D87"/>
    <w:rsid w:val="00C71E57"/>
    <w:rsid w:val="00C71FF4"/>
    <w:rsid w:val="00C7212C"/>
    <w:rsid w:val="00C7215A"/>
    <w:rsid w:val="00C723C8"/>
    <w:rsid w:val="00C7246F"/>
    <w:rsid w:val="00C725FD"/>
    <w:rsid w:val="00C7289B"/>
    <w:rsid w:val="00C72930"/>
    <w:rsid w:val="00C72AE1"/>
    <w:rsid w:val="00C72BD1"/>
    <w:rsid w:val="00C72E84"/>
    <w:rsid w:val="00C72E89"/>
    <w:rsid w:val="00C72EEC"/>
    <w:rsid w:val="00C72F29"/>
    <w:rsid w:val="00C730D8"/>
    <w:rsid w:val="00C73115"/>
    <w:rsid w:val="00C7315C"/>
    <w:rsid w:val="00C734B5"/>
    <w:rsid w:val="00C734E1"/>
    <w:rsid w:val="00C73524"/>
    <w:rsid w:val="00C7362E"/>
    <w:rsid w:val="00C7365A"/>
    <w:rsid w:val="00C737BB"/>
    <w:rsid w:val="00C73896"/>
    <w:rsid w:val="00C738A0"/>
    <w:rsid w:val="00C739DE"/>
    <w:rsid w:val="00C73B91"/>
    <w:rsid w:val="00C73BC1"/>
    <w:rsid w:val="00C73BD0"/>
    <w:rsid w:val="00C73BD9"/>
    <w:rsid w:val="00C73C74"/>
    <w:rsid w:val="00C73D4D"/>
    <w:rsid w:val="00C73E84"/>
    <w:rsid w:val="00C73E94"/>
    <w:rsid w:val="00C73FF8"/>
    <w:rsid w:val="00C74287"/>
    <w:rsid w:val="00C74303"/>
    <w:rsid w:val="00C74375"/>
    <w:rsid w:val="00C743AA"/>
    <w:rsid w:val="00C74585"/>
    <w:rsid w:val="00C74749"/>
    <w:rsid w:val="00C74770"/>
    <w:rsid w:val="00C747D3"/>
    <w:rsid w:val="00C74856"/>
    <w:rsid w:val="00C748D7"/>
    <w:rsid w:val="00C74934"/>
    <w:rsid w:val="00C74935"/>
    <w:rsid w:val="00C74959"/>
    <w:rsid w:val="00C74A08"/>
    <w:rsid w:val="00C74A59"/>
    <w:rsid w:val="00C74ADC"/>
    <w:rsid w:val="00C750FF"/>
    <w:rsid w:val="00C751CD"/>
    <w:rsid w:val="00C7520B"/>
    <w:rsid w:val="00C75296"/>
    <w:rsid w:val="00C75570"/>
    <w:rsid w:val="00C75645"/>
    <w:rsid w:val="00C75B03"/>
    <w:rsid w:val="00C75B44"/>
    <w:rsid w:val="00C75C14"/>
    <w:rsid w:val="00C75D07"/>
    <w:rsid w:val="00C75D6C"/>
    <w:rsid w:val="00C75EE7"/>
    <w:rsid w:val="00C75FDE"/>
    <w:rsid w:val="00C760C9"/>
    <w:rsid w:val="00C761FF"/>
    <w:rsid w:val="00C7629C"/>
    <w:rsid w:val="00C7633D"/>
    <w:rsid w:val="00C763BC"/>
    <w:rsid w:val="00C763BD"/>
    <w:rsid w:val="00C765A7"/>
    <w:rsid w:val="00C76800"/>
    <w:rsid w:val="00C768F9"/>
    <w:rsid w:val="00C76B89"/>
    <w:rsid w:val="00C76E43"/>
    <w:rsid w:val="00C76E51"/>
    <w:rsid w:val="00C77090"/>
    <w:rsid w:val="00C770AD"/>
    <w:rsid w:val="00C771A7"/>
    <w:rsid w:val="00C771EB"/>
    <w:rsid w:val="00C7723F"/>
    <w:rsid w:val="00C77262"/>
    <w:rsid w:val="00C7731F"/>
    <w:rsid w:val="00C77377"/>
    <w:rsid w:val="00C775A5"/>
    <w:rsid w:val="00C7773B"/>
    <w:rsid w:val="00C777C2"/>
    <w:rsid w:val="00C7793C"/>
    <w:rsid w:val="00C77A54"/>
    <w:rsid w:val="00C77C9A"/>
    <w:rsid w:val="00C77CE9"/>
    <w:rsid w:val="00C77E26"/>
    <w:rsid w:val="00C77E5C"/>
    <w:rsid w:val="00C77E61"/>
    <w:rsid w:val="00C80037"/>
    <w:rsid w:val="00C803B4"/>
    <w:rsid w:val="00C803C7"/>
    <w:rsid w:val="00C80460"/>
    <w:rsid w:val="00C8058B"/>
    <w:rsid w:val="00C8066C"/>
    <w:rsid w:val="00C80681"/>
    <w:rsid w:val="00C806CA"/>
    <w:rsid w:val="00C8078A"/>
    <w:rsid w:val="00C808FE"/>
    <w:rsid w:val="00C80C44"/>
    <w:rsid w:val="00C80D70"/>
    <w:rsid w:val="00C80EAF"/>
    <w:rsid w:val="00C80EF1"/>
    <w:rsid w:val="00C80F69"/>
    <w:rsid w:val="00C81018"/>
    <w:rsid w:val="00C81108"/>
    <w:rsid w:val="00C8122D"/>
    <w:rsid w:val="00C812EA"/>
    <w:rsid w:val="00C812FC"/>
    <w:rsid w:val="00C81421"/>
    <w:rsid w:val="00C8142E"/>
    <w:rsid w:val="00C814DD"/>
    <w:rsid w:val="00C8156D"/>
    <w:rsid w:val="00C81658"/>
    <w:rsid w:val="00C818CC"/>
    <w:rsid w:val="00C819BF"/>
    <w:rsid w:val="00C81BB1"/>
    <w:rsid w:val="00C81BF9"/>
    <w:rsid w:val="00C820BC"/>
    <w:rsid w:val="00C822DB"/>
    <w:rsid w:val="00C82317"/>
    <w:rsid w:val="00C82329"/>
    <w:rsid w:val="00C8254C"/>
    <w:rsid w:val="00C825BD"/>
    <w:rsid w:val="00C82620"/>
    <w:rsid w:val="00C827E5"/>
    <w:rsid w:val="00C828C6"/>
    <w:rsid w:val="00C829B1"/>
    <w:rsid w:val="00C82E6A"/>
    <w:rsid w:val="00C82FAF"/>
    <w:rsid w:val="00C83012"/>
    <w:rsid w:val="00C8301A"/>
    <w:rsid w:val="00C830F7"/>
    <w:rsid w:val="00C8315F"/>
    <w:rsid w:val="00C831B9"/>
    <w:rsid w:val="00C831E4"/>
    <w:rsid w:val="00C832E0"/>
    <w:rsid w:val="00C83361"/>
    <w:rsid w:val="00C83483"/>
    <w:rsid w:val="00C83611"/>
    <w:rsid w:val="00C83691"/>
    <w:rsid w:val="00C83727"/>
    <w:rsid w:val="00C837AD"/>
    <w:rsid w:val="00C83895"/>
    <w:rsid w:val="00C83941"/>
    <w:rsid w:val="00C83BA7"/>
    <w:rsid w:val="00C83D2D"/>
    <w:rsid w:val="00C83D57"/>
    <w:rsid w:val="00C83D92"/>
    <w:rsid w:val="00C83E00"/>
    <w:rsid w:val="00C83EB7"/>
    <w:rsid w:val="00C83F56"/>
    <w:rsid w:val="00C83FB2"/>
    <w:rsid w:val="00C8415D"/>
    <w:rsid w:val="00C84226"/>
    <w:rsid w:val="00C842E8"/>
    <w:rsid w:val="00C84346"/>
    <w:rsid w:val="00C8459A"/>
    <w:rsid w:val="00C84929"/>
    <w:rsid w:val="00C84B43"/>
    <w:rsid w:val="00C84E4A"/>
    <w:rsid w:val="00C84EE2"/>
    <w:rsid w:val="00C8527D"/>
    <w:rsid w:val="00C85375"/>
    <w:rsid w:val="00C855BF"/>
    <w:rsid w:val="00C859BF"/>
    <w:rsid w:val="00C85A87"/>
    <w:rsid w:val="00C85AD6"/>
    <w:rsid w:val="00C85B4F"/>
    <w:rsid w:val="00C85F34"/>
    <w:rsid w:val="00C860E2"/>
    <w:rsid w:val="00C861BB"/>
    <w:rsid w:val="00C8626C"/>
    <w:rsid w:val="00C8632C"/>
    <w:rsid w:val="00C86495"/>
    <w:rsid w:val="00C864E2"/>
    <w:rsid w:val="00C8653A"/>
    <w:rsid w:val="00C86882"/>
    <w:rsid w:val="00C86C1C"/>
    <w:rsid w:val="00C86CE3"/>
    <w:rsid w:val="00C86CFD"/>
    <w:rsid w:val="00C86E5E"/>
    <w:rsid w:val="00C86FBA"/>
    <w:rsid w:val="00C86FD9"/>
    <w:rsid w:val="00C870CA"/>
    <w:rsid w:val="00C87297"/>
    <w:rsid w:val="00C87379"/>
    <w:rsid w:val="00C87419"/>
    <w:rsid w:val="00C87429"/>
    <w:rsid w:val="00C87494"/>
    <w:rsid w:val="00C87636"/>
    <w:rsid w:val="00C87765"/>
    <w:rsid w:val="00C87888"/>
    <w:rsid w:val="00C87AFF"/>
    <w:rsid w:val="00C87BBE"/>
    <w:rsid w:val="00C87F37"/>
    <w:rsid w:val="00C87FDA"/>
    <w:rsid w:val="00C90156"/>
    <w:rsid w:val="00C901DC"/>
    <w:rsid w:val="00C902C4"/>
    <w:rsid w:val="00C90661"/>
    <w:rsid w:val="00C907D1"/>
    <w:rsid w:val="00C90879"/>
    <w:rsid w:val="00C908FB"/>
    <w:rsid w:val="00C9098A"/>
    <w:rsid w:val="00C909F5"/>
    <w:rsid w:val="00C90B0A"/>
    <w:rsid w:val="00C90BCD"/>
    <w:rsid w:val="00C90C7E"/>
    <w:rsid w:val="00C90CB9"/>
    <w:rsid w:val="00C90E4F"/>
    <w:rsid w:val="00C90FB7"/>
    <w:rsid w:val="00C911F6"/>
    <w:rsid w:val="00C9125F"/>
    <w:rsid w:val="00C9127F"/>
    <w:rsid w:val="00C912DF"/>
    <w:rsid w:val="00C91481"/>
    <w:rsid w:val="00C914C7"/>
    <w:rsid w:val="00C9161F"/>
    <w:rsid w:val="00C9187A"/>
    <w:rsid w:val="00C91890"/>
    <w:rsid w:val="00C91AB6"/>
    <w:rsid w:val="00C91ACD"/>
    <w:rsid w:val="00C91D41"/>
    <w:rsid w:val="00C921E5"/>
    <w:rsid w:val="00C92241"/>
    <w:rsid w:val="00C923BF"/>
    <w:rsid w:val="00C92557"/>
    <w:rsid w:val="00C92600"/>
    <w:rsid w:val="00C9265D"/>
    <w:rsid w:val="00C9275E"/>
    <w:rsid w:val="00C9284C"/>
    <w:rsid w:val="00C92962"/>
    <w:rsid w:val="00C9297D"/>
    <w:rsid w:val="00C92B0A"/>
    <w:rsid w:val="00C92C36"/>
    <w:rsid w:val="00C92F09"/>
    <w:rsid w:val="00C9331C"/>
    <w:rsid w:val="00C93698"/>
    <w:rsid w:val="00C9376A"/>
    <w:rsid w:val="00C93974"/>
    <w:rsid w:val="00C93A2A"/>
    <w:rsid w:val="00C93AA4"/>
    <w:rsid w:val="00C93BB9"/>
    <w:rsid w:val="00C93D50"/>
    <w:rsid w:val="00C93E73"/>
    <w:rsid w:val="00C93F24"/>
    <w:rsid w:val="00C94209"/>
    <w:rsid w:val="00C94288"/>
    <w:rsid w:val="00C942C5"/>
    <w:rsid w:val="00C943FB"/>
    <w:rsid w:val="00C94607"/>
    <w:rsid w:val="00C94805"/>
    <w:rsid w:val="00C9482B"/>
    <w:rsid w:val="00C94846"/>
    <w:rsid w:val="00C9493A"/>
    <w:rsid w:val="00C94CC8"/>
    <w:rsid w:val="00C94CD6"/>
    <w:rsid w:val="00C94F63"/>
    <w:rsid w:val="00C94F75"/>
    <w:rsid w:val="00C9508B"/>
    <w:rsid w:val="00C95156"/>
    <w:rsid w:val="00C9524A"/>
    <w:rsid w:val="00C953E1"/>
    <w:rsid w:val="00C95627"/>
    <w:rsid w:val="00C95698"/>
    <w:rsid w:val="00C95873"/>
    <w:rsid w:val="00C958AE"/>
    <w:rsid w:val="00C958D9"/>
    <w:rsid w:val="00C95916"/>
    <w:rsid w:val="00C95931"/>
    <w:rsid w:val="00C95968"/>
    <w:rsid w:val="00C95A1B"/>
    <w:rsid w:val="00C95A4F"/>
    <w:rsid w:val="00C95B54"/>
    <w:rsid w:val="00C95D26"/>
    <w:rsid w:val="00C95EFC"/>
    <w:rsid w:val="00C96250"/>
    <w:rsid w:val="00C962F3"/>
    <w:rsid w:val="00C964E5"/>
    <w:rsid w:val="00C9666F"/>
    <w:rsid w:val="00C966C2"/>
    <w:rsid w:val="00C9675F"/>
    <w:rsid w:val="00C969DF"/>
    <w:rsid w:val="00C969F3"/>
    <w:rsid w:val="00C96B74"/>
    <w:rsid w:val="00C96BC6"/>
    <w:rsid w:val="00C96C8A"/>
    <w:rsid w:val="00C96D1F"/>
    <w:rsid w:val="00C96EE0"/>
    <w:rsid w:val="00C970AA"/>
    <w:rsid w:val="00C970C3"/>
    <w:rsid w:val="00C97382"/>
    <w:rsid w:val="00C973ED"/>
    <w:rsid w:val="00C97546"/>
    <w:rsid w:val="00C97585"/>
    <w:rsid w:val="00C975E5"/>
    <w:rsid w:val="00C97CD8"/>
    <w:rsid w:val="00C97DD4"/>
    <w:rsid w:val="00C97F0A"/>
    <w:rsid w:val="00CA0028"/>
    <w:rsid w:val="00CA00FB"/>
    <w:rsid w:val="00CA0189"/>
    <w:rsid w:val="00CA018E"/>
    <w:rsid w:val="00CA0231"/>
    <w:rsid w:val="00CA0284"/>
    <w:rsid w:val="00CA0359"/>
    <w:rsid w:val="00CA0A09"/>
    <w:rsid w:val="00CA0A3C"/>
    <w:rsid w:val="00CA0B45"/>
    <w:rsid w:val="00CA0D38"/>
    <w:rsid w:val="00CA0FB1"/>
    <w:rsid w:val="00CA1278"/>
    <w:rsid w:val="00CA1407"/>
    <w:rsid w:val="00CA1525"/>
    <w:rsid w:val="00CA157F"/>
    <w:rsid w:val="00CA186C"/>
    <w:rsid w:val="00CA19E5"/>
    <w:rsid w:val="00CA1ACB"/>
    <w:rsid w:val="00CA1B0C"/>
    <w:rsid w:val="00CA1B79"/>
    <w:rsid w:val="00CA1D5D"/>
    <w:rsid w:val="00CA1D8B"/>
    <w:rsid w:val="00CA21E8"/>
    <w:rsid w:val="00CA2409"/>
    <w:rsid w:val="00CA2461"/>
    <w:rsid w:val="00CA261D"/>
    <w:rsid w:val="00CA2764"/>
    <w:rsid w:val="00CA27AD"/>
    <w:rsid w:val="00CA27C2"/>
    <w:rsid w:val="00CA2808"/>
    <w:rsid w:val="00CA287B"/>
    <w:rsid w:val="00CA29C3"/>
    <w:rsid w:val="00CA2C30"/>
    <w:rsid w:val="00CA2C34"/>
    <w:rsid w:val="00CA2C80"/>
    <w:rsid w:val="00CA2CBA"/>
    <w:rsid w:val="00CA2CF1"/>
    <w:rsid w:val="00CA2D56"/>
    <w:rsid w:val="00CA30B3"/>
    <w:rsid w:val="00CA315F"/>
    <w:rsid w:val="00CA32E5"/>
    <w:rsid w:val="00CA3782"/>
    <w:rsid w:val="00CA385C"/>
    <w:rsid w:val="00CA3959"/>
    <w:rsid w:val="00CA39A6"/>
    <w:rsid w:val="00CA3A22"/>
    <w:rsid w:val="00CA3B4D"/>
    <w:rsid w:val="00CA3DA8"/>
    <w:rsid w:val="00CA3E0B"/>
    <w:rsid w:val="00CA3FB4"/>
    <w:rsid w:val="00CA4064"/>
    <w:rsid w:val="00CA4095"/>
    <w:rsid w:val="00CA4146"/>
    <w:rsid w:val="00CA43ED"/>
    <w:rsid w:val="00CA44B5"/>
    <w:rsid w:val="00CA44BB"/>
    <w:rsid w:val="00CA44DA"/>
    <w:rsid w:val="00CA46B7"/>
    <w:rsid w:val="00CA47D9"/>
    <w:rsid w:val="00CA47EE"/>
    <w:rsid w:val="00CA4A06"/>
    <w:rsid w:val="00CA4C79"/>
    <w:rsid w:val="00CA4CEE"/>
    <w:rsid w:val="00CA4D5D"/>
    <w:rsid w:val="00CA4D7B"/>
    <w:rsid w:val="00CA4D7F"/>
    <w:rsid w:val="00CA4E5A"/>
    <w:rsid w:val="00CA4FAD"/>
    <w:rsid w:val="00CA4FFB"/>
    <w:rsid w:val="00CA5113"/>
    <w:rsid w:val="00CA516C"/>
    <w:rsid w:val="00CA5191"/>
    <w:rsid w:val="00CA555A"/>
    <w:rsid w:val="00CA557C"/>
    <w:rsid w:val="00CA5CB3"/>
    <w:rsid w:val="00CA5DB6"/>
    <w:rsid w:val="00CA5E79"/>
    <w:rsid w:val="00CA5E7E"/>
    <w:rsid w:val="00CA6007"/>
    <w:rsid w:val="00CA6269"/>
    <w:rsid w:val="00CA654B"/>
    <w:rsid w:val="00CA66B7"/>
    <w:rsid w:val="00CA66C3"/>
    <w:rsid w:val="00CA675B"/>
    <w:rsid w:val="00CA6900"/>
    <w:rsid w:val="00CA6A87"/>
    <w:rsid w:val="00CA6D99"/>
    <w:rsid w:val="00CA6DD9"/>
    <w:rsid w:val="00CA6E36"/>
    <w:rsid w:val="00CA6E72"/>
    <w:rsid w:val="00CA6FCB"/>
    <w:rsid w:val="00CA706D"/>
    <w:rsid w:val="00CA70AB"/>
    <w:rsid w:val="00CA70D9"/>
    <w:rsid w:val="00CA722A"/>
    <w:rsid w:val="00CA73B8"/>
    <w:rsid w:val="00CA7492"/>
    <w:rsid w:val="00CA767B"/>
    <w:rsid w:val="00CA769A"/>
    <w:rsid w:val="00CA79C6"/>
    <w:rsid w:val="00CA7B82"/>
    <w:rsid w:val="00CA7C41"/>
    <w:rsid w:val="00CA7C8A"/>
    <w:rsid w:val="00CA7DE3"/>
    <w:rsid w:val="00CA7E28"/>
    <w:rsid w:val="00CB011C"/>
    <w:rsid w:val="00CB0214"/>
    <w:rsid w:val="00CB02B5"/>
    <w:rsid w:val="00CB0339"/>
    <w:rsid w:val="00CB036B"/>
    <w:rsid w:val="00CB03AC"/>
    <w:rsid w:val="00CB049F"/>
    <w:rsid w:val="00CB063A"/>
    <w:rsid w:val="00CB083E"/>
    <w:rsid w:val="00CB0AEE"/>
    <w:rsid w:val="00CB0BFD"/>
    <w:rsid w:val="00CB0DD5"/>
    <w:rsid w:val="00CB0E27"/>
    <w:rsid w:val="00CB1206"/>
    <w:rsid w:val="00CB123D"/>
    <w:rsid w:val="00CB1456"/>
    <w:rsid w:val="00CB169C"/>
    <w:rsid w:val="00CB1726"/>
    <w:rsid w:val="00CB18FB"/>
    <w:rsid w:val="00CB1971"/>
    <w:rsid w:val="00CB1BE3"/>
    <w:rsid w:val="00CB1CC3"/>
    <w:rsid w:val="00CB1CEF"/>
    <w:rsid w:val="00CB1ED8"/>
    <w:rsid w:val="00CB1F93"/>
    <w:rsid w:val="00CB1F97"/>
    <w:rsid w:val="00CB21CA"/>
    <w:rsid w:val="00CB231F"/>
    <w:rsid w:val="00CB2369"/>
    <w:rsid w:val="00CB23AB"/>
    <w:rsid w:val="00CB23D9"/>
    <w:rsid w:val="00CB2415"/>
    <w:rsid w:val="00CB2552"/>
    <w:rsid w:val="00CB2C60"/>
    <w:rsid w:val="00CB2E79"/>
    <w:rsid w:val="00CB3169"/>
    <w:rsid w:val="00CB31B9"/>
    <w:rsid w:val="00CB324F"/>
    <w:rsid w:val="00CB3406"/>
    <w:rsid w:val="00CB3583"/>
    <w:rsid w:val="00CB3808"/>
    <w:rsid w:val="00CB38E9"/>
    <w:rsid w:val="00CB3910"/>
    <w:rsid w:val="00CB394C"/>
    <w:rsid w:val="00CB39DF"/>
    <w:rsid w:val="00CB3A54"/>
    <w:rsid w:val="00CB3ABD"/>
    <w:rsid w:val="00CB3B1B"/>
    <w:rsid w:val="00CB3BD8"/>
    <w:rsid w:val="00CB3D42"/>
    <w:rsid w:val="00CB3EBB"/>
    <w:rsid w:val="00CB3F12"/>
    <w:rsid w:val="00CB3FD2"/>
    <w:rsid w:val="00CB3FDF"/>
    <w:rsid w:val="00CB40AC"/>
    <w:rsid w:val="00CB40CB"/>
    <w:rsid w:val="00CB4134"/>
    <w:rsid w:val="00CB4353"/>
    <w:rsid w:val="00CB43C5"/>
    <w:rsid w:val="00CB43CC"/>
    <w:rsid w:val="00CB44CE"/>
    <w:rsid w:val="00CB46C0"/>
    <w:rsid w:val="00CB47EE"/>
    <w:rsid w:val="00CB4863"/>
    <w:rsid w:val="00CB4A8C"/>
    <w:rsid w:val="00CB4CCC"/>
    <w:rsid w:val="00CB4D0E"/>
    <w:rsid w:val="00CB4D40"/>
    <w:rsid w:val="00CB4E93"/>
    <w:rsid w:val="00CB4E94"/>
    <w:rsid w:val="00CB5069"/>
    <w:rsid w:val="00CB50B3"/>
    <w:rsid w:val="00CB50C1"/>
    <w:rsid w:val="00CB56E2"/>
    <w:rsid w:val="00CB5895"/>
    <w:rsid w:val="00CB5913"/>
    <w:rsid w:val="00CB5C46"/>
    <w:rsid w:val="00CB5C97"/>
    <w:rsid w:val="00CB5D2E"/>
    <w:rsid w:val="00CB61E7"/>
    <w:rsid w:val="00CB63A3"/>
    <w:rsid w:val="00CB63B8"/>
    <w:rsid w:val="00CB64AA"/>
    <w:rsid w:val="00CB65F9"/>
    <w:rsid w:val="00CB6707"/>
    <w:rsid w:val="00CB6787"/>
    <w:rsid w:val="00CB67DE"/>
    <w:rsid w:val="00CB684D"/>
    <w:rsid w:val="00CB68C9"/>
    <w:rsid w:val="00CB6951"/>
    <w:rsid w:val="00CB6AA0"/>
    <w:rsid w:val="00CB6AA5"/>
    <w:rsid w:val="00CB6B22"/>
    <w:rsid w:val="00CB6FA7"/>
    <w:rsid w:val="00CB6FBC"/>
    <w:rsid w:val="00CB712D"/>
    <w:rsid w:val="00CB7434"/>
    <w:rsid w:val="00CB74CF"/>
    <w:rsid w:val="00CB75F5"/>
    <w:rsid w:val="00CB78D3"/>
    <w:rsid w:val="00CB7A1F"/>
    <w:rsid w:val="00CB7B9F"/>
    <w:rsid w:val="00CB7BD1"/>
    <w:rsid w:val="00CB7E1A"/>
    <w:rsid w:val="00CC00A7"/>
    <w:rsid w:val="00CC00F3"/>
    <w:rsid w:val="00CC042F"/>
    <w:rsid w:val="00CC0646"/>
    <w:rsid w:val="00CC083E"/>
    <w:rsid w:val="00CC0853"/>
    <w:rsid w:val="00CC087B"/>
    <w:rsid w:val="00CC08E7"/>
    <w:rsid w:val="00CC0FC4"/>
    <w:rsid w:val="00CC125A"/>
    <w:rsid w:val="00CC143D"/>
    <w:rsid w:val="00CC153E"/>
    <w:rsid w:val="00CC156D"/>
    <w:rsid w:val="00CC1593"/>
    <w:rsid w:val="00CC177A"/>
    <w:rsid w:val="00CC17A3"/>
    <w:rsid w:val="00CC17AA"/>
    <w:rsid w:val="00CC1809"/>
    <w:rsid w:val="00CC1AD9"/>
    <w:rsid w:val="00CC1BA7"/>
    <w:rsid w:val="00CC1D87"/>
    <w:rsid w:val="00CC215E"/>
    <w:rsid w:val="00CC2412"/>
    <w:rsid w:val="00CC2460"/>
    <w:rsid w:val="00CC2475"/>
    <w:rsid w:val="00CC2527"/>
    <w:rsid w:val="00CC25EF"/>
    <w:rsid w:val="00CC2667"/>
    <w:rsid w:val="00CC26ED"/>
    <w:rsid w:val="00CC27CF"/>
    <w:rsid w:val="00CC28A3"/>
    <w:rsid w:val="00CC296B"/>
    <w:rsid w:val="00CC2B85"/>
    <w:rsid w:val="00CC2C79"/>
    <w:rsid w:val="00CC2D23"/>
    <w:rsid w:val="00CC311F"/>
    <w:rsid w:val="00CC338F"/>
    <w:rsid w:val="00CC353E"/>
    <w:rsid w:val="00CC3728"/>
    <w:rsid w:val="00CC389F"/>
    <w:rsid w:val="00CC3983"/>
    <w:rsid w:val="00CC3AE4"/>
    <w:rsid w:val="00CC3D1D"/>
    <w:rsid w:val="00CC40B0"/>
    <w:rsid w:val="00CC424B"/>
    <w:rsid w:val="00CC4B9C"/>
    <w:rsid w:val="00CC4BD2"/>
    <w:rsid w:val="00CC4F02"/>
    <w:rsid w:val="00CC5001"/>
    <w:rsid w:val="00CC513D"/>
    <w:rsid w:val="00CC5162"/>
    <w:rsid w:val="00CC5182"/>
    <w:rsid w:val="00CC518D"/>
    <w:rsid w:val="00CC51FB"/>
    <w:rsid w:val="00CC5221"/>
    <w:rsid w:val="00CC53F5"/>
    <w:rsid w:val="00CC54E0"/>
    <w:rsid w:val="00CC5505"/>
    <w:rsid w:val="00CC55C7"/>
    <w:rsid w:val="00CC5780"/>
    <w:rsid w:val="00CC57A5"/>
    <w:rsid w:val="00CC57AB"/>
    <w:rsid w:val="00CC598D"/>
    <w:rsid w:val="00CC59B0"/>
    <w:rsid w:val="00CC59FF"/>
    <w:rsid w:val="00CC5C36"/>
    <w:rsid w:val="00CC5D72"/>
    <w:rsid w:val="00CC5DA5"/>
    <w:rsid w:val="00CC5E4B"/>
    <w:rsid w:val="00CC5FFC"/>
    <w:rsid w:val="00CC6181"/>
    <w:rsid w:val="00CC6241"/>
    <w:rsid w:val="00CC6276"/>
    <w:rsid w:val="00CC6340"/>
    <w:rsid w:val="00CC6397"/>
    <w:rsid w:val="00CC63E8"/>
    <w:rsid w:val="00CC64E4"/>
    <w:rsid w:val="00CC6531"/>
    <w:rsid w:val="00CC6895"/>
    <w:rsid w:val="00CC690F"/>
    <w:rsid w:val="00CC699A"/>
    <w:rsid w:val="00CC6ADB"/>
    <w:rsid w:val="00CC6E52"/>
    <w:rsid w:val="00CC7246"/>
    <w:rsid w:val="00CC724B"/>
    <w:rsid w:val="00CC74A4"/>
    <w:rsid w:val="00CC76AC"/>
    <w:rsid w:val="00CC76DC"/>
    <w:rsid w:val="00CC76FC"/>
    <w:rsid w:val="00CC78E1"/>
    <w:rsid w:val="00CC79C6"/>
    <w:rsid w:val="00CC7AFC"/>
    <w:rsid w:val="00CC7CDB"/>
    <w:rsid w:val="00CC7DFB"/>
    <w:rsid w:val="00CD0065"/>
    <w:rsid w:val="00CD00F2"/>
    <w:rsid w:val="00CD010C"/>
    <w:rsid w:val="00CD0158"/>
    <w:rsid w:val="00CD0239"/>
    <w:rsid w:val="00CD02E6"/>
    <w:rsid w:val="00CD03A2"/>
    <w:rsid w:val="00CD03F3"/>
    <w:rsid w:val="00CD041B"/>
    <w:rsid w:val="00CD0569"/>
    <w:rsid w:val="00CD0589"/>
    <w:rsid w:val="00CD064A"/>
    <w:rsid w:val="00CD07E4"/>
    <w:rsid w:val="00CD0893"/>
    <w:rsid w:val="00CD08EE"/>
    <w:rsid w:val="00CD098A"/>
    <w:rsid w:val="00CD0B94"/>
    <w:rsid w:val="00CD1008"/>
    <w:rsid w:val="00CD1382"/>
    <w:rsid w:val="00CD165A"/>
    <w:rsid w:val="00CD1767"/>
    <w:rsid w:val="00CD1853"/>
    <w:rsid w:val="00CD1A72"/>
    <w:rsid w:val="00CD1B00"/>
    <w:rsid w:val="00CD1BC9"/>
    <w:rsid w:val="00CD1C7C"/>
    <w:rsid w:val="00CD1D04"/>
    <w:rsid w:val="00CD2041"/>
    <w:rsid w:val="00CD2121"/>
    <w:rsid w:val="00CD215F"/>
    <w:rsid w:val="00CD22FD"/>
    <w:rsid w:val="00CD2324"/>
    <w:rsid w:val="00CD23AA"/>
    <w:rsid w:val="00CD24B3"/>
    <w:rsid w:val="00CD24CF"/>
    <w:rsid w:val="00CD26AB"/>
    <w:rsid w:val="00CD2801"/>
    <w:rsid w:val="00CD28EF"/>
    <w:rsid w:val="00CD2AAF"/>
    <w:rsid w:val="00CD2D3C"/>
    <w:rsid w:val="00CD2FB7"/>
    <w:rsid w:val="00CD2FE5"/>
    <w:rsid w:val="00CD3002"/>
    <w:rsid w:val="00CD3065"/>
    <w:rsid w:val="00CD3407"/>
    <w:rsid w:val="00CD344C"/>
    <w:rsid w:val="00CD34CA"/>
    <w:rsid w:val="00CD3971"/>
    <w:rsid w:val="00CD39E0"/>
    <w:rsid w:val="00CD3A30"/>
    <w:rsid w:val="00CD3B8D"/>
    <w:rsid w:val="00CD3D1D"/>
    <w:rsid w:val="00CD403D"/>
    <w:rsid w:val="00CD404A"/>
    <w:rsid w:val="00CD4386"/>
    <w:rsid w:val="00CD44B0"/>
    <w:rsid w:val="00CD44F1"/>
    <w:rsid w:val="00CD478F"/>
    <w:rsid w:val="00CD47D6"/>
    <w:rsid w:val="00CD4836"/>
    <w:rsid w:val="00CD4926"/>
    <w:rsid w:val="00CD4C17"/>
    <w:rsid w:val="00CD4CC5"/>
    <w:rsid w:val="00CD4D35"/>
    <w:rsid w:val="00CD4D93"/>
    <w:rsid w:val="00CD4DE5"/>
    <w:rsid w:val="00CD4FA6"/>
    <w:rsid w:val="00CD5092"/>
    <w:rsid w:val="00CD50CC"/>
    <w:rsid w:val="00CD5796"/>
    <w:rsid w:val="00CD5954"/>
    <w:rsid w:val="00CD5D17"/>
    <w:rsid w:val="00CD5D18"/>
    <w:rsid w:val="00CD5D21"/>
    <w:rsid w:val="00CD5D7A"/>
    <w:rsid w:val="00CD5F00"/>
    <w:rsid w:val="00CD5F46"/>
    <w:rsid w:val="00CD5F9F"/>
    <w:rsid w:val="00CD5FB8"/>
    <w:rsid w:val="00CD6088"/>
    <w:rsid w:val="00CD613A"/>
    <w:rsid w:val="00CD619A"/>
    <w:rsid w:val="00CD6325"/>
    <w:rsid w:val="00CD6488"/>
    <w:rsid w:val="00CD67CF"/>
    <w:rsid w:val="00CD6836"/>
    <w:rsid w:val="00CD689A"/>
    <w:rsid w:val="00CD68C0"/>
    <w:rsid w:val="00CD6973"/>
    <w:rsid w:val="00CD6A20"/>
    <w:rsid w:val="00CD6B57"/>
    <w:rsid w:val="00CD6CE5"/>
    <w:rsid w:val="00CD6DE3"/>
    <w:rsid w:val="00CD7082"/>
    <w:rsid w:val="00CD71D9"/>
    <w:rsid w:val="00CD72B2"/>
    <w:rsid w:val="00CD732E"/>
    <w:rsid w:val="00CD73EF"/>
    <w:rsid w:val="00CD74C9"/>
    <w:rsid w:val="00CD7561"/>
    <w:rsid w:val="00CD77BF"/>
    <w:rsid w:val="00CD78D6"/>
    <w:rsid w:val="00CD7A5C"/>
    <w:rsid w:val="00CD7AED"/>
    <w:rsid w:val="00CD7B75"/>
    <w:rsid w:val="00CD7CCA"/>
    <w:rsid w:val="00CD7D3D"/>
    <w:rsid w:val="00CD7E23"/>
    <w:rsid w:val="00CE0084"/>
    <w:rsid w:val="00CE02F0"/>
    <w:rsid w:val="00CE032C"/>
    <w:rsid w:val="00CE0416"/>
    <w:rsid w:val="00CE045D"/>
    <w:rsid w:val="00CE063C"/>
    <w:rsid w:val="00CE0865"/>
    <w:rsid w:val="00CE0892"/>
    <w:rsid w:val="00CE08E1"/>
    <w:rsid w:val="00CE0AB6"/>
    <w:rsid w:val="00CE0B31"/>
    <w:rsid w:val="00CE0CA7"/>
    <w:rsid w:val="00CE0CD4"/>
    <w:rsid w:val="00CE0CDD"/>
    <w:rsid w:val="00CE0DCD"/>
    <w:rsid w:val="00CE0F40"/>
    <w:rsid w:val="00CE0F87"/>
    <w:rsid w:val="00CE0F97"/>
    <w:rsid w:val="00CE119A"/>
    <w:rsid w:val="00CE15D6"/>
    <w:rsid w:val="00CE1627"/>
    <w:rsid w:val="00CE1647"/>
    <w:rsid w:val="00CE1820"/>
    <w:rsid w:val="00CE187D"/>
    <w:rsid w:val="00CE1895"/>
    <w:rsid w:val="00CE1917"/>
    <w:rsid w:val="00CE198A"/>
    <w:rsid w:val="00CE199F"/>
    <w:rsid w:val="00CE1A6F"/>
    <w:rsid w:val="00CE1B03"/>
    <w:rsid w:val="00CE1BD8"/>
    <w:rsid w:val="00CE1C7D"/>
    <w:rsid w:val="00CE1D5E"/>
    <w:rsid w:val="00CE1E1C"/>
    <w:rsid w:val="00CE1FB4"/>
    <w:rsid w:val="00CE21A9"/>
    <w:rsid w:val="00CE21BD"/>
    <w:rsid w:val="00CE21D0"/>
    <w:rsid w:val="00CE22C5"/>
    <w:rsid w:val="00CE23C4"/>
    <w:rsid w:val="00CE288E"/>
    <w:rsid w:val="00CE28BE"/>
    <w:rsid w:val="00CE28FD"/>
    <w:rsid w:val="00CE2917"/>
    <w:rsid w:val="00CE2959"/>
    <w:rsid w:val="00CE2BBD"/>
    <w:rsid w:val="00CE2DB5"/>
    <w:rsid w:val="00CE2F9C"/>
    <w:rsid w:val="00CE2FF5"/>
    <w:rsid w:val="00CE338B"/>
    <w:rsid w:val="00CE3454"/>
    <w:rsid w:val="00CE3723"/>
    <w:rsid w:val="00CE3819"/>
    <w:rsid w:val="00CE3D65"/>
    <w:rsid w:val="00CE3D9A"/>
    <w:rsid w:val="00CE3EA5"/>
    <w:rsid w:val="00CE3F22"/>
    <w:rsid w:val="00CE3F6E"/>
    <w:rsid w:val="00CE4006"/>
    <w:rsid w:val="00CE41FF"/>
    <w:rsid w:val="00CE42F7"/>
    <w:rsid w:val="00CE444F"/>
    <w:rsid w:val="00CE4524"/>
    <w:rsid w:val="00CE460C"/>
    <w:rsid w:val="00CE4807"/>
    <w:rsid w:val="00CE4915"/>
    <w:rsid w:val="00CE492B"/>
    <w:rsid w:val="00CE4B34"/>
    <w:rsid w:val="00CE4CFB"/>
    <w:rsid w:val="00CE4E2C"/>
    <w:rsid w:val="00CE5198"/>
    <w:rsid w:val="00CE51FE"/>
    <w:rsid w:val="00CE53A7"/>
    <w:rsid w:val="00CE586B"/>
    <w:rsid w:val="00CE5985"/>
    <w:rsid w:val="00CE5B04"/>
    <w:rsid w:val="00CE5B0E"/>
    <w:rsid w:val="00CE6188"/>
    <w:rsid w:val="00CE62CA"/>
    <w:rsid w:val="00CE6527"/>
    <w:rsid w:val="00CE653E"/>
    <w:rsid w:val="00CE6732"/>
    <w:rsid w:val="00CE67E4"/>
    <w:rsid w:val="00CE6810"/>
    <w:rsid w:val="00CE6ADB"/>
    <w:rsid w:val="00CE6B12"/>
    <w:rsid w:val="00CE6CC6"/>
    <w:rsid w:val="00CE6D6E"/>
    <w:rsid w:val="00CE6DC6"/>
    <w:rsid w:val="00CE6DF6"/>
    <w:rsid w:val="00CE6F44"/>
    <w:rsid w:val="00CE718D"/>
    <w:rsid w:val="00CE719E"/>
    <w:rsid w:val="00CE73B7"/>
    <w:rsid w:val="00CE7477"/>
    <w:rsid w:val="00CE749C"/>
    <w:rsid w:val="00CE74F8"/>
    <w:rsid w:val="00CE766F"/>
    <w:rsid w:val="00CE77C3"/>
    <w:rsid w:val="00CE7848"/>
    <w:rsid w:val="00CE7F0D"/>
    <w:rsid w:val="00CF0111"/>
    <w:rsid w:val="00CF01E8"/>
    <w:rsid w:val="00CF069D"/>
    <w:rsid w:val="00CF0728"/>
    <w:rsid w:val="00CF0738"/>
    <w:rsid w:val="00CF0824"/>
    <w:rsid w:val="00CF0AF3"/>
    <w:rsid w:val="00CF0DF7"/>
    <w:rsid w:val="00CF0E3E"/>
    <w:rsid w:val="00CF0EB5"/>
    <w:rsid w:val="00CF128A"/>
    <w:rsid w:val="00CF1518"/>
    <w:rsid w:val="00CF1941"/>
    <w:rsid w:val="00CF1A50"/>
    <w:rsid w:val="00CF1D9F"/>
    <w:rsid w:val="00CF1E24"/>
    <w:rsid w:val="00CF1E94"/>
    <w:rsid w:val="00CF1EB4"/>
    <w:rsid w:val="00CF21A3"/>
    <w:rsid w:val="00CF2260"/>
    <w:rsid w:val="00CF22A7"/>
    <w:rsid w:val="00CF231F"/>
    <w:rsid w:val="00CF254E"/>
    <w:rsid w:val="00CF2681"/>
    <w:rsid w:val="00CF279F"/>
    <w:rsid w:val="00CF28F9"/>
    <w:rsid w:val="00CF2AA6"/>
    <w:rsid w:val="00CF2ADB"/>
    <w:rsid w:val="00CF2B7A"/>
    <w:rsid w:val="00CF2BBA"/>
    <w:rsid w:val="00CF305E"/>
    <w:rsid w:val="00CF328A"/>
    <w:rsid w:val="00CF32AD"/>
    <w:rsid w:val="00CF32ED"/>
    <w:rsid w:val="00CF34F8"/>
    <w:rsid w:val="00CF35C0"/>
    <w:rsid w:val="00CF3754"/>
    <w:rsid w:val="00CF3BD8"/>
    <w:rsid w:val="00CF3E6D"/>
    <w:rsid w:val="00CF401C"/>
    <w:rsid w:val="00CF40A0"/>
    <w:rsid w:val="00CF4123"/>
    <w:rsid w:val="00CF4332"/>
    <w:rsid w:val="00CF4346"/>
    <w:rsid w:val="00CF439A"/>
    <w:rsid w:val="00CF43FE"/>
    <w:rsid w:val="00CF44C6"/>
    <w:rsid w:val="00CF4583"/>
    <w:rsid w:val="00CF4596"/>
    <w:rsid w:val="00CF46BB"/>
    <w:rsid w:val="00CF475D"/>
    <w:rsid w:val="00CF4926"/>
    <w:rsid w:val="00CF4B0F"/>
    <w:rsid w:val="00CF4E05"/>
    <w:rsid w:val="00CF4FF6"/>
    <w:rsid w:val="00CF509E"/>
    <w:rsid w:val="00CF50A7"/>
    <w:rsid w:val="00CF50EA"/>
    <w:rsid w:val="00CF54E1"/>
    <w:rsid w:val="00CF5549"/>
    <w:rsid w:val="00CF563F"/>
    <w:rsid w:val="00CF56B5"/>
    <w:rsid w:val="00CF5711"/>
    <w:rsid w:val="00CF57A5"/>
    <w:rsid w:val="00CF59D1"/>
    <w:rsid w:val="00CF5CB3"/>
    <w:rsid w:val="00CF614D"/>
    <w:rsid w:val="00CF61BA"/>
    <w:rsid w:val="00CF61FE"/>
    <w:rsid w:val="00CF62D8"/>
    <w:rsid w:val="00CF63E8"/>
    <w:rsid w:val="00CF653F"/>
    <w:rsid w:val="00CF6563"/>
    <w:rsid w:val="00CF6651"/>
    <w:rsid w:val="00CF66C8"/>
    <w:rsid w:val="00CF6A21"/>
    <w:rsid w:val="00CF6AF4"/>
    <w:rsid w:val="00CF6BA8"/>
    <w:rsid w:val="00CF6D55"/>
    <w:rsid w:val="00CF6D80"/>
    <w:rsid w:val="00CF6E04"/>
    <w:rsid w:val="00CF6E74"/>
    <w:rsid w:val="00CF6F64"/>
    <w:rsid w:val="00CF6FCA"/>
    <w:rsid w:val="00CF7167"/>
    <w:rsid w:val="00CF7182"/>
    <w:rsid w:val="00CF71D7"/>
    <w:rsid w:val="00CF73B3"/>
    <w:rsid w:val="00CF75BB"/>
    <w:rsid w:val="00CF7A6C"/>
    <w:rsid w:val="00CF7C65"/>
    <w:rsid w:val="00CF7E77"/>
    <w:rsid w:val="00D0024C"/>
    <w:rsid w:val="00D00432"/>
    <w:rsid w:val="00D00765"/>
    <w:rsid w:val="00D00A01"/>
    <w:rsid w:val="00D00A58"/>
    <w:rsid w:val="00D00C30"/>
    <w:rsid w:val="00D00C45"/>
    <w:rsid w:val="00D00D11"/>
    <w:rsid w:val="00D00D25"/>
    <w:rsid w:val="00D01072"/>
    <w:rsid w:val="00D0107E"/>
    <w:rsid w:val="00D01098"/>
    <w:rsid w:val="00D0115F"/>
    <w:rsid w:val="00D01221"/>
    <w:rsid w:val="00D01321"/>
    <w:rsid w:val="00D013BD"/>
    <w:rsid w:val="00D013C2"/>
    <w:rsid w:val="00D0141B"/>
    <w:rsid w:val="00D01778"/>
    <w:rsid w:val="00D018FC"/>
    <w:rsid w:val="00D019B2"/>
    <w:rsid w:val="00D01C30"/>
    <w:rsid w:val="00D01DF4"/>
    <w:rsid w:val="00D01DFD"/>
    <w:rsid w:val="00D01E61"/>
    <w:rsid w:val="00D01EF6"/>
    <w:rsid w:val="00D01FB0"/>
    <w:rsid w:val="00D01FBB"/>
    <w:rsid w:val="00D02014"/>
    <w:rsid w:val="00D020A9"/>
    <w:rsid w:val="00D020B5"/>
    <w:rsid w:val="00D021CC"/>
    <w:rsid w:val="00D0221C"/>
    <w:rsid w:val="00D0238C"/>
    <w:rsid w:val="00D025CE"/>
    <w:rsid w:val="00D028CB"/>
    <w:rsid w:val="00D02D32"/>
    <w:rsid w:val="00D02D59"/>
    <w:rsid w:val="00D02F98"/>
    <w:rsid w:val="00D03155"/>
    <w:rsid w:val="00D032FE"/>
    <w:rsid w:val="00D034CA"/>
    <w:rsid w:val="00D03591"/>
    <w:rsid w:val="00D03604"/>
    <w:rsid w:val="00D038C8"/>
    <w:rsid w:val="00D03914"/>
    <w:rsid w:val="00D039CF"/>
    <w:rsid w:val="00D03B5D"/>
    <w:rsid w:val="00D03CAB"/>
    <w:rsid w:val="00D03DFA"/>
    <w:rsid w:val="00D03E15"/>
    <w:rsid w:val="00D03EB6"/>
    <w:rsid w:val="00D03F20"/>
    <w:rsid w:val="00D040B1"/>
    <w:rsid w:val="00D04260"/>
    <w:rsid w:val="00D04508"/>
    <w:rsid w:val="00D045D8"/>
    <w:rsid w:val="00D04633"/>
    <w:rsid w:val="00D0467A"/>
    <w:rsid w:val="00D046A1"/>
    <w:rsid w:val="00D04874"/>
    <w:rsid w:val="00D04899"/>
    <w:rsid w:val="00D048DF"/>
    <w:rsid w:val="00D04944"/>
    <w:rsid w:val="00D04951"/>
    <w:rsid w:val="00D04BDC"/>
    <w:rsid w:val="00D04CC9"/>
    <w:rsid w:val="00D04ED6"/>
    <w:rsid w:val="00D04F36"/>
    <w:rsid w:val="00D053C8"/>
    <w:rsid w:val="00D053F1"/>
    <w:rsid w:val="00D05468"/>
    <w:rsid w:val="00D05479"/>
    <w:rsid w:val="00D05708"/>
    <w:rsid w:val="00D057A5"/>
    <w:rsid w:val="00D059EE"/>
    <w:rsid w:val="00D05A6F"/>
    <w:rsid w:val="00D05B6A"/>
    <w:rsid w:val="00D05D1B"/>
    <w:rsid w:val="00D05DFE"/>
    <w:rsid w:val="00D05E4C"/>
    <w:rsid w:val="00D05F1B"/>
    <w:rsid w:val="00D05F4E"/>
    <w:rsid w:val="00D06037"/>
    <w:rsid w:val="00D06103"/>
    <w:rsid w:val="00D063DB"/>
    <w:rsid w:val="00D0691E"/>
    <w:rsid w:val="00D06961"/>
    <w:rsid w:val="00D06A29"/>
    <w:rsid w:val="00D06B34"/>
    <w:rsid w:val="00D06B36"/>
    <w:rsid w:val="00D06C17"/>
    <w:rsid w:val="00D06C70"/>
    <w:rsid w:val="00D070A0"/>
    <w:rsid w:val="00D071D9"/>
    <w:rsid w:val="00D07210"/>
    <w:rsid w:val="00D072C2"/>
    <w:rsid w:val="00D07333"/>
    <w:rsid w:val="00D0755D"/>
    <w:rsid w:val="00D07F20"/>
    <w:rsid w:val="00D1000A"/>
    <w:rsid w:val="00D10127"/>
    <w:rsid w:val="00D1030B"/>
    <w:rsid w:val="00D103EF"/>
    <w:rsid w:val="00D105D0"/>
    <w:rsid w:val="00D10718"/>
    <w:rsid w:val="00D10CB3"/>
    <w:rsid w:val="00D10DC8"/>
    <w:rsid w:val="00D10DD6"/>
    <w:rsid w:val="00D10E64"/>
    <w:rsid w:val="00D10F12"/>
    <w:rsid w:val="00D11274"/>
    <w:rsid w:val="00D112AF"/>
    <w:rsid w:val="00D112E3"/>
    <w:rsid w:val="00D114E3"/>
    <w:rsid w:val="00D117BA"/>
    <w:rsid w:val="00D118C5"/>
    <w:rsid w:val="00D11A8B"/>
    <w:rsid w:val="00D11AE8"/>
    <w:rsid w:val="00D11B11"/>
    <w:rsid w:val="00D11BD6"/>
    <w:rsid w:val="00D11BE3"/>
    <w:rsid w:val="00D11BED"/>
    <w:rsid w:val="00D11C07"/>
    <w:rsid w:val="00D11CB1"/>
    <w:rsid w:val="00D11D04"/>
    <w:rsid w:val="00D12030"/>
    <w:rsid w:val="00D120CA"/>
    <w:rsid w:val="00D12206"/>
    <w:rsid w:val="00D1232D"/>
    <w:rsid w:val="00D12575"/>
    <w:rsid w:val="00D1258C"/>
    <w:rsid w:val="00D125F1"/>
    <w:rsid w:val="00D1291B"/>
    <w:rsid w:val="00D12950"/>
    <w:rsid w:val="00D12995"/>
    <w:rsid w:val="00D129ED"/>
    <w:rsid w:val="00D12A83"/>
    <w:rsid w:val="00D12B4D"/>
    <w:rsid w:val="00D12C12"/>
    <w:rsid w:val="00D12E8A"/>
    <w:rsid w:val="00D12F0E"/>
    <w:rsid w:val="00D12F3E"/>
    <w:rsid w:val="00D130D8"/>
    <w:rsid w:val="00D130DE"/>
    <w:rsid w:val="00D13215"/>
    <w:rsid w:val="00D133E7"/>
    <w:rsid w:val="00D133F8"/>
    <w:rsid w:val="00D13405"/>
    <w:rsid w:val="00D138C0"/>
    <w:rsid w:val="00D138C3"/>
    <w:rsid w:val="00D13A38"/>
    <w:rsid w:val="00D13DA7"/>
    <w:rsid w:val="00D141DF"/>
    <w:rsid w:val="00D141E1"/>
    <w:rsid w:val="00D1435B"/>
    <w:rsid w:val="00D1440F"/>
    <w:rsid w:val="00D145BA"/>
    <w:rsid w:val="00D145BE"/>
    <w:rsid w:val="00D145FB"/>
    <w:rsid w:val="00D14827"/>
    <w:rsid w:val="00D14836"/>
    <w:rsid w:val="00D149B4"/>
    <w:rsid w:val="00D14A0D"/>
    <w:rsid w:val="00D14CC7"/>
    <w:rsid w:val="00D14E29"/>
    <w:rsid w:val="00D14F32"/>
    <w:rsid w:val="00D1511E"/>
    <w:rsid w:val="00D15260"/>
    <w:rsid w:val="00D1528A"/>
    <w:rsid w:val="00D1528F"/>
    <w:rsid w:val="00D155CD"/>
    <w:rsid w:val="00D15725"/>
    <w:rsid w:val="00D157CF"/>
    <w:rsid w:val="00D15851"/>
    <w:rsid w:val="00D1598D"/>
    <w:rsid w:val="00D15C5E"/>
    <w:rsid w:val="00D15C74"/>
    <w:rsid w:val="00D15DCA"/>
    <w:rsid w:val="00D15E7F"/>
    <w:rsid w:val="00D15EBC"/>
    <w:rsid w:val="00D15FC7"/>
    <w:rsid w:val="00D1603A"/>
    <w:rsid w:val="00D164DD"/>
    <w:rsid w:val="00D16537"/>
    <w:rsid w:val="00D166C0"/>
    <w:rsid w:val="00D16730"/>
    <w:rsid w:val="00D167A9"/>
    <w:rsid w:val="00D16808"/>
    <w:rsid w:val="00D16C02"/>
    <w:rsid w:val="00D16C08"/>
    <w:rsid w:val="00D16ED4"/>
    <w:rsid w:val="00D1710F"/>
    <w:rsid w:val="00D17138"/>
    <w:rsid w:val="00D17176"/>
    <w:rsid w:val="00D172B0"/>
    <w:rsid w:val="00D175B6"/>
    <w:rsid w:val="00D17926"/>
    <w:rsid w:val="00D17A6C"/>
    <w:rsid w:val="00D17DDA"/>
    <w:rsid w:val="00D17E2C"/>
    <w:rsid w:val="00D17E94"/>
    <w:rsid w:val="00D17F00"/>
    <w:rsid w:val="00D17F9C"/>
    <w:rsid w:val="00D20048"/>
    <w:rsid w:val="00D200A6"/>
    <w:rsid w:val="00D201D5"/>
    <w:rsid w:val="00D202DA"/>
    <w:rsid w:val="00D20541"/>
    <w:rsid w:val="00D2071C"/>
    <w:rsid w:val="00D20B31"/>
    <w:rsid w:val="00D20B37"/>
    <w:rsid w:val="00D20DD8"/>
    <w:rsid w:val="00D20F7A"/>
    <w:rsid w:val="00D2105B"/>
    <w:rsid w:val="00D2119A"/>
    <w:rsid w:val="00D21352"/>
    <w:rsid w:val="00D21378"/>
    <w:rsid w:val="00D21463"/>
    <w:rsid w:val="00D21631"/>
    <w:rsid w:val="00D216E0"/>
    <w:rsid w:val="00D2175A"/>
    <w:rsid w:val="00D217CF"/>
    <w:rsid w:val="00D2183D"/>
    <w:rsid w:val="00D218F3"/>
    <w:rsid w:val="00D21C4E"/>
    <w:rsid w:val="00D21CC3"/>
    <w:rsid w:val="00D21DA9"/>
    <w:rsid w:val="00D21DCB"/>
    <w:rsid w:val="00D2201C"/>
    <w:rsid w:val="00D2203D"/>
    <w:rsid w:val="00D221CC"/>
    <w:rsid w:val="00D22227"/>
    <w:rsid w:val="00D2224B"/>
    <w:rsid w:val="00D222BE"/>
    <w:rsid w:val="00D22326"/>
    <w:rsid w:val="00D2240A"/>
    <w:rsid w:val="00D224A5"/>
    <w:rsid w:val="00D22523"/>
    <w:rsid w:val="00D22715"/>
    <w:rsid w:val="00D22734"/>
    <w:rsid w:val="00D227F5"/>
    <w:rsid w:val="00D22A65"/>
    <w:rsid w:val="00D22CA4"/>
    <w:rsid w:val="00D230DE"/>
    <w:rsid w:val="00D23132"/>
    <w:rsid w:val="00D231F2"/>
    <w:rsid w:val="00D23317"/>
    <w:rsid w:val="00D2333B"/>
    <w:rsid w:val="00D235A1"/>
    <w:rsid w:val="00D237FF"/>
    <w:rsid w:val="00D2397B"/>
    <w:rsid w:val="00D2399C"/>
    <w:rsid w:val="00D23A35"/>
    <w:rsid w:val="00D23BB2"/>
    <w:rsid w:val="00D23DDE"/>
    <w:rsid w:val="00D24080"/>
    <w:rsid w:val="00D240A5"/>
    <w:rsid w:val="00D24253"/>
    <w:rsid w:val="00D244E1"/>
    <w:rsid w:val="00D2450E"/>
    <w:rsid w:val="00D24659"/>
    <w:rsid w:val="00D24839"/>
    <w:rsid w:val="00D2484E"/>
    <w:rsid w:val="00D24907"/>
    <w:rsid w:val="00D24978"/>
    <w:rsid w:val="00D24C4B"/>
    <w:rsid w:val="00D24F57"/>
    <w:rsid w:val="00D24FA4"/>
    <w:rsid w:val="00D25002"/>
    <w:rsid w:val="00D25066"/>
    <w:rsid w:val="00D25520"/>
    <w:rsid w:val="00D25543"/>
    <w:rsid w:val="00D25556"/>
    <w:rsid w:val="00D25635"/>
    <w:rsid w:val="00D259FA"/>
    <w:rsid w:val="00D25A66"/>
    <w:rsid w:val="00D25C4A"/>
    <w:rsid w:val="00D25CF8"/>
    <w:rsid w:val="00D25D66"/>
    <w:rsid w:val="00D25E0C"/>
    <w:rsid w:val="00D25ECB"/>
    <w:rsid w:val="00D25EE2"/>
    <w:rsid w:val="00D25EFE"/>
    <w:rsid w:val="00D25F00"/>
    <w:rsid w:val="00D25F1F"/>
    <w:rsid w:val="00D25F49"/>
    <w:rsid w:val="00D26023"/>
    <w:rsid w:val="00D26159"/>
    <w:rsid w:val="00D2625A"/>
    <w:rsid w:val="00D2646F"/>
    <w:rsid w:val="00D26663"/>
    <w:rsid w:val="00D26665"/>
    <w:rsid w:val="00D2670C"/>
    <w:rsid w:val="00D26723"/>
    <w:rsid w:val="00D268A5"/>
    <w:rsid w:val="00D2694A"/>
    <w:rsid w:val="00D2696F"/>
    <w:rsid w:val="00D26A96"/>
    <w:rsid w:val="00D26E17"/>
    <w:rsid w:val="00D270C0"/>
    <w:rsid w:val="00D27184"/>
    <w:rsid w:val="00D2719B"/>
    <w:rsid w:val="00D271E0"/>
    <w:rsid w:val="00D2726F"/>
    <w:rsid w:val="00D27459"/>
    <w:rsid w:val="00D27BBC"/>
    <w:rsid w:val="00D27EA5"/>
    <w:rsid w:val="00D27ECC"/>
    <w:rsid w:val="00D27F24"/>
    <w:rsid w:val="00D3003A"/>
    <w:rsid w:val="00D30090"/>
    <w:rsid w:val="00D30169"/>
    <w:rsid w:val="00D30903"/>
    <w:rsid w:val="00D309F1"/>
    <w:rsid w:val="00D30E95"/>
    <w:rsid w:val="00D30EEB"/>
    <w:rsid w:val="00D30F00"/>
    <w:rsid w:val="00D30FDE"/>
    <w:rsid w:val="00D31215"/>
    <w:rsid w:val="00D312D8"/>
    <w:rsid w:val="00D313C1"/>
    <w:rsid w:val="00D316A7"/>
    <w:rsid w:val="00D31C1C"/>
    <w:rsid w:val="00D31D14"/>
    <w:rsid w:val="00D31DA6"/>
    <w:rsid w:val="00D31DDE"/>
    <w:rsid w:val="00D3215F"/>
    <w:rsid w:val="00D32253"/>
    <w:rsid w:val="00D322AC"/>
    <w:rsid w:val="00D322F4"/>
    <w:rsid w:val="00D32593"/>
    <w:rsid w:val="00D32A25"/>
    <w:rsid w:val="00D32D5A"/>
    <w:rsid w:val="00D32E66"/>
    <w:rsid w:val="00D32FCE"/>
    <w:rsid w:val="00D33035"/>
    <w:rsid w:val="00D33121"/>
    <w:rsid w:val="00D331FF"/>
    <w:rsid w:val="00D332CB"/>
    <w:rsid w:val="00D3332E"/>
    <w:rsid w:val="00D336C4"/>
    <w:rsid w:val="00D33894"/>
    <w:rsid w:val="00D339D7"/>
    <w:rsid w:val="00D33A56"/>
    <w:rsid w:val="00D33A90"/>
    <w:rsid w:val="00D33A96"/>
    <w:rsid w:val="00D33B12"/>
    <w:rsid w:val="00D33D1A"/>
    <w:rsid w:val="00D33D97"/>
    <w:rsid w:val="00D340F7"/>
    <w:rsid w:val="00D342B9"/>
    <w:rsid w:val="00D34715"/>
    <w:rsid w:val="00D3479E"/>
    <w:rsid w:val="00D348A1"/>
    <w:rsid w:val="00D34AB0"/>
    <w:rsid w:val="00D34C03"/>
    <w:rsid w:val="00D34E5A"/>
    <w:rsid w:val="00D35001"/>
    <w:rsid w:val="00D35073"/>
    <w:rsid w:val="00D353B9"/>
    <w:rsid w:val="00D35484"/>
    <w:rsid w:val="00D3587B"/>
    <w:rsid w:val="00D3589C"/>
    <w:rsid w:val="00D358B9"/>
    <w:rsid w:val="00D35A3D"/>
    <w:rsid w:val="00D35B39"/>
    <w:rsid w:val="00D35B7C"/>
    <w:rsid w:val="00D35D0D"/>
    <w:rsid w:val="00D35D45"/>
    <w:rsid w:val="00D35D6A"/>
    <w:rsid w:val="00D35DB6"/>
    <w:rsid w:val="00D35DDC"/>
    <w:rsid w:val="00D35ECB"/>
    <w:rsid w:val="00D35ED1"/>
    <w:rsid w:val="00D36166"/>
    <w:rsid w:val="00D36261"/>
    <w:rsid w:val="00D363AF"/>
    <w:rsid w:val="00D364D5"/>
    <w:rsid w:val="00D3653C"/>
    <w:rsid w:val="00D367B5"/>
    <w:rsid w:val="00D367DC"/>
    <w:rsid w:val="00D368B6"/>
    <w:rsid w:val="00D36990"/>
    <w:rsid w:val="00D369D8"/>
    <w:rsid w:val="00D36BA7"/>
    <w:rsid w:val="00D36C00"/>
    <w:rsid w:val="00D36C96"/>
    <w:rsid w:val="00D36CEB"/>
    <w:rsid w:val="00D37165"/>
    <w:rsid w:val="00D37174"/>
    <w:rsid w:val="00D37504"/>
    <w:rsid w:val="00D37654"/>
    <w:rsid w:val="00D3795D"/>
    <w:rsid w:val="00D37AE0"/>
    <w:rsid w:val="00D37B49"/>
    <w:rsid w:val="00D37BDD"/>
    <w:rsid w:val="00D37C36"/>
    <w:rsid w:val="00D37C3F"/>
    <w:rsid w:val="00D37C5D"/>
    <w:rsid w:val="00D37D68"/>
    <w:rsid w:val="00D37DE5"/>
    <w:rsid w:val="00D37E74"/>
    <w:rsid w:val="00D37F16"/>
    <w:rsid w:val="00D40352"/>
    <w:rsid w:val="00D4049F"/>
    <w:rsid w:val="00D404A1"/>
    <w:rsid w:val="00D404FC"/>
    <w:rsid w:val="00D4051B"/>
    <w:rsid w:val="00D40952"/>
    <w:rsid w:val="00D40A5E"/>
    <w:rsid w:val="00D40C04"/>
    <w:rsid w:val="00D40D58"/>
    <w:rsid w:val="00D40D9D"/>
    <w:rsid w:val="00D411C7"/>
    <w:rsid w:val="00D4121E"/>
    <w:rsid w:val="00D41441"/>
    <w:rsid w:val="00D4147B"/>
    <w:rsid w:val="00D41507"/>
    <w:rsid w:val="00D417E1"/>
    <w:rsid w:val="00D41861"/>
    <w:rsid w:val="00D41AF4"/>
    <w:rsid w:val="00D41B06"/>
    <w:rsid w:val="00D41C83"/>
    <w:rsid w:val="00D41CE2"/>
    <w:rsid w:val="00D41DC9"/>
    <w:rsid w:val="00D41E6B"/>
    <w:rsid w:val="00D42065"/>
    <w:rsid w:val="00D42088"/>
    <w:rsid w:val="00D4226A"/>
    <w:rsid w:val="00D426D6"/>
    <w:rsid w:val="00D42730"/>
    <w:rsid w:val="00D428AC"/>
    <w:rsid w:val="00D42EB2"/>
    <w:rsid w:val="00D42F2C"/>
    <w:rsid w:val="00D42FC7"/>
    <w:rsid w:val="00D42FD5"/>
    <w:rsid w:val="00D43146"/>
    <w:rsid w:val="00D43325"/>
    <w:rsid w:val="00D435CA"/>
    <w:rsid w:val="00D4367D"/>
    <w:rsid w:val="00D43761"/>
    <w:rsid w:val="00D43798"/>
    <w:rsid w:val="00D437D5"/>
    <w:rsid w:val="00D437DE"/>
    <w:rsid w:val="00D43B00"/>
    <w:rsid w:val="00D43CDE"/>
    <w:rsid w:val="00D43EB4"/>
    <w:rsid w:val="00D44030"/>
    <w:rsid w:val="00D440ED"/>
    <w:rsid w:val="00D44347"/>
    <w:rsid w:val="00D443F0"/>
    <w:rsid w:val="00D4440D"/>
    <w:rsid w:val="00D4453C"/>
    <w:rsid w:val="00D4464E"/>
    <w:rsid w:val="00D446AC"/>
    <w:rsid w:val="00D4488F"/>
    <w:rsid w:val="00D4492C"/>
    <w:rsid w:val="00D44AA8"/>
    <w:rsid w:val="00D44B59"/>
    <w:rsid w:val="00D44E79"/>
    <w:rsid w:val="00D44E7A"/>
    <w:rsid w:val="00D453E4"/>
    <w:rsid w:val="00D454D8"/>
    <w:rsid w:val="00D4564A"/>
    <w:rsid w:val="00D4576B"/>
    <w:rsid w:val="00D4591A"/>
    <w:rsid w:val="00D45967"/>
    <w:rsid w:val="00D4596C"/>
    <w:rsid w:val="00D45A03"/>
    <w:rsid w:val="00D45A26"/>
    <w:rsid w:val="00D45A49"/>
    <w:rsid w:val="00D45A6F"/>
    <w:rsid w:val="00D45AF3"/>
    <w:rsid w:val="00D45C59"/>
    <w:rsid w:val="00D45E3C"/>
    <w:rsid w:val="00D46053"/>
    <w:rsid w:val="00D460DD"/>
    <w:rsid w:val="00D462E3"/>
    <w:rsid w:val="00D467E1"/>
    <w:rsid w:val="00D4681C"/>
    <w:rsid w:val="00D46879"/>
    <w:rsid w:val="00D46891"/>
    <w:rsid w:val="00D469F7"/>
    <w:rsid w:val="00D46D46"/>
    <w:rsid w:val="00D46D8B"/>
    <w:rsid w:val="00D47247"/>
    <w:rsid w:val="00D4724D"/>
    <w:rsid w:val="00D47313"/>
    <w:rsid w:val="00D4746C"/>
    <w:rsid w:val="00D47689"/>
    <w:rsid w:val="00D4785B"/>
    <w:rsid w:val="00D478E4"/>
    <w:rsid w:val="00D479FD"/>
    <w:rsid w:val="00D47A50"/>
    <w:rsid w:val="00D47BA8"/>
    <w:rsid w:val="00D47F8A"/>
    <w:rsid w:val="00D47FA4"/>
    <w:rsid w:val="00D50098"/>
    <w:rsid w:val="00D5011A"/>
    <w:rsid w:val="00D50232"/>
    <w:rsid w:val="00D504E9"/>
    <w:rsid w:val="00D508BC"/>
    <w:rsid w:val="00D508F8"/>
    <w:rsid w:val="00D50CC7"/>
    <w:rsid w:val="00D50EA6"/>
    <w:rsid w:val="00D50F74"/>
    <w:rsid w:val="00D5110B"/>
    <w:rsid w:val="00D51165"/>
    <w:rsid w:val="00D511C3"/>
    <w:rsid w:val="00D511CE"/>
    <w:rsid w:val="00D51294"/>
    <w:rsid w:val="00D513DD"/>
    <w:rsid w:val="00D514C1"/>
    <w:rsid w:val="00D515C4"/>
    <w:rsid w:val="00D51B2F"/>
    <w:rsid w:val="00D51B5D"/>
    <w:rsid w:val="00D51B64"/>
    <w:rsid w:val="00D51C59"/>
    <w:rsid w:val="00D51D2F"/>
    <w:rsid w:val="00D51E38"/>
    <w:rsid w:val="00D52278"/>
    <w:rsid w:val="00D52385"/>
    <w:rsid w:val="00D52525"/>
    <w:rsid w:val="00D5261F"/>
    <w:rsid w:val="00D527A8"/>
    <w:rsid w:val="00D52892"/>
    <w:rsid w:val="00D52A1F"/>
    <w:rsid w:val="00D52A79"/>
    <w:rsid w:val="00D52B3C"/>
    <w:rsid w:val="00D52BBC"/>
    <w:rsid w:val="00D52BF0"/>
    <w:rsid w:val="00D52D30"/>
    <w:rsid w:val="00D52DBB"/>
    <w:rsid w:val="00D52E55"/>
    <w:rsid w:val="00D52F7C"/>
    <w:rsid w:val="00D52F8E"/>
    <w:rsid w:val="00D53012"/>
    <w:rsid w:val="00D532A2"/>
    <w:rsid w:val="00D53326"/>
    <w:rsid w:val="00D533F4"/>
    <w:rsid w:val="00D5341A"/>
    <w:rsid w:val="00D5349D"/>
    <w:rsid w:val="00D535DB"/>
    <w:rsid w:val="00D5367C"/>
    <w:rsid w:val="00D53749"/>
    <w:rsid w:val="00D53855"/>
    <w:rsid w:val="00D53A5D"/>
    <w:rsid w:val="00D53AE3"/>
    <w:rsid w:val="00D53EAB"/>
    <w:rsid w:val="00D53FD5"/>
    <w:rsid w:val="00D5416B"/>
    <w:rsid w:val="00D54477"/>
    <w:rsid w:val="00D54822"/>
    <w:rsid w:val="00D54909"/>
    <w:rsid w:val="00D54967"/>
    <w:rsid w:val="00D549F2"/>
    <w:rsid w:val="00D54B10"/>
    <w:rsid w:val="00D54B33"/>
    <w:rsid w:val="00D54E14"/>
    <w:rsid w:val="00D54F5D"/>
    <w:rsid w:val="00D54FDD"/>
    <w:rsid w:val="00D551CD"/>
    <w:rsid w:val="00D5540B"/>
    <w:rsid w:val="00D55417"/>
    <w:rsid w:val="00D55744"/>
    <w:rsid w:val="00D55A55"/>
    <w:rsid w:val="00D55A97"/>
    <w:rsid w:val="00D55E51"/>
    <w:rsid w:val="00D55F0A"/>
    <w:rsid w:val="00D560CA"/>
    <w:rsid w:val="00D56114"/>
    <w:rsid w:val="00D5622F"/>
    <w:rsid w:val="00D56275"/>
    <w:rsid w:val="00D56329"/>
    <w:rsid w:val="00D563DD"/>
    <w:rsid w:val="00D5655B"/>
    <w:rsid w:val="00D567DC"/>
    <w:rsid w:val="00D5687D"/>
    <w:rsid w:val="00D56A3E"/>
    <w:rsid w:val="00D56B96"/>
    <w:rsid w:val="00D571C6"/>
    <w:rsid w:val="00D5741E"/>
    <w:rsid w:val="00D57816"/>
    <w:rsid w:val="00D57823"/>
    <w:rsid w:val="00D57893"/>
    <w:rsid w:val="00D57956"/>
    <w:rsid w:val="00D579BC"/>
    <w:rsid w:val="00D57B5A"/>
    <w:rsid w:val="00D57B9E"/>
    <w:rsid w:val="00D57C62"/>
    <w:rsid w:val="00D57CC6"/>
    <w:rsid w:val="00D57E08"/>
    <w:rsid w:val="00D57E1D"/>
    <w:rsid w:val="00D57F02"/>
    <w:rsid w:val="00D57FA5"/>
    <w:rsid w:val="00D6033A"/>
    <w:rsid w:val="00D6053C"/>
    <w:rsid w:val="00D60674"/>
    <w:rsid w:val="00D60700"/>
    <w:rsid w:val="00D607D5"/>
    <w:rsid w:val="00D60865"/>
    <w:rsid w:val="00D609BD"/>
    <w:rsid w:val="00D60BB2"/>
    <w:rsid w:val="00D60CAE"/>
    <w:rsid w:val="00D60FAB"/>
    <w:rsid w:val="00D61094"/>
    <w:rsid w:val="00D610DE"/>
    <w:rsid w:val="00D61172"/>
    <w:rsid w:val="00D6126E"/>
    <w:rsid w:val="00D6143B"/>
    <w:rsid w:val="00D614FA"/>
    <w:rsid w:val="00D61615"/>
    <w:rsid w:val="00D61659"/>
    <w:rsid w:val="00D616DC"/>
    <w:rsid w:val="00D617AC"/>
    <w:rsid w:val="00D617CF"/>
    <w:rsid w:val="00D61BE9"/>
    <w:rsid w:val="00D61F57"/>
    <w:rsid w:val="00D62392"/>
    <w:rsid w:val="00D62438"/>
    <w:rsid w:val="00D62547"/>
    <w:rsid w:val="00D6269C"/>
    <w:rsid w:val="00D627FB"/>
    <w:rsid w:val="00D6289E"/>
    <w:rsid w:val="00D628F4"/>
    <w:rsid w:val="00D6290A"/>
    <w:rsid w:val="00D62911"/>
    <w:rsid w:val="00D62A30"/>
    <w:rsid w:val="00D62A59"/>
    <w:rsid w:val="00D62B8B"/>
    <w:rsid w:val="00D62BF1"/>
    <w:rsid w:val="00D62C2F"/>
    <w:rsid w:val="00D62DB1"/>
    <w:rsid w:val="00D62DC7"/>
    <w:rsid w:val="00D62E23"/>
    <w:rsid w:val="00D6331A"/>
    <w:rsid w:val="00D6369B"/>
    <w:rsid w:val="00D638BA"/>
    <w:rsid w:val="00D6394E"/>
    <w:rsid w:val="00D63CC1"/>
    <w:rsid w:val="00D63EFD"/>
    <w:rsid w:val="00D63F70"/>
    <w:rsid w:val="00D63F77"/>
    <w:rsid w:val="00D64110"/>
    <w:rsid w:val="00D6417F"/>
    <w:rsid w:val="00D643B9"/>
    <w:rsid w:val="00D644E5"/>
    <w:rsid w:val="00D64924"/>
    <w:rsid w:val="00D64A04"/>
    <w:rsid w:val="00D64AD8"/>
    <w:rsid w:val="00D64AEC"/>
    <w:rsid w:val="00D64B0C"/>
    <w:rsid w:val="00D64EDA"/>
    <w:rsid w:val="00D651B9"/>
    <w:rsid w:val="00D6522F"/>
    <w:rsid w:val="00D6541B"/>
    <w:rsid w:val="00D654CE"/>
    <w:rsid w:val="00D655B4"/>
    <w:rsid w:val="00D6562D"/>
    <w:rsid w:val="00D65660"/>
    <w:rsid w:val="00D656CA"/>
    <w:rsid w:val="00D6578B"/>
    <w:rsid w:val="00D65803"/>
    <w:rsid w:val="00D65D19"/>
    <w:rsid w:val="00D65E27"/>
    <w:rsid w:val="00D65EEB"/>
    <w:rsid w:val="00D65FE9"/>
    <w:rsid w:val="00D66126"/>
    <w:rsid w:val="00D662A3"/>
    <w:rsid w:val="00D662AA"/>
    <w:rsid w:val="00D663AF"/>
    <w:rsid w:val="00D664C2"/>
    <w:rsid w:val="00D665CC"/>
    <w:rsid w:val="00D6665A"/>
    <w:rsid w:val="00D66778"/>
    <w:rsid w:val="00D66783"/>
    <w:rsid w:val="00D66890"/>
    <w:rsid w:val="00D6694F"/>
    <w:rsid w:val="00D66CE6"/>
    <w:rsid w:val="00D66D98"/>
    <w:rsid w:val="00D66E59"/>
    <w:rsid w:val="00D66EC9"/>
    <w:rsid w:val="00D66F51"/>
    <w:rsid w:val="00D66FC6"/>
    <w:rsid w:val="00D670E7"/>
    <w:rsid w:val="00D6718E"/>
    <w:rsid w:val="00D671D8"/>
    <w:rsid w:val="00D6742A"/>
    <w:rsid w:val="00D6759F"/>
    <w:rsid w:val="00D67A6E"/>
    <w:rsid w:val="00D67A95"/>
    <w:rsid w:val="00D67B5D"/>
    <w:rsid w:val="00D70073"/>
    <w:rsid w:val="00D7010E"/>
    <w:rsid w:val="00D701B1"/>
    <w:rsid w:val="00D7039C"/>
    <w:rsid w:val="00D704B2"/>
    <w:rsid w:val="00D70548"/>
    <w:rsid w:val="00D7063F"/>
    <w:rsid w:val="00D7068D"/>
    <w:rsid w:val="00D706D6"/>
    <w:rsid w:val="00D70717"/>
    <w:rsid w:val="00D70766"/>
    <w:rsid w:val="00D70823"/>
    <w:rsid w:val="00D70825"/>
    <w:rsid w:val="00D70CD7"/>
    <w:rsid w:val="00D70E03"/>
    <w:rsid w:val="00D70FCD"/>
    <w:rsid w:val="00D70FFD"/>
    <w:rsid w:val="00D7106C"/>
    <w:rsid w:val="00D710FE"/>
    <w:rsid w:val="00D711C2"/>
    <w:rsid w:val="00D7144F"/>
    <w:rsid w:val="00D71681"/>
    <w:rsid w:val="00D7171B"/>
    <w:rsid w:val="00D7179F"/>
    <w:rsid w:val="00D718A2"/>
    <w:rsid w:val="00D719CB"/>
    <w:rsid w:val="00D71AE3"/>
    <w:rsid w:val="00D71DE7"/>
    <w:rsid w:val="00D71E54"/>
    <w:rsid w:val="00D72114"/>
    <w:rsid w:val="00D72181"/>
    <w:rsid w:val="00D72374"/>
    <w:rsid w:val="00D7243C"/>
    <w:rsid w:val="00D7286F"/>
    <w:rsid w:val="00D7295A"/>
    <w:rsid w:val="00D7296B"/>
    <w:rsid w:val="00D72977"/>
    <w:rsid w:val="00D72A11"/>
    <w:rsid w:val="00D72C34"/>
    <w:rsid w:val="00D72D8A"/>
    <w:rsid w:val="00D72EE0"/>
    <w:rsid w:val="00D72F10"/>
    <w:rsid w:val="00D73061"/>
    <w:rsid w:val="00D73074"/>
    <w:rsid w:val="00D7348C"/>
    <w:rsid w:val="00D734A9"/>
    <w:rsid w:val="00D735AD"/>
    <w:rsid w:val="00D73699"/>
    <w:rsid w:val="00D736A8"/>
    <w:rsid w:val="00D73771"/>
    <w:rsid w:val="00D73843"/>
    <w:rsid w:val="00D7386C"/>
    <w:rsid w:val="00D73AFA"/>
    <w:rsid w:val="00D73D35"/>
    <w:rsid w:val="00D73E20"/>
    <w:rsid w:val="00D73E34"/>
    <w:rsid w:val="00D73E50"/>
    <w:rsid w:val="00D73F81"/>
    <w:rsid w:val="00D7406F"/>
    <w:rsid w:val="00D74105"/>
    <w:rsid w:val="00D742E3"/>
    <w:rsid w:val="00D74591"/>
    <w:rsid w:val="00D747F2"/>
    <w:rsid w:val="00D74AEA"/>
    <w:rsid w:val="00D74B2A"/>
    <w:rsid w:val="00D74B8C"/>
    <w:rsid w:val="00D74BAF"/>
    <w:rsid w:val="00D74C3C"/>
    <w:rsid w:val="00D74C94"/>
    <w:rsid w:val="00D74DEC"/>
    <w:rsid w:val="00D74EFC"/>
    <w:rsid w:val="00D74F4D"/>
    <w:rsid w:val="00D74F75"/>
    <w:rsid w:val="00D75074"/>
    <w:rsid w:val="00D7527E"/>
    <w:rsid w:val="00D75371"/>
    <w:rsid w:val="00D75413"/>
    <w:rsid w:val="00D7568A"/>
    <w:rsid w:val="00D757D4"/>
    <w:rsid w:val="00D7585E"/>
    <w:rsid w:val="00D75871"/>
    <w:rsid w:val="00D758BC"/>
    <w:rsid w:val="00D758DE"/>
    <w:rsid w:val="00D75CCD"/>
    <w:rsid w:val="00D75DDD"/>
    <w:rsid w:val="00D75EDB"/>
    <w:rsid w:val="00D75F5D"/>
    <w:rsid w:val="00D75F67"/>
    <w:rsid w:val="00D760A0"/>
    <w:rsid w:val="00D76129"/>
    <w:rsid w:val="00D76216"/>
    <w:rsid w:val="00D763A5"/>
    <w:rsid w:val="00D76455"/>
    <w:rsid w:val="00D7655F"/>
    <w:rsid w:val="00D768E5"/>
    <w:rsid w:val="00D7695B"/>
    <w:rsid w:val="00D76C5D"/>
    <w:rsid w:val="00D76D1C"/>
    <w:rsid w:val="00D76D4F"/>
    <w:rsid w:val="00D77060"/>
    <w:rsid w:val="00D77453"/>
    <w:rsid w:val="00D77556"/>
    <w:rsid w:val="00D775F4"/>
    <w:rsid w:val="00D77707"/>
    <w:rsid w:val="00D77967"/>
    <w:rsid w:val="00D77B95"/>
    <w:rsid w:val="00D77C9D"/>
    <w:rsid w:val="00D77D0E"/>
    <w:rsid w:val="00D77DBA"/>
    <w:rsid w:val="00D77DCC"/>
    <w:rsid w:val="00D77F3D"/>
    <w:rsid w:val="00D77FC6"/>
    <w:rsid w:val="00D80096"/>
    <w:rsid w:val="00D80109"/>
    <w:rsid w:val="00D80255"/>
    <w:rsid w:val="00D8028A"/>
    <w:rsid w:val="00D803F9"/>
    <w:rsid w:val="00D804EF"/>
    <w:rsid w:val="00D80501"/>
    <w:rsid w:val="00D8061A"/>
    <w:rsid w:val="00D80627"/>
    <w:rsid w:val="00D807D4"/>
    <w:rsid w:val="00D809D2"/>
    <w:rsid w:val="00D80B0A"/>
    <w:rsid w:val="00D80B2C"/>
    <w:rsid w:val="00D80C5C"/>
    <w:rsid w:val="00D80D59"/>
    <w:rsid w:val="00D80DB3"/>
    <w:rsid w:val="00D80E8C"/>
    <w:rsid w:val="00D81353"/>
    <w:rsid w:val="00D81391"/>
    <w:rsid w:val="00D815A9"/>
    <w:rsid w:val="00D81634"/>
    <w:rsid w:val="00D81785"/>
    <w:rsid w:val="00D81835"/>
    <w:rsid w:val="00D8194E"/>
    <w:rsid w:val="00D8198E"/>
    <w:rsid w:val="00D81B4A"/>
    <w:rsid w:val="00D81BDA"/>
    <w:rsid w:val="00D81C16"/>
    <w:rsid w:val="00D81D77"/>
    <w:rsid w:val="00D81EAD"/>
    <w:rsid w:val="00D81ED0"/>
    <w:rsid w:val="00D81F0B"/>
    <w:rsid w:val="00D81F37"/>
    <w:rsid w:val="00D820C1"/>
    <w:rsid w:val="00D82313"/>
    <w:rsid w:val="00D824E2"/>
    <w:rsid w:val="00D82633"/>
    <w:rsid w:val="00D827AC"/>
    <w:rsid w:val="00D82990"/>
    <w:rsid w:val="00D82A1A"/>
    <w:rsid w:val="00D82B7C"/>
    <w:rsid w:val="00D82CB8"/>
    <w:rsid w:val="00D82D81"/>
    <w:rsid w:val="00D82DD9"/>
    <w:rsid w:val="00D82E71"/>
    <w:rsid w:val="00D831A8"/>
    <w:rsid w:val="00D836B7"/>
    <w:rsid w:val="00D8387E"/>
    <w:rsid w:val="00D83999"/>
    <w:rsid w:val="00D83BC0"/>
    <w:rsid w:val="00D83F86"/>
    <w:rsid w:val="00D8408D"/>
    <w:rsid w:val="00D84125"/>
    <w:rsid w:val="00D8421B"/>
    <w:rsid w:val="00D84319"/>
    <w:rsid w:val="00D8448C"/>
    <w:rsid w:val="00D844E5"/>
    <w:rsid w:val="00D844F9"/>
    <w:rsid w:val="00D845A2"/>
    <w:rsid w:val="00D84738"/>
    <w:rsid w:val="00D848B7"/>
    <w:rsid w:val="00D8495E"/>
    <w:rsid w:val="00D849A1"/>
    <w:rsid w:val="00D84A07"/>
    <w:rsid w:val="00D84C6F"/>
    <w:rsid w:val="00D84DA8"/>
    <w:rsid w:val="00D85087"/>
    <w:rsid w:val="00D8519D"/>
    <w:rsid w:val="00D851D7"/>
    <w:rsid w:val="00D8526E"/>
    <w:rsid w:val="00D852D7"/>
    <w:rsid w:val="00D85355"/>
    <w:rsid w:val="00D8572F"/>
    <w:rsid w:val="00D85787"/>
    <w:rsid w:val="00D85848"/>
    <w:rsid w:val="00D85A65"/>
    <w:rsid w:val="00D85AFA"/>
    <w:rsid w:val="00D85C12"/>
    <w:rsid w:val="00D85C39"/>
    <w:rsid w:val="00D85C59"/>
    <w:rsid w:val="00D85D71"/>
    <w:rsid w:val="00D86003"/>
    <w:rsid w:val="00D860F0"/>
    <w:rsid w:val="00D86149"/>
    <w:rsid w:val="00D861C8"/>
    <w:rsid w:val="00D86282"/>
    <w:rsid w:val="00D862E9"/>
    <w:rsid w:val="00D8631A"/>
    <w:rsid w:val="00D86320"/>
    <w:rsid w:val="00D864E0"/>
    <w:rsid w:val="00D86589"/>
    <w:rsid w:val="00D86673"/>
    <w:rsid w:val="00D8669F"/>
    <w:rsid w:val="00D866CE"/>
    <w:rsid w:val="00D868EC"/>
    <w:rsid w:val="00D8695F"/>
    <w:rsid w:val="00D86AE4"/>
    <w:rsid w:val="00D86B96"/>
    <w:rsid w:val="00D86BB8"/>
    <w:rsid w:val="00D86BEA"/>
    <w:rsid w:val="00D86DBF"/>
    <w:rsid w:val="00D86EE2"/>
    <w:rsid w:val="00D86EE8"/>
    <w:rsid w:val="00D86F6A"/>
    <w:rsid w:val="00D87184"/>
    <w:rsid w:val="00D87188"/>
    <w:rsid w:val="00D872F2"/>
    <w:rsid w:val="00D874E6"/>
    <w:rsid w:val="00D874F9"/>
    <w:rsid w:val="00D8782C"/>
    <w:rsid w:val="00D8784B"/>
    <w:rsid w:val="00D87881"/>
    <w:rsid w:val="00D87B8F"/>
    <w:rsid w:val="00D87D0B"/>
    <w:rsid w:val="00D87D67"/>
    <w:rsid w:val="00D87EEF"/>
    <w:rsid w:val="00D87F16"/>
    <w:rsid w:val="00D87F63"/>
    <w:rsid w:val="00D87F90"/>
    <w:rsid w:val="00D9017B"/>
    <w:rsid w:val="00D90201"/>
    <w:rsid w:val="00D90306"/>
    <w:rsid w:val="00D90342"/>
    <w:rsid w:val="00D904B1"/>
    <w:rsid w:val="00D90795"/>
    <w:rsid w:val="00D907D9"/>
    <w:rsid w:val="00D90804"/>
    <w:rsid w:val="00D90857"/>
    <w:rsid w:val="00D9096B"/>
    <w:rsid w:val="00D90A72"/>
    <w:rsid w:val="00D90CA6"/>
    <w:rsid w:val="00D90FBE"/>
    <w:rsid w:val="00D91078"/>
    <w:rsid w:val="00D9133B"/>
    <w:rsid w:val="00D91845"/>
    <w:rsid w:val="00D91856"/>
    <w:rsid w:val="00D91964"/>
    <w:rsid w:val="00D91A37"/>
    <w:rsid w:val="00D91A59"/>
    <w:rsid w:val="00D91AD3"/>
    <w:rsid w:val="00D91C76"/>
    <w:rsid w:val="00D91F0C"/>
    <w:rsid w:val="00D9209F"/>
    <w:rsid w:val="00D92216"/>
    <w:rsid w:val="00D92238"/>
    <w:rsid w:val="00D92258"/>
    <w:rsid w:val="00D92359"/>
    <w:rsid w:val="00D923BF"/>
    <w:rsid w:val="00D925BA"/>
    <w:rsid w:val="00D925C0"/>
    <w:rsid w:val="00D9282A"/>
    <w:rsid w:val="00D928A1"/>
    <w:rsid w:val="00D92A36"/>
    <w:rsid w:val="00D92B72"/>
    <w:rsid w:val="00D92D26"/>
    <w:rsid w:val="00D92DE7"/>
    <w:rsid w:val="00D92DEF"/>
    <w:rsid w:val="00D92F2A"/>
    <w:rsid w:val="00D92FAE"/>
    <w:rsid w:val="00D92FF8"/>
    <w:rsid w:val="00D930B9"/>
    <w:rsid w:val="00D932AB"/>
    <w:rsid w:val="00D932BD"/>
    <w:rsid w:val="00D932F9"/>
    <w:rsid w:val="00D93388"/>
    <w:rsid w:val="00D93516"/>
    <w:rsid w:val="00D9358A"/>
    <w:rsid w:val="00D935C8"/>
    <w:rsid w:val="00D93910"/>
    <w:rsid w:val="00D93967"/>
    <w:rsid w:val="00D93A7D"/>
    <w:rsid w:val="00D93CC0"/>
    <w:rsid w:val="00D93CDC"/>
    <w:rsid w:val="00D93CFE"/>
    <w:rsid w:val="00D93D1C"/>
    <w:rsid w:val="00D93D51"/>
    <w:rsid w:val="00D94222"/>
    <w:rsid w:val="00D94382"/>
    <w:rsid w:val="00D94416"/>
    <w:rsid w:val="00D9482C"/>
    <w:rsid w:val="00D9488A"/>
    <w:rsid w:val="00D94950"/>
    <w:rsid w:val="00D94962"/>
    <w:rsid w:val="00D949A7"/>
    <w:rsid w:val="00D94D43"/>
    <w:rsid w:val="00D94D5D"/>
    <w:rsid w:val="00D94F1E"/>
    <w:rsid w:val="00D94FB8"/>
    <w:rsid w:val="00D950B7"/>
    <w:rsid w:val="00D950E7"/>
    <w:rsid w:val="00D952EE"/>
    <w:rsid w:val="00D952FB"/>
    <w:rsid w:val="00D9530B"/>
    <w:rsid w:val="00D95348"/>
    <w:rsid w:val="00D95444"/>
    <w:rsid w:val="00D95454"/>
    <w:rsid w:val="00D9548F"/>
    <w:rsid w:val="00D955AE"/>
    <w:rsid w:val="00D955BD"/>
    <w:rsid w:val="00D956EB"/>
    <w:rsid w:val="00D957EC"/>
    <w:rsid w:val="00D95995"/>
    <w:rsid w:val="00D95B77"/>
    <w:rsid w:val="00D96108"/>
    <w:rsid w:val="00D962C0"/>
    <w:rsid w:val="00D9646C"/>
    <w:rsid w:val="00D96528"/>
    <w:rsid w:val="00D966C2"/>
    <w:rsid w:val="00D9673C"/>
    <w:rsid w:val="00D967D0"/>
    <w:rsid w:val="00D96996"/>
    <w:rsid w:val="00D96ABD"/>
    <w:rsid w:val="00D96D1D"/>
    <w:rsid w:val="00D96E1B"/>
    <w:rsid w:val="00D96E68"/>
    <w:rsid w:val="00D9711F"/>
    <w:rsid w:val="00D971C9"/>
    <w:rsid w:val="00D97206"/>
    <w:rsid w:val="00D972F6"/>
    <w:rsid w:val="00D97371"/>
    <w:rsid w:val="00D973AC"/>
    <w:rsid w:val="00D97493"/>
    <w:rsid w:val="00D97652"/>
    <w:rsid w:val="00D9787A"/>
    <w:rsid w:val="00D979EE"/>
    <w:rsid w:val="00D97F46"/>
    <w:rsid w:val="00D97F6C"/>
    <w:rsid w:val="00DA0036"/>
    <w:rsid w:val="00DA003B"/>
    <w:rsid w:val="00DA0489"/>
    <w:rsid w:val="00DA04B0"/>
    <w:rsid w:val="00DA0508"/>
    <w:rsid w:val="00DA052D"/>
    <w:rsid w:val="00DA0660"/>
    <w:rsid w:val="00DA07D4"/>
    <w:rsid w:val="00DA0A09"/>
    <w:rsid w:val="00DA106C"/>
    <w:rsid w:val="00DA117D"/>
    <w:rsid w:val="00DA141E"/>
    <w:rsid w:val="00DA1479"/>
    <w:rsid w:val="00DA1582"/>
    <w:rsid w:val="00DA1789"/>
    <w:rsid w:val="00DA17AD"/>
    <w:rsid w:val="00DA19A0"/>
    <w:rsid w:val="00DA1A3D"/>
    <w:rsid w:val="00DA1A45"/>
    <w:rsid w:val="00DA1B2E"/>
    <w:rsid w:val="00DA1B67"/>
    <w:rsid w:val="00DA1C7A"/>
    <w:rsid w:val="00DA1D47"/>
    <w:rsid w:val="00DA1E83"/>
    <w:rsid w:val="00DA2067"/>
    <w:rsid w:val="00DA226C"/>
    <w:rsid w:val="00DA2506"/>
    <w:rsid w:val="00DA28B3"/>
    <w:rsid w:val="00DA295D"/>
    <w:rsid w:val="00DA2AAA"/>
    <w:rsid w:val="00DA2C15"/>
    <w:rsid w:val="00DA2C46"/>
    <w:rsid w:val="00DA2CAF"/>
    <w:rsid w:val="00DA2D83"/>
    <w:rsid w:val="00DA2F0E"/>
    <w:rsid w:val="00DA300D"/>
    <w:rsid w:val="00DA3049"/>
    <w:rsid w:val="00DA3141"/>
    <w:rsid w:val="00DA3201"/>
    <w:rsid w:val="00DA33E9"/>
    <w:rsid w:val="00DA3428"/>
    <w:rsid w:val="00DA34A7"/>
    <w:rsid w:val="00DA3635"/>
    <w:rsid w:val="00DA3867"/>
    <w:rsid w:val="00DA38C8"/>
    <w:rsid w:val="00DA3916"/>
    <w:rsid w:val="00DA39C3"/>
    <w:rsid w:val="00DA3BB3"/>
    <w:rsid w:val="00DA3C37"/>
    <w:rsid w:val="00DA3CEF"/>
    <w:rsid w:val="00DA3D78"/>
    <w:rsid w:val="00DA3DE2"/>
    <w:rsid w:val="00DA404C"/>
    <w:rsid w:val="00DA40AE"/>
    <w:rsid w:val="00DA44B0"/>
    <w:rsid w:val="00DA45CA"/>
    <w:rsid w:val="00DA469F"/>
    <w:rsid w:val="00DA46D9"/>
    <w:rsid w:val="00DA4701"/>
    <w:rsid w:val="00DA4737"/>
    <w:rsid w:val="00DA4817"/>
    <w:rsid w:val="00DA49CE"/>
    <w:rsid w:val="00DA4C22"/>
    <w:rsid w:val="00DA4D97"/>
    <w:rsid w:val="00DA4F4F"/>
    <w:rsid w:val="00DA4FA1"/>
    <w:rsid w:val="00DA527D"/>
    <w:rsid w:val="00DA5295"/>
    <w:rsid w:val="00DA5563"/>
    <w:rsid w:val="00DA58E0"/>
    <w:rsid w:val="00DA5D53"/>
    <w:rsid w:val="00DA5D54"/>
    <w:rsid w:val="00DA5EF9"/>
    <w:rsid w:val="00DA601D"/>
    <w:rsid w:val="00DA6385"/>
    <w:rsid w:val="00DA66BE"/>
    <w:rsid w:val="00DA68BD"/>
    <w:rsid w:val="00DA6A2A"/>
    <w:rsid w:val="00DA6B2C"/>
    <w:rsid w:val="00DA6B7C"/>
    <w:rsid w:val="00DA6C1C"/>
    <w:rsid w:val="00DA6CCE"/>
    <w:rsid w:val="00DA6E62"/>
    <w:rsid w:val="00DA6F82"/>
    <w:rsid w:val="00DA718B"/>
    <w:rsid w:val="00DA71B0"/>
    <w:rsid w:val="00DA724F"/>
    <w:rsid w:val="00DA73B8"/>
    <w:rsid w:val="00DA740F"/>
    <w:rsid w:val="00DA7462"/>
    <w:rsid w:val="00DA7633"/>
    <w:rsid w:val="00DA7692"/>
    <w:rsid w:val="00DA773B"/>
    <w:rsid w:val="00DA7787"/>
    <w:rsid w:val="00DA7A50"/>
    <w:rsid w:val="00DA7B96"/>
    <w:rsid w:val="00DA7F47"/>
    <w:rsid w:val="00DA7FB7"/>
    <w:rsid w:val="00DB006B"/>
    <w:rsid w:val="00DB01D4"/>
    <w:rsid w:val="00DB038A"/>
    <w:rsid w:val="00DB0454"/>
    <w:rsid w:val="00DB0707"/>
    <w:rsid w:val="00DB078B"/>
    <w:rsid w:val="00DB07F6"/>
    <w:rsid w:val="00DB0B25"/>
    <w:rsid w:val="00DB0D34"/>
    <w:rsid w:val="00DB0D49"/>
    <w:rsid w:val="00DB0D95"/>
    <w:rsid w:val="00DB0DB5"/>
    <w:rsid w:val="00DB0E54"/>
    <w:rsid w:val="00DB0FB3"/>
    <w:rsid w:val="00DB10C7"/>
    <w:rsid w:val="00DB12A5"/>
    <w:rsid w:val="00DB12B6"/>
    <w:rsid w:val="00DB133C"/>
    <w:rsid w:val="00DB143E"/>
    <w:rsid w:val="00DB170A"/>
    <w:rsid w:val="00DB17B7"/>
    <w:rsid w:val="00DB1920"/>
    <w:rsid w:val="00DB19ED"/>
    <w:rsid w:val="00DB1BFF"/>
    <w:rsid w:val="00DB1D34"/>
    <w:rsid w:val="00DB1EA5"/>
    <w:rsid w:val="00DB1FDC"/>
    <w:rsid w:val="00DB1FE9"/>
    <w:rsid w:val="00DB2256"/>
    <w:rsid w:val="00DB2382"/>
    <w:rsid w:val="00DB2616"/>
    <w:rsid w:val="00DB275A"/>
    <w:rsid w:val="00DB2B52"/>
    <w:rsid w:val="00DB2BEE"/>
    <w:rsid w:val="00DB2CAF"/>
    <w:rsid w:val="00DB2E32"/>
    <w:rsid w:val="00DB2E70"/>
    <w:rsid w:val="00DB2E72"/>
    <w:rsid w:val="00DB3124"/>
    <w:rsid w:val="00DB3309"/>
    <w:rsid w:val="00DB347D"/>
    <w:rsid w:val="00DB3733"/>
    <w:rsid w:val="00DB3740"/>
    <w:rsid w:val="00DB3834"/>
    <w:rsid w:val="00DB3EAD"/>
    <w:rsid w:val="00DB41A2"/>
    <w:rsid w:val="00DB41E0"/>
    <w:rsid w:val="00DB43CF"/>
    <w:rsid w:val="00DB454A"/>
    <w:rsid w:val="00DB4658"/>
    <w:rsid w:val="00DB493C"/>
    <w:rsid w:val="00DB4951"/>
    <w:rsid w:val="00DB4A7F"/>
    <w:rsid w:val="00DB4B3D"/>
    <w:rsid w:val="00DB4D68"/>
    <w:rsid w:val="00DB4DB0"/>
    <w:rsid w:val="00DB4EE4"/>
    <w:rsid w:val="00DB4F3A"/>
    <w:rsid w:val="00DB503D"/>
    <w:rsid w:val="00DB513E"/>
    <w:rsid w:val="00DB517C"/>
    <w:rsid w:val="00DB5377"/>
    <w:rsid w:val="00DB5464"/>
    <w:rsid w:val="00DB55C2"/>
    <w:rsid w:val="00DB565C"/>
    <w:rsid w:val="00DB5743"/>
    <w:rsid w:val="00DB577B"/>
    <w:rsid w:val="00DB590B"/>
    <w:rsid w:val="00DB59DD"/>
    <w:rsid w:val="00DB5BB5"/>
    <w:rsid w:val="00DB5D28"/>
    <w:rsid w:val="00DB5DF4"/>
    <w:rsid w:val="00DB61C6"/>
    <w:rsid w:val="00DB62C2"/>
    <w:rsid w:val="00DB632B"/>
    <w:rsid w:val="00DB6334"/>
    <w:rsid w:val="00DB63C0"/>
    <w:rsid w:val="00DB654F"/>
    <w:rsid w:val="00DB6629"/>
    <w:rsid w:val="00DB697C"/>
    <w:rsid w:val="00DB6ADA"/>
    <w:rsid w:val="00DB6B2B"/>
    <w:rsid w:val="00DB6E8E"/>
    <w:rsid w:val="00DB6FB9"/>
    <w:rsid w:val="00DB7097"/>
    <w:rsid w:val="00DB70E9"/>
    <w:rsid w:val="00DB722F"/>
    <w:rsid w:val="00DB7230"/>
    <w:rsid w:val="00DB72A5"/>
    <w:rsid w:val="00DB7434"/>
    <w:rsid w:val="00DB78DF"/>
    <w:rsid w:val="00DB79C4"/>
    <w:rsid w:val="00DB7B03"/>
    <w:rsid w:val="00DB7B7F"/>
    <w:rsid w:val="00DB7DF9"/>
    <w:rsid w:val="00DB7F8F"/>
    <w:rsid w:val="00DC0161"/>
    <w:rsid w:val="00DC02C6"/>
    <w:rsid w:val="00DC0467"/>
    <w:rsid w:val="00DC05BC"/>
    <w:rsid w:val="00DC0608"/>
    <w:rsid w:val="00DC065A"/>
    <w:rsid w:val="00DC091B"/>
    <w:rsid w:val="00DC0926"/>
    <w:rsid w:val="00DC09F3"/>
    <w:rsid w:val="00DC0AED"/>
    <w:rsid w:val="00DC0C98"/>
    <w:rsid w:val="00DC0FA7"/>
    <w:rsid w:val="00DC1068"/>
    <w:rsid w:val="00DC10C9"/>
    <w:rsid w:val="00DC13E6"/>
    <w:rsid w:val="00DC1507"/>
    <w:rsid w:val="00DC15AE"/>
    <w:rsid w:val="00DC16D0"/>
    <w:rsid w:val="00DC1821"/>
    <w:rsid w:val="00DC18E1"/>
    <w:rsid w:val="00DC1960"/>
    <w:rsid w:val="00DC19DD"/>
    <w:rsid w:val="00DC1F4C"/>
    <w:rsid w:val="00DC2011"/>
    <w:rsid w:val="00DC21C3"/>
    <w:rsid w:val="00DC221E"/>
    <w:rsid w:val="00DC2554"/>
    <w:rsid w:val="00DC2597"/>
    <w:rsid w:val="00DC2953"/>
    <w:rsid w:val="00DC29CD"/>
    <w:rsid w:val="00DC2BF8"/>
    <w:rsid w:val="00DC2C0C"/>
    <w:rsid w:val="00DC2C4E"/>
    <w:rsid w:val="00DC2C7E"/>
    <w:rsid w:val="00DC2D24"/>
    <w:rsid w:val="00DC2D93"/>
    <w:rsid w:val="00DC2E4C"/>
    <w:rsid w:val="00DC3222"/>
    <w:rsid w:val="00DC33AF"/>
    <w:rsid w:val="00DC3430"/>
    <w:rsid w:val="00DC3585"/>
    <w:rsid w:val="00DC3696"/>
    <w:rsid w:val="00DC3A90"/>
    <w:rsid w:val="00DC3B8D"/>
    <w:rsid w:val="00DC3C91"/>
    <w:rsid w:val="00DC3DE3"/>
    <w:rsid w:val="00DC3EE5"/>
    <w:rsid w:val="00DC3FF8"/>
    <w:rsid w:val="00DC41A5"/>
    <w:rsid w:val="00DC427E"/>
    <w:rsid w:val="00DC4630"/>
    <w:rsid w:val="00DC464B"/>
    <w:rsid w:val="00DC47C5"/>
    <w:rsid w:val="00DC47EC"/>
    <w:rsid w:val="00DC4A5D"/>
    <w:rsid w:val="00DC4B8F"/>
    <w:rsid w:val="00DC4E07"/>
    <w:rsid w:val="00DC4E32"/>
    <w:rsid w:val="00DC4E72"/>
    <w:rsid w:val="00DC4F5D"/>
    <w:rsid w:val="00DC51EB"/>
    <w:rsid w:val="00DC5200"/>
    <w:rsid w:val="00DC52CF"/>
    <w:rsid w:val="00DC52DB"/>
    <w:rsid w:val="00DC53DD"/>
    <w:rsid w:val="00DC545A"/>
    <w:rsid w:val="00DC576C"/>
    <w:rsid w:val="00DC584B"/>
    <w:rsid w:val="00DC590F"/>
    <w:rsid w:val="00DC5969"/>
    <w:rsid w:val="00DC59CC"/>
    <w:rsid w:val="00DC5CBF"/>
    <w:rsid w:val="00DC5FDE"/>
    <w:rsid w:val="00DC62B6"/>
    <w:rsid w:val="00DC6365"/>
    <w:rsid w:val="00DC6447"/>
    <w:rsid w:val="00DC64A4"/>
    <w:rsid w:val="00DC6521"/>
    <w:rsid w:val="00DC6613"/>
    <w:rsid w:val="00DC667C"/>
    <w:rsid w:val="00DC66FD"/>
    <w:rsid w:val="00DC684E"/>
    <w:rsid w:val="00DC6970"/>
    <w:rsid w:val="00DC6E0F"/>
    <w:rsid w:val="00DC6F1F"/>
    <w:rsid w:val="00DC71B4"/>
    <w:rsid w:val="00DC75B3"/>
    <w:rsid w:val="00DC7617"/>
    <w:rsid w:val="00DC7993"/>
    <w:rsid w:val="00DC7A0D"/>
    <w:rsid w:val="00DC7A4C"/>
    <w:rsid w:val="00DC7A55"/>
    <w:rsid w:val="00DC7C66"/>
    <w:rsid w:val="00DC7ED5"/>
    <w:rsid w:val="00DC7F09"/>
    <w:rsid w:val="00DC7FD3"/>
    <w:rsid w:val="00DD016B"/>
    <w:rsid w:val="00DD024A"/>
    <w:rsid w:val="00DD0300"/>
    <w:rsid w:val="00DD0488"/>
    <w:rsid w:val="00DD04A6"/>
    <w:rsid w:val="00DD07F0"/>
    <w:rsid w:val="00DD0884"/>
    <w:rsid w:val="00DD089C"/>
    <w:rsid w:val="00DD0A3A"/>
    <w:rsid w:val="00DD0C54"/>
    <w:rsid w:val="00DD0C87"/>
    <w:rsid w:val="00DD0C95"/>
    <w:rsid w:val="00DD0CA2"/>
    <w:rsid w:val="00DD0EF2"/>
    <w:rsid w:val="00DD1189"/>
    <w:rsid w:val="00DD1624"/>
    <w:rsid w:val="00DD1695"/>
    <w:rsid w:val="00DD1849"/>
    <w:rsid w:val="00DD18DA"/>
    <w:rsid w:val="00DD1902"/>
    <w:rsid w:val="00DD1964"/>
    <w:rsid w:val="00DD1AB3"/>
    <w:rsid w:val="00DD1B06"/>
    <w:rsid w:val="00DD1C3A"/>
    <w:rsid w:val="00DD1CF9"/>
    <w:rsid w:val="00DD1D0D"/>
    <w:rsid w:val="00DD1E3A"/>
    <w:rsid w:val="00DD1E7C"/>
    <w:rsid w:val="00DD1FC9"/>
    <w:rsid w:val="00DD2088"/>
    <w:rsid w:val="00DD20D4"/>
    <w:rsid w:val="00DD20E7"/>
    <w:rsid w:val="00DD237D"/>
    <w:rsid w:val="00DD24AB"/>
    <w:rsid w:val="00DD2679"/>
    <w:rsid w:val="00DD26E1"/>
    <w:rsid w:val="00DD276B"/>
    <w:rsid w:val="00DD28C6"/>
    <w:rsid w:val="00DD299B"/>
    <w:rsid w:val="00DD29C2"/>
    <w:rsid w:val="00DD29F9"/>
    <w:rsid w:val="00DD2A8A"/>
    <w:rsid w:val="00DD2A95"/>
    <w:rsid w:val="00DD2AB0"/>
    <w:rsid w:val="00DD2E30"/>
    <w:rsid w:val="00DD2EFD"/>
    <w:rsid w:val="00DD2F06"/>
    <w:rsid w:val="00DD2F1D"/>
    <w:rsid w:val="00DD2FD8"/>
    <w:rsid w:val="00DD3098"/>
    <w:rsid w:val="00DD30AD"/>
    <w:rsid w:val="00DD3126"/>
    <w:rsid w:val="00DD3199"/>
    <w:rsid w:val="00DD3201"/>
    <w:rsid w:val="00DD320A"/>
    <w:rsid w:val="00DD3326"/>
    <w:rsid w:val="00DD336A"/>
    <w:rsid w:val="00DD33C5"/>
    <w:rsid w:val="00DD33DA"/>
    <w:rsid w:val="00DD358B"/>
    <w:rsid w:val="00DD36C9"/>
    <w:rsid w:val="00DD36D5"/>
    <w:rsid w:val="00DD376E"/>
    <w:rsid w:val="00DD3A04"/>
    <w:rsid w:val="00DD3BB6"/>
    <w:rsid w:val="00DD3BE0"/>
    <w:rsid w:val="00DD3D73"/>
    <w:rsid w:val="00DD3D92"/>
    <w:rsid w:val="00DD3D98"/>
    <w:rsid w:val="00DD3E00"/>
    <w:rsid w:val="00DD3E0C"/>
    <w:rsid w:val="00DD3E52"/>
    <w:rsid w:val="00DD4021"/>
    <w:rsid w:val="00DD41EA"/>
    <w:rsid w:val="00DD4210"/>
    <w:rsid w:val="00DD4221"/>
    <w:rsid w:val="00DD459E"/>
    <w:rsid w:val="00DD45FE"/>
    <w:rsid w:val="00DD4741"/>
    <w:rsid w:val="00DD4775"/>
    <w:rsid w:val="00DD4871"/>
    <w:rsid w:val="00DD4B51"/>
    <w:rsid w:val="00DD4C57"/>
    <w:rsid w:val="00DD4EEF"/>
    <w:rsid w:val="00DD52AF"/>
    <w:rsid w:val="00DD5335"/>
    <w:rsid w:val="00DD53FF"/>
    <w:rsid w:val="00DD54E9"/>
    <w:rsid w:val="00DD55BB"/>
    <w:rsid w:val="00DD57EF"/>
    <w:rsid w:val="00DD5AB0"/>
    <w:rsid w:val="00DD5F93"/>
    <w:rsid w:val="00DD6079"/>
    <w:rsid w:val="00DD6109"/>
    <w:rsid w:val="00DD6185"/>
    <w:rsid w:val="00DD62A4"/>
    <w:rsid w:val="00DD6495"/>
    <w:rsid w:val="00DD65C9"/>
    <w:rsid w:val="00DD6614"/>
    <w:rsid w:val="00DD6649"/>
    <w:rsid w:val="00DD6662"/>
    <w:rsid w:val="00DD6671"/>
    <w:rsid w:val="00DD667D"/>
    <w:rsid w:val="00DD672E"/>
    <w:rsid w:val="00DD675E"/>
    <w:rsid w:val="00DD67F0"/>
    <w:rsid w:val="00DD6818"/>
    <w:rsid w:val="00DD6905"/>
    <w:rsid w:val="00DD6DF2"/>
    <w:rsid w:val="00DD6E27"/>
    <w:rsid w:val="00DD71A2"/>
    <w:rsid w:val="00DD7250"/>
    <w:rsid w:val="00DD732D"/>
    <w:rsid w:val="00DD7546"/>
    <w:rsid w:val="00DD770E"/>
    <w:rsid w:val="00DD7723"/>
    <w:rsid w:val="00DD7AB6"/>
    <w:rsid w:val="00DD7C0F"/>
    <w:rsid w:val="00DD7D07"/>
    <w:rsid w:val="00DD7D69"/>
    <w:rsid w:val="00DD7F2B"/>
    <w:rsid w:val="00DD7FE6"/>
    <w:rsid w:val="00DE019D"/>
    <w:rsid w:val="00DE01C6"/>
    <w:rsid w:val="00DE02B9"/>
    <w:rsid w:val="00DE02CA"/>
    <w:rsid w:val="00DE0461"/>
    <w:rsid w:val="00DE04FB"/>
    <w:rsid w:val="00DE058A"/>
    <w:rsid w:val="00DE06D9"/>
    <w:rsid w:val="00DE074E"/>
    <w:rsid w:val="00DE0809"/>
    <w:rsid w:val="00DE0814"/>
    <w:rsid w:val="00DE0858"/>
    <w:rsid w:val="00DE0A2A"/>
    <w:rsid w:val="00DE0A32"/>
    <w:rsid w:val="00DE0A60"/>
    <w:rsid w:val="00DE0E98"/>
    <w:rsid w:val="00DE1054"/>
    <w:rsid w:val="00DE1162"/>
    <w:rsid w:val="00DE11F6"/>
    <w:rsid w:val="00DE12CF"/>
    <w:rsid w:val="00DE134A"/>
    <w:rsid w:val="00DE1399"/>
    <w:rsid w:val="00DE14AB"/>
    <w:rsid w:val="00DE14C9"/>
    <w:rsid w:val="00DE1592"/>
    <w:rsid w:val="00DE15EA"/>
    <w:rsid w:val="00DE16D5"/>
    <w:rsid w:val="00DE1721"/>
    <w:rsid w:val="00DE172C"/>
    <w:rsid w:val="00DE17D9"/>
    <w:rsid w:val="00DE1988"/>
    <w:rsid w:val="00DE1B45"/>
    <w:rsid w:val="00DE1C52"/>
    <w:rsid w:val="00DE2061"/>
    <w:rsid w:val="00DE211C"/>
    <w:rsid w:val="00DE2238"/>
    <w:rsid w:val="00DE260B"/>
    <w:rsid w:val="00DE2693"/>
    <w:rsid w:val="00DE26AA"/>
    <w:rsid w:val="00DE26EA"/>
    <w:rsid w:val="00DE2772"/>
    <w:rsid w:val="00DE27BF"/>
    <w:rsid w:val="00DE2913"/>
    <w:rsid w:val="00DE2A58"/>
    <w:rsid w:val="00DE2B27"/>
    <w:rsid w:val="00DE2B41"/>
    <w:rsid w:val="00DE2B97"/>
    <w:rsid w:val="00DE2CA5"/>
    <w:rsid w:val="00DE2CBD"/>
    <w:rsid w:val="00DE2FCB"/>
    <w:rsid w:val="00DE3103"/>
    <w:rsid w:val="00DE3273"/>
    <w:rsid w:val="00DE3387"/>
    <w:rsid w:val="00DE34DC"/>
    <w:rsid w:val="00DE3FCC"/>
    <w:rsid w:val="00DE40A8"/>
    <w:rsid w:val="00DE41D3"/>
    <w:rsid w:val="00DE4296"/>
    <w:rsid w:val="00DE4344"/>
    <w:rsid w:val="00DE45B3"/>
    <w:rsid w:val="00DE4713"/>
    <w:rsid w:val="00DE47B7"/>
    <w:rsid w:val="00DE490A"/>
    <w:rsid w:val="00DE4938"/>
    <w:rsid w:val="00DE49A2"/>
    <w:rsid w:val="00DE4B9B"/>
    <w:rsid w:val="00DE4C49"/>
    <w:rsid w:val="00DE4CCF"/>
    <w:rsid w:val="00DE5276"/>
    <w:rsid w:val="00DE585B"/>
    <w:rsid w:val="00DE5997"/>
    <w:rsid w:val="00DE5B2F"/>
    <w:rsid w:val="00DE5BC1"/>
    <w:rsid w:val="00DE5CBD"/>
    <w:rsid w:val="00DE5DD4"/>
    <w:rsid w:val="00DE5EBD"/>
    <w:rsid w:val="00DE5FE0"/>
    <w:rsid w:val="00DE61A8"/>
    <w:rsid w:val="00DE6236"/>
    <w:rsid w:val="00DE67F7"/>
    <w:rsid w:val="00DE687F"/>
    <w:rsid w:val="00DE68A9"/>
    <w:rsid w:val="00DE6A82"/>
    <w:rsid w:val="00DE6B62"/>
    <w:rsid w:val="00DE6B96"/>
    <w:rsid w:val="00DE6B9B"/>
    <w:rsid w:val="00DE6D2A"/>
    <w:rsid w:val="00DE6F0B"/>
    <w:rsid w:val="00DE6F60"/>
    <w:rsid w:val="00DE6FE7"/>
    <w:rsid w:val="00DE70F1"/>
    <w:rsid w:val="00DE7161"/>
    <w:rsid w:val="00DE717D"/>
    <w:rsid w:val="00DE71A8"/>
    <w:rsid w:val="00DE7488"/>
    <w:rsid w:val="00DE78BA"/>
    <w:rsid w:val="00DE79D0"/>
    <w:rsid w:val="00DE7CCB"/>
    <w:rsid w:val="00DE7D76"/>
    <w:rsid w:val="00DF0048"/>
    <w:rsid w:val="00DF0153"/>
    <w:rsid w:val="00DF0347"/>
    <w:rsid w:val="00DF03E3"/>
    <w:rsid w:val="00DF048B"/>
    <w:rsid w:val="00DF0544"/>
    <w:rsid w:val="00DF0737"/>
    <w:rsid w:val="00DF08C9"/>
    <w:rsid w:val="00DF0A5D"/>
    <w:rsid w:val="00DF0ABB"/>
    <w:rsid w:val="00DF0CBE"/>
    <w:rsid w:val="00DF0E25"/>
    <w:rsid w:val="00DF0FFF"/>
    <w:rsid w:val="00DF10AD"/>
    <w:rsid w:val="00DF10D4"/>
    <w:rsid w:val="00DF1226"/>
    <w:rsid w:val="00DF13B7"/>
    <w:rsid w:val="00DF1420"/>
    <w:rsid w:val="00DF1755"/>
    <w:rsid w:val="00DF181D"/>
    <w:rsid w:val="00DF19D8"/>
    <w:rsid w:val="00DF19F2"/>
    <w:rsid w:val="00DF1A34"/>
    <w:rsid w:val="00DF1D0C"/>
    <w:rsid w:val="00DF1DE9"/>
    <w:rsid w:val="00DF1F81"/>
    <w:rsid w:val="00DF21A8"/>
    <w:rsid w:val="00DF21DA"/>
    <w:rsid w:val="00DF2553"/>
    <w:rsid w:val="00DF2573"/>
    <w:rsid w:val="00DF258A"/>
    <w:rsid w:val="00DF280A"/>
    <w:rsid w:val="00DF2842"/>
    <w:rsid w:val="00DF292C"/>
    <w:rsid w:val="00DF2E10"/>
    <w:rsid w:val="00DF2E28"/>
    <w:rsid w:val="00DF2E65"/>
    <w:rsid w:val="00DF2E69"/>
    <w:rsid w:val="00DF2E9A"/>
    <w:rsid w:val="00DF2F84"/>
    <w:rsid w:val="00DF32A0"/>
    <w:rsid w:val="00DF3368"/>
    <w:rsid w:val="00DF3382"/>
    <w:rsid w:val="00DF3470"/>
    <w:rsid w:val="00DF3555"/>
    <w:rsid w:val="00DF3761"/>
    <w:rsid w:val="00DF3ADD"/>
    <w:rsid w:val="00DF3B15"/>
    <w:rsid w:val="00DF3B19"/>
    <w:rsid w:val="00DF3B26"/>
    <w:rsid w:val="00DF3B5B"/>
    <w:rsid w:val="00DF3B88"/>
    <w:rsid w:val="00DF3BEF"/>
    <w:rsid w:val="00DF3D26"/>
    <w:rsid w:val="00DF3D43"/>
    <w:rsid w:val="00DF3FD1"/>
    <w:rsid w:val="00DF413A"/>
    <w:rsid w:val="00DF4140"/>
    <w:rsid w:val="00DF4218"/>
    <w:rsid w:val="00DF4307"/>
    <w:rsid w:val="00DF43C4"/>
    <w:rsid w:val="00DF43FB"/>
    <w:rsid w:val="00DF4402"/>
    <w:rsid w:val="00DF4499"/>
    <w:rsid w:val="00DF451B"/>
    <w:rsid w:val="00DF45CF"/>
    <w:rsid w:val="00DF4644"/>
    <w:rsid w:val="00DF4801"/>
    <w:rsid w:val="00DF4974"/>
    <w:rsid w:val="00DF4B64"/>
    <w:rsid w:val="00DF4B9A"/>
    <w:rsid w:val="00DF4F62"/>
    <w:rsid w:val="00DF4FC4"/>
    <w:rsid w:val="00DF5013"/>
    <w:rsid w:val="00DF5222"/>
    <w:rsid w:val="00DF5409"/>
    <w:rsid w:val="00DF5419"/>
    <w:rsid w:val="00DF5446"/>
    <w:rsid w:val="00DF556E"/>
    <w:rsid w:val="00DF55D3"/>
    <w:rsid w:val="00DF55F0"/>
    <w:rsid w:val="00DF5690"/>
    <w:rsid w:val="00DF56FA"/>
    <w:rsid w:val="00DF5740"/>
    <w:rsid w:val="00DF5788"/>
    <w:rsid w:val="00DF5895"/>
    <w:rsid w:val="00DF5D02"/>
    <w:rsid w:val="00DF5DC8"/>
    <w:rsid w:val="00DF5E5E"/>
    <w:rsid w:val="00DF60DA"/>
    <w:rsid w:val="00DF61AD"/>
    <w:rsid w:val="00DF6443"/>
    <w:rsid w:val="00DF670E"/>
    <w:rsid w:val="00DF677F"/>
    <w:rsid w:val="00DF68E4"/>
    <w:rsid w:val="00DF6955"/>
    <w:rsid w:val="00DF6A18"/>
    <w:rsid w:val="00DF6A7A"/>
    <w:rsid w:val="00DF6B56"/>
    <w:rsid w:val="00DF6C24"/>
    <w:rsid w:val="00DF6FF5"/>
    <w:rsid w:val="00DF70D9"/>
    <w:rsid w:val="00DF70F3"/>
    <w:rsid w:val="00DF71C4"/>
    <w:rsid w:val="00DF7414"/>
    <w:rsid w:val="00DF7536"/>
    <w:rsid w:val="00DF7AA3"/>
    <w:rsid w:val="00DF7AC0"/>
    <w:rsid w:val="00DF7C5F"/>
    <w:rsid w:val="00DF7C81"/>
    <w:rsid w:val="00DF7C88"/>
    <w:rsid w:val="00E0004E"/>
    <w:rsid w:val="00E0014C"/>
    <w:rsid w:val="00E0028F"/>
    <w:rsid w:val="00E002D3"/>
    <w:rsid w:val="00E00348"/>
    <w:rsid w:val="00E003CE"/>
    <w:rsid w:val="00E003DE"/>
    <w:rsid w:val="00E0073C"/>
    <w:rsid w:val="00E0099F"/>
    <w:rsid w:val="00E00DE3"/>
    <w:rsid w:val="00E01353"/>
    <w:rsid w:val="00E01359"/>
    <w:rsid w:val="00E01614"/>
    <w:rsid w:val="00E01701"/>
    <w:rsid w:val="00E0174A"/>
    <w:rsid w:val="00E017BB"/>
    <w:rsid w:val="00E0188D"/>
    <w:rsid w:val="00E018CA"/>
    <w:rsid w:val="00E0197A"/>
    <w:rsid w:val="00E01AF0"/>
    <w:rsid w:val="00E01BC1"/>
    <w:rsid w:val="00E01C82"/>
    <w:rsid w:val="00E01CF7"/>
    <w:rsid w:val="00E01F0C"/>
    <w:rsid w:val="00E01F54"/>
    <w:rsid w:val="00E020A0"/>
    <w:rsid w:val="00E0220D"/>
    <w:rsid w:val="00E02314"/>
    <w:rsid w:val="00E02316"/>
    <w:rsid w:val="00E024A4"/>
    <w:rsid w:val="00E02564"/>
    <w:rsid w:val="00E026CD"/>
    <w:rsid w:val="00E027B0"/>
    <w:rsid w:val="00E02A05"/>
    <w:rsid w:val="00E02B54"/>
    <w:rsid w:val="00E02BC3"/>
    <w:rsid w:val="00E02CC6"/>
    <w:rsid w:val="00E02D13"/>
    <w:rsid w:val="00E02DA4"/>
    <w:rsid w:val="00E031FE"/>
    <w:rsid w:val="00E0321A"/>
    <w:rsid w:val="00E03228"/>
    <w:rsid w:val="00E03616"/>
    <w:rsid w:val="00E0373E"/>
    <w:rsid w:val="00E03973"/>
    <w:rsid w:val="00E03BA4"/>
    <w:rsid w:val="00E03BAE"/>
    <w:rsid w:val="00E03BE2"/>
    <w:rsid w:val="00E043E8"/>
    <w:rsid w:val="00E04443"/>
    <w:rsid w:val="00E045F5"/>
    <w:rsid w:val="00E046F3"/>
    <w:rsid w:val="00E0471B"/>
    <w:rsid w:val="00E04720"/>
    <w:rsid w:val="00E04761"/>
    <w:rsid w:val="00E048BE"/>
    <w:rsid w:val="00E0497B"/>
    <w:rsid w:val="00E04D3B"/>
    <w:rsid w:val="00E04E81"/>
    <w:rsid w:val="00E04EF4"/>
    <w:rsid w:val="00E0502E"/>
    <w:rsid w:val="00E05100"/>
    <w:rsid w:val="00E0519C"/>
    <w:rsid w:val="00E05220"/>
    <w:rsid w:val="00E0545F"/>
    <w:rsid w:val="00E0558E"/>
    <w:rsid w:val="00E057E3"/>
    <w:rsid w:val="00E05B07"/>
    <w:rsid w:val="00E05D2F"/>
    <w:rsid w:val="00E05F72"/>
    <w:rsid w:val="00E06069"/>
    <w:rsid w:val="00E060AE"/>
    <w:rsid w:val="00E060B0"/>
    <w:rsid w:val="00E0621D"/>
    <w:rsid w:val="00E062D7"/>
    <w:rsid w:val="00E063A6"/>
    <w:rsid w:val="00E0652A"/>
    <w:rsid w:val="00E065C3"/>
    <w:rsid w:val="00E06645"/>
    <w:rsid w:val="00E0680A"/>
    <w:rsid w:val="00E06893"/>
    <w:rsid w:val="00E06A6E"/>
    <w:rsid w:val="00E06DE9"/>
    <w:rsid w:val="00E07050"/>
    <w:rsid w:val="00E07103"/>
    <w:rsid w:val="00E072EA"/>
    <w:rsid w:val="00E0760D"/>
    <w:rsid w:val="00E07750"/>
    <w:rsid w:val="00E079B1"/>
    <w:rsid w:val="00E07A08"/>
    <w:rsid w:val="00E07ABA"/>
    <w:rsid w:val="00E07AC5"/>
    <w:rsid w:val="00E07BAD"/>
    <w:rsid w:val="00E07C8D"/>
    <w:rsid w:val="00E101DC"/>
    <w:rsid w:val="00E10270"/>
    <w:rsid w:val="00E10435"/>
    <w:rsid w:val="00E104D4"/>
    <w:rsid w:val="00E1052C"/>
    <w:rsid w:val="00E10730"/>
    <w:rsid w:val="00E1097A"/>
    <w:rsid w:val="00E109CD"/>
    <w:rsid w:val="00E10A43"/>
    <w:rsid w:val="00E10A69"/>
    <w:rsid w:val="00E10AFD"/>
    <w:rsid w:val="00E10D32"/>
    <w:rsid w:val="00E10F20"/>
    <w:rsid w:val="00E10FE7"/>
    <w:rsid w:val="00E10FE8"/>
    <w:rsid w:val="00E11121"/>
    <w:rsid w:val="00E11133"/>
    <w:rsid w:val="00E112DF"/>
    <w:rsid w:val="00E11493"/>
    <w:rsid w:val="00E1149A"/>
    <w:rsid w:val="00E1173C"/>
    <w:rsid w:val="00E11968"/>
    <w:rsid w:val="00E11B84"/>
    <w:rsid w:val="00E1229E"/>
    <w:rsid w:val="00E122E0"/>
    <w:rsid w:val="00E1241F"/>
    <w:rsid w:val="00E12471"/>
    <w:rsid w:val="00E1248B"/>
    <w:rsid w:val="00E124A1"/>
    <w:rsid w:val="00E125FA"/>
    <w:rsid w:val="00E12AF9"/>
    <w:rsid w:val="00E12BDA"/>
    <w:rsid w:val="00E12CA3"/>
    <w:rsid w:val="00E12CD5"/>
    <w:rsid w:val="00E12D41"/>
    <w:rsid w:val="00E12DD0"/>
    <w:rsid w:val="00E12FBE"/>
    <w:rsid w:val="00E13318"/>
    <w:rsid w:val="00E133A8"/>
    <w:rsid w:val="00E13633"/>
    <w:rsid w:val="00E137A9"/>
    <w:rsid w:val="00E13C33"/>
    <w:rsid w:val="00E13D73"/>
    <w:rsid w:val="00E13DD8"/>
    <w:rsid w:val="00E13E2A"/>
    <w:rsid w:val="00E1414F"/>
    <w:rsid w:val="00E14203"/>
    <w:rsid w:val="00E14365"/>
    <w:rsid w:val="00E1436C"/>
    <w:rsid w:val="00E143C5"/>
    <w:rsid w:val="00E1445B"/>
    <w:rsid w:val="00E14471"/>
    <w:rsid w:val="00E145A3"/>
    <w:rsid w:val="00E1469D"/>
    <w:rsid w:val="00E1469E"/>
    <w:rsid w:val="00E148EE"/>
    <w:rsid w:val="00E14961"/>
    <w:rsid w:val="00E14A3F"/>
    <w:rsid w:val="00E14AA3"/>
    <w:rsid w:val="00E14BA2"/>
    <w:rsid w:val="00E14BAA"/>
    <w:rsid w:val="00E14BFF"/>
    <w:rsid w:val="00E14CE6"/>
    <w:rsid w:val="00E14E6E"/>
    <w:rsid w:val="00E14EEC"/>
    <w:rsid w:val="00E15018"/>
    <w:rsid w:val="00E150EC"/>
    <w:rsid w:val="00E152CC"/>
    <w:rsid w:val="00E1534B"/>
    <w:rsid w:val="00E155E1"/>
    <w:rsid w:val="00E1569B"/>
    <w:rsid w:val="00E15743"/>
    <w:rsid w:val="00E157AD"/>
    <w:rsid w:val="00E1580B"/>
    <w:rsid w:val="00E159CC"/>
    <w:rsid w:val="00E159DD"/>
    <w:rsid w:val="00E15AE2"/>
    <w:rsid w:val="00E15C5C"/>
    <w:rsid w:val="00E15F95"/>
    <w:rsid w:val="00E15F99"/>
    <w:rsid w:val="00E16061"/>
    <w:rsid w:val="00E16281"/>
    <w:rsid w:val="00E1628D"/>
    <w:rsid w:val="00E1632A"/>
    <w:rsid w:val="00E16551"/>
    <w:rsid w:val="00E16604"/>
    <w:rsid w:val="00E1672A"/>
    <w:rsid w:val="00E16791"/>
    <w:rsid w:val="00E16862"/>
    <w:rsid w:val="00E16A03"/>
    <w:rsid w:val="00E16A94"/>
    <w:rsid w:val="00E16CA2"/>
    <w:rsid w:val="00E16DAC"/>
    <w:rsid w:val="00E16E46"/>
    <w:rsid w:val="00E16E8E"/>
    <w:rsid w:val="00E16EF2"/>
    <w:rsid w:val="00E16F80"/>
    <w:rsid w:val="00E17086"/>
    <w:rsid w:val="00E17317"/>
    <w:rsid w:val="00E1737F"/>
    <w:rsid w:val="00E174DA"/>
    <w:rsid w:val="00E17509"/>
    <w:rsid w:val="00E175CA"/>
    <w:rsid w:val="00E175F2"/>
    <w:rsid w:val="00E17695"/>
    <w:rsid w:val="00E178F8"/>
    <w:rsid w:val="00E17ACD"/>
    <w:rsid w:val="00E17B56"/>
    <w:rsid w:val="00E17B78"/>
    <w:rsid w:val="00E17C1D"/>
    <w:rsid w:val="00E17D7D"/>
    <w:rsid w:val="00E17D96"/>
    <w:rsid w:val="00E17E0E"/>
    <w:rsid w:val="00E17EA5"/>
    <w:rsid w:val="00E20047"/>
    <w:rsid w:val="00E20294"/>
    <w:rsid w:val="00E203B7"/>
    <w:rsid w:val="00E20522"/>
    <w:rsid w:val="00E205B5"/>
    <w:rsid w:val="00E20632"/>
    <w:rsid w:val="00E206CC"/>
    <w:rsid w:val="00E209F6"/>
    <w:rsid w:val="00E20B6D"/>
    <w:rsid w:val="00E20BCE"/>
    <w:rsid w:val="00E20F3A"/>
    <w:rsid w:val="00E210C5"/>
    <w:rsid w:val="00E211A2"/>
    <w:rsid w:val="00E21584"/>
    <w:rsid w:val="00E2164F"/>
    <w:rsid w:val="00E216B8"/>
    <w:rsid w:val="00E2170B"/>
    <w:rsid w:val="00E2177A"/>
    <w:rsid w:val="00E2193E"/>
    <w:rsid w:val="00E21C1A"/>
    <w:rsid w:val="00E21C4E"/>
    <w:rsid w:val="00E21F04"/>
    <w:rsid w:val="00E21FE1"/>
    <w:rsid w:val="00E2219C"/>
    <w:rsid w:val="00E221BE"/>
    <w:rsid w:val="00E221E8"/>
    <w:rsid w:val="00E222DD"/>
    <w:rsid w:val="00E2260E"/>
    <w:rsid w:val="00E22721"/>
    <w:rsid w:val="00E22857"/>
    <w:rsid w:val="00E228F7"/>
    <w:rsid w:val="00E22940"/>
    <w:rsid w:val="00E22963"/>
    <w:rsid w:val="00E22A37"/>
    <w:rsid w:val="00E22A47"/>
    <w:rsid w:val="00E22BCD"/>
    <w:rsid w:val="00E22D8F"/>
    <w:rsid w:val="00E22E9E"/>
    <w:rsid w:val="00E22ED3"/>
    <w:rsid w:val="00E22EDE"/>
    <w:rsid w:val="00E22F23"/>
    <w:rsid w:val="00E22F5C"/>
    <w:rsid w:val="00E22FA2"/>
    <w:rsid w:val="00E22FBF"/>
    <w:rsid w:val="00E2306D"/>
    <w:rsid w:val="00E2331F"/>
    <w:rsid w:val="00E234F8"/>
    <w:rsid w:val="00E23688"/>
    <w:rsid w:val="00E2375E"/>
    <w:rsid w:val="00E23878"/>
    <w:rsid w:val="00E238B8"/>
    <w:rsid w:val="00E23AC0"/>
    <w:rsid w:val="00E23B1A"/>
    <w:rsid w:val="00E23E73"/>
    <w:rsid w:val="00E23F4D"/>
    <w:rsid w:val="00E24066"/>
    <w:rsid w:val="00E24067"/>
    <w:rsid w:val="00E241C0"/>
    <w:rsid w:val="00E244EE"/>
    <w:rsid w:val="00E24598"/>
    <w:rsid w:val="00E2474E"/>
    <w:rsid w:val="00E248AA"/>
    <w:rsid w:val="00E2496C"/>
    <w:rsid w:val="00E24A41"/>
    <w:rsid w:val="00E24A56"/>
    <w:rsid w:val="00E24B6F"/>
    <w:rsid w:val="00E24C31"/>
    <w:rsid w:val="00E24C93"/>
    <w:rsid w:val="00E24DFB"/>
    <w:rsid w:val="00E2529C"/>
    <w:rsid w:val="00E252E9"/>
    <w:rsid w:val="00E253F3"/>
    <w:rsid w:val="00E2542B"/>
    <w:rsid w:val="00E25493"/>
    <w:rsid w:val="00E254CC"/>
    <w:rsid w:val="00E254CF"/>
    <w:rsid w:val="00E254F4"/>
    <w:rsid w:val="00E2564F"/>
    <w:rsid w:val="00E257BF"/>
    <w:rsid w:val="00E259B8"/>
    <w:rsid w:val="00E25A2F"/>
    <w:rsid w:val="00E25B4D"/>
    <w:rsid w:val="00E25CFA"/>
    <w:rsid w:val="00E25D87"/>
    <w:rsid w:val="00E25E66"/>
    <w:rsid w:val="00E25ED3"/>
    <w:rsid w:val="00E26095"/>
    <w:rsid w:val="00E260BC"/>
    <w:rsid w:val="00E26224"/>
    <w:rsid w:val="00E2624B"/>
    <w:rsid w:val="00E26427"/>
    <w:rsid w:val="00E26564"/>
    <w:rsid w:val="00E265CC"/>
    <w:rsid w:val="00E267A9"/>
    <w:rsid w:val="00E26814"/>
    <w:rsid w:val="00E26CE4"/>
    <w:rsid w:val="00E26F23"/>
    <w:rsid w:val="00E26F65"/>
    <w:rsid w:val="00E2716B"/>
    <w:rsid w:val="00E2728F"/>
    <w:rsid w:val="00E27342"/>
    <w:rsid w:val="00E27384"/>
    <w:rsid w:val="00E273F9"/>
    <w:rsid w:val="00E274C7"/>
    <w:rsid w:val="00E27559"/>
    <w:rsid w:val="00E27AA0"/>
    <w:rsid w:val="00E27C7F"/>
    <w:rsid w:val="00E27D3E"/>
    <w:rsid w:val="00E27D69"/>
    <w:rsid w:val="00E300B0"/>
    <w:rsid w:val="00E30299"/>
    <w:rsid w:val="00E304D7"/>
    <w:rsid w:val="00E30891"/>
    <w:rsid w:val="00E30955"/>
    <w:rsid w:val="00E30A58"/>
    <w:rsid w:val="00E30A99"/>
    <w:rsid w:val="00E30AC3"/>
    <w:rsid w:val="00E30D48"/>
    <w:rsid w:val="00E31465"/>
    <w:rsid w:val="00E315DB"/>
    <w:rsid w:val="00E31735"/>
    <w:rsid w:val="00E3194E"/>
    <w:rsid w:val="00E319BE"/>
    <w:rsid w:val="00E31A6D"/>
    <w:rsid w:val="00E31BDF"/>
    <w:rsid w:val="00E3201D"/>
    <w:rsid w:val="00E3214E"/>
    <w:rsid w:val="00E321CA"/>
    <w:rsid w:val="00E32289"/>
    <w:rsid w:val="00E324C2"/>
    <w:rsid w:val="00E3250C"/>
    <w:rsid w:val="00E325D4"/>
    <w:rsid w:val="00E32961"/>
    <w:rsid w:val="00E329A6"/>
    <w:rsid w:val="00E329D7"/>
    <w:rsid w:val="00E32B76"/>
    <w:rsid w:val="00E32C5A"/>
    <w:rsid w:val="00E32C75"/>
    <w:rsid w:val="00E32D61"/>
    <w:rsid w:val="00E32E2C"/>
    <w:rsid w:val="00E32E80"/>
    <w:rsid w:val="00E32ED6"/>
    <w:rsid w:val="00E33053"/>
    <w:rsid w:val="00E332E9"/>
    <w:rsid w:val="00E33899"/>
    <w:rsid w:val="00E339B9"/>
    <w:rsid w:val="00E33A4A"/>
    <w:rsid w:val="00E33C5E"/>
    <w:rsid w:val="00E33C76"/>
    <w:rsid w:val="00E33F96"/>
    <w:rsid w:val="00E33FE4"/>
    <w:rsid w:val="00E34228"/>
    <w:rsid w:val="00E342D8"/>
    <w:rsid w:val="00E34314"/>
    <w:rsid w:val="00E3437F"/>
    <w:rsid w:val="00E34444"/>
    <w:rsid w:val="00E347A4"/>
    <w:rsid w:val="00E34BE4"/>
    <w:rsid w:val="00E34C3F"/>
    <w:rsid w:val="00E34C76"/>
    <w:rsid w:val="00E34C98"/>
    <w:rsid w:val="00E34DF0"/>
    <w:rsid w:val="00E34F41"/>
    <w:rsid w:val="00E35052"/>
    <w:rsid w:val="00E350F5"/>
    <w:rsid w:val="00E3512B"/>
    <w:rsid w:val="00E351F9"/>
    <w:rsid w:val="00E3555A"/>
    <w:rsid w:val="00E35640"/>
    <w:rsid w:val="00E3590D"/>
    <w:rsid w:val="00E3591C"/>
    <w:rsid w:val="00E359DB"/>
    <w:rsid w:val="00E35A90"/>
    <w:rsid w:val="00E35BCF"/>
    <w:rsid w:val="00E35C57"/>
    <w:rsid w:val="00E35DAF"/>
    <w:rsid w:val="00E35E3B"/>
    <w:rsid w:val="00E35E51"/>
    <w:rsid w:val="00E35F55"/>
    <w:rsid w:val="00E360B4"/>
    <w:rsid w:val="00E360B8"/>
    <w:rsid w:val="00E3622D"/>
    <w:rsid w:val="00E3630D"/>
    <w:rsid w:val="00E36550"/>
    <w:rsid w:val="00E365CF"/>
    <w:rsid w:val="00E367AA"/>
    <w:rsid w:val="00E3682C"/>
    <w:rsid w:val="00E368AB"/>
    <w:rsid w:val="00E368F2"/>
    <w:rsid w:val="00E36A6B"/>
    <w:rsid w:val="00E36A9A"/>
    <w:rsid w:val="00E36AE9"/>
    <w:rsid w:val="00E36BC9"/>
    <w:rsid w:val="00E36DC6"/>
    <w:rsid w:val="00E36E20"/>
    <w:rsid w:val="00E36F61"/>
    <w:rsid w:val="00E36F7F"/>
    <w:rsid w:val="00E36FEB"/>
    <w:rsid w:val="00E37047"/>
    <w:rsid w:val="00E371BD"/>
    <w:rsid w:val="00E372E3"/>
    <w:rsid w:val="00E37351"/>
    <w:rsid w:val="00E37678"/>
    <w:rsid w:val="00E37711"/>
    <w:rsid w:val="00E37723"/>
    <w:rsid w:val="00E378C9"/>
    <w:rsid w:val="00E378E8"/>
    <w:rsid w:val="00E37C6F"/>
    <w:rsid w:val="00E37F22"/>
    <w:rsid w:val="00E4010A"/>
    <w:rsid w:val="00E40308"/>
    <w:rsid w:val="00E40326"/>
    <w:rsid w:val="00E40460"/>
    <w:rsid w:val="00E4073A"/>
    <w:rsid w:val="00E40825"/>
    <w:rsid w:val="00E40844"/>
    <w:rsid w:val="00E4085F"/>
    <w:rsid w:val="00E40A1F"/>
    <w:rsid w:val="00E40A72"/>
    <w:rsid w:val="00E40EA9"/>
    <w:rsid w:val="00E410B2"/>
    <w:rsid w:val="00E410E2"/>
    <w:rsid w:val="00E411E2"/>
    <w:rsid w:val="00E4128B"/>
    <w:rsid w:val="00E415A2"/>
    <w:rsid w:val="00E41669"/>
    <w:rsid w:val="00E416AF"/>
    <w:rsid w:val="00E41700"/>
    <w:rsid w:val="00E41707"/>
    <w:rsid w:val="00E41970"/>
    <w:rsid w:val="00E41AA3"/>
    <w:rsid w:val="00E41B96"/>
    <w:rsid w:val="00E41DF8"/>
    <w:rsid w:val="00E41EB8"/>
    <w:rsid w:val="00E41ED2"/>
    <w:rsid w:val="00E41F79"/>
    <w:rsid w:val="00E42072"/>
    <w:rsid w:val="00E420E7"/>
    <w:rsid w:val="00E4219D"/>
    <w:rsid w:val="00E424C8"/>
    <w:rsid w:val="00E426C8"/>
    <w:rsid w:val="00E42912"/>
    <w:rsid w:val="00E429D8"/>
    <w:rsid w:val="00E42A05"/>
    <w:rsid w:val="00E42A9F"/>
    <w:rsid w:val="00E42AAD"/>
    <w:rsid w:val="00E42ADE"/>
    <w:rsid w:val="00E42CA8"/>
    <w:rsid w:val="00E42DBE"/>
    <w:rsid w:val="00E42E5C"/>
    <w:rsid w:val="00E430E9"/>
    <w:rsid w:val="00E431E0"/>
    <w:rsid w:val="00E4326A"/>
    <w:rsid w:val="00E433BC"/>
    <w:rsid w:val="00E4352B"/>
    <w:rsid w:val="00E43716"/>
    <w:rsid w:val="00E43979"/>
    <w:rsid w:val="00E439FD"/>
    <w:rsid w:val="00E43A3F"/>
    <w:rsid w:val="00E43AAB"/>
    <w:rsid w:val="00E43BBC"/>
    <w:rsid w:val="00E43CBC"/>
    <w:rsid w:val="00E43DA0"/>
    <w:rsid w:val="00E43E1B"/>
    <w:rsid w:val="00E43E54"/>
    <w:rsid w:val="00E442B7"/>
    <w:rsid w:val="00E44327"/>
    <w:rsid w:val="00E44417"/>
    <w:rsid w:val="00E44486"/>
    <w:rsid w:val="00E44513"/>
    <w:rsid w:val="00E445DA"/>
    <w:rsid w:val="00E4464A"/>
    <w:rsid w:val="00E448EE"/>
    <w:rsid w:val="00E44B69"/>
    <w:rsid w:val="00E44C0E"/>
    <w:rsid w:val="00E44C43"/>
    <w:rsid w:val="00E44C80"/>
    <w:rsid w:val="00E4509E"/>
    <w:rsid w:val="00E45107"/>
    <w:rsid w:val="00E451BA"/>
    <w:rsid w:val="00E4537B"/>
    <w:rsid w:val="00E454D2"/>
    <w:rsid w:val="00E45634"/>
    <w:rsid w:val="00E45708"/>
    <w:rsid w:val="00E45797"/>
    <w:rsid w:val="00E457CF"/>
    <w:rsid w:val="00E457F0"/>
    <w:rsid w:val="00E459A1"/>
    <w:rsid w:val="00E459D3"/>
    <w:rsid w:val="00E459E8"/>
    <w:rsid w:val="00E45C8A"/>
    <w:rsid w:val="00E45E32"/>
    <w:rsid w:val="00E45ECB"/>
    <w:rsid w:val="00E4616A"/>
    <w:rsid w:val="00E462D4"/>
    <w:rsid w:val="00E4636B"/>
    <w:rsid w:val="00E464ED"/>
    <w:rsid w:val="00E4658C"/>
    <w:rsid w:val="00E468DB"/>
    <w:rsid w:val="00E46991"/>
    <w:rsid w:val="00E469D4"/>
    <w:rsid w:val="00E46A69"/>
    <w:rsid w:val="00E46FEE"/>
    <w:rsid w:val="00E47126"/>
    <w:rsid w:val="00E472C5"/>
    <w:rsid w:val="00E4736D"/>
    <w:rsid w:val="00E47402"/>
    <w:rsid w:val="00E475CA"/>
    <w:rsid w:val="00E47756"/>
    <w:rsid w:val="00E47AEF"/>
    <w:rsid w:val="00E47B31"/>
    <w:rsid w:val="00E47C98"/>
    <w:rsid w:val="00E47E7E"/>
    <w:rsid w:val="00E47EBE"/>
    <w:rsid w:val="00E47EEB"/>
    <w:rsid w:val="00E47F4B"/>
    <w:rsid w:val="00E47F4C"/>
    <w:rsid w:val="00E47FCA"/>
    <w:rsid w:val="00E5012A"/>
    <w:rsid w:val="00E502CF"/>
    <w:rsid w:val="00E50406"/>
    <w:rsid w:val="00E5043A"/>
    <w:rsid w:val="00E50659"/>
    <w:rsid w:val="00E5070D"/>
    <w:rsid w:val="00E507C9"/>
    <w:rsid w:val="00E507F4"/>
    <w:rsid w:val="00E508A6"/>
    <w:rsid w:val="00E50A1C"/>
    <w:rsid w:val="00E50CB1"/>
    <w:rsid w:val="00E50D6C"/>
    <w:rsid w:val="00E50EEF"/>
    <w:rsid w:val="00E51144"/>
    <w:rsid w:val="00E5117D"/>
    <w:rsid w:val="00E511F8"/>
    <w:rsid w:val="00E5149B"/>
    <w:rsid w:val="00E5151F"/>
    <w:rsid w:val="00E51581"/>
    <w:rsid w:val="00E51653"/>
    <w:rsid w:val="00E51838"/>
    <w:rsid w:val="00E518CF"/>
    <w:rsid w:val="00E518FF"/>
    <w:rsid w:val="00E51943"/>
    <w:rsid w:val="00E51AAC"/>
    <w:rsid w:val="00E51AFA"/>
    <w:rsid w:val="00E51E30"/>
    <w:rsid w:val="00E51E68"/>
    <w:rsid w:val="00E5202D"/>
    <w:rsid w:val="00E521A0"/>
    <w:rsid w:val="00E524A7"/>
    <w:rsid w:val="00E524BD"/>
    <w:rsid w:val="00E526AC"/>
    <w:rsid w:val="00E52A73"/>
    <w:rsid w:val="00E52B67"/>
    <w:rsid w:val="00E52EAD"/>
    <w:rsid w:val="00E52F68"/>
    <w:rsid w:val="00E5303F"/>
    <w:rsid w:val="00E530E0"/>
    <w:rsid w:val="00E5316B"/>
    <w:rsid w:val="00E53223"/>
    <w:rsid w:val="00E5340F"/>
    <w:rsid w:val="00E535DB"/>
    <w:rsid w:val="00E53A1E"/>
    <w:rsid w:val="00E53C70"/>
    <w:rsid w:val="00E53DFA"/>
    <w:rsid w:val="00E53EA7"/>
    <w:rsid w:val="00E53F97"/>
    <w:rsid w:val="00E54245"/>
    <w:rsid w:val="00E542B1"/>
    <w:rsid w:val="00E544A3"/>
    <w:rsid w:val="00E546C3"/>
    <w:rsid w:val="00E5483A"/>
    <w:rsid w:val="00E54937"/>
    <w:rsid w:val="00E54D4C"/>
    <w:rsid w:val="00E54DC4"/>
    <w:rsid w:val="00E54EB5"/>
    <w:rsid w:val="00E54FE5"/>
    <w:rsid w:val="00E54FF7"/>
    <w:rsid w:val="00E5500E"/>
    <w:rsid w:val="00E552D5"/>
    <w:rsid w:val="00E552E7"/>
    <w:rsid w:val="00E552ED"/>
    <w:rsid w:val="00E55425"/>
    <w:rsid w:val="00E555FC"/>
    <w:rsid w:val="00E55A63"/>
    <w:rsid w:val="00E55B9A"/>
    <w:rsid w:val="00E55BE6"/>
    <w:rsid w:val="00E55C98"/>
    <w:rsid w:val="00E55EC3"/>
    <w:rsid w:val="00E55F98"/>
    <w:rsid w:val="00E55FA8"/>
    <w:rsid w:val="00E56148"/>
    <w:rsid w:val="00E562AE"/>
    <w:rsid w:val="00E562F5"/>
    <w:rsid w:val="00E563CB"/>
    <w:rsid w:val="00E564CA"/>
    <w:rsid w:val="00E564F5"/>
    <w:rsid w:val="00E5676C"/>
    <w:rsid w:val="00E56971"/>
    <w:rsid w:val="00E569F0"/>
    <w:rsid w:val="00E56A87"/>
    <w:rsid w:val="00E56B06"/>
    <w:rsid w:val="00E56B12"/>
    <w:rsid w:val="00E56B67"/>
    <w:rsid w:val="00E56BE7"/>
    <w:rsid w:val="00E56FA5"/>
    <w:rsid w:val="00E57107"/>
    <w:rsid w:val="00E57327"/>
    <w:rsid w:val="00E57377"/>
    <w:rsid w:val="00E574B9"/>
    <w:rsid w:val="00E57820"/>
    <w:rsid w:val="00E57920"/>
    <w:rsid w:val="00E5799F"/>
    <w:rsid w:val="00E57A0E"/>
    <w:rsid w:val="00E57B6F"/>
    <w:rsid w:val="00E57C8D"/>
    <w:rsid w:val="00E57D86"/>
    <w:rsid w:val="00E57F45"/>
    <w:rsid w:val="00E60084"/>
    <w:rsid w:val="00E6021B"/>
    <w:rsid w:val="00E60417"/>
    <w:rsid w:val="00E60563"/>
    <w:rsid w:val="00E605E6"/>
    <w:rsid w:val="00E6066A"/>
    <w:rsid w:val="00E607EA"/>
    <w:rsid w:val="00E60822"/>
    <w:rsid w:val="00E60872"/>
    <w:rsid w:val="00E60C16"/>
    <w:rsid w:val="00E60CAD"/>
    <w:rsid w:val="00E61011"/>
    <w:rsid w:val="00E610C5"/>
    <w:rsid w:val="00E6127F"/>
    <w:rsid w:val="00E613BC"/>
    <w:rsid w:val="00E61462"/>
    <w:rsid w:val="00E61469"/>
    <w:rsid w:val="00E615A8"/>
    <w:rsid w:val="00E61664"/>
    <w:rsid w:val="00E61699"/>
    <w:rsid w:val="00E6177C"/>
    <w:rsid w:val="00E617CC"/>
    <w:rsid w:val="00E61A3F"/>
    <w:rsid w:val="00E61B34"/>
    <w:rsid w:val="00E61CE8"/>
    <w:rsid w:val="00E61D40"/>
    <w:rsid w:val="00E61DCC"/>
    <w:rsid w:val="00E61EE7"/>
    <w:rsid w:val="00E61EEA"/>
    <w:rsid w:val="00E62044"/>
    <w:rsid w:val="00E620FD"/>
    <w:rsid w:val="00E621BB"/>
    <w:rsid w:val="00E622ED"/>
    <w:rsid w:val="00E62327"/>
    <w:rsid w:val="00E6236E"/>
    <w:rsid w:val="00E62408"/>
    <w:rsid w:val="00E62596"/>
    <w:rsid w:val="00E625A4"/>
    <w:rsid w:val="00E62897"/>
    <w:rsid w:val="00E62929"/>
    <w:rsid w:val="00E62988"/>
    <w:rsid w:val="00E62B8D"/>
    <w:rsid w:val="00E62C25"/>
    <w:rsid w:val="00E62CC4"/>
    <w:rsid w:val="00E62DF0"/>
    <w:rsid w:val="00E62F0E"/>
    <w:rsid w:val="00E62F2C"/>
    <w:rsid w:val="00E62FDA"/>
    <w:rsid w:val="00E63199"/>
    <w:rsid w:val="00E632CC"/>
    <w:rsid w:val="00E632ED"/>
    <w:rsid w:val="00E633D1"/>
    <w:rsid w:val="00E633F1"/>
    <w:rsid w:val="00E63442"/>
    <w:rsid w:val="00E63451"/>
    <w:rsid w:val="00E635B6"/>
    <w:rsid w:val="00E637C3"/>
    <w:rsid w:val="00E63852"/>
    <w:rsid w:val="00E6392B"/>
    <w:rsid w:val="00E639AD"/>
    <w:rsid w:val="00E63A1B"/>
    <w:rsid w:val="00E63A8B"/>
    <w:rsid w:val="00E63AAB"/>
    <w:rsid w:val="00E63AEA"/>
    <w:rsid w:val="00E63D49"/>
    <w:rsid w:val="00E63DAE"/>
    <w:rsid w:val="00E64147"/>
    <w:rsid w:val="00E641C4"/>
    <w:rsid w:val="00E643D3"/>
    <w:rsid w:val="00E64464"/>
    <w:rsid w:val="00E64534"/>
    <w:rsid w:val="00E64ACA"/>
    <w:rsid w:val="00E64C0F"/>
    <w:rsid w:val="00E64EA2"/>
    <w:rsid w:val="00E65B23"/>
    <w:rsid w:val="00E65C0B"/>
    <w:rsid w:val="00E65CB7"/>
    <w:rsid w:val="00E65D5C"/>
    <w:rsid w:val="00E65E44"/>
    <w:rsid w:val="00E65E45"/>
    <w:rsid w:val="00E65ECD"/>
    <w:rsid w:val="00E65FDF"/>
    <w:rsid w:val="00E660B7"/>
    <w:rsid w:val="00E6612E"/>
    <w:rsid w:val="00E66564"/>
    <w:rsid w:val="00E6657A"/>
    <w:rsid w:val="00E6662F"/>
    <w:rsid w:val="00E667D8"/>
    <w:rsid w:val="00E66A46"/>
    <w:rsid w:val="00E66AB3"/>
    <w:rsid w:val="00E66AB5"/>
    <w:rsid w:val="00E66E74"/>
    <w:rsid w:val="00E66FB4"/>
    <w:rsid w:val="00E670AB"/>
    <w:rsid w:val="00E67140"/>
    <w:rsid w:val="00E67267"/>
    <w:rsid w:val="00E67357"/>
    <w:rsid w:val="00E67664"/>
    <w:rsid w:val="00E676F8"/>
    <w:rsid w:val="00E67820"/>
    <w:rsid w:val="00E678A9"/>
    <w:rsid w:val="00E67AA5"/>
    <w:rsid w:val="00E67B4E"/>
    <w:rsid w:val="00E67BA8"/>
    <w:rsid w:val="00E67CF2"/>
    <w:rsid w:val="00E67D2B"/>
    <w:rsid w:val="00E67DF9"/>
    <w:rsid w:val="00E67E09"/>
    <w:rsid w:val="00E67E0C"/>
    <w:rsid w:val="00E67E2F"/>
    <w:rsid w:val="00E67EAF"/>
    <w:rsid w:val="00E67F9F"/>
    <w:rsid w:val="00E70077"/>
    <w:rsid w:val="00E701FF"/>
    <w:rsid w:val="00E702D3"/>
    <w:rsid w:val="00E703A1"/>
    <w:rsid w:val="00E70708"/>
    <w:rsid w:val="00E707EC"/>
    <w:rsid w:val="00E7086F"/>
    <w:rsid w:val="00E70963"/>
    <w:rsid w:val="00E70C1A"/>
    <w:rsid w:val="00E70C1D"/>
    <w:rsid w:val="00E70ED7"/>
    <w:rsid w:val="00E70EE8"/>
    <w:rsid w:val="00E70F0B"/>
    <w:rsid w:val="00E71233"/>
    <w:rsid w:val="00E7149D"/>
    <w:rsid w:val="00E716FB"/>
    <w:rsid w:val="00E7186A"/>
    <w:rsid w:val="00E719D7"/>
    <w:rsid w:val="00E71A54"/>
    <w:rsid w:val="00E71AA6"/>
    <w:rsid w:val="00E71B0D"/>
    <w:rsid w:val="00E71F01"/>
    <w:rsid w:val="00E71F35"/>
    <w:rsid w:val="00E71FC8"/>
    <w:rsid w:val="00E721C8"/>
    <w:rsid w:val="00E722F1"/>
    <w:rsid w:val="00E7237C"/>
    <w:rsid w:val="00E72496"/>
    <w:rsid w:val="00E725CE"/>
    <w:rsid w:val="00E7270F"/>
    <w:rsid w:val="00E72869"/>
    <w:rsid w:val="00E728DF"/>
    <w:rsid w:val="00E72DAD"/>
    <w:rsid w:val="00E730CA"/>
    <w:rsid w:val="00E7316F"/>
    <w:rsid w:val="00E736E4"/>
    <w:rsid w:val="00E737A5"/>
    <w:rsid w:val="00E737A7"/>
    <w:rsid w:val="00E737AC"/>
    <w:rsid w:val="00E738C7"/>
    <w:rsid w:val="00E7390C"/>
    <w:rsid w:val="00E739E3"/>
    <w:rsid w:val="00E73B6F"/>
    <w:rsid w:val="00E73BC7"/>
    <w:rsid w:val="00E73C0D"/>
    <w:rsid w:val="00E73C3E"/>
    <w:rsid w:val="00E73C97"/>
    <w:rsid w:val="00E73E92"/>
    <w:rsid w:val="00E73FA8"/>
    <w:rsid w:val="00E73FC3"/>
    <w:rsid w:val="00E74210"/>
    <w:rsid w:val="00E7427A"/>
    <w:rsid w:val="00E74345"/>
    <w:rsid w:val="00E74383"/>
    <w:rsid w:val="00E74470"/>
    <w:rsid w:val="00E74748"/>
    <w:rsid w:val="00E747ED"/>
    <w:rsid w:val="00E74800"/>
    <w:rsid w:val="00E74807"/>
    <w:rsid w:val="00E7497E"/>
    <w:rsid w:val="00E74B1C"/>
    <w:rsid w:val="00E74B79"/>
    <w:rsid w:val="00E74BDE"/>
    <w:rsid w:val="00E74C59"/>
    <w:rsid w:val="00E74CE2"/>
    <w:rsid w:val="00E75028"/>
    <w:rsid w:val="00E751CB"/>
    <w:rsid w:val="00E752AB"/>
    <w:rsid w:val="00E752EF"/>
    <w:rsid w:val="00E75592"/>
    <w:rsid w:val="00E756DC"/>
    <w:rsid w:val="00E756E5"/>
    <w:rsid w:val="00E757BC"/>
    <w:rsid w:val="00E7589E"/>
    <w:rsid w:val="00E758DE"/>
    <w:rsid w:val="00E75A41"/>
    <w:rsid w:val="00E75C3B"/>
    <w:rsid w:val="00E75F42"/>
    <w:rsid w:val="00E75F6B"/>
    <w:rsid w:val="00E7604C"/>
    <w:rsid w:val="00E7605F"/>
    <w:rsid w:val="00E760BF"/>
    <w:rsid w:val="00E76440"/>
    <w:rsid w:val="00E765DC"/>
    <w:rsid w:val="00E766AF"/>
    <w:rsid w:val="00E766B3"/>
    <w:rsid w:val="00E766D9"/>
    <w:rsid w:val="00E76B68"/>
    <w:rsid w:val="00E76C76"/>
    <w:rsid w:val="00E76EC1"/>
    <w:rsid w:val="00E76FE1"/>
    <w:rsid w:val="00E7705B"/>
    <w:rsid w:val="00E77327"/>
    <w:rsid w:val="00E7733F"/>
    <w:rsid w:val="00E7745B"/>
    <w:rsid w:val="00E7747D"/>
    <w:rsid w:val="00E774F1"/>
    <w:rsid w:val="00E77608"/>
    <w:rsid w:val="00E7763D"/>
    <w:rsid w:val="00E77815"/>
    <w:rsid w:val="00E77896"/>
    <w:rsid w:val="00E778F4"/>
    <w:rsid w:val="00E779BD"/>
    <w:rsid w:val="00E77ADA"/>
    <w:rsid w:val="00E77AE2"/>
    <w:rsid w:val="00E77BE5"/>
    <w:rsid w:val="00E77D78"/>
    <w:rsid w:val="00E77E62"/>
    <w:rsid w:val="00E77E8E"/>
    <w:rsid w:val="00E77FEA"/>
    <w:rsid w:val="00E8000F"/>
    <w:rsid w:val="00E8007C"/>
    <w:rsid w:val="00E801A5"/>
    <w:rsid w:val="00E80262"/>
    <w:rsid w:val="00E80475"/>
    <w:rsid w:val="00E80587"/>
    <w:rsid w:val="00E80813"/>
    <w:rsid w:val="00E80974"/>
    <w:rsid w:val="00E80A5B"/>
    <w:rsid w:val="00E80B20"/>
    <w:rsid w:val="00E80C88"/>
    <w:rsid w:val="00E80D59"/>
    <w:rsid w:val="00E80FB2"/>
    <w:rsid w:val="00E81408"/>
    <w:rsid w:val="00E8169B"/>
    <w:rsid w:val="00E8173E"/>
    <w:rsid w:val="00E81A30"/>
    <w:rsid w:val="00E81A56"/>
    <w:rsid w:val="00E81B1B"/>
    <w:rsid w:val="00E81D2E"/>
    <w:rsid w:val="00E821E4"/>
    <w:rsid w:val="00E8256A"/>
    <w:rsid w:val="00E82802"/>
    <w:rsid w:val="00E82833"/>
    <w:rsid w:val="00E82A4F"/>
    <w:rsid w:val="00E82B10"/>
    <w:rsid w:val="00E82BF3"/>
    <w:rsid w:val="00E82C1C"/>
    <w:rsid w:val="00E82C27"/>
    <w:rsid w:val="00E82D37"/>
    <w:rsid w:val="00E82D57"/>
    <w:rsid w:val="00E82F93"/>
    <w:rsid w:val="00E8302A"/>
    <w:rsid w:val="00E8304C"/>
    <w:rsid w:val="00E832A6"/>
    <w:rsid w:val="00E834E5"/>
    <w:rsid w:val="00E835D2"/>
    <w:rsid w:val="00E83679"/>
    <w:rsid w:val="00E837AE"/>
    <w:rsid w:val="00E837DD"/>
    <w:rsid w:val="00E837FF"/>
    <w:rsid w:val="00E83859"/>
    <w:rsid w:val="00E83C21"/>
    <w:rsid w:val="00E83C76"/>
    <w:rsid w:val="00E83D7F"/>
    <w:rsid w:val="00E83DA7"/>
    <w:rsid w:val="00E840E2"/>
    <w:rsid w:val="00E84199"/>
    <w:rsid w:val="00E8440D"/>
    <w:rsid w:val="00E84474"/>
    <w:rsid w:val="00E844E9"/>
    <w:rsid w:val="00E848EE"/>
    <w:rsid w:val="00E849BE"/>
    <w:rsid w:val="00E84A45"/>
    <w:rsid w:val="00E84BA5"/>
    <w:rsid w:val="00E84E8C"/>
    <w:rsid w:val="00E85074"/>
    <w:rsid w:val="00E85103"/>
    <w:rsid w:val="00E85159"/>
    <w:rsid w:val="00E85251"/>
    <w:rsid w:val="00E853BF"/>
    <w:rsid w:val="00E85506"/>
    <w:rsid w:val="00E856B1"/>
    <w:rsid w:val="00E8571B"/>
    <w:rsid w:val="00E857FF"/>
    <w:rsid w:val="00E859DD"/>
    <w:rsid w:val="00E85A82"/>
    <w:rsid w:val="00E85B55"/>
    <w:rsid w:val="00E85E88"/>
    <w:rsid w:val="00E85F8C"/>
    <w:rsid w:val="00E860FB"/>
    <w:rsid w:val="00E86132"/>
    <w:rsid w:val="00E861BE"/>
    <w:rsid w:val="00E8628D"/>
    <w:rsid w:val="00E869CA"/>
    <w:rsid w:val="00E86A44"/>
    <w:rsid w:val="00E86A46"/>
    <w:rsid w:val="00E86A7B"/>
    <w:rsid w:val="00E86BA4"/>
    <w:rsid w:val="00E86C51"/>
    <w:rsid w:val="00E86CF3"/>
    <w:rsid w:val="00E86EA1"/>
    <w:rsid w:val="00E86F2A"/>
    <w:rsid w:val="00E86FB0"/>
    <w:rsid w:val="00E87035"/>
    <w:rsid w:val="00E8728B"/>
    <w:rsid w:val="00E873E1"/>
    <w:rsid w:val="00E87510"/>
    <w:rsid w:val="00E87803"/>
    <w:rsid w:val="00E8799F"/>
    <w:rsid w:val="00E87B9D"/>
    <w:rsid w:val="00E87D61"/>
    <w:rsid w:val="00E87E14"/>
    <w:rsid w:val="00E87F98"/>
    <w:rsid w:val="00E903AD"/>
    <w:rsid w:val="00E9042B"/>
    <w:rsid w:val="00E904F0"/>
    <w:rsid w:val="00E90653"/>
    <w:rsid w:val="00E906D8"/>
    <w:rsid w:val="00E90812"/>
    <w:rsid w:val="00E9098D"/>
    <w:rsid w:val="00E90AB4"/>
    <w:rsid w:val="00E90B11"/>
    <w:rsid w:val="00E90B5E"/>
    <w:rsid w:val="00E912EC"/>
    <w:rsid w:val="00E9136A"/>
    <w:rsid w:val="00E91550"/>
    <w:rsid w:val="00E9163D"/>
    <w:rsid w:val="00E916B2"/>
    <w:rsid w:val="00E91792"/>
    <w:rsid w:val="00E91931"/>
    <w:rsid w:val="00E9193F"/>
    <w:rsid w:val="00E91949"/>
    <w:rsid w:val="00E91A4E"/>
    <w:rsid w:val="00E91A7B"/>
    <w:rsid w:val="00E91B4F"/>
    <w:rsid w:val="00E91D7B"/>
    <w:rsid w:val="00E91EAD"/>
    <w:rsid w:val="00E91FB1"/>
    <w:rsid w:val="00E922E7"/>
    <w:rsid w:val="00E92399"/>
    <w:rsid w:val="00E92518"/>
    <w:rsid w:val="00E92656"/>
    <w:rsid w:val="00E926A1"/>
    <w:rsid w:val="00E92851"/>
    <w:rsid w:val="00E928A8"/>
    <w:rsid w:val="00E9299A"/>
    <w:rsid w:val="00E92A27"/>
    <w:rsid w:val="00E92A77"/>
    <w:rsid w:val="00E92B0B"/>
    <w:rsid w:val="00E92C93"/>
    <w:rsid w:val="00E92CA4"/>
    <w:rsid w:val="00E92D42"/>
    <w:rsid w:val="00E92DE4"/>
    <w:rsid w:val="00E92E8C"/>
    <w:rsid w:val="00E92F84"/>
    <w:rsid w:val="00E92FA5"/>
    <w:rsid w:val="00E93138"/>
    <w:rsid w:val="00E93141"/>
    <w:rsid w:val="00E93568"/>
    <w:rsid w:val="00E936BF"/>
    <w:rsid w:val="00E9375C"/>
    <w:rsid w:val="00E9397B"/>
    <w:rsid w:val="00E93AE6"/>
    <w:rsid w:val="00E93C05"/>
    <w:rsid w:val="00E94303"/>
    <w:rsid w:val="00E944C3"/>
    <w:rsid w:val="00E94520"/>
    <w:rsid w:val="00E94604"/>
    <w:rsid w:val="00E94609"/>
    <w:rsid w:val="00E94677"/>
    <w:rsid w:val="00E94707"/>
    <w:rsid w:val="00E949BF"/>
    <w:rsid w:val="00E94D6A"/>
    <w:rsid w:val="00E951E8"/>
    <w:rsid w:val="00E9529A"/>
    <w:rsid w:val="00E95348"/>
    <w:rsid w:val="00E95376"/>
    <w:rsid w:val="00E957A8"/>
    <w:rsid w:val="00E95944"/>
    <w:rsid w:val="00E95993"/>
    <w:rsid w:val="00E95BB6"/>
    <w:rsid w:val="00E95CF4"/>
    <w:rsid w:val="00E96060"/>
    <w:rsid w:val="00E960CD"/>
    <w:rsid w:val="00E9639D"/>
    <w:rsid w:val="00E96748"/>
    <w:rsid w:val="00E968A1"/>
    <w:rsid w:val="00E96AB3"/>
    <w:rsid w:val="00E96C81"/>
    <w:rsid w:val="00E970B8"/>
    <w:rsid w:val="00E970D7"/>
    <w:rsid w:val="00E97321"/>
    <w:rsid w:val="00E97373"/>
    <w:rsid w:val="00E9757A"/>
    <w:rsid w:val="00E9757C"/>
    <w:rsid w:val="00E97597"/>
    <w:rsid w:val="00E975AA"/>
    <w:rsid w:val="00E97695"/>
    <w:rsid w:val="00E97A35"/>
    <w:rsid w:val="00E97A63"/>
    <w:rsid w:val="00E97AEF"/>
    <w:rsid w:val="00E97B08"/>
    <w:rsid w:val="00E97DA7"/>
    <w:rsid w:val="00E97DF2"/>
    <w:rsid w:val="00E97FEF"/>
    <w:rsid w:val="00E9FED7"/>
    <w:rsid w:val="00EA0004"/>
    <w:rsid w:val="00EA00BD"/>
    <w:rsid w:val="00EA023A"/>
    <w:rsid w:val="00EA0410"/>
    <w:rsid w:val="00EA066A"/>
    <w:rsid w:val="00EA0831"/>
    <w:rsid w:val="00EA0911"/>
    <w:rsid w:val="00EA0A07"/>
    <w:rsid w:val="00EA0B3A"/>
    <w:rsid w:val="00EA0D30"/>
    <w:rsid w:val="00EA1125"/>
    <w:rsid w:val="00EA118D"/>
    <w:rsid w:val="00EA1233"/>
    <w:rsid w:val="00EA1298"/>
    <w:rsid w:val="00EA12C0"/>
    <w:rsid w:val="00EA1478"/>
    <w:rsid w:val="00EA1536"/>
    <w:rsid w:val="00EA1581"/>
    <w:rsid w:val="00EA15F6"/>
    <w:rsid w:val="00EA162C"/>
    <w:rsid w:val="00EA168D"/>
    <w:rsid w:val="00EA1AC3"/>
    <w:rsid w:val="00EA1B78"/>
    <w:rsid w:val="00EA1B89"/>
    <w:rsid w:val="00EA1CCE"/>
    <w:rsid w:val="00EA1E27"/>
    <w:rsid w:val="00EA1F95"/>
    <w:rsid w:val="00EA207C"/>
    <w:rsid w:val="00EA2101"/>
    <w:rsid w:val="00EA218B"/>
    <w:rsid w:val="00EA223C"/>
    <w:rsid w:val="00EA2357"/>
    <w:rsid w:val="00EA24A3"/>
    <w:rsid w:val="00EA268D"/>
    <w:rsid w:val="00EA269F"/>
    <w:rsid w:val="00EA2755"/>
    <w:rsid w:val="00EA2769"/>
    <w:rsid w:val="00EA294D"/>
    <w:rsid w:val="00EA2BAF"/>
    <w:rsid w:val="00EA2E3D"/>
    <w:rsid w:val="00EA302D"/>
    <w:rsid w:val="00EA31ED"/>
    <w:rsid w:val="00EA3284"/>
    <w:rsid w:val="00EA3409"/>
    <w:rsid w:val="00EA360F"/>
    <w:rsid w:val="00EA3738"/>
    <w:rsid w:val="00EA374B"/>
    <w:rsid w:val="00EA391C"/>
    <w:rsid w:val="00EA39F5"/>
    <w:rsid w:val="00EA3AF8"/>
    <w:rsid w:val="00EA3C84"/>
    <w:rsid w:val="00EA3E33"/>
    <w:rsid w:val="00EA3E99"/>
    <w:rsid w:val="00EA4012"/>
    <w:rsid w:val="00EA4080"/>
    <w:rsid w:val="00EA40B3"/>
    <w:rsid w:val="00EA40D3"/>
    <w:rsid w:val="00EA41B8"/>
    <w:rsid w:val="00EA4350"/>
    <w:rsid w:val="00EA43A3"/>
    <w:rsid w:val="00EA43DB"/>
    <w:rsid w:val="00EA44C9"/>
    <w:rsid w:val="00EA44DF"/>
    <w:rsid w:val="00EA48FD"/>
    <w:rsid w:val="00EA4A2D"/>
    <w:rsid w:val="00EA4AA6"/>
    <w:rsid w:val="00EA4B04"/>
    <w:rsid w:val="00EA4B6F"/>
    <w:rsid w:val="00EA4EFA"/>
    <w:rsid w:val="00EA4F56"/>
    <w:rsid w:val="00EA5203"/>
    <w:rsid w:val="00EA543C"/>
    <w:rsid w:val="00EA549B"/>
    <w:rsid w:val="00EA5624"/>
    <w:rsid w:val="00EA5654"/>
    <w:rsid w:val="00EA5662"/>
    <w:rsid w:val="00EA567B"/>
    <w:rsid w:val="00EA57C1"/>
    <w:rsid w:val="00EA5831"/>
    <w:rsid w:val="00EA5849"/>
    <w:rsid w:val="00EA5886"/>
    <w:rsid w:val="00EA5A8C"/>
    <w:rsid w:val="00EA5BE1"/>
    <w:rsid w:val="00EA5C13"/>
    <w:rsid w:val="00EA5C62"/>
    <w:rsid w:val="00EA5D90"/>
    <w:rsid w:val="00EA5F6B"/>
    <w:rsid w:val="00EA6107"/>
    <w:rsid w:val="00EA67A4"/>
    <w:rsid w:val="00EA6801"/>
    <w:rsid w:val="00EA680D"/>
    <w:rsid w:val="00EA6847"/>
    <w:rsid w:val="00EA6968"/>
    <w:rsid w:val="00EA69A4"/>
    <w:rsid w:val="00EA6D6F"/>
    <w:rsid w:val="00EA6D77"/>
    <w:rsid w:val="00EA7088"/>
    <w:rsid w:val="00EA71F4"/>
    <w:rsid w:val="00EA728C"/>
    <w:rsid w:val="00EA72A2"/>
    <w:rsid w:val="00EA734F"/>
    <w:rsid w:val="00EA75A0"/>
    <w:rsid w:val="00EA75BF"/>
    <w:rsid w:val="00EA75DD"/>
    <w:rsid w:val="00EA7846"/>
    <w:rsid w:val="00EA788F"/>
    <w:rsid w:val="00EA78E8"/>
    <w:rsid w:val="00EA795D"/>
    <w:rsid w:val="00EA7985"/>
    <w:rsid w:val="00EA7C19"/>
    <w:rsid w:val="00EA7C24"/>
    <w:rsid w:val="00EA7FD7"/>
    <w:rsid w:val="00EB009C"/>
    <w:rsid w:val="00EB0138"/>
    <w:rsid w:val="00EB0244"/>
    <w:rsid w:val="00EB034E"/>
    <w:rsid w:val="00EB04C2"/>
    <w:rsid w:val="00EB0578"/>
    <w:rsid w:val="00EB0615"/>
    <w:rsid w:val="00EB07EC"/>
    <w:rsid w:val="00EB0B75"/>
    <w:rsid w:val="00EB0C8E"/>
    <w:rsid w:val="00EB0D74"/>
    <w:rsid w:val="00EB0DB2"/>
    <w:rsid w:val="00EB0E0B"/>
    <w:rsid w:val="00EB1113"/>
    <w:rsid w:val="00EB12EF"/>
    <w:rsid w:val="00EB1326"/>
    <w:rsid w:val="00EB144E"/>
    <w:rsid w:val="00EB1748"/>
    <w:rsid w:val="00EB17E5"/>
    <w:rsid w:val="00EB18A3"/>
    <w:rsid w:val="00EB1A0D"/>
    <w:rsid w:val="00EB1A92"/>
    <w:rsid w:val="00EB1B0C"/>
    <w:rsid w:val="00EB1C0E"/>
    <w:rsid w:val="00EB1CF9"/>
    <w:rsid w:val="00EB1E62"/>
    <w:rsid w:val="00EB1F89"/>
    <w:rsid w:val="00EB204B"/>
    <w:rsid w:val="00EB20FF"/>
    <w:rsid w:val="00EB21B3"/>
    <w:rsid w:val="00EB22E1"/>
    <w:rsid w:val="00EB2375"/>
    <w:rsid w:val="00EB23D8"/>
    <w:rsid w:val="00EB2474"/>
    <w:rsid w:val="00EB25EF"/>
    <w:rsid w:val="00EB2633"/>
    <w:rsid w:val="00EB26AD"/>
    <w:rsid w:val="00EB288A"/>
    <w:rsid w:val="00EB28BE"/>
    <w:rsid w:val="00EB28C8"/>
    <w:rsid w:val="00EB296D"/>
    <w:rsid w:val="00EB2CD5"/>
    <w:rsid w:val="00EB2FB6"/>
    <w:rsid w:val="00EB2FCC"/>
    <w:rsid w:val="00EB2FE0"/>
    <w:rsid w:val="00EB32CF"/>
    <w:rsid w:val="00EB333A"/>
    <w:rsid w:val="00EB33C2"/>
    <w:rsid w:val="00EB350B"/>
    <w:rsid w:val="00EB369D"/>
    <w:rsid w:val="00EB396D"/>
    <w:rsid w:val="00EB3B01"/>
    <w:rsid w:val="00EB3B44"/>
    <w:rsid w:val="00EB3B60"/>
    <w:rsid w:val="00EB3D24"/>
    <w:rsid w:val="00EB3D2E"/>
    <w:rsid w:val="00EB40F3"/>
    <w:rsid w:val="00EB41A6"/>
    <w:rsid w:val="00EB423F"/>
    <w:rsid w:val="00EB43C9"/>
    <w:rsid w:val="00EB44C5"/>
    <w:rsid w:val="00EB452D"/>
    <w:rsid w:val="00EB45DC"/>
    <w:rsid w:val="00EB474F"/>
    <w:rsid w:val="00EB4A07"/>
    <w:rsid w:val="00EB4BCC"/>
    <w:rsid w:val="00EB4E3A"/>
    <w:rsid w:val="00EB4E70"/>
    <w:rsid w:val="00EB4FE9"/>
    <w:rsid w:val="00EB5078"/>
    <w:rsid w:val="00EB508D"/>
    <w:rsid w:val="00EB5197"/>
    <w:rsid w:val="00EB5204"/>
    <w:rsid w:val="00EB5208"/>
    <w:rsid w:val="00EB53B8"/>
    <w:rsid w:val="00EB5758"/>
    <w:rsid w:val="00EB57C6"/>
    <w:rsid w:val="00EB5895"/>
    <w:rsid w:val="00EB58AA"/>
    <w:rsid w:val="00EB5F49"/>
    <w:rsid w:val="00EB61DB"/>
    <w:rsid w:val="00EB620B"/>
    <w:rsid w:val="00EB64AD"/>
    <w:rsid w:val="00EB67BB"/>
    <w:rsid w:val="00EB6880"/>
    <w:rsid w:val="00EB6E6E"/>
    <w:rsid w:val="00EB6E90"/>
    <w:rsid w:val="00EB72E4"/>
    <w:rsid w:val="00EB7356"/>
    <w:rsid w:val="00EB73D1"/>
    <w:rsid w:val="00EB7542"/>
    <w:rsid w:val="00EB777A"/>
    <w:rsid w:val="00EB77F2"/>
    <w:rsid w:val="00EB789C"/>
    <w:rsid w:val="00EB7935"/>
    <w:rsid w:val="00EB79D7"/>
    <w:rsid w:val="00EB7ADD"/>
    <w:rsid w:val="00EB7B7B"/>
    <w:rsid w:val="00EB7CF5"/>
    <w:rsid w:val="00EB7E7F"/>
    <w:rsid w:val="00EB7E9A"/>
    <w:rsid w:val="00EB7F0F"/>
    <w:rsid w:val="00EC0083"/>
    <w:rsid w:val="00EC0097"/>
    <w:rsid w:val="00EC033F"/>
    <w:rsid w:val="00EC034E"/>
    <w:rsid w:val="00EC0437"/>
    <w:rsid w:val="00EC04E6"/>
    <w:rsid w:val="00EC0585"/>
    <w:rsid w:val="00EC058F"/>
    <w:rsid w:val="00EC0763"/>
    <w:rsid w:val="00EC0A10"/>
    <w:rsid w:val="00EC0B80"/>
    <w:rsid w:val="00EC0B88"/>
    <w:rsid w:val="00EC0BB4"/>
    <w:rsid w:val="00EC0BFB"/>
    <w:rsid w:val="00EC0C4D"/>
    <w:rsid w:val="00EC0CA3"/>
    <w:rsid w:val="00EC0CF3"/>
    <w:rsid w:val="00EC0D8E"/>
    <w:rsid w:val="00EC0F37"/>
    <w:rsid w:val="00EC0FD7"/>
    <w:rsid w:val="00EC1022"/>
    <w:rsid w:val="00EC10F3"/>
    <w:rsid w:val="00EC11C4"/>
    <w:rsid w:val="00EC12B7"/>
    <w:rsid w:val="00EC17CB"/>
    <w:rsid w:val="00EC1812"/>
    <w:rsid w:val="00EC1884"/>
    <w:rsid w:val="00EC18F0"/>
    <w:rsid w:val="00EC19A6"/>
    <w:rsid w:val="00EC1BAC"/>
    <w:rsid w:val="00EC1C6F"/>
    <w:rsid w:val="00EC1D23"/>
    <w:rsid w:val="00EC1DFF"/>
    <w:rsid w:val="00EC1FA5"/>
    <w:rsid w:val="00EC1FCF"/>
    <w:rsid w:val="00EC20B1"/>
    <w:rsid w:val="00EC20F4"/>
    <w:rsid w:val="00EC21B2"/>
    <w:rsid w:val="00EC2299"/>
    <w:rsid w:val="00EC233D"/>
    <w:rsid w:val="00EC238C"/>
    <w:rsid w:val="00EC293A"/>
    <w:rsid w:val="00EC2972"/>
    <w:rsid w:val="00EC2A5F"/>
    <w:rsid w:val="00EC2B19"/>
    <w:rsid w:val="00EC2BB5"/>
    <w:rsid w:val="00EC2C47"/>
    <w:rsid w:val="00EC2DFD"/>
    <w:rsid w:val="00EC2E7F"/>
    <w:rsid w:val="00EC2F26"/>
    <w:rsid w:val="00EC2FCA"/>
    <w:rsid w:val="00EC3049"/>
    <w:rsid w:val="00EC3091"/>
    <w:rsid w:val="00EC3199"/>
    <w:rsid w:val="00EC3338"/>
    <w:rsid w:val="00EC39E7"/>
    <w:rsid w:val="00EC3A5F"/>
    <w:rsid w:val="00EC3B0A"/>
    <w:rsid w:val="00EC3B3A"/>
    <w:rsid w:val="00EC3C6C"/>
    <w:rsid w:val="00EC3D8F"/>
    <w:rsid w:val="00EC40AB"/>
    <w:rsid w:val="00EC40D4"/>
    <w:rsid w:val="00EC40EC"/>
    <w:rsid w:val="00EC4346"/>
    <w:rsid w:val="00EC4501"/>
    <w:rsid w:val="00EC4922"/>
    <w:rsid w:val="00EC4B96"/>
    <w:rsid w:val="00EC4C2B"/>
    <w:rsid w:val="00EC4D00"/>
    <w:rsid w:val="00EC4E08"/>
    <w:rsid w:val="00EC4E31"/>
    <w:rsid w:val="00EC4E97"/>
    <w:rsid w:val="00EC509F"/>
    <w:rsid w:val="00EC51DD"/>
    <w:rsid w:val="00EC5200"/>
    <w:rsid w:val="00EC5409"/>
    <w:rsid w:val="00EC55F9"/>
    <w:rsid w:val="00EC564C"/>
    <w:rsid w:val="00EC5B64"/>
    <w:rsid w:val="00EC5BF9"/>
    <w:rsid w:val="00EC5C91"/>
    <w:rsid w:val="00EC5CF9"/>
    <w:rsid w:val="00EC5DDA"/>
    <w:rsid w:val="00EC5E3B"/>
    <w:rsid w:val="00EC5E90"/>
    <w:rsid w:val="00EC5F87"/>
    <w:rsid w:val="00EC5FC1"/>
    <w:rsid w:val="00EC6014"/>
    <w:rsid w:val="00EC6284"/>
    <w:rsid w:val="00EC6435"/>
    <w:rsid w:val="00EC6840"/>
    <w:rsid w:val="00EC68E8"/>
    <w:rsid w:val="00EC6910"/>
    <w:rsid w:val="00EC6B19"/>
    <w:rsid w:val="00EC6B3F"/>
    <w:rsid w:val="00EC6BA6"/>
    <w:rsid w:val="00EC6D3B"/>
    <w:rsid w:val="00EC6D74"/>
    <w:rsid w:val="00EC710E"/>
    <w:rsid w:val="00EC7142"/>
    <w:rsid w:val="00EC7218"/>
    <w:rsid w:val="00EC723F"/>
    <w:rsid w:val="00EC74A5"/>
    <w:rsid w:val="00EC74F5"/>
    <w:rsid w:val="00EC74FB"/>
    <w:rsid w:val="00EC7574"/>
    <w:rsid w:val="00EC76C4"/>
    <w:rsid w:val="00EC76EC"/>
    <w:rsid w:val="00EC78FA"/>
    <w:rsid w:val="00EC792D"/>
    <w:rsid w:val="00EC7F0D"/>
    <w:rsid w:val="00ED009A"/>
    <w:rsid w:val="00ED0645"/>
    <w:rsid w:val="00ED06CA"/>
    <w:rsid w:val="00ED0721"/>
    <w:rsid w:val="00ED0748"/>
    <w:rsid w:val="00ED074C"/>
    <w:rsid w:val="00ED08EC"/>
    <w:rsid w:val="00ED0CB6"/>
    <w:rsid w:val="00ED0FD4"/>
    <w:rsid w:val="00ED12FD"/>
    <w:rsid w:val="00ED1437"/>
    <w:rsid w:val="00ED1785"/>
    <w:rsid w:val="00ED17A2"/>
    <w:rsid w:val="00ED192A"/>
    <w:rsid w:val="00ED194A"/>
    <w:rsid w:val="00ED1978"/>
    <w:rsid w:val="00ED1C07"/>
    <w:rsid w:val="00ED1C4C"/>
    <w:rsid w:val="00ED1CBB"/>
    <w:rsid w:val="00ED1D10"/>
    <w:rsid w:val="00ED1FFB"/>
    <w:rsid w:val="00ED205F"/>
    <w:rsid w:val="00ED2174"/>
    <w:rsid w:val="00ED2290"/>
    <w:rsid w:val="00ED237C"/>
    <w:rsid w:val="00ED239B"/>
    <w:rsid w:val="00ED24DF"/>
    <w:rsid w:val="00ED2528"/>
    <w:rsid w:val="00ED269E"/>
    <w:rsid w:val="00ED27B8"/>
    <w:rsid w:val="00ED2C62"/>
    <w:rsid w:val="00ED2CB8"/>
    <w:rsid w:val="00ED2CD3"/>
    <w:rsid w:val="00ED2D06"/>
    <w:rsid w:val="00ED305E"/>
    <w:rsid w:val="00ED308F"/>
    <w:rsid w:val="00ED30D6"/>
    <w:rsid w:val="00ED3241"/>
    <w:rsid w:val="00ED352A"/>
    <w:rsid w:val="00ED3A17"/>
    <w:rsid w:val="00ED3A1A"/>
    <w:rsid w:val="00ED3B23"/>
    <w:rsid w:val="00ED3C6B"/>
    <w:rsid w:val="00ED3DD3"/>
    <w:rsid w:val="00ED3E7F"/>
    <w:rsid w:val="00ED3EF6"/>
    <w:rsid w:val="00ED3EFC"/>
    <w:rsid w:val="00ED3F66"/>
    <w:rsid w:val="00ED3FBB"/>
    <w:rsid w:val="00ED4146"/>
    <w:rsid w:val="00ED4150"/>
    <w:rsid w:val="00ED41EC"/>
    <w:rsid w:val="00ED43EC"/>
    <w:rsid w:val="00ED4509"/>
    <w:rsid w:val="00ED464D"/>
    <w:rsid w:val="00ED470E"/>
    <w:rsid w:val="00ED4C77"/>
    <w:rsid w:val="00ED4CD5"/>
    <w:rsid w:val="00ED5169"/>
    <w:rsid w:val="00ED532A"/>
    <w:rsid w:val="00ED5502"/>
    <w:rsid w:val="00ED5542"/>
    <w:rsid w:val="00ED558E"/>
    <w:rsid w:val="00ED5764"/>
    <w:rsid w:val="00ED596F"/>
    <w:rsid w:val="00ED59B6"/>
    <w:rsid w:val="00ED5A8F"/>
    <w:rsid w:val="00ED5FB8"/>
    <w:rsid w:val="00ED6075"/>
    <w:rsid w:val="00ED6598"/>
    <w:rsid w:val="00ED6682"/>
    <w:rsid w:val="00ED6723"/>
    <w:rsid w:val="00ED673D"/>
    <w:rsid w:val="00ED693B"/>
    <w:rsid w:val="00ED6964"/>
    <w:rsid w:val="00ED6984"/>
    <w:rsid w:val="00ED6A71"/>
    <w:rsid w:val="00ED6AA5"/>
    <w:rsid w:val="00ED6AF8"/>
    <w:rsid w:val="00ED6B7E"/>
    <w:rsid w:val="00ED6C62"/>
    <w:rsid w:val="00ED6CE8"/>
    <w:rsid w:val="00ED6DAA"/>
    <w:rsid w:val="00ED6E89"/>
    <w:rsid w:val="00ED7073"/>
    <w:rsid w:val="00ED70A8"/>
    <w:rsid w:val="00ED7252"/>
    <w:rsid w:val="00ED7445"/>
    <w:rsid w:val="00ED74EC"/>
    <w:rsid w:val="00ED758E"/>
    <w:rsid w:val="00ED7720"/>
    <w:rsid w:val="00ED77B4"/>
    <w:rsid w:val="00ED77C9"/>
    <w:rsid w:val="00ED7917"/>
    <w:rsid w:val="00ED7D0C"/>
    <w:rsid w:val="00ED7E6F"/>
    <w:rsid w:val="00EE0127"/>
    <w:rsid w:val="00EE02B4"/>
    <w:rsid w:val="00EE02CF"/>
    <w:rsid w:val="00EE02F8"/>
    <w:rsid w:val="00EE0375"/>
    <w:rsid w:val="00EE0479"/>
    <w:rsid w:val="00EE05A7"/>
    <w:rsid w:val="00EE067B"/>
    <w:rsid w:val="00EE07F3"/>
    <w:rsid w:val="00EE090E"/>
    <w:rsid w:val="00EE09C9"/>
    <w:rsid w:val="00EE0BE3"/>
    <w:rsid w:val="00EE0C00"/>
    <w:rsid w:val="00EE0DC1"/>
    <w:rsid w:val="00EE0E49"/>
    <w:rsid w:val="00EE0EC3"/>
    <w:rsid w:val="00EE0EF8"/>
    <w:rsid w:val="00EE0F97"/>
    <w:rsid w:val="00EE1058"/>
    <w:rsid w:val="00EE1066"/>
    <w:rsid w:val="00EE11FA"/>
    <w:rsid w:val="00EE1451"/>
    <w:rsid w:val="00EE1477"/>
    <w:rsid w:val="00EE1501"/>
    <w:rsid w:val="00EE1589"/>
    <w:rsid w:val="00EE15AA"/>
    <w:rsid w:val="00EE15F6"/>
    <w:rsid w:val="00EE164D"/>
    <w:rsid w:val="00EE180D"/>
    <w:rsid w:val="00EE19DE"/>
    <w:rsid w:val="00EE1E25"/>
    <w:rsid w:val="00EE1E68"/>
    <w:rsid w:val="00EE1E81"/>
    <w:rsid w:val="00EE1EE1"/>
    <w:rsid w:val="00EE1FC1"/>
    <w:rsid w:val="00EE20ED"/>
    <w:rsid w:val="00EE21B8"/>
    <w:rsid w:val="00EE2254"/>
    <w:rsid w:val="00EE2258"/>
    <w:rsid w:val="00EE22D6"/>
    <w:rsid w:val="00EE2454"/>
    <w:rsid w:val="00EE253A"/>
    <w:rsid w:val="00EE258F"/>
    <w:rsid w:val="00EE26CF"/>
    <w:rsid w:val="00EE26FD"/>
    <w:rsid w:val="00EE27E2"/>
    <w:rsid w:val="00EE27FC"/>
    <w:rsid w:val="00EE284F"/>
    <w:rsid w:val="00EE290F"/>
    <w:rsid w:val="00EE291C"/>
    <w:rsid w:val="00EE2E42"/>
    <w:rsid w:val="00EE2E50"/>
    <w:rsid w:val="00EE2E79"/>
    <w:rsid w:val="00EE2F0F"/>
    <w:rsid w:val="00EE319E"/>
    <w:rsid w:val="00EE3253"/>
    <w:rsid w:val="00EE3286"/>
    <w:rsid w:val="00EE33BF"/>
    <w:rsid w:val="00EE355E"/>
    <w:rsid w:val="00EE3647"/>
    <w:rsid w:val="00EE36DE"/>
    <w:rsid w:val="00EE376D"/>
    <w:rsid w:val="00EE39C4"/>
    <w:rsid w:val="00EE3D22"/>
    <w:rsid w:val="00EE3D5A"/>
    <w:rsid w:val="00EE3D6F"/>
    <w:rsid w:val="00EE3F3F"/>
    <w:rsid w:val="00EE3F71"/>
    <w:rsid w:val="00EE3FA9"/>
    <w:rsid w:val="00EE40C4"/>
    <w:rsid w:val="00EE420E"/>
    <w:rsid w:val="00EE438A"/>
    <w:rsid w:val="00EE439B"/>
    <w:rsid w:val="00EE43C0"/>
    <w:rsid w:val="00EE4574"/>
    <w:rsid w:val="00EE4C45"/>
    <w:rsid w:val="00EE4EF3"/>
    <w:rsid w:val="00EE50B2"/>
    <w:rsid w:val="00EE55E7"/>
    <w:rsid w:val="00EE571B"/>
    <w:rsid w:val="00EE57C6"/>
    <w:rsid w:val="00EE57FB"/>
    <w:rsid w:val="00EE58F9"/>
    <w:rsid w:val="00EE5BF6"/>
    <w:rsid w:val="00EE5D63"/>
    <w:rsid w:val="00EE5D8D"/>
    <w:rsid w:val="00EE5EFF"/>
    <w:rsid w:val="00EE5F98"/>
    <w:rsid w:val="00EE61FD"/>
    <w:rsid w:val="00EE6307"/>
    <w:rsid w:val="00EE6381"/>
    <w:rsid w:val="00EE656C"/>
    <w:rsid w:val="00EE690C"/>
    <w:rsid w:val="00EE6B43"/>
    <w:rsid w:val="00EE6CFA"/>
    <w:rsid w:val="00EE6F37"/>
    <w:rsid w:val="00EE6FC5"/>
    <w:rsid w:val="00EE7037"/>
    <w:rsid w:val="00EE703B"/>
    <w:rsid w:val="00EE7321"/>
    <w:rsid w:val="00EE763D"/>
    <w:rsid w:val="00EE76B5"/>
    <w:rsid w:val="00EE790D"/>
    <w:rsid w:val="00EE7EFE"/>
    <w:rsid w:val="00EF0272"/>
    <w:rsid w:val="00EF0469"/>
    <w:rsid w:val="00EF047D"/>
    <w:rsid w:val="00EF058A"/>
    <w:rsid w:val="00EF05DF"/>
    <w:rsid w:val="00EF0634"/>
    <w:rsid w:val="00EF078F"/>
    <w:rsid w:val="00EF0840"/>
    <w:rsid w:val="00EF0A2F"/>
    <w:rsid w:val="00EF0A66"/>
    <w:rsid w:val="00EF0A9E"/>
    <w:rsid w:val="00EF0BF7"/>
    <w:rsid w:val="00EF0CA6"/>
    <w:rsid w:val="00EF1039"/>
    <w:rsid w:val="00EF110C"/>
    <w:rsid w:val="00EF12F1"/>
    <w:rsid w:val="00EF143E"/>
    <w:rsid w:val="00EF1611"/>
    <w:rsid w:val="00EF1701"/>
    <w:rsid w:val="00EF1745"/>
    <w:rsid w:val="00EF17EC"/>
    <w:rsid w:val="00EF185E"/>
    <w:rsid w:val="00EF1A69"/>
    <w:rsid w:val="00EF1AA5"/>
    <w:rsid w:val="00EF1C40"/>
    <w:rsid w:val="00EF1CBB"/>
    <w:rsid w:val="00EF1CF1"/>
    <w:rsid w:val="00EF1EB4"/>
    <w:rsid w:val="00EF1ED6"/>
    <w:rsid w:val="00EF20F9"/>
    <w:rsid w:val="00EF211C"/>
    <w:rsid w:val="00EF2171"/>
    <w:rsid w:val="00EF23AD"/>
    <w:rsid w:val="00EF2477"/>
    <w:rsid w:val="00EF2616"/>
    <w:rsid w:val="00EF282A"/>
    <w:rsid w:val="00EF2C32"/>
    <w:rsid w:val="00EF2C75"/>
    <w:rsid w:val="00EF2E37"/>
    <w:rsid w:val="00EF2FF1"/>
    <w:rsid w:val="00EF310C"/>
    <w:rsid w:val="00EF32E4"/>
    <w:rsid w:val="00EF336D"/>
    <w:rsid w:val="00EF3524"/>
    <w:rsid w:val="00EF366C"/>
    <w:rsid w:val="00EF36DB"/>
    <w:rsid w:val="00EF39C8"/>
    <w:rsid w:val="00EF3B5B"/>
    <w:rsid w:val="00EF3C3B"/>
    <w:rsid w:val="00EF3C4B"/>
    <w:rsid w:val="00EF3C6D"/>
    <w:rsid w:val="00EF3E02"/>
    <w:rsid w:val="00EF3FA1"/>
    <w:rsid w:val="00EF3FEB"/>
    <w:rsid w:val="00EF410B"/>
    <w:rsid w:val="00EF4124"/>
    <w:rsid w:val="00EF41E4"/>
    <w:rsid w:val="00EF42C0"/>
    <w:rsid w:val="00EF42D6"/>
    <w:rsid w:val="00EF4400"/>
    <w:rsid w:val="00EF4409"/>
    <w:rsid w:val="00EF4534"/>
    <w:rsid w:val="00EF4883"/>
    <w:rsid w:val="00EF48C3"/>
    <w:rsid w:val="00EF4B40"/>
    <w:rsid w:val="00EF4D75"/>
    <w:rsid w:val="00EF4ECE"/>
    <w:rsid w:val="00EF50A2"/>
    <w:rsid w:val="00EF523E"/>
    <w:rsid w:val="00EF548D"/>
    <w:rsid w:val="00EF55AF"/>
    <w:rsid w:val="00EF58EF"/>
    <w:rsid w:val="00EF5C82"/>
    <w:rsid w:val="00EF5C97"/>
    <w:rsid w:val="00EF5CB3"/>
    <w:rsid w:val="00EF5CE4"/>
    <w:rsid w:val="00EF5D0E"/>
    <w:rsid w:val="00EF5D60"/>
    <w:rsid w:val="00EF5ECB"/>
    <w:rsid w:val="00EF6192"/>
    <w:rsid w:val="00EF61D4"/>
    <w:rsid w:val="00EF61F4"/>
    <w:rsid w:val="00EF62FF"/>
    <w:rsid w:val="00EF6323"/>
    <w:rsid w:val="00EF63C8"/>
    <w:rsid w:val="00EF63F4"/>
    <w:rsid w:val="00EF6595"/>
    <w:rsid w:val="00EF6719"/>
    <w:rsid w:val="00EF6C2A"/>
    <w:rsid w:val="00EF6CC2"/>
    <w:rsid w:val="00EF6CE2"/>
    <w:rsid w:val="00EF6D14"/>
    <w:rsid w:val="00EF6E37"/>
    <w:rsid w:val="00EF6F32"/>
    <w:rsid w:val="00EF6F60"/>
    <w:rsid w:val="00EF6FF7"/>
    <w:rsid w:val="00EF7165"/>
    <w:rsid w:val="00EF71B2"/>
    <w:rsid w:val="00EF7314"/>
    <w:rsid w:val="00EF732B"/>
    <w:rsid w:val="00EF73B5"/>
    <w:rsid w:val="00EF76FC"/>
    <w:rsid w:val="00EF7B5D"/>
    <w:rsid w:val="00EF7C81"/>
    <w:rsid w:val="00EF7E15"/>
    <w:rsid w:val="00EF7F91"/>
    <w:rsid w:val="00EF7FB0"/>
    <w:rsid w:val="00F00163"/>
    <w:rsid w:val="00F005F0"/>
    <w:rsid w:val="00F00786"/>
    <w:rsid w:val="00F0080E"/>
    <w:rsid w:val="00F00818"/>
    <w:rsid w:val="00F00989"/>
    <w:rsid w:val="00F00A8B"/>
    <w:rsid w:val="00F00A9C"/>
    <w:rsid w:val="00F00C8C"/>
    <w:rsid w:val="00F00D34"/>
    <w:rsid w:val="00F00DF7"/>
    <w:rsid w:val="00F01002"/>
    <w:rsid w:val="00F0103F"/>
    <w:rsid w:val="00F0105C"/>
    <w:rsid w:val="00F010F9"/>
    <w:rsid w:val="00F0118D"/>
    <w:rsid w:val="00F012C8"/>
    <w:rsid w:val="00F013A6"/>
    <w:rsid w:val="00F013CE"/>
    <w:rsid w:val="00F01803"/>
    <w:rsid w:val="00F01BD4"/>
    <w:rsid w:val="00F01EC8"/>
    <w:rsid w:val="00F01F04"/>
    <w:rsid w:val="00F01F65"/>
    <w:rsid w:val="00F01F8B"/>
    <w:rsid w:val="00F01F90"/>
    <w:rsid w:val="00F020EA"/>
    <w:rsid w:val="00F02441"/>
    <w:rsid w:val="00F0254C"/>
    <w:rsid w:val="00F029BA"/>
    <w:rsid w:val="00F02AF8"/>
    <w:rsid w:val="00F02B63"/>
    <w:rsid w:val="00F02B84"/>
    <w:rsid w:val="00F02B95"/>
    <w:rsid w:val="00F02BCB"/>
    <w:rsid w:val="00F02C6E"/>
    <w:rsid w:val="00F02D31"/>
    <w:rsid w:val="00F02DA8"/>
    <w:rsid w:val="00F02FD3"/>
    <w:rsid w:val="00F030F0"/>
    <w:rsid w:val="00F032DA"/>
    <w:rsid w:val="00F033FC"/>
    <w:rsid w:val="00F0345D"/>
    <w:rsid w:val="00F0350B"/>
    <w:rsid w:val="00F036DA"/>
    <w:rsid w:val="00F03700"/>
    <w:rsid w:val="00F0371E"/>
    <w:rsid w:val="00F03811"/>
    <w:rsid w:val="00F038EB"/>
    <w:rsid w:val="00F03907"/>
    <w:rsid w:val="00F03A6A"/>
    <w:rsid w:val="00F03EF4"/>
    <w:rsid w:val="00F0411A"/>
    <w:rsid w:val="00F04156"/>
    <w:rsid w:val="00F0438F"/>
    <w:rsid w:val="00F043E3"/>
    <w:rsid w:val="00F0442D"/>
    <w:rsid w:val="00F0447D"/>
    <w:rsid w:val="00F04490"/>
    <w:rsid w:val="00F0460A"/>
    <w:rsid w:val="00F04748"/>
    <w:rsid w:val="00F048C1"/>
    <w:rsid w:val="00F04956"/>
    <w:rsid w:val="00F04A20"/>
    <w:rsid w:val="00F04B86"/>
    <w:rsid w:val="00F04BC3"/>
    <w:rsid w:val="00F04CB9"/>
    <w:rsid w:val="00F04D13"/>
    <w:rsid w:val="00F04D59"/>
    <w:rsid w:val="00F04E51"/>
    <w:rsid w:val="00F053C0"/>
    <w:rsid w:val="00F053FE"/>
    <w:rsid w:val="00F0567D"/>
    <w:rsid w:val="00F0568D"/>
    <w:rsid w:val="00F05883"/>
    <w:rsid w:val="00F058F4"/>
    <w:rsid w:val="00F0599A"/>
    <w:rsid w:val="00F05A78"/>
    <w:rsid w:val="00F05CDD"/>
    <w:rsid w:val="00F05D56"/>
    <w:rsid w:val="00F05D6D"/>
    <w:rsid w:val="00F05EA5"/>
    <w:rsid w:val="00F05FD8"/>
    <w:rsid w:val="00F062FB"/>
    <w:rsid w:val="00F06309"/>
    <w:rsid w:val="00F06349"/>
    <w:rsid w:val="00F063AF"/>
    <w:rsid w:val="00F063B1"/>
    <w:rsid w:val="00F064D8"/>
    <w:rsid w:val="00F0664E"/>
    <w:rsid w:val="00F0668A"/>
    <w:rsid w:val="00F066A1"/>
    <w:rsid w:val="00F0673A"/>
    <w:rsid w:val="00F06773"/>
    <w:rsid w:val="00F06864"/>
    <w:rsid w:val="00F0689F"/>
    <w:rsid w:val="00F06B56"/>
    <w:rsid w:val="00F06C56"/>
    <w:rsid w:val="00F06C79"/>
    <w:rsid w:val="00F06D09"/>
    <w:rsid w:val="00F06D47"/>
    <w:rsid w:val="00F06FA6"/>
    <w:rsid w:val="00F06FAF"/>
    <w:rsid w:val="00F071B5"/>
    <w:rsid w:val="00F0720D"/>
    <w:rsid w:val="00F07767"/>
    <w:rsid w:val="00F078F7"/>
    <w:rsid w:val="00F07995"/>
    <w:rsid w:val="00F07AC7"/>
    <w:rsid w:val="00F07ADE"/>
    <w:rsid w:val="00F07AFC"/>
    <w:rsid w:val="00F07D8F"/>
    <w:rsid w:val="00F07DE3"/>
    <w:rsid w:val="00F07DEF"/>
    <w:rsid w:val="00F07ECE"/>
    <w:rsid w:val="00F07F11"/>
    <w:rsid w:val="00F104ED"/>
    <w:rsid w:val="00F1066C"/>
    <w:rsid w:val="00F10734"/>
    <w:rsid w:val="00F1087F"/>
    <w:rsid w:val="00F109D9"/>
    <w:rsid w:val="00F10E5C"/>
    <w:rsid w:val="00F10FD2"/>
    <w:rsid w:val="00F10FDB"/>
    <w:rsid w:val="00F11069"/>
    <w:rsid w:val="00F1149B"/>
    <w:rsid w:val="00F116E0"/>
    <w:rsid w:val="00F11728"/>
    <w:rsid w:val="00F11815"/>
    <w:rsid w:val="00F11B9E"/>
    <w:rsid w:val="00F11E23"/>
    <w:rsid w:val="00F12308"/>
    <w:rsid w:val="00F123B4"/>
    <w:rsid w:val="00F123D3"/>
    <w:rsid w:val="00F12472"/>
    <w:rsid w:val="00F129F8"/>
    <w:rsid w:val="00F12A7E"/>
    <w:rsid w:val="00F12B61"/>
    <w:rsid w:val="00F12B90"/>
    <w:rsid w:val="00F12E02"/>
    <w:rsid w:val="00F1305A"/>
    <w:rsid w:val="00F1306F"/>
    <w:rsid w:val="00F130EC"/>
    <w:rsid w:val="00F13114"/>
    <w:rsid w:val="00F131D3"/>
    <w:rsid w:val="00F13448"/>
    <w:rsid w:val="00F13555"/>
    <w:rsid w:val="00F13848"/>
    <w:rsid w:val="00F1392B"/>
    <w:rsid w:val="00F139B5"/>
    <w:rsid w:val="00F13A8B"/>
    <w:rsid w:val="00F13C9C"/>
    <w:rsid w:val="00F13E60"/>
    <w:rsid w:val="00F13FB7"/>
    <w:rsid w:val="00F13FB9"/>
    <w:rsid w:val="00F14056"/>
    <w:rsid w:val="00F1408F"/>
    <w:rsid w:val="00F141F1"/>
    <w:rsid w:val="00F14486"/>
    <w:rsid w:val="00F145A3"/>
    <w:rsid w:val="00F145BF"/>
    <w:rsid w:val="00F14806"/>
    <w:rsid w:val="00F1483C"/>
    <w:rsid w:val="00F14962"/>
    <w:rsid w:val="00F14A41"/>
    <w:rsid w:val="00F14AC5"/>
    <w:rsid w:val="00F14B0C"/>
    <w:rsid w:val="00F14D8F"/>
    <w:rsid w:val="00F14FBD"/>
    <w:rsid w:val="00F1501C"/>
    <w:rsid w:val="00F1504C"/>
    <w:rsid w:val="00F15097"/>
    <w:rsid w:val="00F150F5"/>
    <w:rsid w:val="00F151A7"/>
    <w:rsid w:val="00F15386"/>
    <w:rsid w:val="00F155DE"/>
    <w:rsid w:val="00F1568A"/>
    <w:rsid w:val="00F156A3"/>
    <w:rsid w:val="00F1575D"/>
    <w:rsid w:val="00F1583D"/>
    <w:rsid w:val="00F15974"/>
    <w:rsid w:val="00F15D21"/>
    <w:rsid w:val="00F15EEB"/>
    <w:rsid w:val="00F15F2B"/>
    <w:rsid w:val="00F15F3D"/>
    <w:rsid w:val="00F15F40"/>
    <w:rsid w:val="00F1620C"/>
    <w:rsid w:val="00F16228"/>
    <w:rsid w:val="00F163AA"/>
    <w:rsid w:val="00F16791"/>
    <w:rsid w:val="00F1687C"/>
    <w:rsid w:val="00F16CE2"/>
    <w:rsid w:val="00F17069"/>
    <w:rsid w:val="00F17234"/>
    <w:rsid w:val="00F1723F"/>
    <w:rsid w:val="00F173C8"/>
    <w:rsid w:val="00F17488"/>
    <w:rsid w:val="00F174D1"/>
    <w:rsid w:val="00F178A3"/>
    <w:rsid w:val="00F17A49"/>
    <w:rsid w:val="00F17A6D"/>
    <w:rsid w:val="00F17DA1"/>
    <w:rsid w:val="00F17E24"/>
    <w:rsid w:val="00F17E81"/>
    <w:rsid w:val="00F17FB5"/>
    <w:rsid w:val="00F20136"/>
    <w:rsid w:val="00F202C1"/>
    <w:rsid w:val="00F203BF"/>
    <w:rsid w:val="00F203D5"/>
    <w:rsid w:val="00F203F9"/>
    <w:rsid w:val="00F2050C"/>
    <w:rsid w:val="00F20545"/>
    <w:rsid w:val="00F20B74"/>
    <w:rsid w:val="00F20C14"/>
    <w:rsid w:val="00F20C4A"/>
    <w:rsid w:val="00F20C52"/>
    <w:rsid w:val="00F20EEE"/>
    <w:rsid w:val="00F211B6"/>
    <w:rsid w:val="00F215AA"/>
    <w:rsid w:val="00F21698"/>
    <w:rsid w:val="00F216C8"/>
    <w:rsid w:val="00F21768"/>
    <w:rsid w:val="00F21853"/>
    <w:rsid w:val="00F2186B"/>
    <w:rsid w:val="00F219B3"/>
    <w:rsid w:val="00F21A1F"/>
    <w:rsid w:val="00F21A65"/>
    <w:rsid w:val="00F21A9B"/>
    <w:rsid w:val="00F21AF8"/>
    <w:rsid w:val="00F21B89"/>
    <w:rsid w:val="00F21CFF"/>
    <w:rsid w:val="00F21F3B"/>
    <w:rsid w:val="00F2210A"/>
    <w:rsid w:val="00F221C9"/>
    <w:rsid w:val="00F221E2"/>
    <w:rsid w:val="00F222C1"/>
    <w:rsid w:val="00F22319"/>
    <w:rsid w:val="00F225C5"/>
    <w:rsid w:val="00F22751"/>
    <w:rsid w:val="00F2292A"/>
    <w:rsid w:val="00F229B6"/>
    <w:rsid w:val="00F22A32"/>
    <w:rsid w:val="00F22A66"/>
    <w:rsid w:val="00F22CB6"/>
    <w:rsid w:val="00F22F94"/>
    <w:rsid w:val="00F23187"/>
    <w:rsid w:val="00F2330D"/>
    <w:rsid w:val="00F2337F"/>
    <w:rsid w:val="00F234A4"/>
    <w:rsid w:val="00F23601"/>
    <w:rsid w:val="00F2363D"/>
    <w:rsid w:val="00F237CF"/>
    <w:rsid w:val="00F23827"/>
    <w:rsid w:val="00F2385A"/>
    <w:rsid w:val="00F238A9"/>
    <w:rsid w:val="00F23ACF"/>
    <w:rsid w:val="00F23E05"/>
    <w:rsid w:val="00F23E4C"/>
    <w:rsid w:val="00F23E69"/>
    <w:rsid w:val="00F23F8F"/>
    <w:rsid w:val="00F2404D"/>
    <w:rsid w:val="00F241AE"/>
    <w:rsid w:val="00F24284"/>
    <w:rsid w:val="00F242A5"/>
    <w:rsid w:val="00F24310"/>
    <w:rsid w:val="00F243E2"/>
    <w:rsid w:val="00F2459E"/>
    <w:rsid w:val="00F2477E"/>
    <w:rsid w:val="00F24846"/>
    <w:rsid w:val="00F248BA"/>
    <w:rsid w:val="00F24970"/>
    <w:rsid w:val="00F24B2C"/>
    <w:rsid w:val="00F24F59"/>
    <w:rsid w:val="00F25041"/>
    <w:rsid w:val="00F250D1"/>
    <w:rsid w:val="00F251F3"/>
    <w:rsid w:val="00F2537B"/>
    <w:rsid w:val="00F25564"/>
    <w:rsid w:val="00F255C2"/>
    <w:rsid w:val="00F2570A"/>
    <w:rsid w:val="00F258BA"/>
    <w:rsid w:val="00F259DF"/>
    <w:rsid w:val="00F25DD9"/>
    <w:rsid w:val="00F25E8C"/>
    <w:rsid w:val="00F261D4"/>
    <w:rsid w:val="00F2626E"/>
    <w:rsid w:val="00F262A0"/>
    <w:rsid w:val="00F26339"/>
    <w:rsid w:val="00F26572"/>
    <w:rsid w:val="00F266AE"/>
    <w:rsid w:val="00F26A41"/>
    <w:rsid w:val="00F26A57"/>
    <w:rsid w:val="00F26BC7"/>
    <w:rsid w:val="00F26D3D"/>
    <w:rsid w:val="00F26D78"/>
    <w:rsid w:val="00F26E4F"/>
    <w:rsid w:val="00F27208"/>
    <w:rsid w:val="00F273BD"/>
    <w:rsid w:val="00F2747E"/>
    <w:rsid w:val="00F27627"/>
    <w:rsid w:val="00F2765A"/>
    <w:rsid w:val="00F27697"/>
    <w:rsid w:val="00F27721"/>
    <w:rsid w:val="00F277DC"/>
    <w:rsid w:val="00F27838"/>
    <w:rsid w:val="00F278A5"/>
    <w:rsid w:val="00F27A85"/>
    <w:rsid w:val="00F27D63"/>
    <w:rsid w:val="00F27D71"/>
    <w:rsid w:val="00F27D77"/>
    <w:rsid w:val="00F27EAD"/>
    <w:rsid w:val="00F27F28"/>
    <w:rsid w:val="00F3012A"/>
    <w:rsid w:val="00F30167"/>
    <w:rsid w:val="00F30168"/>
    <w:rsid w:val="00F3017F"/>
    <w:rsid w:val="00F301B0"/>
    <w:rsid w:val="00F30226"/>
    <w:rsid w:val="00F30320"/>
    <w:rsid w:val="00F30344"/>
    <w:rsid w:val="00F303D3"/>
    <w:rsid w:val="00F303D9"/>
    <w:rsid w:val="00F303E0"/>
    <w:rsid w:val="00F305A0"/>
    <w:rsid w:val="00F305FD"/>
    <w:rsid w:val="00F3075C"/>
    <w:rsid w:val="00F30C24"/>
    <w:rsid w:val="00F30CE2"/>
    <w:rsid w:val="00F30D24"/>
    <w:rsid w:val="00F30FA0"/>
    <w:rsid w:val="00F31030"/>
    <w:rsid w:val="00F3130D"/>
    <w:rsid w:val="00F31361"/>
    <w:rsid w:val="00F3162C"/>
    <w:rsid w:val="00F317A6"/>
    <w:rsid w:val="00F3191D"/>
    <w:rsid w:val="00F31A00"/>
    <w:rsid w:val="00F31B72"/>
    <w:rsid w:val="00F31BD2"/>
    <w:rsid w:val="00F31C1A"/>
    <w:rsid w:val="00F31C3D"/>
    <w:rsid w:val="00F321C6"/>
    <w:rsid w:val="00F32323"/>
    <w:rsid w:val="00F3236A"/>
    <w:rsid w:val="00F325BA"/>
    <w:rsid w:val="00F32683"/>
    <w:rsid w:val="00F327AC"/>
    <w:rsid w:val="00F328F5"/>
    <w:rsid w:val="00F32A45"/>
    <w:rsid w:val="00F32AE7"/>
    <w:rsid w:val="00F32B02"/>
    <w:rsid w:val="00F32B1B"/>
    <w:rsid w:val="00F32C42"/>
    <w:rsid w:val="00F32D45"/>
    <w:rsid w:val="00F32D95"/>
    <w:rsid w:val="00F32E34"/>
    <w:rsid w:val="00F32F86"/>
    <w:rsid w:val="00F32FE1"/>
    <w:rsid w:val="00F3344E"/>
    <w:rsid w:val="00F334B4"/>
    <w:rsid w:val="00F33709"/>
    <w:rsid w:val="00F338A3"/>
    <w:rsid w:val="00F33940"/>
    <w:rsid w:val="00F339ED"/>
    <w:rsid w:val="00F33B86"/>
    <w:rsid w:val="00F33D22"/>
    <w:rsid w:val="00F33F10"/>
    <w:rsid w:val="00F341D2"/>
    <w:rsid w:val="00F341D7"/>
    <w:rsid w:val="00F34380"/>
    <w:rsid w:val="00F34385"/>
    <w:rsid w:val="00F343A0"/>
    <w:rsid w:val="00F344AB"/>
    <w:rsid w:val="00F345BC"/>
    <w:rsid w:val="00F34755"/>
    <w:rsid w:val="00F34963"/>
    <w:rsid w:val="00F3496E"/>
    <w:rsid w:val="00F349B8"/>
    <w:rsid w:val="00F349E0"/>
    <w:rsid w:val="00F34A1A"/>
    <w:rsid w:val="00F34A6B"/>
    <w:rsid w:val="00F34B6F"/>
    <w:rsid w:val="00F34BB4"/>
    <w:rsid w:val="00F34D26"/>
    <w:rsid w:val="00F34D71"/>
    <w:rsid w:val="00F34F29"/>
    <w:rsid w:val="00F34FAE"/>
    <w:rsid w:val="00F35123"/>
    <w:rsid w:val="00F3515B"/>
    <w:rsid w:val="00F351B2"/>
    <w:rsid w:val="00F3520A"/>
    <w:rsid w:val="00F35235"/>
    <w:rsid w:val="00F353A2"/>
    <w:rsid w:val="00F3541D"/>
    <w:rsid w:val="00F35546"/>
    <w:rsid w:val="00F35595"/>
    <w:rsid w:val="00F356ED"/>
    <w:rsid w:val="00F358DC"/>
    <w:rsid w:val="00F359E8"/>
    <w:rsid w:val="00F35A20"/>
    <w:rsid w:val="00F35C0E"/>
    <w:rsid w:val="00F35C27"/>
    <w:rsid w:val="00F36AAA"/>
    <w:rsid w:val="00F36B8E"/>
    <w:rsid w:val="00F36BF7"/>
    <w:rsid w:val="00F36C26"/>
    <w:rsid w:val="00F36D65"/>
    <w:rsid w:val="00F36E8E"/>
    <w:rsid w:val="00F3754D"/>
    <w:rsid w:val="00F37578"/>
    <w:rsid w:val="00F3757B"/>
    <w:rsid w:val="00F37785"/>
    <w:rsid w:val="00F379F9"/>
    <w:rsid w:val="00F37A75"/>
    <w:rsid w:val="00F37AA2"/>
    <w:rsid w:val="00F37B78"/>
    <w:rsid w:val="00F37B7D"/>
    <w:rsid w:val="00F37C9E"/>
    <w:rsid w:val="00F37D01"/>
    <w:rsid w:val="00F37DFB"/>
    <w:rsid w:val="00F400A2"/>
    <w:rsid w:val="00F40275"/>
    <w:rsid w:val="00F40380"/>
    <w:rsid w:val="00F40664"/>
    <w:rsid w:val="00F4069B"/>
    <w:rsid w:val="00F40776"/>
    <w:rsid w:val="00F40911"/>
    <w:rsid w:val="00F409D1"/>
    <w:rsid w:val="00F40AED"/>
    <w:rsid w:val="00F40B08"/>
    <w:rsid w:val="00F40B40"/>
    <w:rsid w:val="00F40CD1"/>
    <w:rsid w:val="00F40E3D"/>
    <w:rsid w:val="00F411E8"/>
    <w:rsid w:val="00F4141A"/>
    <w:rsid w:val="00F414ED"/>
    <w:rsid w:val="00F41528"/>
    <w:rsid w:val="00F41559"/>
    <w:rsid w:val="00F415EC"/>
    <w:rsid w:val="00F416B3"/>
    <w:rsid w:val="00F416CF"/>
    <w:rsid w:val="00F416F9"/>
    <w:rsid w:val="00F41C5B"/>
    <w:rsid w:val="00F41D46"/>
    <w:rsid w:val="00F41FB0"/>
    <w:rsid w:val="00F4210A"/>
    <w:rsid w:val="00F4211C"/>
    <w:rsid w:val="00F42248"/>
    <w:rsid w:val="00F425AA"/>
    <w:rsid w:val="00F425ED"/>
    <w:rsid w:val="00F42684"/>
    <w:rsid w:val="00F427AF"/>
    <w:rsid w:val="00F427F7"/>
    <w:rsid w:val="00F42804"/>
    <w:rsid w:val="00F42868"/>
    <w:rsid w:val="00F4287C"/>
    <w:rsid w:val="00F428AC"/>
    <w:rsid w:val="00F429C4"/>
    <w:rsid w:val="00F42A01"/>
    <w:rsid w:val="00F42D88"/>
    <w:rsid w:val="00F42ED7"/>
    <w:rsid w:val="00F42FEE"/>
    <w:rsid w:val="00F430D1"/>
    <w:rsid w:val="00F43105"/>
    <w:rsid w:val="00F431E8"/>
    <w:rsid w:val="00F432DB"/>
    <w:rsid w:val="00F43320"/>
    <w:rsid w:val="00F433FC"/>
    <w:rsid w:val="00F43486"/>
    <w:rsid w:val="00F43587"/>
    <w:rsid w:val="00F43707"/>
    <w:rsid w:val="00F437C0"/>
    <w:rsid w:val="00F43833"/>
    <w:rsid w:val="00F439CB"/>
    <w:rsid w:val="00F43A31"/>
    <w:rsid w:val="00F43A91"/>
    <w:rsid w:val="00F43FF7"/>
    <w:rsid w:val="00F441CB"/>
    <w:rsid w:val="00F441EB"/>
    <w:rsid w:val="00F44259"/>
    <w:rsid w:val="00F4443F"/>
    <w:rsid w:val="00F447B5"/>
    <w:rsid w:val="00F448D5"/>
    <w:rsid w:val="00F4498A"/>
    <w:rsid w:val="00F449EC"/>
    <w:rsid w:val="00F44ACA"/>
    <w:rsid w:val="00F44CAF"/>
    <w:rsid w:val="00F44D31"/>
    <w:rsid w:val="00F44D7E"/>
    <w:rsid w:val="00F44E1F"/>
    <w:rsid w:val="00F44FB1"/>
    <w:rsid w:val="00F452B2"/>
    <w:rsid w:val="00F45310"/>
    <w:rsid w:val="00F4539A"/>
    <w:rsid w:val="00F45560"/>
    <w:rsid w:val="00F4571E"/>
    <w:rsid w:val="00F4573B"/>
    <w:rsid w:val="00F4587E"/>
    <w:rsid w:val="00F45AFF"/>
    <w:rsid w:val="00F45B54"/>
    <w:rsid w:val="00F45D1E"/>
    <w:rsid w:val="00F45D53"/>
    <w:rsid w:val="00F45E3C"/>
    <w:rsid w:val="00F45F93"/>
    <w:rsid w:val="00F46098"/>
    <w:rsid w:val="00F460F6"/>
    <w:rsid w:val="00F46135"/>
    <w:rsid w:val="00F462F3"/>
    <w:rsid w:val="00F46633"/>
    <w:rsid w:val="00F467D2"/>
    <w:rsid w:val="00F46ACB"/>
    <w:rsid w:val="00F46B75"/>
    <w:rsid w:val="00F46CD1"/>
    <w:rsid w:val="00F46FDF"/>
    <w:rsid w:val="00F47193"/>
    <w:rsid w:val="00F47246"/>
    <w:rsid w:val="00F47252"/>
    <w:rsid w:val="00F4749B"/>
    <w:rsid w:val="00F4786E"/>
    <w:rsid w:val="00F47870"/>
    <w:rsid w:val="00F478F4"/>
    <w:rsid w:val="00F47B97"/>
    <w:rsid w:val="00F47CC9"/>
    <w:rsid w:val="00F47DD1"/>
    <w:rsid w:val="00F5007A"/>
    <w:rsid w:val="00F5021B"/>
    <w:rsid w:val="00F50832"/>
    <w:rsid w:val="00F508AA"/>
    <w:rsid w:val="00F508F4"/>
    <w:rsid w:val="00F50979"/>
    <w:rsid w:val="00F50A4B"/>
    <w:rsid w:val="00F50CBF"/>
    <w:rsid w:val="00F50D9B"/>
    <w:rsid w:val="00F50DB2"/>
    <w:rsid w:val="00F50E3C"/>
    <w:rsid w:val="00F51179"/>
    <w:rsid w:val="00F51279"/>
    <w:rsid w:val="00F513E6"/>
    <w:rsid w:val="00F51427"/>
    <w:rsid w:val="00F5144D"/>
    <w:rsid w:val="00F5152C"/>
    <w:rsid w:val="00F515BC"/>
    <w:rsid w:val="00F5178D"/>
    <w:rsid w:val="00F51873"/>
    <w:rsid w:val="00F51EFC"/>
    <w:rsid w:val="00F521F4"/>
    <w:rsid w:val="00F52260"/>
    <w:rsid w:val="00F52281"/>
    <w:rsid w:val="00F52385"/>
    <w:rsid w:val="00F52413"/>
    <w:rsid w:val="00F52593"/>
    <w:rsid w:val="00F52878"/>
    <w:rsid w:val="00F52914"/>
    <w:rsid w:val="00F52A2E"/>
    <w:rsid w:val="00F52BE9"/>
    <w:rsid w:val="00F52CCA"/>
    <w:rsid w:val="00F52D6C"/>
    <w:rsid w:val="00F52DE8"/>
    <w:rsid w:val="00F52E73"/>
    <w:rsid w:val="00F52F00"/>
    <w:rsid w:val="00F5320B"/>
    <w:rsid w:val="00F53443"/>
    <w:rsid w:val="00F53534"/>
    <w:rsid w:val="00F535BB"/>
    <w:rsid w:val="00F536EE"/>
    <w:rsid w:val="00F5376B"/>
    <w:rsid w:val="00F53831"/>
    <w:rsid w:val="00F539E5"/>
    <w:rsid w:val="00F539F7"/>
    <w:rsid w:val="00F53F07"/>
    <w:rsid w:val="00F53FF5"/>
    <w:rsid w:val="00F54010"/>
    <w:rsid w:val="00F5457C"/>
    <w:rsid w:val="00F545F0"/>
    <w:rsid w:val="00F545FC"/>
    <w:rsid w:val="00F54606"/>
    <w:rsid w:val="00F5476D"/>
    <w:rsid w:val="00F5487E"/>
    <w:rsid w:val="00F548A3"/>
    <w:rsid w:val="00F5490C"/>
    <w:rsid w:val="00F54B6B"/>
    <w:rsid w:val="00F54BE7"/>
    <w:rsid w:val="00F54DA4"/>
    <w:rsid w:val="00F54DCA"/>
    <w:rsid w:val="00F54DE6"/>
    <w:rsid w:val="00F54E4B"/>
    <w:rsid w:val="00F54F48"/>
    <w:rsid w:val="00F550BA"/>
    <w:rsid w:val="00F5526E"/>
    <w:rsid w:val="00F552AE"/>
    <w:rsid w:val="00F552CD"/>
    <w:rsid w:val="00F55495"/>
    <w:rsid w:val="00F554FD"/>
    <w:rsid w:val="00F5560B"/>
    <w:rsid w:val="00F5564B"/>
    <w:rsid w:val="00F5565D"/>
    <w:rsid w:val="00F55790"/>
    <w:rsid w:val="00F558DC"/>
    <w:rsid w:val="00F55A3F"/>
    <w:rsid w:val="00F55BC3"/>
    <w:rsid w:val="00F55BD7"/>
    <w:rsid w:val="00F55BDC"/>
    <w:rsid w:val="00F55F89"/>
    <w:rsid w:val="00F56095"/>
    <w:rsid w:val="00F562C8"/>
    <w:rsid w:val="00F563F0"/>
    <w:rsid w:val="00F56745"/>
    <w:rsid w:val="00F5677D"/>
    <w:rsid w:val="00F5677E"/>
    <w:rsid w:val="00F567A6"/>
    <w:rsid w:val="00F568B9"/>
    <w:rsid w:val="00F56AB5"/>
    <w:rsid w:val="00F56CD0"/>
    <w:rsid w:val="00F56E69"/>
    <w:rsid w:val="00F56FD7"/>
    <w:rsid w:val="00F5707B"/>
    <w:rsid w:val="00F571AD"/>
    <w:rsid w:val="00F57351"/>
    <w:rsid w:val="00F573E5"/>
    <w:rsid w:val="00F573F9"/>
    <w:rsid w:val="00F57461"/>
    <w:rsid w:val="00F57483"/>
    <w:rsid w:val="00F5771D"/>
    <w:rsid w:val="00F57877"/>
    <w:rsid w:val="00F57891"/>
    <w:rsid w:val="00F578AD"/>
    <w:rsid w:val="00F578CF"/>
    <w:rsid w:val="00F57A8B"/>
    <w:rsid w:val="00F57A99"/>
    <w:rsid w:val="00F57B46"/>
    <w:rsid w:val="00F57D51"/>
    <w:rsid w:val="00F60010"/>
    <w:rsid w:val="00F6013B"/>
    <w:rsid w:val="00F60150"/>
    <w:rsid w:val="00F60382"/>
    <w:rsid w:val="00F60659"/>
    <w:rsid w:val="00F607DD"/>
    <w:rsid w:val="00F60A4D"/>
    <w:rsid w:val="00F60B9B"/>
    <w:rsid w:val="00F60E66"/>
    <w:rsid w:val="00F60E9F"/>
    <w:rsid w:val="00F60EEA"/>
    <w:rsid w:val="00F61032"/>
    <w:rsid w:val="00F6104F"/>
    <w:rsid w:val="00F61059"/>
    <w:rsid w:val="00F61159"/>
    <w:rsid w:val="00F611DA"/>
    <w:rsid w:val="00F6120E"/>
    <w:rsid w:val="00F612A2"/>
    <w:rsid w:val="00F61489"/>
    <w:rsid w:val="00F615AC"/>
    <w:rsid w:val="00F617D4"/>
    <w:rsid w:val="00F6194A"/>
    <w:rsid w:val="00F61963"/>
    <w:rsid w:val="00F61A4D"/>
    <w:rsid w:val="00F61E23"/>
    <w:rsid w:val="00F61E85"/>
    <w:rsid w:val="00F61FDB"/>
    <w:rsid w:val="00F6219B"/>
    <w:rsid w:val="00F621B0"/>
    <w:rsid w:val="00F622A5"/>
    <w:rsid w:val="00F62831"/>
    <w:rsid w:val="00F62958"/>
    <w:rsid w:val="00F62B03"/>
    <w:rsid w:val="00F62D70"/>
    <w:rsid w:val="00F62E21"/>
    <w:rsid w:val="00F62F8A"/>
    <w:rsid w:val="00F63188"/>
    <w:rsid w:val="00F631DF"/>
    <w:rsid w:val="00F63329"/>
    <w:rsid w:val="00F63578"/>
    <w:rsid w:val="00F636EC"/>
    <w:rsid w:val="00F6374D"/>
    <w:rsid w:val="00F63795"/>
    <w:rsid w:val="00F63E35"/>
    <w:rsid w:val="00F64160"/>
    <w:rsid w:val="00F643A0"/>
    <w:rsid w:val="00F643CE"/>
    <w:rsid w:val="00F6447E"/>
    <w:rsid w:val="00F6467D"/>
    <w:rsid w:val="00F64867"/>
    <w:rsid w:val="00F64970"/>
    <w:rsid w:val="00F64C8F"/>
    <w:rsid w:val="00F650DF"/>
    <w:rsid w:val="00F65170"/>
    <w:rsid w:val="00F651FB"/>
    <w:rsid w:val="00F65303"/>
    <w:rsid w:val="00F65317"/>
    <w:rsid w:val="00F65507"/>
    <w:rsid w:val="00F656A4"/>
    <w:rsid w:val="00F6585F"/>
    <w:rsid w:val="00F6586E"/>
    <w:rsid w:val="00F65C84"/>
    <w:rsid w:val="00F65D42"/>
    <w:rsid w:val="00F65EAF"/>
    <w:rsid w:val="00F65F56"/>
    <w:rsid w:val="00F65F8D"/>
    <w:rsid w:val="00F660D9"/>
    <w:rsid w:val="00F663A3"/>
    <w:rsid w:val="00F665B1"/>
    <w:rsid w:val="00F665D0"/>
    <w:rsid w:val="00F66601"/>
    <w:rsid w:val="00F666D7"/>
    <w:rsid w:val="00F668FB"/>
    <w:rsid w:val="00F6698A"/>
    <w:rsid w:val="00F66ABA"/>
    <w:rsid w:val="00F66B2E"/>
    <w:rsid w:val="00F66B55"/>
    <w:rsid w:val="00F66C35"/>
    <w:rsid w:val="00F66C96"/>
    <w:rsid w:val="00F66E6B"/>
    <w:rsid w:val="00F66E71"/>
    <w:rsid w:val="00F6701A"/>
    <w:rsid w:val="00F6716A"/>
    <w:rsid w:val="00F67290"/>
    <w:rsid w:val="00F67343"/>
    <w:rsid w:val="00F67375"/>
    <w:rsid w:val="00F6744C"/>
    <w:rsid w:val="00F675D1"/>
    <w:rsid w:val="00F67957"/>
    <w:rsid w:val="00F6796F"/>
    <w:rsid w:val="00F679C8"/>
    <w:rsid w:val="00F67ABD"/>
    <w:rsid w:val="00F67D9F"/>
    <w:rsid w:val="00F67E45"/>
    <w:rsid w:val="00F67E4F"/>
    <w:rsid w:val="00F67FF5"/>
    <w:rsid w:val="00F7024C"/>
    <w:rsid w:val="00F70579"/>
    <w:rsid w:val="00F7068E"/>
    <w:rsid w:val="00F706A7"/>
    <w:rsid w:val="00F70779"/>
    <w:rsid w:val="00F70904"/>
    <w:rsid w:val="00F7091A"/>
    <w:rsid w:val="00F70A8E"/>
    <w:rsid w:val="00F70A9B"/>
    <w:rsid w:val="00F70BBF"/>
    <w:rsid w:val="00F70BDF"/>
    <w:rsid w:val="00F70DD3"/>
    <w:rsid w:val="00F70E23"/>
    <w:rsid w:val="00F70E3B"/>
    <w:rsid w:val="00F70E95"/>
    <w:rsid w:val="00F70EA3"/>
    <w:rsid w:val="00F70EB7"/>
    <w:rsid w:val="00F70F64"/>
    <w:rsid w:val="00F70FF6"/>
    <w:rsid w:val="00F7100D"/>
    <w:rsid w:val="00F71108"/>
    <w:rsid w:val="00F714BE"/>
    <w:rsid w:val="00F7162D"/>
    <w:rsid w:val="00F71690"/>
    <w:rsid w:val="00F716D3"/>
    <w:rsid w:val="00F716ED"/>
    <w:rsid w:val="00F719E5"/>
    <w:rsid w:val="00F719EA"/>
    <w:rsid w:val="00F71BAF"/>
    <w:rsid w:val="00F71C07"/>
    <w:rsid w:val="00F71DD0"/>
    <w:rsid w:val="00F71E91"/>
    <w:rsid w:val="00F7205F"/>
    <w:rsid w:val="00F72111"/>
    <w:rsid w:val="00F7228C"/>
    <w:rsid w:val="00F722C2"/>
    <w:rsid w:val="00F722D7"/>
    <w:rsid w:val="00F7230E"/>
    <w:rsid w:val="00F72364"/>
    <w:rsid w:val="00F72493"/>
    <w:rsid w:val="00F72529"/>
    <w:rsid w:val="00F7271D"/>
    <w:rsid w:val="00F7279B"/>
    <w:rsid w:val="00F7281D"/>
    <w:rsid w:val="00F72BEE"/>
    <w:rsid w:val="00F72C18"/>
    <w:rsid w:val="00F72CFE"/>
    <w:rsid w:val="00F72D2E"/>
    <w:rsid w:val="00F72ED4"/>
    <w:rsid w:val="00F73018"/>
    <w:rsid w:val="00F7301A"/>
    <w:rsid w:val="00F7305E"/>
    <w:rsid w:val="00F7312F"/>
    <w:rsid w:val="00F73132"/>
    <w:rsid w:val="00F73263"/>
    <w:rsid w:val="00F7329E"/>
    <w:rsid w:val="00F733D3"/>
    <w:rsid w:val="00F73415"/>
    <w:rsid w:val="00F73532"/>
    <w:rsid w:val="00F735AF"/>
    <w:rsid w:val="00F73656"/>
    <w:rsid w:val="00F736A2"/>
    <w:rsid w:val="00F73742"/>
    <w:rsid w:val="00F737BA"/>
    <w:rsid w:val="00F73808"/>
    <w:rsid w:val="00F73830"/>
    <w:rsid w:val="00F7383B"/>
    <w:rsid w:val="00F739AC"/>
    <w:rsid w:val="00F73A0C"/>
    <w:rsid w:val="00F73A4B"/>
    <w:rsid w:val="00F73D93"/>
    <w:rsid w:val="00F73DF4"/>
    <w:rsid w:val="00F73F1C"/>
    <w:rsid w:val="00F74144"/>
    <w:rsid w:val="00F74155"/>
    <w:rsid w:val="00F743E0"/>
    <w:rsid w:val="00F7476A"/>
    <w:rsid w:val="00F747F9"/>
    <w:rsid w:val="00F74A50"/>
    <w:rsid w:val="00F74A58"/>
    <w:rsid w:val="00F74AE7"/>
    <w:rsid w:val="00F74E79"/>
    <w:rsid w:val="00F74E82"/>
    <w:rsid w:val="00F75152"/>
    <w:rsid w:val="00F7518E"/>
    <w:rsid w:val="00F75296"/>
    <w:rsid w:val="00F75306"/>
    <w:rsid w:val="00F75314"/>
    <w:rsid w:val="00F75470"/>
    <w:rsid w:val="00F755FD"/>
    <w:rsid w:val="00F756D1"/>
    <w:rsid w:val="00F75806"/>
    <w:rsid w:val="00F758D7"/>
    <w:rsid w:val="00F75958"/>
    <w:rsid w:val="00F75DAF"/>
    <w:rsid w:val="00F75DF3"/>
    <w:rsid w:val="00F75E44"/>
    <w:rsid w:val="00F75F14"/>
    <w:rsid w:val="00F76142"/>
    <w:rsid w:val="00F7627A"/>
    <w:rsid w:val="00F765A4"/>
    <w:rsid w:val="00F7672A"/>
    <w:rsid w:val="00F76AB6"/>
    <w:rsid w:val="00F76B08"/>
    <w:rsid w:val="00F76CAF"/>
    <w:rsid w:val="00F77185"/>
    <w:rsid w:val="00F7730E"/>
    <w:rsid w:val="00F77468"/>
    <w:rsid w:val="00F77487"/>
    <w:rsid w:val="00F77591"/>
    <w:rsid w:val="00F77644"/>
    <w:rsid w:val="00F7765C"/>
    <w:rsid w:val="00F77768"/>
    <w:rsid w:val="00F779ED"/>
    <w:rsid w:val="00F77BC7"/>
    <w:rsid w:val="00F77C67"/>
    <w:rsid w:val="00F77CAB"/>
    <w:rsid w:val="00F77D2A"/>
    <w:rsid w:val="00F77E80"/>
    <w:rsid w:val="00F77F3E"/>
    <w:rsid w:val="00F800A4"/>
    <w:rsid w:val="00F80469"/>
    <w:rsid w:val="00F80483"/>
    <w:rsid w:val="00F80510"/>
    <w:rsid w:val="00F80706"/>
    <w:rsid w:val="00F808D0"/>
    <w:rsid w:val="00F80A2D"/>
    <w:rsid w:val="00F80AE2"/>
    <w:rsid w:val="00F80E9F"/>
    <w:rsid w:val="00F80F44"/>
    <w:rsid w:val="00F80FF2"/>
    <w:rsid w:val="00F81012"/>
    <w:rsid w:val="00F81148"/>
    <w:rsid w:val="00F81614"/>
    <w:rsid w:val="00F81C09"/>
    <w:rsid w:val="00F81C0C"/>
    <w:rsid w:val="00F81CB6"/>
    <w:rsid w:val="00F820FD"/>
    <w:rsid w:val="00F8214C"/>
    <w:rsid w:val="00F82226"/>
    <w:rsid w:val="00F82342"/>
    <w:rsid w:val="00F8246E"/>
    <w:rsid w:val="00F8271B"/>
    <w:rsid w:val="00F827AC"/>
    <w:rsid w:val="00F82897"/>
    <w:rsid w:val="00F82ADA"/>
    <w:rsid w:val="00F82B55"/>
    <w:rsid w:val="00F82C57"/>
    <w:rsid w:val="00F82D8A"/>
    <w:rsid w:val="00F8340D"/>
    <w:rsid w:val="00F8349C"/>
    <w:rsid w:val="00F834CC"/>
    <w:rsid w:val="00F835E8"/>
    <w:rsid w:val="00F8362F"/>
    <w:rsid w:val="00F83768"/>
    <w:rsid w:val="00F83982"/>
    <w:rsid w:val="00F8398A"/>
    <w:rsid w:val="00F83AE3"/>
    <w:rsid w:val="00F83C23"/>
    <w:rsid w:val="00F83E24"/>
    <w:rsid w:val="00F83E8B"/>
    <w:rsid w:val="00F83EAA"/>
    <w:rsid w:val="00F83F6F"/>
    <w:rsid w:val="00F83FDB"/>
    <w:rsid w:val="00F842C3"/>
    <w:rsid w:val="00F84303"/>
    <w:rsid w:val="00F845D2"/>
    <w:rsid w:val="00F846BA"/>
    <w:rsid w:val="00F84755"/>
    <w:rsid w:val="00F84786"/>
    <w:rsid w:val="00F84D96"/>
    <w:rsid w:val="00F84EC4"/>
    <w:rsid w:val="00F84F00"/>
    <w:rsid w:val="00F84F6F"/>
    <w:rsid w:val="00F84FC0"/>
    <w:rsid w:val="00F8511D"/>
    <w:rsid w:val="00F852D4"/>
    <w:rsid w:val="00F8575C"/>
    <w:rsid w:val="00F85A15"/>
    <w:rsid w:val="00F85CE3"/>
    <w:rsid w:val="00F85F72"/>
    <w:rsid w:val="00F86238"/>
    <w:rsid w:val="00F86290"/>
    <w:rsid w:val="00F86362"/>
    <w:rsid w:val="00F86387"/>
    <w:rsid w:val="00F8644D"/>
    <w:rsid w:val="00F86468"/>
    <w:rsid w:val="00F86530"/>
    <w:rsid w:val="00F86570"/>
    <w:rsid w:val="00F86640"/>
    <w:rsid w:val="00F86891"/>
    <w:rsid w:val="00F86A37"/>
    <w:rsid w:val="00F86B9B"/>
    <w:rsid w:val="00F86B9E"/>
    <w:rsid w:val="00F86C8B"/>
    <w:rsid w:val="00F86E4B"/>
    <w:rsid w:val="00F86E9D"/>
    <w:rsid w:val="00F8718F"/>
    <w:rsid w:val="00F87341"/>
    <w:rsid w:val="00F8743C"/>
    <w:rsid w:val="00F8762B"/>
    <w:rsid w:val="00F87768"/>
    <w:rsid w:val="00F87842"/>
    <w:rsid w:val="00F87A7A"/>
    <w:rsid w:val="00F87AD8"/>
    <w:rsid w:val="00F87B1B"/>
    <w:rsid w:val="00F87E1B"/>
    <w:rsid w:val="00F87E9A"/>
    <w:rsid w:val="00F90112"/>
    <w:rsid w:val="00F9011B"/>
    <w:rsid w:val="00F9036A"/>
    <w:rsid w:val="00F90453"/>
    <w:rsid w:val="00F9059B"/>
    <w:rsid w:val="00F90877"/>
    <w:rsid w:val="00F908E2"/>
    <w:rsid w:val="00F90911"/>
    <w:rsid w:val="00F90B9B"/>
    <w:rsid w:val="00F90D29"/>
    <w:rsid w:val="00F90DE5"/>
    <w:rsid w:val="00F90E9A"/>
    <w:rsid w:val="00F90EB1"/>
    <w:rsid w:val="00F90FE8"/>
    <w:rsid w:val="00F91225"/>
    <w:rsid w:val="00F9152B"/>
    <w:rsid w:val="00F915FE"/>
    <w:rsid w:val="00F916EB"/>
    <w:rsid w:val="00F917D4"/>
    <w:rsid w:val="00F91F7C"/>
    <w:rsid w:val="00F92044"/>
    <w:rsid w:val="00F92160"/>
    <w:rsid w:val="00F921E8"/>
    <w:rsid w:val="00F92326"/>
    <w:rsid w:val="00F92383"/>
    <w:rsid w:val="00F923C8"/>
    <w:rsid w:val="00F92449"/>
    <w:rsid w:val="00F92653"/>
    <w:rsid w:val="00F92721"/>
    <w:rsid w:val="00F927D0"/>
    <w:rsid w:val="00F92BF5"/>
    <w:rsid w:val="00F92E5F"/>
    <w:rsid w:val="00F9304A"/>
    <w:rsid w:val="00F93078"/>
    <w:rsid w:val="00F93176"/>
    <w:rsid w:val="00F932B2"/>
    <w:rsid w:val="00F93325"/>
    <w:rsid w:val="00F9336E"/>
    <w:rsid w:val="00F933BF"/>
    <w:rsid w:val="00F93428"/>
    <w:rsid w:val="00F93528"/>
    <w:rsid w:val="00F9376A"/>
    <w:rsid w:val="00F937B6"/>
    <w:rsid w:val="00F939DB"/>
    <w:rsid w:val="00F93A24"/>
    <w:rsid w:val="00F93BFC"/>
    <w:rsid w:val="00F94004"/>
    <w:rsid w:val="00F9401C"/>
    <w:rsid w:val="00F9426B"/>
    <w:rsid w:val="00F94380"/>
    <w:rsid w:val="00F946A7"/>
    <w:rsid w:val="00F9488F"/>
    <w:rsid w:val="00F948CB"/>
    <w:rsid w:val="00F948CE"/>
    <w:rsid w:val="00F94921"/>
    <w:rsid w:val="00F94A37"/>
    <w:rsid w:val="00F94AA6"/>
    <w:rsid w:val="00F94ADE"/>
    <w:rsid w:val="00F94CAE"/>
    <w:rsid w:val="00F94F16"/>
    <w:rsid w:val="00F94FB8"/>
    <w:rsid w:val="00F94FC3"/>
    <w:rsid w:val="00F9521D"/>
    <w:rsid w:val="00F95246"/>
    <w:rsid w:val="00F9537E"/>
    <w:rsid w:val="00F9563A"/>
    <w:rsid w:val="00F957AA"/>
    <w:rsid w:val="00F957FD"/>
    <w:rsid w:val="00F95804"/>
    <w:rsid w:val="00F958BC"/>
    <w:rsid w:val="00F95D4C"/>
    <w:rsid w:val="00F95EB6"/>
    <w:rsid w:val="00F95FC0"/>
    <w:rsid w:val="00F9604B"/>
    <w:rsid w:val="00F96115"/>
    <w:rsid w:val="00F96490"/>
    <w:rsid w:val="00F965DD"/>
    <w:rsid w:val="00F96719"/>
    <w:rsid w:val="00F967D4"/>
    <w:rsid w:val="00F96A5D"/>
    <w:rsid w:val="00F96CAF"/>
    <w:rsid w:val="00F96D68"/>
    <w:rsid w:val="00F96D97"/>
    <w:rsid w:val="00F96EF7"/>
    <w:rsid w:val="00F96F0E"/>
    <w:rsid w:val="00F9732D"/>
    <w:rsid w:val="00F97385"/>
    <w:rsid w:val="00F97513"/>
    <w:rsid w:val="00F975F0"/>
    <w:rsid w:val="00F978FF"/>
    <w:rsid w:val="00F979F6"/>
    <w:rsid w:val="00F97B7B"/>
    <w:rsid w:val="00F97C32"/>
    <w:rsid w:val="00F97CC9"/>
    <w:rsid w:val="00F97F04"/>
    <w:rsid w:val="00FA0312"/>
    <w:rsid w:val="00FA0526"/>
    <w:rsid w:val="00FA05F0"/>
    <w:rsid w:val="00FA06B3"/>
    <w:rsid w:val="00FA0707"/>
    <w:rsid w:val="00FA074E"/>
    <w:rsid w:val="00FA0795"/>
    <w:rsid w:val="00FA083C"/>
    <w:rsid w:val="00FA08A1"/>
    <w:rsid w:val="00FA0A7A"/>
    <w:rsid w:val="00FA0B68"/>
    <w:rsid w:val="00FA0BD4"/>
    <w:rsid w:val="00FA11AB"/>
    <w:rsid w:val="00FA11C2"/>
    <w:rsid w:val="00FA122D"/>
    <w:rsid w:val="00FA12BC"/>
    <w:rsid w:val="00FA1335"/>
    <w:rsid w:val="00FA13F2"/>
    <w:rsid w:val="00FA142D"/>
    <w:rsid w:val="00FA1437"/>
    <w:rsid w:val="00FA1485"/>
    <w:rsid w:val="00FA159B"/>
    <w:rsid w:val="00FA15E9"/>
    <w:rsid w:val="00FA1977"/>
    <w:rsid w:val="00FA1A92"/>
    <w:rsid w:val="00FA1C53"/>
    <w:rsid w:val="00FA1C97"/>
    <w:rsid w:val="00FA1C9A"/>
    <w:rsid w:val="00FA1F3A"/>
    <w:rsid w:val="00FA1F40"/>
    <w:rsid w:val="00FA2292"/>
    <w:rsid w:val="00FA22E1"/>
    <w:rsid w:val="00FA2449"/>
    <w:rsid w:val="00FA25C8"/>
    <w:rsid w:val="00FA26C2"/>
    <w:rsid w:val="00FA2768"/>
    <w:rsid w:val="00FA27B2"/>
    <w:rsid w:val="00FA27CC"/>
    <w:rsid w:val="00FA2874"/>
    <w:rsid w:val="00FA2AC8"/>
    <w:rsid w:val="00FA2E77"/>
    <w:rsid w:val="00FA2EAF"/>
    <w:rsid w:val="00FA314B"/>
    <w:rsid w:val="00FA32B6"/>
    <w:rsid w:val="00FA3317"/>
    <w:rsid w:val="00FA33C6"/>
    <w:rsid w:val="00FA3709"/>
    <w:rsid w:val="00FA3723"/>
    <w:rsid w:val="00FA375C"/>
    <w:rsid w:val="00FA37AA"/>
    <w:rsid w:val="00FA37E4"/>
    <w:rsid w:val="00FA3D5C"/>
    <w:rsid w:val="00FA3DCF"/>
    <w:rsid w:val="00FA3E5E"/>
    <w:rsid w:val="00FA3EAE"/>
    <w:rsid w:val="00FA3ED0"/>
    <w:rsid w:val="00FA3EF6"/>
    <w:rsid w:val="00FA40E3"/>
    <w:rsid w:val="00FA425F"/>
    <w:rsid w:val="00FA436B"/>
    <w:rsid w:val="00FA43C9"/>
    <w:rsid w:val="00FA4461"/>
    <w:rsid w:val="00FA44B9"/>
    <w:rsid w:val="00FA4545"/>
    <w:rsid w:val="00FA4709"/>
    <w:rsid w:val="00FA481B"/>
    <w:rsid w:val="00FA4846"/>
    <w:rsid w:val="00FA48A0"/>
    <w:rsid w:val="00FA4AF1"/>
    <w:rsid w:val="00FA4BB1"/>
    <w:rsid w:val="00FA4D25"/>
    <w:rsid w:val="00FA4F30"/>
    <w:rsid w:val="00FA54E8"/>
    <w:rsid w:val="00FA5510"/>
    <w:rsid w:val="00FA5576"/>
    <w:rsid w:val="00FA5685"/>
    <w:rsid w:val="00FA579E"/>
    <w:rsid w:val="00FA5932"/>
    <w:rsid w:val="00FA5AEB"/>
    <w:rsid w:val="00FA5C80"/>
    <w:rsid w:val="00FA5FA0"/>
    <w:rsid w:val="00FA61A4"/>
    <w:rsid w:val="00FA6410"/>
    <w:rsid w:val="00FA6552"/>
    <w:rsid w:val="00FA661C"/>
    <w:rsid w:val="00FA6B26"/>
    <w:rsid w:val="00FA6C33"/>
    <w:rsid w:val="00FA6D22"/>
    <w:rsid w:val="00FA6DA7"/>
    <w:rsid w:val="00FA6E6C"/>
    <w:rsid w:val="00FA6F7A"/>
    <w:rsid w:val="00FA732E"/>
    <w:rsid w:val="00FA74EE"/>
    <w:rsid w:val="00FA777A"/>
    <w:rsid w:val="00FA778A"/>
    <w:rsid w:val="00FA7816"/>
    <w:rsid w:val="00FA79F3"/>
    <w:rsid w:val="00FA7BAC"/>
    <w:rsid w:val="00FA7BF7"/>
    <w:rsid w:val="00FA7DD3"/>
    <w:rsid w:val="00FB0555"/>
    <w:rsid w:val="00FB0A59"/>
    <w:rsid w:val="00FB0BF5"/>
    <w:rsid w:val="00FB0C16"/>
    <w:rsid w:val="00FB0DF6"/>
    <w:rsid w:val="00FB0EB8"/>
    <w:rsid w:val="00FB0ECC"/>
    <w:rsid w:val="00FB0EE8"/>
    <w:rsid w:val="00FB0FCD"/>
    <w:rsid w:val="00FB10E5"/>
    <w:rsid w:val="00FB1167"/>
    <w:rsid w:val="00FB1473"/>
    <w:rsid w:val="00FB177B"/>
    <w:rsid w:val="00FB185B"/>
    <w:rsid w:val="00FB1903"/>
    <w:rsid w:val="00FB193B"/>
    <w:rsid w:val="00FB1A2D"/>
    <w:rsid w:val="00FB1A83"/>
    <w:rsid w:val="00FB1AD4"/>
    <w:rsid w:val="00FB1CC1"/>
    <w:rsid w:val="00FB1E22"/>
    <w:rsid w:val="00FB1F40"/>
    <w:rsid w:val="00FB24C5"/>
    <w:rsid w:val="00FB26DB"/>
    <w:rsid w:val="00FB29EE"/>
    <w:rsid w:val="00FB2A07"/>
    <w:rsid w:val="00FB2A15"/>
    <w:rsid w:val="00FB2B5D"/>
    <w:rsid w:val="00FB2B86"/>
    <w:rsid w:val="00FB2C65"/>
    <w:rsid w:val="00FB2CF4"/>
    <w:rsid w:val="00FB2E7B"/>
    <w:rsid w:val="00FB3090"/>
    <w:rsid w:val="00FB309F"/>
    <w:rsid w:val="00FB315E"/>
    <w:rsid w:val="00FB3351"/>
    <w:rsid w:val="00FB3448"/>
    <w:rsid w:val="00FB34D6"/>
    <w:rsid w:val="00FB3669"/>
    <w:rsid w:val="00FB36F4"/>
    <w:rsid w:val="00FB3A2F"/>
    <w:rsid w:val="00FB3AF7"/>
    <w:rsid w:val="00FB3C1E"/>
    <w:rsid w:val="00FB3D7E"/>
    <w:rsid w:val="00FB3DF7"/>
    <w:rsid w:val="00FB3F63"/>
    <w:rsid w:val="00FB4175"/>
    <w:rsid w:val="00FB419B"/>
    <w:rsid w:val="00FB41B8"/>
    <w:rsid w:val="00FB4235"/>
    <w:rsid w:val="00FB424B"/>
    <w:rsid w:val="00FB4360"/>
    <w:rsid w:val="00FB439D"/>
    <w:rsid w:val="00FB43A2"/>
    <w:rsid w:val="00FB4416"/>
    <w:rsid w:val="00FB4467"/>
    <w:rsid w:val="00FB45F6"/>
    <w:rsid w:val="00FB4685"/>
    <w:rsid w:val="00FB4693"/>
    <w:rsid w:val="00FB46A3"/>
    <w:rsid w:val="00FB4777"/>
    <w:rsid w:val="00FB490F"/>
    <w:rsid w:val="00FB4924"/>
    <w:rsid w:val="00FB4A6F"/>
    <w:rsid w:val="00FB4C7A"/>
    <w:rsid w:val="00FB4DBF"/>
    <w:rsid w:val="00FB4DD3"/>
    <w:rsid w:val="00FB4E50"/>
    <w:rsid w:val="00FB4FC3"/>
    <w:rsid w:val="00FB5076"/>
    <w:rsid w:val="00FB50A7"/>
    <w:rsid w:val="00FB5119"/>
    <w:rsid w:val="00FB51B3"/>
    <w:rsid w:val="00FB523C"/>
    <w:rsid w:val="00FB5262"/>
    <w:rsid w:val="00FB5418"/>
    <w:rsid w:val="00FB5665"/>
    <w:rsid w:val="00FB579B"/>
    <w:rsid w:val="00FB59C4"/>
    <w:rsid w:val="00FB5A08"/>
    <w:rsid w:val="00FB5B61"/>
    <w:rsid w:val="00FB5CD6"/>
    <w:rsid w:val="00FB5D0B"/>
    <w:rsid w:val="00FB5DA9"/>
    <w:rsid w:val="00FB5E61"/>
    <w:rsid w:val="00FB5F82"/>
    <w:rsid w:val="00FB6000"/>
    <w:rsid w:val="00FB63D2"/>
    <w:rsid w:val="00FB65E0"/>
    <w:rsid w:val="00FB6872"/>
    <w:rsid w:val="00FB6882"/>
    <w:rsid w:val="00FB68B1"/>
    <w:rsid w:val="00FB68BC"/>
    <w:rsid w:val="00FB6934"/>
    <w:rsid w:val="00FB6A98"/>
    <w:rsid w:val="00FB6AAE"/>
    <w:rsid w:val="00FB6B4A"/>
    <w:rsid w:val="00FB6E20"/>
    <w:rsid w:val="00FB6E4A"/>
    <w:rsid w:val="00FB6F8B"/>
    <w:rsid w:val="00FB7071"/>
    <w:rsid w:val="00FB71CB"/>
    <w:rsid w:val="00FB721C"/>
    <w:rsid w:val="00FB72B8"/>
    <w:rsid w:val="00FB732E"/>
    <w:rsid w:val="00FB7540"/>
    <w:rsid w:val="00FB7873"/>
    <w:rsid w:val="00FB787D"/>
    <w:rsid w:val="00FB7986"/>
    <w:rsid w:val="00FB7CFB"/>
    <w:rsid w:val="00FB7DBF"/>
    <w:rsid w:val="00FB7E60"/>
    <w:rsid w:val="00FB7EF0"/>
    <w:rsid w:val="00FB7F36"/>
    <w:rsid w:val="00FB7F84"/>
    <w:rsid w:val="00FC003E"/>
    <w:rsid w:val="00FC01F5"/>
    <w:rsid w:val="00FC02D2"/>
    <w:rsid w:val="00FC0334"/>
    <w:rsid w:val="00FC0438"/>
    <w:rsid w:val="00FC0461"/>
    <w:rsid w:val="00FC0471"/>
    <w:rsid w:val="00FC05F5"/>
    <w:rsid w:val="00FC060B"/>
    <w:rsid w:val="00FC088F"/>
    <w:rsid w:val="00FC08DE"/>
    <w:rsid w:val="00FC08E6"/>
    <w:rsid w:val="00FC0985"/>
    <w:rsid w:val="00FC0A70"/>
    <w:rsid w:val="00FC0B9A"/>
    <w:rsid w:val="00FC0CFA"/>
    <w:rsid w:val="00FC1489"/>
    <w:rsid w:val="00FC14BA"/>
    <w:rsid w:val="00FC14C6"/>
    <w:rsid w:val="00FC175A"/>
    <w:rsid w:val="00FC1774"/>
    <w:rsid w:val="00FC1832"/>
    <w:rsid w:val="00FC1DA2"/>
    <w:rsid w:val="00FC1F4A"/>
    <w:rsid w:val="00FC1FCA"/>
    <w:rsid w:val="00FC2125"/>
    <w:rsid w:val="00FC2143"/>
    <w:rsid w:val="00FC215C"/>
    <w:rsid w:val="00FC223A"/>
    <w:rsid w:val="00FC2427"/>
    <w:rsid w:val="00FC24B7"/>
    <w:rsid w:val="00FC267E"/>
    <w:rsid w:val="00FC2805"/>
    <w:rsid w:val="00FC2AB8"/>
    <w:rsid w:val="00FC2F61"/>
    <w:rsid w:val="00FC3009"/>
    <w:rsid w:val="00FC31AB"/>
    <w:rsid w:val="00FC3602"/>
    <w:rsid w:val="00FC381A"/>
    <w:rsid w:val="00FC3B81"/>
    <w:rsid w:val="00FC3E31"/>
    <w:rsid w:val="00FC3FD8"/>
    <w:rsid w:val="00FC40A5"/>
    <w:rsid w:val="00FC4117"/>
    <w:rsid w:val="00FC415B"/>
    <w:rsid w:val="00FC41AC"/>
    <w:rsid w:val="00FC437A"/>
    <w:rsid w:val="00FC44E1"/>
    <w:rsid w:val="00FC4596"/>
    <w:rsid w:val="00FC45E8"/>
    <w:rsid w:val="00FC4690"/>
    <w:rsid w:val="00FC4720"/>
    <w:rsid w:val="00FC4810"/>
    <w:rsid w:val="00FC4A48"/>
    <w:rsid w:val="00FC4C6E"/>
    <w:rsid w:val="00FC4C89"/>
    <w:rsid w:val="00FC4CB5"/>
    <w:rsid w:val="00FC4E21"/>
    <w:rsid w:val="00FC5478"/>
    <w:rsid w:val="00FC57BE"/>
    <w:rsid w:val="00FC5847"/>
    <w:rsid w:val="00FC58B2"/>
    <w:rsid w:val="00FC5976"/>
    <w:rsid w:val="00FC59E0"/>
    <w:rsid w:val="00FC59FF"/>
    <w:rsid w:val="00FC5ADA"/>
    <w:rsid w:val="00FC5B62"/>
    <w:rsid w:val="00FC5C95"/>
    <w:rsid w:val="00FC5D93"/>
    <w:rsid w:val="00FC5D9B"/>
    <w:rsid w:val="00FC5E8A"/>
    <w:rsid w:val="00FC6058"/>
    <w:rsid w:val="00FC644E"/>
    <w:rsid w:val="00FC64D0"/>
    <w:rsid w:val="00FC650B"/>
    <w:rsid w:val="00FC67FF"/>
    <w:rsid w:val="00FC693F"/>
    <w:rsid w:val="00FC6946"/>
    <w:rsid w:val="00FC6C31"/>
    <w:rsid w:val="00FC6CF3"/>
    <w:rsid w:val="00FC6D04"/>
    <w:rsid w:val="00FC6FD0"/>
    <w:rsid w:val="00FC70EA"/>
    <w:rsid w:val="00FC720E"/>
    <w:rsid w:val="00FC72B2"/>
    <w:rsid w:val="00FC731E"/>
    <w:rsid w:val="00FC746A"/>
    <w:rsid w:val="00FC74E4"/>
    <w:rsid w:val="00FC7884"/>
    <w:rsid w:val="00FC7BC8"/>
    <w:rsid w:val="00FC7C2A"/>
    <w:rsid w:val="00FC7DB3"/>
    <w:rsid w:val="00FD01A2"/>
    <w:rsid w:val="00FD0231"/>
    <w:rsid w:val="00FD024C"/>
    <w:rsid w:val="00FD0342"/>
    <w:rsid w:val="00FD06FB"/>
    <w:rsid w:val="00FD0A52"/>
    <w:rsid w:val="00FD0ACB"/>
    <w:rsid w:val="00FD0B99"/>
    <w:rsid w:val="00FD0C01"/>
    <w:rsid w:val="00FD0D82"/>
    <w:rsid w:val="00FD1359"/>
    <w:rsid w:val="00FD144B"/>
    <w:rsid w:val="00FD157D"/>
    <w:rsid w:val="00FD16E9"/>
    <w:rsid w:val="00FD17ED"/>
    <w:rsid w:val="00FD1849"/>
    <w:rsid w:val="00FD1881"/>
    <w:rsid w:val="00FD198D"/>
    <w:rsid w:val="00FD1A4F"/>
    <w:rsid w:val="00FD1B72"/>
    <w:rsid w:val="00FD1D9A"/>
    <w:rsid w:val="00FD1F3C"/>
    <w:rsid w:val="00FD2201"/>
    <w:rsid w:val="00FD24A4"/>
    <w:rsid w:val="00FD2524"/>
    <w:rsid w:val="00FD2724"/>
    <w:rsid w:val="00FD2783"/>
    <w:rsid w:val="00FD2800"/>
    <w:rsid w:val="00FD297E"/>
    <w:rsid w:val="00FD2BF3"/>
    <w:rsid w:val="00FD2E04"/>
    <w:rsid w:val="00FD2F6A"/>
    <w:rsid w:val="00FD2F71"/>
    <w:rsid w:val="00FD2FBD"/>
    <w:rsid w:val="00FD307E"/>
    <w:rsid w:val="00FD3128"/>
    <w:rsid w:val="00FD31C1"/>
    <w:rsid w:val="00FD31F3"/>
    <w:rsid w:val="00FD3323"/>
    <w:rsid w:val="00FD3350"/>
    <w:rsid w:val="00FD3472"/>
    <w:rsid w:val="00FD34D9"/>
    <w:rsid w:val="00FD36D9"/>
    <w:rsid w:val="00FD388F"/>
    <w:rsid w:val="00FD3A0E"/>
    <w:rsid w:val="00FD3A58"/>
    <w:rsid w:val="00FD3A8D"/>
    <w:rsid w:val="00FD3DA2"/>
    <w:rsid w:val="00FD3EF4"/>
    <w:rsid w:val="00FD40D6"/>
    <w:rsid w:val="00FD4391"/>
    <w:rsid w:val="00FD4488"/>
    <w:rsid w:val="00FD4565"/>
    <w:rsid w:val="00FD46FD"/>
    <w:rsid w:val="00FD48E8"/>
    <w:rsid w:val="00FD49FF"/>
    <w:rsid w:val="00FD4A6B"/>
    <w:rsid w:val="00FD4A76"/>
    <w:rsid w:val="00FD4C73"/>
    <w:rsid w:val="00FD4D54"/>
    <w:rsid w:val="00FD5151"/>
    <w:rsid w:val="00FD5372"/>
    <w:rsid w:val="00FD5434"/>
    <w:rsid w:val="00FD5468"/>
    <w:rsid w:val="00FD55D4"/>
    <w:rsid w:val="00FD55DB"/>
    <w:rsid w:val="00FD569C"/>
    <w:rsid w:val="00FD5AD9"/>
    <w:rsid w:val="00FD5B59"/>
    <w:rsid w:val="00FD5DFF"/>
    <w:rsid w:val="00FD5EE4"/>
    <w:rsid w:val="00FD609F"/>
    <w:rsid w:val="00FD61DD"/>
    <w:rsid w:val="00FD6362"/>
    <w:rsid w:val="00FD63BB"/>
    <w:rsid w:val="00FD6444"/>
    <w:rsid w:val="00FD65BD"/>
    <w:rsid w:val="00FD6696"/>
    <w:rsid w:val="00FD671A"/>
    <w:rsid w:val="00FD68AB"/>
    <w:rsid w:val="00FD6952"/>
    <w:rsid w:val="00FD6BE6"/>
    <w:rsid w:val="00FD6CF3"/>
    <w:rsid w:val="00FD6DDD"/>
    <w:rsid w:val="00FD6E22"/>
    <w:rsid w:val="00FD6EA5"/>
    <w:rsid w:val="00FD6EAD"/>
    <w:rsid w:val="00FD6F34"/>
    <w:rsid w:val="00FD7089"/>
    <w:rsid w:val="00FD70C2"/>
    <w:rsid w:val="00FD7441"/>
    <w:rsid w:val="00FD76DC"/>
    <w:rsid w:val="00FD77DD"/>
    <w:rsid w:val="00FD79A9"/>
    <w:rsid w:val="00FD7ACB"/>
    <w:rsid w:val="00FD7BE8"/>
    <w:rsid w:val="00FD7BEE"/>
    <w:rsid w:val="00FD7C23"/>
    <w:rsid w:val="00FD7D51"/>
    <w:rsid w:val="00FD7E65"/>
    <w:rsid w:val="00FD7E97"/>
    <w:rsid w:val="00FD7EC9"/>
    <w:rsid w:val="00FDABB1"/>
    <w:rsid w:val="00FE006A"/>
    <w:rsid w:val="00FE011B"/>
    <w:rsid w:val="00FE017E"/>
    <w:rsid w:val="00FE0195"/>
    <w:rsid w:val="00FE02D5"/>
    <w:rsid w:val="00FE0338"/>
    <w:rsid w:val="00FE0357"/>
    <w:rsid w:val="00FE04E0"/>
    <w:rsid w:val="00FE063D"/>
    <w:rsid w:val="00FE090A"/>
    <w:rsid w:val="00FE0AED"/>
    <w:rsid w:val="00FE0CCA"/>
    <w:rsid w:val="00FE0F5E"/>
    <w:rsid w:val="00FE122E"/>
    <w:rsid w:val="00FE13D3"/>
    <w:rsid w:val="00FE145F"/>
    <w:rsid w:val="00FE18E6"/>
    <w:rsid w:val="00FE190C"/>
    <w:rsid w:val="00FE19C3"/>
    <w:rsid w:val="00FE1B76"/>
    <w:rsid w:val="00FE1E5E"/>
    <w:rsid w:val="00FE201A"/>
    <w:rsid w:val="00FE22AD"/>
    <w:rsid w:val="00FE22BB"/>
    <w:rsid w:val="00FE2355"/>
    <w:rsid w:val="00FE2426"/>
    <w:rsid w:val="00FE25C6"/>
    <w:rsid w:val="00FE25EB"/>
    <w:rsid w:val="00FE261A"/>
    <w:rsid w:val="00FE27F2"/>
    <w:rsid w:val="00FE2860"/>
    <w:rsid w:val="00FE289C"/>
    <w:rsid w:val="00FE28AD"/>
    <w:rsid w:val="00FE28C8"/>
    <w:rsid w:val="00FE28EB"/>
    <w:rsid w:val="00FE2B59"/>
    <w:rsid w:val="00FE2B93"/>
    <w:rsid w:val="00FE2BE7"/>
    <w:rsid w:val="00FE2C5D"/>
    <w:rsid w:val="00FE2D94"/>
    <w:rsid w:val="00FE2DA9"/>
    <w:rsid w:val="00FE2FB2"/>
    <w:rsid w:val="00FE2FC2"/>
    <w:rsid w:val="00FE3058"/>
    <w:rsid w:val="00FE3082"/>
    <w:rsid w:val="00FE3102"/>
    <w:rsid w:val="00FE32DA"/>
    <w:rsid w:val="00FE36F9"/>
    <w:rsid w:val="00FE398D"/>
    <w:rsid w:val="00FE3B0F"/>
    <w:rsid w:val="00FE3D1C"/>
    <w:rsid w:val="00FE413B"/>
    <w:rsid w:val="00FE4140"/>
    <w:rsid w:val="00FE41CB"/>
    <w:rsid w:val="00FE4207"/>
    <w:rsid w:val="00FE4352"/>
    <w:rsid w:val="00FE4366"/>
    <w:rsid w:val="00FE445F"/>
    <w:rsid w:val="00FE4625"/>
    <w:rsid w:val="00FE474F"/>
    <w:rsid w:val="00FE4770"/>
    <w:rsid w:val="00FE48AB"/>
    <w:rsid w:val="00FE4A7A"/>
    <w:rsid w:val="00FE4B7F"/>
    <w:rsid w:val="00FE4CF3"/>
    <w:rsid w:val="00FE4D36"/>
    <w:rsid w:val="00FE4E7D"/>
    <w:rsid w:val="00FE5021"/>
    <w:rsid w:val="00FE50FB"/>
    <w:rsid w:val="00FE528C"/>
    <w:rsid w:val="00FE537E"/>
    <w:rsid w:val="00FE566C"/>
    <w:rsid w:val="00FE58CF"/>
    <w:rsid w:val="00FE5B62"/>
    <w:rsid w:val="00FE5C30"/>
    <w:rsid w:val="00FE5C6F"/>
    <w:rsid w:val="00FE5C77"/>
    <w:rsid w:val="00FE5C9F"/>
    <w:rsid w:val="00FE5CD3"/>
    <w:rsid w:val="00FE5CF7"/>
    <w:rsid w:val="00FE5D8F"/>
    <w:rsid w:val="00FE5EA7"/>
    <w:rsid w:val="00FE5EEF"/>
    <w:rsid w:val="00FE60A8"/>
    <w:rsid w:val="00FE619A"/>
    <w:rsid w:val="00FE620D"/>
    <w:rsid w:val="00FE6311"/>
    <w:rsid w:val="00FE6386"/>
    <w:rsid w:val="00FE6461"/>
    <w:rsid w:val="00FE655B"/>
    <w:rsid w:val="00FE665E"/>
    <w:rsid w:val="00FE6738"/>
    <w:rsid w:val="00FE6843"/>
    <w:rsid w:val="00FE6885"/>
    <w:rsid w:val="00FE68C1"/>
    <w:rsid w:val="00FE696E"/>
    <w:rsid w:val="00FE6B74"/>
    <w:rsid w:val="00FE6BD6"/>
    <w:rsid w:val="00FE6D23"/>
    <w:rsid w:val="00FE6D87"/>
    <w:rsid w:val="00FE6FAB"/>
    <w:rsid w:val="00FE6FD8"/>
    <w:rsid w:val="00FE74CF"/>
    <w:rsid w:val="00FE7611"/>
    <w:rsid w:val="00FE7778"/>
    <w:rsid w:val="00FE7869"/>
    <w:rsid w:val="00FE7A7F"/>
    <w:rsid w:val="00FE7B31"/>
    <w:rsid w:val="00FE7B90"/>
    <w:rsid w:val="00FE7D43"/>
    <w:rsid w:val="00FE7EAF"/>
    <w:rsid w:val="00FF01A8"/>
    <w:rsid w:val="00FF01B7"/>
    <w:rsid w:val="00FF024E"/>
    <w:rsid w:val="00FF02AF"/>
    <w:rsid w:val="00FF04BD"/>
    <w:rsid w:val="00FF05D4"/>
    <w:rsid w:val="00FF0854"/>
    <w:rsid w:val="00FF0880"/>
    <w:rsid w:val="00FF08EB"/>
    <w:rsid w:val="00FF09A8"/>
    <w:rsid w:val="00FF0B99"/>
    <w:rsid w:val="00FF0BB3"/>
    <w:rsid w:val="00FF0CCC"/>
    <w:rsid w:val="00FF0CFF"/>
    <w:rsid w:val="00FF0D43"/>
    <w:rsid w:val="00FF0D84"/>
    <w:rsid w:val="00FF0ECC"/>
    <w:rsid w:val="00FF1114"/>
    <w:rsid w:val="00FF12AC"/>
    <w:rsid w:val="00FF12BF"/>
    <w:rsid w:val="00FF133F"/>
    <w:rsid w:val="00FF134B"/>
    <w:rsid w:val="00FF13F4"/>
    <w:rsid w:val="00FF14A3"/>
    <w:rsid w:val="00FF18ED"/>
    <w:rsid w:val="00FF1906"/>
    <w:rsid w:val="00FF1954"/>
    <w:rsid w:val="00FF1995"/>
    <w:rsid w:val="00FF217A"/>
    <w:rsid w:val="00FF21BD"/>
    <w:rsid w:val="00FF2232"/>
    <w:rsid w:val="00FF2466"/>
    <w:rsid w:val="00FF2616"/>
    <w:rsid w:val="00FF2805"/>
    <w:rsid w:val="00FF280D"/>
    <w:rsid w:val="00FF284A"/>
    <w:rsid w:val="00FF2AC5"/>
    <w:rsid w:val="00FF2CC4"/>
    <w:rsid w:val="00FF2CDF"/>
    <w:rsid w:val="00FF2D2F"/>
    <w:rsid w:val="00FF3050"/>
    <w:rsid w:val="00FF310E"/>
    <w:rsid w:val="00FF339B"/>
    <w:rsid w:val="00FF34D5"/>
    <w:rsid w:val="00FF357D"/>
    <w:rsid w:val="00FF3692"/>
    <w:rsid w:val="00FF3736"/>
    <w:rsid w:val="00FF37CD"/>
    <w:rsid w:val="00FF37DF"/>
    <w:rsid w:val="00FF380D"/>
    <w:rsid w:val="00FF3A3B"/>
    <w:rsid w:val="00FF3B07"/>
    <w:rsid w:val="00FF3FAB"/>
    <w:rsid w:val="00FF422F"/>
    <w:rsid w:val="00FF4246"/>
    <w:rsid w:val="00FF4565"/>
    <w:rsid w:val="00FF4570"/>
    <w:rsid w:val="00FF45F0"/>
    <w:rsid w:val="00FF464F"/>
    <w:rsid w:val="00FF4670"/>
    <w:rsid w:val="00FF47C9"/>
    <w:rsid w:val="00FF4898"/>
    <w:rsid w:val="00FF4A1B"/>
    <w:rsid w:val="00FF4B44"/>
    <w:rsid w:val="00FF4CD1"/>
    <w:rsid w:val="00FF4E13"/>
    <w:rsid w:val="00FF537D"/>
    <w:rsid w:val="00FF53BA"/>
    <w:rsid w:val="00FF55DD"/>
    <w:rsid w:val="00FF565D"/>
    <w:rsid w:val="00FF5736"/>
    <w:rsid w:val="00FF5782"/>
    <w:rsid w:val="00FF57A0"/>
    <w:rsid w:val="00FF5858"/>
    <w:rsid w:val="00FF5935"/>
    <w:rsid w:val="00FF593E"/>
    <w:rsid w:val="00FF59AA"/>
    <w:rsid w:val="00FF5C4C"/>
    <w:rsid w:val="00FF5E12"/>
    <w:rsid w:val="00FF5E81"/>
    <w:rsid w:val="00FF5FEB"/>
    <w:rsid w:val="00FF6243"/>
    <w:rsid w:val="00FF636F"/>
    <w:rsid w:val="00FF638A"/>
    <w:rsid w:val="00FF6443"/>
    <w:rsid w:val="00FF6493"/>
    <w:rsid w:val="00FF697D"/>
    <w:rsid w:val="00FF6980"/>
    <w:rsid w:val="00FF69CD"/>
    <w:rsid w:val="00FF69F0"/>
    <w:rsid w:val="00FF6A16"/>
    <w:rsid w:val="00FF6B48"/>
    <w:rsid w:val="00FF6C36"/>
    <w:rsid w:val="00FF6F54"/>
    <w:rsid w:val="00FF6F6D"/>
    <w:rsid w:val="00FF70DC"/>
    <w:rsid w:val="00FF7181"/>
    <w:rsid w:val="00FF72F4"/>
    <w:rsid w:val="00FF73B2"/>
    <w:rsid w:val="00FF73FE"/>
    <w:rsid w:val="00FF7432"/>
    <w:rsid w:val="00FF746A"/>
    <w:rsid w:val="00FF77E8"/>
    <w:rsid w:val="00FF7AB7"/>
    <w:rsid w:val="00FF7ACE"/>
    <w:rsid w:val="00FF7AED"/>
    <w:rsid w:val="00FF7BB4"/>
    <w:rsid w:val="00FF7CE3"/>
    <w:rsid w:val="00FF7CE6"/>
    <w:rsid w:val="00FF7D8B"/>
    <w:rsid w:val="01033DAB"/>
    <w:rsid w:val="0103BBE5"/>
    <w:rsid w:val="0108AC41"/>
    <w:rsid w:val="010CF251"/>
    <w:rsid w:val="01121AFA"/>
    <w:rsid w:val="01127500"/>
    <w:rsid w:val="01141532"/>
    <w:rsid w:val="0118CF07"/>
    <w:rsid w:val="011BCE37"/>
    <w:rsid w:val="01250E63"/>
    <w:rsid w:val="01251022"/>
    <w:rsid w:val="01362EA3"/>
    <w:rsid w:val="0143FA5A"/>
    <w:rsid w:val="014BF470"/>
    <w:rsid w:val="014C7E1F"/>
    <w:rsid w:val="014F9016"/>
    <w:rsid w:val="015B3017"/>
    <w:rsid w:val="0161390F"/>
    <w:rsid w:val="0163C29E"/>
    <w:rsid w:val="0166D8CA"/>
    <w:rsid w:val="01670DE2"/>
    <w:rsid w:val="01698352"/>
    <w:rsid w:val="017348B3"/>
    <w:rsid w:val="01895D05"/>
    <w:rsid w:val="01994BA7"/>
    <w:rsid w:val="019F5B89"/>
    <w:rsid w:val="01A47B4C"/>
    <w:rsid w:val="01AD50CB"/>
    <w:rsid w:val="01ADF1C9"/>
    <w:rsid w:val="01AFD9CD"/>
    <w:rsid w:val="01BBBC2B"/>
    <w:rsid w:val="01C3A470"/>
    <w:rsid w:val="01C9C066"/>
    <w:rsid w:val="01CDB31F"/>
    <w:rsid w:val="01DABE68"/>
    <w:rsid w:val="01DEA18E"/>
    <w:rsid w:val="01DFFAF8"/>
    <w:rsid w:val="01F06434"/>
    <w:rsid w:val="01F9442C"/>
    <w:rsid w:val="020823B8"/>
    <w:rsid w:val="020A0EFD"/>
    <w:rsid w:val="020C581F"/>
    <w:rsid w:val="021D3DE2"/>
    <w:rsid w:val="022AFAEA"/>
    <w:rsid w:val="02449B64"/>
    <w:rsid w:val="024771F2"/>
    <w:rsid w:val="024C4C9D"/>
    <w:rsid w:val="024DDFE9"/>
    <w:rsid w:val="02512D90"/>
    <w:rsid w:val="02556EB1"/>
    <w:rsid w:val="0255E5F3"/>
    <w:rsid w:val="0256B96D"/>
    <w:rsid w:val="025799B6"/>
    <w:rsid w:val="025C7EF1"/>
    <w:rsid w:val="025E4491"/>
    <w:rsid w:val="02689443"/>
    <w:rsid w:val="02701D9D"/>
    <w:rsid w:val="02722911"/>
    <w:rsid w:val="027F7E7F"/>
    <w:rsid w:val="027FDA39"/>
    <w:rsid w:val="02806168"/>
    <w:rsid w:val="0282EDD8"/>
    <w:rsid w:val="02838C9E"/>
    <w:rsid w:val="028EC2DE"/>
    <w:rsid w:val="029AE15A"/>
    <w:rsid w:val="029CF1A1"/>
    <w:rsid w:val="02A6F719"/>
    <w:rsid w:val="02A955C4"/>
    <w:rsid w:val="02AA634A"/>
    <w:rsid w:val="02AD98EE"/>
    <w:rsid w:val="02B1A547"/>
    <w:rsid w:val="02B6929D"/>
    <w:rsid w:val="02B6F1BF"/>
    <w:rsid w:val="02C5FE7D"/>
    <w:rsid w:val="02C617EB"/>
    <w:rsid w:val="02CFACC2"/>
    <w:rsid w:val="02D0C97D"/>
    <w:rsid w:val="02D1B761"/>
    <w:rsid w:val="02D1BB49"/>
    <w:rsid w:val="02D5BB16"/>
    <w:rsid w:val="02D9FD81"/>
    <w:rsid w:val="02DB8677"/>
    <w:rsid w:val="02E0584A"/>
    <w:rsid w:val="02F978B1"/>
    <w:rsid w:val="02FB0F8D"/>
    <w:rsid w:val="030C1C91"/>
    <w:rsid w:val="030DF5C1"/>
    <w:rsid w:val="031BA80B"/>
    <w:rsid w:val="0336B712"/>
    <w:rsid w:val="033DCC72"/>
    <w:rsid w:val="0348EC49"/>
    <w:rsid w:val="034ADFA8"/>
    <w:rsid w:val="034ED5F9"/>
    <w:rsid w:val="03677D17"/>
    <w:rsid w:val="0368B6BB"/>
    <w:rsid w:val="036CABC4"/>
    <w:rsid w:val="0370BACC"/>
    <w:rsid w:val="03746C90"/>
    <w:rsid w:val="03776939"/>
    <w:rsid w:val="037B2D42"/>
    <w:rsid w:val="0385E7AD"/>
    <w:rsid w:val="0393787B"/>
    <w:rsid w:val="0398A9D8"/>
    <w:rsid w:val="039D8E4B"/>
    <w:rsid w:val="039DCF23"/>
    <w:rsid w:val="03A0267E"/>
    <w:rsid w:val="03A2C584"/>
    <w:rsid w:val="03A70930"/>
    <w:rsid w:val="03B2482A"/>
    <w:rsid w:val="03BC4ECC"/>
    <w:rsid w:val="03BD208C"/>
    <w:rsid w:val="03BE2A97"/>
    <w:rsid w:val="03CFDDBE"/>
    <w:rsid w:val="03D744EC"/>
    <w:rsid w:val="03DB8B6B"/>
    <w:rsid w:val="03E33B27"/>
    <w:rsid w:val="03E8AB3B"/>
    <w:rsid w:val="03EFB93C"/>
    <w:rsid w:val="03F39E20"/>
    <w:rsid w:val="03F488C6"/>
    <w:rsid w:val="03F4B548"/>
    <w:rsid w:val="03F7C80A"/>
    <w:rsid w:val="04036F63"/>
    <w:rsid w:val="04052261"/>
    <w:rsid w:val="0405CF40"/>
    <w:rsid w:val="040921C8"/>
    <w:rsid w:val="041269E6"/>
    <w:rsid w:val="041408D7"/>
    <w:rsid w:val="041B203F"/>
    <w:rsid w:val="041BCCCF"/>
    <w:rsid w:val="041D86A9"/>
    <w:rsid w:val="042670AF"/>
    <w:rsid w:val="043731B9"/>
    <w:rsid w:val="0443693C"/>
    <w:rsid w:val="0443AA08"/>
    <w:rsid w:val="0448575B"/>
    <w:rsid w:val="044CE477"/>
    <w:rsid w:val="0451F75F"/>
    <w:rsid w:val="045917A9"/>
    <w:rsid w:val="045CF638"/>
    <w:rsid w:val="045D8B75"/>
    <w:rsid w:val="0469929D"/>
    <w:rsid w:val="0470584E"/>
    <w:rsid w:val="04750617"/>
    <w:rsid w:val="04755CEE"/>
    <w:rsid w:val="0477DE37"/>
    <w:rsid w:val="04877731"/>
    <w:rsid w:val="048E8C35"/>
    <w:rsid w:val="04913003"/>
    <w:rsid w:val="04963A3F"/>
    <w:rsid w:val="0497C0D2"/>
    <w:rsid w:val="049A2047"/>
    <w:rsid w:val="04A0D2DF"/>
    <w:rsid w:val="04A8C456"/>
    <w:rsid w:val="04A8F903"/>
    <w:rsid w:val="04B4F6BE"/>
    <w:rsid w:val="04B53961"/>
    <w:rsid w:val="04C7633B"/>
    <w:rsid w:val="04C8146F"/>
    <w:rsid w:val="04C9B9F6"/>
    <w:rsid w:val="04D8E314"/>
    <w:rsid w:val="04D90E74"/>
    <w:rsid w:val="04DA7A94"/>
    <w:rsid w:val="04DBE6A0"/>
    <w:rsid w:val="04E100D8"/>
    <w:rsid w:val="04E49ED6"/>
    <w:rsid w:val="04F8C640"/>
    <w:rsid w:val="04FA3DA1"/>
    <w:rsid w:val="05027F0D"/>
    <w:rsid w:val="050680A9"/>
    <w:rsid w:val="05107CD5"/>
    <w:rsid w:val="0529639E"/>
    <w:rsid w:val="052CFDC5"/>
    <w:rsid w:val="053E4D08"/>
    <w:rsid w:val="0545DB04"/>
    <w:rsid w:val="05485254"/>
    <w:rsid w:val="054E641F"/>
    <w:rsid w:val="05501D2D"/>
    <w:rsid w:val="0552B745"/>
    <w:rsid w:val="055FBB97"/>
    <w:rsid w:val="0566FDEB"/>
    <w:rsid w:val="056ACE14"/>
    <w:rsid w:val="056C4077"/>
    <w:rsid w:val="056C6F8D"/>
    <w:rsid w:val="056E1017"/>
    <w:rsid w:val="05702427"/>
    <w:rsid w:val="0579E8D9"/>
    <w:rsid w:val="057AD451"/>
    <w:rsid w:val="057C9D04"/>
    <w:rsid w:val="0580ED44"/>
    <w:rsid w:val="0581C5E1"/>
    <w:rsid w:val="058923E2"/>
    <w:rsid w:val="059E9417"/>
    <w:rsid w:val="05A7B659"/>
    <w:rsid w:val="05A935DD"/>
    <w:rsid w:val="05AE100D"/>
    <w:rsid w:val="05C5D240"/>
    <w:rsid w:val="05C90699"/>
    <w:rsid w:val="05CF2727"/>
    <w:rsid w:val="05D170C0"/>
    <w:rsid w:val="05D2CC36"/>
    <w:rsid w:val="05E005C5"/>
    <w:rsid w:val="05E641FA"/>
    <w:rsid w:val="05EE1470"/>
    <w:rsid w:val="05F11C96"/>
    <w:rsid w:val="05F3F7AD"/>
    <w:rsid w:val="0604F3FB"/>
    <w:rsid w:val="0609B3E8"/>
    <w:rsid w:val="06289D22"/>
    <w:rsid w:val="062D8ACC"/>
    <w:rsid w:val="0635D86B"/>
    <w:rsid w:val="0647DCAE"/>
    <w:rsid w:val="064BE51D"/>
    <w:rsid w:val="0652689E"/>
    <w:rsid w:val="06632BDA"/>
    <w:rsid w:val="0667ADBD"/>
    <w:rsid w:val="067510AE"/>
    <w:rsid w:val="0677892B"/>
    <w:rsid w:val="067A3724"/>
    <w:rsid w:val="067B6EC1"/>
    <w:rsid w:val="067BF6A0"/>
    <w:rsid w:val="067E6984"/>
    <w:rsid w:val="068DB638"/>
    <w:rsid w:val="068F5961"/>
    <w:rsid w:val="0690D07B"/>
    <w:rsid w:val="0692A2E5"/>
    <w:rsid w:val="069ABC10"/>
    <w:rsid w:val="069DBE3E"/>
    <w:rsid w:val="06A37C8F"/>
    <w:rsid w:val="06A4237A"/>
    <w:rsid w:val="06B5AA6B"/>
    <w:rsid w:val="06B76255"/>
    <w:rsid w:val="06BB7295"/>
    <w:rsid w:val="06C0904F"/>
    <w:rsid w:val="06CEA16C"/>
    <w:rsid w:val="06D45F84"/>
    <w:rsid w:val="06D5B05E"/>
    <w:rsid w:val="06D7A049"/>
    <w:rsid w:val="06E25495"/>
    <w:rsid w:val="06EA40C8"/>
    <w:rsid w:val="06EB6E11"/>
    <w:rsid w:val="06ED287B"/>
    <w:rsid w:val="07108A3F"/>
    <w:rsid w:val="0710AFB6"/>
    <w:rsid w:val="0717C55F"/>
    <w:rsid w:val="071D6463"/>
    <w:rsid w:val="07237DCC"/>
    <w:rsid w:val="072A1BA8"/>
    <w:rsid w:val="072DAA69"/>
    <w:rsid w:val="072EEA3F"/>
    <w:rsid w:val="073100C1"/>
    <w:rsid w:val="07352917"/>
    <w:rsid w:val="073BC46F"/>
    <w:rsid w:val="0749E316"/>
    <w:rsid w:val="074B8185"/>
    <w:rsid w:val="074C68B7"/>
    <w:rsid w:val="074E91F0"/>
    <w:rsid w:val="074EBBF3"/>
    <w:rsid w:val="075477EB"/>
    <w:rsid w:val="0759992B"/>
    <w:rsid w:val="07625F28"/>
    <w:rsid w:val="07651643"/>
    <w:rsid w:val="076D80E0"/>
    <w:rsid w:val="07736732"/>
    <w:rsid w:val="07756C7A"/>
    <w:rsid w:val="077D35F9"/>
    <w:rsid w:val="077F568F"/>
    <w:rsid w:val="0787CCC1"/>
    <w:rsid w:val="078D2E10"/>
    <w:rsid w:val="078DF6CC"/>
    <w:rsid w:val="078E0354"/>
    <w:rsid w:val="0790AAC9"/>
    <w:rsid w:val="0793F896"/>
    <w:rsid w:val="07A1FF39"/>
    <w:rsid w:val="07A4E2E3"/>
    <w:rsid w:val="07B9A642"/>
    <w:rsid w:val="07BFE25C"/>
    <w:rsid w:val="07C3128A"/>
    <w:rsid w:val="07C55BAD"/>
    <w:rsid w:val="07C86D45"/>
    <w:rsid w:val="07CB5B92"/>
    <w:rsid w:val="07D1751D"/>
    <w:rsid w:val="07D3DEEC"/>
    <w:rsid w:val="07E4775F"/>
    <w:rsid w:val="07E6110A"/>
    <w:rsid w:val="07F01F5A"/>
    <w:rsid w:val="07F4F30A"/>
    <w:rsid w:val="07F94619"/>
    <w:rsid w:val="08068468"/>
    <w:rsid w:val="080EC186"/>
    <w:rsid w:val="081268CC"/>
    <w:rsid w:val="08138FB9"/>
    <w:rsid w:val="0814C3F3"/>
    <w:rsid w:val="08171024"/>
    <w:rsid w:val="08223A60"/>
    <w:rsid w:val="08229FA9"/>
    <w:rsid w:val="08265462"/>
    <w:rsid w:val="08327318"/>
    <w:rsid w:val="08340713"/>
    <w:rsid w:val="083E09F1"/>
    <w:rsid w:val="083EB983"/>
    <w:rsid w:val="08403942"/>
    <w:rsid w:val="084059B4"/>
    <w:rsid w:val="08473104"/>
    <w:rsid w:val="0849B312"/>
    <w:rsid w:val="0850D9B1"/>
    <w:rsid w:val="08589CAA"/>
    <w:rsid w:val="085A4841"/>
    <w:rsid w:val="085CFBC2"/>
    <w:rsid w:val="085F3EE2"/>
    <w:rsid w:val="08621780"/>
    <w:rsid w:val="0863A98C"/>
    <w:rsid w:val="086624D3"/>
    <w:rsid w:val="08681BA6"/>
    <w:rsid w:val="086924A1"/>
    <w:rsid w:val="08703B3B"/>
    <w:rsid w:val="087F3341"/>
    <w:rsid w:val="088C3674"/>
    <w:rsid w:val="089AF703"/>
    <w:rsid w:val="089F394E"/>
    <w:rsid w:val="08A7B712"/>
    <w:rsid w:val="08AD5A54"/>
    <w:rsid w:val="08AF10CC"/>
    <w:rsid w:val="08B150C9"/>
    <w:rsid w:val="08C3E269"/>
    <w:rsid w:val="08C46D40"/>
    <w:rsid w:val="08DB2521"/>
    <w:rsid w:val="08E29C39"/>
    <w:rsid w:val="08E5C42A"/>
    <w:rsid w:val="08E82A55"/>
    <w:rsid w:val="08FE66BC"/>
    <w:rsid w:val="091337B8"/>
    <w:rsid w:val="0915DDA3"/>
    <w:rsid w:val="0916F38D"/>
    <w:rsid w:val="091BAD3D"/>
    <w:rsid w:val="09258D7F"/>
    <w:rsid w:val="092BC167"/>
    <w:rsid w:val="0932EF9A"/>
    <w:rsid w:val="093AD75F"/>
    <w:rsid w:val="093B5679"/>
    <w:rsid w:val="0942028F"/>
    <w:rsid w:val="0943892A"/>
    <w:rsid w:val="0952CE42"/>
    <w:rsid w:val="095BA287"/>
    <w:rsid w:val="095F11A3"/>
    <w:rsid w:val="095F35C8"/>
    <w:rsid w:val="096232CC"/>
    <w:rsid w:val="09678DDA"/>
    <w:rsid w:val="096A9A44"/>
    <w:rsid w:val="09707FB6"/>
    <w:rsid w:val="0973BB4A"/>
    <w:rsid w:val="097765F8"/>
    <w:rsid w:val="097D74E9"/>
    <w:rsid w:val="0989B4F9"/>
    <w:rsid w:val="098CB459"/>
    <w:rsid w:val="0997A63C"/>
    <w:rsid w:val="0999E2B1"/>
    <w:rsid w:val="099A348A"/>
    <w:rsid w:val="099F1CD6"/>
    <w:rsid w:val="09B3360C"/>
    <w:rsid w:val="09BDE0B6"/>
    <w:rsid w:val="09CDF1B1"/>
    <w:rsid w:val="09D49F4F"/>
    <w:rsid w:val="09D752B0"/>
    <w:rsid w:val="09D99E32"/>
    <w:rsid w:val="09D9CC06"/>
    <w:rsid w:val="09E52A53"/>
    <w:rsid w:val="09E5AC99"/>
    <w:rsid w:val="09E7D420"/>
    <w:rsid w:val="09E9435E"/>
    <w:rsid w:val="09EF3D01"/>
    <w:rsid w:val="09F52C1D"/>
    <w:rsid w:val="09F88354"/>
    <w:rsid w:val="0A018796"/>
    <w:rsid w:val="0A0CB17C"/>
    <w:rsid w:val="0A1A7EB0"/>
    <w:rsid w:val="0A2AAFA8"/>
    <w:rsid w:val="0A3ED185"/>
    <w:rsid w:val="0A411E28"/>
    <w:rsid w:val="0A4213EE"/>
    <w:rsid w:val="0A487E59"/>
    <w:rsid w:val="0A4C0AA8"/>
    <w:rsid w:val="0A50A084"/>
    <w:rsid w:val="0A5E26C9"/>
    <w:rsid w:val="0A5F15D5"/>
    <w:rsid w:val="0A605DF6"/>
    <w:rsid w:val="0A616773"/>
    <w:rsid w:val="0A6174DE"/>
    <w:rsid w:val="0A6B9932"/>
    <w:rsid w:val="0A6CC95A"/>
    <w:rsid w:val="0A847BF2"/>
    <w:rsid w:val="0A8ECFA8"/>
    <w:rsid w:val="0A928C20"/>
    <w:rsid w:val="0A982C92"/>
    <w:rsid w:val="0A9A7377"/>
    <w:rsid w:val="0AA42189"/>
    <w:rsid w:val="0AA68663"/>
    <w:rsid w:val="0AABB334"/>
    <w:rsid w:val="0AAC54DE"/>
    <w:rsid w:val="0AB1119A"/>
    <w:rsid w:val="0AB4957F"/>
    <w:rsid w:val="0ABD1E49"/>
    <w:rsid w:val="0ABFE73A"/>
    <w:rsid w:val="0AC0F43D"/>
    <w:rsid w:val="0AC539D2"/>
    <w:rsid w:val="0ADC6D77"/>
    <w:rsid w:val="0ADCCDD9"/>
    <w:rsid w:val="0ADEF877"/>
    <w:rsid w:val="0AE06FB5"/>
    <w:rsid w:val="0AE2BB7A"/>
    <w:rsid w:val="0AE6C234"/>
    <w:rsid w:val="0AE8C8A8"/>
    <w:rsid w:val="0AEE238B"/>
    <w:rsid w:val="0AF702FA"/>
    <w:rsid w:val="0AF75761"/>
    <w:rsid w:val="0AF905D9"/>
    <w:rsid w:val="0AFFCBDF"/>
    <w:rsid w:val="0B022DD0"/>
    <w:rsid w:val="0B02AC1F"/>
    <w:rsid w:val="0B07F8D3"/>
    <w:rsid w:val="0B0A4798"/>
    <w:rsid w:val="0B1F5615"/>
    <w:rsid w:val="0B27B1C9"/>
    <w:rsid w:val="0B27BB3D"/>
    <w:rsid w:val="0B27FB99"/>
    <w:rsid w:val="0B326F56"/>
    <w:rsid w:val="0B329E89"/>
    <w:rsid w:val="0B33E0E5"/>
    <w:rsid w:val="0B389750"/>
    <w:rsid w:val="0B3BF03A"/>
    <w:rsid w:val="0B44EAA6"/>
    <w:rsid w:val="0B452E0A"/>
    <w:rsid w:val="0B45F895"/>
    <w:rsid w:val="0B489493"/>
    <w:rsid w:val="0B49929B"/>
    <w:rsid w:val="0B5CD516"/>
    <w:rsid w:val="0B6B3F25"/>
    <w:rsid w:val="0B6B4C61"/>
    <w:rsid w:val="0B6D47FA"/>
    <w:rsid w:val="0B73B8D9"/>
    <w:rsid w:val="0B7631E7"/>
    <w:rsid w:val="0B764B79"/>
    <w:rsid w:val="0B81ACC2"/>
    <w:rsid w:val="0B836D32"/>
    <w:rsid w:val="0B8BBBEA"/>
    <w:rsid w:val="0B919330"/>
    <w:rsid w:val="0B92AB39"/>
    <w:rsid w:val="0B975D31"/>
    <w:rsid w:val="0BA19342"/>
    <w:rsid w:val="0BA6905E"/>
    <w:rsid w:val="0BAE01BE"/>
    <w:rsid w:val="0BB188B9"/>
    <w:rsid w:val="0BB6EFF7"/>
    <w:rsid w:val="0BC01DC1"/>
    <w:rsid w:val="0BC3492B"/>
    <w:rsid w:val="0BC63772"/>
    <w:rsid w:val="0BD3D011"/>
    <w:rsid w:val="0BD448F1"/>
    <w:rsid w:val="0BD57065"/>
    <w:rsid w:val="0BE4A874"/>
    <w:rsid w:val="0BEA6F94"/>
    <w:rsid w:val="0BECE140"/>
    <w:rsid w:val="0BF12864"/>
    <w:rsid w:val="0BF13410"/>
    <w:rsid w:val="0BF4A961"/>
    <w:rsid w:val="0BF91133"/>
    <w:rsid w:val="0C02597F"/>
    <w:rsid w:val="0C025D20"/>
    <w:rsid w:val="0C05FDC3"/>
    <w:rsid w:val="0C13100E"/>
    <w:rsid w:val="0C1A632A"/>
    <w:rsid w:val="0C2C9DCF"/>
    <w:rsid w:val="0C323676"/>
    <w:rsid w:val="0C33FEB8"/>
    <w:rsid w:val="0C34BBA8"/>
    <w:rsid w:val="0C3D0C09"/>
    <w:rsid w:val="0C4090B2"/>
    <w:rsid w:val="0C438317"/>
    <w:rsid w:val="0C46F646"/>
    <w:rsid w:val="0C4FA505"/>
    <w:rsid w:val="0C50A173"/>
    <w:rsid w:val="0C5D44E9"/>
    <w:rsid w:val="0C606935"/>
    <w:rsid w:val="0C6188DA"/>
    <w:rsid w:val="0C733F03"/>
    <w:rsid w:val="0C7765E0"/>
    <w:rsid w:val="0C77A887"/>
    <w:rsid w:val="0C8017C2"/>
    <w:rsid w:val="0C815378"/>
    <w:rsid w:val="0CABA94D"/>
    <w:rsid w:val="0CADC520"/>
    <w:rsid w:val="0CAE8BC9"/>
    <w:rsid w:val="0CB4EB9D"/>
    <w:rsid w:val="0CBCCCEC"/>
    <w:rsid w:val="0CCD8615"/>
    <w:rsid w:val="0CD28C12"/>
    <w:rsid w:val="0CD38F12"/>
    <w:rsid w:val="0CD84763"/>
    <w:rsid w:val="0CE539B4"/>
    <w:rsid w:val="0CF3849D"/>
    <w:rsid w:val="0CF8FA86"/>
    <w:rsid w:val="0D09C864"/>
    <w:rsid w:val="0D0D84D9"/>
    <w:rsid w:val="0D10EC12"/>
    <w:rsid w:val="0D140405"/>
    <w:rsid w:val="0D14962A"/>
    <w:rsid w:val="0D17FF6A"/>
    <w:rsid w:val="0D1C301D"/>
    <w:rsid w:val="0D1DABBB"/>
    <w:rsid w:val="0D1E05A7"/>
    <w:rsid w:val="0D2248A7"/>
    <w:rsid w:val="0D2934C7"/>
    <w:rsid w:val="0D2C8D1D"/>
    <w:rsid w:val="0D3061A3"/>
    <w:rsid w:val="0D328231"/>
    <w:rsid w:val="0D347DF2"/>
    <w:rsid w:val="0D35B1F7"/>
    <w:rsid w:val="0D35CACD"/>
    <w:rsid w:val="0D38AD54"/>
    <w:rsid w:val="0D3CDFBA"/>
    <w:rsid w:val="0D3D8A8B"/>
    <w:rsid w:val="0D4225F6"/>
    <w:rsid w:val="0D515D3C"/>
    <w:rsid w:val="0D515EC5"/>
    <w:rsid w:val="0D54D144"/>
    <w:rsid w:val="0D637D1D"/>
    <w:rsid w:val="0D6526FD"/>
    <w:rsid w:val="0D68AF8C"/>
    <w:rsid w:val="0D6D7234"/>
    <w:rsid w:val="0D71B601"/>
    <w:rsid w:val="0D7572D9"/>
    <w:rsid w:val="0D860B69"/>
    <w:rsid w:val="0D8811D4"/>
    <w:rsid w:val="0D8A244F"/>
    <w:rsid w:val="0D97201E"/>
    <w:rsid w:val="0DB576A9"/>
    <w:rsid w:val="0DB9A225"/>
    <w:rsid w:val="0DC6315D"/>
    <w:rsid w:val="0DCE04B9"/>
    <w:rsid w:val="0DD00C7C"/>
    <w:rsid w:val="0DD5BA6D"/>
    <w:rsid w:val="0DD65F4F"/>
    <w:rsid w:val="0DEC62C5"/>
    <w:rsid w:val="0DF04B83"/>
    <w:rsid w:val="0DF27B96"/>
    <w:rsid w:val="0E030AFE"/>
    <w:rsid w:val="0E17FC7A"/>
    <w:rsid w:val="0E1F2472"/>
    <w:rsid w:val="0E21294E"/>
    <w:rsid w:val="0E2630F6"/>
    <w:rsid w:val="0E358189"/>
    <w:rsid w:val="0E40D357"/>
    <w:rsid w:val="0E4B6AA3"/>
    <w:rsid w:val="0E5B1D81"/>
    <w:rsid w:val="0E60506B"/>
    <w:rsid w:val="0E71BC8F"/>
    <w:rsid w:val="0E760732"/>
    <w:rsid w:val="0E760B89"/>
    <w:rsid w:val="0E795432"/>
    <w:rsid w:val="0E8B8F5F"/>
    <w:rsid w:val="0E916581"/>
    <w:rsid w:val="0E926F7E"/>
    <w:rsid w:val="0E93DAC6"/>
    <w:rsid w:val="0E9884F8"/>
    <w:rsid w:val="0EA354F5"/>
    <w:rsid w:val="0EB1DE29"/>
    <w:rsid w:val="0EB52C93"/>
    <w:rsid w:val="0ECDAFBF"/>
    <w:rsid w:val="0ECF17DA"/>
    <w:rsid w:val="0EDDE40A"/>
    <w:rsid w:val="0EDEA59D"/>
    <w:rsid w:val="0EE6796E"/>
    <w:rsid w:val="0EE8C198"/>
    <w:rsid w:val="0EE91161"/>
    <w:rsid w:val="0EEF0D9E"/>
    <w:rsid w:val="0EF38F0E"/>
    <w:rsid w:val="0EF4705B"/>
    <w:rsid w:val="0EF9725A"/>
    <w:rsid w:val="0EF9FC65"/>
    <w:rsid w:val="0EFA9914"/>
    <w:rsid w:val="0F0070CA"/>
    <w:rsid w:val="0F068645"/>
    <w:rsid w:val="0F082E97"/>
    <w:rsid w:val="0F0B3FAA"/>
    <w:rsid w:val="0F0BF51E"/>
    <w:rsid w:val="0F18B3AA"/>
    <w:rsid w:val="0F37D659"/>
    <w:rsid w:val="0F38E7D4"/>
    <w:rsid w:val="0F3C2DC1"/>
    <w:rsid w:val="0F3C715E"/>
    <w:rsid w:val="0F3E6D4B"/>
    <w:rsid w:val="0F44185E"/>
    <w:rsid w:val="0F45495A"/>
    <w:rsid w:val="0F48A309"/>
    <w:rsid w:val="0F4E3608"/>
    <w:rsid w:val="0F51B581"/>
    <w:rsid w:val="0F542D8E"/>
    <w:rsid w:val="0F57F3B1"/>
    <w:rsid w:val="0F58FD0C"/>
    <w:rsid w:val="0F59750D"/>
    <w:rsid w:val="0F599C61"/>
    <w:rsid w:val="0F5E8127"/>
    <w:rsid w:val="0F5F8EA8"/>
    <w:rsid w:val="0F624BA6"/>
    <w:rsid w:val="0F670CBF"/>
    <w:rsid w:val="0F6A3C1D"/>
    <w:rsid w:val="0F6D180F"/>
    <w:rsid w:val="0F785FC5"/>
    <w:rsid w:val="0F7D612E"/>
    <w:rsid w:val="0F80F9B0"/>
    <w:rsid w:val="0F88DDCF"/>
    <w:rsid w:val="0F89B432"/>
    <w:rsid w:val="0F91E965"/>
    <w:rsid w:val="0F96A2CB"/>
    <w:rsid w:val="0FA4B354"/>
    <w:rsid w:val="0FA5A81B"/>
    <w:rsid w:val="0FA5ED1F"/>
    <w:rsid w:val="0FBA46CF"/>
    <w:rsid w:val="0FBA7B60"/>
    <w:rsid w:val="0FC1469E"/>
    <w:rsid w:val="0FC69BF1"/>
    <w:rsid w:val="0FC96861"/>
    <w:rsid w:val="0FCF9C68"/>
    <w:rsid w:val="0FDDEAC3"/>
    <w:rsid w:val="0FE3DC80"/>
    <w:rsid w:val="0FEA0C22"/>
    <w:rsid w:val="0FEA3DE2"/>
    <w:rsid w:val="0FF0C278"/>
    <w:rsid w:val="1000DDE7"/>
    <w:rsid w:val="100B10C1"/>
    <w:rsid w:val="100E26F4"/>
    <w:rsid w:val="10142989"/>
    <w:rsid w:val="10158461"/>
    <w:rsid w:val="101A4C0C"/>
    <w:rsid w:val="1020BD99"/>
    <w:rsid w:val="1029299B"/>
    <w:rsid w:val="10393F86"/>
    <w:rsid w:val="103A3450"/>
    <w:rsid w:val="103A502B"/>
    <w:rsid w:val="1061C56A"/>
    <w:rsid w:val="106220AF"/>
    <w:rsid w:val="1066FA9D"/>
    <w:rsid w:val="1069718B"/>
    <w:rsid w:val="106A7BDF"/>
    <w:rsid w:val="10704EB1"/>
    <w:rsid w:val="107DCCD1"/>
    <w:rsid w:val="108D0FC5"/>
    <w:rsid w:val="108DC09F"/>
    <w:rsid w:val="10971266"/>
    <w:rsid w:val="109DF500"/>
    <w:rsid w:val="10B910E2"/>
    <w:rsid w:val="10B9BD5C"/>
    <w:rsid w:val="10C26FBB"/>
    <w:rsid w:val="10C6CBA9"/>
    <w:rsid w:val="10C7AF87"/>
    <w:rsid w:val="10C7B019"/>
    <w:rsid w:val="10CDF0C6"/>
    <w:rsid w:val="10D03AE4"/>
    <w:rsid w:val="10D1E0CA"/>
    <w:rsid w:val="10D760D6"/>
    <w:rsid w:val="10D8AA95"/>
    <w:rsid w:val="10E4E095"/>
    <w:rsid w:val="10E92ADE"/>
    <w:rsid w:val="10ECA845"/>
    <w:rsid w:val="10F17026"/>
    <w:rsid w:val="10F23DB8"/>
    <w:rsid w:val="10F2F5CB"/>
    <w:rsid w:val="1106367D"/>
    <w:rsid w:val="110A08BD"/>
    <w:rsid w:val="110ECC8C"/>
    <w:rsid w:val="1122A210"/>
    <w:rsid w:val="11333824"/>
    <w:rsid w:val="1133E32C"/>
    <w:rsid w:val="113610D7"/>
    <w:rsid w:val="113FF5D6"/>
    <w:rsid w:val="114DC5C7"/>
    <w:rsid w:val="114F34E2"/>
    <w:rsid w:val="11546804"/>
    <w:rsid w:val="1156EC63"/>
    <w:rsid w:val="1167E042"/>
    <w:rsid w:val="11730F24"/>
    <w:rsid w:val="1181DB4D"/>
    <w:rsid w:val="118463D5"/>
    <w:rsid w:val="11905027"/>
    <w:rsid w:val="119BE015"/>
    <w:rsid w:val="119BF9D3"/>
    <w:rsid w:val="119D66FA"/>
    <w:rsid w:val="11A0A377"/>
    <w:rsid w:val="11BB7E4C"/>
    <w:rsid w:val="11E8A15D"/>
    <w:rsid w:val="11E93A04"/>
    <w:rsid w:val="11ED73F6"/>
    <w:rsid w:val="11EE390B"/>
    <w:rsid w:val="11F2C4E4"/>
    <w:rsid w:val="12001D55"/>
    <w:rsid w:val="1200FBAD"/>
    <w:rsid w:val="1211B233"/>
    <w:rsid w:val="12130643"/>
    <w:rsid w:val="1213BAB7"/>
    <w:rsid w:val="122245BB"/>
    <w:rsid w:val="122664BF"/>
    <w:rsid w:val="1234DB8B"/>
    <w:rsid w:val="123A786F"/>
    <w:rsid w:val="123AD9C5"/>
    <w:rsid w:val="123E1781"/>
    <w:rsid w:val="124ADB95"/>
    <w:rsid w:val="125B6B1D"/>
    <w:rsid w:val="125D93A0"/>
    <w:rsid w:val="12620F74"/>
    <w:rsid w:val="1263B58E"/>
    <w:rsid w:val="1263DA5D"/>
    <w:rsid w:val="126566BC"/>
    <w:rsid w:val="12678A7A"/>
    <w:rsid w:val="1267A450"/>
    <w:rsid w:val="126DCE4A"/>
    <w:rsid w:val="12761C6F"/>
    <w:rsid w:val="12769A77"/>
    <w:rsid w:val="127EC8F1"/>
    <w:rsid w:val="128D532D"/>
    <w:rsid w:val="129033F3"/>
    <w:rsid w:val="12919815"/>
    <w:rsid w:val="12924D6E"/>
    <w:rsid w:val="1293E900"/>
    <w:rsid w:val="12A38DD1"/>
    <w:rsid w:val="12A795A6"/>
    <w:rsid w:val="12A9432D"/>
    <w:rsid w:val="12AFC4FF"/>
    <w:rsid w:val="12C61402"/>
    <w:rsid w:val="12C6EC06"/>
    <w:rsid w:val="12C7D4AB"/>
    <w:rsid w:val="12C8B55E"/>
    <w:rsid w:val="12D6F929"/>
    <w:rsid w:val="12D7252A"/>
    <w:rsid w:val="12DE2E68"/>
    <w:rsid w:val="12E1AE7C"/>
    <w:rsid w:val="12E9E4BD"/>
    <w:rsid w:val="12E9EC94"/>
    <w:rsid w:val="12F25983"/>
    <w:rsid w:val="12F2DE54"/>
    <w:rsid w:val="13041FEB"/>
    <w:rsid w:val="13056582"/>
    <w:rsid w:val="13096EA4"/>
    <w:rsid w:val="130D1000"/>
    <w:rsid w:val="130E6CE1"/>
    <w:rsid w:val="131B2152"/>
    <w:rsid w:val="131DF783"/>
    <w:rsid w:val="1320524B"/>
    <w:rsid w:val="1325E86C"/>
    <w:rsid w:val="1326A8CE"/>
    <w:rsid w:val="132B4585"/>
    <w:rsid w:val="13331FF4"/>
    <w:rsid w:val="133B747D"/>
    <w:rsid w:val="133C6B47"/>
    <w:rsid w:val="1342FF59"/>
    <w:rsid w:val="13443159"/>
    <w:rsid w:val="1348CCD6"/>
    <w:rsid w:val="134900D4"/>
    <w:rsid w:val="134BF8E7"/>
    <w:rsid w:val="1354440E"/>
    <w:rsid w:val="13555C0B"/>
    <w:rsid w:val="135D9029"/>
    <w:rsid w:val="13644A39"/>
    <w:rsid w:val="13672F37"/>
    <w:rsid w:val="1368AE56"/>
    <w:rsid w:val="136D77A4"/>
    <w:rsid w:val="137181A9"/>
    <w:rsid w:val="1377DDBB"/>
    <w:rsid w:val="13797BE3"/>
    <w:rsid w:val="13904DF6"/>
    <w:rsid w:val="139B6812"/>
    <w:rsid w:val="13A008A0"/>
    <w:rsid w:val="13AA2F4E"/>
    <w:rsid w:val="13AD4F13"/>
    <w:rsid w:val="13AFE87D"/>
    <w:rsid w:val="13C3BB8B"/>
    <w:rsid w:val="13CBDCA3"/>
    <w:rsid w:val="13CE19A0"/>
    <w:rsid w:val="13CE83CA"/>
    <w:rsid w:val="13D069D9"/>
    <w:rsid w:val="13E3E310"/>
    <w:rsid w:val="13E8F9B2"/>
    <w:rsid w:val="13ED8216"/>
    <w:rsid w:val="13F4BB14"/>
    <w:rsid w:val="13FEDCD5"/>
    <w:rsid w:val="1401A2F3"/>
    <w:rsid w:val="14039298"/>
    <w:rsid w:val="14136DBE"/>
    <w:rsid w:val="1421CC7C"/>
    <w:rsid w:val="142ACB9E"/>
    <w:rsid w:val="142CCF14"/>
    <w:rsid w:val="143954F9"/>
    <w:rsid w:val="143DBA50"/>
    <w:rsid w:val="14437A43"/>
    <w:rsid w:val="144E72E7"/>
    <w:rsid w:val="144EA543"/>
    <w:rsid w:val="14678BD0"/>
    <w:rsid w:val="146BC017"/>
    <w:rsid w:val="14790B19"/>
    <w:rsid w:val="147959D1"/>
    <w:rsid w:val="147C31B1"/>
    <w:rsid w:val="147EFE12"/>
    <w:rsid w:val="148B3DD1"/>
    <w:rsid w:val="148F8072"/>
    <w:rsid w:val="1490DF84"/>
    <w:rsid w:val="1497C887"/>
    <w:rsid w:val="14C1F948"/>
    <w:rsid w:val="14C30E46"/>
    <w:rsid w:val="14D8CD88"/>
    <w:rsid w:val="14DB5A64"/>
    <w:rsid w:val="14EB282C"/>
    <w:rsid w:val="14F6CB27"/>
    <w:rsid w:val="14F72926"/>
    <w:rsid w:val="14FD5730"/>
    <w:rsid w:val="14FF8469"/>
    <w:rsid w:val="15025E1B"/>
    <w:rsid w:val="15089B3B"/>
    <w:rsid w:val="15176923"/>
    <w:rsid w:val="1517983D"/>
    <w:rsid w:val="1533193C"/>
    <w:rsid w:val="153AB697"/>
    <w:rsid w:val="1544865B"/>
    <w:rsid w:val="154628E1"/>
    <w:rsid w:val="15474AEB"/>
    <w:rsid w:val="154A02FF"/>
    <w:rsid w:val="154E37E4"/>
    <w:rsid w:val="1553762E"/>
    <w:rsid w:val="155C0661"/>
    <w:rsid w:val="155DF935"/>
    <w:rsid w:val="155F31D9"/>
    <w:rsid w:val="156157BD"/>
    <w:rsid w:val="15644B20"/>
    <w:rsid w:val="1566DDD9"/>
    <w:rsid w:val="157C21D4"/>
    <w:rsid w:val="15811C6C"/>
    <w:rsid w:val="1584E21C"/>
    <w:rsid w:val="15871B9B"/>
    <w:rsid w:val="1588D1BD"/>
    <w:rsid w:val="158D6C1B"/>
    <w:rsid w:val="1591D3BE"/>
    <w:rsid w:val="15925136"/>
    <w:rsid w:val="15943D4A"/>
    <w:rsid w:val="1596D0A0"/>
    <w:rsid w:val="1598E8BE"/>
    <w:rsid w:val="15A087E2"/>
    <w:rsid w:val="15AE26F8"/>
    <w:rsid w:val="15AFB313"/>
    <w:rsid w:val="15B13E17"/>
    <w:rsid w:val="15B8081C"/>
    <w:rsid w:val="15B8DBAE"/>
    <w:rsid w:val="15B99718"/>
    <w:rsid w:val="15C4C806"/>
    <w:rsid w:val="15CE753C"/>
    <w:rsid w:val="15D011F5"/>
    <w:rsid w:val="15D9C0CD"/>
    <w:rsid w:val="15DC2A24"/>
    <w:rsid w:val="15DE778A"/>
    <w:rsid w:val="15E19A67"/>
    <w:rsid w:val="15E43C94"/>
    <w:rsid w:val="15F0C95B"/>
    <w:rsid w:val="15F27F06"/>
    <w:rsid w:val="15F52BC6"/>
    <w:rsid w:val="15FD678C"/>
    <w:rsid w:val="15FD859A"/>
    <w:rsid w:val="16050543"/>
    <w:rsid w:val="160DF264"/>
    <w:rsid w:val="160E8217"/>
    <w:rsid w:val="160FE598"/>
    <w:rsid w:val="161FA4EA"/>
    <w:rsid w:val="1622D003"/>
    <w:rsid w:val="1626E3D5"/>
    <w:rsid w:val="162A2245"/>
    <w:rsid w:val="162D3ABA"/>
    <w:rsid w:val="1633F6CB"/>
    <w:rsid w:val="1634546D"/>
    <w:rsid w:val="16387690"/>
    <w:rsid w:val="16418FF8"/>
    <w:rsid w:val="1644F3DC"/>
    <w:rsid w:val="1646DA78"/>
    <w:rsid w:val="16486C39"/>
    <w:rsid w:val="1653B653"/>
    <w:rsid w:val="165B3FB9"/>
    <w:rsid w:val="165E1E17"/>
    <w:rsid w:val="1668F7B5"/>
    <w:rsid w:val="166C1052"/>
    <w:rsid w:val="166D94CB"/>
    <w:rsid w:val="16759DB1"/>
    <w:rsid w:val="168042E4"/>
    <w:rsid w:val="168B642C"/>
    <w:rsid w:val="1694AA5D"/>
    <w:rsid w:val="1699C081"/>
    <w:rsid w:val="169D5AB4"/>
    <w:rsid w:val="16A5A4CA"/>
    <w:rsid w:val="16A995DF"/>
    <w:rsid w:val="16B004FA"/>
    <w:rsid w:val="16B65BFD"/>
    <w:rsid w:val="16BDEE87"/>
    <w:rsid w:val="16BEBA79"/>
    <w:rsid w:val="16C8EFF2"/>
    <w:rsid w:val="16C964DC"/>
    <w:rsid w:val="16D0B687"/>
    <w:rsid w:val="16DD90E6"/>
    <w:rsid w:val="16E6A57D"/>
    <w:rsid w:val="16EA5EE6"/>
    <w:rsid w:val="16FC8069"/>
    <w:rsid w:val="16FE11C8"/>
    <w:rsid w:val="16FFE5AF"/>
    <w:rsid w:val="16FFFDF5"/>
    <w:rsid w:val="170CC8D9"/>
    <w:rsid w:val="170F4763"/>
    <w:rsid w:val="1710B3F8"/>
    <w:rsid w:val="17247D3B"/>
    <w:rsid w:val="172488ED"/>
    <w:rsid w:val="172717D8"/>
    <w:rsid w:val="172E7550"/>
    <w:rsid w:val="173756A0"/>
    <w:rsid w:val="173B3D32"/>
    <w:rsid w:val="173B6475"/>
    <w:rsid w:val="1743C0B3"/>
    <w:rsid w:val="1746B0A1"/>
    <w:rsid w:val="174EA025"/>
    <w:rsid w:val="17540063"/>
    <w:rsid w:val="1757C035"/>
    <w:rsid w:val="175CD4FB"/>
    <w:rsid w:val="17725048"/>
    <w:rsid w:val="17749C8C"/>
    <w:rsid w:val="17761B5E"/>
    <w:rsid w:val="177ECA19"/>
    <w:rsid w:val="17886962"/>
    <w:rsid w:val="17893C71"/>
    <w:rsid w:val="1796844F"/>
    <w:rsid w:val="179D6535"/>
    <w:rsid w:val="179FFE4C"/>
    <w:rsid w:val="17B311EF"/>
    <w:rsid w:val="17B33809"/>
    <w:rsid w:val="17BBDED4"/>
    <w:rsid w:val="17BBFAB2"/>
    <w:rsid w:val="17BE3C6F"/>
    <w:rsid w:val="17C47124"/>
    <w:rsid w:val="17C50D00"/>
    <w:rsid w:val="17C87F3F"/>
    <w:rsid w:val="17CB18AE"/>
    <w:rsid w:val="17D083EE"/>
    <w:rsid w:val="17D28C24"/>
    <w:rsid w:val="17D93188"/>
    <w:rsid w:val="17DBAD46"/>
    <w:rsid w:val="17E123E3"/>
    <w:rsid w:val="17F84571"/>
    <w:rsid w:val="18004F61"/>
    <w:rsid w:val="18070A9D"/>
    <w:rsid w:val="180E3742"/>
    <w:rsid w:val="1810891F"/>
    <w:rsid w:val="1812C626"/>
    <w:rsid w:val="181A018A"/>
    <w:rsid w:val="181AF82C"/>
    <w:rsid w:val="181E9C5C"/>
    <w:rsid w:val="1833C9D6"/>
    <w:rsid w:val="184A835B"/>
    <w:rsid w:val="184C58DD"/>
    <w:rsid w:val="184EF43E"/>
    <w:rsid w:val="18533476"/>
    <w:rsid w:val="1858B269"/>
    <w:rsid w:val="185FCF59"/>
    <w:rsid w:val="1872424B"/>
    <w:rsid w:val="18754254"/>
    <w:rsid w:val="1879B817"/>
    <w:rsid w:val="187A176A"/>
    <w:rsid w:val="187E0065"/>
    <w:rsid w:val="18866717"/>
    <w:rsid w:val="188B6C19"/>
    <w:rsid w:val="189A7B10"/>
    <w:rsid w:val="189EB472"/>
    <w:rsid w:val="189F419E"/>
    <w:rsid w:val="18A969F9"/>
    <w:rsid w:val="18C1E322"/>
    <w:rsid w:val="18CBDECB"/>
    <w:rsid w:val="18CD61E2"/>
    <w:rsid w:val="18CEA3A0"/>
    <w:rsid w:val="18D6E507"/>
    <w:rsid w:val="18E98FDC"/>
    <w:rsid w:val="18ED6CB1"/>
    <w:rsid w:val="18EE803F"/>
    <w:rsid w:val="18FF5AC0"/>
    <w:rsid w:val="1902D999"/>
    <w:rsid w:val="191071E9"/>
    <w:rsid w:val="192191B7"/>
    <w:rsid w:val="192A9C3E"/>
    <w:rsid w:val="192D5E07"/>
    <w:rsid w:val="192ED1A7"/>
    <w:rsid w:val="192F54CC"/>
    <w:rsid w:val="1931EF4D"/>
    <w:rsid w:val="19324838"/>
    <w:rsid w:val="19371B98"/>
    <w:rsid w:val="1944DA29"/>
    <w:rsid w:val="1949BD15"/>
    <w:rsid w:val="194D1C09"/>
    <w:rsid w:val="1950C1A3"/>
    <w:rsid w:val="1953BBB7"/>
    <w:rsid w:val="1960D39B"/>
    <w:rsid w:val="196AA702"/>
    <w:rsid w:val="196B2DE9"/>
    <w:rsid w:val="196BD4F8"/>
    <w:rsid w:val="1971D377"/>
    <w:rsid w:val="1982333E"/>
    <w:rsid w:val="198988A9"/>
    <w:rsid w:val="199082F6"/>
    <w:rsid w:val="1998EFDA"/>
    <w:rsid w:val="199A82D8"/>
    <w:rsid w:val="199D49AA"/>
    <w:rsid w:val="19A49FA8"/>
    <w:rsid w:val="19A50106"/>
    <w:rsid w:val="19AAF7B9"/>
    <w:rsid w:val="19ABC988"/>
    <w:rsid w:val="19B3746B"/>
    <w:rsid w:val="19B6B18C"/>
    <w:rsid w:val="19B7AE99"/>
    <w:rsid w:val="19BF6E52"/>
    <w:rsid w:val="19C5C4C2"/>
    <w:rsid w:val="19C785FC"/>
    <w:rsid w:val="19CEE4E1"/>
    <w:rsid w:val="19D45C40"/>
    <w:rsid w:val="19E102A1"/>
    <w:rsid w:val="19E33614"/>
    <w:rsid w:val="19F146A5"/>
    <w:rsid w:val="19FA2810"/>
    <w:rsid w:val="19FE27EC"/>
    <w:rsid w:val="1A038E02"/>
    <w:rsid w:val="1A093B3D"/>
    <w:rsid w:val="1A0B6857"/>
    <w:rsid w:val="1A11F3A2"/>
    <w:rsid w:val="1A15AD75"/>
    <w:rsid w:val="1A15ED7C"/>
    <w:rsid w:val="1A1620CE"/>
    <w:rsid w:val="1A16DC49"/>
    <w:rsid w:val="1A20101B"/>
    <w:rsid w:val="1A2F14D6"/>
    <w:rsid w:val="1A3C6482"/>
    <w:rsid w:val="1A3E736D"/>
    <w:rsid w:val="1A3FC1DA"/>
    <w:rsid w:val="1A41B3F6"/>
    <w:rsid w:val="1A5923C1"/>
    <w:rsid w:val="1A62F014"/>
    <w:rsid w:val="1A6F8869"/>
    <w:rsid w:val="1A737981"/>
    <w:rsid w:val="1A756D4A"/>
    <w:rsid w:val="1A7BF6B7"/>
    <w:rsid w:val="1A7EEE9E"/>
    <w:rsid w:val="1A8AA987"/>
    <w:rsid w:val="1A8F27C3"/>
    <w:rsid w:val="1A97E479"/>
    <w:rsid w:val="1A996066"/>
    <w:rsid w:val="1AB1405B"/>
    <w:rsid w:val="1AC09DC9"/>
    <w:rsid w:val="1AC40D3E"/>
    <w:rsid w:val="1AD342B9"/>
    <w:rsid w:val="1AD390E5"/>
    <w:rsid w:val="1AD4A5E1"/>
    <w:rsid w:val="1ADEE8A1"/>
    <w:rsid w:val="1AE6E2C4"/>
    <w:rsid w:val="1AE7A87A"/>
    <w:rsid w:val="1AE8095B"/>
    <w:rsid w:val="1AEB865F"/>
    <w:rsid w:val="1AF4CED6"/>
    <w:rsid w:val="1AF91ED7"/>
    <w:rsid w:val="1AFA6E6D"/>
    <w:rsid w:val="1B03927C"/>
    <w:rsid w:val="1B0568CC"/>
    <w:rsid w:val="1B12F520"/>
    <w:rsid w:val="1B152B05"/>
    <w:rsid w:val="1B275BBB"/>
    <w:rsid w:val="1B31340B"/>
    <w:rsid w:val="1B3443FA"/>
    <w:rsid w:val="1B373E51"/>
    <w:rsid w:val="1B3FC385"/>
    <w:rsid w:val="1B409EC1"/>
    <w:rsid w:val="1B4C15EB"/>
    <w:rsid w:val="1B5ADC9E"/>
    <w:rsid w:val="1B5B8AD3"/>
    <w:rsid w:val="1B5DC7A0"/>
    <w:rsid w:val="1B626E58"/>
    <w:rsid w:val="1B62DA23"/>
    <w:rsid w:val="1B63CAFF"/>
    <w:rsid w:val="1B6523C0"/>
    <w:rsid w:val="1B6E4F47"/>
    <w:rsid w:val="1B721C75"/>
    <w:rsid w:val="1B7BB035"/>
    <w:rsid w:val="1B811B3C"/>
    <w:rsid w:val="1B841845"/>
    <w:rsid w:val="1B8FA8AF"/>
    <w:rsid w:val="1B99D8FA"/>
    <w:rsid w:val="1BA3A61A"/>
    <w:rsid w:val="1BA54D66"/>
    <w:rsid w:val="1BA59189"/>
    <w:rsid w:val="1BB0B471"/>
    <w:rsid w:val="1BB29D2C"/>
    <w:rsid w:val="1BB36114"/>
    <w:rsid w:val="1BBB2172"/>
    <w:rsid w:val="1BC148A0"/>
    <w:rsid w:val="1BC6C2A8"/>
    <w:rsid w:val="1BD45FB2"/>
    <w:rsid w:val="1BD9FA96"/>
    <w:rsid w:val="1BE4C9B1"/>
    <w:rsid w:val="1BE6B9EA"/>
    <w:rsid w:val="1BE9E0D8"/>
    <w:rsid w:val="1BEB02C4"/>
    <w:rsid w:val="1BF103DC"/>
    <w:rsid w:val="1BF21C48"/>
    <w:rsid w:val="1BF32E18"/>
    <w:rsid w:val="1BF3D881"/>
    <w:rsid w:val="1BF4190F"/>
    <w:rsid w:val="1BFB1C1B"/>
    <w:rsid w:val="1BFDBC06"/>
    <w:rsid w:val="1BFF841F"/>
    <w:rsid w:val="1C07DE9B"/>
    <w:rsid w:val="1C108188"/>
    <w:rsid w:val="1C151021"/>
    <w:rsid w:val="1C16DA4B"/>
    <w:rsid w:val="1C1ED6AD"/>
    <w:rsid w:val="1C25323E"/>
    <w:rsid w:val="1C25B1AD"/>
    <w:rsid w:val="1C2D6FF9"/>
    <w:rsid w:val="1C315715"/>
    <w:rsid w:val="1C34BC66"/>
    <w:rsid w:val="1C385398"/>
    <w:rsid w:val="1C459AD4"/>
    <w:rsid w:val="1C4A5300"/>
    <w:rsid w:val="1C4AB1E9"/>
    <w:rsid w:val="1C4F6CCE"/>
    <w:rsid w:val="1C6564B7"/>
    <w:rsid w:val="1C6604D3"/>
    <w:rsid w:val="1C6ABE9D"/>
    <w:rsid w:val="1C71F695"/>
    <w:rsid w:val="1C73030F"/>
    <w:rsid w:val="1C769AE7"/>
    <w:rsid w:val="1C7C170B"/>
    <w:rsid w:val="1C7E6BA3"/>
    <w:rsid w:val="1C85DAFA"/>
    <w:rsid w:val="1C916027"/>
    <w:rsid w:val="1C960738"/>
    <w:rsid w:val="1C98DD13"/>
    <w:rsid w:val="1C99D1EF"/>
    <w:rsid w:val="1CA1A3FA"/>
    <w:rsid w:val="1CB610DD"/>
    <w:rsid w:val="1CBF9656"/>
    <w:rsid w:val="1CD1DC77"/>
    <w:rsid w:val="1CD383CF"/>
    <w:rsid w:val="1CD6E5FB"/>
    <w:rsid w:val="1CD756AF"/>
    <w:rsid w:val="1CD7E5A3"/>
    <w:rsid w:val="1CDD8C2C"/>
    <w:rsid w:val="1CE184CD"/>
    <w:rsid w:val="1CE56D81"/>
    <w:rsid w:val="1CE855B5"/>
    <w:rsid w:val="1CEF5936"/>
    <w:rsid w:val="1CEFFCF2"/>
    <w:rsid w:val="1CF333A1"/>
    <w:rsid w:val="1CFA200F"/>
    <w:rsid w:val="1CFA357E"/>
    <w:rsid w:val="1D05CA57"/>
    <w:rsid w:val="1D05F9A0"/>
    <w:rsid w:val="1D109F0C"/>
    <w:rsid w:val="1D1B42C5"/>
    <w:rsid w:val="1D27FFFF"/>
    <w:rsid w:val="1D2EE623"/>
    <w:rsid w:val="1D31F44F"/>
    <w:rsid w:val="1D322658"/>
    <w:rsid w:val="1D359700"/>
    <w:rsid w:val="1D35AAFF"/>
    <w:rsid w:val="1D43E959"/>
    <w:rsid w:val="1D4618E7"/>
    <w:rsid w:val="1D4E3560"/>
    <w:rsid w:val="1D562CEF"/>
    <w:rsid w:val="1D5CB73E"/>
    <w:rsid w:val="1D61332A"/>
    <w:rsid w:val="1D61C04A"/>
    <w:rsid w:val="1D6376DF"/>
    <w:rsid w:val="1D64BD0D"/>
    <w:rsid w:val="1D6810E0"/>
    <w:rsid w:val="1D6AF4FF"/>
    <w:rsid w:val="1D6E6534"/>
    <w:rsid w:val="1D89B364"/>
    <w:rsid w:val="1D8E731E"/>
    <w:rsid w:val="1D8E7FDB"/>
    <w:rsid w:val="1D92AC34"/>
    <w:rsid w:val="1D9368F4"/>
    <w:rsid w:val="1DA40A7F"/>
    <w:rsid w:val="1DA45C7A"/>
    <w:rsid w:val="1DC30570"/>
    <w:rsid w:val="1DC436A4"/>
    <w:rsid w:val="1DCF674A"/>
    <w:rsid w:val="1DD3852A"/>
    <w:rsid w:val="1DD3A479"/>
    <w:rsid w:val="1DD6E175"/>
    <w:rsid w:val="1DD9D6B4"/>
    <w:rsid w:val="1DDBAD99"/>
    <w:rsid w:val="1DDCA600"/>
    <w:rsid w:val="1DDCC7CD"/>
    <w:rsid w:val="1DDDA3DC"/>
    <w:rsid w:val="1DDDAA26"/>
    <w:rsid w:val="1DDFD9B9"/>
    <w:rsid w:val="1DE3AD70"/>
    <w:rsid w:val="1DE70956"/>
    <w:rsid w:val="1DF41A59"/>
    <w:rsid w:val="1E0832AA"/>
    <w:rsid w:val="1E0FF731"/>
    <w:rsid w:val="1E17094D"/>
    <w:rsid w:val="1E21B275"/>
    <w:rsid w:val="1E39B8B5"/>
    <w:rsid w:val="1E3D4EB8"/>
    <w:rsid w:val="1E40C4EC"/>
    <w:rsid w:val="1E4153E6"/>
    <w:rsid w:val="1E46996A"/>
    <w:rsid w:val="1E4AEB64"/>
    <w:rsid w:val="1E513586"/>
    <w:rsid w:val="1E57F75E"/>
    <w:rsid w:val="1E5A30BC"/>
    <w:rsid w:val="1E6377EC"/>
    <w:rsid w:val="1E63ABA7"/>
    <w:rsid w:val="1E63C210"/>
    <w:rsid w:val="1E6ABA13"/>
    <w:rsid w:val="1E6B6FC3"/>
    <w:rsid w:val="1E71D83A"/>
    <w:rsid w:val="1E725296"/>
    <w:rsid w:val="1E819727"/>
    <w:rsid w:val="1E88CD6A"/>
    <w:rsid w:val="1E8CC40A"/>
    <w:rsid w:val="1E8E2115"/>
    <w:rsid w:val="1E985301"/>
    <w:rsid w:val="1E99BF40"/>
    <w:rsid w:val="1E9A24AB"/>
    <w:rsid w:val="1E9B237A"/>
    <w:rsid w:val="1EA3568F"/>
    <w:rsid w:val="1EA50AE7"/>
    <w:rsid w:val="1EAFDCB7"/>
    <w:rsid w:val="1EB6A3E7"/>
    <w:rsid w:val="1EB985A8"/>
    <w:rsid w:val="1EBF7ADD"/>
    <w:rsid w:val="1EC08D0F"/>
    <w:rsid w:val="1ECBE45E"/>
    <w:rsid w:val="1ED2E044"/>
    <w:rsid w:val="1ED5A705"/>
    <w:rsid w:val="1EDA8EB0"/>
    <w:rsid w:val="1EDEF66B"/>
    <w:rsid w:val="1EE53877"/>
    <w:rsid w:val="1EE58D4C"/>
    <w:rsid w:val="1EEB6D9F"/>
    <w:rsid w:val="1EED72D4"/>
    <w:rsid w:val="1EEDF47E"/>
    <w:rsid w:val="1EF3D4DD"/>
    <w:rsid w:val="1EF88337"/>
    <w:rsid w:val="1F03B9B3"/>
    <w:rsid w:val="1F042DEB"/>
    <w:rsid w:val="1F071A3C"/>
    <w:rsid w:val="1F08DBC4"/>
    <w:rsid w:val="1F2357B0"/>
    <w:rsid w:val="1F28A2D6"/>
    <w:rsid w:val="1F2A0233"/>
    <w:rsid w:val="1F32BEC2"/>
    <w:rsid w:val="1F411E1B"/>
    <w:rsid w:val="1F4558C0"/>
    <w:rsid w:val="1F4664B0"/>
    <w:rsid w:val="1F4952F1"/>
    <w:rsid w:val="1F602B75"/>
    <w:rsid w:val="1F849687"/>
    <w:rsid w:val="1F85D7AA"/>
    <w:rsid w:val="1F8D8396"/>
    <w:rsid w:val="1F97CAD7"/>
    <w:rsid w:val="1FA4C53D"/>
    <w:rsid w:val="1FA65C2F"/>
    <w:rsid w:val="1FB91D88"/>
    <w:rsid w:val="1FCF07F9"/>
    <w:rsid w:val="1FD63552"/>
    <w:rsid w:val="1FDFD42A"/>
    <w:rsid w:val="1FF23138"/>
    <w:rsid w:val="1FF25D2A"/>
    <w:rsid w:val="1FF6B794"/>
    <w:rsid w:val="2002C11A"/>
    <w:rsid w:val="200E9CE6"/>
    <w:rsid w:val="20117CCE"/>
    <w:rsid w:val="2014FFD1"/>
    <w:rsid w:val="201FC534"/>
    <w:rsid w:val="20231481"/>
    <w:rsid w:val="202A4B79"/>
    <w:rsid w:val="202B12C8"/>
    <w:rsid w:val="203078E6"/>
    <w:rsid w:val="2032F225"/>
    <w:rsid w:val="2035209B"/>
    <w:rsid w:val="20352FEF"/>
    <w:rsid w:val="2038CC45"/>
    <w:rsid w:val="203C3CE8"/>
    <w:rsid w:val="20421610"/>
    <w:rsid w:val="204F913E"/>
    <w:rsid w:val="205C53BB"/>
    <w:rsid w:val="20601A16"/>
    <w:rsid w:val="2064ED82"/>
    <w:rsid w:val="206A1323"/>
    <w:rsid w:val="206BD3AE"/>
    <w:rsid w:val="206D336B"/>
    <w:rsid w:val="20712704"/>
    <w:rsid w:val="20760439"/>
    <w:rsid w:val="20778134"/>
    <w:rsid w:val="207827C3"/>
    <w:rsid w:val="207C7B63"/>
    <w:rsid w:val="2081B417"/>
    <w:rsid w:val="2086512B"/>
    <w:rsid w:val="208C078D"/>
    <w:rsid w:val="2096BD2B"/>
    <w:rsid w:val="20B0CAA1"/>
    <w:rsid w:val="20C4A372"/>
    <w:rsid w:val="20C4AB8C"/>
    <w:rsid w:val="20C8A9E7"/>
    <w:rsid w:val="20CD0E49"/>
    <w:rsid w:val="20D18F14"/>
    <w:rsid w:val="20D43A79"/>
    <w:rsid w:val="20E3F833"/>
    <w:rsid w:val="20E4DD0E"/>
    <w:rsid w:val="20EC56D7"/>
    <w:rsid w:val="20F399C7"/>
    <w:rsid w:val="20F65392"/>
    <w:rsid w:val="20FD7862"/>
    <w:rsid w:val="20FDAA85"/>
    <w:rsid w:val="20FF7834"/>
    <w:rsid w:val="2105CE51"/>
    <w:rsid w:val="210F7EF7"/>
    <w:rsid w:val="2118127C"/>
    <w:rsid w:val="21217BCA"/>
    <w:rsid w:val="21227EFF"/>
    <w:rsid w:val="2129BB7B"/>
    <w:rsid w:val="2138B828"/>
    <w:rsid w:val="21798D70"/>
    <w:rsid w:val="21815567"/>
    <w:rsid w:val="218265C9"/>
    <w:rsid w:val="2187B220"/>
    <w:rsid w:val="2196089C"/>
    <w:rsid w:val="219667F3"/>
    <w:rsid w:val="219C62D3"/>
    <w:rsid w:val="219EB511"/>
    <w:rsid w:val="21A0FEE8"/>
    <w:rsid w:val="21A689BD"/>
    <w:rsid w:val="21AA719F"/>
    <w:rsid w:val="21B3192E"/>
    <w:rsid w:val="21B60C58"/>
    <w:rsid w:val="21BA25E9"/>
    <w:rsid w:val="21BEFDB1"/>
    <w:rsid w:val="21C41871"/>
    <w:rsid w:val="21C74EE3"/>
    <w:rsid w:val="21CAC791"/>
    <w:rsid w:val="21DA6F89"/>
    <w:rsid w:val="21DB8BB4"/>
    <w:rsid w:val="21E6ABFB"/>
    <w:rsid w:val="21F226D2"/>
    <w:rsid w:val="21F905FE"/>
    <w:rsid w:val="220024EC"/>
    <w:rsid w:val="2212D0AE"/>
    <w:rsid w:val="2217DB54"/>
    <w:rsid w:val="221DF541"/>
    <w:rsid w:val="222451DD"/>
    <w:rsid w:val="22254522"/>
    <w:rsid w:val="22262634"/>
    <w:rsid w:val="222BD116"/>
    <w:rsid w:val="222C4EF2"/>
    <w:rsid w:val="22323A25"/>
    <w:rsid w:val="22369693"/>
    <w:rsid w:val="223DC6DA"/>
    <w:rsid w:val="223FAF99"/>
    <w:rsid w:val="22425A8F"/>
    <w:rsid w:val="22452044"/>
    <w:rsid w:val="2245AC83"/>
    <w:rsid w:val="22544D5B"/>
    <w:rsid w:val="22566CA1"/>
    <w:rsid w:val="2260524B"/>
    <w:rsid w:val="2261214A"/>
    <w:rsid w:val="2264ACD7"/>
    <w:rsid w:val="22662777"/>
    <w:rsid w:val="226E4A17"/>
    <w:rsid w:val="226F2927"/>
    <w:rsid w:val="2272C901"/>
    <w:rsid w:val="22744412"/>
    <w:rsid w:val="22836789"/>
    <w:rsid w:val="2285C16C"/>
    <w:rsid w:val="229E03A9"/>
    <w:rsid w:val="229E11B4"/>
    <w:rsid w:val="22A05E1C"/>
    <w:rsid w:val="22A1E44F"/>
    <w:rsid w:val="22A7DC63"/>
    <w:rsid w:val="22AAAC92"/>
    <w:rsid w:val="22ABBA33"/>
    <w:rsid w:val="22AF18E8"/>
    <w:rsid w:val="22B2FF10"/>
    <w:rsid w:val="22BAB63F"/>
    <w:rsid w:val="22BAE9F9"/>
    <w:rsid w:val="22C157CE"/>
    <w:rsid w:val="22C92D9F"/>
    <w:rsid w:val="22D8ED44"/>
    <w:rsid w:val="22E83266"/>
    <w:rsid w:val="22EC260D"/>
    <w:rsid w:val="22EF9B55"/>
    <w:rsid w:val="22F006BC"/>
    <w:rsid w:val="22F7EFF0"/>
    <w:rsid w:val="2300B376"/>
    <w:rsid w:val="23064C2F"/>
    <w:rsid w:val="230AA4B5"/>
    <w:rsid w:val="230B18E0"/>
    <w:rsid w:val="2310E524"/>
    <w:rsid w:val="23177668"/>
    <w:rsid w:val="231C87ED"/>
    <w:rsid w:val="231D6D5C"/>
    <w:rsid w:val="232B1B73"/>
    <w:rsid w:val="232D4F49"/>
    <w:rsid w:val="232F4862"/>
    <w:rsid w:val="2334AD75"/>
    <w:rsid w:val="234B67C3"/>
    <w:rsid w:val="234B77E3"/>
    <w:rsid w:val="234E3944"/>
    <w:rsid w:val="234E889A"/>
    <w:rsid w:val="23527C56"/>
    <w:rsid w:val="2354097F"/>
    <w:rsid w:val="23629572"/>
    <w:rsid w:val="236C6D50"/>
    <w:rsid w:val="2375A389"/>
    <w:rsid w:val="2378B97E"/>
    <w:rsid w:val="2380643F"/>
    <w:rsid w:val="238AB219"/>
    <w:rsid w:val="2390C23F"/>
    <w:rsid w:val="23943788"/>
    <w:rsid w:val="23952BD5"/>
    <w:rsid w:val="23A97F45"/>
    <w:rsid w:val="23B1F8B3"/>
    <w:rsid w:val="23BF5BDE"/>
    <w:rsid w:val="23C42E7B"/>
    <w:rsid w:val="23C6606B"/>
    <w:rsid w:val="23C6695B"/>
    <w:rsid w:val="23CCB9EB"/>
    <w:rsid w:val="23CD5F34"/>
    <w:rsid w:val="23D31ECF"/>
    <w:rsid w:val="23D59B8C"/>
    <w:rsid w:val="23D8144D"/>
    <w:rsid w:val="23DB40EC"/>
    <w:rsid w:val="23DFDFAD"/>
    <w:rsid w:val="23E7E398"/>
    <w:rsid w:val="23E983CC"/>
    <w:rsid w:val="23ECDE5E"/>
    <w:rsid w:val="23FC039C"/>
    <w:rsid w:val="23FD25B1"/>
    <w:rsid w:val="2400EC9B"/>
    <w:rsid w:val="2404A052"/>
    <w:rsid w:val="240FE7AB"/>
    <w:rsid w:val="24140A15"/>
    <w:rsid w:val="24145EF9"/>
    <w:rsid w:val="2414EAA3"/>
    <w:rsid w:val="2416B949"/>
    <w:rsid w:val="24200C85"/>
    <w:rsid w:val="2426BC6C"/>
    <w:rsid w:val="2430FAAF"/>
    <w:rsid w:val="2434BB4B"/>
    <w:rsid w:val="243B1329"/>
    <w:rsid w:val="2445A4F2"/>
    <w:rsid w:val="244E779D"/>
    <w:rsid w:val="245211ED"/>
    <w:rsid w:val="245761EE"/>
    <w:rsid w:val="2459CD4A"/>
    <w:rsid w:val="246104FB"/>
    <w:rsid w:val="246F344F"/>
    <w:rsid w:val="247BE237"/>
    <w:rsid w:val="2483242F"/>
    <w:rsid w:val="2485FD7B"/>
    <w:rsid w:val="2489787C"/>
    <w:rsid w:val="248B3E77"/>
    <w:rsid w:val="2495B65D"/>
    <w:rsid w:val="2497A9DC"/>
    <w:rsid w:val="249D6497"/>
    <w:rsid w:val="24A18D95"/>
    <w:rsid w:val="24A66371"/>
    <w:rsid w:val="24D895A1"/>
    <w:rsid w:val="24D8BC8E"/>
    <w:rsid w:val="24DA5BED"/>
    <w:rsid w:val="24DE2BFB"/>
    <w:rsid w:val="24E1F2BF"/>
    <w:rsid w:val="24E3C6B1"/>
    <w:rsid w:val="24E3CC14"/>
    <w:rsid w:val="24E643A3"/>
    <w:rsid w:val="24EACB7D"/>
    <w:rsid w:val="24EB0422"/>
    <w:rsid w:val="24F56C84"/>
    <w:rsid w:val="25160B92"/>
    <w:rsid w:val="25206EB3"/>
    <w:rsid w:val="252CE495"/>
    <w:rsid w:val="25350477"/>
    <w:rsid w:val="25354EF9"/>
    <w:rsid w:val="253B8092"/>
    <w:rsid w:val="2540559A"/>
    <w:rsid w:val="254299C7"/>
    <w:rsid w:val="2555F244"/>
    <w:rsid w:val="255F39A6"/>
    <w:rsid w:val="25606537"/>
    <w:rsid w:val="25619689"/>
    <w:rsid w:val="25640BC4"/>
    <w:rsid w:val="256BD3BC"/>
    <w:rsid w:val="256F7DEC"/>
    <w:rsid w:val="25716236"/>
    <w:rsid w:val="25794AC6"/>
    <w:rsid w:val="2582CC9D"/>
    <w:rsid w:val="259614AA"/>
    <w:rsid w:val="259781F4"/>
    <w:rsid w:val="259E04DB"/>
    <w:rsid w:val="25A8FAE1"/>
    <w:rsid w:val="25ACD515"/>
    <w:rsid w:val="25B0DD25"/>
    <w:rsid w:val="25B7290E"/>
    <w:rsid w:val="25B9724B"/>
    <w:rsid w:val="25C5D7F8"/>
    <w:rsid w:val="25CF69FA"/>
    <w:rsid w:val="25D00451"/>
    <w:rsid w:val="25D0D2A9"/>
    <w:rsid w:val="25DCB3DC"/>
    <w:rsid w:val="25DD54F1"/>
    <w:rsid w:val="25DDA8F4"/>
    <w:rsid w:val="25E29658"/>
    <w:rsid w:val="25E54B35"/>
    <w:rsid w:val="25EEAD24"/>
    <w:rsid w:val="25F1D815"/>
    <w:rsid w:val="25F394C0"/>
    <w:rsid w:val="25F9C41D"/>
    <w:rsid w:val="25FAD2C8"/>
    <w:rsid w:val="25FD3579"/>
    <w:rsid w:val="261668B1"/>
    <w:rsid w:val="2620C378"/>
    <w:rsid w:val="26235D4D"/>
    <w:rsid w:val="262C00D2"/>
    <w:rsid w:val="262CC3E3"/>
    <w:rsid w:val="2632D65A"/>
    <w:rsid w:val="26347476"/>
    <w:rsid w:val="26357173"/>
    <w:rsid w:val="263A511D"/>
    <w:rsid w:val="263B61E9"/>
    <w:rsid w:val="263CDFFC"/>
    <w:rsid w:val="26464851"/>
    <w:rsid w:val="264CB447"/>
    <w:rsid w:val="264CC3ED"/>
    <w:rsid w:val="2659CD7E"/>
    <w:rsid w:val="266011A2"/>
    <w:rsid w:val="26618E8E"/>
    <w:rsid w:val="26636582"/>
    <w:rsid w:val="266E7143"/>
    <w:rsid w:val="2670B99C"/>
    <w:rsid w:val="2673343A"/>
    <w:rsid w:val="26782B95"/>
    <w:rsid w:val="267BD47C"/>
    <w:rsid w:val="2681EC22"/>
    <w:rsid w:val="26829810"/>
    <w:rsid w:val="2684EDE9"/>
    <w:rsid w:val="26869A60"/>
    <w:rsid w:val="26898297"/>
    <w:rsid w:val="26A168AD"/>
    <w:rsid w:val="26A47827"/>
    <w:rsid w:val="26A70B01"/>
    <w:rsid w:val="26AFDD45"/>
    <w:rsid w:val="26B7B937"/>
    <w:rsid w:val="26C732D5"/>
    <w:rsid w:val="26C9CC37"/>
    <w:rsid w:val="26C9E218"/>
    <w:rsid w:val="26CB2B4B"/>
    <w:rsid w:val="26D023EA"/>
    <w:rsid w:val="26D59972"/>
    <w:rsid w:val="26D65D0E"/>
    <w:rsid w:val="26D66C73"/>
    <w:rsid w:val="26D7208E"/>
    <w:rsid w:val="26DC8AE8"/>
    <w:rsid w:val="26DF3C72"/>
    <w:rsid w:val="26E0832A"/>
    <w:rsid w:val="26E1FDCA"/>
    <w:rsid w:val="26E41CCD"/>
    <w:rsid w:val="26E6C839"/>
    <w:rsid w:val="26E91F14"/>
    <w:rsid w:val="26EF0CA2"/>
    <w:rsid w:val="26F659CE"/>
    <w:rsid w:val="26F6E431"/>
    <w:rsid w:val="26F7BE33"/>
    <w:rsid w:val="26FD792F"/>
    <w:rsid w:val="2700074F"/>
    <w:rsid w:val="27033042"/>
    <w:rsid w:val="2703611D"/>
    <w:rsid w:val="2703D1FF"/>
    <w:rsid w:val="270570BD"/>
    <w:rsid w:val="270CD31D"/>
    <w:rsid w:val="2712C950"/>
    <w:rsid w:val="2712D2B3"/>
    <w:rsid w:val="2714C6C5"/>
    <w:rsid w:val="271C06A6"/>
    <w:rsid w:val="271FD072"/>
    <w:rsid w:val="27223CA7"/>
    <w:rsid w:val="27289C2A"/>
    <w:rsid w:val="272FD073"/>
    <w:rsid w:val="273CB526"/>
    <w:rsid w:val="274A546A"/>
    <w:rsid w:val="274DA6C0"/>
    <w:rsid w:val="274DF7D7"/>
    <w:rsid w:val="274FF075"/>
    <w:rsid w:val="2752BBCC"/>
    <w:rsid w:val="2753C4F5"/>
    <w:rsid w:val="275CE4BC"/>
    <w:rsid w:val="2765D2EE"/>
    <w:rsid w:val="276C1172"/>
    <w:rsid w:val="2771388B"/>
    <w:rsid w:val="2774D27C"/>
    <w:rsid w:val="277CC36C"/>
    <w:rsid w:val="2785A242"/>
    <w:rsid w:val="2787242B"/>
    <w:rsid w:val="2795C697"/>
    <w:rsid w:val="27967DDD"/>
    <w:rsid w:val="2796C00C"/>
    <w:rsid w:val="2799858D"/>
    <w:rsid w:val="27A7E495"/>
    <w:rsid w:val="27A92749"/>
    <w:rsid w:val="27A98F76"/>
    <w:rsid w:val="27A9BBFB"/>
    <w:rsid w:val="27AA4422"/>
    <w:rsid w:val="27AB2F12"/>
    <w:rsid w:val="27C07399"/>
    <w:rsid w:val="27C6BF04"/>
    <w:rsid w:val="27CB5F66"/>
    <w:rsid w:val="27CE38D8"/>
    <w:rsid w:val="27D033DD"/>
    <w:rsid w:val="27D0CA8B"/>
    <w:rsid w:val="27D8E42C"/>
    <w:rsid w:val="27E04CD3"/>
    <w:rsid w:val="27E854E4"/>
    <w:rsid w:val="27E8DA45"/>
    <w:rsid w:val="27F09E08"/>
    <w:rsid w:val="27FA211F"/>
    <w:rsid w:val="27FB8D3B"/>
    <w:rsid w:val="2805C65D"/>
    <w:rsid w:val="280BD46F"/>
    <w:rsid w:val="281CD7AF"/>
    <w:rsid w:val="2829292C"/>
    <w:rsid w:val="2829E0BD"/>
    <w:rsid w:val="2830FCB8"/>
    <w:rsid w:val="2832739E"/>
    <w:rsid w:val="283C1831"/>
    <w:rsid w:val="28443DA8"/>
    <w:rsid w:val="284F2BEE"/>
    <w:rsid w:val="285164AA"/>
    <w:rsid w:val="2857A2E6"/>
    <w:rsid w:val="285A35D0"/>
    <w:rsid w:val="285DB8D8"/>
    <w:rsid w:val="2860257D"/>
    <w:rsid w:val="2864DE3D"/>
    <w:rsid w:val="2867BA9A"/>
    <w:rsid w:val="286E38A3"/>
    <w:rsid w:val="286FA585"/>
    <w:rsid w:val="2872E833"/>
    <w:rsid w:val="287AE7DF"/>
    <w:rsid w:val="2885B3CE"/>
    <w:rsid w:val="28863C44"/>
    <w:rsid w:val="2886E45D"/>
    <w:rsid w:val="288925C1"/>
    <w:rsid w:val="288A09EE"/>
    <w:rsid w:val="288EAC03"/>
    <w:rsid w:val="2891F644"/>
    <w:rsid w:val="2896FC45"/>
    <w:rsid w:val="289F8788"/>
    <w:rsid w:val="28A0F6A8"/>
    <w:rsid w:val="28A3EE91"/>
    <w:rsid w:val="28B27F92"/>
    <w:rsid w:val="28B3D83E"/>
    <w:rsid w:val="28B6EB77"/>
    <w:rsid w:val="28B74547"/>
    <w:rsid w:val="28B91C94"/>
    <w:rsid w:val="28C338A1"/>
    <w:rsid w:val="28C7128F"/>
    <w:rsid w:val="28C7E7C1"/>
    <w:rsid w:val="28CFF3BA"/>
    <w:rsid w:val="28DF4E17"/>
    <w:rsid w:val="28E4FE04"/>
    <w:rsid w:val="28EC4A09"/>
    <w:rsid w:val="28F10FAB"/>
    <w:rsid w:val="28F53B8F"/>
    <w:rsid w:val="28F89356"/>
    <w:rsid w:val="29007CCC"/>
    <w:rsid w:val="2904E2FF"/>
    <w:rsid w:val="29070539"/>
    <w:rsid w:val="290AA26F"/>
    <w:rsid w:val="290F508B"/>
    <w:rsid w:val="29152359"/>
    <w:rsid w:val="2918BBDF"/>
    <w:rsid w:val="291AB4A3"/>
    <w:rsid w:val="29202B57"/>
    <w:rsid w:val="29237A3B"/>
    <w:rsid w:val="2929C52C"/>
    <w:rsid w:val="2936FA5B"/>
    <w:rsid w:val="293FB30E"/>
    <w:rsid w:val="294051A4"/>
    <w:rsid w:val="29420846"/>
    <w:rsid w:val="29423795"/>
    <w:rsid w:val="294C9B68"/>
    <w:rsid w:val="295712DE"/>
    <w:rsid w:val="296024FA"/>
    <w:rsid w:val="296E9226"/>
    <w:rsid w:val="296F0B82"/>
    <w:rsid w:val="2971526D"/>
    <w:rsid w:val="2971F5A0"/>
    <w:rsid w:val="29781935"/>
    <w:rsid w:val="297854D8"/>
    <w:rsid w:val="297A97E8"/>
    <w:rsid w:val="297BBE8F"/>
    <w:rsid w:val="29838C01"/>
    <w:rsid w:val="2984EDE4"/>
    <w:rsid w:val="298ADE13"/>
    <w:rsid w:val="29A18918"/>
    <w:rsid w:val="29A82D99"/>
    <w:rsid w:val="29AE313E"/>
    <w:rsid w:val="29AFCE21"/>
    <w:rsid w:val="29B55693"/>
    <w:rsid w:val="29BB65FC"/>
    <w:rsid w:val="29BD9F3F"/>
    <w:rsid w:val="29BE0B33"/>
    <w:rsid w:val="29C957AB"/>
    <w:rsid w:val="29CA8F38"/>
    <w:rsid w:val="29DC5DFD"/>
    <w:rsid w:val="29DC83F2"/>
    <w:rsid w:val="29DE22B0"/>
    <w:rsid w:val="29EC7C23"/>
    <w:rsid w:val="29F1867B"/>
    <w:rsid w:val="29FB6C6C"/>
    <w:rsid w:val="29FCEA59"/>
    <w:rsid w:val="29FF37E2"/>
    <w:rsid w:val="29FF8804"/>
    <w:rsid w:val="2A126786"/>
    <w:rsid w:val="2A191E7A"/>
    <w:rsid w:val="2A2AC7C5"/>
    <w:rsid w:val="2A2BFCF3"/>
    <w:rsid w:val="2A30BFF8"/>
    <w:rsid w:val="2A38F492"/>
    <w:rsid w:val="2A5F2BF9"/>
    <w:rsid w:val="2A63E013"/>
    <w:rsid w:val="2A664D1B"/>
    <w:rsid w:val="2A67719E"/>
    <w:rsid w:val="2A731CA8"/>
    <w:rsid w:val="2A8634AE"/>
    <w:rsid w:val="2A8987DE"/>
    <w:rsid w:val="2A8A0822"/>
    <w:rsid w:val="2A8AD6F5"/>
    <w:rsid w:val="2A9070D0"/>
    <w:rsid w:val="2A92929C"/>
    <w:rsid w:val="2A9633FB"/>
    <w:rsid w:val="2A971C80"/>
    <w:rsid w:val="2AA37AB4"/>
    <w:rsid w:val="2AA8AEC2"/>
    <w:rsid w:val="2AB89F71"/>
    <w:rsid w:val="2AC1AF89"/>
    <w:rsid w:val="2AC4566B"/>
    <w:rsid w:val="2ACA3DB7"/>
    <w:rsid w:val="2ACEEA63"/>
    <w:rsid w:val="2AD613AF"/>
    <w:rsid w:val="2ADB6923"/>
    <w:rsid w:val="2AE01ED8"/>
    <w:rsid w:val="2AE69393"/>
    <w:rsid w:val="2AE74294"/>
    <w:rsid w:val="2AEBCA7F"/>
    <w:rsid w:val="2AEFED23"/>
    <w:rsid w:val="2AF61974"/>
    <w:rsid w:val="2AF96419"/>
    <w:rsid w:val="2AFBDD8F"/>
    <w:rsid w:val="2B11F4A9"/>
    <w:rsid w:val="2B14CFC7"/>
    <w:rsid w:val="2B196042"/>
    <w:rsid w:val="2B1DBB1B"/>
    <w:rsid w:val="2B235157"/>
    <w:rsid w:val="2B26D37D"/>
    <w:rsid w:val="2B2DCC25"/>
    <w:rsid w:val="2B2F6531"/>
    <w:rsid w:val="2B3142C0"/>
    <w:rsid w:val="2B3950B7"/>
    <w:rsid w:val="2B3E8218"/>
    <w:rsid w:val="2B443128"/>
    <w:rsid w:val="2B535A45"/>
    <w:rsid w:val="2B5CC99E"/>
    <w:rsid w:val="2B5D022D"/>
    <w:rsid w:val="2B619669"/>
    <w:rsid w:val="2B63C522"/>
    <w:rsid w:val="2B669DE3"/>
    <w:rsid w:val="2B6A0B0B"/>
    <w:rsid w:val="2B6FEA82"/>
    <w:rsid w:val="2B71C9B4"/>
    <w:rsid w:val="2B76E361"/>
    <w:rsid w:val="2B8BADCD"/>
    <w:rsid w:val="2B96626A"/>
    <w:rsid w:val="2B9E68AE"/>
    <w:rsid w:val="2BA399B7"/>
    <w:rsid w:val="2BA5922D"/>
    <w:rsid w:val="2BA99DA6"/>
    <w:rsid w:val="2BAAEBCB"/>
    <w:rsid w:val="2BAB7516"/>
    <w:rsid w:val="2BAEA1F3"/>
    <w:rsid w:val="2BB22629"/>
    <w:rsid w:val="2BBB8C89"/>
    <w:rsid w:val="2BC49031"/>
    <w:rsid w:val="2BC5B256"/>
    <w:rsid w:val="2BC5DF94"/>
    <w:rsid w:val="2BCD3DE5"/>
    <w:rsid w:val="2BDC6A80"/>
    <w:rsid w:val="2BDF9C7C"/>
    <w:rsid w:val="2BE17B9C"/>
    <w:rsid w:val="2BE36084"/>
    <w:rsid w:val="2BE6E74A"/>
    <w:rsid w:val="2BF1CAD5"/>
    <w:rsid w:val="2BFC24BE"/>
    <w:rsid w:val="2BFC9663"/>
    <w:rsid w:val="2BFCF439"/>
    <w:rsid w:val="2C05527D"/>
    <w:rsid w:val="2C0AD4C2"/>
    <w:rsid w:val="2C0B6B50"/>
    <w:rsid w:val="2C0C2CD1"/>
    <w:rsid w:val="2C0DC789"/>
    <w:rsid w:val="2C23E756"/>
    <w:rsid w:val="2C280EBC"/>
    <w:rsid w:val="2C322FA1"/>
    <w:rsid w:val="2C3DD758"/>
    <w:rsid w:val="2C405986"/>
    <w:rsid w:val="2C43B347"/>
    <w:rsid w:val="2C469926"/>
    <w:rsid w:val="2C4B35BC"/>
    <w:rsid w:val="2C5A36A7"/>
    <w:rsid w:val="2C5BF90F"/>
    <w:rsid w:val="2C5F38DB"/>
    <w:rsid w:val="2C668FFE"/>
    <w:rsid w:val="2C68C1C8"/>
    <w:rsid w:val="2C6A95EC"/>
    <w:rsid w:val="2C6DFA1F"/>
    <w:rsid w:val="2C6E44FE"/>
    <w:rsid w:val="2C6ED3E3"/>
    <w:rsid w:val="2C6F2C85"/>
    <w:rsid w:val="2C77D9FF"/>
    <w:rsid w:val="2C7BD6B2"/>
    <w:rsid w:val="2C8E24B7"/>
    <w:rsid w:val="2C8F3F7F"/>
    <w:rsid w:val="2C9C4328"/>
    <w:rsid w:val="2C9FFDCC"/>
    <w:rsid w:val="2CB1DD98"/>
    <w:rsid w:val="2CB6741F"/>
    <w:rsid w:val="2CBD2606"/>
    <w:rsid w:val="2CC0D49B"/>
    <w:rsid w:val="2CC9594F"/>
    <w:rsid w:val="2CCEBC43"/>
    <w:rsid w:val="2CD63838"/>
    <w:rsid w:val="2CE80007"/>
    <w:rsid w:val="2CEF24CF"/>
    <w:rsid w:val="2CFA8288"/>
    <w:rsid w:val="2CFACC13"/>
    <w:rsid w:val="2D060052"/>
    <w:rsid w:val="2D1187FD"/>
    <w:rsid w:val="2D161494"/>
    <w:rsid w:val="2D1BE243"/>
    <w:rsid w:val="2D227B89"/>
    <w:rsid w:val="2D29951E"/>
    <w:rsid w:val="2D2A59EA"/>
    <w:rsid w:val="2D2CB016"/>
    <w:rsid w:val="2D39FDE7"/>
    <w:rsid w:val="2D435C8B"/>
    <w:rsid w:val="2D566899"/>
    <w:rsid w:val="2D57689A"/>
    <w:rsid w:val="2D595296"/>
    <w:rsid w:val="2D71C232"/>
    <w:rsid w:val="2D783B2C"/>
    <w:rsid w:val="2D7C5CE5"/>
    <w:rsid w:val="2D7E72B0"/>
    <w:rsid w:val="2D8DC5EC"/>
    <w:rsid w:val="2D954FB7"/>
    <w:rsid w:val="2D9B2AF7"/>
    <w:rsid w:val="2D9CC08B"/>
    <w:rsid w:val="2D9F594F"/>
    <w:rsid w:val="2DAA84F3"/>
    <w:rsid w:val="2DABD256"/>
    <w:rsid w:val="2DAC79A0"/>
    <w:rsid w:val="2DB0BB27"/>
    <w:rsid w:val="2DB0F884"/>
    <w:rsid w:val="2DB12ABE"/>
    <w:rsid w:val="2DB35400"/>
    <w:rsid w:val="2DB4008A"/>
    <w:rsid w:val="2DBAA8FC"/>
    <w:rsid w:val="2DBEC240"/>
    <w:rsid w:val="2DC645A1"/>
    <w:rsid w:val="2DC647D6"/>
    <w:rsid w:val="2DCF2963"/>
    <w:rsid w:val="2DDCAACF"/>
    <w:rsid w:val="2DDEF5D7"/>
    <w:rsid w:val="2DE056EB"/>
    <w:rsid w:val="2DE7E9C6"/>
    <w:rsid w:val="2DEAA1B3"/>
    <w:rsid w:val="2DEF5AC4"/>
    <w:rsid w:val="2DF795B7"/>
    <w:rsid w:val="2DFCD4A0"/>
    <w:rsid w:val="2DFF47DE"/>
    <w:rsid w:val="2DFFC817"/>
    <w:rsid w:val="2E03B99E"/>
    <w:rsid w:val="2E053659"/>
    <w:rsid w:val="2E189911"/>
    <w:rsid w:val="2E254DF0"/>
    <w:rsid w:val="2E28C254"/>
    <w:rsid w:val="2E2DED23"/>
    <w:rsid w:val="2E38D9E2"/>
    <w:rsid w:val="2E3AE022"/>
    <w:rsid w:val="2E42E98E"/>
    <w:rsid w:val="2E4B3B53"/>
    <w:rsid w:val="2E541D68"/>
    <w:rsid w:val="2E56D610"/>
    <w:rsid w:val="2E5D758B"/>
    <w:rsid w:val="2E60FBBD"/>
    <w:rsid w:val="2E63FFF2"/>
    <w:rsid w:val="2E6900E9"/>
    <w:rsid w:val="2E77D235"/>
    <w:rsid w:val="2E7ABA9F"/>
    <w:rsid w:val="2E81700D"/>
    <w:rsid w:val="2E877960"/>
    <w:rsid w:val="2E8A4B13"/>
    <w:rsid w:val="2E90C605"/>
    <w:rsid w:val="2E9426D6"/>
    <w:rsid w:val="2EAAC015"/>
    <w:rsid w:val="2EB2B2CE"/>
    <w:rsid w:val="2ECA6398"/>
    <w:rsid w:val="2ECD866C"/>
    <w:rsid w:val="2ED1EB37"/>
    <w:rsid w:val="2ED39E3C"/>
    <w:rsid w:val="2ED5208E"/>
    <w:rsid w:val="2ED596ED"/>
    <w:rsid w:val="2EDC822E"/>
    <w:rsid w:val="2EEC33A7"/>
    <w:rsid w:val="2EED5370"/>
    <w:rsid w:val="2EF1CD71"/>
    <w:rsid w:val="2EF84BB0"/>
    <w:rsid w:val="2EF909C7"/>
    <w:rsid w:val="2F039BF2"/>
    <w:rsid w:val="2F0EE811"/>
    <w:rsid w:val="2F21DEE8"/>
    <w:rsid w:val="2F22F1E5"/>
    <w:rsid w:val="2F272428"/>
    <w:rsid w:val="2F299733"/>
    <w:rsid w:val="2F336C2B"/>
    <w:rsid w:val="2F3837E0"/>
    <w:rsid w:val="2F4B2F3F"/>
    <w:rsid w:val="2F4D63EA"/>
    <w:rsid w:val="2F5E897E"/>
    <w:rsid w:val="2F662A60"/>
    <w:rsid w:val="2F6DD7FB"/>
    <w:rsid w:val="2F71B797"/>
    <w:rsid w:val="2F7C03F2"/>
    <w:rsid w:val="2F7D7FFE"/>
    <w:rsid w:val="2F7E4B11"/>
    <w:rsid w:val="2F80E6AA"/>
    <w:rsid w:val="2F84E624"/>
    <w:rsid w:val="2F8B6A7E"/>
    <w:rsid w:val="2F8BE5A0"/>
    <w:rsid w:val="2F901951"/>
    <w:rsid w:val="2F911B43"/>
    <w:rsid w:val="2F9267CA"/>
    <w:rsid w:val="2F93C660"/>
    <w:rsid w:val="2F9EEAE3"/>
    <w:rsid w:val="2FA64E4D"/>
    <w:rsid w:val="2FA6C96D"/>
    <w:rsid w:val="2FAC3541"/>
    <w:rsid w:val="2FAFFF34"/>
    <w:rsid w:val="2FB3E703"/>
    <w:rsid w:val="2FB98E5A"/>
    <w:rsid w:val="2FBA145D"/>
    <w:rsid w:val="2FC22BC8"/>
    <w:rsid w:val="2FD25FEC"/>
    <w:rsid w:val="2FD9235A"/>
    <w:rsid w:val="2FD9859B"/>
    <w:rsid w:val="2FDA14D9"/>
    <w:rsid w:val="2FDF1EFB"/>
    <w:rsid w:val="2FE2A784"/>
    <w:rsid w:val="2FE5F12D"/>
    <w:rsid w:val="2FE678A4"/>
    <w:rsid w:val="2FEE17C8"/>
    <w:rsid w:val="2FF2BFD4"/>
    <w:rsid w:val="2FF445DE"/>
    <w:rsid w:val="2FF4D50C"/>
    <w:rsid w:val="2FF64951"/>
    <w:rsid w:val="2FFDAF33"/>
    <w:rsid w:val="2FFDEA8D"/>
    <w:rsid w:val="2FFFB1BC"/>
    <w:rsid w:val="30000B86"/>
    <w:rsid w:val="300A6886"/>
    <w:rsid w:val="300C1ABA"/>
    <w:rsid w:val="30157FB0"/>
    <w:rsid w:val="301B0921"/>
    <w:rsid w:val="30203A88"/>
    <w:rsid w:val="3024BEB9"/>
    <w:rsid w:val="3028781E"/>
    <w:rsid w:val="302F37FF"/>
    <w:rsid w:val="302F76AA"/>
    <w:rsid w:val="303D2B08"/>
    <w:rsid w:val="30477567"/>
    <w:rsid w:val="304DB1C0"/>
    <w:rsid w:val="304F7EB0"/>
    <w:rsid w:val="30502D5C"/>
    <w:rsid w:val="30709723"/>
    <w:rsid w:val="3077E249"/>
    <w:rsid w:val="307B11D7"/>
    <w:rsid w:val="307C024C"/>
    <w:rsid w:val="308FAE91"/>
    <w:rsid w:val="309E01B4"/>
    <w:rsid w:val="30A1AF11"/>
    <w:rsid w:val="30A2F87E"/>
    <w:rsid w:val="30A5FE54"/>
    <w:rsid w:val="30A9751A"/>
    <w:rsid w:val="30AF1175"/>
    <w:rsid w:val="30B4263B"/>
    <w:rsid w:val="30B47E9A"/>
    <w:rsid w:val="30B6ACD6"/>
    <w:rsid w:val="30BC315F"/>
    <w:rsid w:val="30BE2C64"/>
    <w:rsid w:val="30BEC09E"/>
    <w:rsid w:val="30BF5122"/>
    <w:rsid w:val="30BF728C"/>
    <w:rsid w:val="30CF3E6F"/>
    <w:rsid w:val="30DD50E1"/>
    <w:rsid w:val="30EA659C"/>
    <w:rsid w:val="30EB99FB"/>
    <w:rsid w:val="30F1B47A"/>
    <w:rsid w:val="30FB9C60"/>
    <w:rsid w:val="3100265F"/>
    <w:rsid w:val="3104579F"/>
    <w:rsid w:val="310C67B9"/>
    <w:rsid w:val="311A6DED"/>
    <w:rsid w:val="311EE3B1"/>
    <w:rsid w:val="311FCABE"/>
    <w:rsid w:val="3127665C"/>
    <w:rsid w:val="31333A3E"/>
    <w:rsid w:val="313CD799"/>
    <w:rsid w:val="314AD4F0"/>
    <w:rsid w:val="3163BA8F"/>
    <w:rsid w:val="3164F0F1"/>
    <w:rsid w:val="31718379"/>
    <w:rsid w:val="31753AD0"/>
    <w:rsid w:val="317AADEE"/>
    <w:rsid w:val="3186CC57"/>
    <w:rsid w:val="318AE845"/>
    <w:rsid w:val="318F824D"/>
    <w:rsid w:val="3191C43C"/>
    <w:rsid w:val="319B8016"/>
    <w:rsid w:val="319CCE99"/>
    <w:rsid w:val="31A8B1C7"/>
    <w:rsid w:val="31A96B8F"/>
    <w:rsid w:val="31AAC6ED"/>
    <w:rsid w:val="31B703BE"/>
    <w:rsid w:val="31B741E6"/>
    <w:rsid w:val="31B75DA9"/>
    <w:rsid w:val="31C8F6C6"/>
    <w:rsid w:val="31CBADBC"/>
    <w:rsid w:val="31CEB64B"/>
    <w:rsid w:val="31D2FCED"/>
    <w:rsid w:val="31DFCB1B"/>
    <w:rsid w:val="31E0AEF3"/>
    <w:rsid w:val="31E0BBC6"/>
    <w:rsid w:val="31E7122F"/>
    <w:rsid w:val="31E9C64A"/>
    <w:rsid w:val="31EC8EFB"/>
    <w:rsid w:val="31F3BF40"/>
    <w:rsid w:val="31F81190"/>
    <w:rsid w:val="320470FC"/>
    <w:rsid w:val="3204C119"/>
    <w:rsid w:val="320E24FA"/>
    <w:rsid w:val="32186C4F"/>
    <w:rsid w:val="321D0DAC"/>
    <w:rsid w:val="322414D2"/>
    <w:rsid w:val="3231C26F"/>
    <w:rsid w:val="32371CDD"/>
    <w:rsid w:val="323F9FE5"/>
    <w:rsid w:val="3241FA34"/>
    <w:rsid w:val="32421816"/>
    <w:rsid w:val="32514776"/>
    <w:rsid w:val="32537F9E"/>
    <w:rsid w:val="325B3841"/>
    <w:rsid w:val="32684FA0"/>
    <w:rsid w:val="326BC035"/>
    <w:rsid w:val="3275D52D"/>
    <w:rsid w:val="32893E53"/>
    <w:rsid w:val="3289F928"/>
    <w:rsid w:val="329E6E28"/>
    <w:rsid w:val="32A047A4"/>
    <w:rsid w:val="32A564BA"/>
    <w:rsid w:val="32A75743"/>
    <w:rsid w:val="32B78E24"/>
    <w:rsid w:val="32CAC5EE"/>
    <w:rsid w:val="32CB2F98"/>
    <w:rsid w:val="32CEDBC2"/>
    <w:rsid w:val="32E1263D"/>
    <w:rsid w:val="32E626A5"/>
    <w:rsid w:val="32F093A1"/>
    <w:rsid w:val="32FC9B7D"/>
    <w:rsid w:val="33077D4E"/>
    <w:rsid w:val="330AE9A4"/>
    <w:rsid w:val="3313F8D8"/>
    <w:rsid w:val="33156184"/>
    <w:rsid w:val="33161694"/>
    <w:rsid w:val="33176A72"/>
    <w:rsid w:val="3317CE48"/>
    <w:rsid w:val="33199F35"/>
    <w:rsid w:val="331EED37"/>
    <w:rsid w:val="331F8BB6"/>
    <w:rsid w:val="3324297B"/>
    <w:rsid w:val="33363CFD"/>
    <w:rsid w:val="333EC6FC"/>
    <w:rsid w:val="333F4F9F"/>
    <w:rsid w:val="33456F6D"/>
    <w:rsid w:val="334816ED"/>
    <w:rsid w:val="334A2D97"/>
    <w:rsid w:val="334ADDE2"/>
    <w:rsid w:val="334C3846"/>
    <w:rsid w:val="334D6158"/>
    <w:rsid w:val="335570C4"/>
    <w:rsid w:val="335644FF"/>
    <w:rsid w:val="3360D2E7"/>
    <w:rsid w:val="33614076"/>
    <w:rsid w:val="3367225F"/>
    <w:rsid w:val="33728444"/>
    <w:rsid w:val="337322E2"/>
    <w:rsid w:val="337812B0"/>
    <w:rsid w:val="337A0F2A"/>
    <w:rsid w:val="337D0AFD"/>
    <w:rsid w:val="337E8D34"/>
    <w:rsid w:val="33A54649"/>
    <w:rsid w:val="33A550D4"/>
    <w:rsid w:val="33A74C30"/>
    <w:rsid w:val="33ACBDA9"/>
    <w:rsid w:val="33B4EF20"/>
    <w:rsid w:val="33C117E7"/>
    <w:rsid w:val="33C57772"/>
    <w:rsid w:val="33C9563E"/>
    <w:rsid w:val="33CA4B60"/>
    <w:rsid w:val="33CD7030"/>
    <w:rsid w:val="33D52D96"/>
    <w:rsid w:val="33D9AE3E"/>
    <w:rsid w:val="33E1C05F"/>
    <w:rsid w:val="33EB3B05"/>
    <w:rsid w:val="33EF020E"/>
    <w:rsid w:val="33F12F06"/>
    <w:rsid w:val="33F1978E"/>
    <w:rsid w:val="33F77478"/>
    <w:rsid w:val="33FB4894"/>
    <w:rsid w:val="33FC2C3A"/>
    <w:rsid w:val="33FF167A"/>
    <w:rsid w:val="34047148"/>
    <w:rsid w:val="34145904"/>
    <w:rsid w:val="3416AE2F"/>
    <w:rsid w:val="341ABD97"/>
    <w:rsid w:val="341C5F24"/>
    <w:rsid w:val="343287BB"/>
    <w:rsid w:val="34336088"/>
    <w:rsid w:val="34370103"/>
    <w:rsid w:val="34374AC2"/>
    <w:rsid w:val="345503BC"/>
    <w:rsid w:val="345A01A2"/>
    <w:rsid w:val="345F6BEA"/>
    <w:rsid w:val="346BB2F0"/>
    <w:rsid w:val="346C0148"/>
    <w:rsid w:val="346E7A6F"/>
    <w:rsid w:val="34708ED5"/>
    <w:rsid w:val="34737D12"/>
    <w:rsid w:val="34798F07"/>
    <w:rsid w:val="347A1A51"/>
    <w:rsid w:val="34807F8F"/>
    <w:rsid w:val="34852EDF"/>
    <w:rsid w:val="34884597"/>
    <w:rsid w:val="348AC302"/>
    <w:rsid w:val="348CDD8A"/>
    <w:rsid w:val="348D58CD"/>
    <w:rsid w:val="349296FE"/>
    <w:rsid w:val="3499A537"/>
    <w:rsid w:val="34A80AF0"/>
    <w:rsid w:val="34B2C3CD"/>
    <w:rsid w:val="34BA48BB"/>
    <w:rsid w:val="34C3FE24"/>
    <w:rsid w:val="34CE66C8"/>
    <w:rsid w:val="34D43175"/>
    <w:rsid w:val="34D4625B"/>
    <w:rsid w:val="34D892D8"/>
    <w:rsid w:val="34E7B8F9"/>
    <w:rsid w:val="34EFFCDE"/>
    <w:rsid w:val="34F0C62A"/>
    <w:rsid w:val="34F3E35F"/>
    <w:rsid w:val="34F6A9C4"/>
    <w:rsid w:val="34F75F71"/>
    <w:rsid w:val="34FC218C"/>
    <w:rsid w:val="3507A624"/>
    <w:rsid w:val="3508BCB0"/>
    <w:rsid w:val="350E7C24"/>
    <w:rsid w:val="3515DBBE"/>
    <w:rsid w:val="35199398"/>
    <w:rsid w:val="351CC2C0"/>
    <w:rsid w:val="352A6CAA"/>
    <w:rsid w:val="353674B2"/>
    <w:rsid w:val="3549DC52"/>
    <w:rsid w:val="3558CC5C"/>
    <w:rsid w:val="356481DA"/>
    <w:rsid w:val="356D4A5B"/>
    <w:rsid w:val="356E3C6F"/>
    <w:rsid w:val="357238E8"/>
    <w:rsid w:val="35728341"/>
    <w:rsid w:val="357B65FF"/>
    <w:rsid w:val="357DF2F9"/>
    <w:rsid w:val="35840F3B"/>
    <w:rsid w:val="35844313"/>
    <w:rsid w:val="35868B2A"/>
    <w:rsid w:val="35909E5D"/>
    <w:rsid w:val="359B00CE"/>
    <w:rsid w:val="35A45FA3"/>
    <w:rsid w:val="35A7A15C"/>
    <w:rsid w:val="35AE13FE"/>
    <w:rsid w:val="35B6020F"/>
    <w:rsid w:val="35BD97BA"/>
    <w:rsid w:val="35C367B2"/>
    <w:rsid w:val="35C4503F"/>
    <w:rsid w:val="35C62C2A"/>
    <w:rsid w:val="35C9C359"/>
    <w:rsid w:val="35D49FB4"/>
    <w:rsid w:val="35D5A174"/>
    <w:rsid w:val="35D65D85"/>
    <w:rsid w:val="35DBAAD5"/>
    <w:rsid w:val="35E94A5B"/>
    <w:rsid w:val="35EC8A5C"/>
    <w:rsid w:val="35F383EC"/>
    <w:rsid w:val="35F3FC09"/>
    <w:rsid w:val="35F9662E"/>
    <w:rsid w:val="35FC1B9A"/>
    <w:rsid w:val="36012857"/>
    <w:rsid w:val="3604D395"/>
    <w:rsid w:val="360BA3C1"/>
    <w:rsid w:val="36220560"/>
    <w:rsid w:val="3622D5E3"/>
    <w:rsid w:val="36286717"/>
    <w:rsid w:val="362FB462"/>
    <w:rsid w:val="362FEEAB"/>
    <w:rsid w:val="3630AF1B"/>
    <w:rsid w:val="3630DF6E"/>
    <w:rsid w:val="36394684"/>
    <w:rsid w:val="363E3C7F"/>
    <w:rsid w:val="364626E6"/>
    <w:rsid w:val="364BBBC0"/>
    <w:rsid w:val="365C78A1"/>
    <w:rsid w:val="365D12D6"/>
    <w:rsid w:val="366BAE3B"/>
    <w:rsid w:val="366E8F10"/>
    <w:rsid w:val="3677061F"/>
    <w:rsid w:val="367C21E9"/>
    <w:rsid w:val="367CA097"/>
    <w:rsid w:val="367CC8F2"/>
    <w:rsid w:val="3682BB1E"/>
    <w:rsid w:val="36830C19"/>
    <w:rsid w:val="3699F2BC"/>
    <w:rsid w:val="36A956FC"/>
    <w:rsid w:val="36AA9521"/>
    <w:rsid w:val="36BB00D2"/>
    <w:rsid w:val="36C6E28D"/>
    <w:rsid w:val="36C92C9B"/>
    <w:rsid w:val="36CBDD5D"/>
    <w:rsid w:val="36D4E32B"/>
    <w:rsid w:val="36E39A7E"/>
    <w:rsid w:val="36EB9BEE"/>
    <w:rsid w:val="36EFADD2"/>
    <w:rsid w:val="36F03898"/>
    <w:rsid w:val="36F4B172"/>
    <w:rsid w:val="36F5CB8B"/>
    <w:rsid w:val="36F61438"/>
    <w:rsid w:val="36F97EA3"/>
    <w:rsid w:val="36FA7FD5"/>
    <w:rsid w:val="36FB6185"/>
    <w:rsid w:val="36FBABE3"/>
    <w:rsid w:val="3701AA5D"/>
    <w:rsid w:val="3701F931"/>
    <w:rsid w:val="3704CC93"/>
    <w:rsid w:val="370CC94F"/>
    <w:rsid w:val="370D6B8B"/>
    <w:rsid w:val="370F1ACD"/>
    <w:rsid w:val="371041BA"/>
    <w:rsid w:val="37158E2E"/>
    <w:rsid w:val="3715D5AC"/>
    <w:rsid w:val="37189BDE"/>
    <w:rsid w:val="371A23C7"/>
    <w:rsid w:val="37209351"/>
    <w:rsid w:val="372702C2"/>
    <w:rsid w:val="37280F2A"/>
    <w:rsid w:val="372816F1"/>
    <w:rsid w:val="372A9EC3"/>
    <w:rsid w:val="372B61FB"/>
    <w:rsid w:val="37395582"/>
    <w:rsid w:val="373E3088"/>
    <w:rsid w:val="3744ED8C"/>
    <w:rsid w:val="374B6E76"/>
    <w:rsid w:val="37599BC5"/>
    <w:rsid w:val="375A60B2"/>
    <w:rsid w:val="375DAF61"/>
    <w:rsid w:val="375F7E68"/>
    <w:rsid w:val="37649AF9"/>
    <w:rsid w:val="377001F4"/>
    <w:rsid w:val="377420B4"/>
    <w:rsid w:val="377B05F0"/>
    <w:rsid w:val="37896BE5"/>
    <w:rsid w:val="3795417D"/>
    <w:rsid w:val="37A39A8D"/>
    <w:rsid w:val="37A66421"/>
    <w:rsid w:val="37B3990B"/>
    <w:rsid w:val="37B83CF1"/>
    <w:rsid w:val="37B95B8A"/>
    <w:rsid w:val="37CD9BE8"/>
    <w:rsid w:val="37D36D2D"/>
    <w:rsid w:val="37DC40DE"/>
    <w:rsid w:val="37E3516F"/>
    <w:rsid w:val="37E6C11B"/>
    <w:rsid w:val="37E75903"/>
    <w:rsid w:val="37F418F6"/>
    <w:rsid w:val="37F99EC8"/>
    <w:rsid w:val="3805F92B"/>
    <w:rsid w:val="3806F8DF"/>
    <w:rsid w:val="380966B1"/>
    <w:rsid w:val="380DAC23"/>
    <w:rsid w:val="3819EC45"/>
    <w:rsid w:val="381BC1B6"/>
    <w:rsid w:val="38208CE6"/>
    <w:rsid w:val="382B4FFB"/>
    <w:rsid w:val="3832B46F"/>
    <w:rsid w:val="3838E869"/>
    <w:rsid w:val="3839E56B"/>
    <w:rsid w:val="383A59BE"/>
    <w:rsid w:val="383E4C2F"/>
    <w:rsid w:val="38426882"/>
    <w:rsid w:val="38427474"/>
    <w:rsid w:val="384ABA10"/>
    <w:rsid w:val="384D9FFE"/>
    <w:rsid w:val="3852ADFA"/>
    <w:rsid w:val="38540C8C"/>
    <w:rsid w:val="385F4921"/>
    <w:rsid w:val="3872BDC0"/>
    <w:rsid w:val="387315B6"/>
    <w:rsid w:val="388A1B72"/>
    <w:rsid w:val="388CC7A7"/>
    <w:rsid w:val="389EACD3"/>
    <w:rsid w:val="38A8381B"/>
    <w:rsid w:val="38A955D2"/>
    <w:rsid w:val="38AA5570"/>
    <w:rsid w:val="38AA8A50"/>
    <w:rsid w:val="38ABB14D"/>
    <w:rsid w:val="38B0BE8F"/>
    <w:rsid w:val="38B2F7B3"/>
    <w:rsid w:val="38B673EF"/>
    <w:rsid w:val="38CC747E"/>
    <w:rsid w:val="38CDBA4A"/>
    <w:rsid w:val="38D0DFDD"/>
    <w:rsid w:val="38D12F67"/>
    <w:rsid w:val="38D19451"/>
    <w:rsid w:val="38D79D14"/>
    <w:rsid w:val="38DBFAED"/>
    <w:rsid w:val="38F59246"/>
    <w:rsid w:val="38F860A9"/>
    <w:rsid w:val="38FBD508"/>
    <w:rsid w:val="39022C23"/>
    <w:rsid w:val="39121622"/>
    <w:rsid w:val="39136249"/>
    <w:rsid w:val="3915109B"/>
    <w:rsid w:val="391883A0"/>
    <w:rsid w:val="391B84F2"/>
    <w:rsid w:val="392DCB89"/>
    <w:rsid w:val="392EC42A"/>
    <w:rsid w:val="3932DB17"/>
    <w:rsid w:val="393A59AF"/>
    <w:rsid w:val="3942800B"/>
    <w:rsid w:val="39435634"/>
    <w:rsid w:val="39439CCD"/>
    <w:rsid w:val="395A4B62"/>
    <w:rsid w:val="395E66D7"/>
    <w:rsid w:val="3975E332"/>
    <w:rsid w:val="397992AB"/>
    <w:rsid w:val="397A4B01"/>
    <w:rsid w:val="398617BD"/>
    <w:rsid w:val="398D5836"/>
    <w:rsid w:val="3998A29E"/>
    <w:rsid w:val="399CCD59"/>
    <w:rsid w:val="39A9CDCB"/>
    <w:rsid w:val="39AA4E91"/>
    <w:rsid w:val="39C0D33D"/>
    <w:rsid w:val="39C0DEC8"/>
    <w:rsid w:val="39C50AAC"/>
    <w:rsid w:val="39C78EF4"/>
    <w:rsid w:val="39CDA88D"/>
    <w:rsid w:val="39CE7CEC"/>
    <w:rsid w:val="39F0FB17"/>
    <w:rsid w:val="39F80D78"/>
    <w:rsid w:val="39F97B51"/>
    <w:rsid w:val="39FA07AA"/>
    <w:rsid w:val="39FB4A3E"/>
    <w:rsid w:val="39FDDA62"/>
    <w:rsid w:val="3A0057F2"/>
    <w:rsid w:val="3A02FD5A"/>
    <w:rsid w:val="3A097753"/>
    <w:rsid w:val="3A0C5753"/>
    <w:rsid w:val="3A0ECD4E"/>
    <w:rsid w:val="3A165B7D"/>
    <w:rsid w:val="3A1E743C"/>
    <w:rsid w:val="3A287970"/>
    <w:rsid w:val="3A336861"/>
    <w:rsid w:val="3A3759E3"/>
    <w:rsid w:val="3A453D55"/>
    <w:rsid w:val="3A48AE8C"/>
    <w:rsid w:val="3A4F3CCD"/>
    <w:rsid w:val="3A524A23"/>
    <w:rsid w:val="3A5998BF"/>
    <w:rsid w:val="3A625BFB"/>
    <w:rsid w:val="3A644339"/>
    <w:rsid w:val="3A6C88C5"/>
    <w:rsid w:val="3A701771"/>
    <w:rsid w:val="3A7F11C3"/>
    <w:rsid w:val="3A85D9A3"/>
    <w:rsid w:val="3AA883F0"/>
    <w:rsid w:val="3AA9244D"/>
    <w:rsid w:val="3AAFD88C"/>
    <w:rsid w:val="3AB07565"/>
    <w:rsid w:val="3AB0931C"/>
    <w:rsid w:val="3AB28A24"/>
    <w:rsid w:val="3AB42A89"/>
    <w:rsid w:val="3AB46CFF"/>
    <w:rsid w:val="3AB75CFC"/>
    <w:rsid w:val="3AC44611"/>
    <w:rsid w:val="3AD10B9E"/>
    <w:rsid w:val="3AD5ED4F"/>
    <w:rsid w:val="3AD61AEE"/>
    <w:rsid w:val="3AD92C48"/>
    <w:rsid w:val="3ADAEF72"/>
    <w:rsid w:val="3ADF1A65"/>
    <w:rsid w:val="3AE06E99"/>
    <w:rsid w:val="3AE2B5FA"/>
    <w:rsid w:val="3AE44CBB"/>
    <w:rsid w:val="3AE56F31"/>
    <w:rsid w:val="3AE9AA10"/>
    <w:rsid w:val="3AEB56AE"/>
    <w:rsid w:val="3AF41ED1"/>
    <w:rsid w:val="3AF70DB6"/>
    <w:rsid w:val="3AFD59C6"/>
    <w:rsid w:val="3B076953"/>
    <w:rsid w:val="3B09ABCC"/>
    <w:rsid w:val="3B0B1570"/>
    <w:rsid w:val="3B153B13"/>
    <w:rsid w:val="3B1B009E"/>
    <w:rsid w:val="3B1D459D"/>
    <w:rsid w:val="3B23BEB0"/>
    <w:rsid w:val="3B24DD45"/>
    <w:rsid w:val="3B25C393"/>
    <w:rsid w:val="3B2BB045"/>
    <w:rsid w:val="3B38ACE8"/>
    <w:rsid w:val="3B5093BE"/>
    <w:rsid w:val="3B5CE94B"/>
    <w:rsid w:val="3B5FDCF6"/>
    <w:rsid w:val="3B6D12EB"/>
    <w:rsid w:val="3B751290"/>
    <w:rsid w:val="3B76CCE2"/>
    <w:rsid w:val="3B7D090F"/>
    <w:rsid w:val="3B8CE1EE"/>
    <w:rsid w:val="3B9116C6"/>
    <w:rsid w:val="3B928CC1"/>
    <w:rsid w:val="3B9445DD"/>
    <w:rsid w:val="3B9B1866"/>
    <w:rsid w:val="3BA0535B"/>
    <w:rsid w:val="3BA54509"/>
    <w:rsid w:val="3BBC9CB6"/>
    <w:rsid w:val="3BBE84F8"/>
    <w:rsid w:val="3BC73730"/>
    <w:rsid w:val="3BCC5626"/>
    <w:rsid w:val="3BD513FF"/>
    <w:rsid w:val="3BD98FA8"/>
    <w:rsid w:val="3BE3EC79"/>
    <w:rsid w:val="3BE86B5F"/>
    <w:rsid w:val="3BF27005"/>
    <w:rsid w:val="3BF8BDD2"/>
    <w:rsid w:val="3BFA02DE"/>
    <w:rsid w:val="3BFDD09F"/>
    <w:rsid w:val="3BFF8384"/>
    <w:rsid w:val="3C03B5F0"/>
    <w:rsid w:val="3C09509E"/>
    <w:rsid w:val="3C0A5518"/>
    <w:rsid w:val="3C0ACD2C"/>
    <w:rsid w:val="3C0F42FF"/>
    <w:rsid w:val="3C1C122B"/>
    <w:rsid w:val="3C26A586"/>
    <w:rsid w:val="3C2B6D53"/>
    <w:rsid w:val="3C3C3F00"/>
    <w:rsid w:val="3C553B9C"/>
    <w:rsid w:val="3C569A00"/>
    <w:rsid w:val="3C6D5EA5"/>
    <w:rsid w:val="3C6D6871"/>
    <w:rsid w:val="3C6F84F3"/>
    <w:rsid w:val="3C6FF90D"/>
    <w:rsid w:val="3C79FB93"/>
    <w:rsid w:val="3C82B5E4"/>
    <w:rsid w:val="3C848DA7"/>
    <w:rsid w:val="3C8FAA96"/>
    <w:rsid w:val="3C9ACE9C"/>
    <w:rsid w:val="3CA5B500"/>
    <w:rsid w:val="3CB585BB"/>
    <w:rsid w:val="3CC22E03"/>
    <w:rsid w:val="3CC4D26C"/>
    <w:rsid w:val="3CC61BBA"/>
    <w:rsid w:val="3CD0945D"/>
    <w:rsid w:val="3CD5EEC9"/>
    <w:rsid w:val="3CD76825"/>
    <w:rsid w:val="3CDA8148"/>
    <w:rsid w:val="3CE46955"/>
    <w:rsid w:val="3CEFF47C"/>
    <w:rsid w:val="3CFB345D"/>
    <w:rsid w:val="3D0102BA"/>
    <w:rsid w:val="3D0976A2"/>
    <w:rsid w:val="3D0AA261"/>
    <w:rsid w:val="3D150286"/>
    <w:rsid w:val="3D180DC8"/>
    <w:rsid w:val="3D1CEE9D"/>
    <w:rsid w:val="3D28FA5A"/>
    <w:rsid w:val="3D2A419A"/>
    <w:rsid w:val="3D2A56A0"/>
    <w:rsid w:val="3D33ECA6"/>
    <w:rsid w:val="3D3FA0DF"/>
    <w:rsid w:val="3D41BC86"/>
    <w:rsid w:val="3D48B697"/>
    <w:rsid w:val="3D4DD891"/>
    <w:rsid w:val="3D5334B9"/>
    <w:rsid w:val="3D5A80AD"/>
    <w:rsid w:val="3D65C390"/>
    <w:rsid w:val="3D6638D3"/>
    <w:rsid w:val="3D6AF3A6"/>
    <w:rsid w:val="3D6D0800"/>
    <w:rsid w:val="3D6E720D"/>
    <w:rsid w:val="3D707AD4"/>
    <w:rsid w:val="3D715B70"/>
    <w:rsid w:val="3D719C76"/>
    <w:rsid w:val="3D71DCD0"/>
    <w:rsid w:val="3D7AE053"/>
    <w:rsid w:val="3D7FCC7A"/>
    <w:rsid w:val="3D86AC37"/>
    <w:rsid w:val="3D93E041"/>
    <w:rsid w:val="3D997857"/>
    <w:rsid w:val="3D9BF549"/>
    <w:rsid w:val="3D9C4774"/>
    <w:rsid w:val="3D9F0A27"/>
    <w:rsid w:val="3DA2A501"/>
    <w:rsid w:val="3DA3A47E"/>
    <w:rsid w:val="3DA3BE69"/>
    <w:rsid w:val="3DA682C7"/>
    <w:rsid w:val="3DA88ED8"/>
    <w:rsid w:val="3DAAFBE2"/>
    <w:rsid w:val="3DAB2D52"/>
    <w:rsid w:val="3DB7E4FE"/>
    <w:rsid w:val="3DBAC43A"/>
    <w:rsid w:val="3DBDBD31"/>
    <w:rsid w:val="3DC19AD4"/>
    <w:rsid w:val="3DC7543B"/>
    <w:rsid w:val="3DCB13C6"/>
    <w:rsid w:val="3DD0394E"/>
    <w:rsid w:val="3DD07A6B"/>
    <w:rsid w:val="3DD3CB9E"/>
    <w:rsid w:val="3DD85B54"/>
    <w:rsid w:val="3DDCD68C"/>
    <w:rsid w:val="3DDFC8CF"/>
    <w:rsid w:val="3DE5D214"/>
    <w:rsid w:val="3E0010BF"/>
    <w:rsid w:val="3E005AE1"/>
    <w:rsid w:val="3E04EF75"/>
    <w:rsid w:val="3E071624"/>
    <w:rsid w:val="3E0BD7FC"/>
    <w:rsid w:val="3E102E8B"/>
    <w:rsid w:val="3E127175"/>
    <w:rsid w:val="3E160364"/>
    <w:rsid w:val="3E17B4F1"/>
    <w:rsid w:val="3E1BA510"/>
    <w:rsid w:val="3E3515E2"/>
    <w:rsid w:val="3E37B834"/>
    <w:rsid w:val="3E3B10D7"/>
    <w:rsid w:val="3E3B439A"/>
    <w:rsid w:val="3E3DDC1C"/>
    <w:rsid w:val="3E3FC0D0"/>
    <w:rsid w:val="3E412462"/>
    <w:rsid w:val="3E43665C"/>
    <w:rsid w:val="3E664D39"/>
    <w:rsid w:val="3E7276C3"/>
    <w:rsid w:val="3E7EF332"/>
    <w:rsid w:val="3EA0F391"/>
    <w:rsid w:val="3EA0F4A1"/>
    <w:rsid w:val="3EA35B94"/>
    <w:rsid w:val="3EA6E709"/>
    <w:rsid w:val="3EA73D07"/>
    <w:rsid w:val="3EA9B124"/>
    <w:rsid w:val="3EAF3AD8"/>
    <w:rsid w:val="3ECC53CE"/>
    <w:rsid w:val="3ECDB8A4"/>
    <w:rsid w:val="3ED2071D"/>
    <w:rsid w:val="3ED6508A"/>
    <w:rsid w:val="3EDB8B6B"/>
    <w:rsid w:val="3EEBAEA7"/>
    <w:rsid w:val="3EF0359C"/>
    <w:rsid w:val="3EFA988F"/>
    <w:rsid w:val="3EFAA580"/>
    <w:rsid w:val="3F01362C"/>
    <w:rsid w:val="3F03BB08"/>
    <w:rsid w:val="3F0769EC"/>
    <w:rsid w:val="3F0DB97C"/>
    <w:rsid w:val="3F11AC16"/>
    <w:rsid w:val="3F21AB8B"/>
    <w:rsid w:val="3F22CDB4"/>
    <w:rsid w:val="3F23036B"/>
    <w:rsid w:val="3F230978"/>
    <w:rsid w:val="3F257D93"/>
    <w:rsid w:val="3F27EDA8"/>
    <w:rsid w:val="3F2ADA51"/>
    <w:rsid w:val="3F2B70AA"/>
    <w:rsid w:val="3F2FB671"/>
    <w:rsid w:val="3F34C2CF"/>
    <w:rsid w:val="3F39C6D1"/>
    <w:rsid w:val="3F433CBD"/>
    <w:rsid w:val="3F44C57B"/>
    <w:rsid w:val="3F463AFE"/>
    <w:rsid w:val="3F46CF63"/>
    <w:rsid w:val="3F46FE31"/>
    <w:rsid w:val="3F49246B"/>
    <w:rsid w:val="3F4DD341"/>
    <w:rsid w:val="3F526A4C"/>
    <w:rsid w:val="3F5B61E0"/>
    <w:rsid w:val="3F5BFB87"/>
    <w:rsid w:val="3F62E186"/>
    <w:rsid w:val="3F775B6B"/>
    <w:rsid w:val="3F7E26B8"/>
    <w:rsid w:val="3F7FCF63"/>
    <w:rsid w:val="3F838572"/>
    <w:rsid w:val="3F9C8CAB"/>
    <w:rsid w:val="3FA32542"/>
    <w:rsid w:val="3FB951B7"/>
    <w:rsid w:val="3FD07843"/>
    <w:rsid w:val="3FD17587"/>
    <w:rsid w:val="3FD5EA20"/>
    <w:rsid w:val="3FD879E7"/>
    <w:rsid w:val="3FDA171E"/>
    <w:rsid w:val="3FDD37C6"/>
    <w:rsid w:val="3FE53B72"/>
    <w:rsid w:val="3FEBA830"/>
    <w:rsid w:val="3FED4A96"/>
    <w:rsid w:val="3FF49251"/>
    <w:rsid w:val="3FF7E3A8"/>
    <w:rsid w:val="3FF81D78"/>
    <w:rsid w:val="3FF878E4"/>
    <w:rsid w:val="3FFF9C70"/>
    <w:rsid w:val="40011456"/>
    <w:rsid w:val="4013AA6B"/>
    <w:rsid w:val="40156961"/>
    <w:rsid w:val="4015FAB1"/>
    <w:rsid w:val="401F904B"/>
    <w:rsid w:val="4020AB8D"/>
    <w:rsid w:val="4025291A"/>
    <w:rsid w:val="4028AC3A"/>
    <w:rsid w:val="402AECEE"/>
    <w:rsid w:val="402E55DE"/>
    <w:rsid w:val="40380A52"/>
    <w:rsid w:val="403C9AD8"/>
    <w:rsid w:val="403CF182"/>
    <w:rsid w:val="4045E9B4"/>
    <w:rsid w:val="404BCC87"/>
    <w:rsid w:val="404C6345"/>
    <w:rsid w:val="40566183"/>
    <w:rsid w:val="405AD1D3"/>
    <w:rsid w:val="4062E1E4"/>
    <w:rsid w:val="406C0F8E"/>
    <w:rsid w:val="40789B00"/>
    <w:rsid w:val="407AE423"/>
    <w:rsid w:val="407EDBAD"/>
    <w:rsid w:val="408B6FA9"/>
    <w:rsid w:val="40966559"/>
    <w:rsid w:val="40972CDB"/>
    <w:rsid w:val="40A1037E"/>
    <w:rsid w:val="40A3C6B7"/>
    <w:rsid w:val="40A46D2C"/>
    <w:rsid w:val="40BCACA0"/>
    <w:rsid w:val="40CED699"/>
    <w:rsid w:val="40D17F09"/>
    <w:rsid w:val="40D31FDA"/>
    <w:rsid w:val="40D83A68"/>
    <w:rsid w:val="40D94EDB"/>
    <w:rsid w:val="40E3EC30"/>
    <w:rsid w:val="40EBC766"/>
    <w:rsid w:val="40F2664C"/>
    <w:rsid w:val="40FBF117"/>
    <w:rsid w:val="40FFC172"/>
    <w:rsid w:val="4104FFCB"/>
    <w:rsid w:val="41083A63"/>
    <w:rsid w:val="410EF9BF"/>
    <w:rsid w:val="41235092"/>
    <w:rsid w:val="412A1C2E"/>
    <w:rsid w:val="412C4E64"/>
    <w:rsid w:val="4136DCB0"/>
    <w:rsid w:val="413BE222"/>
    <w:rsid w:val="413E0499"/>
    <w:rsid w:val="4144A1FE"/>
    <w:rsid w:val="4154082E"/>
    <w:rsid w:val="41593B0D"/>
    <w:rsid w:val="41613EC8"/>
    <w:rsid w:val="416281DC"/>
    <w:rsid w:val="418CAFA7"/>
    <w:rsid w:val="418DB0C2"/>
    <w:rsid w:val="419DBE28"/>
    <w:rsid w:val="41A28735"/>
    <w:rsid w:val="41A4C6CB"/>
    <w:rsid w:val="41AE57B5"/>
    <w:rsid w:val="41BFEA7A"/>
    <w:rsid w:val="41C911C4"/>
    <w:rsid w:val="41CF65FB"/>
    <w:rsid w:val="41D0516A"/>
    <w:rsid w:val="41D595AB"/>
    <w:rsid w:val="41E9DFBE"/>
    <w:rsid w:val="41EBC8F6"/>
    <w:rsid w:val="41EE020F"/>
    <w:rsid w:val="41EE6889"/>
    <w:rsid w:val="41F414AA"/>
    <w:rsid w:val="41F44431"/>
    <w:rsid w:val="41F6E962"/>
    <w:rsid w:val="4207436F"/>
    <w:rsid w:val="420A224E"/>
    <w:rsid w:val="420D0A35"/>
    <w:rsid w:val="420D0AC3"/>
    <w:rsid w:val="421820FE"/>
    <w:rsid w:val="421C8145"/>
    <w:rsid w:val="421F56A9"/>
    <w:rsid w:val="422621EE"/>
    <w:rsid w:val="422CADA0"/>
    <w:rsid w:val="422D208E"/>
    <w:rsid w:val="423461AD"/>
    <w:rsid w:val="4247C191"/>
    <w:rsid w:val="424C2900"/>
    <w:rsid w:val="4250E592"/>
    <w:rsid w:val="42521CED"/>
    <w:rsid w:val="42546901"/>
    <w:rsid w:val="42562CCE"/>
    <w:rsid w:val="425AB74A"/>
    <w:rsid w:val="426094E8"/>
    <w:rsid w:val="42624F80"/>
    <w:rsid w:val="426421DA"/>
    <w:rsid w:val="42660DE6"/>
    <w:rsid w:val="42695790"/>
    <w:rsid w:val="426DDA12"/>
    <w:rsid w:val="426FDE79"/>
    <w:rsid w:val="42717E1F"/>
    <w:rsid w:val="427540C1"/>
    <w:rsid w:val="427EA987"/>
    <w:rsid w:val="42850C7F"/>
    <w:rsid w:val="42988503"/>
    <w:rsid w:val="429A3A13"/>
    <w:rsid w:val="42A7F929"/>
    <w:rsid w:val="42AFE965"/>
    <w:rsid w:val="42B4A7E9"/>
    <w:rsid w:val="42BB7FC6"/>
    <w:rsid w:val="42BC3256"/>
    <w:rsid w:val="42C77FA0"/>
    <w:rsid w:val="42D063F3"/>
    <w:rsid w:val="42D601A4"/>
    <w:rsid w:val="42D6C6DA"/>
    <w:rsid w:val="42E050CE"/>
    <w:rsid w:val="42E63B2B"/>
    <w:rsid w:val="42E86124"/>
    <w:rsid w:val="42ED1A4C"/>
    <w:rsid w:val="42F31088"/>
    <w:rsid w:val="42F4A244"/>
    <w:rsid w:val="43010E77"/>
    <w:rsid w:val="43058209"/>
    <w:rsid w:val="430B7C41"/>
    <w:rsid w:val="430F54A9"/>
    <w:rsid w:val="4314FDF2"/>
    <w:rsid w:val="431757F1"/>
    <w:rsid w:val="4317939C"/>
    <w:rsid w:val="4317EAEF"/>
    <w:rsid w:val="43201AE8"/>
    <w:rsid w:val="4325253A"/>
    <w:rsid w:val="43283EDC"/>
    <w:rsid w:val="43312A2C"/>
    <w:rsid w:val="433CE035"/>
    <w:rsid w:val="433D5889"/>
    <w:rsid w:val="43400B20"/>
    <w:rsid w:val="4346EB30"/>
    <w:rsid w:val="4351720D"/>
    <w:rsid w:val="4352F733"/>
    <w:rsid w:val="43573AF0"/>
    <w:rsid w:val="435BEEA2"/>
    <w:rsid w:val="4367FF84"/>
    <w:rsid w:val="436C381C"/>
    <w:rsid w:val="436E2904"/>
    <w:rsid w:val="4371C2F2"/>
    <w:rsid w:val="43822674"/>
    <w:rsid w:val="43A25A19"/>
    <w:rsid w:val="43B3A196"/>
    <w:rsid w:val="43B5F106"/>
    <w:rsid w:val="43C1FCA6"/>
    <w:rsid w:val="43C7AABD"/>
    <w:rsid w:val="43CA25BA"/>
    <w:rsid w:val="43D5B189"/>
    <w:rsid w:val="43DD7A62"/>
    <w:rsid w:val="43E5C493"/>
    <w:rsid w:val="43E6F4D6"/>
    <w:rsid w:val="43EBA4DB"/>
    <w:rsid w:val="43EFEAF8"/>
    <w:rsid w:val="43F0DCB9"/>
    <w:rsid w:val="43F336E0"/>
    <w:rsid w:val="43F64BA0"/>
    <w:rsid w:val="43F9A8D9"/>
    <w:rsid w:val="4401267E"/>
    <w:rsid w:val="441119BF"/>
    <w:rsid w:val="44114B40"/>
    <w:rsid w:val="4416B9A2"/>
    <w:rsid w:val="441D38FD"/>
    <w:rsid w:val="44263F6F"/>
    <w:rsid w:val="442C349F"/>
    <w:rsid w:val="442CD672"/>
    <w:rsid w:val="442FF46B"/>
    <w:rsid w:val="4435A7C8"/>
    <w:rsid w:val="4439E6A5"/>
    <w:rsid w:val="443B59FF"/>
    <w:rsid w:val="443EEFB9"/>
    <w:rsid w:val="443F1B5E"/>
    <w:rsid w:val="443F2377"/>
    <w:rsid w:val="4448442E"/>
    <w:rsid w:val="444A1A38"/>
    <w:rsid w:val="444A8B63"/>
    <w:rsid w:val="444ACD66"/>
    <w:rsid w:val="444F1747"/>
    <w:rsid w:val="444F3E2B"/>
    <w:rsid w:val="44577BB5"/>
    <w:rsid w:val="4477BD5A"/>
    <w:rsid w:val="4477E209"/>
    <w:rsid w:val="4482EA5A"/>
    <w:rsid w:val="4486F888"/>
    <w:rsid w:val="44972C26"/>
    <w:rsid w:val="44B1462D"/>
    <w:rsid w:val="44B4FF30"/>
    <w:rsid w:val="44C13E69"/>
    <w:rsid w:val="44C1D954"/>
    <w:rsid w:val="44C81688"/>
    <w:rsid w:val="44CA6A58"/>
    <w:rsid w:val="44D59986"/>
    <w:rsid w:val="44DA5711"/>
    <w:rsid w:val="44DCBBF4"/>
    <w:rsid w:val="44E56DE2"/>
    <w:rsid w:val="44F2E048"/>
    <w:rsid w:val="44FDD543"/>
    <w:rsid w:val="45054710"/>
    <w:rsid w:val="4505D56A"/>
    <w:rsid w:val="4505F980"/>
    <w:rsid w:val="4507B356"/>
    <w:rsid w:val="450E4672"/>
    <w:rsid w:val="450E9E76"/>
    <w:rsid w:val="451363AC"/>
    <w:rsid w:val="45150388"/>
    <w:rsid w:val="4519E4BF"/>
    <w:rsid w:val="451A8CDC"/>
    <w:rsid w:val="451A9290"/>
    <w:rsid w:val="451EA2E9"/>
    <w:rsid w:val="451F01EB"/>
    <w:rsid w:val="45200BF4"/>
    <w:rsid w:val="4520689F"/>
    <w:rsid w:val="4520FD13"/>
    <w:rsid w:val="452405FD"/>
    <w:rsid w:val="45293F2D"/>
    <w:rsid w:val="4529767D"/>
    <w:rsid w:val="4531C6F0"/>
    <w:rsid w:val="453408C4"/>
    <w:rsid w:val="453DE04D"/>
    <w:rsid w:val="453E0A9D"/>
    <w:rsid w:val="454872DA"/>
    <w:rsid w:val="454DAD7D"/>
    <w:rsid w:val="455589D2"/>
    <w:rsid w:val="455DE6E3"/>
    <w:rsid w:val="456014EE"/>
    <w:rsid w:val="4561388F"/>
    <w:rsid w:val="456144E8"/>
    <w:rsid w:val="4565454F"/>
    <w:rsid w:val="45656F77"/>
    <w:rsid w:val="456DDAC7"/>
    <w:rsid w:val="457DB4E3"/>
    <w:rsid w:val="458915B1"/>
    <w:rsid w:val="458DD60B"/>
    <w:rsid w:val="459000D7"/>
    <w:rsid w:val="4594FA4B"/>
    <w:rsid w:val="459BC6FB"/>
    <w:rsid w:val="459C0A91"/>
    <w:rsid w:val="45A54FDA"/>
    <w:rsid w:val="45ACFF70"/>
    <w:rsid w:val="45AEED29"/>
    <w:rsid w:val="45B09734"/>
    <w:rsid w:val="45C1613D"/>
    <w:rsid w:val="45CB9615"/>
    <w:rsid w:val="45CD914F"/>
    <w:rsid w:val="45CE368A"/>
    <w:rsid w:val="45D2B32A"/>
    <w:rsid w:val="45D70913"/>
    <w:rsid w:val="45DCB2A5"/>
    <w:rsid w:val="45E2CFC8"/>
    <w:rsid w:val="45E3758A"/>
    <w:rsid w:val="45E5B263"/>
    <w:rsid w:val="45F494E3"/>
    <w:rsid w:val="45FC8803"/>
    <w:rsid w:val="4602EB01"/>
    <w:rsid w:val="46072BAE"/>
    <w:rsid w:val="4608E522"/>
    <w:rsid w:val="460E3884"/>
    <w:rsid w:val="460FE5EC"/>
    <w:rsid w:val="461095E2"/>
    <w:rsid w:val="4615611B"/>
    <w:rsid w:val="4625D071"/>
    <w:rsid w:val="462D6220"/>
    <w:rsid w:val="462E9670"/>
    <w:rsid w:val="463EE799"/>
    <w:rsid w:val="4647089D"/>
    <w:rsid w:val="46491C1A"/>
    <w:rsid w:val="464ED647"/>
    <w:rsid w:val="465A3BF0"/>
    <w:rsid w:val="465C60EB"/>
    <w:rsid w:val="4661057D"/>
    <w:rsid w:val="46646062"/>
    <w:rsid w:val="46693106"/>
    <w:rsid w:val="4674B5E5"/>
    <w:rsid w:val="467A5A66"/>
    <w:rsid w:val="467A63C7"/>
    <w:rsid w:val="468F5839"/>
    <w:rsid w:val="46B2009E"/>
    <w:rsid w:val="46B91626"/>
    <w:rsid w:val="46BD5EEA"/>
    <w:rsid w:val="46C02AEE"/>
    <w:rsid w:val="46C3431E"/>
    <w:rsid w:val="46D5F279"/>
    <w:rsid w:val="46D6FFEA"/>
    <w:rsid w:val="46D70AE0"/>
    <w:rsid w:val="46D79599"/>
    <w:rsid w:val="46DC84B9"/>
    <w:rsid w:val="46DCFA84"/>
    <w:rsid w:val="46E449A7"/>
    <w:rsid w:val="46E8E337"/>
    <w:rsid w:val="46EE0B55"/>
    <w:rsid w:val="46F12F29"/>
    <w:rsid w:val="47039786"/>
    <w:rsid w:val="4705F291"/>
    <w:rsid w:val="470974BA"/>
    <w:rsid w:val="470BE042"/>
    <w:rsid w:val="470D29FE"/>
    <w:rsid w:val="47119055"/>
    <w:rsid w:val="471D409F"/>
    <w:rsid w:val="471EEBD4"/>
    <w:rsid w:val="4722B21A"/>
    <w:rsid w:val="472A1DD8"/>
    <w:rsid w:val="47337572"/>
    <w:rsid w:val="473513DE"/>
    <w:rsid w:val="4738C3C2"/>
    <w:rsid w:val="4742E964"/>
    <w:rsid w:val="47483261"/>
    <w:rsid w:val="4750349E"/>
    <w:rsid w:val="47537FA5"/>
    <w:rsid w:val="4758631F"/>
    <w:rsid w:val="47599EC4"/>
    <w:rsid w:val="4761496E"/>
    <w:rsid w:val="476675D5"/>
    <w:rsid w:val="47685714"/>
    <w:rsid w:val="47692F5F"/>
    <w:rsid w:val="47864669"/>
    <w:rsid w:val="478839C0"/>
    <w:rsid w:val="478ED98B"/>
    <w:rsid w:val="478F2F88"/>
    <w:rsid w:val="479218D9"/>
    <w:rsid w:val="4797625D"/>
    <w:rsid w:val="479CFAD2"/>
    <w:rsid w:val="479F80F5"/>
    <w:rsid w:val="47A4CC1A"/>
    <w:rsid w:val="47AE7B8A"/>
    <w:rsid w:val="47B10AA4"/>
    <w:rsid w:val="47BB03CB"/>
    <w:rsid w:val="47BFC13A"/>
    <w:rsid w:val="47C246D3"/>
    <w:rsid w:val="47C7BCD6"/>
    <w:rsid w:val="47CCD331"/>
    <w:rsid w:val="47D1B0B9"/>
    <w:rsid w:val="47D68696"/>
    <w:rsid w:val="47D91958"/>
    <w:rsid w:val="47DB248C"/>
    <w:rsid w:val="47EA37A3"/>
    <w:rsid w:val="47FDDD46"/>
    <w:rsid w:val="480FA5B3"/>
    <w:rsid w:val="4810D08D"/>
    <w:rsid w:val="4813A1C0"/>
    <w:rsid w:val="481550C7"/>
    <w:rsid w:val="481D9A34"/>
    <w:rsid w:val="482B9F1C"/>
    <w:rsid w:val="4841ADBB"/>
    <w:rsid w:val="48465D6B"/>
    <w:rsid w:val="485DC712"/>
    <w:rsid w:val="485E5E29"/>
    <w:rsid w:val="485E74F6"/>
    <w:rsid w:val="48631136"/>
    <w:rsid w:val="486A5A92"/>
    <w:rsid w:val="486E1E93"/>
    <w:rsid w:val="486EF0CB"/>
    <w:rsid w:val="48896400"/>
    <w:rsid w:val="488BE348"/>
    <w:rsid w:val="489C7EE4"/>
    <w:rsid w:val="48A0A5BD"/>
    <w:rsid w:val="48A26DF8"/>
    <w:rsid w:val="48A7DA27"/>
    <w:rsid w:val="48A804F9"/>
    <w:rsid w:val="48B37DEA"/>
    <w:rsid w:val="48BDE26D"/>
    <w:rsid w:val="48BEBEE2"/>
    <w:rsid w:val="48C475C5"/>
    <w:rsid w:val="48C7B908"/>
    <w:rsid w:val="48CA8E2E"/>
    <w:rsid w:val="48D15800"/>
    <w:rsid w:val="48DB2BC3"/>
    <w:rsid w:val="48E15B83"/>
    <w:rsid w:val="48E45A7C"/>
    <w:rsid w:val="48E93DA7"/>
    <w:rsid w:val="48FC3B06"/>
    <w:rsid w:val="49006C67"/>
    <w:rsid w:val="49008BF9"/>
    <w:rsid w:val="49009AA6"/>
    <w:rsid w:val="49053154"/>
    <w:rsid w:val="4915906B"/>
    <w:rsid w:val="492704AB"/>
    <w:rsid w:val="4928BA08"/>
    <w:rsid w:val="492AF51F"/>
    <w:rsid w:val="492C33A3"/>
    <w:rsid w:val="492C3908"/>
    <w:rsid w:val="493128DE"/>
    <w:rsid w:val="49392468"/>
    <w:rsid w:val="493D45B1"/>
    <w:rsid w:val="493FB62F"/>
    <w:rsid w:val="494D7E10"/>
    <w:rsid w:val="494D8237"/>
    <w:rsid w:val="494E228C"/>
    <w:rsid w:val="4953140F"/>
    <w:rsid w:val="49587CB5"/>
    <w:rsid w:val="495887C7"/>
    <w:rsid w:val="495A0486"/>
    <w:rsid w:val="495A0AED"/>
    <w:rsid w:val="4964DEE8"/>
    <w:rsid w:val="49656091"/>
    <w:rsid w:val="496A9ACD"/>
    <w:rsid w:val="4970067F"/>
    <w:rsid w:val="49735AD1"/>
    <w:rsid w:val="4978E6FB"/>
    <w:rsid w:val="497DD515"/>
    <w:rsid w:val="499EDBE5"/>
    <w:rsid w:val="49ABEEF8"/>
    <w:rsid w:val="49BA89CF"/>
    <w:rsid w:val="49BA9F19"/>
    <w:rsid w:val="49C3CBAD"/>
    <w:rsid w:val="49C7E7E9"/>
    <w:rsid w:val="49C97651"/>
    <w:rsid w:val="49CB6496"/>
    <w:rsid w:val="49D019CE"/>
    <w:rsid w:val="49D85DB9"/>
    <w:rsid w:val="49DC9C11"/>
    <w:rsid w:val="49F6E597"/>
    <w:rsid w:val="4A046CBE"/>
    <w:rsid w:val="4A0741AB"/>
    <w:rsid w:val="4A0B583D"/>
    <w:rsid w:val="4A0D1CF5"/>
    <w:rsid w:val="4A0FE2DC"/>
    <w:rsid w:val="4A1DE59E"/>
    <w:rsid w:val="4A21795D"/>
    <w:rsid w:val="4A24F9C5"/>
    <w:rsid w:val="4A289E6B"/>
    <w:rsid w:val="4A295CFC"/>
    <w:rsid w:val="4A3063E7"/>
    <w:rsid w:val="4A31CBFB"/>
    <w:rsid w:val="4A337D59"/>
    <w:rsid w:val="4A44161C"/>
    <w:rsid w:val="4A46807B"/>
    <w:rsid w:val="4A484361"/>
    <w:rsid w:val="4A4AE06D"/>
    <w:rsid w:val="4A697282"/>
    <w:rsid w:val="4A69DB3B"/>
    <w:rsid w:val="4A6E5BEA"/>
    <w:rsid w:val="4A711250"/>
    <w:rsid w:val="4A75BEF9"/>
    <w:rsid w:val="4A79E7EC"/>
    <w:rsid w:val="4A889E22"/>
    <w:rsid w:val="4A941E2A"/>
    <w:rsid w:val="4A9625D8"/>
    <w:rsid w:val="4A98AAA2"/>
    <w:rsid w:val="4A9CB9F0"/>
    <w:rsid w:val="4AA4F399"/>
    <w:rsid w:val="4AAC4D80"/>
    <w:rsid w:val="4AB67003"/>
    <w:rsid w:val="4AB7C672"/>
    <w:rsid w:val="4AC03F03"/>
    <w:rsid w:val="4AC9B44D"/>
    <w:rsid w:val="4AD1597E"/>
    <w:rsid w:val="4AD2BC65"/>
    <w:rsid w:val="4AD5383E"/>
    <w:rsid w:val="4AD6E4FD"/>
    <w:rsid w:val="4AD7CC0C"/>
    <w:rsid w:val="4AE09523"/>
    <w:rsid w:val="4AE9C01D"/>
    <w:rsid w:val="4AED601B"/>
    <w:rsid w:val="4AF3C5B7"/>
    <w:rsid w:val="4AF8CAA6"/>
    <w:rsid w:val="4AFD8A29"/>
    <w:rsid w:val="4B081703"/>
    <w:rsid w:val="4B110E07"/>
    <w:rsid w:val="4B1D750E"/>
    <w:rsid w:val="4B24655C"/>
    <w:rsid w:val="4B2AE25E"/>
    <w:rsid w:val="4B2C7B2C"/>
    <w:rsid w:val="4B3DC216"/>
    <w:rsid w:val="4B46FE3E"/>
    <w:rsid w:val="4B4900FE"/>
    <w:rsid w:val="4B4E2ABB"/>
    <w:rsid w:val="4B5B73AF"/>
    <w:rsid w:val="4B5CE48D"/>
    <w:rsid w:val="4B6B187E"/>
    <w:rsid w:val="4B6B1CB1"/>
    <w:rsid w:val="4B6EF35E"/>
    <w:rsid w:val="4B796909"/>
    <w:rsid w:val="4B7DA0CD"/>
    <w:rsid w:val="4B863AFA"/>
    <w:rsid w:val="4B8B23D4"/>
    <w:rsid w:val="4B9BE8D1"/>
    <w:rsid w:val="4B9DF720"/>
    <w:rsid w:val="4B9EA1A2"/>
    <w:rsid w:val="4BA2C16D"/>
    <w:rsid w:val="4BB64304"/>
    <w:rsid w:val="4BC0AE95"/>
    <w:rsid w:val="4BC4983F"/>
    <w:rsid w:val="4BC77503"/>
    <w:rsid w:val="4BCAEA47"/>
    <w:rsid w:val="4BCC0A8D"/>
    <w:rsid w:val="4BD21310"/>
    <w:rsid w:val="4BD4AEE2"/>
    <w:rsid w:val="4BD557EB"/>
    <w:rsid w:val="4BD5BFD6"/>
    <w:rsid w:val="4BD63DF8"/>
    <w:rsid w:val="4BD837A4"/>
    <w:rsid w:val="4BDB4E3F"/>
    <w:rsid w:val="4BDD3790"/>
    <w:rsid w:val="4BF3CECC"/>
    <w:rsid w:val="4BFFFD3B"/>
    <w:rsid w:val="4C04D6BC"/>
    <w:rsid w:val="4C093E92"/>
    <w:rsid w:val="4C0A24F3"/>
    <w:rsid w:val="4C0E98B3"/>
    <w:rsid w:val="4C1896F0"/>
    <w:rsid w:val="4C220DCC"/>
    <w:rsid w:val="4C26FC0B"/>
    <w:rsid w:val="4C2CE1A7"/>
    <w:rsid w:val="4C2D5054"/>
    <w:rsid w:val="4C36FFE5"/>
    <w:rsid w:val="4C394987"/>
    <w:rsid w:val="4C5C700B"/>
    <w:rsid w:val="4C643B56"/>
    <w:rsid w:val="4C64F7CC"/>
    <w:rsid w:val="4C6642B2"/>
    <w:rsid w:val="4C6FCA17"/>
    <w:rsid w:val="4C704876"/>
    <w:rsid w:val="4C70A688"/>
    <w:rsid w:val="4C789915"/>
    <w:rsid w:val="4C7AC0D7"/>
    <w:rsid w:val="4C87419A"/>
    <w:rsid w:val="4C9CC2D5"/>
    <w:rsid w:val="4C9F52B0"/>
    <w:rsid w:val="4CA01733"/>
    <w:rsid w:val="4CA2DBB3"/>
    <w:rsid w:val="4CABA834"/>
    <w:rsid w:val="4CB33CC0"/>
    <w:rsid w:val="4CB9D27D"/>
    <w:rsid w:val="4CC4C1CE"/>
    <w:rsid w:val="4CC4E45A"/>
    <w:rsid w:val="4CC577CD"/>
    <w:rsid w:val="4CD35E5F"/>
    <w:rsid w:val="4CD67578"/>
    <w:rsid w:val="4CDD8FE3"/>
    <w:rsid w:val="4CDF49FC"/>
    <w:rsid w:val="4CEB7351"/>
    <w:rsid w:val="4CEE61E8"/>
    <w:rsid w:val="4CEF3490"/>
    <w:rsid w:val="4D03E6AF"/>
    <w:rsid w:val="4D05EA02"/>
    <w:rsid w:val="4D13C757"/>
    <w:rsid w:val="4D1CD63D"/>
    <w:rsid w:val="4D1E22FA"/>
    <w:rsid w:val="4D1FEB81"/>
    <w:rsid w:val="4D23B19E"/>
    <w:rsid w:val="4D2E6E90"/>
    <w:rsid w:val="4D2ECDE3"/>
    <w:rsid w:val="4D36616F"/>
    <w:rsid w:val="4D380F43"/>
    <w:rsid w:val="4D3B422E"/>
    <w:rsid w:val="4D44330E"/>
    <w:rsid w:val="4D44C5BF"/>
    <w:rsid w:val="4D465F94"/>
    <w:rsid w:val="4D489A77"/>
    <w:rsid w:val="4D4FA6F2"/>
    <w:rsid w:val="4D503B52"/>
    <w:rsid w:val="4D53BCA1"/>
    <w:rsid w:val="4D5A6EA3"/>
    <w:rsid w:val="4D5EB9E9"/>
    <w:rsid w:val="4D668ABD"/>
    <w:rsid w:val="4D6AD40F"/>
    <w:rsid w:val="4D71F882"/>
    <w:rsid w:val="4D744325"/>
    <w:rsid w:val="4D7A260F"/>
    <w:rsid w:val="4D86E0CF"/>
    <w:rsid w:val="4D929016"/>
    <w:rsid w:val="4D9E2256"/>
    <w:rsid w:val="4D9EC192"/>
    <w:rsid w:val="4DAAE132"/>
    <w:rsid w:val="4DB4C652"/>
    <w:rsid w:val="4DB75B0C"/>
    <w:rsid w:val="4DD89BD1"/>
    <w:rsid w:val="4DD9E1FE"/>
    <w:rsid w:val="4DDA73F2"/>
    <w:rsid w:val="4DE2D986"/>
    <w:rsid w:val="4DE49DE0"/>
    <w:rsid w:val="4DF3C712"/>
    <w:rsid w:val="4DF4A473"/>
    <w:rsid w:val="4DFE9425"/>
    <w:rsid w:val="4E0880AC"/>
    <w:rsid w:val="4E0E87CD"/>
    <w:rsid w:val="4E1568C7"/>
    <w:rsid w:val="4E289AAE"/>
    <w:rsid w:val="4E2911D1"/>
    <w:rsid w:val="4E2A789A"/>
    <w:rsid w:val="4E2C2EB7"/>
    <w:rsid w:val="4E2C41C2"/>
    <w:rsid w:val="4E40B6C9"/>
    <w:rsid w:val="4E5164B4"/>
    <w:rsid w:val="4E5318AD"/>
    <w:rsid w:val="4E5AF1EC"/>
    <w:rsid w:val="4E655DE5"/>
    <w:rsid w:val="4E6BB8AF"/>
    <w:rsid w:val="4E6D85FD"/>
    <w:rsid w:val="4E6DB71E"/>
    <w:rsid w:val="4E6F23C6"/>
    <w:rsid w:val="4E7573F4"/>
    <w:rsid w:val="4E798998"/>
    <w:rsid w:val="4E7A1AAC"/>
    <w:rsid w:val="4E7CD947"/>
    <w:rsid w:val="4E8BC211"/>
    <w:rsid w:val="4E952F38"/>
    <w:rsid w:val="4EAB3459"/>
    <w:rsid w:val="4EB3C58A"/>
    <w:rsid w:val="4EB530FC"/>
    <w:rsid w:val="4EBEB7D9"/>
    <w:rsid w:val="4ECD8BAE"/>
    <w:rsid w:val="4ED1B0DB"/>
    <w:rsid w:val="4ED42BF3"/>
    <w:rsid w:val="4EE0F9DB"/>
    <w:rsid w:val="4EE4CC45"/>
    <w:rsid w:val="4EEE8854"/>
    <w:rsid w:val="4EEFB5C5"/>
    <w:rsid w:val="4EFCAF48"/>
    <w:rsid w:val="4F0070F3"/>
    <w:rsid w:val="4F02872E"/>
    <w:rsid w:val="4F0BAAC8"/>
    <w:rsid w:val="4F0CD560"/>
    <w:rsid w:val="4F0FA26A"/>
    <w:rsid w:val="4F101A95"/>
    <w:rsid w:val="4F18B876"/>
    <w:rsid w:val="4F1E297D"/>
    <w:rsid w:val="4F2C2B5C"/>
    <w:rsid w:val="4F34ABDF"/>
    <w:rsid w:val="4F4096B3"/>
    <w:rsid w:val="4F41B5D3"/>
    <w:rsid w:val="4F4C1504"/>
    <w:rsid w:val="4F522155"/>
    <w:rsid w:val="4F523865"/>
    <w:rsid w:val="4F539624"/>
    <w:rsid w:val="4F5994FA"/>
    <w:rsid w:val="4F60F7A4"/>
    <w:rsid w:val="4F642464"/>
    <w:rsid w:val="4F76DDE5"/>
    <w:rsid w:val="4F7E6175"/>
    <w:rsid w:val="4F84564C"/>
    <w:rsid w:val="4F9DB0A1"/>
    <w:rsid w:val="4FA6EC2D"/>
    <w:rsid w:val="4FB1E62E"/>
    <w:rsid w:val="4FB3EE5C"/>
    <w:rsid w:val="4FBD4232"/>
    <w:rsid w:val="4FC1B2AB"/>
    <w:rsid w:val="4FC1E9DA"/>
    <w:rsid w:val="4FC2D74E"/>
    <w:rsid w:val="4FC33BDD"/>
    <w:rsid w:val="4FC34641"/>
    <w:rsid w:val="4FC850BD"/>
    <w:rsid w:val="4FCCB614"/>
    <w:rsid w:val="4FD185B5"/>
    <w:rsid w:val="4FD5DBA0"/>
    <w:rsid w:val="4FD9C5EC"/>
    <w:rsid w:val="4FDA2757"/>
    <w:rsid w:val="4FE151A7"/>
    <w:rsid w:val="4FEA84FA"/>
    <w:rsid w:val="4FF67E05"/>
    <w:rsid w:val="4FFA9D5C"/>
    <w:rsid w:val="4FFECBDB"/>
    <w:rsid w:val="4FFFA092"/>
    <w:rsid w:val="4FFFB811"/>
    <w:rsid w:val="50031B73"/>
    <w:rsid w:val="5004F811"/>
    <w:rsid w:val="5007C32B"/>
    <w:rsid w:val="5008B2B4"/>
    <w:rsid w:val="500B54CF"/>
    <w:rsid w:val="5014B119"/>
    <w:rsid w:val="50185E10"/>
    <w:rsid w:val="5018B85A"/>
    <w:rsid w:val="501938A2"/>
    <w:rsid w:val="501BAF33"/>
    <w:rsid w:val="501BEEC3"/>
    <w:rsid w:val="501ECDAE"/>
    <w:rsid w:val="5024F8DF"/>
    <w:rsid w:val="504128BB"/>
    <w:rsid w:val="504A30E2"/>
    <w:rsid w:val="504FAC9A"/>
    <w:rsid w:val="5054A14A"/>
    <w:rsid w:val="505FA0A6"/>
    <w:rsid w:val="506183A4"/>
    <w:rsid w:val="5064A4D8"/>
    <w:rsid w:val="5065CD60"/>
    <w:rsid w:val="506ACE1B"/>
    <w:rsid w:val="50701754"/>
    <w:rsid w:val="5071A754"/>
    <w:rsid w:val="5073270E"/>
    <w:rsid w:val="50734B94"/>
    <w:rsid w:val="5075C0CC"/>
    <w:rsid w:val="5078483C"/>
    <w:rsid w:val="507AB860"/>
    <w:rsid w:val="507BA355"/>
    <w:rsid w:val="507C3FAE"/>
    <w:rsid w:val="5084ACE9"/>
    <w:rsid w:val="508C102A"/>
    <w:rsid w:val="5092E4D1"/>
    <w:rsid w:val="509B318D"/>
    <w:rsid w:val="509EDEC0"/>
    <w:rsid w:val="509FD163"/>
    <w:rsid w:val="50A4225B"/>
    <w:rsid w:val="50A439DC"/>
    <w:rsid w:val="50ABDD5C"/>
    <w:rsid w:val="50B93DF3"/>
    <w:rsid w:val="50BE44F9"/>
    <w:rsid w:val="50C576A9"/>
    <w:rsid w:val="50CB8EA7"/>
    <w:rsid w:val="50D6E50C"/>
    <w:rsid w:val="50E00C06"/>
    <w:rsid w:val="50E9F56C"/>
    <w:rsid w:val="50EEC6E0"/>
    <w:rsid w:val="50F570CF"/>
    <w:rsid w:val="50F7FC85"/>
    <w:rsid w:val="510062EB"/>
    <w:rsid w:val="5104F2A6"/>
    <w:rsid w:val="510718CB"/>
    <w:rsid w:val="51078934"/>
    <w:rsid w:val="5115315B"/>
    <w:rsid w:val="511B235A"/>
    <w:rsid w:val="5129BAE2"/>
    <w:rsid w:val="512D792B"/>
    <w:rsid w:val="513B567E"/>
    <w:rsid w:val="51408B18"/>
    <w:rsid w:val="51438533"/>
    <w:rsid w:val="51496F73"/>
    <w:rsid w:val="514CCCF9"/>
    <w:rsid w:val="5153DC8A"/>
    <w:rsid w:val="515C78FB"/>
    <w:rsid w:val="5161E177"/>
    <w:rsid w:val="516E6D04"/>
    <w:rsid w:val="51720D4C"/>
    <w:rsid w:val="51724BFD"/>
    <w:rsid w:val="51765589"/>
    <w:rsid w:val="517920B2"/>
    <w:rsid w:val="517EC97F"/>
    <w:rsid w:val="518B88CA"/>
    <w:rsid w:val="518DE7F4"/>
    <w:rsid w:val="518F0199"/>
    <w:rsid w:val="5194A811"/>
    <w:rsid w:val="519840BC"/>
    <w:rsid w:val="519A9F4A"/>
    <w:rsid w:val="51ABDFC1"/>
    <w:rsid w:val="51B2149B"/>
    <w:rsid w:val="51B75E84"/>
    <w:rsid w:val="51BCB28B"/>
    <w:rsid w:val="51BCF39A"/>
    <w:rsid w:val="51BD6238"/>
    <w:rsid w:val="51BDA566"/>
    <w:rsid w:val="51C59E54"/>
    <w:rsid w:val="51C9DA81"/>
    <w:rsid w:val="51D4D488"/>
    <w:rsid w:val="51D764B0"/>
    <w:rsid w:val="51DB585B"/>
    <w:rsid w:val="51E917CA"/>
    <w:rsid w:val="51F1F998"/>
    <w:rsid w:val="51F36C4C"/>
    <w:rsid w:val="521747FD"/>
    <w:rsid w:val="521AFADB"/>
    <w:rsid w:val="521CE8EB"/>
    <w:rsid w:val="521E05C9"/>
    <w:rsid w:val="5225B791"/>
    <w:rsid w:val="52299D68"/>
    <w:rsid w:val="522B9DD2"/>
    <w:rsid w:val="523654B2"/>
    <w:rsid w:val="523D2D75"/>
    <w:rsid w:val="52401494"/>
    <w:rsid w:val="524465C6"/>
    <w:rsid w:val="52488048"/>
    <w:rsid w:val="524FB894"/>
    <w:rsid w:val="525060F1"/>
    <w:rsid w:val="525073A2"/>
    <w:rsid w:val="525A5C5C"/>
    <w:rsid w:val="52702921"/>
    <w:rsid w:val="527050B1"/>
    <w:rsid w:val="5271C8DD"/>
    <w:rsid w:val="5277F44A"/>
    <w:rsid w:val="527AFF39"/>
    <w:rsid w:val="527F5A9E"/>
    <w:rsid w:val="527F65B8"/>
    <w:rsid w:val="527FC03B"/>
    <w:rsid w:val="52812319"/>
    <w:rsid w:val="5283FD8B"/>
    <w:rsid w:val="52877D5F"/>
    <w:rsid w:val="5289436C"/>
    <w:rsid w:val="528AFBDE"/>
    <w:rsid w:val="529C47DC"/>
    <w:rsid w:val="52A0C7E0"/>
    <w:rsid w:val="52A125C2"/>
    <w:rsid w:val="52A8D24F"/>
    <w:rsid w:val="52B1B4B5"/>
    <w:rsid w:val="52B6468F"/>
    <w:rsid w:val="52B6839E"/>
    <w:rsid w:val="52C8EDA4"/>
    <w:rsid w:val="52E3EEF3"/>
    <w:rsid w:val="52E55E73"/>
    <w:rsid w:val="52EADF34"/>
    <w:rsid w:val="52ECECEA"/>
    <w:rsid w:val="52F0215B"/>
    <w:rsid w:val="52F0D81A"/>
    <w:rsid w:val="52F5F55E"/>
    <w:rsid w:val="52F69999"/>
    <w:rsid w:val="52F80D8F"/>
    <w:rsid w:val="52F9F88C"/>
    <w:rsid w:val="52FAAD73"/>
    <w:rsid w:val="52FAFE69"/>
    <w:rsid w:val="53006E29"/>
    <w:rsid w:val="5303B681"/>
    <w:rsid w:val="5304C7C7"/>
    <w:rsid w:val="53080D21"/>
    <w:rsid w:val="53170684"/>
    <w:rsid w:val="5317A0B1"/>
    <w:rsid w:val="5334127B"/>
    <w:rsid w:val="533D2C78"/>
    <w:rsid w:val="5341892E"/>
    <w:rsid w:val="5342B539"/>
    <w:rsid w:val="5345FC8E"/>
    <w:rsid w:val="534D3677"/>
    <w:rsid w:val="535010A7"/>
    <w:rsid w:val="536AA936"/>
    <w:rsid w:val="538359CB"/>
    <w:rsid w:val="53836961"/>
    <w:rsid w:val="538C5B22"/>
    <w:rsid w:val="538FDED0"/>
    <w:rsid w:val="539129CD"/>
    <w:rsid w:val="53A0D848"/>
    <w:rsid w:val="53A34B12"/>
    <w:rsid w:val="53A8C13B"/>
    <w:rsid w:val="53A9A4AB"/>
    <w:rsid w:val="53AC02E5"/>
    <w:rsid w:val="53B2B8D0"/>
    <w:rsid w:val="53BB635A"/>
    <w:rsid w:val="53BCEC0F"/>
    <w:rsid w:val="53CC8F6A"/>
    <w:rsid w:val="53CD44D1"/>
    <w:rsid w:val="53D042E1"/>
    <w:rsid w:val="53D28169"/>
    <w:rsid w:val="53DC6726"/>
    <w:rsid w:val="53DD9072"/>
    <w:rsid w:val="53E99AAF"/>
    <w:rsid w:val="53EB2E39"/>
    <w:rsid w:val="53F0690B"/>
    <w:rsid w:val="53F0A3C4"/>
    <w:rsid w:val="53F776C8"/>
    <w:rsid w:val="53FA8289"/>
    <w:rsid w:val="53FD787C"/>
    <w:rsid w:val="53FE85CC"/>
    <w:rsid w:val="53FEF2DA"/>
    <w:rsid w:val="54044A2F"/>
    <w:rsid w:val="541013AB"/>
    <w:rsid w:val="54173056"/>
    <w:rsid w:val="5417D595"/>
    <w:rsid w:val="54193E54"/>
    <w:rsid w:val="54244409"/>
    <w:rsid w:val="542B785C"/>
    <w:rsid w:val="542E7379"/>
    <w:rsid w:val="5436BA21"/>
    <w:rsid w:val="543DC8D0"/>
    <w:rsid w:val="544A7854"/>
    <w:rsid w:val="544C165B"/>
    <w:rsid w:val="544D5603"/>
    <w:rsid w:val="544E7D3C"/>
    <w:rsid w:val="545365FC"/>
    <w:rsid w:val="546C53CE"/>
    <w:rsid w:val="546D7A64"/>
    <w:rsid w:val="54728236"/>
    <w:rsid w:val="547384E8"/>
    <w:rsid w:val="54785D89"/>
    <w:rsid w:val="5478F349"/>
    <w:rsid w:val="5481233F"/>
    <w:rsid w:val="5487B3C9"/>
    <w:rsid w:val="549308B2"/>
    <w:rsid w:val="549C5256"/>
    <w:rsid w:val="54A40FCD"/>
    <w:rsid w:val="54A54963"/>
    <w:rsid w:val="54A64AB4"/>
    <w:rsid w:val="54B30C09"/>
    <w:rsid w:val="54B3F1FB"/>
    <w:rsid w:val="54BD07EF"/>
    <w:rsid w:val="54BF22D6"/>
    <w:rsid w:val="54C00BCE"/>
    <w:rsid w:val="54C1AC10"/>
    <w:rsid w:val="54E14E10"/>
    <w:rsid w:val="54E1704C"/>
    <w:rsid w:val="54E3F767"/>
    <w:rsid w:val="54E7F8F5"/>
    <w:rsid w:val="54EC734E"/>
    <w:rsid w:val="54F6DDFE"/>
    <w:rsid w:val="54FCA535"/>
    <w:rsid w:val="5500E410"/>
    <w:rsid w:val="550862A0"/>
    <w:rsid w:val="5514165A"/>
    <w:rsid w:val="5520E468"/>
    <w:rsid w:val="5522B72D"/>
    <w:rsid w:val="55265B54"/>
    <w:rsid w:val="552938E6"/>
    <w:rsid w:val="55393CB8"/>
    <w:rsid w:val="55398C66"/>
    <w:rsid w:val="553F2DAE"/>
    <w:rsid w:val="5544559E"/>
    <w:rsid w:val="55593E97"/>
    <w:rsid w:val="555BE582"/>
    <w:rsid w:val="55659E86"/>
    <w:rsid w:val="5569272D"/>
    <w:rsid w:val="556AF9E1"/>
    <w:rsid w:val="556B20C2"/>
    <w:rsid w:val="556C57F1"/>
    <w:rsid w:val="556D7FC8"/>
    <w:rsid w:val="5576A8CE"/>
    <w:rsid w:val="5577403C"/>
    <w:rsid w:val="557B1F15"/>
    <w:rsid w:val="5587F7D1"/>
    <w:rsid w:val="558C7EDA"/>
    <w:rsid w:val="5592E360"/>
    <w:rsid w:val="55988290"/>
    <w:rsid w:val="5599A9DB"/>
    <w:rsid w:val="55B87A4A"/>
    <w:rsid w:val="55CFC3DB"/>
    <w:rsid w:val="55D53D87"/>
    <w:rsid w:val="55D5AB35"/>
    <w:rsid w:val="55D9B995"/>
    <w:rsid w:val="55DD72CE"/>
    <w:rsid w:val="55DDDC10"/>
    <w:rsid w:val="55E94D68"/>
    <w:rsid w:val="55E9EA17"/>
    <w:rsid w:val="55F48E49"/>
    <w:rsid w:val="55F7398A"/>
    <w:rsid w:val="56087B4A"/>
    <w:rsid w:val="560F8224"/>
    <w:rsid w:val="5612E23A"/>
    <w:rsid w:val="5619368C"/>
    <w:rsid w:val="5625694C"/>
    <w:rsid w:val="562BAD8E"/>
    <w:rsid w:val="564C2CB5"/>
    <w:rsid w:val="564E17BE"/>
    <w:rsid w:val="5650ED43"/>
    <w:rsid w:val="56567451"/>
    <w:rsid w:val="5669BE89"/>
    <w:rsid w:val="56720031"/>
    <w:rsid w:val="5673D6DD"/>
    <w:rsid w:val="5674ADFC"/>
    <w:rsid w:val="5681F17E"/>
    <w:rsid w:val="56877E75"/>
    <w:rsid w:val="568C1AF0"/>
    <w:rsid w:val="568F47AB"/>
    <w:rsid w:val="568FF237"/>
    <w:rsid w:val="5692A117"/>
    <w:rsid w:val="5692BFEA"/>
    <w:rsid w:val="56A3F1B4"/>
    <w:rsid w:val="56A4788E"/>
    <w:rsid w:val="56A57458"/>
    <w:rsid w:val="56AF1D03"/>
    <w:rsid w:val="56BDB982"/>
    <w:rsid w:val="56C27BF5"/>
    <w:rsid w:val="56C43E77"/>
    <w:rsid w:val="56C92629"/>
    <w:rsid w:val="56CD6308"/>
    <w:rsid w:val="56D8151A"/>
    <w:rsid w:val="56DA764C"/>
    <w:rsid w:val="56F1D63A"/>
    <w:rsid w:val="56F31F12"/>
    <w:rsid w:val="56F54414"/>
    <w:rsid w:val="5709876B"/>
    <w:rsid w:val="571116EB"/>
    <w:rsid w:val="571331D0"/>
    <w:rsid w:val="571593A9"/>
    <w:rsid w:val="5715D86E"/>
    <w:rsid w:val="571620C0"/>
    <w:rsid w:val="571A2220"/>
    <w:rsid w:val="571F6281"/>
    <w:rsid w:val="57227B2C"/>
    <w:rsid w:val="572474D6"/>
    <w:rsid w:val="573C10C2"/>
    <w:rsid w:val="5742D5F6"/>
    <w:rsid w:val="57490558"/>
    <w:rsid w:val="574A3693"/>
    <w:rsid w:val="5751C392"/>
    <w:rsid w:val="57590D06"/>
    <w:rsid w:val="575B7C60"/>
    <w:rsid w:val="575FFF69"/>
    <w:rsid w:val="57607445"/>
    <w:rsid w:val="57639FAE"/>
    <w:rsid w:val="5765E1AE"/>
    <w:rsid w:val="5772FB1B"/>
    <w:rsid w:val="57731370"/>
    <w:rsid w:val="57782708"/>
    <w:rsid w:val="577B225D"/>
    <w:rsid w:val="5786B429"/>
    <w:rsid w:val="579174B8"/>
    <w:rsid w:val="5798E2F3"/>
    <w:rsid w:val="579B0F8E"/>
    <w:rsid w:val="579BDC9E"/>
    <w:rsid w:val="579FEF9A"/>
    <w:rsid w:val="57A26C34"/>
    <w:rsid w:val="57AD699B"/>
    <w:rsid w:val="57B590CC"/>
    <w:rsid w:val="57BDB0ED"/>
    <w:rsid w:val="57BFDDF2"/>
    <w:rsid w:val="57CDC275"/>
    <w:rsid w:val="57D5BD23"/>
    <w:rsid w:val="57D6DC2E"/>
    <w:rsid w:val="57DF20BA"/>
    <w:rsid w:val="57E12985"/>
    <w:rsid w:val="57F077FD"/>
    <w:rsid w:val="58032764"/>
    <w:rsid w:val="580EAF61"/>
    <w:rsid w:val="58118CEA"/>
    <w:rsid w:val="5812CFCD"/>
    <w:rsid w:val="58135587"/>
    <w:rsid w:val="5817F5DE"/>
    <w:rsid w:val="58188B22"/>
    <w:rsid w:val="581DEBD1"/>
    <w:rsid w:val="5822C66F"/>
    <w:rsid w:val="58268827"/>
    <w:rsid w:val="58274887"/>
    <w:rsid w:val="582ADE57"/>
    <w:rsid w:val="58387CDD"/>
    <w:rsid w:val="583F6BA8"/>
    <w:rsid w:val="584F0DC0"/>
    <w:rsid w:val="584FAC73"/>
    <w:rsid w:val="5856DEC4"/>
    <w:rsid w:val="585A31B6"/>
    <w:rsid w:val="585EABCF"/>
    <w:rsid w:val="58623C6C"/>
    <w:rsid w:val="5863A117"/>
    <w:rsid w:val="586E68DB"/>
    <w:rsid w:val="5870FED2"/>
    <w:rsid w:val="58782128"/>
    <w:rsid w:val="587964BD"/>
    <w:rsid w:val="5880E797"/>
    <w:rsid w:val="5886CAA0"/>
    <w:rsid w:val="588C270C"/>
    <w:rsid w:val="58A07992"/>
    <w:rsid w:val="58A47F35"/>
    <w:rsid w:val="58A4E169"/>
    <w:rsid w:val="58AE9971"/>
    <w:rsid w:val="58B12CCD"/>
    <w:rsid w:val="58B4CCFB"/>
    <w:rsid w:val="58B8BBCA"/>
    <w:rsid w:val="58C1F1DD"/>
    <w:rsid w:val="58C2D1CD"/>
    <w:rsid w:val="58D1A4A1"/>
    <w:rsid w:val="58D3E153"/>
    <w:rsid w:val="58DBBC68"/>
    <w:rsid w:val="58E0991D"/>
    <w:rsid w:val="58E5397C"/>
    <w:rsid w:val="58E8EBD2"/>
    <w:rsid w:val="58EE903E"/>
    <w:rsid w:val="58EF0DC2"/>
    <w:rsid w:val="58F0B8DC"/>
    <w:rsid w:val="58F33C92"/>
    <w:rsid w:val="58FC9E6B"/>
    <w:rsid w:val="59065810"/>
    <w:rsid w:val="590C018C"/>
    <w:rsid w:val="591CFCDD"/>
    <w:rsid w:val="59243665"/>
    <w:rsid w:val="5932BD3E"/>
    <w:rsid w:val="59413227"/>
    <w:rsid w:val="5943AA9C"/>
    <w:rsid w:val="5943D9BC"/>
    <w:rsid w:val="59493BB8"/>
    <w:rsid w:val="594C5D12"/>
    <w:rsid w:val="594CCBDD"/>
    <w:rsid w:val="59532CAC"/>
    <w:rsid w:val="5953E6BB"/>
    <w:rsid w:val="5957001A"/>
    <w:rsid w:val="5959CCC2"/>
    <w:rsid w:val="595A3C37"/>
    <w:rsid w:val="596190B7"/>
    <w:rsid w:val="59684157"/>
    <w:rsid w:val="596C8360"/>
    <w:rsid w:val="596DD84B"/>
    <w:rsid w:val="596F455A"/>
    <w:rsid w:val="5974EAD1"/>
    <w:rsid w:val="59755098"/>
    <w:rsid w:val="5975B39D"/>
    <w:rsid w:val="5983ACAD"/>
    <w:rsid w:val="5983E2EA"/>
    <w:rsid w:val="59887F4F"/>
    <w:rsid w:val="598C3E7C"/>
    <w:rsid w:val="598D8125"/>
    <w:rsid w:val="5990576C"/>
    <w:rsid w:val="59949398"/>
    <w:rsid w:val="59A364D2"/>
    <w:rsid w:val="59A74A9F"/>
    <w:rsid w:val="59B0EEDF"/>
    <w:rsid w:val="59B6BE1B"/>
    <w:rsid w:val="59BC43A7"/>
    <w:rsid w:val="59BF58FB"/>
    <w:rsid w:val="59C7AD8D"/>
    <w:rsid w:val="59E38B30"/>
    <w:rsid w:val="59E9F268"/>
    <w:rsid w:val="59EBA76F"/>
    <w:rsid w:val="59F2128B"/>
    <w:rsid w:val="59F25BF8"/>
    <w:rsid w:val="59F6D2A3"/>
    <w:rsid w:val="5A0280AF"/>
    <w:rsid w:val="5A087F3B"/>
    <w:rsid w:val="5A0955E2"/>
    <w:rsid w:val="5A0B146B"/>
    <w:rsid w:val="5A108785"/>
    <w:rsid w:val="5A10CD3A"/>
    <w:rsid w:val="5A14B0E3"/>
    <w:rsid w:val="5A22E1A0"/>
    <w:rsid w:val="5A27B547"/>
    <w:rsid w:val="5A2A4C58"/>
    <w:rsid w:val="5A2CDF5B"/>
    <w:rsid w:val="5A3497AA"/>
    <w:rsid w:val="5A435503"/>
    <w:rsid w:val="5A44E267"/>
    <w:rsid w:val="5A526EC0"/>
    <w:rsid w:val="5A52F81E"/>
    <w:rsid w:val="5A59D710"/>
    <w:rsid w:val="5A5E2DB3"/>
    <w:rsid w:val="5A67D5F0"/>
    <w:rsid w:val="5A7D469B"/>
    <w:rsid w:val="5A7DAE63"/>
    <w:rsid w:val="5A82B952"/>
    <w:rsid w:val="5A87BEB3"/>
    <w:rsid w:val="5A8D424C"/>
    <w:rsid w:val="5A97B7B6"/>
    <w:rsid w:val="5A97EFC9"/>
    <w:rsid w:val="5A9BB651"/>
    <w:rsid w:val="5AA43338"/>
    <w:rsid w:val="5AB415DF"/>
    <w:rsid w:val="5ABBFBF9"/>
    <w:rsid w:val="5ABDD2F2"/>
    <w:rsid w:val="5ACAEBAE"/>
    <w:rsid w:val="5ACF19BC"/>
    <w:rsid w:val="5AD14E57"/>
    <w:rsid w:val="5AD20F7D"/>
    <w:rsid w:val="5AD40C11"/>
    <w:rsid w:val="5AD7AD6B"/>
    <w:rsid w:val="5ADF60C7"/>
    <w:rsid w:val="5AE01E2D"/>
    <w:rsid w:val="5AE41914"/>
    <w:rsid w:val="5AF1D00C"/>
    <w:rsid w:val="5AF69586"/>
    <w:rsid w:val="5AF69DF8"/>
    <w:rsid w:val="5AF7797E"/>
    <w:rsid w:val="5AFCCD98"/>
    <w:rsid w:val="5AFD1A57"/>
    <w:rsid w:val="5AFD657C"/>
    <w:rsid w:val="5B1E4E9B"/>
    <w:rsid w:val="5B2012FE"/>
    <w:rsid w:val="5B242247"/>
    <w:rsid w:val="5B249E23"/>
    <w:rsid w:val="5B25610A"/>
    <w:rsid w:val="5B2E53C7"/>
    <w:rsid w:val="5B33539C"/>
    <w:rsid w:val="5B405D6F"/>
    <w:rsid w:val="5B40B3C5"/>
    <w:rsid w:val="5B40C483"/>
    <w:rsid w:val="5B41E3B5"/>
    <w:rsid w:val="5B449045"/>
    <w:rsid w:val="5B45A0F7"/>
    <w:rsid w:val="5B4BD6D1"/>
    <w:rsid w:val="5B4EB7F9"/>
    <w:rsid w:val="5B572934"/>
    <w:rsid w:val="5B5E3E16"/>
    <w:rsid w:val="5B6A9E5E"/>
    <w:rsid w:val="5B6C58DD"/>
    <w:rsid w:val="5B711B05"/>
    <w:rsid w:val="5B746CAC"/>
    <w:rsid w:val="5B7FD782"/>
    <w:rsid w:val="5B80BC41"/>
    <w:rsid w:val="5B85779E"/>
    <w:rsid w:val="5B8DE834"/>
    <w:rsid w:val="5B8EEF44"/>
    <w:rsid w:val="5B962095"/>
    <w:rsid w:val="5B9DA097"/>
    <w:rsid w:val="5BA40307"/>
    <w:rsid w:val="5BB2C9A8"/>
    <w:rsid w:val="5BB4B8E6"/>
    <w:rsid w:val="5BBFA2B5"/>
    <w:rsid w:val="5BC03498"/>
    <w:rsid w:val="5BC17F62"/>
    <w:rsid w:val="5BC37451"/>
    <w:rsid w:val="5BC477D1"/>
    <w:rsid w:val="5BCE8251"/>
    <w:rsid w:val="5BD38D51"/>
    <w:rsid w:val="5BD47B67"/>
    <w:rsid w:val="5BEE1984"/>
    <w:rsid w:val="5C0173B3"/>
    <w:rsid w:val="5C034DA3"/>
    <w:rsid w:val="5C043B40"/>
    <w:rsid w:val="5C04D530"/>
    <w:rsid w:val="5C0A86D8"/>
    <w:rsid w:val="5C12D229"/>
    <w:rsid w:val="5C192E74"/>
    <w:rsid w:val="5C1B9E57"/>
    <w:rsid w:val="5C1C24A8"/>
    <w:rsid w:val="5C1D9368"/>
    <w:rsid w:val="5C206B35"/>
    <w:rsid w:val="5C22EC29"/>
    <w:rsid w:val="5C2595CC"/>
    <w:rsid w:val="5C2DFD1B"/>
    <w:rsid w:val="5C2E65C5"/>
    <w:rsid w:val="5C368F12"/>
    <w:rsid w:val="5C44D30B"/>
    <w:rsid w:val="5C4B0A06"/>
    <w:rsid w:val="5C4B5D20"/>
    <w:rsid w:val="5C54F5CB"/>
    <w:rsid w:val="5C583882"/>
    <w:rsid w:val="5C69A6EC"/>
    <w:rsid w:val="5C6C57F6"/>
    <w:rsid w:val="5C754385"/>
    <w:rsid w:val="5C80CE8F"/>
    <w:rsid w:val="5C8488D8"/>
    <w:rsid w:val="5C868E2E"/>
    <w:rsid w:val="5C90C2BC"/>
    <w:rsid w:val="5C91CE59"/>
    <w:rsid w:val="5C933974"/>
    <w:rsid w:val="5C959D3B"/>
    <w:rsid w:val="5CA16FC2"/>
    <w:rsid w:val="5CACB7A8"/>
    <w:rsid w:val="5CB378AF"/>
    <w:rsid w:val="5CBC497A"/>
    <w:rsid w:val="5CBD0623"/>
    <w:rsid w:val="5CC828F3"/>
    <w:rsid w:val="5CC89D14"/>
    <w:rsid w:val="5CD60AE7"/>
    <w:rsid w:val="5CDCC174"/>
    <w:rsid w:val="5CE04527"/>
    <w:rsid w:val="5CEFCD51"/>
    <w:rsid w:val="5CF2300F"/>
    <w:rsid w:val="5CF4FE3D"/>
    <w:rsid w:val="5CF512A7"/>
    <w:rsid w:val="5CFB7789"/>
    <w:rsid w:val="5CFD5E1B"/>
    <w:rsid w:val="5D0A2AE4"/>
    <w:rsid w:val="5D0DAE86"/>
    <w:rsid w:val="5D0DF2BE"/>
    <w:rsid w:val="5D198A9A"/>
    <w:rsid w:val="5D1A9339"/>
    <w:rsid w:val="5D1C2DF8"/>
    <w:rsid w:val="5D1C37FD"/>
    <w:rsid w:val="5D1E3C5E"/>
    <w:rsid w:val="5D23D89B"/>
    <w:rsid w:val="5D2AB407"/>
    <w:rsid w:val="5D31F04B"/>
    <w:rsid w:val="5D347282"/>
    <w:rsid w:val="5D4C4345"/>
    <w:rsid w:val="5D4C5A58"/>
    <w:rsid w:val="5D50B582"/>
    <w:rsid w:val="5D520E93"/>
    <w:rsid w:val="5D537E69"/>
    <w:rsid w:val="5D568D46"/>
    <w:rsid w:val="5D639B0F"/>
    <w:rsid w:val="5D6985F8"/>
    <w:rsid w:val="5D6A1CAA"/>
    <w:rsid w:val="5D71D439"/>
    <w:rsid w:val="5D80360E"/>
    <w:rsid w:val="5D80BF8C"/>
    <w:rsid w:val="5D829C87"/>
    <w:rsid w:val="5D86DD27"/>
    <w:rsid w:val="5D8ADA9D"/>
    <w:rsid w:val="5D8BE8B1"/>
    <w:rsid w:val="5D939215"/>
    <w:rsid w:val="5D93C3EF"/>
    <w:rsid w:val="5D9D7418"/>
    <w:rsid w:val="5D9EB19E"/>
    <w:rsid w:val="5DA0CF83"/>
    <w:rsid w:val="5DA86DD8"/>
    <w:rsid w:val="5DAA89C4"/>
    <w:rsid w:val="5DB46AD4"/>
    <w:rsid w:val="5DB7BCAB"/>
    <w:rsid w:val="5DB7DB74"/>
    <w:rsid w:val="5DBB7BCD"/>
    <w:rsid w:val="5DBEF8D0"/>
    <w:rsid w:val="5DC3AF26"/>
    <w:rsid w:val="5DC4BEBA"/>
    <w:rsid w:val="5DD5F72A"/>
    <w:rsid w:val="5DD65008"/>
    <w:rsid w:val="5DDB1051"/>
    <w:rsid w:val="5DE420B6"/>
    <w:rsid w:val="5DEE999E"/>
    <w:rsid w:val="5DF619AA"/>
    <w:rsid w:val="5E011CB8"/>
    <w:rsid w:val="5E087AF9"/>
    <w:rsid w:val="5E0D3D97"/>
    <w:rsid w:val="5E0EFBB7"/>
    <w:rsid w:val="5E103659"/>
    <w:rsid w:val="5E12C58A"/>
    <w:rsid w:val="5E14DCD9"/>
    <w:rsid w:val="5E1E62DB"/>
    <w:rsid w:val="5E2E39B0"/>
    <w:rsid w:val="5E420434"/>
    <w:rsid w:val="5E4789C9"/>
    <w:rsid w:val="5E4A98F0"/>
    <w:rsid w:val="5E51679C"/>
    <w:rsid w:val="5E61368D"/>
    <w:rsid w:val="5E6987A9"/>
    <w:rsid w:val="5E6F2798"/>
    <w:rsid w:val="5E6F73EB"/>
    <w:rsid w:val="5E7058D9"/>
    <w:rsid w:val="5E707E51"/>
    <w:rsid w:val="5E7BFFD3"/>
    <w:rsid w:val="5E7C8765"/>
    <w:rsid w:val="5E7CA893"/>
    <w:rsid w:val="5E8A31F2"/>
    <w:rsid w:val="5E8E43CC"/>
    <w:rsid w:val="5E920317"/>
    <w:rsid w:val="5E95FAF6"/>
    <w:rsid w:val="5E96CE2C"/>
    <w:rsid w:val="5E97101A"/>
    <w:rsid w:val="5E9D709C"/>
    <w:rsid w:val="5E9D7315"/>
    <w:rsid w:val="5EA45B7D"/>
    <w:rsid w:val="5EB63BC8"/>
    <w:rsid w:val="5EB99C75"/>
    <w:rsid w:val="5EBAF91E"/>
    <w:rsid w:val="5EC2B874"/>
    <w:rsid w:val="5EC7E15F"/>
    <w:rsid w:val="5ECB2C33"/>
    <w:rsid w:val="5ECE5069"/>
    <w:rsid w:val="5ED5126E"/>
    <w:rsid w:val="5ED570CC"/>
    <w:rsid w:val="5ED6B0D1"/>
    <w:rsid w:val="5ED77182"/>
    <w:rsid w:val="5EDCF6B2"/>
    <w:rsid w:val="5EE3AE2F"/>
    <w:rsid w:val="5EE437CC"/>
    <w:rsid w:val="5EEA0302"/>
    <w:rsid w:val="5EF19D9A"/>
    <w:rsid w:val="5EF2EA61"/>
    <w:rsid w:val="5EF30D6C"/>
    <w:rsid w:val="5EF9E46E"/>
    <w:rsid w:val="5F022E82"/>
    <w:rsid w:val="5F0BE99F"/>
    <w:rsid w:val="5F142A7B"/>
    <w:rsid w:val="5F18FD72"/>
    <w:rsid w:val="5F1E80AD"/>
    <w:rsid w:val="5F38CE0F"/>
    <w:rsid w:val="5F3A821D"/>
    <w:rsid w:val="5F447767"/>
    <w:rsid w:val="5F476E12"/>
    <w:rsid w:val="5F4C252F"/>
    <w:rsid w:val="5F5090C8"/>
    <w:rsid w:val="5F535DF1"/>
    <w:rsid w:val="5F5C3C8F"/>
    <w:rsid w:val="5F5CA0ED"/>
    <w:rsid w:val="5F70E726"/>
    <w:rsid w:val="5F783381"/>
    <w:rsid w:val="5F78E410"/>
    <w:rsid w:val="5F7F902D"/>
    <w:rsid w:val="5F808D5A"/>
    <w:rsid w:val="5F818206"/>
    <w:rsid w:val="5F8429F7"/>
    <w:rsid w:val="5F8632B8"/>
    <w:rsid w:val="5F8BC3DE"/>
    <w:rsid w:val="5F8BCB2B"/>
    <w:rsid w:val="5F951674"/>
    <w:rsid w:val="5F98555A"/>
    <w:rsid w:val="5F98C5E7"/>
    <w:rsid w:val="5F990293"/>
    <w:rsid w:val="5F9C6829"/>
    <w:rsid w:val="5F9DB1E6"/>
    <w:rsid w:val="5FA170A4"/>
    <w:rsid w:val="5FB76A0F"/>
    <w:rsid w:val="5FC0FFAD"/>
    <w:rsid w:val="5FC2796E"/>
    <w:rsid w:val="5FC66749"/>
    <w:rsid w:val="5FD9FE29"/>
    <w:rsid w:val="5FDD72D4"/>
    <w:rsid w:val="5FE73873"/>
    <w:rsid w:val="5FF547B8"/>
    <w:rsid w:val="5FF80C31"/>
    <w:rsid w:val="6001BB3A"/>
    <w:rsid w:val="60024553"/>
    <w:rsid w:val="6002F412"/>
    <w:rsid w:val="60030661"/>
    <w:rsid w:val="60031783"/>
    <w:rsid w:val="6008F1C7"/>
    <w:rsid w:val="600C0D7F"/>
    <w:rsid w:val="600FB8A8"/>
    <w:rsid w:val="601B79B8"/>
    <w:rsid w:val="601BD6D8"/>
    <w:rsid w:val="601C6242"/>
    <w:rsid w:val="60227E50"/>
    <w:rsid w:val="6029564A"/>
    <w:rsid w:val="602C040B"/>
    <w:rsid w:val="60347953"/>
    <w:rsid w:val="603A9F53"/>
    <w:rsid w:val="603C6608"/>
    <w:rsid w:val="603EA1C7"/>
    <w:rsid w:val="603F6B1D"/>
    <w:rsid w:val="603FB69C"/>
    <w:rsid w:val="604465D7"/>
    <w:rsid w:val="60458E8B"/>
    <w:rsid w:val="6046B6AC"/>
    <w:rsid w:val="604FA5DC"/>
    <w:rsid w:val="604FEF69"/>
    <w:rsid w:val="60534328"/>
    <w:rsid w:val="605356A0"/>
    <w:rsid w:val="60584302"/>
    <w:rsid w:val="6061B70E"/>
    <w:rsid w:val="60730CC2"/>
    <w:rsid w:val="60762091"/>
    <w:rsid w:val="60764AAA"/>
    <w:rsid w:val="607E77A5"/>
    <w:rsid w:val="6082C4AD"/>
    <w:rsid w:val="60874F70"/>
    <w:rsid w:val="608AAB74"/>
    <w:rsid w:val="6094EF53"/>
    <w:rsid w:val="609A76F4"/>
    <w:rsid w:val="609C5D0C"/>
    <w:rsid w:val="609D4968"/>
    <w:rsid w:val="60A13852"/>
    <w:rsid w:val="60A54537"/>
    <w:rsid w:val="60A650B5"/>
    <w:rsid w:val="60ABE7D1"/>
    <w:rsid w:val="60ABFA8A"/>
    <w:rsid w:val="60B5FEA5"/>
    <w:rsid w:val="60BEA8E5"/>
    <w:rsid w:val="60CA5802"/>
    <w:rsid w:val="60CB5035"/>
    <w:rsid w:val="60D6675F"/>
    <w:rsid w:val="60E05E45"/>
    <w:rsid w:val="60E2E83F"/>
    <w:rsid w:val="60F56BCC"/>
    <w:rsid w:val="60FF72F8"/>
    <w:rsid w:val="610371B9"/>
    <w:rsid w:val="6103B1A5"/>
    <w:rsid w:val="611290D2"/>
    <w:rsid w:val="61242DD9"/>
    <w:rsid w:val="612890A0"/>
    <w:rsid w:val="612D37DB"/>
    <w:rsid w:val="612D97F1"/>
    <w:rsid w:val="612F412A"/>
    <w:rsid w:val="613E1E5E"/>
    <w:rsid w:val="613EB84F"/>
    <w:rsid w:val="614BDF1C"/>
    <w:rsid w:val="6150910D"/>
    <w:rsid w:val="615841FB"/>
    <w:rsid w:val="61596A13"/>
    <w:rsid w:val="6159DBC4"/>
    <w:rsid w:val="615B237F"/>
    <w:rsid w:val="616AD06D"/>
    <w:rsid w:val="6185FDF2"/>
    <w:rsid w:val="61860589"/>
    <w:rsid w:val="618E31D7"/>
    <w:rsid w:val="619B28E7"/>
    <w:rsid w:val="61A20131"/>
    <w:rsid w:val="61A4F905"/>
    <w:rsid w:val="61AA1D98"/>
    <w:rsid w:val="61B03CCA"/>
    <w:rsid w:val="61BBF233"/>
    <w:rsid w:val="61BC3E11"/>
    <w:rsid w:val="61C08BCC"/>
    <w:rsid w:val="61C5AE3C"/>
    <w:rsid w:val="61CEE321"/>
    <w:rsid w:val="61D060F8"/>
    <w:rsid w:val="61D28138"/>
    <w:rsid w:val="61D65EC7"/>
    <w:rsid w:val="61D6F82C"/>
    <w:rsid w:val="61D742E9"/>
    <w:rsid w:val="61E01B3C"/>
    <w:rsid w:val="61E865A4"/>
    <w:rsid w:val="61E86949"/>
    <w:rsid w:val="61EA5D08"/>
    <w:rsid w:val="61F0D1AB"/>
    <w:rsid w:val="61F16DCD"/>
    <w:rsid w:val="61F592D2"/>
    <w:rsid w:val="61F9F4D4"/>
    <w:rsid w:val="6200A105"/>
    <w:rsid w:val="6204B878"/>
    <w:rsid w:val="62086E87"/>
    <w:rsid w:val="620E99E0"/>
    <w:rsid w:val="620F50A1"/>
    <w:rsid w:val="6210F4F4"/>
    <w:rsid w:val="62172EAB"/>
    <w:rsid w:val="621A8E70"/>
    <w:rsid w:val="621FE5D4"/>
    <w:rsid w:val="6223D993"/>
    <w:rsid w:val="62245603"/>
    <w:rsid w:val="62280373"/>
    <w:rsid w:val="6230F1F4"/>
    <w:rsid w:val="623A64E9"/>
    <w:rsid w:val="623F0029"/>
    <w:rsid w:val="6242FF8F"/>
    <w:rsid w:val="624F6BF0"/>
    <w:rsid w:val="62592BED"/>
    <w:rsid w:val="6263A8A5"/>
    <w:rsid w:val="626D74A1"/>
    <w:rsid w:val="6284F325"/>
    <w:rsid w:val="62868E48"/>
    <w:rsid w:val="628AFDF7"/>
    <w:rsid w:val="628C27E9"/>
    <w:rsid w:val="6290D8AB"/>
    <w:rsid w:val="6292B399"/>
    <w:rsid w:val="629ACCE0"/>
    <w:rsid w:val="629FD134"/>
    <w:rsid w:val="62ACC11E"/>
    <w:rsid w:val="62AFFE4D"/>
    <w:rsid w:val="62B3D530"/>
    <w:rsid w:val="62B910FF"/>
    <w:rsid w:val="62C258A6"/>
    <w:rsid w:val="62DC5985"/>
    <w:rsid w:val="62DF9630"/>
    <w:rsid w:val="62E8F733"/>
    <w:rsid w:val="62F9DED4"/>
    <w:rsid w:val="62FABBFA"/>
    <w:rsid w:val="62FE57BE"/>
    <w:rsid w:val="62FF2286"/>
    <w:rsid w:val="62FFB852"/>
    <w:rsid w:val="630423B4"/>
    <w:rsid w:val="630BC31F"/>
    <w:rsid w:val="630D7779"/>
    <w:rsid w:val="6312C37D"/>
    <w:rsid w:val="63155DCA"/>
    <w:rsid w:val="63180EC8"/>
    <w:rsid w:val="6319344A"/>
    <w:rsid w:val="631B4DFD"/>
    <w:rsid w:val="631E4A92"/>
    <w:rsid w:val="63365C11"/>
    <w:rsid w:val="633C78EA"/>
    <w:rsid w:val="633F075F"/>
    <w:rsid w:val="63483893"/>
    <w:rsid w:val="6351C4AC"/>
    <w:rsid w:val="635AB8C4"/>
    <w:rsid w:val="635DDD3D"/>
    <w:rsid w:val="635E2307"/>
    <w:rsid w:val="6361812A"/>
    <w:rsid w:val="63719BC5"/>
    <w:rsid w:val="63726DC0"/>
    <w:rsid w:val="63775269"/>
    <w:rsid w:val="637D3DA1"/>
    <w:rsid w:val="637F6202"/>
    <w:rsid w:val="63884042"/>
    <w:rsid w:val="638B786E"/>
    <w:rsid w:val="639131FE"/>
    <w:rsid w:val="63930502"/>
    <w:rsid w:val="6397A43F"/>
    <w:rsid w:val="63A3CE78"/>
    <w:rsid w:val="63A5FD60"/>
    <w:rsid w:val="63A607BE"/>
    <w:rsid w:val="63B1D9BD"/>
    <w:rsid w:val="63B35325"/>
    <w:rsid w:val="63BBE094"/>
    <w:rsid w:val="63BD5DD2"/>
    <w:rsid w:val="63CA4E3E"/>
    <w:rsid w:val="63D0E892"/>
    <w:rsid w:val="63D39D50"/>
    <w:rsid w:val="63D64238"/>
    <w:rsid w:val="63E14384"/>
    <w:rsid w:val="63E27D0F"/>
    <w:rsid w:val="63E57521"/>
    <w:rsid w:val="63E5782B"/>
    <w:rsid w:val="63F5F753"/>
    <w:rsid w:val="63FBB2F7"/>
    <w:rsid w:val="64063E21"/>
    <w:rsid w:val="64086527"/>
    <w:rsid w:val="64093C57"/>
    <w:rsid w:val="640D189F"/>
    <w:rsid w:val="6410E36A"/>
    <w:rsid w:val="64150F96"/>
    <w:rsid w:val="6415AECA"/>
    <w:rsid w:val="6418E188"/>
    <w:rsid w:val="641D1A2E"/>
    <w:rsid w:val="642B6A16"/>
    <w:rsid w:val="644C1CEB"/>
    <w:rsid w:val="64551D79"/>
    <w:rsid w:val="645E487D"/>
    <w:rsid w:val="64631865"/>
    <w:rsid w:val="6467570B"/>
    <w:rsid w:val="64684868"/>
    <w:rsid w:val="6470F02B"/>
    <w:rsid w:val="6477DAE4"/>
    <w:rsid w:val="6479BDDB"/>
    <w:rsid w:val="6479FA88"/>
    <w:rsid w:val="647C0C32"/>
    <w:rsid w:val="647CE348"/>
    <w:rsid w:val="6483C887"/>
    <w:rsid w:val="6484E152"/>
    <w:rsid w:val="64880544"/>
    <w:rsid w:val="648F7085"/>
    <w:rsid w:val="6492E35B"/>
    <w:rsid w:val="649406CF"/>
    <w:rsid w:val="64A34399"/>
    <w:rsid w:val="64B157DB"/>
    <w:rsid w:val="64B3A443"/>
    <w:rsid w:val="64B86795"/>
    <w:rsid w:val="64C290D4"/>
    <w:rsid w:val="64C2E018"/>
    <w:rsid w:val="64C3CA51"/>
    <w:rsid w:val="64C83104"/>
    <w:rsid w:val="64D2D4EA"/>
    <w:rsid w:val="64D31892"/>
    <w:rsid w:val="64D5092E"/>
    <w:rsid w:val="64D79DB5"/>
    <w:rsid w:val="64DACCA4"/>
    <w:rsid w:val="64DB62E2"/>
    <w:rsid w:val="64E14B9D"/>
    <w:rsid w:val="64E318C4"/>
    <w:rsid w:val="64E44BBB"/>
    <w:rsid w:val="64ECD776"/>
    <w:rsid w:val="64ED828F"/>
    <w:rsid w:val="64F35CE2"/>
    <w:rsid w:val="64F3841A"/>
    <w:rsid w:val="64F51C5B"/>
    <w:rsid w:val="64F6C570"/>
    <w:rsid w:val="64FB2CBA"/>
    <w:rsid w:val="6503B01B"/>
    <w:rsid w:val="650F78CB"/>
    <w:rsid w:val="650F836F"/>
    <w:rsid w:val="65136F29"/>
    <w:rsid w:val="6515A854"/>
    <w:rsid w:val="6516E816"/>
    <w:rsid w:val="651EDE95"/>
    <w:rsid w:val="6521DF9D"/>
    <w:rsid w:val="65275F2A"/>
    <w:rsid w:val="652D1239"/>
    <w:rsid w:val="6530A2E4"/>
    <w:rsid w:val="6536383A"/>
    <w:rsid w:val="653714C7"/>
    <w:rsid w:val="654753CF"/>
    <w:rsid w:val="654DDEE4"/>
    <w:rsid w:val="6555F0DA"/>
    <w:rsid w:val="65563E45"/>
    <w:rsid w:val="6561AF9F"/>
    <w:rsid w:val="656C1332"/>
    <w:rsid w:val="6576E57A"/>
    <w:rsid w:val="6584C589"/>
    <w:rsid w:val="658B06F8"/>
    <w:rsid w:val="6596987B"/>
    <w:rsid w:val="65990584"/>
    <w:rsid w:val="659942F6"/>
    <w:rsid w:val="659A9F8A"/>
    <w:rsid w:val="659CDDC9"/>
    <w:rsid w:val="65A0279D"/>
    <w:rsid w:val="65A424AF"/>
    <w:rsid w:val="65B3B45E"/>
    <w:rsid w:val="65B3D537"/>
    <w:rsid w:val="65B41625"/>
    <w:rsid w:val="65B63A7D"/>
    <w:rsid w:val="65BD38C3"/>
    <w:rsid w:val="65BD86C9"/>
    <w:rsid w:val="65BD89EC"/>
    <w:rsid w:val="65BE1831"/>
    <w:rsid w:val="65C59718"/>
    <w:rsid w:val="65C67E30"/>
    <w:rsid w:val="65CBB745"/>
    <w:rsid w:val="65D477EB"/>
    <w:rsid w:val="65DAA014"/>
    <w:rsid w:val="65DC1C0F"/>
    <w:rsid w:val="65EABCDA"/>
    <w:rsid w:val="65FC4833"/>
    <w:rsid w:val="65FE590E"/>
    <w:rsid w:val="6601304C"/>
    <w:rsid w:val="66052F18"/>
    <w:rsid w:val="660A564E"/>
    <w:rsid w:val="66100892"/>
    <w:rsid w:val="661F678D"/>
    <w:rsid w:val="6631990A"/>
    <w:rsid w:val="6633F8A4"/>
    <w:rsid w:val="66394EF7"/>
    <w:rsid w:val="663F1AD3"/>
    <w:rsid w:val="664101DB"/>
    <w:rsid w:val="66482B79"/>
    <w:rsid w:val="664C2E23"/>
    <w:rsid w:val="6654050A"/>
    <w:rsid w:val="665531CD"/>
    <w:rsid w:val="665D772E"/>
    <w:rsid w:val="6666F508"/>
    <w:rsid w:val="6669BFC7"/>
    <w:rsid w:val="666A194C"/>
    <w:rsid w:val="66808B0A"/>
    <w:rsid w:val="66953A00"/>
    <w:rsid w:val="66984C99"/>
    <w:rsid w:val="6699C9C7"/>
    <w:rsid w:val="66A45363"/>
    <w:rsid w:val="66A482DA"/>
    <w:rsid w:val="66A81404"/>
    <w:rsid w:val="66AA06F5"/>
    <w:rsid w:val="66AA8C3E"/>
    <w:rsid w:val="66AF8800"/>
    <w:rsid w:val="66B2D468"/>
    <w:rsid w:val="66B824DB"/>
    <w:rsid w:val="66BEF50A"/>
    <w:rsid w:val="66C1419D"/>
    <w:rsid w:val="66C14F7C"/>
    <w:rsid w:val="66D5825C"/>
    <w:rsid w:val="66DAB8B4"/>
    <w:rsid w:val="66DC48C5"/>
    <w:rsid w:val="66DEE843"/>
    <w:rsid w:val="66E1B58A"/>
    <w:rsid w:val="66E42C21"/>
    <w:rsid w:val="66F26A6D"/>
    <w:rsid w:val="66FBC6CB"/>
    <w:rsid w:val="670A456D"/>
    <w:rsid w:val="670D6243"/>
    <w:rsid w:val="671047FC"/>
    <w:rsid w:val="6713D4F6"/>
    <w:rsid w:val="671960FD"/>
    <w:rsid w:val="672C61EB"/>
    <w:rsid w:val="67331489"/>
    <w:rsid w:val="673B2C31"/>
    <w:rsid w:val="673BA02C"/>
    <w:rsid w:val="673F7E55"/>
    <w:rsid w:val="6742F666"/>
    <w:rsid w:val="6747E38E"/>
    <w:rsid w:val="67507CC7"/>
    <w:rsid w:val="67522CB2"/>
    <w:rsid w:val="675AC8A2"/>
    <w:rsid w:val="675D53EF"/>
    <w:rsid w:val="675EF250"/>
    <w:rsid w:val="6761E6EE"/>
    <w:rsid w:val="6762482A"/>
    <w:rsid w:val="6766C411"/>
    <w:rsid w:val="6768409D"/>
    <w:rsid w:val="676984FE"/>
    <w:rsid w:val="676D2571"/>
    <w:rsid w:val="67713A05"/>
    <w:rsid w:val="67727A5F"/>
    <w:rsid w:val="67822A58"/>
    <w:rsid w:val="67861D1E"/>
    <w:rsid w:val="6792B639"/>
    <w:rsid w:val="6796A32C"/>
    <w:rsid w:val="679E0EB2"/>
    <w:rsid w:val="67A0BBB7"/>
    <w:rsid w:val="67AA6943"/>
    <w:rsid w:val="67B128CF"/>
    <w:rsid w:val="67C7389B"/>
    <w:rsid w:val="67DB2175"/>
    <w:rsid w:val="67DE2A83"/>
    <w:rsid w:val="67E34AA4"/>
    <w:rsid w:val="67F1A699"/>
    <w:rsid w:val="67F1ABB6"/>
    <w:rsid w:val="67F1B653"/>
    <w:rsid w:val="67F4856F"/>
    <w:rsid w:val="680073CB"/>
    <w:rsid w:val="68027C88"/>
    <w:rsid w:val="6807AF81"/>
    <w:rsid w:val="680EF6C0"/>
    <w:rsid w:val="680FCC01"/>
    <w:rsid w:val="681088C9"/>
    <w:rsid w:val="681429E0"/>
    <w:rsid w:val="68165132"/>
    <w:rsid w:val="681A4BF1"/>
    <w:rsid w:val="6820C70E"/>
    <w:rsid w:val="682EEF2B"/>
    <w:rsid w:val="684197DC"/>
    <w:rsid w:val="684C262B"/>
    <w:rsid w:val="6851CE44"/>
    <w:rsid w:val="685A3240"/>
    <w:rsid w:val="685FA5C9"/>
    <w:rsid w:val="686F15BE"/>
    <w:rsid w:val="687236F0"/>
    <w:rsid w:val="68780BAC"/>
    <w:rsid w:val="68839643"/>
    <w:rsid w:val="68863378"/>
    <w:rsid w:val="688CB42B"/>
    <w:rsid w:val="688E1B1D"/>
    <w:rsid w:val="689382FB"/>
    <w:rsid w:val="6899BD07"/>
    <w:rsid w:val="68A0BD0C"/>
    <w:rsid w:val="68A1BF62"/>
    <w:rsid w:val="68BFCC81"/>
    <w:rsid w:val="68C28350"/>
    <w:rsid w:val="68C3081D"/>
    <w:rsid w:val="68C61D15"/>
    <w:rsid w:val="68D7D491"/>
    <w:rsid w:val="68D804FD"/>
    <w:rsid w:val="68E0EA62"/>
    <w:rsid w:val="68E92AB8"/>
    <w:rsid w:val="68FAE8FE"/>
    <w:rsid w:val="690079FD"/>
    <w:rsid w:val="6901F965"/>
    <w:rsid w:val="69068D80"/>
    <w:rsid w:val="690940B5"/>
    <w:rsid w:val="690B67D1"/>
    <w:rsid w:val="690F1589"/>
    <w:rsid w:val="69176F53"/>
    <w:rsid w:val="691E93A0"/>
    <w:rsid w:val="69216406"/>
    <w:rsid w:val="6925A0F3"/>
    <w:rsid w:val="6927ABD1"/>
    <w:rsid w:val="692926A5"/>
    <w:rsid w:val="692B09ED"/>
    <w:rsid w:val="693361F4"/>
    <w:rsid w:val="6934280F"/>
    <w:rsid w:val="69397B35"/>
    <w:rsid w:val="693E475A"/>
    <w:rsid w:val="6947E437"/>
    <w:rsid w:val="69480601"/>
    <w:rsid w:val="694F2E3F"/>
    <w:rsid w:val="695B2EAF"/>
    <w:rsid w:val="695CC3F6"/>
    <w:rsid w:val="695DB783"/>
    <w:rsid w:val="696C255F"/>
    <w:rsid w:val="69748F81"/>
    <w:rsid w:val="6976D51F"/>
    <w:rsid w:val="69932EF8"/>
    <w:rsid w:val="699B3CC7"/>
    <w:rsid w:val="699EEC88"/>
    <w:rsid w:val="69A71190"/>
    <w:rsid w:val="69B691B0"/>
    <w:rsid w:val="69DD876F"/>
    <w:rsid w:val="69E23A65"/>
    <w:rsid w:val="69F33E29"/>
    <w:rsid w:val="69FB8919"/>
    <w:rsid w:val="69FF9DEF"/>
    <w:rsid w:val="6A03175B"/>
    <w:rsid w:val="6A0E4312"/>
    <w:rsid w:val="6A1329F1"/>
    <w:rsid w:val="6A1C2670"/>
    <w:rsid w:val="6A1E2833"/>
    <w:rsid w:val="6A222230"/>
    <w:rsid w:val="6A2A2957"/>
    <w:rsid w:val="6A34B1C8"/>
    <w:rsid w:val="6A399866"/>
    <w:rsid w:val="6A495A32"/>
    <w:rsid w:val="6A572BE2"/>
    <w:rsid w:val="6A5AFAC6"/>
    <w:rsid w:val="6A635894"/>
    <w:rsid w:val="6A648FDC"/>
    <w:rsid w:val="6A701504"/>
    <w:rsid w:val="6A733819"/>
    <w:rsid w:val="6A74AF52"/>
    <w:rsid w:val="6A7833AB"/>
    <w:rsid w:val="6A7CF0C4"/>
    <w:rsid w:val="6A809961"/>
    <w:rsid w:val="6A87F745"/>
    <w:rsid w:val="6A8A0952"/>
    <w:rsid w:val="6A8FF561"/>
    <w:rsid w:val="6A93DBE5"/>
    <w:rsid w:val="6A94520C"/>
    <w:rsid w:val="6A9D4DB0"/>
    <w:rsid w:val="6A9F92FD"/>
    <w:rsid w:val="6AA022D9"/>
    <w:rsid w:val="6AAD6610"/>
    <w:rsid w:val="6AAE598D"/>
    <w:rsid w:val="6ABC0186"/>
    <w:rsid w:val="6AC8C4CE"/>
    <w:rsid w:val="6ACCEA53"/>
    <w:rsid w:val="6AD27782"/>
    <w:rsid w:val="6AD46105"/>
    <w:rsid w:val="6AD607D7"/>
    <w:rsid w:val="6AE69DB1"/>
    <w:rsid w:val="6AEA8643"/>
    <w:rsid w:val="6AF200E1"/>
    <w:rsid w:val="6B0B4E8B"/>
    <w:rsid w:val="6B0CE620"/>
    <w:rsid w:val="6B17F27A"/>
    <w:rsid w:val="6B17F816"/>
    <w:rsid w:val="6B221EDC"/>
    <w:rsid w:val="6B298BA6"/>
    <w:rsid w:val="6B312D64"/>
    <w:rsid w:val="6B3AB338"/>
    <w:rsid w:val="6B416700"/>
    <w:rsid w:val="6B438CE9"/>
    <w:rsid w:val="6B438E3D"/>
    <w:rsid w:val="6B4C1DCE"/>
    <w:rsid w:val="6B4EA83A"/>
    <w:rsid w:val="6B5A16BB"/>
    <w:rsid w:val="6B5BBC12"/>
    <w:rsid w:val="6B636A84"/>
    <w:rsid w:val="6B68E8B5"/>
    <w:rsid w:val="6B6D16AE"/>
    <w:rsid w:val="6B71543C"/>
    <w:rsid w:val="6B75B82E"/>
    <w:rsid w:val="6B78E880"/>
    <w:rsid w:val="6B7D4A65"/>
    <w:rsid w:val="6B7ECF16"/>
    <w:rsid w:val="6B8504FB"/>
    <w:rsid w:val="6B870EDB"/>
    <w:rsid w:val="6B888692"/>
    <w:rsid w:val="6B8C6047"/>
    <w:rsid w:val="6B991230"/>
    <w:rsid w:val="6B9EB2C1"/>
    <w:rsid w:val="6B9FDD39"/>
    <w:rsid w:val="6BA08DED"/>
    <w:rsid w:val="6BA9FB05"/>
    <w:rsid w:val="6BAD70D5"/>
    <w:rsid w:val="6BB0D60B"/>
    <w:rsid w:val="6BB1BE67"/>
    <w:rsid w:val="6BBB632B"/>
    <w:rsid w:val="6BBE828E"/>
    <w:rsid w:val="6BC018BF"/>
    <w:rsid w:val="6BC0E871"/>
    <w:rsid w:val="6BC12C28"/>
    <w:rsid w:val="6BC3B8A0"/>
    <w:rsid w:val="6BD1B710"/>
    <w:rsid w:val="6BD3E257"/>
    <w:rsid w:val="6BD57038"/>
    <w:rsid w:val="6BD6E79A"/>
    <w:rsid w:val="6BD772D2"/>
    <w:rsid w:val="6BD7A11A"/>
    <w:rsid w:val="6BD9BA1A"/>
    <w:rsid w:val="6BDFB92A"/>
    <w:rsid w:val="6BE7C63C"/>
    <w:rsid w:val="6BEB9483"/>
    <w:rsid w:val="6BF2F381"/>
    <w:rsid w:val="6BF41600"/>
    <w:rsid w:val="6BF8E35D"/>
    <w:rsid w:val="6BFE65D7"/>
    <w:rsid w:val="6BFE6C15"/>
    <w:rsid w:val="6BFFD5D1"/>
    <w:rsid w:val="6C0201E8"/>
    <w:rsid w:val="6C060397"/>
    <w:rsid w:val="6C0A7DFD"/>
    <w:rsid w:val="6C0D22F0"/>
    <w:rsid w:val="6C0E7743"/>
    <w:rsid w:val="6C0F913F"/>
    <w:rsid w:val="6C1143C8"/>
    <w:rsid w:val="6C13D47D"/>
    <w:rsid w:val="6C142925"/>
    <w:rsid w:val="6C21AD66"/>
    <w:rsid w:val="6C249A9B"/>
    <w:rsid w:val="6C260323"/>
    <w:rsid w:val="6C26EB82"/>
    <w:rsid w:val="6C2DB653"/>
    <w:rsid w:val="6C30F627"/>
    <w:rsid w:val="6C34975C"/>
    <w:rsid w:val="6C349873"/>
    <w:rsid w:val="6C3648C3"/>
    <w:rsid w:val="6C3651C1"/>
    <w:rsid w:val="6C3797FE"/>
    <w:rsid w:val="6C3A63FF"/>
    <w:rsid w:val="6C4B7684"/>
    <w:rsid w:val="6C4BC176"/>
    <w:rsid w:val="6C5B2870"/>
    <w:rsid w:val="6C5E01DF"/>
    <w:rsid w:val="6C5FB3F8"/>
    <w:rsid w:val="6C734A06"/>
    <w:rsid w:val="6C79704B"/>
    <w:rsid w:val="6C7FE811"/>
    <w:rsid w:val="6C8AE300"/>
    <w:rsid w:val="6C906F34"/>
    <w:rsid w:val="6C9CC77A"/>
    <w:rsid w:val="6C9DA90C"/>
    <w:rsid w:val="6CA5236B"/>
    <w:rsid w:val="6CA5CF23"/>
    <w:rsid w:val="6CAE2DA7"/>
    <w:rsid w:val="6CBEF3A0"/>
    <w:rsid w:val="6CC23ED4"/>
    <w:rsid w:val="6CCAD3B4"/>
    <w:rsid w:val="6CCB5710"/>
    <w:rsid w:val="6CD46EA4"/>
    <w:rsid w:val="6CD8E168"/>
    <w:rsid w:val="6CD9103E"/>
    <w:rsid w:val="6CDB80B3"/>
    <w:rsid w:val="6CE12D91"/>
    <w:rsid w:val="6CE3B726"/>
    <w:rsid w:val="6CEED8D8"/>
    <w:rsid w:val="6CF95FDC"/>
    <w:rsid w:val="6CF9995F"/>
    <w:rsid w:val="6CFDDC20"/>
    <w:rsid w:val="6D045972"/>
    <w:rsid w:val="6D052C3D"/>
    <w:rsid w:val="6D053D4E"/>
    <w:rsid w:val="6D055081"/>
    <w:rsid w:val="6D181A28"/>
    <w:rsid w:val="6D2069FF"/>
    <w:rsid w:val="6D22624C"/>
    <w:rsid w:val="6D2384DE"/>
    <w:rsid w:val="6D278E4C"/>
    <w:rsid w:val="6D34A3D8"/>
    <w:rsid w:val="6D3B07BD"/>
    <w:rsid w:val="6D3E17A8"/>
    <w:rsid w:val="6D40CFAC"/>
    <w:rsid w:val="6D684760"/>
    <w:rsid w:val="6D6BC3C5"/>
    <w:rsid w:val="6D6E7A44"/>
    <w:rsid w:val="6D7D0CE2"/>
    <w:rsid w:val="6D7D0F1B"/>
    <w:rsid w:val="6D7ED387"/>
    <w:rsid w:val="6D84EF61"/>
    <w:rsid w:val="6D909D44"/>
    <w:rsid w:val="6D97A384"/>
    <w:rsid w:val="6D981D71"/>
    <w:rsid w:val="6D9FBD69"/>
    <w:rsid w:val="6DA77239"/>
    <w:rsid w:val="6DA9A347"/>
    <w:rsid w:val="6DB9A39D"/>
    <w:rsid w:val="6DBB995A"/>
    <w:rsid w:val="6DD23363"/>
    <w:rsid w:val="6DDD7FC0"/>
    <w:rsid w:val="6DE36C9A"/>
    <w:rsid w:val="6DE83D77"/>
    <w:rsid w:val="6DEF289E"/>
    <w:rsid w:val="6DF33EC2"/>
    <w:rsid w:val="6E07E90E"/>
    <w:rsid w:val="6E095D5F"/>
    <w:rsid w:val="6E0F3399"/>
    <w:rsid w:val="6E123A0E"/>
    <w:rsid w:val="6E1A5F45"/>
    <w:rsid w:val="6E287F84"/>
    <w:rsid w:val="6E336F84"/>
    <w:rsid w:val="6E3FDC82"/>
    <w:rsid w:val="6E40E4F5"/>
    <w:rsid w:val="6E4A837A"/>
    <w:rsid w:val="6E4E501C"/>
    <w:rsid w:val="6E50E0EE"/>
    <w:rsid w:val="6E5BB2DD"/>
    <w:rsid w:val="6E625317"/>
    <w:rsid w:val="6E6729CE"/>
    <w:rsid w:val="6E6A28F4"/>
    <w:rsid w:val="6E6F55AB"/>
    <w:rsid w:val="6E7B7307"/>
    <w:rsid w:val="6E910ED2"/>
    <w:rsid w:val="6E967E4D"/>
    <w:rsid w:val="6E9815D3"/>
    <w:rsid w:val="6EA0CD7C"/>
    <w:rsid w:val="6EA55708"/>
    <w:rsid w:val="6EAAA478"/>
    <w:rsid w:val="6EAD2F0D"/>
    <w:rsid w:val="6EB00427"/>
    <w:rsid w:val="6EB0AF97"/>
    <w:rsid w:val="6EC3C5DF"/>
    <w:rsid w:val="6ECA8B10"/>
    <w:rsid w:val="6ECAA38C"/>
    <w:rsid w:val="6ED2B0DE"/>
    <w:rsid w:val="6ED49850"/>
    <w:rsid w:val="6ED776FC"/>
    <w:rsid w:val="6EDFB1F7"/>
    <w:rsid w:val="6EDFE272"/>
    <w:rsid w:val="6EE2B349"/>
    <w:rsid w:val="6EE33F37"/>
    <w:rsid w:val="6EE8BD99"/>
    <w:rsid w:val="6EEB93B4"/>
    <w:rsid w:val="6EF173CC"/>
    <w:rsid w:val="6EF17E0F"/>
    <w:rsid w:val="6EF4F3B4"/>
    <w:rsid w:val="6EF5077E"/>
    <w:rsid w:val="6EF703CE"/>
    <w:rsid w:val="6EF865AF"/>
    <w:rsid w:val="6F04F2E3"/>
    <w:rsid w:val="6F09FA9E"/>
    <w:rsid w:val="6F0C0242"/>
    <w:rsid w:val="6F17E63D"/>
    <w:rsid w:val="6F1B65A1"/>
    <w:rsid w:val="6F2C69DA"/>
    <w:rsid w:val="6F36E56E"/>
    <w:rsid w:val="6F39FF02"/>
    <w:rsid w:val="6F4E7968"/>
    <w:rsid w:val="6F51453A"/>
    <w:rsid w:val="6F540705"/>
    <w:rsid w:val="6F600D00"/>
    <w:rsid w:val="6F66CA40"/>
    <w:rsid w:val="6F69F61E"/>
    <w:rsid w:val="6F6E9BB9"/>
    <w:rsid w:val="6F716049"/>
    <w:rsid w:val="6F751277"/>
    <w:rsid w:val="6F753BA3"/>
    <w:rsid w:val="6F7DA262"/>
    <w:rsid w:val="6F7ED833"/>
    <w:rsid w:val="6F84CDF3"/>
    <w:rsid w:val="6F90CF1E"/>
    <w:rsid w:val="6F926B72"/>
    <w:rsid w:val="6F92D853"/>
    <w:rsid w:val="6FA2F7F5"/>
    <w:rsid w:val="6FA36BDE"/>
    <w:rsid w:val="6FA3F749"/>
    <w:rsid w:val="6FA50E12"/>
    <w:rsid w:val="6FA9103B"/>
    <w:rsid w:val="6FB1E59A"/>
    <w:rsid w:val="6FB56EAF"/>
    <w:rsid w:val="6FB78EF2"/>
    <w:rsid w:val="6FBA57D5"/>
    <w:rsid w:val="6FCF2AA5"/>
    <w:rsid w:val="6FD86504"/>
    <w:rsid w:val="6FD8AAC9"/>
    <w:rsid w:val="6FE55A3C"/>
    <w:rsid w:val="6FE5A299"/>
    <w:rsid w:val="6FE8EFBB"/>
    <w:rsid w:val="6FED9AA9"/>
    <w:rsid w:val="6FF2B6D9"/>
    <w:rsid w:val="6FF61095"/>
    <w:rsid w:val="6FF8B1FD"/>
    <w:rsid w:val="70062F94"/>
    <w:rsid w:val="700B4EFE"/>
    <w:rsid w:val="70256F12"/>
    <w:rsid w:val="702857E1"/>
    <w:rsid w:val="7029F1E0"/>
    <w:rsid w:val="702D08A4"/>
    <w:rsid w:val="70354AC3"/>
    <w:rsid w:val="703E5FED"/>
    <w:rsid w:val="70449815"/>
    <w:rsid w:val="7059C1DE"/>
    <w:rsid w:val="705A00A7"/>
    <w:rsid w:val="70689B1D"/>
    <w:rsid w:val="70699DC0"/>
    <w:rsid w:val="706FF100"/>
    <w:rsid w:val="7073EA47"/>
    <w:rsid w:val="707B9F17"/>
    <w:rsid w:val="707F33F7"/>
    <w:rsid w:val="70966C7F"/>
    <w:rsid w:val="709ECC16"/>
    <w:rsid w:val="70A4030B"/>
    <w:rsid w:val="70AA0A64"/>
    <w:rsid w:val="70C1F2FB"/>
    <w:rsid w:val="70C8E305"/>
    <w:rsid w:val="70CF2C55"/>
    <w:rsid w:val="70CF9DC2"/>
    <w:rsid w:val="70CFC30E"/>
    <w:rsid w:val="70D3EA78"/>
    <w:rsid w:val="70DAE731"/>
    <w:rsid w:val="70E5B963"/>
    <w:rsid w:val="70E91E0A"/>
    <w:rsid w:val="70EAAB13"/>
    <w:rsid w:val="70EB6BF8"/>
    <w:rsid w:val="70EBB22C"/>
    <w:rsid w:val="70FF4F23"/>
    <w:rsid w:val="7101ECE9"/>
    <w:rsid w:val="7104D3F5"/>
    <w:rsid w:val="71078422"/>
    <w:rsid w:val="710BD3BC"/>
    <w:rsid w:val="710CA543"/>
    <w:rsid w:val="7111FA09"/>
    <w:rsid w:val="711BA02D"/>
    <w:rsid w:val="711E9E6E"/>
    <w:rsid w:val="71235A0B"/>
    <w:rsid w:val="7129BD76"/>
    <w:rsid w:val="712BC728"/>
    <w:rsid w:val="712C271C"/>
    <w:rsid w:val="712DBD19"/>
    <w:rsid w:val="71301B68"/>
    <w:rsid w:val="713829CA"/>
    <w:rsid w:val="713933D3"/>
    <w:rsid w:val="7144BBBF"/>
    <w:rsid w:val="7146EB38"/>
    <w:rsid w:val="71542F0E"/>
    <w:rsid w:val="715AC758"/>
    <w:rsid w:val="715BA417"/>
    <w:rsid w:val="715DA445"/>
    <w:rsid w:val="71648C65"/>
    <w:rsid w:val="716D0A1A"/>
    <w:rsid w:val="7172FE8B"/>
    <w:rsid w:val="71793EAF"/>
    <w:rsid w:val="717B1CD1"/>
    <w:rsid w:val="7199F7E4"/>
    <w:rsid w:val="719BB213"/>
    <w:rsid w:val="719FA556"/>
    <w:rsid w:val="71A200E7"/>
    <w:rsid w:val="71A28451"/>
    <w:rsid w:val="71A736D9"/>
    <w:rsid w:val="71A8C111"/>
    <w:rsid w:val="71AAE8BC"/>
    <w:rsid w:val="71B3A7C0"/>
    <w:rsid w:val="71B3B29D"/>
    <w:rsid w:val="71B6C37B"/>
    <w:rsid w:val="71B7BEB7"/>
    <w:rsid w:val="71BA95DB"/>
    <w:rsid w:val="71BC51CE"/>
    <w:rsid w:val="71BDD914"/>
    <w:rsid w:val="71CABEAB"/>
    <w:rsid w:val="71CC4E11"/>
    <w:rsid w:val="71D4E4D7"/>
    <w:rsid w:val="71DDF84B"/>
    <w:rsid w:val="71E7B4E2"/>
    <w:rsid w:val="71ED9467"/>
    <w:rsid w:val="71EE23E4"/>
    <w:rsid w:val="71F23B7A"/>
    <w:rsid w:val="7201AA7F"/>
    <w:rsid w:val="7209BC16"/>
    <w:rsid w:val="720F8555"/>
    <w:rsid w:val="722D69F8"/>
    <w:rsid w:val="72349E59"/>
    <w:rsid w:val="7236F0B1"/>
    <w:rsid w:val="724061D3"/>
    <w:rsid w:val="72426E5D"/>
    <w:rsid w:val="72475B39"/>
    <w:rsid w:val="724D2FFD"/>
    <w:rsid w:val="7255729B"/>
    <w:rsid w:val="7255CE21"/>
    <w:rsid w:val="726626D2"/>
    <w:rsid w:val="726CE805"/>
    <w:rsid w:val="72704AED"/>
    <w:rsid w:val="727A33C0"/>
    <w:rsid w:val="727C491C"/>
    <w:rsid w:val="727E29DD"/>
    <w:rsid w:val="727E5899"/>
    <w:rsid w:val="728F4289"/>
    <w:rsid w:val="7293E3BA"/>
    <w:rsid w:val="7297FD98"/>
    <w:rsid w:val="72997437"/>
    <w:rsid w:val="729CBB3A"/>
    <w:rsid w:val="729E8598"/>
    <w:rsid w:val="72A7B6A3"/>
    <w:rsid w:val="72A8DC82"/>
    <w:rsid w:val="72B77D94"/>
    <w:rsid w:val="72B98B1C"/>
    <w:rsid w:val="72C4B1B7"/>
    <w:rsid w:val="72CBB98C"/>
    <w:rsid w:val="72CEC872"/>
    <w:rsid w:val="72D21A1B"/>
    <w:rsid w:val="72D6C768"/>
    <w:rsid w:val="72DABFE0"/>
    <w:rsid w:val="72DC3A35"/>
    <w:rsid w:val="72E4757A"/>
    <w:rsid w:val="72E5DD40"/>
    <w:rsid w:val="72E5FF7A"/>
    <w:rsid w:val="72F12424"/>
    <w:rsid w:val="72F36207"/>
    <w:rsid w:val="72F3A303"/>
    <w:rsid w:val="72F92362"/>
    <w:rsid w:val="72FAC1A0"/>
    <w:rsid w:val="73115F56"/>
    <w:rsid w:val="7312FAB9"/>
    <w:rsid w:val="7316AC0B"/>
    <w:rsid w:val="73247E80"/>
    <w:rsid w:val="732E30DE"/>
    <w:rsid w:val="73313DCF"/>
    <w:rsid w:val="73349796"/>
    <w:rsid w:val="7343C743"/>
    <w:rsid w:val="73567DBE"/>
    <w:rsid w:val="73568BF2"/>
    <w:rsid w:val="735AFB97"/>
    <w:rsid w:val="735BD3B1"/>
    <w:rsid w:val="736052E0"/>
    <w:rsid w:val="7366A0C3"/>
    <w:rsid w:val="7367A2BB"/>
    <w:rsid w:val="736C61A5"/>
    <w:rsid w:val="736F6902"/>
    <w:rsid w:val="73741388"/>
    <w:rsid w:val="739133BF"/>
    <w:rsid w:val="7392A9A4"/>
    <w:rsid w:val="7394E9E9"/>
    <w:rsid w:val="73A7F430"/>
    <w:rsid w:val="73AABD3A"/>
    <w:rsid w:val="73AD3903"/>
    <w:rsid w:val="73AD74EE"/>
    <w:rsid w:val="73AE85BF"/>
    <w:rsid w:val="73AEE28C"/>
    <w:rsid w:val="73AF2F2F"/>
    <w:rsid w:val="73BBE7D9"/>
    <w:rsid w:val="73C646B8"/>
    <w:rsid w:val="73C6FF36"/>
    <w:rsid w:val="73C78B71"/>
    <w:rsid w:val="73C9A816"/>
    <w:rsid w:val="73C9ACA3"/>
    <w:rsid w:val="73CDD81D"/>
    <w:rsid w:val="73DAA395"/>
    <w:rsid w:val="73DE04C3"/>
    <w:rsid w:val="73DF0EDD"/>
    <w:rsid w:val="73EB02E9"/>
    <w:rsid w:val="73F208EA"/>
    <w:rsid w:val="74122DA1"/>
    <w:rsid w:val="741614EA"/>
    <w:rsid w:val="7416F436"/>
    <w:rsid w:val="7418E2D7"/>
    <w:rsid w:val="741FFDCD"/>
    <w:rsid w:val="7439A924"/>
    <w:rsid w:val="743AAA70"/>
    <w:rsid w:val="744D12B3"/>
    <w:rsid w:val="744DB1B0"/>
    <w:rsid w:val="744E161B"/>
    <w:rsid w:val="7457C944"/>
    <w:rsid w:val="7459D2B9"/>
    <w:rsid w:val="746401D6"/>
    <w:rsid w:val="7476B1AF"/>
    <w:rsid w:val="74797AB3"/>
    <w:rsid w:val="7480EC3C"/>
    <w:rsid w:val="748D0F8C"/>
    <w:rsid w:val="74904666"/>
    <w:rsid w:val="749A448B"/>
    <w:rsid w:val="74A6FEBD"/>
    <w:rsid w:val="74A824BA"/>
    <w:rsid w:val="74AAA915"/>
    <w:rsid w:val="74ADD030"/>
    <w:rsid w:val="74AEE948"/>
    <w:rsid w:val="74C33400"/>
    <w:rsid w:val="74CD4736"/>
    <w:rsid w:val="74D24D0E"/>
    <w:rsid w:val="74E42335"/>
    <w:rsid w:val="74E6E6B3"/>
    <w:rsid w:val="74E794D3"/>
    <w:rsid w:val="74E7A4AF"/>
    <w:rsid w:val="74ECC012"/>
    <w:rsid w:val="74ECF653"/>
    <w:rsid w:val="74F120A0"/>
    <w:rsid w:val="74F3DAB4"/>
    <w:rsid w:val="74F695CC"/>
    <w:rsid w:val="74F7ADB9"/>
    <w:rsid w:val="74FA06CF"/>
    <w:rsid w:val="751545A8"/>
    <w:rsid w:val="75165DB9"/>
    <w:rsid w:val="7517F630"/>
    <w:rsid w:val="751A3183"/>
    <w:rsid w:val="75206807"/>
    <w:rsid w:val="75232A79"/>
    <w:rsid w:val="7526A8E1"/>
    <w:rsid w:val="752B12E4"/>
    <w:rsid w:val="752D1296"/>
    <w:rsid w:val="753BBA54"/>
    <w:rsid w:val="75471725"/>
    <w:rsid w:val="75487C23"/>
    <w:rsid w:val="754B17F5"/>
    <w:rsid w:val="754E18DC"/>
    <w:rsid w:val="755287FE"/>
    <w:rsid w:val="7560BA27"/>
    <w:rsid w:val="756EF381"/>
    <w:rsid w:val="7570C3C8"/>
    <w:rsid w:val="75771901"/>
    <w:rsid w:val="757D1AC2"/>
    <w:rsid w:val="7582D725"/>
    <w:rsid w:val="75866CAB"/>
    <w:rsid w:val="7588A7E3"/>
    <w:rsid w:val="7589EC95"/>
    <w:rsid w:val="758C2FE3"/>
    <w:rsid w:val="758DA0C6"/>
    <w:rsid w:val="758DB432"/>
    <w:rsid w:val="759038CA"/>
    <w:rsid w:val="75999F49"/>
    <w:rsid w:val="75A2A706"/>
    <w:rsid w:val="75B324F1"/>
    <w:rsid w:val="75B4652B"/>
    <w:rsid w:val="75C1E66C"/>
    <w:rsid w:val="75C55DAC"/>
    <w:rsid w:val="75C9B735"/>
    <w:rsid w:val="75CF4C22"/>
    <w:rsid w:val="75D58625"/>
    <w:rsid w:val="75E0C34A"/>
    <w:rsid w:val="75E1AB35"/>
    <w:rsid w:val="75E7B795"/>
    <w:rsid w:val="75E8CE76"/>
    <w:rsid w:val="75F1380D"/>
    <w:rsid w:val="75F5349A"/>
    <w:rsid w:val="75F69501"/>
    <w:rsid w:val="75FF819E"/>
    <w:rsid w:val="760C4C01"/>
    <w:rsid w:val="760E1288"/>
    <w:rsid w:val="76115F1D"/>
    <w:rsid w:val="7613FEEF"/>
    <w:rsid w:val="76223948"/>
    <w:rsid w:val="76312EA0"/>
    <w:rsid w:val="7635AA97"/>
    <w:rsid w:val="76467139"/>
    <w:rsid w:val="764994FE"/>
    <w:rsid w:val="764A7BA7"/>
    <w:rsid w:val="764E21D4"/>
    <w:rsid w:val="764EE802"/>
    <w:rsid w:val="764F8C4B"/>
    <w:rsid w:val="765337AB"/>
    <w:rsid w:val="76677919"/>
    <w:rsid w:val="766F6438"/>
    <w:rsid w:val="7673B394"/>
    <w:rsid w:val="76857394"/>
    <w:rsid w:val="76920515"/>
    <w:rsid w:val="76924FD9"/>
    <w:rsid w:val="76A00889"/>
    <w:rsid w:val="76A0BE92"/>
    <w:rsid w:val="76B1C2F0"/>
    <w:rsid w:val="76B320CB"/>
    <w:rsid w:val="76B42596"/>
    <w:rsid w:val="76B62E2B"/>
    <w:rsid w:val="76C1170F"/>
    <w:rsid w:val="76C31ADA"/>
    <w:rsid w:val="76C43D3A"/>
    <w:rsid w:val="76D063BF"/>
    <w:rsid w:val="76D9442F"/>
    <w:rsid w:val="76D9933D"/>
    <w:rsid w:val="76DCB8F6"/>
    <w:rsid w:val="76EC95BF"/>
    <w:rsid w:val="76EFB274"/>
    <w:rsid w:val="76FEB04B"/>
    <w:rsid w:val="76FF0C46"/>
    <w:rsid w:val="77001524"/>
    <w:rsid w:val="771AF59F"/>
    <w:rsid w:val="771C44CA"/>
    <w:rsid w:val="772D72A0"/>
    <w:rsid w:val="772EF5A5"/>
    <w:rsid w:val="7735C93A"/>
    <w:rsid w:val="77401BBF"/>
    <w:rsid w:val="774171C8"/>
    <w:rsid w:val="774A7ADD"/>
    <w:rsid w:val="774F530F"/>
    <w:rsid w:val="7750E43B"/>
    <w:rsid w:val="775A9BCD"/>
    <w:rsid w:val="775F3B12"/>
    <w:rsid w:val="7760D766"/>
    <w:rsid w:val="7764FE94"/>
    <w:rsid w:val="77699ADB"/>
    <w:rsid w:val="776BA930"/>
    <w:rsid w:val="77729976"/>
    <w:rsid w:val="777C0198"/>
    <w:rsid w:val="777DBE40"/>
    <w:rsid w:val="777F0811"/>
    <w:rsid w:val="77A06EAE"/>
    <w:rsid w:val="77A363FB"/>
    <w:rsid w:val="77A3C8F5"/>
    <w:rsid w:val="77A748FC"/>
    <w:rsid w:val="77ACC9BD"/>
    <w:rsid w:val="77AFAE27"/>
    <w:rsid w:val="77B4C9AA"/>
    <w:rsid w:val="77C1DB77"/>
    <w:rsid w:val="77C4A405"/>
    <w:rsid w:val="77C50558"/>
    <w:rsid w:val="77C693FC"/>
    <w:rsid w:val="77CA5637"/>
    <w:rsid w:val="77D1638E"/>
    <w:rsid w:val="77DE70F1"/>
    <w:rsid w:val="77E13DFD"/>
    <w:rsid w:val="77E22370"/>
    <w:rsid w:val="77E8462C"/>
    <w:rsid w:val="77F35352"/>
    <w:rsid w:val="78024BE3"/>
    <w:rsid w:val="7811AB05"/>
    <w:rsid w:val="78217405"/>
    <w:rsid w:val="78263DB7"/>
    <w:rsid w:val="78290BE3"/>
    <w:rsid w:val="783B3F98"/>
    <w:rsid w:val="783CEB56"/>
    <w:rsid w:val="7840FB44"/>
    <w:rsid w:val="7842034F"/>
    <w:rsid w:val="7850818C"/>
    <w:rsid w:val="7858D2BF"/>
    <w:rsid w:val="7868AA5C"/>
    <w:rsid w:val="786A82E2"/>
    <w:rsid w:val="78743116"/>
    <w:rsid w:val="7876E8C5"/>
    <w:rsid w:val="7876E97E"/>
    <w:rsid w:val="787EF146"/>
    <w:rsid w:val="7886B3B9"/>
    <w:rsid w:val="7887FF8E"/>
    <w:rsid w:val="788D5056"/>
    <w:rsid w:val="788DD947"/>
    <w:rsid w:val="7894476E"/>
    <w:rsid w:val="789A8D35"/>
    <w:rsid w:val="789D2C1A"/>
    <w:rsid w:val="78A5DBB6"/>
    <w:rsid w:val="78A5E4CF"/>
    <w:rsid w:val="78A7A32C"/>
    <w:rsid w:val="78ABB3A7"/>
    <w:rsid w:val="78B207D2"/>
    <w:rsid w:val="78C5CCCC"/>
    <w:rsid w:val="78CEB25A"/>
    <w:rsid w:val="78CEC5B1"/>
    <w:rsid w:val="78D3EE81"/>
    <w:rsid w:val="78DB6E37"/>
    <w:rsid w:val="78E34D55"/>
    <w:rsid w:val="78EC049D"/>
    <w:rsid w:val="78F27870"/>
    <w:rsid w:val="78F37F6A"/>
    <w:rsid w:val="78F474C0"/>
    <w:rsid w:val="78F60E50"/>
    <w:rsid w:val="78F709B5"/>
    <w:rsid w:val="79007A3C"/>
    <w:rsid w:val="7901CAB0"/>
    <w:rsid w:val="790501EE"/>
    <w:rsid w:val="7919A533"/>
    <w:rsid w:val="791BB286"/>
    <w:rsid w:val="7921B0DB"/>
    <w:rsid w:val="792327DE"/>
    <w:rsid w:val="792BD062"/>
    <w:rsid w:val="792C301B"/>
    <w:rsid w:val="7948A2F7"/>
    <w:rsid w:val="794CAFDF"/>
    <w:rsid w:val="7951A2EF"/>
    <w:rsid w:val="79554556"/>
    <w:rsid w:val="79557F0A"/>
    <w:rsid w:val="79643DD6"/>
    <w:rsid w:val="7966BA39"/>
    <w:rsid w:val="79688CCD"/>
    <w:rsid w:val="796A81F8"/>
    <w:rsid w:val="797DEAA8"/>
    <w:rsid w:val="798FD9B8"/>
    <w:rsid w:val="79907FA8"/>
    <w:rsid w:val="799AE0E3"/>
    <w:rsid w:val="79A60E3A"/>
    <w:rsid w:val="79ACFC4F"/>
    <w:rsid w:val="79ADA56A"/>
    <w:rsid w:val="79B0FD6B"/>
    <w:rsid w:val="79B1A8F8"/>
    <w:rsid w:val="79B8830E"/>
    <w:rsid w:val="79CC3C7D"/>
    <w:rsid w:val="79D5DA2E"/>
    <w:rsid w:val="79D9E477"/>
    <w:rsid w:val="79D9FF26"/>
    <w:rsid w:val="79DB11A3"/>
    <w:rsid w:val="79DB503B"/>
    <w:rsid w:val="79EE9ABF"/>
    <w:rsid w:val="7A0E8102"/>
    <w:rsid w:val="7A11DC89"/>
    <w:rsid w:val="7A123C90"/>
    <w:rsid w:val="7A1F536D"/>
    <w:rsid w:val="7A1FF48C"/>
    <w:rsid w:val="7A2434CA"/>
    <w:rsid w:val="7A247CB0"/>
    <w:rsid w:val="7A2FBE19"/>
    <w:rsid w:val="7A4151D8"/>
    <w:rsid w:val="7A45F053"/>
    <w:rsid w:val="7A475D41"/>
    <w:rsid w:val="7A4BE311"/>
    <w:rsid w:val="7A52A5DF"/>
    <w:rsid w:val="7A54A963"/>
    <w:rsid w:val="7A55257D"/>
    <w:rsid w:val="7A56428C"/>
    <w:rsid w:val="7A628A52"/>
    <w:rsid w:val="7A65422D"/>
    <w:rsid w:val="7A6A51A1"/>
    <w:rsid w:val="7A6B0860"/>
    <w:rsid w:val="7A6C41DC"/>
    <w:rsid w:val="7A7CA6E8"/>
    <w:rsid w:val="7A7FA293"/>
    <w:rsid w:val="7A8C1BD8"/>
    <w:rsid w:val="7A8C1C50"/>
    <w:rsid w:val="7A8CB084"/>
    <w:rsid w:val="7A95F93F"/>
    <w:rsid w:val="7A9AD253"/>
    <w:rsid w:val="7AABB47D"/>
    <w:rsid w:val="7AABF960"/>
    <w:rsid w:val="7AB2F9A5"/>
    <w:rsid w:val="7AB6F572"/>
    <w:rsid w:val="7AB71C13"/>
    <w:rsid w:val="7ABA72F6"/>
    <w:rsid w:val="7ABF1B0A"/>
    <w:rsid w:val="7AC4D822"/>
    <w:rsid w:val="7AC50F18"/>
    <w:rsid w:val="7AC6A4E0"/>
    <w:rsid w:val="7ACF1C29"/>
    <w:rsid w:val="7AE41438"/>
    <w:rsid w:val="7AE6C28A"/>
    <w:rsid w:val="7AF3A08C"/>
    <w:rsid w:val="7AF8174B"/>
    <w:rsid w:val="7AFC92CC"/>
    <w:rsid w:val="7B0568AF"/>
    <w:rsid w:val="7B06A87D"/>
    <w:rsid w:val="7B0745DC"/>
    <w:rsid w:val="7B0CF4E8"/>
    <w:rsid w:val="7B118672"/>
    <w:rsid w:val="7B1BACA0"/>
    <w:rsid w:val="7B1FD22F"/>
    <w:rsid w:val="7B233A80"/>
    <w:rsid w:val="7B2D51F9"/>
    <w:rsid w:val="7B3056BB"/>
    <w:rsid w:val="7B32A5A0"/>
    <w:rsid w:val="7B37A0CA"/>
    <w:rsid w:val="7B39616A"/>
    <w:rsid w:val="7B3C834B"/>
    <w:rsid w:val="7B3F24E3"/>
    <w:rsid w:val="7B4F6D43"/>
    <w:rsid w:val="7B69B4FB"/>
    <w:rsid w:val="7B76AAB5"/>
    <w:rsid w:val="7B78B1D3"/>
    <w:rsid w:val="7B7F4CBC"/>
    <w:rsid w:val="7B84804C"/>
    <w:rsid w:val="7B85D48E"/>
    <w:rsid w:val="7B951486"/>
    <w:rsid w:val="7B9AAA2A"/>
    <w:rsid w:val="7B9BF3E5"/>
    <w:rsid w:val="7B9C7F5C"/>
    <w:rsid w:val="7BB5115F"/>
    <w:rsid w:val="7BCC3101"/>
    <w:rsid w:val="7BD95156"/>
    <w:rsid w:val="7BDDD3E9"/>
    <w:rsid w:val="7BDFF622"/>
    <w:rsid w:val="7BE4BF10"/>
    <w:rsid w:val="7BF18CB1"/>
    <w:rsid w:val="7BF67E11"/>
    <w:rsid w:val="7C00B880"/>
    <w:rsid w:val="7C109272"/>
    <w:rsid w:val="7C1EB96B"/>
    <w:rsid w:val="7C23AF26"/>
    <w:rsid w:val="7C26A4B4"/>
    <w:rsid w:val="7C2A32AB"/>
    <w:rsid w:val="7C377A3A"/>
    <w:rsid w:val="7C4024D3"/>
    <w:rsid w:val="7C4C2F09"/>
    <w:rsid w:val="7C518CD4"/>
    <w:rsid w:val="7C53A75B"/>
    <w:rsid w:val="7C55E8A6"/>
    <w:rsid w:val="7C58DD06"/>
    <w:rsid w:val="7C60601F"/>
    <w:rsid w:val="7C60745D"/>
    <w:rsid w:val="7C63E4A6"/>
    <w:rsid w:val="7C77C0E3"/>
    <w:rsid w:val="7C7A755E"/>
    <w:rsid w:val="7C81BA0B"/>
    <w:rsid w:val="7C91F25A"/>
    <w:rsid w:val="7C9C076A"/>
    <w:rsid w:val="7C9EDAF3"/>
    <w:rsid w:val="7CAA9D32"/>
    <w:rsid w:val="7CAEFF74"/>
    <w:rsid w:val="7CB48B4B"/>
    <w:rsid w:val="7CB6ADCA"/>
    <w:rsid w:val="7CBCBC26"/>
    <w:rsid w:val="7CC16B2E"/>
    <w:rsid w:val="7CC5F097"/>
    <w:rsid w:val="7CC6F0A2"/>
    <w:rsid w:val="7CCAAC2A"/>
    <w:rsid w:val="7CCFA486"/>
    <w:rsid w:val="7CE3E347"/>
    <w:rsid w:val="7CE4AEAB"/>
    <w:rsid w:val="7CEB68EE"/>
    <w:rsid w:val="7CEC7306"/>
    <w:rsid w:val="7CF5019E"/>
    <w:rsid w:val="7CF61E9F"/>
    <w:rsid w:val="7CFAF0C3"/>
    <w:rsid w:val="7D0962B2"/>
    <w:rsid w:val="7D1046B6"/>
    <w:rsid w:val="7D128AB0"/>
    <w:rsid w:val="7D151059"/>
    <w:rsid w:val="7D19DABE"/>
    <w:rsid w:val="7D262DCF"/>
    <w:rsid w:val="7D2698D4"/>
    <w:rsid w:val="7D26F482"/>
    <w:rsid w:val="7D27BCDA"/>
    <w:rsid w:val="7D288492"/>
    <w:rsid w:val="7D2D59A3"/>
    <w:rsid w:val="7D302082"/>
    <w:rsid w:val="7D30FC66"/>
    <w:rsid w:val="7D339902"/>
    <w:rsid w:val="7D33DAC5"/>
    <w:rsid w:val="7D4A7951"/>
    <w:rsid w:val="7D4B3CBE"/>
    <w:rsid w:val="7D4BDF53"/>
    <w:rsid w:val="7D52163A"/>
    <w:rsid w:val="7D546BC6"/>
    <w:rsid w:val="7D5D37B8"/>
    <w:rsid w:val="7D632751"/>
    <w:rsid w:val="7D65CA49"/>
    <w:rsid w:val="7D65D268"/>
    <w:rsid w:val="7D704E86"/>
    <w:rsid w:val="7D75EB93"/>
    <w:rsid w:val="7D7630B2"/>
    <w:rsid w:val="7D7CA617"/>
    <w:rsid w:val="7D7FD9D5"/>
    <w:rsid w:val="7D8F864D"/>
    <w:rsid w:val="7D954840"/>
    <w:rsid w:val="7D9B0BEE"/>
    <w:rsid w:val="7D9C3E04"/>
    <w:rsid w:val="7D9C76C8"/>
    <w:rsid w:val="7D9FFA6C"/>
    <w:rsid w:val="7DA6FCDD"/>
    <w:rsid w:val="7DA9618A"/>
    <w:rsid w:val="7DB642EC"/>
    <w:rsid w:val="7DBC3F61"/>
    <w:rsid w:val="7DC001CF"/>
    <w:rsid w:val="7DC6B490"/>
    <w:rsid w:val="7DD44BE6"/>
    <w:rsid w:val="7DDCDA74"/>
    <w:rsid w:val="7DE3C2DA"/>
    <w:rsid w:val="7DE3F045"/>
    <w:rsid w:val="7DE5943B"/>
    <w:rsid w:val="7DF2C530"/>
    <w:rsid w:val="7DF87AD0"/>
    <w:rsid w:val="7DF9FF30"/>
    <w:rsid w:val="7DFE5688"/>
    <w:rsid w:val="7E02896F"/>
    <w:rsid w:val="7E03205D"/>
    <w:rsid w:val="7E091679"/>
    <w:rsid w:val="7E0CAB04"/>
    <w:rsid w:val="7E0FBB1B"/>
    <w:rsid w:val="7E10D3B4"/>
    <w:rsid w:val="7E114299"/>
    <w:rsid w:val="7E228C7E"/>
    <w:rsid w:val="7E32C397"/>
    <w:rsid w:val="7E3C8B7A"/>
    <w:rsid w:val="7E483DCB"/>
    <w:rsid w:val="7E5D9D99"/>
    <w:rsid w:val="7E60ADEC"/>
    <w:rsid w:val="7E686FC8"/>
    <w:rsid w:val="7E6A8867"/>
    <w:rsid w:val="7E6E6856"/>
    <w:rsid w:val="7E7008C5"/>
    <w:rsid w:val="7E76AE44"/>
    <w:rsid w:val="7E796562"/>
    <w:rsid w:val="7E7B9E6A"/>
    <w:rsid w:val="7E8521E6"/>
    <w:rsid w:val="7E8EDB6F"/>
    <w:rsid w:val="7E90D484"/>
    <w:rsid w:val="7E97F601"/>
    <w:rsid w:val="7E9AA2F2"/>
    <w:rsid w:val="7E9B86CC"/>
    <w:rsid w:val="7E9BB1E8"/>
    <w:rsid w:val="7EA08D52"/>
    <w:rsid w:val="7EA712EC"/>
    <w:rsid w:val="7EA900A2"/>
    <w:rsid w:val="7EC31482"/>
    <w:rsid w:val="7ED0E206"/>
    <w:rsid w:val="7ED4138A"/>
    <w:rsid w:val="7ED5E646"/>
    <w:rsid w:val="7ED834F5"/>
    <w:rsid w:val="7EDC9512"/>
    <w:rsid w:val="7EDF4D1B"/>
    <w:rsid w:val="7EDFE69B"/>
    <w:rsid w:val="7EE44129"/>
    <w:rsid w:val="7EE74F0A"/>
    <w:rsid w:val="7EF454F4"/>
    <w:rsid w:val="7EF5DA40"/>
    <w:rsid w:val="7EF9CCB0"/>
    <w:rsid w:val="7EFC2E53"/>
    <w:rsid w:val="7F00C2DC"/>
    <w:rsid w:val="7F04F28F"/>
    <w:rsid w:val="7F051A45"/>
    <w:rsid w:val="7F062675"/>
    <w:rsid w:val="7F062DC9"/>
    <w:rsid w:val="7F0BECCA"/>
    <w:rsid w:val="7F0C0EA2"/>
    <w:rsid w:val="7F1452E2"/>
    <w:rsid w:val="7F147763"/>
    <w:rsid w:val="7F1D1349"/>
    <w:rsid w:val="7F1E2074"/>
    <w:rsid w:val="7F1EC279"/>
    <w:rsid w:val="7F2A63A7"/>
    <w:rsid w:val="7F2A8855"/>
    <w:rsid w:val="7F2F3D5E"/>
    <w:rsid w:val="7F36EB28"/>
    <w:rsid w:val="7F4530C0"/>
    <w:rsid w:val="7F4EB66D"/>
    <w:rsid w:val="7F50CFB0"/>
    <w:rsid w:val="7F51FAF8"/>
    <w:rsid w:val="7F56DEDC"/>
    <w:rsid w:val="7F5B1817"/>
    <w:rsid w:val="7F5C1954"/>
    <w:rsid w:val="7F5C7166"/>
    <w:rsid w:val="7F69ECC5"/>
    <w:rsid w:val="7F6DA966"/>
    <w:rsid w:val="7F6E6B87"/>
    <w:rsid w:val="7F6F7C2B"/>
    <w:rsid w:val="7F827728"/>
    <w:rsid w:val="7F8D5149"/>
    <w:rsid w:val="7F91BBD0"/>
    <w:rsid w:val="7F9541C3"/>
    <w:rsid w:val="7F975493"/>
    <w:rsid w:val="7F97BF66"/>
    <w:rsid w:val="7F9A4445"/>
    <w:rsid w:val="7F9AD047"/>
    <w:rsid w:val="7FA14206"/>
    <w:rsid w:val="7FA1A663"/>
    <w:rsid w:val="7FA319EA"/>
    <w:rsid w:val="7FA57392"/>
    <w:rsid w:val="7FB02C95"/>
    <w:rsid w:val="7FB245B1"/>
    <w:rsid w:val="7FBB9F1E"/>
    <w:rsid w:val="7FBF91F7"/>
    <w:rsid w:val="7FC2E68C"/>
    <w:rsid w:val="7FC2ECBB"/>
    <w:rsid w:val="7FCA5B42"/>
    <w:rsid w:val="7FCFB1E9"/>
    <w:rsid w:val="7FD3AAF6"/>
    <w:rsid w:val="7FDB3A01"/>
    <w:rsid w:val="7FDF9A36"/>
    <w:rsid w:val="7FE5D443"/>
    <w:rsid w:val="7FEE252E"/>
    <w:rsid w:val="7FEE788D"/>
    <w:rsid w:val="7FFE71D2"/>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4E74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ro-RO"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uiPriority="39"/>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qFormat="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uiPriority="0" w:qFormat="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0"/>
    <w:lsdException w:name="List Number" w:uiPriority="30"/>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0"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0"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uiPriority="0"/>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iPriority="0"/>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0"/>
    <w:lsdException w:name="List Paragraph" w:semiHidden="1" w:uiPriority="34" w:qFormat="1"/>
    <w:lsdException w:name="Quote" w:semiHidden="1" w:uiPriority="0" w:qFormat="1"/>
    <w:lsdException w:name="Intense Quote" w:semiHidden="1" w:uiPriority="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0" w:qFormat="1"/>
    <w:lsdException w:name="Intense Emphasis" w:semiHidden="1" w:uiPriority="0" w:qFormat="1"/>
    <w:lsdException w:name="Subtle Reference" w:semiHidden="1" w:uiPriority="0" w:qFormat="1"/>
    <w:lsdException w:name="Intense Reference" w:semiHidden="1" w:uiPriority="0" w:qFormat="1"/>
    <w:lsdException w:name="Book Title" w:semiHidden="1" w:uiPriority="0" w:qFormat="1"/>
    <w:lsdException w:name="Bibliography" w:semiHidden="1"/>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5D7A"/>
    <w:pPr>
      <w:spacing w:after="120" w:line="264" w:lineRule="auto"/>
      <w:jc w:val="both"/>
    </w:pPr>
    <w:rPr>
      <w:sz w:val="22"/>
    </w:rPr>
  </w:style>
  <w:style w:type="paragraph" w:styleId="Heading1">
    <w:name w:val="heading 1"/>
    <w:basedOn w:val="Normal"/>
    <w:next w:val="Normal"/>
    <w:uiPriority w:val="10"/>
    <w:qFormat/>
    <w:pPr>
      <w:keepNext/>
      <w:numPr>
        <w:numId w:val="13"/>
      </w:numPr>
      <w:spacing w:before="480"/>
      <w:outlineLvl w:val="0"/>
    </w:pPr>
    <w:rPr>
      <w:b/>
      <w:smallCaps/>
      <w:sz w:val="26"/>
    </w:rPr>
  </w:style>
  <w:style w:type="paragraph" w:styleId="Heading2">
    <w:name w:val="heading 2"/>
    <w:basedOn w:val="Normal"/>
    <w:next w:val="Normal"/>
    <w:uiPriority w:val="10"/>
    <w:qFormat/>
    <w:pPr>
      <w:keepNext/>
      <w:numPr>
        <w:ilvl w:val="1"/>
        <w:numId w:val="13"/>
      </w:numPr>
      <w:tabs>
        <w:tab w:val="clear" w:pos="1729"/>
        <w:tab w:val="num" w:pos="595"/>
      </w:tabs>
      <w:spacing w:before="420"/>
      <w:ind w:left="595"/>
      <w:outlineLvl w:val="1"/>
    </w:pPr>
    <w:rPr>
      <w:b/>
      <w:sz w:val="26"/>
    </w:rPr>
  </w:style>
  <w:style w:type="paragraph" w:styleId="Heading3">
    <w:name w:val="heading 3"/>
    <w:basedOn w:val="Normal"/>
    <w:next w:val="Normal"/>
    <w:uiPriority w:val="10"/>
    <w:qFormat/>
    <w:pPr>
      <w:keepNext/>
      <w:numPr>
        <w:ilvl w:val="2"/>
        <w:numId w:val="13"/>
      </w:numPr>
      <w:spacing w:before="360"/>
      <w:outlineLvl w:val="2"/>
    </w:pPr>
    <w:rPr>
      <w:b/>
      <w:sz w:val="24"/>
    </w:rPr>
  </w:style>
  <w:style w:type="paragraph" w:styleId="Heading4">
    <w:name w:val="heading 4"/>
    <w:basedOn w:val="Normal"/>
    <w:next w:val="Normal"/>
    <w:uiPriority w:val="10"/>
    <w:qFormat/>
    <w:pPr>
      <w:numPr>
        <w:ilvl w:val="3"/>
        <w:numId w:val="13"/>
      </w:numPr>
      <w:spacing w:before="360"/>
      <w:outlineLvl w:val="3"/>
    </w:pPr>
    <w:rPr>
      <w:b/>
    </w:rPr>
  </w:style>
  <w:style w:type="paragraph" w:styleId="Heading5">
    <w:name w:val="heading 5"/>
    <w:basedOn w:val="Normal"/>
    <w:next w:val="Normal"/>
    <w:semiHidden/>
    <w:pPr>
      <w:keepNext/>
      <w:numPr>
        <w:ilvl w:val="4"/>
        <w:numId w:val="13"/>
      </w:numPr>
      <w:outlineLvl w:val="4"/>
    </w:pPr>
  </w:style>
  <w:style w:type="paragraph" w:styleId="Heading6">
    <w:name w:val="heading 6"/>
    <w:basedOn w:val="Normal"/>
    <w:next w:val="Normal"/>
    <w:semiHidden/>
    <w:pPr>
      <w:keepNext/>
      <w:numPr>
        <w:ilvl w:val="5"/>
        <w:numId w:val="13"/>
      </w:numPr>
      <w:outlineLvl w:val="5"/>
    </w:pPr>
  </w:style>
  <w:style w:type="paragraph" w:styleId="Heading7">
    <w:name w:val="heading 7"/>
    <w:basedOn w:val="Normal"/>
    <w:next w:val="Normal"/>
    <w:semiHidden/>
    <w:pPr>
      <w:keepNext/>
      <w:numPr>
        <w:ilvl w:val="6"/>
        <w:numId w:val="13"/>
      </w:numPr>
      <w:outlineLvl w:val="6"/>
    </w:pPr>
  </w:style>
  <w:style w:type="paragraph" w:styleId="Heading8">
    <w:name w:val="heading 8"/>
    <w:basedOn w:val="Normal"/>
    <w:next w:val="Normal"/>
    <w:semiHidden/>
    <w:pPr>
      <w:keepNext/>
      <w:numPr>
        <w:ilvl w:val="7"/>
        <w:numId w:val="13"/>
      </w:numPr>
      <w:outlineLvl w:val="7"/>
    </w:pPr>
  </w:style>
  <w:style w:type="paragraph" w:styleId="Heading9">
    <w:name w:val="heading 9"/>
    <w:basedOn w:val="Normal"/>
    <w:next w:val="Normal"/>
    <w:semiHidden/>
    <w:pPr>
      <w:keepNext/>
      <w:numPr>
        <w:ilvl w:val="8"/>
        <w:numId w:val="13"/>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croTextChar">
    <w:name w:val="Macro Text Char"/>
    <w:basedOn w:val="DefaultParagraphFont"/>
    <w:uiPriority w:val="5"/>
    <w:qFormat/>
    <w:rPr>
      <w:rFonts w:ascii="Courier New" w:hAnsi="Courier New"/>
      <w:sz w:val="20"/>
    </w:rPr>
  </w:style>
  <w:style w:type="character" w:customStyle="1" w:styleId="Heading1Char">
    <w:name w:val="Heading 1 Char"/>
    <w:uiPriority w:val="10"/>
    <w:rsid w:val="00506262"/>
    <w:rPr>
      <w:b/>
      <w:smallCaps/>
      <w:sz w:val="26"/>
    </w:rPr>
  </w:style>
  <w:style w:type="character" w:customStyle="1" w:styleId="Heading2Char">
    <w:name w:val="Heading 2 Char"/>
    <w:uiPriority w:val="10"/>
    <w:rsid w:val="00506262"/>
    <w:rPr>
      <w:b/>
      <w:sz w:val="26"/>
    </w:rPr>
  </w:style>
  <w:style w:type="character" w:customStyle="1" w:styleId="Heading3Char">
    <w:name w:val="Heading 3 Char"/>
    <w:rsid w:val="00506262"/>
    <w:rPr>
      <w:b/>
    </w:rPr>
  </w:style>
  <w:style w:type="character" w:customStyle="1" w:styleId="Heading4Char">
    <w:name w:val="Heading 4 Char"/>
    <w:rsid w:val="00506262"/>
    <w:rPr>
      <w:b/>
      <w:sz w:val="22"/>
    </w:rPr>
  </w:style>
  <w:style w:type="character" w:customStyle="1" w:styleId="Heading5Char">
    <w:name w:val="Heading 5 Char"/>
    <w:rsid w:val="00506262"/>
    <w:rPr>
      <w:sz w:val="22"/>
    </w:rPr>
  </w:style>
  <w:style w:type="character" w:customStyle="1" w:styleId="Heading6Char">
    <w:name w:val="Heading 6 Char"/>
    <w:rsid w:val="00506262"/>
    <w:rPr>
      <w:sz w:val="22"/>
    </w:rPr>
  </w:style>
  <w:style w:type="character" w:customStyle="1" w:styleId="Heading7Char">
    <w:name w:val="Heading 7 Char"/>
    <w:rsid w:val="00506262"/>
    <w:rPr>
      <w:sz w:val="22"/>
    </w:rPr>
  </w:style>
  <w:style w:type="character" w:customStyle="1" w:styleId="Heading8Char">
    <w:name w:val="Heading 8 Char"/>
    <w:rsid w:val="00506262"/>
    <w:rPr>
      <w:sz w:val="22"/>
    </w:rPr>
  </w:style>
  <w:style w:type="character" w:customStyle="1" w:styleId="Heading9Char">
    <w:name w:val="Heading 9 Char"/>
    <w:rsid w:val="00506262"/>
    <w:rPr>
      <w:sz w:val="22"/>
    </w:rPr>
  </w:style>
  <w:style w:type="character" w:customStyle="1" w:styleId="TitleChar">
    <w:name w:val="Title Char"/>
    <w:rsid w:val="00506262"/>
    <w:rPr>
      <w:b/>
      <w:kern w:val="28"/>
      <w:sz w:val="48"/>
    </w:rPr>
  </w:style>
  <w:style w:type="paragraph" w:styleId="Subtitle">
    <w:name w:val="Subtitle"/>
    <w:basedOn w:val="Normal"/>
    <w:next w:val="Normal"/>
    <w:link w:val="SubtitleChar"/>
    <w:qFormat/>
    <w:rsid w:val="00506262"/>
    <w:pPr>
      <w:numPr>
        <w:ilvl w:val="1"/>
      </w:numPr>
      <w:spacing w:after="240" w:line="240" w:lineRule="auto"/>
      <w:jc w:val="left"/>
    </w:pPr>
    <w:rPr>
      <w:rFonts w:ascii="Aptos Display" w:eastAsia="Yu Gothic Light" w:hAnsi="Aptos Display"/>
      <w:color w:val="156082"/>
      <w:sz w:val="28"/>
      <w:szCs w:val="28"/>
    </w:rPr>
  </w:style>
  <w:style w:type="character" w:customStyle="1" w:styleId="SubtitleChar">
    <w:name w:val="Subtitle Char"/>
    <w:basedOn w:val="DefaultParagraphFont"/>
    <w:link w:val="Subtitle"/>
    <w:rsid w:val="00506262"/>
    <w:rPr>
      <w:rFonts w:ascii="Aptos Display" w:eastAsia="Yu Gothic Light" w:hAnsi="Aptos Display"/>
      <w:color w:val="156082"/>
      <w:sz w:val="28"/>
      <w:szCs w:val="28"/>
    </w:rPr>
  </w:style>
  <w:style w:type="paragraph" w:styleId="Quote">
    <w:name w:val="Quote"/>
    <w:basedOn w:val="Normal"/>
    <w:next w:val="Normal"/>
    <w:link w:val="QuoteChar"/>
    <w:qFormat/>
    <w:rsid w:val="00506262"/>
    <w:pPr>
      <w:spacing w:before="120" w:line="259" w:lineRule="auto"/>
      <w:ind w:left="720"/>
      <w:jc w:val="left"/>
    </w:pPr>
    <w:rPr>
      <w:rFonts w:ascii="Aptos" w:eastAsia="Yu Gothic" w:hAnsi="Aptos" w:cs="Arial"/>
      <w:color w:val="0E2841"/>
      <w:sz w:val="24"/>
      <w:szCs w:val="24"/>
    </w:rPr>
  </w:style>
  <w:style w:type="character" w:customStyle="1" w:styleId="QuoteChar">
    <w:name w:val="Quote Char"/>
    <w:basedOn w:val="DefaultParagraphFont"/>
    <w:link w:val="Quote"/>
    <w:rsid w:val="00506262"/>
    <w:rPr>
      <w:rFonts w:ascii="Aptos" w:eastAsia="Yu Gothic" w:hAnsi="Aptos" w:cs="Arial"/>
      <w:color w:val="0E2841"/>
      <w:szCs w:val="24"/>
    </w:rPr>
  </w:style>
  <w:style w:type="paragraph" w:styleId="ListParagraph">
    <w:name w:val="List Paragraph"/>
    <w:aliases w:val="Dot pt,F5 List Paragraph,List Paragraph1,No Spacing1,List Paragraph Char Char Char,Indicator Text,Numbered Para 1,Bullet 1,Bullet Points,List Paragraph2,MAIN CONTENT,Normal numbered,List Paragraph12,Recommendatio,List Paragraph 1,L,LISTA"/>
    <w:basedOn w:val="Normal"/>
    <w:link w:val="ListParagraphChar"/>
    <w:uiPriority w:val="34"/>
    <w:qFormat/>
    <w:rsid w:val="00506262"/>
    <w:pPr>
      <w:spacing w:after="160" w:line="259" w:lineRule="auto"/>
      <w:ind w:left="720"/>
      <w:contextualSpacing/>
      <w:jc w:val="left"/>
    </w:pPr>
    <w:rPr>
      <w:rFonts w:ascii="Aptos" w:eastAsia="Yu Gothic" w:hAnsi="Aptos" w:cs="Arial"/>
      <w:szCs w:val="22"/>
    </w:rPr>
  </w:style>
  <w:style w:type="character" w:styleId="IntenseEmphasis">
    <w:name w:val="Intense Emphasis"/>
    <w:qFormat/>
    <w:rsid w:val="00506262"/>
    <w:rPr>
      <w:b/>
      <w:bCs/>
      <w:i/>
      <w:iCs/>
    </w:rPr>
  </w:style>
  <w:style w:type="paragraph" w:styleId="IntenseQuote">
    <w:name w:val="Intense Quote"/>
    <w:basedOn w:val="Normal"/>
    <w:next w:val="Normal"/>
    <w:link w:val="IntenseQuoteChar"/>
    <w:qFormat/>
    <w:rsid w:val="00506262"/>
    <w:pPr>
      <w:spacing w:before="100" w:beforeAutospacing="1" w:after="240" w:line="240" w:lineRule="auto"/>
      <w:ind w:left="720"/>
      <w:jc w:val="center"/>
    </w:pPr>
    <w:rPr>
      <w:rFonts w:ascii="Aptos Display" w:eastAsia="Yu Gothic Light" w:hAnsi="Aptos Display"/>
      <w:color w:val="0E2841"/>
      <w:spacing w:val="-6"/>
      <w:sz w:val="32"/>
      <w:szCs w:val="32"/>
    </w:rPr>
  </w:style>
  <w:style w:type="character" w:customStyle="1" w:styleId="IntenseQuoteChar">
    <w:name w:val="Intense Quote Char"/>
    <w:basedOn w:val="DefaultParagraphFont"/>
    <w:link w:val="IntenseQuote"/>
    <w:rsid w:val="00506262"/>
    <w:rPr>
      <w:rFonts w:ascii="Aptos Display" w:eastAsia="Yu Gothic Light" w:hAnsi="Aptos Display"/>
      <w:color w:val="0E2841"/>
      <w:spacing w:val="-6"/>
      <w:sz w:val="32"/>
      <w:szCs w:val="32"/>
    </w:rPr>
  </w:style>
  <w:style w:type="character" w:styleId="IntenseReference">
    <w:name w:val="Intense Reference"/>
    <w:qFormat/>
    <w:rsid w:val="00506262"/>
    <w:rPr>
      <w:b/>
      <w:bCs/>
      <w:smallCaps/>
      <w:color w:val="0E2841"/>
      <w:u w:val="single"/>
    </w:rPr>
  </w:style>
  <w:style w:type="character" w:customStyle="1" w:styleId="Marker">
    <w:name w:val="Marker"/>
    <w:rsid w:val="00506262"/>
    <w:rPr>
      <w:color w:val="0000FF"/>
      <w:shd w:val="clear" w:color="auto" w:fill="auto"/>
    </w:rPr>
  </w:style>
  <w:style w:type="paragraph" w:customStyle="1" w:styleId="Pagedecouverture">
    <w:name w:val="Page de couverture"/>
    <w:basedOn w:val="Normal"/>
    <w:next w:val="Normal"/>
    <w:rsid w:val="00506262"/>
    <w:pPr>
      <w:spacing w:after="0" w:line="240" w:lineRule="auto"/>
    </w:pPr>
    <w:rPr>
      <w:rFonts w:eastAsia="Yu Gothic"/>
      <w:sz w:val="24"/>
      <w:szCs w:val="22"/>
    </w:rPr>
  </w:style>
  <w:style w:type="paragraph" w:customStyle="1" w:styleId="FooterCoverPage">
    <w:name w:val="Footer Cover Page"/>
    <w:basedOn w:val="Normal"/>
    <w:link w:val="FooterCoverPageChar"/>
    <w:rsid w:val="00506262"/>
    <w:pPr>
      <w:tabs>
        <w:tab w:val="center" w:pos="4535"/>
        <w:tab w:val="right" w:pos="9071"/>
        <w:tab w:val="right" w:pos="9921"/>
      </w:tabs>
      <w:spacing w:before="360" w:after="0" w:line="240" w:lineRule="auto"/>
      <w:ind w:left="-850" w:right="-850"/>
      <w:jc w:val="left"/>
    </w:pPr>
    <w:rPr>
      <w:sz w:val="24"/>
    </w:rPr>
  </w:style>
  <w:style w:type="character" w:customStyle="1" w:styleId="FooterCoverPageChar">
    <w:name w:val="Footer Cover Page Char"/>
    <w:link w:val="FooterCoverPage"/>
    <w:rsid w:val="00506262"/>
  </w:style>
  <w:style w:type="paragraph" w:customStyle="1" w:styleId="FooterSensitivity">
    <w:name w:val="Footer Sensitivity"/>
    <w:basedOn w:val="Normal"/>
    <w:link w:val="FooterSensitivityChar"/>
    <w:rsid w:val="00506262"/>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FooterSensitivityChar">
    <w:name w:val="Footer Sensitivity Char"/>
    <w:link w:val="FooterSensitivity"/>
    <w:rsid w:val="00506262"/>
    <w:rPr>
      <w:b/>
      <w:sz w:val="32"/>
    </w:rPr>
  </w:style>
  <w:style w:type="paragraph" w:customStyle="1" w:styleId="HeaderCoverPage">
    <w:name w:val="Header Cover Page"/>
    <w:basedOn w:val="Normal"/>
    <w:link w:val="HeaderCoverPageChar"/>
    <w:rsid w:val="00506262"/>
    <w:pPr>
      <w:tabs>
        <w:tab w:val="center" w:pos="4535"/>
        <w:tab w:val="right" w:pos="9071"/>
      </w:tabs>
      <w:spacing w:line="240" w:lineRule="auto"/>
    </w:pPr>
    <w:rPr>
      <w:sz w:val="24"/>
    </w:rPr>
  </w:style>
  <w:style w:type="character" w:customStyle="1" w:styleId="HeaderCoverPageChar">
    <w:name w:val="Header Cover Page Char"/>
    <w:link w:val="HeaderCoverPage"/>
    <w:rsid w:val="00506262"/>
  </w:style>
  <w:style w:type="paragraph" w:customStyle="1" w:styleId="HeaderSensitivity">
    <w:name w:val="Header Sensitivity"/>
    <w:basedOn w:val="Normal"/>
    <w:link w:val="HeaderSensitivityChar"/>
    <w:rsid w:val="00506262"/>
    <w:pPr>
      <w:pBdr>
        <w:top w:val="single" w:sz="4" w:space="1" w:color="auto"/>
        <w:left w:val="single" w:sz="4" w:space="4" w:color="auto"/>
        <w:bottom w:val="single" w:sz="4" w:space="1" w:color="auto"/>
        <w:right w:val="single" w:sz="4" w:space="4" w:color="auto"/>
      </w:pBdr>
      <w:spacing w:line="240" w:lineRule="auto"/>
      <w:ind w:left="113" w:right="113"/>
      <w:jc w:val="center"/>
    </w:pPr>
    <w:rPr>
      <w:b/>
      <w:sz w:val="32"/>
    </w:rPr>
  </w:style>
  <w:style w:type="character" w:customStyle="1" w:styleId="HeaderSensitivityChar">
    <w:name w:val="Header Sensitivity Char"/>
    <w:link w:val="HeaderSensitivity"/>
    <w:rsid w:val="00506262"/>
    <w:rPr>
      <w:b/>
      <w:sz w:val="32"/>
    </w:rPr>
  </w:style>
  <w:style w:type="paragraph" w:customStyle="1" w:styleId="HeaderSensitivityRight">
    <w:name w:val="Header Sensitivity Right"/>
    <w:basedOn w:val="Normal"/>
    <w:link w:val="HeaderSensitivityRightChar"/>
    <w:rsid w:val="00506262"/>
    <w:pPr>
      <w:spacing w:line="240" w:lineRule="auto"/>
      <w:jc w:val="right"/>
    </w:pPr>
    <w:rPr>
      <w:sz w:val="28"/>
    </w:rPr>
  </w:style>
  <w:style w:type="character" w:customStyle="1" w:styleId="HeaderSensitivityRightChar">
    <w:name w:val="Header Sensitivity Right Char"/>
    <w:link w:val="HeaderSensitivityRight"/>
    <w:rsid w:val="00506262"/>
    <w:rPr>
      <w:sz w:val="28"/>
    </w:rPr>
  </w:style>
  <w:style w:type="character" w:styleId="CommentReference">
    <w:name w:val="annotation reference"/>
    <w:uiPriority w:val="99"/>
    <w:rsid w:val="00506262"/>
    <w:rPr>
      <w:sz w:val="16"/>
      <w:szCs w:val="16"/>
    </w:rPr>
  </w:style>
  <w:style w:type="paragraph" w:styleId="CommentText">
    <w:name w:val="annotation text"/>
    <w:basedOn w:val="Normal"/>
    <w:link w:val="CommentTextChar"/>
    <w:uiPriority w:val="99"/>
    <w:rsid w:val="00506262"/>
    <w:pPr>
      <w:spacing w:after="160" w:line="240" w:lineRule="auto"/>
      <w:jc w:val="left"/>
    </w:pPr>
    <w:rPr>
      <w:rFonts w:ascii="Aptos" w:eastAsia="Yu Gothic" w:hAnsi="Aptos" w:cs="Arial"/>
      <w:sz w:val="20"/>
    </w:rPr>
  </w:style>
  <w:style w:type="character" w:customStyle="1" w:styleId="CommentTextChar">
    <w:name w:val="Comment Text Char"/>
    <w:basedOn w:val="DefaultParagraphFont"/>
    <w:link w:val="CommentText"/>
    <w:uiPriority w:val="99"/>
    <w:rsid w:val="00506262"/>
    <w:rPr>
      <w:rFonts w:ascii="Aptos" w:eastAsia="Yu Gothic" w:hAnsi="Aptos" w:cs="Arial"/>
      <w:sz w:val="20"/>
    </w:rPr>
  </w:style>
  <w:style w:type="paragraph" w:styleId="CommentSubject">
    <w:name w:val="annotation subject"/>
    <w:basedOn w:val="CommentText"/>
    <w:next w:val="CommentText"/>
    <w:link w:val="CommentSubjectChar"/>
    <w:rsid w:val="00506262"/>
    <w:rPr>
      <w:b/>
      <w:bCs/>
    </w:rPr>
  </w:style>
  <w:style w:type="character" w:customStyle="1" w:styleId="CommentSubjectChar">
    <w:name w:val="Comment Subject Char"/>
    <w:basedOn w:val="CommentTextChar"/>
    <w:link w:val="CommentSubject"/>
    <w:rsid w:val="00506262"/>
    <w:rPr>
      <w:rFonts w:ascii="Aptos" w:eastAsia="Yu Gothic" w:hAnsi="Aptos" w:cs="Arial"/>
      <w:b/>
      <w:bCs/>
      <w:sz w:val="20"/>
    </w:rPr>
  </w:style>
  <w:style w:type="character" w:customStyle="1" w:styleId="ListParagraphChar">
    <w:name w:val="List Paragraph Char"/>
    <w:aliases w:val="Dot pt Char,F5 List Paragraph Char,List Paragraph1 Char,No Spacing1 Char,List Paragraph Char Char Char Char,Indicator Text Char,Numbered Para 1 Char,Bullet 1 Char,Bullet Points Char,List Paragraph2 Char,MAIN CONTENT Char,L Char"/>
    <w:basedOn w:val="DefaultParagraphFont"/>
    <w:link w:val="ListParagraph"/>
    <w:uiPriority w:val="34"/>
    <w:qFormat/>
    <w:locked/>
    <w:rsid w:val="00506262"/>
    <w:rPr>
      <w:rFonts w:ascii="Aptos" w:eastAsia="Yu Gothic" w:hAnsi="Aptos" w:cs="Arial"/>
      <w:sz w:val="22"/>
      <w:szCs w:val="22"/>
    </w:rPr>
  </w:style>
  <w:style w:type="paragraph" w:styleId="Revision">
    <w:name w:val="Revision"/>
    <w:hidden/>
    <w:rsid w:val="00506262"/>
    <w:rPr>
      <w:rFonts w:ascii="Aptos" w:eastAsia="Yu Gothic" w:hAnsi="Aptos" w:cs="Arial"/>
      <w:sz w:val="22"/>
      <w:szCs w:val="22"/>
    </w:rPr>
  </w:style>
  <w:style w:type="paragraph" w:customStyle="1" w:styleId="Text1">
    <w:name w:val="Text 1"/>
    <w:basedOn w:val="Normal"/>
    <w:rsid w:val="00506262"/>
    <w:pPr>
      <w:spacing w:after="240" w:line="240" w:lineRule="auto"/>
      <w:ind w:left="482"/>
    </w:pPr>
    <w:rPr>
      <w:sz w:val="24"/>
    </w:rPr>
  </w:style>
  <w:style w:type="paragraph" w:customStyle="1" w:styleId="Body">
    <w:name w:val="Body"/>
    <w:basedOn w:val="Normal"/>
    <w:link w:val="BodyChar"/>
    <w:qFormat/>
    <w:rsid w:val="00506262"/>
    <w:pPr>
      <w:spacing w:before="120" w:line="240" w:lineRule="auto"/>
    </w:pPr>
    <w:rPr>
      <w:rFonts w:ascii="EC Square Sans Pro" w:hAnsi="EC Square Sans Pro"/>
      <w:sz w:val="24"/>
      <w:szCs w:val="24"/>
    </w:rPr>
  </w:style>
  <w:style w:type="character" w:customStyle="1" w:styleId="BodyChar">
    <w:name w:val="Body Char"/>
    <w:link w:val="Body"/>
    <w:rsid w:val="00506262"/>
    <w:rPr>
      <w:rFonts w:ascii="EC Square Sans Pro" w:hAnsi="EC Square Sans Pro"/>
      <w:szCs w:val="24"/>
    </w:rPr>
  </w:style>
  <w:style w:type="character" w:customStyle="1" w:styleId="FootnoteTextChar">
    <w:name w:val="Footnote Text Char"/>
    <w:aliases w:val="Footnote Text Char1 Char Char,Footnote Text Char Char Char Char,Footnote Text Char1 Char Char Char Char,Footnote Text Char Char Char Char Char Char,Footnote Text Char1 Char Char Char Char Char Char,Footnote Text Char1 Char1 Char Char"/>
    <w:uiPriority w:val="99"/>
    <w:qFormat/>
    <w:rsid w:val="00506262"/>
    <w:rPr>
      <w:sz w:val="20"/>
    </w:rPr>
  </w:style>
  <w:style w:type="paragraph" w:customStyle="1" w:styleId="Nota">
    <w:name w:val="Nota"/>
    <w:aliases w:val="Char1,(NECG) Footnote Reference,fr,Appel note de bas de p,o,Style 6,Signature Ch, Char1,Footnote Reference_LVL6,Footnote Reference_LVL61,Footnote Reference_LVL62,Footnote Reference_LVL63,Footnote Reference_LVL64,Odwo&lt;0142&gt;anie przypisu,SUPER"/>
    <w:basedOn w:val="Normal"/>
    <w:link w:val="FootnoteReference"/>
    <w:locked/>
    <w:rsid w:val="00506262"/>
    <w:pPr>
      <w:spacing w:after="160" w:line="240" w:lineRule="exact"/>
    </w:pPr>
    <w:rPr>
      <w:sz w:val="24"/>
      <w:vertAlign w:val="superscript"/>
    </w:rPr>
  </w:style>
  <w:style w:type="character" w:customStyle="1" w:styleId="cf01">
    <w:name w:val="cf01"/>
    <w:rsid w:val="00506262"/>
    <w:rPr>
      <w:rFonts w:ascii="Segoe UI" w:hAnsi="Segoe UI" w:cs="Segoe UI" w:hint="default"/>
      <w:sz w:val="18"/>
      <w:szCs w:val="18"/>
    </w:rPr>
  </w:style>
  <w:style w:type="character" w:customStyle="1" w:styleId="Mention">
    <w:name w:val="Mention"/>
    <w:rsid w:val="00506262"/>
    <w:rPr>
      <w:color w:val="2B579A"/>
      <w:shd w:val="clear" w:color="auto" w:fill="E1DFDD"/>
    </w:rPr>
  </w:style>
  <w:style w:type="paragraph" w:customStyle="1" w:styleId="BVIfnrChar1CharCharChar">
    <w:name w:val="BVI fnr Char1 Char Char Char"/>
    <w:aliases w:val="BVI fnr Car Car Char1 Char Char Char,BVI fnr Car Char1 Char Char Char,BVI fnr Car Car Car Car Char Char1 Char Char"/>
    <w:basedOn w:val="Normal"/>
    <w:uiPriority w:val="99"/>
    <w:rsid w:val="00506262"/>
    <w:pPr>
      <w:spacing w:after="160" w:line="240" w:lineRule="exact"/>
      <w:jc w:val="left"/>
    </w:pPr>
    <w:rPr>
      <w:rFonts w:ascii="Aptos" w:eastAsia="Yu Gothic" w:hAnsi="Aptos" w:cs="Arial"/>
      <w:kern w:val="2"/>
      <w:szCs w:val="22"/>
      <w:vertAlign w:val="superscript"/>
    </w:rPr>
  </w:style>
  <w:style w:type="character" w:styleId="Hyperlink">
    <w:name w:val="Hyperlink"/>
    <w:uiPriority w:val="99"/>
    <w:rsid w:val="00506262"/>
    <w:rPr>
      <w:color w:val="467886"/>
      <w:u w:val="single"/>
    </w:rPr>
  </w:style>
  <w:style w:type="character" w:styleId="FollowedHyperlink">
    <w:name w:val="FollowedHyperlink"/>
    <w:rsid w:val="00506262"/>
    <w:rPr>
      <w:color w:val="96607D"/>
      <w:u w:val="single"/>
    </w:rPr>
  </w:style>
  <w:style w:type="character" w:customStyle="1" w:styleId="UnresolvedMention">
    <w:name w:val="Unresolved Mention"/>
    <w:rsid w:val="00506262"/>
    <w:rPr>
      <w:color w:val="605E5C"/>
      <w:shd w:val="clear" w:color="auto" w:fill="E1DFDD"/>
    </w:rPr>
  </w:style>
  <w:style w:type="paragraph" w:customStyle="1" w:styleId="Languesfaisantfoi">
    <w:name w:val="Langues faisant foi"/>
    <w:basedOn w:val="Normal"/>
    <w:next w:val="Normal"/>
    <w:rsid w:val="00506262"/>
    <w:pPr>
      <w:spacing w:before="360" w:after="240" w:line="240" w:lineRule="auto"/>
      <w:jc w:val="center"/>
    </w:pPr>
    <w:rPr>
      <w:rFonts w:eastAsia="Yu Gothic"/>
      <w:sz w:val="24"/>
      <w:szCs w:val="22"/>
    </w:rPr>
  </w:style>
  <w:style w:type="paragraph" w:customStyle="1" w:styleId="LanguesfaisantfoiPagedecouverture">
    <w:name w:val="Langues faisant foi (Page de couverture)"/>
    <w:basedOn w:val="Normal"/>
    <w:next w:val="Normal"/>
    <w:rsid w:val="00506262"/>
    <w:pPr>
      <w:spacing w:before="360" w:after="240" w:line="240" w:lineRule="auto"/>
      <w:jc w:val="center"/>
    </w:pPr>
    <w:rPr>
      <w:rFonts w:eastAsia="Yu Gothic"/>
      <w:sz w:val="24"/>
      <w:szCs w:val="22"/>
    </w:rPr>
  </w:style>
  <w:style w:type="paragraph" w:customStyle="1" w:styleId="IntrtEEE">
    <w:name w:val="Intérêt EEE"/>
    <w:basedOn w:val="Languesfaisantfoi"/>
    <w:next w:val="Normal"/>
    <w:rsid w:val="00506262"/>
    <w:pPr>
      <w:spacing w:after="0"/>
    </w:pPr>
  </w:style>
  <w:style w:type="paragraph" w:customStyle="1" w:styleId="IntrtEEEPagedecouverture">
    <w:name w:val="Intérêt EEE (Page de couverture)"/>
    <w:basedOn w:val="IntrtEEE"/>
    <w:next w:val="Normal"/>
    <w:rsid w:val="00506262"/>
  </w:style>
  <w:style w:type="character" w:styleId="Strong">
    <w:name w:val="Strong"/>
    <w:uiPriority w:val="22"/>
    <w:qFormat/>
    <w:rsid w:val="00506262"/>
    <w:rPr>
      <w:b/>
      <w:bCs/>
    </w:rPr>
  </w:style>
  <w:style w:type="character" w:styleId="Emphasis">
    <w:name w:val="Emphasis"/>
    <w:uiPriority w:val="20"/>
    <w:qFormat/>
    <w:rsid w:val="00506262"/>
    <w:rPr>
      <w:i/>
      <w:iCs/>
    </w:rPr>
  </w:style>
  <w:style w:type="paragraph" w:styleId="NoSpacing">
    <w:name w:val="No Spacing"/>
    <w:qFormat/>
    <w:rsid w:val="00506262"/>
    <w:rPr>
      <w:rFonts w:ascii="Aptos" w:eastAsia="Yu Gothic" w:hAnsi="Aptos" w:cs="Arial"/>
      <w:sz w:val="22"/>
      <w:szCs w:val="22"/>
    </w:rPr>
  </w:style>
  <w:style w:type="character" w:styleId="SubtleEmphasis">
    <w:name w:val="Subtle Emphasis"/>
    <w:qFormat/>
    <w:rsid w:val="00506262"/>
    <w:rPr>
      <w:i/>
      <w:iCs/>
      <w:color w:val="595959"/>
    </w:rPr>
  </w:style>
  <w:style w:type="character" w:styleId="SubtleReference">
    <w:name w:val="Subtle Reference"/>
    <w:qFormat/>
    <w:rsid w:val="00506262"/>
    <w:rPr>
      <w:smallCaps/>
      <w:color w:val="595959"/>
      <w:u w:val="none" w:color="7F7F7F"/>
      <w:bdr w:val="none" w:sz="0" w:space="0" w:color="auto"/>
    </w:rPr>
  </w:style>
  <w:style w:type="character" w:styleId="BookTitle">
    <w:name w:val="Book Title"/>
    <w:qFormat/>
    <w:rsid w:val="00506262"/>
    <w:rPr>
      <w:b/>
      <w:bCs/>
      <w:smallCaps/>
      <w:spacing w:val="10"/>
    </w:rPr>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aliases w:val="ftref,16 Point,Superscript 6 Point,Footnote Reference Number,Знак сноски-FN,BVI fnr,footnote ref,4_G,[0],FR"/>
    <w:link w:val="Nota"/>
    <w:qFormat/>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pPr>
      <w:pageBreakBefore/>
      <w:numPr>
        <w:numId w:val="4"/>
      </w:numPr>
      <w:spacing w:after="360"/>
      <w:outlineLvl w:val="0"/>
    </w:pPr>
    <w:rPr>
      <w:b/>
      <w:sz w:val="36"/>
    </w:rPr>
  </w:style>
  <w:style w:type="paragraph" w:styleId="Caption">
    <w:name w:val="caption"/>
    <w:basedOn w:val="Normal"/>
    <w:next w:val="Normal"/>
    <w:semiHidden/>
    <w:pPr>
      <w:spacing w:before="120"/>
    </w:pPr>
    <w:rPr>
      <w:b/>
      <w:i/>
    </w:rPr>
  </w:style>
  <w:style w:type="paragraph" w:customStyle="1" w:styleId="ChapterTitle">
    <w:name w:val="ChapterTitle"/>
    <w:basedOn w:val="Normal"/>
    <w:next w:val="SectionTitle"/>
    <w:uiPriority w:val="43"/>
    <w:qFormat/>
    <w:pPr>
      <w:keepNext/>
      <w:spacing w:before="720" w:after="360"/>
      <w:jc w:val="center"/>
      <w:outlineLvl w:val="0"/>
    </w:pPr>
    <w:rPr>
      <w:b/>
      <w:sz w:val="36"/>
    </w:rPr>
  </w:style>
  <w:style w:type="paragraph" w:customStyle="1" w:styleId="Contact">
    <w:name w:val="Contact"/>
    <w:basedOn w:val="Normal"/>
    <w:semiHidden/>
    <w:pPr>
      <w:spacing w:before="480" w:after="240"/>
      <w:ind w:left="567" w:hanging="567"/>
      <w:jc w:val="left"/>
    </w:pPr>
  </w:style>
  <w:style w:type="paragraph" w:customStyle="1" w:styleId="ContNum">
    <w:name w:val="ContNum"/>
    <w:basedOn w:val="Normal"/>
    <w:uiPriority w:val="20"/>
    <w:qFormat/>
    <w:pPr>
      <w:numPr>
        <w:numId w:val="5"/>
      </w:numPr>
    </w:pPr>
  </w:style>
  <w:style w:type="paragraph" w:customStyle="1" w:styleId="ContNumLevel2">
    <w:name w:val="ContNum (Level 2)"/>
    <w:basedOn w:val="Normal"/>
    <w:uiPriority w:val="20"/>
    <w:pPr>
      <w:numPr>
        <w:ilvl w:val="1"/>
        <w:numId w:val="5"/>
      </w:numPr>
    </w:pPr>
  </w:style>
  <w:style w:type="paragraph" w:customStyle="1" w:styleId="ContNumLevel3">
    <w:name w:val="ContNum (Level 3)"/>
    <w:basedOn w:val="Normal"/>
    <w:uiPriority w:val="20"/>
    <w:pPr>
      <w:numPr>
        <w:ilvl w:val="2"/>
        <w:numId w:val="5"/>
      </w:numPr>
    </w:pPr>
  </w:style>
  <w:style w:type="paragraph" w:styleId="Date">
    <w:name w:val="Date"/>
    <w:basedOn w:val="Normal"/>
    <w:next w:val="References"/>
    <w:semiHidden/>
    <w:pPr>
      <w:spacing w:after="0"/>
      <w:ind w:left="5102" w:right="-567"/>
    </w:pPr>
  </w:style>
  <w:style w:type="paragraph" w:styleId="EndnoteText">
    <w:name w:val="endnote text"/>
    <w:basedOn w:val="Normal"/>
    <w:semiHidden/>
    <w:pPr>
      <w:ind w:left="357" w:hanging="357"/>
    </w:pPr>
    <w:rPr>
      <w:sz w:val="20"/>
    </w:rPr>
  </w:style>
  <w:style w:type="paragraph" w:customStyle="1" w:styleId="FigureBody">
    <w:name w:val="Figure Body"/>
    <w:basedOn w:val="Normal"/>
    <w:next w:val="FigureSource"/>
    <w:uiPriority w:val="99"/>
    <w:semiHidden/>
    <w:unhideWhenUsed/>
    <w:pPr>
      <w:keepNext/>
      <w:spacing w:after="40" w:line="240" w:lineRule="auto"/>
    </w:pPr>
  </w:style>
  <w:style w:type="paragraph" w:customStyle="1" w:styleId="FigureSource">
    <w:name w:val="Figure Source"/>
    <w:basedOn w:val="Normal"/>
    <w:next w:val="Normal"/>
    <w:uiPriority w:val="99"/>
    <w:semiHidden/>
    <w:unhideWhenUsed/>
    <w:pPr>
      <w:spacing w:after="240" w:line="240" w:lineRule="auto"/>
    </w:pPr>
    <w:rPr>
      <w:sz w:val="18"/>
    </w:rPr>
  </w:style>
  <w:style w:type="paragraph" w:customStyle="1" w:styleId="FigureTitle">
    <w:name w:val="Figure Title"/>
    <w:basedOn w:val="Normal"/>
    <w:next w:val="FigureBody"/>
    <w:uiPriority w:val="99"/>
    <w:semiHidden/>
    <w:unhideWhenUsed/>
    <w:pPr>
      <w:keepNext/>
      <w:spacing w:before="120"/>
    </w:pPr>
    <w:rPr>
      <w:b/>
      <w:i/>
    </w:rPr>
  </w:style>
  <w:style w:type="paragraph" w:customStyle="1" w:styleId="FITTable">
    <w:name w:val="FIT Table"/>
    <w:basedOn w:val="Normal"/>
    <w:semiHidden/>
    <w:pPr>
      <w:spacing w:before="60" w:after="60"/>
    </w:pPr>
  </w:style>
  <w:style w:type="paragraph" w:customStyle="1" w:styleId="FooterLine">
    <w:name w:val="Footer Line"/>
    <w:basedOn w:val="Footer"/>
    <w:next w:val="Footer"/>
    <w:semiHidden/>
    <w:pPr>
      <w:pBdr>
        <w:top w:val="single" w:sz="4" w:space="1" w:color="auto"/>
      </w:pBdr>
      <w:tabs>
        <w:tab w:val="right" w:pos="8646"/>
      </w:tabs>
      <w:spacing w:before="120"/>
      <w:ind w:right="0"/>
    </w:pPr>
  </w:style>
  <w:style w:type="paragraph" w:styleId="FootnoteText">
    <w:name w:val="footnote text"/>
    <w:aliases w:val="Footnote TextCSR,Fußnotentextf,Note de bas de page Car Car Car Car Car Car Car Car Car Car,Note de bas de page Car Car Car Car,Note de bas de page Car Car Car Car Car Car Car Car Car,ft,Footnote,Fußnote, Char Char Car,fn,Char Char Car,Ch"/>
    <w:basedOn w:val="Normal"/>
    <w:uiPriority w:val="99"/>
    <w:qFormat/>
    <w:pPr>
      <w:ind w:left="357" w:hanging="357"/>
    </w:pPr>
    <w:rPr>
      <w:sz w:val="20"/>
    </w:rPr>
  </w:style>
  <w:style w:type="paragraph" w:customStyle="1" w:styleId="Glossary">
    <w:name w:val="Glossary"/>
    <w:basedOn w:val="Normal"/>
    <w:semiHidden/>
    <w:pPr>
      <w:tabs>
        <w:tab w:val="left" w:pos="2835"/>
      </w:tabs>
      <w:ind w:left="2835" w:hanging="2835"/>
      <w:jc w:val="left"/>
    </w:pPr>
  </w:style>
  <w:style w:type="paragraph" w:customStyle="1" w:styleId="GlossaryHeading">
    <w:name w:val="GlossaryHeading"/>
    <w:basedOn w:val="Normal"/>
    <w:semiHidden/>
    <w:pPr>
      <w:spacing w:after="480"/>
      <w:jc w:val="center"/>
      <w:outlineLvl w:val="0"/>
    </w:pPr>
    <w:rPr>
      <w:rFonts w:ascii="Times New Roman Bold" w:hAnsi="Times New Roman Bold"/>
      <w:b/>
      <w:sz w:val="32"/>
    </w:rPr>
  </w:style>
  <w:style w:type="paragraph" w:customStyle="1" w:styleId="HistoryTable">
    <w:name w:val="HistoryTable"/>
    <w:basedOn w:val="Normal"/>
    <w:semiHidden/>
    <w:pPr>
      <w:spacing w:before="60" w:after="60"/>
    </w:pPr>
    <w:rPr>
      <w:sz w:val="20"/>
    </w:rPr>
  </w:style>
  <w:style w:type="paragraph" w:customStyle="1" w:styleId="HistTableHeading">
    <w:name w:val="HistTableHeading"/>
    <w:basedOn w:val="Normal"/>
    <w:next w:val="HistoryTable"/>
    <w:semiHidden/>
    <w:pPr>
      <w:jc w:val="center"/>
    </w:pPr>
    <w:rPr>
      <w:rFonts w:ascii="Times New Roman Bold" w:hAnsi="Times New Roman Bold"/>
      <w:b/>
      <w:sz w:val="32"/>
    </w:rPr>
  </w:style>
  <w:style w:type="paragraph" w:customStyle="1" w:styleId="LegalNumPar">
    <w:name w:val="LegalNumPar"/>
    <w:basedOn w:val="Normal"/>
    <w:uiPriority w:val="20"/>
    <w:qFormat/>
    <w:pPr>
      <w:numPr>
        <w:numId w:val="6"/>
      </w:numPr>
      <w:spacing w:line="360" w:lineRule="auto"/>
    </w:pPr>
    <w:rPr>
      <w:sz w:val="24"/>
    </w:rPr>
  </w:style>
  <w:style w:type="paragraph" w:customStyle="1" w:styleId="LegalNumPar2">
    <w:name w:val="LegalNumPar2"/>
    <w:basedOn w:val="Normal"/>
    <w:uiPriority w:val="20"/>
    <w:pPr>
      <w:numPr>
        <w:ilvl w:val="1"/>
        <w:numId w:val="6"/>
      </w:numPr>
      <w:spacing w:line="360" w:lineRule="auto"/>
    </w:pPr>
    <w:rPr>
      <w:sz w:val="24"/>
    </w:rPr>
  </w:style>
  <w:style w:type="paragraph" w:customStyle="1" w:styleId="LegalNumPar3">
    <w:name w:val="LegalNumPar3"/>
    <w:basedOn w:val="Normal"/>
    <w:uiPriority w:val="20"/>
    <w:pPr>
      <w:numPr>
        <w:ilvl w:val="2"/>
        <w:numId w:val="6"/>
      </w:numPr>
      <w:spacing w:line="360" w:lineRule="auto"/>
    </w:pPr>
    <w:rPr>
      <w:sz w:val="24"/>
    </w:rPr>
  </w:style>
  <w:style w:type="paragraph" w:styleId="ListBullet">
    <w:name w:val="List Bullet"/>
    <w:basedOn w:val="Normal"/>
    <w:uiPriority w:val="35"/>
    <w:pPr>
      <w:numPr>
        <w:numId w:val="12"/>
      </w:numPr>
      <w:contextualSpacing/>
    </w:pPr>
  </w:style>
  <w:style w:type="paragraph" w:customStyle="1" w:styleId="ListBulletLevel2">
    <w:name w:val="List Bullet (Level 2)"/>
    <w:basedOn w:val="Normal"/>
    <w:uiPriority w:val="35"/>
    <w:semiHidden/>
    <w:unhideWhenUsed/>
    <w:pPr>
      <w:numPr>
        <w:ilvl w:val="1"/>
        <w:numId w:val="12"/>
      </w:numPr>
      <w:contextualSpacing/>
    </w:pPr>
  </w:style>
  <w:style w:type="paragraph" w:customStyle="1" w:styleId="ListBulletLevel3">
    <w:name w:val="List Bullet (Level 3)"/>
    <w:basedOn w:val="Normal"/>
    <w:uiPriority w:val="35"/>
    <w:semiHidden/>
    <w:unhideWhenUsed/>
    <w:pPr>
      <w:numPr>
        <w:ilvl w:val="2"/>
        <w:numId w:val="12"/>
      </w:numPr>
      <w:contextualSpacing/>
    </w:pPr>
  </w:style>
  <w:style w:type="paragraph" w:customStyle="1" w:styleId="ListBulletLevel4">
    <w:name w:val="List Bullet (Level 4)"/>
    <w:basedOn w:val="Normal"/>
    <w:uiPriority w:val="35"/>
    <w:semiHidden/>
    <w:unhideWhenUsed/>
    <w:pPr>
      <w:numPr>
        <w:ilvl w:val="3"/>
        <w:numId w:val="12"/>
      </w:numPr>
      <w:contextualSpacing/>
    </w:pPr>
  </w:style>
  <w:style w:type="paragraph" w:customStyle="1" w:styleId="ListDash">
    <w:name w:val="List Dash"/>
    <w:basedOn w:val="Normal"/>
    <w:uiPriority w:val="35"/>
    <w:pPr>
      <w:numPr>
        <w:numId w:val="10"/>
      </w:numPr>
      <w:contextualSpacing/>
    </w:pPr>
  </w:style>
  <w:style w:type="paragraph" w:customStyle="1" w:styleId="ListDashLevel2">
    <w:name w:val="List Dash (Level 2)"/>
    <w:basedOn w:val="Normal"/>
    <w:uiPriority w:val="35"/>
    <w:unhideWhenUsed/>
    <w:pPr>
      <w:numPr>
        <w:ilvl w:val="1"/>
        <w:numId w:val="10"/>
      </w:numPr>
      <w:contextualSpacing/>
    </w:pPr>
  </w:style>
  <w:style w:type="paragraph" w:customStyle="1" w:styleId="ListDashLevel3">
    <w:name w:val="List Dash (Level 3)"/>
    <w:basedOn w:val="Normal"/>
    <w:uiPriority w:val="35"/>
    <w:semiHidden/>
    <w:unhideWhenUsed/>
    <w:pPr>
      <w:numPr>
        <w:ilvl w:val="2"/>
        <w:numId w:val="10"/>
      </w:numPr>
      <w:contextualSpacing/>
    </w:pPr>
  </w:style>
  <w:style w:type="paragraph" w:customStyle="1" w:styleId="ListDashLevel4">
    <w:name w:val="List Dash (Level 4)"/>
    <w:basedOn w:val="Normal"/>
    <w:uiPriority w:val="35"/>
    <w:semiHidden/>
    <w:unhideWhenUsed/>
    <w:pPr>
      <w:numPr>
        <w:ilvl w:val="3"/>
        <w:numId w:val="10"/>
      </w:numPr>
      <w:contextualSpacing/>
    </w:pPr>
  </w:style>
  <w:style w:type="paragraph" w:styleId="ListNumber">
    <w:name w:val="List Number"/>
    <w:basedOn w:val="Normal"/>
    <w:uiPriority w:val="30"/>
    <w:pPr>
      <w:numPr>
        <w:numId w:val="11"/>
      </w:numPr>
      <w:contextualSpacing/>
    </w:pPr>
  </w:style>
  <w:style w:type="paragraph" w:customStyle="1" w:styleId="ListNumberLevel2">
    <w:name w:val="List Number (Level 2)"/>
    <w:basedOn w:val="Normal"/>
    <w:uiPriority w:val="30"/>
    <w:pPr>
      <w:numPr>
        <w:ilvl w:val="1"/>
        <w:numId w:val="11"/>
      </w:numPr>
      <w:ind w:left="908" w:hanging="454"/>
      <w:contextualSpacing/>
    </w:pPr>
  </w:style>
  <w:style w:type="paragraph" w:customStyle="1" w:styleId="ListNumberLevel3">
    <w:name w:val="List Number (Level 3)"/>
    <w:basedOn w:val="Normal"/>
    <w:uiPriority w:val="30"/>
    <w:pPr>
      <w:numPr>
        <w:ilvl w:val="2"/>
        <w:numId w:val="11"/>
      </w:numPr>
      <w:contextualSpacing/>
    </w:pPr>
  </w:style>
  <w:style w:type="paragraph" w:customStyle="1" w:styleId="ListNumberLevel4">
    <w:name w:val="List Number (Level 4)"/>
    <w:basedOn w:val="Normal"/>
    <w:uiPriority w:val="30"/>
    <w:pPr>
      <w:numPr>
        <w:ilvl w:val="3"/>
        <w:numId w:val="11"/>
      </w:numPr>
      <w:ind w:left="1815" w:hanging="454"/>
      <w:contextualSpacing/>
    </w:pPr>
  </w:style>
  <w:style w:type="paragraph" w:customStyle="1" w:styleId="Marking">
    <w:name w:val="Marking"/>
    <w:basedOn w:val="Normal"/>
    <w:semiHidden/>
    <w:pPr>
      <w:spacing w:line="240" w:lineRule="auto"/>
      <w:ind w:left="5102" w:right="-680"/>
      <w:contextualSpacing/>
      <w:jc w:val="left"/>
    </w:pPr>
    <w:rPr>
      <w:sz w:val="28"/>
    </w:rPr>
  </w:style>
  <w:style w:type="paragraph" w:customStyle="1" w:styleId="NumPar1">
    <w:name w:val="NumPar 1"/>
    <w:basedOn w:val="Heading1"/>
    <w:uiPriority w:val="20"/>
    <w:qFormat/>
    <w:pPr>
      <w:keepNext w:val="0"/>
      <w:spacing w:before="0"/>
      <w:ind w:left="0" w:firstLine="0"/>
      <w:outlineLvl w:val="9"/>
    </w:pPr>
    <w:rPr>
      <w:b w:val="0"/>
      <w:smallCaps w:val="0"/>
      <w:sz w:val="22"/>
    </w:rPr>
  </w:style>
  <w:style w:type="paragraph" w:customStyle="1" w:styleId="NumPar2">
    <w:name w:val="NumPar 2"/>
    <w:basedOn w:val="Heading2"/>
    <w:uiPriority w:val="20"/>
    <w:qFormat/>
    <w:pPr>
      <w:keepNext w:val="0"/>
      <w:spacing w:before="0"/>
      <w:ind w:left="0" w:firstLine="0"/>
      <w:outlineLvl w:val="9"/>
    </w:pPr>
    <w:rPr>
      <w:b w:val="0"/>
      <w:sz w:val="22"/>
    </w:rPr>
  </w:style>
  <w:style w:type="paragraph" w:customStyle="1" w:styleId="NumPar3">
    <w:name w:val="NumPar 3"/>
    <w:basedOn w:val="Heading3"/>
    <w:uiPriority w:val="20"/>
    <w:qFormat/>
    <w:pPr>
      <w:keepNext w:val="0"/>
      <w:spacing w:before="0"/>
      <w:ind w:left="0" w:firstLine="0"/>
      <w:outlineLvl w:val="9"/>
    </w:pPr>
    <w:rPr>
      <w:b w:val="0"/>
      <w:sz w:val="22"/>
    </w:rPr>
  </w:style>
  <w:style w:type="paragraph" w:customStyle="1" w:styleId="NumPar4">
    <w:name w:val="NumPar 4"/>
    <w:basedOn w:val="Heading4"/>
    <w:uiPriority w:val="20"/>
    <w:qFormat/>
    <w:pPr>
      <w:spacing w:before="0"/>
      <w:ind w:left="0" w:firstLine="0"/>
      <w:outlineLvl w:val="9"/>
    </w:pPr>
    <w:rPr>
      <w:b w:val="0"/>
    </w:rPr>
  </w:style>
  <w:style w:type="paragraph" w:customStyle="1" w:styleId="PartTitle">
    <w:name w:val="PartTitle"/>
    <w:basedOn w:val="Normal"/>
    <w:next w:val="ChapterTitle"/>
    <w:uiPriority w:val="42"/>
    <w:qFormat/>
    <w:pPr>
      <w:keepNext/>
      <w:pageBreakBefore/>
      <w:spacing w:after="360"/>
      <w:jc w:val="center"/>
      <w:outlineLvl w:val="0"/>
    </w:pPr>
    <w:rPr>
      <w:b/>
      <w:sz w:val="52"/>
    </w:rPr>
  </w:style>
  <w:style w:type="paragraph" w:customStyle="1" w:styleId="References">
    <w:name w:val="References"/>
    <w:semiHidden/>
    <w:pPr>
      <w:tabs>
        <w:tab w:val="num" w:pos="397"/>
        <w:tab w:val="num" w:pos="709"/>
      </w:tabs>
      <w:ind w:left="709" w:hanging="709"/>
    </w:pPr>
  </w:style>
  <w:style w:type="paragraph" w:customStyle="1" w:styleId="SectionTitle">
    <w:name w:val="SectionTitle"/>
    <w:basedOn w:val="Normal"/>
    <w:next w:val="Heading1"/>
    <w:uiPriority w:val="44"/>
    <w:qFormat/>
    <w:pPr>
      <w:keepNext/>
      <w:spacing w:before="720" w:after="360"/>
      <w:contextualSpacing/>
      <w:jc w:val="center"/>
      <w:outlineLvl w:val="0"/>
    </w:pPr>
    <w:rPr>
      <w:rFonts w:ascii="Times New Roman Bold" w:hAnsi="Times New Roman Bold"/>
      <w:b/>
      <w:smallCaps/>
      <w:sz w:val="32"/>
    </w:rPr>
  </w:style>
  <w:style w:type="paragraph" w:customStyle="1" w:styleId="SubTitle1">
    <w:name w:val="SubTitle 1"/>
    <w:basedOn w:val="Normal"/>
    <w:next w:val="Normal"/>
    <w:uiPriority w:val="41"/>
    <w:qFormat/>
    <w:pPr>
      <w:spacing w:before="360" w:after="2000"/>
      <w:jc w:val="center"/>
    </w:pPr>
    <w:rPr>
      <w:b/>
      <w:sz w:val="40"/>
    </w:rPr>
  </w:style>
  <w:style w:type="paragraph" w:customStyle="1" w:styleId="SubTitle2">
    <w:name w:val="SubTitle 2"/>
    <w:basedOn w:val="Normal"/>
    <w:uiPriority w:val="41"/>
    <w:qFormat/>
    <w:pPr>
      <w:spacing w:after="280"/>
      <w:jc w:val="center"/>
    </w:pPr>
    <w:rPr>
      <w:b/>
      <w:sz w:val="32"/>
    </w:rPr>
  </w:style>
  <w:style w:type="paragraph" w:customStyle="1" w:styleId="TableListBullet">
    <w:name w:val="Table List Bullet"/>
    <w:basedOn w:val="TableText"/>
    <w:uiPriority w:val="55"/>
    <w:pPr>
      <w:numPr>
        <w:numId w:val="9"/>
      </w:numPr>
    </w:pPr>
  </w:style>
  <w:style w:type="paragraph" w:customStyle="1" w:styleId="TableListBulletLevel2">
    <w:name w:val="Table List Bullet (Level 2)"/>
    <w:basedOn w:val="TableText"/>
    <w:uiPriority w:val="55"/>
    <w:semiHidden/>
    <w:unhideWhenUsed/>
    <w:pPr>
      <w:numPr>
        <w:ilvl w:val="1"/>
        <w:numId w:val="9"/>
      </w:numPr>
    </w:pPr>
  </w:style>
  <w:style w:type="paragraph" w:customStyle="1" w:styleId="TableListBulletLevel3">
    <w:name w:val="Table List Bullet (Level 3)"/>
    <w:basedOn w:val="TableText"/>
    <w:uiPriority w:val="55"/>
    <w:semiHidden/>
    <w:unhideWhenUsed/>
    <w:pPr>
      <w:numPr>
        <w:ilvl w:val="2"/>
        <w:numId w:val="9"/>
      </w:numPr>
    </w:pPr>
  </w:style>
  <w:style w:type="paragraph" w:customStyle="1" w:styleId="TableListBulletLevel4">
    <w:name w:val="Table List Bullet (Level 4)"/>
    <w:basedOn w:val="TableText"/>
    <w:uiPriority w:val="55"/>
    <w:semiHidden/>
    <w:unhideWhenUsed/>
    <w:pPr>
      <w:numPr>
        <w:ilvl w:val="3"/>
        <w:numId w:val="9"/>
      </w:numPr>
    </w:pPr>
  </w:style>
  <w:style w:type="paragraph" w:customStyle="1" w:styleId="TableListDash">
    <w:name w:val="Table List Dash"/>
    <w:basedOn w:val="TableText"/>
    <w:uiPriority w:val="55"/>
    <w:pPr>
      <w:numPr>
        <w:numId w:val="8"/>
      </w:numPr>
    </w:pPr>
  </w:style>
  <w:style w:type="paragraph" w:customStyle="1" w:styleId="TableListDashLevel2">
    <w:name w:val="Table List Dash (Level 2)"/>
    <w:basedOn w:val="TableText"/>
    <w:uiPriority w:val="55"/>
    <w:semiHidden/>
    <w:unhideWhenUsed/>
    <w:pPr>
      <w:numPr>
        <w:ilvl w:val="1"/>
        <w:numId w:val="8"/>
      </w:numPr>
    </w:pPr>
  </w:style>
  <w:style w:type="paragraph" w:customStyle="1" w:styleId="TableListDashLevel3">
    <w:name w:val="Table List Dash (Level 3)"/>
    <w:basedOn w:val="TableText"/>
    <w:uiPriority w:val="55"/>
    <w:semiHidden/>
    <w:unhideWhenUsed/>
    <w:pPr>
      <w:numPr>
        <w:ilvl w:val="2"/>
        <w:numId w:val="8"/>
      </w:numPr>
    </w:pPr>
  </w:style>
  <w:style w:type="paragraph" w:customStyle="1" w:styleId="TableListDashLevel4">
    <w:name w:val="Table List Dash (Level 4)"/>
    <w:basedOn w:val="TableText"/>
    <w:uiPriority w:val="55"/>
    <w:semiHidden/>
    <w:unhideWhenUsed/>
    <w:pPr>
      <w:numPr>
        <w:ilvl w:val="3"/>
        <w:numId w:val="8"/>
      </w:numPr>
    </w:pPr>
  </w:style>
  <w:style w:type="paragraph" w:customStyle="1" w:styleId="TableListNumber">
    <w:name w:val="Table List Number"/>
    <w:basedOn w:val="TableText"/>
    <w:uiPriority w:val="55"/>
    <w:pPr>
      <w:numPr>
        <w:numId w:val="7"/>
      </w:numPr>
    </w:pPr>
  </w:style>
  <w:style w:type="paragraph" w:customStyle="1" w:styleId="TableListNumberLevel2">
    <w:name w:val="Table List Number (Level 2)"/>
    <w:basedOn w:val="TableText"/>
    <w:uiPriority w:val="55"/>
    <w:semiHidden/>
    <w:unhideWhenUsed/>
    <w:pPr>
      <w:numPr>
        <w:ilvl w:val="1"/>
        <w:numId w:val="7"/>
      </w:numPr>
    </w:pPr>
  </w:style>
  <w:style w:type="paragraph" w:customStyle="1" w:styleId="TableListNumberLevel3">
    <w:name w:val="Table List Number (Level 3)"/>
    <w:basedOn w:val="TableText"/>
    <w:uiPriority w:val="55"/>
    <w:semiHidden/>
    <w:unhideWhenUsed/>
    <w:pPr>
      <w:numPr>
        <w:ilvl w:val="2"/>
        <w:numId w:val="7"/>
      </w:numPr>
    </w:pPr>
  </w:style>
  <w:style w:type="paragraph" w:customStyle="1" w:styleId="TableListNumberLevel4">
    <w:name w:val="Table List Number (Level 4)"/>
    <w:basedOn w:val="TableText"/>
    <w:uiPriority w:val="55"/>
    <w:semiHidden/>
    <w:unhideWhenUsed/>
    <w:pPr>
      <w:numPr>
        <w:ilvl w:val="3"/>
        <w:numId w:val="7"/>
      </w:numPr>
    </w:pPr>
  </w:style>
  <w:style w:type="paragraph" w:customStyle="1" w:styleId="TableSource">
    <w:name w:val="Table Source"/>
    <w:basedOn w:val="Normal"/>
    <w:next w:val="Normal"/>
    <w:uiPriority w:val="99"/>
    <w:semiHidden/>
    <w:unhideWhenUsed/>
    <w:pPr>
      <w:spacing w:after="240"/>
    </w:pPr>
    <w:rPr>
      <w:sz w:val="18"/>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before="120"/>
    </w:pPr>
    <w:rPr>
      <w:b/>
      <w:i/>
    </w:rPr>
  </w:style>
  <w:style w:type="paragraph" w:styleId="Title">
    <w:name w:val="Title"/>
    <w:basedOn w:val="Normal"/>
    <w:next w:val="SubTitle1"/>
    <w:uiPriority w:val="40"/>
    <w:qFormat/>
    <w:pPr>
      <w:spacing w:before="3200" w:after="480"/>
      <w:jc w:val="center"/>
    </w:pPr>
    <w:rPr>
      <w:b/>
      <w:kern w:val="28"/>
      <w:sz w:val="48"/>
    </w:rPr>
  </w:style>
  <w:style w:type="paragraph" w:styleId="TOC1">
    <w:name w:val="toc 1"/>
    <w:basedOn w:val="Normal"/>
    <w:next w:val="Normal"/>
    <w:semiHidden/>
    <w:pPr>
      <w:tabs>
        <w:tab w:val="left" w:pos="595"/>
        <w:tab w:val="right" w:leader="dot" w:pos="8640"/>
      </w:tabs>
      <w:spacing w:before="240" w:after="60" w:line="240" w:lineRule="auto"/>
      <w:ind w:left="595" w:right="720" w:hanging="595"/>
    </w:pPr>
    <w:rPr>
      <w:b/>
      <w:sz w:val="20"/>
    </w:rPr>
  </w:style>
  <w:style w:type="paragraph" w:styleId="TOC2">
    <w:name w:val="toc 2"/>
    <w:basedOn w:val="Normal"/>
    <w:next w:val="Normal"/>
    <w:uiPriority w:val="39"/>
    <w:pPr>
      <w:tabs>
        <w:tab w:val="left" w:pos="595"/>
        <w:tab w:val="right" w:leader="dot" w:pos="8640"/>
      </w:tabs>
      <w:spacing w:after="60" w:line="240" w:lineRule="auto"/>
      <w:ind w:left="595" w:right="720" w:hanging="595"/>
    </w:pPr>
    <w:rPr>
      <w:noProof/>
      <w:sz w:val="20"/>
    </w:rPr>
  </w:style>
  <w:style w:type="paragraph" w:styleId="TOC3">
    <w:name w:val="toc 3"/>
    <w:basedOn w:val="Normal"/>
    <w:next w:val="Normal"/>
    <w:semiHidden/>
    <w:pPr>
      <w:tabs>
        <w:tab w:val="left" w:pos="1446"/>
        <w:tab w:val="right" w:leader="dot" w:pos="8640"/>
      </w:tabs>
      <w:spacing w:after="60" w:line="240" w:lineRule="auto"/>
      <w:ind w:left="1445" w:right="720" w:hanging="850"/>
    </w:pPr>
    <w:rPr>
      <w:sz w:val="20"/>
    </w:rPr>
  </w:style>
  <w:style w:type="paragraph" w:styleId="TOC4">
    <w:name w:val="toc 4"/>
    <w:basedOn w:val="Normal"/>
    <w:next w:val="Normal"/>
    <w:semiHidden/>
    <w:pPr>
      <w:tabs>
        <w:tab w:val="left" w:pos="1446"/>
        <w:tab w:val="right" w:leader="dot" w:pos="8640"/>
      </w:tabs>
      <w:spacing w:after="60" w:line="240" w:lineRule="auto"/>
      <w:ind w:left="1445" w:right="720" w:hanging="850"/>
    </w:pPr>
    <w:rPr>
      <w:noProof/>
      <w:sz w:val="20"/>
    </w:rPr>
  </w:style>
  <w:style w:type="paragraph" w:styleId="TOC5">
    <w:name w:val="toc 5"/>
    <w:basedOn w:val="Normal"/>
    <w:next w:val="Normal"/>
    <w:semiHidden/>
    <w:pPr>
      <w:tabs>
        <w:tab w:val="left" w:pos="595"/>
        <w:tab w:val="right" w:leader="dot" w:pos="8640"/>
      </w:tabs>
      <w:spacing w:before="240" w:after="60" w:line="240" w:lineRule="auto"/>
      <w:ind w:right="720"/>
    </w:pPr>
    <w:rPr>
      <w:b/>
      <w:sz w:val="20"/>
    </w:rPr>
  </w:style>
  <w:style w:type="paragraph" w:styleId="TOC6">
    <w:name w:val="toc 6"/>
    <w:basedOn w:val="Normal"/>
    <w:next w:val="Normal"/>
    <w:semiHidden/>
    <w:pPr>
      <w:tabs>
        <w:tab w:val="left" w:pos="595"/>
        <w:tab w:val="right" w:leader="dot" w:pos="8640"/>
      </w:tabs>
      <w:spacing w:before="240" w:after="60" w:line="240" w:lineRule="auto"/>
      <w:ind w:left="1446" w:right="720" w:hanging="1446"/>
    </w:pPr>
    <w:rPr>
      <w:b/>
      <w:sz w:val="20"/>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jc w:val="center"/>
    </w:pPr>
    <w:rPr>
      <w:rFonts w:ascii="Times New Roman Bold" w:hAnsi="Times New Roman Bold"/>
      <w:b/>
      <w:sz w:val="32"/>
    </w:rPr>
  </w:style>
  <w:style w:type="paragraph" w:customStyle="1" w:styleId="ZCom">
    <w:name w:val="Z_Com"/>
    <w:basedOn w:val="Normal"/>
    <w:next w:val="ZDGName"/>
    <w:semiHidden/>
    <w:pPr>
      <w:widowControl w:val="0"/>
      <w:spacing w:before="90" w:after="0" w:line="240" w:lineRule="auto"/>
      <w:ind w:right="85"/>
      <w:jc w:val="left"/>
    </w:pPr>
    <w:rPr>
      <w:sz w:val="24"/>
    </w:rPr>
  </w:style>
  <w:style w:type="paragraph" w:customStyle="1" w:styleId="ZDGName">
    <w:name w:val="Z_DGName"/>
    <w:basedOn w:val="Normal"/>
    <w:semiHidden/>
    <w:pPr>
      <w:widowControl w:val="0"/>
      <w:spacing w:after="0" w:line="240" w:lineRule="auto"/>
      <w:ind w:right="85"/>
      <w:jc w:val="left"/>
    </w:pPr>
    <w:rPr>
      <w:sz w:val="16"/>
    </w:rPr>
  </w:style>
  <w:style w:type="paragraph" w:customStyle="1" w:styleId="ZFlag">
    <w:name w:val="Z_Flag"/>
    <w:basedOn w:val="Normal"/>
    <w:next w:val="Normal"/>
    <w:semiHidden/>
    <w:pPr>
      <w:widowControl w:val="0"/>
      <w:spacing w:after="0"/>
      <w:ind w:right="85"/>
    </w:pPr>
  </w:style>
  <w:style w:type="paragraph" w:customStyle="1" w:styleId="Citation">
    <w:name w:val="Citation"/>
    <w:basedOn w:val="Normal"/>
    <w:link w:val="CitationChar"/>
    <w:uiPriority w:val="5"/>
    <w:qFormat/>
    <w:pPr>
      <w:ind w:left="454" w:right="454"/>
    </w:pPr>
    <w:rPr>
      <w:i/>
    </w:rPr>
  </w:style>
  <w:style w:type="character" w:customStyle="1" w:styleId="CitationChar">
    <w:name w:val="Citation Char"/>
    <w:link w:val="Citation"/>
    <w:uiPriority w:val="5"/>
    <w:qFormat/>
    <w:rPr>
      <w:i/>
    </w:rPr>
  </w:style>
  <w:style w:type="paragraph" w:styleId="Footer">
    <w:name w:val="footer"/>
    <w:basedOn w:val="Normal"/>
    <w:link w:val="FooterChar"/>
    <w:uiPriority w:val="99"/>
    <w:pPr>
      <w:spacing w:after="0" w:line="240" w:lineRule="auto"/>
      <w:ind w:right="-567"/>
    </w:pPr>
    <w:rPr>
      <w:sz w:val="16"/>
    </w:rPr>
  </w:style>
  <w:style w:type="character" w:customStyle="1" w:styleId="FooterChar">
    <w:name w:val="Footer Char"/>
    <w:link w:val="Footer"/>
    <w:uiPriority w:val="99"/>
    <w:rPr>
      <w:sz w:val="16"/>
    </w:rPr>
  </w:style>
  <w:style w:type="paragraph" w:styleId="Header">
    <w:name w:val="header"/>
    <w:basedOn w:val="Normal"/>
    <w:link w:val="HeaderChar"/>
    <w:semiHidden/>
    <w:pPr>
      <w:tabs>
        <w:tab w:val="center" w:pos="4150"/>
        <w:tab w:val="right" w:pos="8306"/>
      </w:tabs>
    </w:pPr>
  </w:style>
  <w:style w:type="character" w:customStyle="1" w:styleId="HeaderChar">
    <w:name w:val="Header Char"/>
    <w:basedOn w:val="DefaultParagraphFont"/>
    <w:link w:val="Header"/>
    <w:semiHidden/>
    <w:rPr>
      <w:sz w:val="24"/>
    </w:rPr>
  </w:style>
  <w:style w:type="paragraph" w:styleId="MacroText">
    <w:name w:val="macro"/>
    <w:basedOn w:val="Normal"/>
    <w:link w:val="MacroTextChar1"/>
    <w:uiPriority w:val="5"/>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0"/>
    </w:rPr>
  </w:style>
  <w:style w:type="character" w:customStyle="1" w:styleId="MacroTextChar1">
    <w:name w:val="Macro Text Char1"/>
    <w:basedOn w:val="DefaultParagraphFont"/>
    <w:link w:val="MacroText"/>
    <w:uiPriority w:val="5"/>
    <w:qFormat/>
    <w:rPr>
      <w:rFonts w:ascii="Courier New" w:hAnsi="Courier New"/>
      <w:sz w:val="20"/>
    </w:rPr>
  </w:style>
  <w:style w:type="table" w:customStyle="1" w:styleId="EurolookClassicBlue">
    <w:name w:val="Eurolook Classic Blue"/>
    <w:basedOn w:val="TableNormal"/>
    <w:uiPriority w:val="80"/>
    <w:pPr>
      <w:spacing w:after="240"/>
    </w:pPr>
    <w:tblPr/>
    <w:tblStylePr w:type="firstRow">
      <w:rPr>
        <w:color w:val="FFFFFF"/>
      </w:rPr>
    </w:tblStylePr>
    <w:tblStylePr w:type="firstCol">
      <w:rPr>
        <w:color w:val="004494"/>
      </w:rPr>
    </w:tblStylePr>
  </w:style>
  <w:style w:type="table" w:customStyle="1" w:styleId="EurolookClassicGrey">
    <w:name w:val="Eurolook Classic Grey"/>
    <w:basedOn w:val="TableNormal"/>
    <w:uiPriority w:val="80"/>
    <w:pPr>
      <w:spacing w:after="240"/>
    </w:pPr>
    <w:tblPr/>
    <w:tblStylePr w:type="firstRow">
      <w:rPr>
        <w:color w:val="FFFFFF"/>
      </w:rPr>
    </w:tblStylePr>
    <w:tblStylePr w:type="firstCol">
      <w:rPr>
        <w:color w:val="646567"/>
      </w:rPr>
    </w:tblStylePr>
  </w:style>
  <w:style w:type="table" w:customStyle="1" w:styleId="EurolookClassicOlive">
    <w:name w:val="Eurolook Classic Olive"/>
    <w:basedOn w:val="TableNormal"/>
    <w:uiPriority w:val="80"/>
    <w:pPr>
      <w:spacing w:after="240"/>
    </w:pPr>
    <w:tblPr/>
    <w:tblStylePr w:type="firstRow">
      <w:rPr>
        <w:color w:val="FFFFFF"/>
      </w:rPr>
    </w:tblStylePr>
    <w:tblStylePr w:type="firstCol">
      <w:rPr>
        <w:color w:val="4E7849"/>
      </w:rPr>
    </w:tblStylePr>
  </w:style>
  <w:style w:type="table" w:customStyle="1" w:styleId="EurolookClassicPetrol">
    <w:name w:val="Eurolook Classic Petrol"/>
    <w:basedOn w:val="TableNormal"/>
    <w:uiPriority w:val="80"/>
    <w:pPr>
      <w:spacing w:after="240"/>
    </w:pPr>
    <w:tblPr/>
    <w:tblStylePr w:type="firstRow">
      <w:rPr>
        <w:color w:val="FFFFFF"/>
      </w:rPr>
    </w:tblStylePr>
    <w:tblStylePr w:type="firstCol">
      <w:rPr>
        <w:color w:val="007D98"/>
      </w:rPr>
    </w:tblStylePr>
  </w:style>
  <w:style w:type="table" w:customStyle="1" w:styleId="EurolookClassicPurple">
    <w:name w:val="Eurolook Classic Purple"/>
    <w:basedOn w:val="TableNormal"/>
    <w:uiPriority w:val="80"/>
    <w:pPr>
      <w:spacing w:after="240"/>
    </w:pPr>
    <w:tblPr/>
    <w:tblStylePr w:type="firstRow">
      <w:rPr>
        <w:color w:val="FFFFFF"/>
      </w:rPr>
    </w:tblStylePr>
    <w:tblStylePr w:type="firstCol">
      <w:rPr>
        <w:color w:val="771D7B"/>
      </w:rPr>
    </w:tblStylePr>
  </w:style>
  <w:style w:type="table" w:customStyle="1" w:styleId="EurolookClassicRust">
    <w:name w:val="Eurolook Classic Rust"/>
    <w:basedOn w:val="TableNormal"/>
    <w:uiPriority w:val="80"/>
    <w:pPr>
      <w:spacing w:after="240"/>
    </w:pPr>
    <w:tblPr/>
    <w:tblStylePr w:type="firstRow">
      <w:rPr>
        <w:color w:val="FFFFFF"/>
      </w:rPr>
    </w:tblStylePr>
    <w:tblStylePr w:type="firstCol">
      <w:rPr>
        <w:color w:val="BF4B36"/>
      </w:rPr>
    </w:tblStylePr>
  </w:style>
  <w:style w:type="table" w:customStyle="1" w:styleId="EurolookLightBlue">
    <w:name w:val="Eurolook Light Blue"/>
    <w:basedOn w:val="TableNormal"/>
    <w:uiPriority w:val="80"/>
    <w:pPr>
      <w:spacing w:after="240"/>
    </w:pPr>
    <w:tblPr/>
    <w:tblStylePr w:type="firstRow">
      <w:rPr>
        <w:b w:val="0"/>
        <w:smallCaps/>
        <w:color w:val="004494"/>
      </w:rPr>
    </w:tblStylePr>
    <w:tblStylePr w:type="lastRow">
      <w:rPr>
        <w:b w:val="0"/>
      </w:rPr>
    </w:tblStylePr>
    <w:tblStylePr w:type="firstCol">
      <w:rPr>
        <w:b w:val="0"/>
        <w:color w:val="000000"/>
      </w:rPr>
    </w:tblStylePr>
  </w:style>
  <w:style w:type="table" w:customStyle="1" w:styleId="EurolookLightGrey">
    <w:name w:val="Eurolook Light Grey"/>
    <w:basedOn w:val="TableNormal"/>
    <w:uiPriority w:val="80"/>
    <w:pPr>
      <w:spacing w:after="240"/>
    </w:pPr>
    <w:tblPr/>
    <w:tblStylePr w:type="firstRow">
      <w:rPr>
        <w:b w:val="0"/>
        <w:smallCaps/>
        <w:color w:val="646567"/>
      </w:rPr>
    </w:tblStylePr>
    <w:tblStylePr w:type="lastRow">
      <w:rPr>
        <w:b w:val="0"/>
      </w:rPr>
    </w:tblStylePr>
    <w:tblStylePr w:type="firstCol">
      <w:rPr>
        <w:color w:val="000000"/>
      </w:rPr>
    </w:tblStylePr>
  </w:style>
  <w:style w:type="table" w:customStyle="1" w:styleId="EurolookLightOlive">
    <w:name w:val="Eurolook Light Olive"/>
    <w:basedOn w:val="TableNormal"/>
    <w:uiPriority w:val="80"/>
    <w:pPr>
      <w:spacing w:after="240"/>
    </w:pPr>
    <w:tblPr/>
    <w:tblStylePr w:type="firstRow">
      <w:rPr>
        <w:b w:val="0"/>
        <w:smallCaps/>
        <w:color w:val="4E7849"/>
      </w:rPr>
    </w:tblStylePr>
    <w:tblStylePr w:type="lastRow">
      <w:rPr>
        <w:b w:val="0"/>
      </w:rPr>
    </w:tblStylePr>
    <w:tblStylePr w:type="firstCol">
      <w:rPr>
        <w:color w:val="000000"/>
      </w:rPr>
    </w:tblStylePr>
  </w:style>
  <w:style w:type="table" w:customStyle="1" w:styleId="EurolookLightPetrol">
    <w:name w:val="Eurolook Light Petrol"/>
    <w:basedOn w:val="TableNormal"/>
    <w:uiPriority w:val="80"/>
    <w:pPr>
      <w:spacing w:after="240"/>
    </w:pPr>
    <w:tblPr/>
    <w:tblStylePr w:type="firstRow">
      <w:rPr>
        <w:b w:val="0"/>
        <w:smallCaps/>
        <w:color w:val="007D98"/>
      </w:rPr>
    </w:tblStylePr>
    <w:tblStylePr w:type="lastRow">
      <w:rPr>
        <w:b w:val="0"/>
      </w:rPr>
    </w:tblStylePr>
    <w:tblStylePr w:type="firstCol">
      <w:rPr>
        <w:color w:val="000000"/>
      </w:rPr>
    </w:tblStylePr>
  </w:style>
  <w:style w:type="table" w:customStyle="1" w:styleId="EurolookLightPurple">
    <w:name w:val="Eurolook Light Purple"/>
    <w:basedOn w:val="TableNormal"/>
    <w:uiPriority w:val="80"/>
    <w:pPr>
      <w:spacing w:after="240"/>
    </w:pPr>
    <w:tblPr/>
    <w:tblStylePr w:type="firstRow">
      <w:rPr>
        <w:b w:val="0"/>
        <w:smallCaps/>
        <w:color w:val="771D7B"/>
      </w:rPr>
    </w:tblStylePr>
    <w:tblStylePr w:type="lastRow">
      <w:rPr>
        <w:b w:val="0"/>
      </w:rPr>
    </w:tblStylePr>
    <w:tblStylePr w:type="firstCol">
      <w:rPr>
        <w:color w:val="000000"/>
      </w:rPr>
    </w:tblStylePr>
  </w:style>
  <w:style w:type="table" w:customStyle="1" w:styleId="EurolookLightRust">
    <w:name w:val="Eurolook Light Rust"/>
    <w:basedOn w:val="TableNormal"/>
    <w:uiPriority w:val="80"/>
    <w:pPr>
      <w:spacing w:after="240"/>
    </w:pPr>
    <w:tblPr/>
    <w:tblStylePr w:type="firstRow">
      <w:rPr>
        <w:b w:val="0"/>
        <w:smallCaps/>
        <w:color w:val="BF4B36"/>
      </w:rPr>
    </w:tblStylePr>
    <w:tblStylePr w:type="lastRow">
      <w:rPr>
        <w:b w:val="0"/>
      </w:rPr>
    </w:tblStylePr>
    <w:tblStylePr w:type="firstCol">
      <w:rPr>
        <w:color w:val="000000"/>
      </w:rPr>
    </w:tblStylePr>
  </w:style>
  <w:style w:type="table" w:customStyle="1" w:styleId="EurolookTable">
    <w:name w:val="Eurolook Table"/>
    <w:semiHidden/>
    <w:tblPr>
      <w:tblCellMar>
        <w:top w:w="0" w:type="dxa"/>
        <w:left w:w="0" w:type="dxa"/>
        <w:bottom w:w="0" w:type="dxa"/>
        <w:right w:w="0" w:type="dxa"/>
      </w:tblCellMar>
    </w:tblPr>
    <w:tblStylePr w:type="firstRow">
      <w:rPr>
        <w:b/>
      </w:rPr>
    </w:tblStylePr>
  </w:style>
  <w:style w:type="table" w:customStyle="1" w:styleId="PropertiesTable">
    <w:name w:val="Properties Table"/>
    <w:basedOn w:val="TableNormal"/>
    <w:semiHidden/>
    <w:pPr>
      <w:spacing w:after="120" w:line="264" w:lineRule="auto"/>
    </w:pPr>
    <w:tblPr/>
  </w:style>
  <w:style w:type="table" w:styleId="TableGrid">
    <w:name w:val="Table Grid"/>
    <w:uiPriority w:val="39"/>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pPr>
    <w:tblPr/>
  </w:style>
  <w:style w:type="table" w:customStyle="1" w:styleId="TableLetterhead">
    <w:name w:val="Table Letterhead"/>
    <w:basedOn w:val="TableNormal"/>
    <w:semiHidden/>
    <w:tblPr/>
  </w:style>
  <w:style w:type="paragraph" w:styleId="ListBullet2">
    <w:name w:val="List Bullet 2"/>
    <w:basedOn w:val="Normal"/>
    <w:uiPriority w:val="99"/>
    <w:semiHidden/>
    <w:rsid w:val="00BA181E"/>
    <w:pPr>
      <w:numPr>
        <w:numId w:val="14"/>
      </w:numPr>
      <w:contextualSpacing/>
    </w:pPr>
  </w:style>
  <w:style w:type="paragraph" w:styleId="NormalWeb">
    <w:name w:val="Normal (Web)"/>
    <w:basedOn w:val="Normal"/>
    <w:uiPriority w:val="99"/>
    <w:semiHidden/>
    <w:unhideWhenUsed/>
    <w:rsid w:val="003F4C51"/>
    <w:pPr>
      <w:spacing w:before="100" w:beforeAutospacing="1" w:after="100" w:afterAutospacing="1" w:line="240" w:lineRule="auto"/>
      <w:jc w:val="left"/>
    </w:pPr>
    <w:rPr>
      <w:sz w:val="24"/>
      <w:szCs w:val="24"/>
    </w:rPr>
  </w:style>
  <w:style w:type="character" w:styleId="EndnoteReference">
    <w:name w:val="endnote reference"/>
    <w:basedOn w:val="DefaultParagraphFont"/>
    <w:uiPriority w:val="99"/>
    <w:semiHidden/>
    <w:rsid w:val="00742EA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2782">
      <w:bodyDiv w:val="1"/>
      <w:marLeft w:val="0"/>
      <w:marRight w:val="0"/>
      <w:marTop w:val="0"/>
      <w:marBottom w:val="0"/>
      <w:divBdr>
        <w:top w:val="none" w:sz="0" w:space="0" w:color="auto"/>
        <w:left w:val="none" w:sz="0" w:space="0" w:color="auto"/>
        <w:bottom w:val="none" w:sz="0" w:space="0" w:color="auto"/>
        <w:right w:val="none" w:sz="0" w:space="0" w:color="auto"/>
      </w:divBdr>
    </w:div>
    <w:div w:id="24641548">
      <w:bodyDiv w:val="1"/>
      <w:marLeft w:val="0"/>
      <w:marRight w:val="0"/>
      <w:marTop w:val="0"/>
      <w:marBottom w:val="0"/>
      <w:divBdr>
        <w:top w:val="none" w:sz="0" w:space="0" w:color="auto"/>
        <w:left w:val="none" w:sz="0" w:space="0" w:color="auto"/>
        <w:bottom w:val="none" w:sz="0" w:space="0" w:color="auto"/>
        <w:right w:val="none" w:sz="0" w:space="0" w:color="auto"/>
      </w:divBdr>
    </w:div>
    <w:div w:id="44722854">
      <w:bodyDiv w:val="1"/>
      <w:marLeft w:val="0"/>
      <w:marRight w:val="0"/>
      <w:marTop w:val="0"/>
      <w:marBottom w:val="0"/>
      <w:divBdr>
        <w:top w:val="none" w:sz="0" w:space="0" w:color="auto"/>
        <w:left w:val="none" w:sz="0" w:space="0" w:color="auto"/>
        <w:bottom w:val="none" w:sz="0" w:space="0" w:color="auto"/>
        <w:right w:val="none" w:sz="0" w:space="0" w:color="auto"/>
      </w:divBdr>
    </w:div>
    <w:div w:id="54397838">
      <w:bodyDiv w:val="1"/>
      <w:marLeft w:val="0"/>
      <w:marRight w:val="0"/>
      <w:marTop w:val="0"/>
      <w:marBottom w:val="0"/>
      <w:divBdr>
        <w:top w:val="none" w:sz="0" w:space="0" w:color="auto"/>
        <w:left w:val="none" w:sz="0" w:space="0" w:color="auto"/>
        <w:bottom w:val="none" w:sz="0" w:space="0" w:color="auto"/>
        <w:right w:val="none" w:sz="0" w:space="0" w:color="auto"/>
      </w:divBdr>
    </w:div>
    <w:div w:id="93937933">
      <w:bodyDiv w:val="1"/>
      <w:marLeft w:val="0"/>
      <w:marRight w:val="0"/>
      <w:marTop w:val="0"/>
      <w:marBottom w:val="0"/>
      <w:divBdr>
        <w:top w:val="none" w:sz="0" w:space="0" w:color="auto"/>
        <w:left w:val="none" w:sz="0" w:space="0" w:color="auto"/>
        <w:bottom w:val="none" w:sz="0" w:space="0" w:color="auto"/>
        <w:right w:val="none" w:sz="0" w:space="0" w:color="auto"/>
      </w:divBdr>
    </w:div>
    <w:div w:id="101196595">
      <w:bodyDiv w:val="1"/>
      <w:marLeft w:val="0"/>
      <w:marRight w:val="0"/>
      <w:marTop w:val="0"/>
      <w:marBottom w:val="0"/>
      <w:divBdr>
        <w:top w:val="none" w:sz="0" w:space="0" w:color="auto"/>
        <w:left w:val="none" w:sz="0" w:space="0" w:color="auto"/>
        <w:bottom w:val="none" w:sz="0" w:space="0" w:color="auto"/>
        <w:right w:val="none" w:sz="0" w:space="0" w:color="auto"/>
      </w:divBdr>
    </w:div>
    <w:div w:id="106194258">
      <w:bodyDiv w:val="1"/>
      <w:marLeft w:val="0"/>
      <w:marRight w:val="0"/>
      <w:marTop w:val="0"/>
      <w:marBottom w:val="0"/>
      <w:divBdr>
        <w:top w:val="none" w:sz="0" w:space="0" w:color="auto"/>
        <w:left w:val="none" w:sz="0" w:space="0" w:color="auto"/>
        <w:bottom w:val="none" w:sz="0" w:space="0" w:color="auto"/>
        <w:right w:val="none" w:sz="0" w:space="0" w:color="auto"/>
      </w:divBdr>
    </w:div>
    <w:div w:id="122433300">
      <w:bodyDiv w:val="1"/>
      <w:marLeft w:val="0"/>
      <w:marRight w:val="0"/>
      <w:marTop w:val="0"/>
      <w:marBottom w:val="0"/>
      <w:divBdr>
        <w:top w:val="none" w:sz="0" w:space="0" w:color="auto"/>
        <w:left w:val="none" w:sz="0" w:space="0" w:color="auto"/>
        <w:bottom w:val="none" w:sz="0" w:space="0" w:color="auto"/>
        <w:right w:val="none" w:sz="0" w:space="0" w:color="auto"/>
      </w:divBdr>
    </w:div>
    <w:div w:id="175465985">
      <w:bodyDiv w:val="1"/>
      <w:marLeft w:val="0"/>
      <w:marRight w:val="0"/>
      <w:marTop w:val="0"/>
      <w:marBottom w:val="0"/>
      <w:divBdr>
        <w:top w:val="none" w:sz="0" w:space="0" w:color="auto"/>
        <w:left w:val="none" w:sz="0" w:space="0" w:color="auto"/>
        <w:bottom w:val="none" w:sz="0" w:space="0" w:color="auto"/>
        <w:right w:val="none" w:sz="0" w:space="0" w:color="auto"/>
      </w:divBdr>
    </w:div>
    <w:div w:id="229314622">
      <w:bodyDiv w:val="1"/>
      <w:marLeft w:val="0"/>
      <w:marRight w:val="0"/>
      <w:marTop w:val="0"/>
      <w:marBottom w:val="0"/>
      <w:divBdr>
        <w:top w:val="none" w:sz="0" w:space="0" w:color="auto"/>
        <w:left w:val="none" w:sz="0" w:space="0" w:color="auto"/>
        <w:bottom w:val="none" w:sz="0" w:space="0" w:color="auto"/>
        <w:right w:val="none" w:sz="0" w:space="0" w:color="auto"/>
      </w:divBdr>
    </w:div>
    <w:div w:id="290599346">
      <w:bodyDiv w:val="1"/>
      <w:marLeft w:val="0"/>
      <w:marRight w:val="0"/>
      <w:marTop w:val="0"/>
      <w:marBottom w:val="0"/>
      <w:divBdr>
        <w:top w:val="none" w:sz="0" w:space="0" w:color="auto"/>
        <w:left w:val="none" w:sz="0" w:space="0" w:color="auto"/>
        <w:bottom w:val="none" w:sz="0" w:space="0" w:color="auto"/>
        <w:right w:val="none" w:sz="0" w:space="0" w:color="auto"/>
      </w:divBdr>
      <w:divsChild>
        <w:div w:id="447435327">
          <w:marLeft w:val="0"/>
          <w:marRight w:val="0"/>
          <w:marTop w:val="0"/>
          <w:marBottom w:val="0"/>
          <w:divBdr>
            <w:top w:val="none" w:sz="0" w:space="0" w:color="auto"/>
            <w:left w:val="none" w:sz="0" w:space="0" w:color="auto"/>
            <w:bottom w:val="none" w:sz="0" w:space="0" w:color="auto"/>
            <w:right w:val="none" w:sz="0" w:space="0" w:color="auto"/>
          </w:divBdr>
          <w:divsChild>
            <w:div w:id="432358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558587">
      <w:bodyDiv w:val="1"/>
      <w:marLeft w:val="0"/>
      <w:marRight w:val="0"/>
      <w:marTop w:val="0"/>
      <w:marBottom w:val="0"/>
      <w:divBdr>
        <w:top w:val="none" w:sz="0" w:space="0" w:color="auto"/>
        <w:left w:val="none" w:sz="0" w:space="0" w:color="auto"/>
        <w:bottom w:val="none" w:sz="0" w:space="0" w:color="auto"/>
        <w:right w:val="none" w:sz="0" w:space="0" w:color="auto"/>
      </w:divBdr>
    </w:div>
    <w:div w:id="314455133">
      <w:bodyDiv w:val="1"/>
      <w:marLeft w:val="0"/>
      <w:marRight w:val="0"/>
      <w:marTop w:val="0"/>
      <w:marBottom w:val="0"/>
      <w:divBdr>
        <w:top w:val="none" w:sz="0" w:space="0" w:color="auto"/>
        <w:left w:val="none" w:sz="0" w:space="0" w:color="auto"/>
        <w:bottom w:val="none" w:sz="0" w:space="0" w:color="auto"/>
        <w:right w:val="none" w:sz="0" w:space="0" w:color="auto"/>
      </w:divBdr>
    </w:div>
    <w:div w:id="355813328">
      <w:bodyDiv w:val="1"/>
      <w:marLeft w:val="0"/>
      <w:marRight w:val="0"/>
      <w:marTop w:val="0"/>
      <w:marBottom w:val="0"/>
      <w:divBdr>
        <w:top w:val="none" w:sz="0" w:space="0" w:color="auto"/>
        <w:left w:val="none" w:sz="0" w:space="0" w:color="auto"/>
        <w:bottom w:val="none" w:sz="0" w:space="0" w:color="auto"/>
        <w:right w:val="none" w:sz="0" w:space="0" w:color="auto"/>
      </w:divBdr>
    </w:div>
    <w:div w:id="374474197">
      <w:bodyDiv w:val="1"/>
      <w:marLeft w:val="0"/>
      <w:marRight w:val="0"/>
      <w:marTop w:val="0"/>
      <w:marBottom w:val="0"/>
      <w:divBdr>
        <w:top w:val="none" w:sz="0" w:space="0" w:color="auto"/>
        <w:left w:val="none" w:sz="0" w:space="0" w:color="auto"/>
        <w:bottom w:val="none" w:sz="0" w:space="0" w:color="auto"/>
        <w:right w:val="none" w:sz="0" w:space="0" w:color="auto"/>
      </w:divBdr>
    </w:div>
    <w:div w:id="381758030">
      <w:bodyDiv w:val="1"/>
      <w:marLeft w:val="0"/>
      <w:marRight w:val="0"/>
      <w:marTop w:val="0"/>
      <w:marBottom w:val="0"/>
      <w:divBdr>
        <w:top w:val="none" w:sz="0" w:space="0" w:color="auto"/>
        <w:left w:val="none" w:sz="0" w:space="0" w:color="auto"/>
        <w:bottom w:val="none" w:sz="0" w:space="0" w:color="auto"/>
        <w:right w:val="none" w:sz="0" w:space="0" w:color="auto"/>
      </w:divBdr>
    </w:div>
    <w:div w:id="391124171">
      <w:bodyDiv w:val="1"/>
      <w:marLeft w:val="0"/>
      <w:marRight w:val="0"/>
      <w:marTop w:val="0"/>
      <w:marBottom w:val="0"/>
      <w:divBdr>
        <w:top w:val="none" w:sz="0" w:space="0" w:color="auto"/>
        <w:left w:val="none" w:sz="0" w:space="0" w:color="auto"/>
        <w:bottom w:val="none" w:sz="0" w:space="0" w:color="auto"/>
        <w:right w:val="none" w:sz="0" w:space="0" w:color="auto"/>
      </w:divBdr>
    </w:div>
    <w:div w:id="408118570">
      <w:bodyDiv w:val="1"/>
      <w:marLeft w:val="0"/>
      <w:marRight w:val="0"/>
      <w:marTop w:val="0"/>
      <w:marBottom w:val="0"/>
      <w:divBdr>
        <w:top w:val="none" w:sz="0" w:space="0" w:color="auto"/>
        <w:left w:val="none" w:sz="0" w:space="0" w:color="auto"/>
        <w:bottom w:val="none" w:sz="0" w:space="0" w:color="auto"/>
        <w:right w:val="none" w:sz="0" w:space="0" w:color="auto"/>
      </w:divBdr>
      <w:divsChild>
        <w:div w:id="1986154682">
          <w:marLeft w:val="547"/>
          <w:marRight w:val="0"/>
          <w:marTop w:val="0"/>
          <w:marBottom w:val="0"/>
          <w:divBdr>
            <w:top w:val="none" w:sz="0" w:space="0" w:color="auto"/>
            <w:left w:val="none" w:sz="0" w:space="0" w:color="auto"/>
            <w:bottom w:val="none" w:sz="0" w:space="0" w:color="auto"/>
            <w:right w:val="none" w:sz="0" w:space="0" w:color="auto"/>
          </w:divBdr>
        </w:div>
      </w:divsChild>
    </w:div>
    <w:div w:id="637761592">
      <w:bodyDiv w:val="1"/>
      <w:marLeft w:val="0"/>
      <w:marRight w:val="0"/>
      <w:marTop w:val="0"/>
      <w:marBottom w:val="0"/>
      <w:divBdr>
        <w:top w:val="none" w:sz="0" w:space="0" w:color="auto"/>
        <w:left w:val="none" w:sz="0" w:space="0" w:color="auto"/>
        <w:bottom w:val="none" w:sz="0" w:space="0" w:color="auto"/>
        <w:right w:val="none" w:sz="0" w:space="0" w:color="auto"/>
      </w:divBdr>
    </w:div>
    <w:div w:id="639581236">
      <w:bodyDiv w:val="1"/>
      <w:marLeft w:val="0"/>
      <w:marRight w:val="0"/>
      <w:marTop w:val="0"/>
      <w:marBottom w:val="0"/>
      <w:divBdr>
        <w:top w:val="none" w:sz="0" w:space="0" w:color="auto"/>
        <w:left w:val="none" w:sz="0" w:space="0" w:color="auto"/>
        <w:bottom w:val="none" w:sz="0" w:space="0" w:color="auto"/>
        <w:right w:val="none" w:sz="0" w:space="0" w:color="auto"/>
      </w:divBdr>
    </w:div>
    <w:div w:id="639768893">
      <w:bodyDiv w:val="1"/>
      <w:marLeft w:val="0"/>
      <w:marRight w:val="0"/>
      <w:marTop w:val="0"/>
      <w:marBottom w:val="0"/>
      <w:divBdr>
        <w:top w:val="none" w:sz="0" w:space="0" w:color="auto"/>
        <w:left w:val="none" w:sz="0" w:space="0" w:color="auto"/>
        <w:bottom w:val="none" w:sz="0" w:space="0" w:color="auto"/>
        <w:right w:val="none" w:sz="0" w:space="0" w:color="auto"/>
      </w:divBdr>
    </w:div>
    <w:div w:id="660885703">
      <w:bodyDiv w:val="1"/>
      <w:marLeft w:val="0"/>
      <w:marRight w:val="0"/>
      <w:marTop w:val="0"/>
      <w:marBottom w:val="0"/>
      <w:divBdr>
        <w:top w:val="none" w:sz="0" w:space="0" w:color="auto"/>
        <w:left w:val="none" w:sz="0" w:space="0" w:color="auto"/>
        <w:bottom w:val="none" w:sz="0" w:space="0" w:color="auto"/>
        <w:right w:val="none" w:sz="0" w:space="0" w:color="auto"/>
      </w:divBdr>
    </w:div>
    <w:div w:id="664282475">
      <w:bodyDiv w:val="1"/>
      <w:marLeft w:val="0"/>
      <w:marRight w:val="0"/>
      <w:marTop w:val="0"/>
      <w:marBottom w:val="0"/>
      <w:divBdr>
        <w:top w:val="none" w:sz="0" w:space="0" w:color="auto"/>
        <w:left w:val="none" w:sz="0" w:space="0" w:color="auto"/>
        <w:bottom w:val="none" w:sz="0" w:space="0" w:color="auto"/>
        <w:right w:val="none" w:sz="0" w:space="0" w:color="auto"/>
      </w:divBdr>
      <w:divsChild>
        <w:div w:id="1485198012">
          <w:marLeft w:val="0"/>
          <w:marRight w:val="0"/>
          <w:marTop w:val="0"/>
          <w:marBottom w:val="0"/>
          <w:divBdr>
            <w:top w:val="none" w:sz="0" w:space="0" w:color="auto"/>
            <w:left w:val="none" w:sz="0" w:space="0" w:color="auto"/>
            <w:bottom w:val="none" w:sz="0" w:space="0" w:color="auto"/>
            <w:right w:val="none" w:sz="0" w:space="0" w:color="auto"/>
          </w:divBdr>
          <w:divsChild>
            <w:div w:id="49364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850078">
      <w:bodyDiv w:val="1"/>
      <w:marLeft w:val="0"/>
      <w:marRight w:val="0"/>
      <w:marTop w:val="0"/>
      <w:marBottom w:val="0"/>
      <w:divBdr>
        <w:top w:val="none" w:sz="0" w:space="0" w:color="auto"/>
        <w:left w:val="none" w:sz="0" w:space="0" w:color="auto"/>
        <w:bottom w:val="none" w:sz="0" w:space="0" w:color="auto"/>
        <w:right w:val="none" w:sz="0" w:space="0" w:color="auto"/>
      </w:divBdr>
    </w:div>
    <w:div w:id="719863356">
      <w:bodyDiv w:val="1"/>
      <w:marLeft w:val="0"/>
      <w:marRight w:val="0"/>
      <w:marTop w:val="0"/>
      <w:marBottom w:val="0"/>
      <w:divBdr>
        <w:top w:val="none" w:sz="0" w:space="0" w:color="auto"/>
        <w:left w:val="none" w:sz="0" w:space="0" w:color="auto"/>
        <w:bottom w:val="none" w:sz="0" w:space="0" w:color="auto"/>
        <w:right w:val="none" w:sz="0" w:space="0" w:color="auto"/>
      </w:divBdr>
    </w:div>
    <w:div w:id="726995602">
      <w:bodyDiv w:val="1"/>
      <w:marLeft w:val="0"/>
      <w:marRight w:val="0"/>
      <w:marTop w:val="0"/>
      <w:marBottom w:val="0"/>
      <w:divBdr>
        <w:top w:val="none" w:sz="0" w:space="0" w:color="auto"/>
        <w:left w:val="none" w:sz="0" w:space="0" w:color="auto"/>
        <w:bottom w:val="none" w:sz="0" w:space="0" w:color="auto"/>
        <w:right w:val="none" w:sz="0" w:space="0" w:color="auto"/>
      </w:divBdr>
      <w:divsChild>
        <w:div w:id="2082945656">
          <w:marLeft w:val="547"/>
          <w:marRight w:val="0"/>
          <w:marTop w:val="0"/>
          <w:marBottom w:val="0"/>
          <w:divBdr>
            <w:top w:val="none" w:sz="0" w:space="0" w:color="auto"/>
            <w:left w:val="none" w:sz="0" w:space="0" w:color="auto"/>
            <w:bottom w:val="none" w:sz="0" w:space="0" w:color="auto"/>
            <w:right w:val="none" w:sz="0" w:space="0" w:color="auto"/>
          </w:divBdr>
        </w:div>
      </w:divsChild>
    </w:div>
    <w:div w:id="892346434">
      <w:bodyDiv w:val="1"/>
      <w:marLeft w:val="0"/>
      <w:marRight w:val="0"/>
      <w:marTop w:val="0"/>
      <w:marBottom w:val="0"/>
      <w:divBdr>
        <w:top w:val="none" w:sz="0" w:space="0" w:color="auto"/>
        <w:left w:val="none" w:sz="0" w:space="0" w:color="auto"/>
        <w:bottom w:val="none" w:sz="0" w:space="0" w:color="auto"/>
        <w:right w:val="none" w:sz="0" w:space="0" w:color="auto"/>
      </w:divBdr>
      <w:divsChild>
        <w:div w:id="1620062743">
          <w:marLeft w:val="0"/>
          <w:marRight w:val="0"/>
          <w:marTop w:val="0"/>
          <w:marBottom w:val="0"/>
          <w:divBdr>
            <w:top w:val="none" w:sz="0" w:space="0" w:color="auto"/>
            <w:left w:val="none" w:sz="0" w:space="0" w:color="auto"/>
            <w:bottom w:val="none" w:sz="0" w:space="0" w:color="auto"/>
            <w:right w:val="none" w:sz="0" w:space="0" w:color="auto"/>
          </w:divBdr>
          <w:divsChild>
            <w:div w:id="137226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536859">
      <w:bodyDiv w:val="1"/>
      <w:marLeft w:val="0"/>
      <w:marRight w:val="0"/>
      <w:marTop w:val="0"/>
      <w:marBottom w:val="0"/>
      <w:divBdr>
        <w:top w:val="none" w:sz="0" w:space="0" w:color="auto"/>
        <w:left w:val="none" w:sz="0" w:space="0" w:color="auto"/>
        <w:bottom w:val="none" w:sz="0" w:space="0" w:color="auto"/>
        <w:right w:val="none" w:sz="0" w:space="0" w:color="auto"/>
      </w:divBdr>
    </w:div>
    <w:div w:id="932588216">
      <w:bodyDiv w:val="1"/>
      <w:marLeft w:val="0"/>
      <w:marRight w:val="0"/>
      <w:marTop w:val="0"/>
      <w:marBottom w:val="0"/>
      <w:divBdr>
        <w:top w:val="none" w:sz="0" w:space="0" w:color="auto"/>
        <w:left w:val="none" w:sz="0" w:space="0" w:color="auto"/>
        <w:bottom w:val="none" w:sz="0" w:space="0" w:color="auto"/>
        <w:right w:val="none" w:sz="0" w:space="0" w:color="auto"/>
      </w:divBdr>
    </w:div>
    <w:div w:id="939870060">
      <w:bodyDiv w:val="1"/>
      <w:marLeft w:val="0"/>
      <w:marRight w:val="0"/>
      <w:marTop w:val="0"/>
      <w:marBottom w:val="0"/>
      <w:divBdr>
        <w:top w:val="none" w:sz="0" w:space="0" w:color="auto"/>
        <w:left w:val="none" w:sz="0" w:space="0" w:color="auto"/>
        <w:bottom w:val="none" w:sz="0" w:space="0" w:color="auto"/>
        <w:right w:val="none" w:sz="0" w:space="0" w:color="auto"/>
      </w:divBdr>
    </w:div>
    <w:div w:id="961688498">
      <w:bodyDiv w:val="1"/>
      <w:marLeft w:val="0"/>
      <w:marRight w:val="0"/>
      <w:marTop w:val="0"/>
      <w:marBottom w:val="0"/>
      <w:divBdr>
        <w:top w:val="none" w:sz="0" w:space="0" w:color="auto"/>
        <w:left w:val="none" w:sz="0" w:space="0" w:color="auto"/>
        <w:bottom w:val="none" w:sz="0" w:space="0" w:color="auto"/>
        <w:right w:val="none" w:sz="0" w:space="0" w:color="auto"/>
      </w:divBdr>
      <w:divsChild>
        <w:div w:id="663364951">
          <w:marLeft w:val="0"/>
          <w:marRight w:val="0"/>
          <w:marTop w:val="0"/>
          <w:marBottom w:val="0"/>
          <w:divBdr>
            <w:top w:val="none" w:sz="0" w:space="0" w:color="auto"/>
            <w:left w:val="none" w:sz="0" w:space="0" w:color="auto"/>
            <w:bottom w:val="none" w:sz="0" w:space="0" w:color="auto"/>
            <w:right w:val="none" w:sz="0" w:space="0" w:color="auto"/>
          </w:divBdr>
          <w:divsChild>
            <w:div w:id="468518083">
              <w:marLeft w:val="0"/>
              <w:marRight w:val="0"/>
              <w:marTop w:val="0"/>
              <w:marBottom w:val="0"/>
              <w:divBdr>
                <w:top w:val="none" w:sz="0" w:space="0" w:color="auto"/>
                <w:left w:val="none" w:sz="0" w:space="0" w:color="auto"/>
                <w:bottom w:val="none" w:sz="0" w:space="0" w:color="auto"/>
                <w:right w:val="none" w:sz="0" w:space="0" w:color="auto"/>
              </w:divBdr>
            </w:div>
            <w:div w:id="899638288">
              <w:marLeft w:val="0"/>
              <w:marRight w:val="0"/>
              <w:marTop w:val="0"/>
              <w:marBottom w:val="0"/>
              <w:divBdr>
                <w:top w:val="none" w:sz="0" w:space="0" w:color="auto"/>
                <w:left w:val="none" w:sz="0" w:space="0" w:color="auto"/>
                <w:bottom w:val="none" w:sz="0" w:space="0" w:color="auto"/>
                <w:right w:val="none" w:sz="0" w:space="0" w:color="auto"/>
              </w:divBdr>
            </w:div>
            <w:div w:id="1562137614">
              <w:marLeft w:val="0"/>
              <w:marRight w:val="0"/>
              <w:marTop w:val="0"/>
              <w:marBottom w:val="0"/>
              <w:divBdr>
                <w:top w:val="none" w:sz="0" w:space="0" w:color="auto"/>
                <w:left w:val="none" w:sz="0" w:space="0" w:color="auto"/>
                <w:bottom w:val="none" w:sz="0" w:space="0" w:color="auto"/>
                <w:right w:val="none" w:sz="0" w:space="0" w:color="auto"/>
              </w:divBdr>
            </w:div>
            <w:div w:id="1952274111">
              <w:marLeft w:val="0"/>
              <w:marRight w:val="0"/>
              <w:marTop w:val="0"/>
              <w:marBottom w:val="0"/>
              <w:divBdr>
                <w:top w:val="none" w:sz="0" w:space="0" w:color="auto"/>
                <w:left w:val="none" w:sz="0" w:space="0" w:color="auto"/>
                <w:bottom w:val="none" w:sz="0" w:space="0" w:color="auto"/>
                <w:right w:val="none" w:sz="0" w:space="0" w:color="auto"/>
              </w:divBdr>
            </w:div>
          </w:divsChild>
        </w:div>
        <w:div w:id="1048530824">
          <w:marLeft w:val="0"/>
          <w:marRight w:val="0"/>
          <w:marTop w:val="0"/>
          <w:marBottom w:val="0"/>
          <w:divBdr>
            <w:top w:val="none" w:sz="0" w:space="0" w:color="auto"/>
            <w:left w:val="none" w:sz="0" w:space="0" w:color="auto"/>
            <w:bottom w:val="none" w:sz="0" w:space="0" w:color="auto"/>
            <w:right w:val="none" w:sz="0" w:space="0" w:color="auto"/>
          </w:divBdr>
          <w:divsChild>
            <w:div w:id="204841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870663">
      <w:bodyDiv w:val="1"/>
      <w:marLeft w:val="0"/>
      <w:marRight w:val="0"/>
      <w:marTop w:val="0"/>
      <w:marBottom w:val="0"/>
      <w:divBdr>
        <w:top w:val="none" w:sz="0" w:space="0" w:color="auto"/>
        <w:left w:val="none" w:sz="0" w:space="0" w:color="auto"/>
        <w:bottom w:val="none" w:sz="0" w:space="0" w:color="auto"/>
        <w:right w:val="none" w:sz="0" w:space="0" w:color="auto"/>
      </w:divBdr>
    </w:div>
    <w:div w:id="978338480">
      <w:bodyDiv w:val="1"/>
      <w:marLeft w:val="0"/>
      <w:marRight w:val="0"/>
      <w:marTop w:val="0"/>
      <w:marBottom w:val="0"/>
      <w:divBdr>
        <w:top w:val="none" w:sz="0" w:space="0" w:color="auto"/>
        <w:left w:val="none" w:sz="0" w:space="0" w:color="auto"/>
        <w:bottom w:val="none" w:sz="0" w:space="0" w:color="auto"/>
        <w:right w:val="none" w:sz="0" w:space="0" w:color="auto"/>
      </w:divBdr>
    </w:div>
    <w:div w:id="985427284">
      <w:bodyDiv w:val="1"/>
      <w:marLeft w:val="0"/>
      <w:marRight w:val="0"/>
      <w:marTop w:val="0"/>
      <w:marBottom w:val="0"/>
      <w:divBdr>
        <w:top w:val="none" w:sz="0" w:space="0" w:color="auto"/>
        <w:left w:val="none" w:sz="0" w:space="0" w:color="auto"/>
        <w:bottom w:val="none" w:sz="0" w:space="0" w:color="auto"/>
        <w:right w:val="none" w:sz="0" w:space="0" w:color="auto"/>
      </w:divBdr>
    </w:div>
    <w:div w:id="1017852349">
      <w:bodyDiv w:val="1"/>
      <w:marLeft w:val="0"/>
      <w:marRight w:val="0"/>
      <w:marTop w:val="0"/>
      <w:marBottom w:val="0"/>
      <w:divBdr>
        <w:top w:val="none" w:sz="0" w:space="0" w:color="auto"/>
        <w:left w:val="none" w:sz="0" w:space="0" w:color="auto"/>
        <w:bottom w:val="none" w:sz="0" w:space="0" w:color="auto"/>
        <w:right w:val="none" w:sz="0" w:space="0" w:color="auto"/>
      </w:divBdr>
    </w:div>
    <w:div w:id="1128747039">
      <w:bodyDiv w:val="1"/>
      <w:marLeft w:val="0"/>
      <w:marRight w:val="0"/>
      <w:marTop w:val="0"/>
      <w:marBottom w:val="0"/>
      <w:divBdr>
        <w:top w:val="none" w:sz="0" w:space="0" w:color="auto"/>
        <w:left w:val="none" w:sz="0" w:space="0" w:color="auto"/>
        <w:bottom w:val="none" w:sz="0" w:space="0" w:color="auto"/>
        <w:right w:val="none" w:sz="0" w:space="0" w:color="auto"/>
      </w:divBdr>
    </w:div>
    <w:div w:id="1154025243">
      <w:bodyDiv w:val="1"/>
      <w:marLeft w:val="0"/>
      <w:marRight w:val="0"/>
      <w:marTop w:val="0"/>
      <w:marBottom w:val="0"/>
      <w:divBdr>
        <w:top w:val="none" w:sz="0" w:space="0" w:color="auto"/>
        <w:left w:val="none" w:sz="0" w:space="0" w:color="auto"/>
        <w:bottom w:val="none" w:sz="0" w:space="0" w:color="auto"/>
        <w:right w:val="none" w:sz="0" w:space="0" w:color="auto"/>
      </w:divBdr>
      <w:divsChild>
        <w:div w:id="1665359576">
          <w:marLeft w:val="0"/>
          <w:marRight w:val="0"/>
          <w:marTop w:val="0"/>
          <w:marBottom w:val="0"/>
          <w:divBdr>
            <w:top w:val="none" w:sz="0" w:space="0" w:color="auto"/>
            <w:left w:val="none" w:sz="0" w:space="0" w:color="auto"/>
            <w:bottom w:val="none" w:sz="0" w:space="0" w:color="auto"/>
            <w:right w:val="none" w:sz="0" w:space="0" w:color="auto"/>
          </w:divBdr>
          <w:divsChild>
            <w:div w:id="185097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576027">
      <w:bodyDiv w:val="1"/>
      <w:marLeft w:val="0"/>
      <w:marRight w:val="0"/>
      <w:marTop w:val="0"/>
      <w:marBottom w:val="0"/>
      <w:divBdr>
        <w:top w:val="none" w:sz="0" w:space="0" w:color="auto"/>
        <w:left w:val="none" w:sz="0" w:space="0" w:color="auto"/>
        <w:bottom w:val="none" w:sz="0" w:space="0" w:color="auto"/>
        <w:right w:val="none" w:sz="0" w:space="0" w:color="auto"/>
      </w:divBdr>
      <w:divsChild>
        <w:div w:id="382213411">
          <w:marLeft w:val="547"/>
          <w:marRight w:val="0"/>
          <w:marTop w:val="0"/>
          <w:marBottom w:val="0"/>
          <w:divBdr>
            <w:top w:val="none" w:sz="0" w:space="0" w:color="auto"/>
            <w:left w:val="none" w:sz="0" w:space="0" w:color="auto"/>
            <w:bottom w:val="none" w:sz="0" w:space="0" w:color="auto"/>
            <w:right w:val="none" w:sz="0" w:space="0" w:color="auto"/>
          </w:divBdr>
        </w:div>
      </w:divsChild>
    </w:div>
    <w:div w:id="1205631608">
      <w:bodyDiv w:val="1"/>
      <w:marLeft w:val="0"/>
      <w:marRight w:val="0"/>
      <w:marTop w:val="0"/>
      <w:marBottom w:val="0"/>
      <w:divBdr>
        <w:top w:val="none" w:sz="0" w:space="0" w:color="auto"/>
        <w:left w:val="none" w:sz="0" w:space="0" w:color="auto"/>
        <w:bottom w:val="none" w:sz="0" w:space="0" w:color="auto"/>
        <w:right w:val="none" w:sz="0" w:space="0" w:color="auto"/>
      </w:divBdr>
      <w:divsChild>
        <w:div w:id="67385216">
          <w:marLeft w:val="0"/>
          <w:marRight w:val="0"/>
          <w:marTop w:val="0"/>
          <w:marBottom w:val="0"/>
          <w:divBdr>
            <w:top w:val="none" w:sz="0" w:space="0" w:color="auto"/>
            <w:left w:val="none" w:sz="0" w:space="0" w:color="auto"/>
            <w:bottom w:val="none" w:sz="0" w:space="0" w:color="auto"/>
            <w:right w:val="none" w:sz="0" w:space="0" w:color="auto"/>
          </w:divBdr>
        </w:div>
        <w:div w:id="992754539">
          <w:marLeft w:val="0"/>
          <w:marRight w:val="0"/>
          <w:marTop w:val="0"/>
          <w:marBottom w:val="0"/>
          <w:divBdr>
            <w:top w:val="none" w:sz="0" w:space="0" w:color="auto"/>
            <w:left w:val="none" w:sz="0" w:space="0" w:color="auto"/>
            <w:bottom w:val="none" w:sz="0" w:space="0" w:color="auto"/>
            <w:right w:val="none" w:sz="0" w:space="0" w:color="auto"/>
          </w:divBdr>
        </w:div>
        <w:div w:id="1896351122">
          <w:marLeft w:val="0"/>
          <w:marRight w:val="0"/>
          <w:marTop w:val="0"/>
          <w:marBottom w:val="0"/>
          <w:divBdr>
            <w:top w:val="none" w:sz="0" w:space="0" w:color="auto"/>
            <w:left w:val="none" w:sz="0" w:space="0" w:color="auto"/>
            <w:bottom w:val="none" w:sz="0" w:space="0" w:color="auto"/>
            <w:right w:val="none" w:sz="0" w:space="0" w:color="auto"/>
          </w:divBdr>
        </w:div>
      </w:divsChild>
    </w:div>
    <w:div w:id="1217861318">
      <w:bodyDiv w:val="1"/>
      <w:marLeft w:val="0"/>
      <w:marRight w:val="0"/>
      <w:marTop w:val="0"/>
      <w:marBottom w:val="0"/>
      <w:divBdr>
        <w:top w:val="none" w:sz="0" w:space="0" w:color="auto"/>
        <w:left w:val="none" w:sz="0" w:space="0" w:color="auto"/>
        <w:bottom w:val="none" w:sz="0" w:space="0" w:color="auto"/>
        <w:right w:val="none" w:sz="0" w:space="0" w:color="auto"/>
      </w:divBdr>
    </w:div>
    <w:div w:id="1224682364">
      <w:bodyDiv w:val="1"/>
      <w:marLeft w:val="0"/>
      <w:marRight w:val="0"/>
      <w:marTop w:val="0"/>
      <w:marBottom w:val="0"/>
      <w:divBdr>
        <w:top w:val="none" w:sz="0" w:space="0" w:color="auto"/>
        <w:left w:val="none" w:sz="0" w:space="0" w:color="auto"/>
        <w:bottom w:val="none" w:sz="0" w:space="0" w:color="auto"/>
        <w:right w:val="none" w:sz="0" w:space="0" w:color="auto"/>
      </w:divBdr>
    </w:div>
    <w:div w:id="1266420883">
      <w:bodyDiv w:val="1"/>
      <w:marLeft w:val="0"/>
      <w:marRight w:val="0"/>
      <w:marTop w:val="0"/>
      <w:marBottom w:val="0"/>
      <w:divBdr>
        <w:top w:val="none" w:sz="0" w:space="0" w:color="auto"/>
        <w:left w:val="none" w:sz="0" w:space="0" w:color="auto"/>
        <w:bottom w:val="none" w:sz="0" w:space="0" w:color="auto"/>
        <w:right w:val="none" w:sz="0" w:space="0" w:color="auto"/>
      </w:divBdr>
    </w:div>
    <w:div w:id="1296983870">
      <w:bodyDiv w:val="1"/>
      <w:marLeft w:val="0"/>
      <w:marRight w:val="0"/>
      <w:marTop w:val="0"/>
      <w:marBottom w:val="0"/>
      <w:divBdr>
        <w:top w:val="none" w:sz="0" w:space="0" w:color="auto"/>
        <w:left w:val="none" w:sz="0" w:space="0" w:color="auto"/>
        <w:bottom w:val="none" w:sz="0" w:space="0" w:color="auto"/>
        <w:right w:val="none" w:sz="0" w:space="0" w:color="auto"/>
      </w:divBdr>
    </w:div>
    <w:div w:id="1318650475">
      <w:bodyDiv w:val="1"/>
      <w:marLeft w:val="0"/>
      <w:marRight w:val="0"/>
      <w:marTop w:val="0"/>
      <w:marBottom w:val="0"/>
      <w:divBdr>
        <w:top w:val="none" w:sz="0" w:space="0" w:color="auto"/>
        <w:left w:val="none" w:sz="0" w:space="0" w:color="auto"/>
        <w:bottom w:val="none" w:sz="0" w:space="0" w:color="auto"/>
        <w:right w:val="none" w:sz="0" w:space="0" w:color="auto"/>
      </w:divBdr>
    </w:div>
    <w:div w:id="1347252723">
      <w:bodyDiv w:val="1"/>
      <w:marLeft w:val="0"/>
      <w:marRight w:val="0"/>
      <w:marTop w:val="0"/>
      <w:marBottom w:val="0"/>
      <w:divBdr>
        <w:top w:val="none" w:sz="0" w:space="0" w:color="auto"/>
        <w:left w:val="none" w:sz="0" w:space="0" w:color="auto"/>
        <w:bottom w:val="none" w:sz="0" w:space="0" w:color="auto"/>
        <w:right w:val="none" w:sz="0" w:space="0" w:color="auto"/>
      </w:divBdr>
    </w:div>
    <w:div w:id="1459178266">
      <w:bodyDiv w:val="1"/>
      <w:marLeft w:val="0"/>
      <w:marRight w:val="0"/>
      <w:marTop w:val="0"/>
      <w:marBottom w:val="0"/>
      <w:divBdr>
        <w:top w:val="none" w:sz="0" w:space="0" w:color="auto"/>
        <w:left w:val="none" w:sz="0" w:space="0" w:color="auto"/>
        <w:bottom w:val="none" w:sz="0" w:space="0" w:color="auto"/>
        <w:right w:val="none" w:sz="0" w:space="0" w:color="auto"/>
      </w:divBdr>
    </w:div>
    <w:div w:id="1499805038">
      <w:bodyDiv w:val="1"/>
      <w:marLeft w:val="0"/>
      <w:marRight w:val="0"/>
      <w:marTop w:val="0"/>
      <w:marBottom w:val="0"/>
      <w:divBdr>
        <w:top w:val="none" w:sz="0" w:space="0" w:color="auto"/>
        <w:left w:val="none" w:sz="0" w:space="0" w:color="auto"/>
        <w:bottom w:val="none" w:sz="0" w:space="0" w:color="auto"/>
        <w:right w:val="none" w:sz="0" w:space="0" w:color="auto"/>
      </w:divBdr>
    </w:div>
    <w:div w:id="1509252460">
      <w:bodyDiv w:val="1"/>
      <w:marLeft w:val="0"/>
      <w:marRight w:val="0"/>
      <w:marTop w:val="0"/>
      <w:marBottom w:val="0"/>
      <w:divBdr>
        <w:top w:val="none" w:sz="0" w:space="0" w:color="auto"/>
        <w:left w:val="none" w:sz="0" w:space="0" w:color="auto"/>
        <w:bottom w:val="none" w:sz="0" w:space="0" w:color="auto"/>
        <w:right w:val="none" w:sz="0" w:space="0" w:color="auto"/>
      </w:divBdr>
    </w:div>
    <w:div w:id="1529565076">
      <w:bodyDiv w:val="1"/>
      <w:marLeft w:val="0"/>
      <w:marRight w:val="0"/>
      <w:marTop w:val="0"/>
      <w:marBottom w:val="0"/>
      <w:divBdr>
        <w:top w:val="none" w:sz="0" w:space="0" w:color="auto"/>
        <w:left w:val="none" w:sz="0" w:space="0" w:color="auto"/>
        <w:bottom w:val="none" w:sz="0" w:space="0" w:color="auto"/>
        <w:right w:val="none" w:sz="0" w:space="0" w:color="auto"/>
      </w:divBdr>
    </w:div>
    <w:div w:id="1530992545">
      <w:bodyDiv w:val="1"/>
      <w:marLeft w:val="0"/>
      <w:marRight w:val="0"/>
      <w:marTop w:val="0"/>
      <w:marBottom w:val="0"/>
      <w:divBdr>
        <w:top w:val="none" w:sz="0" w:space="0" w:color="auto"/>
        <w:left w:val="none" w:sz="0" w:space="0" w:color="auto"/>
        <w:bottom w:val="none" w:sz="0" w:space="0" w:color="auto"/>
        <w:right w:val="none" w:sz="0" w:space="0" w:color="auto"/>
      </w:divBdr>
    </w:div>
    <w:div w:id="1571037176">
      <w:bodyDiv w:val="1"/>
      <w:marLeft w:val="0"/>
      <w:marRight w:val="0"/>
      <w:marTop w:val="0"/>
      <w:marBottom w:val="0"/>
      <w:divBdr>
        <w:top w:val="none" w:sz="0" w:space="0" w:color="auto"/>
        <w:left w:val="none" w:sz="0" w:space="0" w:color="auto"/>
        <w:bottom w:val="none" w:sz="0" w:space="0" w:color="auto"/>
        <w:right w:val="none" w:sz="0" w:space="0" w:color="auto"/>
      </w:divBdr>
    </w:div>
    <w:div w:id="1578397399">
      <w:bodyDiv w:val="1"/>
      <w:marLeft w:val="0"/>
      <w:marRight w:val="0"/>
      <w:marTop w:val="0"/>
      <w:marBottom w:val="0"/>
      <w:divBdr>
        <w:top w:val="none" w:sz="0" w:space="0" w:color="auto"/>
        <w:left w:val="none" w:sz="0" w:space="0" w:color="auto"/>
        <w:bottom w:val="none" w:sz="0" w:space="0" w:color="auto"/>
        <w:right w:val="none" w:sz="0" w:space="0" w:color="auto"/>
      </w:divBdr>
    </w:div>
    <w:div w:id="1594588410">
      <w:bodyDiv w:val="1"/>
      <w:marLeft w:val="0"/>
      <w:marRight w:val="0"/>
      <w:marTop w:val="0"/>
      <w:marBottom w:val="0"/>
      <w:divBdr>
        <w:top w:val="none" w:sz="0" w:space="0" w:color="auto"/>
        <w:left w:val="none" w:sz="0" w:space="0" w:color="auto"/>
        <w:bottom w:val="none" w:sz="0" w:space="0" w:color="auto"/>
        <w:right w:val="none" w:sz="0" w:space="0" w:color="auto"/>
      </w:divBdr>
      <w:divsChild>
        <w:div w:id="1040325254">
          <w:marLeft w:val="0"/>
          <w:marRight w:val="0"/>
          <w:marTop w:val="0"/>
          <w:marBottom w:val="0"/>
          <w:divBdr>
            <w:top w:val="none" w:sz="0" w:space="0" w:color="auto"/>
            <w:left w:val="none" w:sz="0" w:space="0" w:color="auto"/>
            <w:bottom w:val="none" w:sz="0" w:space="0" w:color="auto"/>
            <w:right w:val="none" w:sz="0" w:space="0" w:color="auto"/>
          </w:divBdr>
          <w:divsChild>
            <w:div w:id="52824106">
              <w:marLeft w:val="0"/>
              <w:marRight w:val="0"/>
              <w:marTop w:val="0"/>
              <w:marBottom w:val="0"/>
              <w:divBdr>
                <w:top w:val="none" w:sz="0" w:space="0" w:color="auto"/>
                <w:left w:val="none" w:sz="0" w:space="0" w:color="auto"/>
                <w:bottom w:val="none" w:sz="0" w:space="0" w:color="auto"/>
                <w:right w:val="none" w:sz="0" w:space="0" w:color="auto"/>
              </w:divBdr>
            </w:div>
            <w:div w:id="970138239">
              <w:marLeft w:val="0"/>
              <w:marRight w:val="0"/>
              <w:marTop w:val="0"/>
              <w:marBottom w:val="0"/>
              <w:divBdr>
                <w:top w:val="none" w:sz="0" w:space="0" w:color="auto"/>
                <w:left w:val="none" w:sz="0" w:space="0" w:color="auto"/>
                <w:bottom w:val="none" w:sz="0" w:space="0" w:color="auto"/>
                <w:right w:val="none" w:sz="0" w:space="0" w:color="auto"/>
              </w:divBdr>
            </w:div>
            <w:div w:id="1032805641">
              <w:marLeft w:val="0"/>
              <w:marRight w:val="0"/>
              <w:marTop w:val="0"/>
              <w:marBottom w:val="0"/>
              <w:divBdr>
                <w:top w:val="none" w:sz="0" w:space="0" w:color="auto"/>
                <w:left w:val="none" w:sz="0" w:space="0" w:color="auto"/>
                <w:bottom w:val="none" w:sz="0" w:space="0" w:color="auto"/>
                <w:right w:val="none" w:sz="0" w:space="0" w:color="auto"/>
              </w:divBdr>
            </w:div>
            <w:div w:id="1632399064">
              <w:marLeft w:val="0"/>
              <w:marRight w:val="0"/>
              <w:marTop w:val="0"/>
              <w:marBottom w:val="0"/>
              <w:divBdr>
                <w:top w:val="none" w:sz="0" w:space="0" w:color="auto"/>
                <w:left w:val="none" w:sz="0" w:space="0" w:color="auto"/>
                <w:bottom w:val="none" w:sz="0" w:space="0" w:color="auto"/>
                <w:right w:val="none" w:sz="0" w:space="0" w:color="auto"/>
              </w:divBdr>
            </w:div>
          </w:divsChild>
        </w:div>
        <w:div w:id="2102797607">
          <w:marLeft w:val="0"/>
          <w:marRight w:val="0"/>
          <w:marTop w:val="0"/>
          <w:marBottom w:val="0"/>
          <w:divBdr>
            <w:top w:val="none" w:sz="0" w:space="0" w:color="auto"/>
            <w:left w:val="none" w:sz="0" w:space="0" w:color="auto"/>
            <w:bottom w:val="none" w:sz="0" w:space="0" w:color="auto"/>
            <w:right w:val="none" w:sz="0" w:space="0" w:color="auto"/>
          </w:divBdr>
          <w:divsChild>
            <w:div w:id="143887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825687">
      <w:bodyDiv w:val="1"/>
      <w:marLeft w:val="0"/>
      <w:marRight w:val="0"/>
      <w:marTop w:val="0"/>
      <w:marBottom w:val="0"/>
      <w:divBdr>
        <w:top w:val="none" w:sz="0" w:space="0" w:color="auto"/>
        <w:left w:val="none" w:sz="0" w:space="0" w:color="auto"/>
        <w:bottom w:val="none" w:sz="0" w:space="0" w:color="auto"/>
        <w:right w:val="none" w:sz="0" w:space="0" w:color="auto"/>
      </w:divBdr>
    </w:div>
    <w:div w:id="1627349017">
      <w:bodyDiv w:val="1"/>
      <w:marLeft w:val="0"/>
      <w:marRight w:val="0"/>
      <w:marTop w:val="0"/>
      <w:marBottom w:val="0"/>
      <w:divBdr>
        <w:top w:val="none" w:sz="0" w:space="0" w:color="auto"/>
        <w:left w:val="none" w:sz="0" w:space="0" w:color="auto"/>
        <w:bottom w:val="none" w:sz="0" w:space="0" w:color="auto"/>
        <w:right w:val="none" w:sz="0" w:space="0" w:color="auto"/>
      </w:divBdr>
    </w:div>
    <w:div w:id="1643342003">
      <w:bodyDiv w:val="1"/>
      <w:marLeft w:val="0"/>
      <w:marRight w:val="0"/>
      <w:marTop w:val="0"/>
      <w:marBottom w:val="0"/>
      <w:divBdr>
        <w:top w:val="none" w:sz="0" w:space="0" w:color="auto"/>
        <w:left w:val="none" w:sz="0" w:space="0" w:color="auto"/>
        <w:bottom w:val="none" w:sz="0" w:space="0" w:color="auto"/>
        <w:right w:val="none" w:sz="0" w:space="0" w:color="auto"/>
      </w:divBdr>
    </w:div>
    <w:div w:id="1677000896">
      <w:bodyDiv w:val="1"/>
      <w:marLeft w:val="0"/>
      <w:marRight w:val="0"/>
      <w:marTop w:val="0"/>
      <w:marBottom w:val="0"/>
      <w:divBdr>
        <w:top w:val="none" w:sz="0" w:space="0" w:color="auto"/>
        <w:left w:val="none" w:sz="0" w:space="0" w:color="auto"/>
        <w:bottom w:val="none" w:sz="0" w:space="0" w:color="auto"/>
        <w:right w:val="none" w:sz="0" w:space="0" w:color="auto"/>
      </w:divBdr>
    </w:div>
    <w:div w:id="1696534923">
      <w:bodyDiv w:val="1"/>
      <w:marLeft w:val="0"/>
      <w:marRight w:val="0"/>
      <w:marTop w:val="0"/>
      <w:marBottom w:val="0"/>
      <w:divBdr>
        <w:top w:val="none" w:sz="0" w:space="0" w:color="auto"/>
        <w:left w:val="none" w:sz="0" w:space="0" w:color="auto"/>
        <w:bottom w:val="none" w:sz="0" w:space="0" w:color="auto"/>
        <w:right w:val="none" w:sz="0" w:space="0" w:color="auto"/>
      </w:divBdr>
    </w:div>
    <w:div w:id="1827891509">
      <w:bodyDiv w:val="1"/>
      <w:marLeft w:val="0"/>
      <w:marRight w:val="0"/>
      <w:marTop w:val="0"/>
      <w:marBottom w:val="0"/>
      <w:divBdr>
        <w:top w:val="none" w:sz="0" w:space="0" w:color="auto"/>
        <w:left w:val="none" w:sz="0" w:space="0" w:color="auto"/>
        <w:bottom w:val="none" w:sz="0" w:space="0" w:color="auto"/>
        <w:right w:val="none" w:sz="0" w:space="0" w:color="auto"/>
      </w:divBdr>
      <w:divsChild>
        <w:div w:id="362828428">
          <w:marLeft w:val="0"/>
          <w:marRight w:val="0"/>
          <w:marTop w:val="0"/>
          <w:marBottom w:val="0"/>
          <w:divBdr>
            <w:top w:val="none" w:sz="0" w:space="0" w:color="auto"/>
            <w:left w:val="none" w:sz="0" w:space="0" w:color="auto"/>
            <w:bottom w:val="none" w:sz="0" w:space="0" w:color="auto"/>
            <w:right w:val="none" w:sz="0" w:space="0" w:color="auto"/>
          </w:divBdr>
        </w:div>
        <w:div w:id="1561089366">
          <w:marLeft w:val="0"/>
          <w:marRight w:val="0"/>
          <w:marTop w:val="0"/>
          <w:marBottom w:val="0"/>
          <w:divBdr>
            <w:top w:val="none" w:sz="0" w:space="0" w:color="auto"/>
            <w:left w:val="none" w:sz="0" w:space="0" w:color="auto"/>
            <w:bottom w:val="none" w:sz="0" w:space="0" w:color="auto"/>
            <w:right w:val="none" w:sz="0" w:space="0" w:color="auto"/>
          </w:divBdr>
        </w:div>
      </w:divsChild>
    </w:div>
    <w:div w:id="1830095194">
      <w:bodyDiv w:val="1"/>
      <w:marLeft w:val="0"/>
      <w:marRight w:val="0"/>
      <w:marTop w:val="0"/>
      <w:marBottom w:val="0"/>
      <w:divBdr>
        <w:top w:val="none" w:sz="0" w:space="0" w:color="auto"/>
        <w:left w:val="none" w:sz="0" w:space="0" w:color="auto"/>
        <w:bottom w:val="none" w:sz="0" w:space="0" w:color="auto"/>
        <w:right w:val="none" w:sz="0" w:space="0" w:color="auto"/>
      </w:divBdr>
      <w:divsChild>
        <w:div w:id="447549761">
          <w:marLeft w:val="0"/>
          <w:marRight w:val="0"/>
          <w:marTop w:val="0"/>
          <w:marBottom w:val="0"/>
          <w:divBdr>
            <w:top w:val="none" w:sz="0" w:space="0" w:color="auto"/>
            <w:left w:val="none" w:sz="0" w:space="0" w:color="auto"/>
            <w:bottom w:val="none" w:sz="0" w:space="0" w:color="auto"/>
            <w:right w:val="none" w:sz="0" w:space="0" w:color="auto"/>
          </w:divBdr>
        </w:div>
        <w:div w:id="622155359">
          <w:marLeft w:val="0"/>
          <w:marRight w:val="0"/>
          <w:marTop w:val="0"/>
          <w:marBottom w:val="0"/>
          <w:divBdr>
            <w:top w:val="none" w:sz="0" w:space="0" w:color="auto"/>
            <w:left w:val="none" w:sz="0" w:space="0" w:color="auto"/>
            <w:bottom w:val="none" w:sz="0" w:space="0" w:color="auto"/>
            <w:right w:val="none" w:sz="0" w:space="0" w:color="auto"/>
          </w:divBdr>
        </w:div>
        <w:div w:id="665322357">
          <w:marLeft w:val="0"/>
          <w:marRight w:val="0"/>
          <w:marTop w:val="0"/>
          <w:marBottom w:val="0"/>
          <w:divBdr>
            <w:top w:val="none" w:sz="0" w:space="0" w:color="auto"/>
            <w:left w:val="none" w:sz="0" w:space="0" w:color="auto"/>
            <w:bottom w:val="none" w:sz="0" w:space="0" w:color="auto"/>
            <w:right w:val="none" w:sz="0" w:space="0" w:color="auto"/>
          </w:divBdr>
        </w:div>
      </w:divsChild>
    </w:div>
    <w:div w:id="1840537489">
      <w:bodyDiv w:val="1"/>
      <w:marLeft w:val="0"/>
      <w:marRight w:val="0"/>
      <w:marTop w:val="0"/>
      <w:marBottom w:val="0"/>
      <w:divBdr>
        <w:top w:val="none" w:sz="0" w:space="0" w:color="auto"/>
        <w:left w:val="none" w:sz="0" w:space="0" w:color="auto"/>
        <w:bottom w:val="none" w:sz="0" w:space="0" w:color="auto"/>
        <w:right w:val="none" w:sz="0" w:space="0" w:color="auto"/>
      </w:divBdr>
    </w:div>
    <w:div w:id="1852066388">
      <w:bodyDiv w:val="1"/>
      <w:marLeft w:val="0"/>
      <w:marRight w:val="0"/>
      <w:marTop w:val="0"/>
      <w:marBottom w:val="0"/>
      <w:divBdr>
        <w:top w:val="none" w:sz="0" w:space="0" w:color="auto"/>
        <w:left w:val="none" w:sz="0" w:space="0" w:color="auto"/>
        <w:bottom w:val="none" w:sz="0" w:space="0" w:color="auto"/>
        <w:right w:val="none" w:sz="0" w:space="0" w:color="auto"/>
      </w:divBdr>
    </w:div>
    <w:div w:id="1866361253">
      <w:bodyDiv w:val="1"/>
      <w:marLeft w:val="0"/>
      <w:marRight w:val="0"/>
      <w:marTop w:val="0"/>
      <w:marBottom w:val="0"/>
      <w:divBdr>
        <w:top w:val="none" w:sz="0" w:space="0" w:color="auto"/>
        <w:left w:val="none" w:sz="0" w:space="0" w:color="auto"/>
        <w:bottom w:val="none" w:sz="0" w:space="0" w:color="auto"/>
        <w:right w:val="none" w:sz="0" w:space="0" w:color="auto"/>
      </w:divBdr>
    </w:div>
    <w:div w:id="1917397863">
      <w:bodyDiv w:val="1"/>
      <w:marLeft w:val="0"/>
      <w:marRight w:val="0"/>
      <w:marTop w:val="0"/>
      <w:marBottom w:val="0"/>
      <w:divBdr>
        <w:top w:val="none" w:sz="0" w:space="0" w:color="auto"/>
        <w:left w:val="none" w:sz="0" w:space="0" w:color="auto"/>
        <w:bottom w:val="none" w:sz="0" w:space="0" w:color="auto"/>
        <w:right w:val="none" w:sz="0" w:space="0" w:color="auto"/>
      </w:divBdr>
    </w:div>
    <w:div w:id="1927031239">
      <w:bodyDiv w:val="1"/>
      <w:marLeft w:val="0"/>
      <w:marRight w:val="0"/>
      <w:marTop w:val="0"/>
      <w:marBottom w:val="0"/>
      <w:divBdr>
        <w:top w:val="none" w:sz="0" w:space="0" w:color="auto"/>
        <w:left w:val="none" w:sz="0" w:space="0" w:color="auto"/>
        <w:bottom w:val="none" w:sz="0" w:space="0" w:color="auto"/>
        <w:right w:val="none" w:sz="0" w:space="0" w:color="auto"/>
      </w:divBdr>
      <w:divsChild>
        <w:div w:id="1728187639">
          <w:marLeft w:val="0"/>
          <w:marRight w:val="0"/>
          <w:marTop w:val="0"/>
          <w:marBottom w:val="0"/>
          <w:divBdr>
            <w:top w:val="none" w:sz="0" w:space="0" w:color="auto"/>
            <w:left w:val="none" w:sz="0" w:space="0" w:color="auto"/>
            <w:bottom w:val="none" w:sz="0" w:space="0" w:color="auto"/>
            <w:right w:val="none" w:sz="0" w:space="0" w:color="auto"/>
          </w:divBdr>
        </w:div>
        <w:div w:id="1935892039">
          <w:marLeft w:val="0"/>
          <w:marRight w:val="0"/>
          <w:marTop w:val="0"/>
          <w:marBottom w:val="0"/>
          <w:divBdr>
            <w:top w:val="none" w:sz="0" w:space="0" w:color="auto"/>
            <w:left w:val="none" w:sz="0" w:space="0" w:color="auto"/>
            <w:bottom w:val="none" w:sz="0" w:space="0" w:color="auto"/>
            <w:right w:val="none" w:sz="0" w:space="0" w:color="auto"/>
          </w:divBdr>
        </w:div>
      </w:divsChild>
    </w:div>
    <w:div w:id="1934044001">
      <w:bodyDiv w:val="1"/>
      <w:marLeft w:val="0"/>
      <w:marRight w:val="0"/>
      <w:marTop w:val="0"/>
      <w:marBottom w:val="0"/>
      <w:divBdr>
        <w:top w:val="none" w:sz="0" w:space="0" w:color="auto"/>
        <w:left w:val="none" w:sz="0" w:space="0" w:color="auto"/>
        <w:bottom w:val="none" w:sz="0" w:space="0" w:color="auto"/>
        <w:right w:val="none" w:sz="0" w:space="0" w:color="auto"/>
      </w:divBdr>
    </w:div>
    <w:div w:id="1961103963">
      <w:bodyDiv w:val="1"/>
      <w:marLeft w:val="0"/>
      <w:marRight w:val="0"/>
      <w:marTop w:val="0"/>
      <w:marBottom w:val="0"/>
      <w:divBdr>
        <w:top w:val="none" w:sz="0" w:space="0" w:color="auto"/>
        <w:left w:val="none" w:sz="0" w:space="0" w:color="auto"/>
        <w:bottom w:val="none" w:sz="0" w:space="0" w:color="auto"/>
        <w:right w:val="none" w:sz="0" w:space="0" w:color="auto"/>
      </w:divBdr>
      <w:divsChild>
        <w:div w:id="161631864">
          <w:marLeft w:val="547"/>
          <w:marRight w:val="0"/>
          <w:marTop w:val="0"/>
          <w:marBottom w:val="0"/>
          <w:divBdr>
            <w:top w:val="none" w:sz="0" w:space="0" w:color="auto"/>
            <w:left w:val="none" w:sz="0" w:space="0" w:color="auto"/>
            <w:bottom w:val="none" w:sz="0" w:space="0" w:color="auto"/>
            <w:right w:val="none" w:sz="0" w:space="0" w:color="auto"/>
          </w:divBdr>
        </w:div>
      </w:divsChild>
    </w:div>
    <w:div w:id="1971354543">
      <w:bodyDiv w:val="1"/>
      <w:marLeft w:val="0"/>
      <w:marRight w:val="0"/>
      <w:marTop w:val="0"/>
      <w:marBottom w:val="0"/>
      <w:divBdr>
        <w:top w:val="none" w:sz="0" w:space="0" w:color="auto"/>
        <w:left w:val="none" w:sz="0" w:space="0" w:color="auto"/>
        <w:bottom w:val="none" w:sz="0" w:space="0" w:color="auto"/>
        <w:right w:val="none" w:sz="0" w:space="0" w:color="auto"/>
      </w:divBdr>
    </w:div>
    <w:div w:id="1993022742">
      <w:bodyDiv w:val="1"/>
      <w:marLeft w:val="0"/>
      <w:marRight w:val="0"/>
      <w:marTop w:val="0"/>
      <w:marBottom w:val="0"/>
      <w:divBdr>
        <w:top w:val="none" w:sz="0" w:space="0" w:color="auto"/>
        <w:left w:val="none" w:sz="0" w:space="0" w:color="auto"/>
        <w:bottom w:val="none" w:sz="0" w:space="0" w:color="auto"/>
        <w:right w:val="none" w:sz="0" w:space="0" w:color="auto"/>
      </w:divBdr>
    </w:div>
    <w:div w:id="2017269346">
      <w:bodyDiv w:val="1"/>
      <w:marLeft w:val="0"/>
      <w:marRight w:val="0"/>
      <w:marTop w:val="0"/>
      <w:marBottom w:val="0"/>
      <w:divBdr>
        <w:top w:val="none" w:sz="0" w:space="0" w:color="auto"/>
        <w:left w:val="none" w:sz="0" w:space="0" w:color="auto"/>
        <w:bottom w:val="none" w:sz="0" w:space="0" w:color="auto"/>
        <w:right w:val="none" w:sz="0" w:space="0" w:color="auto"/>
      </w:divBdr>
    </w:div>
    <w:div w:id="2031297150">
      <w:bodyDiv w:val="1"/>
      <w:marLeft w:val="0"/>
      <w:marRight w:val="0"/>
      <w:marTop w:val="0"/>
      <w:marBottom w:val="0"/>
      <w:divBdr>
        <w:top w:val="none" w:sz="0" w:space="0" w:color="auto"/>
        <w:left w:val="none" w:sz="0" w:space="0" w:color="auto"/>
        <w:bottom w:val="none" w:sz="0" w:space="0" w:color="auto"/>
        <w:right w:val="none" w:sz="0" w:space="0" w:color="auto"/>
      </w:divBdr>
    </w:div>
    <w:div w:id="2073234240">
      <w:bodyDiv w:val="1"/>
      <w:marLeft w:val="0"/>
      <w:marRight w:val="0"/>
      <w:marTop w:val="0"/>
      <w:marBottom w:val="0"/>
      <w:divBdr>
        <w:top w:val="none" w:sz="0" w:space="0" w:color="auto"/>
        <w:left w:val="none" w:sz="0" w:space="0" w:color="auto"/>
        <w:bottom w:val="none" w:sz="0" w:space="0" w:color="auto"/>
        <w:right w:val="none" w:sz="0" w:space="0" w:color="auto"/>
      </w:divBdr>
    </w:div>
    <w:div w:id="2093501607">
      <w:bodyDiv w:val="1"/>
      <w:marLeft w:val="0"/>
      <w:marRight w:val="0"/>
      <w:marTop w:val="0"/>
      <w:marBottom w:val="0"/>
      <w:divBdr>
        <w:top w:val="none" w:sz="0" w:space="0" w:color="auto"/>
        <w:left w:val="none" w:sz="0" w:space="0" w:color="auto"/>
        <w:bottom w:val="none" w:sz="0" w:space="0" w:color="auto"/>
        <w:right w:val="none" w:sz="0" w:space="0" w:color="auto"/>
      </w:divBdr>
    </w:div>
    <w:div w:id="2116705195">
      <w:bodyDiv w:val="1"/>
      <w:marLeft w:val="0"/>
      <w:marRight w:val="0"/>
      <w:marTop w:val="0"/>
      <w:marBottom w:val="0"/>
      <w:divBdr>
        <w:top w:val="none" w:sz="0" w:space="0" w:color="auto"/>
        <w:left w:val="none" w:sz="0" w:space="0" w:color="auto"/>
        <w:bottom w:val="none" w:sz="0" w:space="0" w:color="auto"/>
        <w:right w:val="none" w:sz="0" w:space="0" w:color="auto"/>
      </w:divBdr>
    </w:div>
    <w:div w:id="2127966332">
      <w:bodyDiv w:val="1"/>
      <w:marLeft w:val="0"/>
      <w:marRight w:val="0"/>
      <w:marTop w:val="0"/>
      <w:marBottom w:val="0"/>
      <w:divBdr>
        <w:top w:val="none" w:sz="0" w:space="0" w:color="auto"/>
        <w:left w:val="none" w:sz="0" w:space="0" w:color="auto"/>
        <w:bottom w:val="none" w:sz="0" w:space="0" w:color="auto"/>
        <w:right w:val="none" w:sz="0" w:space="0" w:color="auto"/>
      </w:divBdr>
      <w:divsChild>
        <w:div w:id="1057318362">
          <w:marLeft w:val="547"/>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diagramData" Target="diagrams/data1.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diagramColors" Target="diagrams/colors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diagramQuickStyle" Target="diagrams/quickStyle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4.xml"/><Relationship Id="rId28"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diagramLayout" Target="diagrams/layout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microsoft.com/office/2007/relationships/diagramDrawing" Target="diagrams/drawing1.xml"/><Relationship Id="rId27" Type="http://schemas.openxmlformats.org/officeDocument/2006/relationships/header" Target="header6.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oe.int/en/web/portal/-/migration-challenges-council-of-europe-ministers-call-for-political-declaration-on-rights" TargetMode="External"/><Relationship Id="rId13" Type="http://schemas.openxmlformats.org/officeDocument/2006/relationships/hyperlink" Target="https://www.icao.int/sites/default/files/Meetings/a42/Documents/WP/wp_449_en.pdf" TargetMode="External"/><Relationship Id="rId18" Type="http://schemas.openxmlformats.org/officeDocument/2006/relationships/hyperlink" Target="https://data.europa.eu/doi/10.2837/0004501" TargetMode="External"/><Relationship Id="rId26" Type="http://schemas.openxmlformats.org/officeDocument/2006/relationships/hyperlink" Target="http://data.europa.eu/eli/C/2025/5129/oj" TargetMode="External"/><Relationship Id="rId39" Type="http://schemas.openxmlformats.org/officeDocument/2006/relationships/hyperlink" Target="https://rural-vision.europa.eu/action-plan_ro" TargetMode="External"/><Relationship Id="rId3" Type="http://schemas.openxmlformats.org/officeDocument/2006/relationships/hyperlink" Target="https://ec.europa.eu/eurostat/statistics-explained/index.php?title=Temporary_protection_for_persons_fleeing_Ukraine_-_monthly_statistics" TargetMode="External"/><Relationship Id="rId21" Type="http://schemas.openxmlformats.org/officeDocument/2006/relationships/hyperlink" Target="https://reform-support.ec.europa.eu/our-projects/flagship-technical-support-projects/tsi-2025-flagship-supporting-member-states-implementation-new-pact-migration-and-asylum_en" TargetMode="External"/><Relationship Id="rId34" Type="http://schemas.openxmlformats.org/officeDocument/2006/relationships/hyperlink" Target="http://data.europa.eu/eli/dir/2024/1233/oj" TargetMode="External"/><Relationship Id="rId7" Type="http://schemas.openxmlformats.org/officeDocument/2006/relationships/hyperlink" Target="https://eur-lex.europa.eu/legal-content/RO/TXT/HTML/?uri=CELEX:52025JC0026" TargetMode="External"/><Relationship Id="rId12" Type="http://schemas.openxmlformats.org/officeDocument/2006/relationships/hyperlink" Target="https://ec.europa.eu/commission/presscorner/api/files/document/print/ro/ip_25_2229/IP_25_2229_RO.pdf" TargetMode="External"/><Relationship Id="rId17" Type="http://schemas.openxmlformats.org/officeDocument/2006/relationships/hyperlink" Target="https://eur-lex.europa.eu/legal-content/RO/TXT/?uri=celex:52024PC0670" TargetMode="External"/><Relationship Id="rId25" Type="http://schemas.openxmlformats.org/officeDocument/2006/relationships/hyperlink" Target="https://research-and-innovation.ec.europa.eu/research-area/social-sciences-and-humanities/migration-and-mobility_en" TargetMode="External"/><Relationship Id="rId33" Type="http://schemas.openxmlformats.org/officeDocument/2006/relationships/hyperlink" Target="http://data.europa.eu/eli/reco/2023/2611/oj" TargetMode="External"/><Relationship Id="rId38" Type="http://schemas.openxmlformats.org/officeDocument/2006/relationships/hyperlink" Target="https://www.urbanagenda.urban-initiative.eu/" TargetMode="External"/><Relationship Id="rId2" Type="http://schemas.openxmlformats.org/officeDocument/2006/relationships/hyperlink" Target="https://www.europol.europa.eu/crime-areas/migrant-smuggling" TargetMode="External"/><Relationship Id="rId16" Type="http://schemas.openxmlformats.org/officeDocument/2006/relationships/hyperlink" Target="https://eur-lex.europa.eu/legal-content/RO/TXT/HTML/?uri=CELEX:52024DC0570" TargetMode="External"/><Relationship Id="rId20" Type="http://schemas.openxmlformats.org/officeDocument/2006/relationships/hyperlink" Target="https://eur-lex.europa.eu/legal-content/RO/ALL/?uri=CELEX:52024DC0251" TargetMode="External"/><Relationship Id="rId29" Type="http://schemas.openxmlformats.org/officeDocument/2006/relationships/hyperlink" Target="https://eur-lex.europa.eu/legal-content/RO/TXT/?uri=celex:52025PC0101" TargetMode="External"/><Relationship Id="rId1" Type="http://schemas.openxmlformats.org/officeDocument/2006/relationships/hyperlink" Target="https://eur-lex.europa.eu/legal-content/RO/ALL/?uri=CELEX:52025DC0795" TargetMode="External"/><Relationship Id="rId6" Type="http://schemas.openxmlformats.org/officeDocument/2006/relationships/hyperlink" Target="http://data.europa.eu/eli/reg/2024/1351/oj" TargetMode="External"/><Relationship Id="rId11" Type="http://schemas.openxmlformats.org/officeDocument/2006/relationships/hyperlink" Target="https://home-affairs.ec.europa.eu/document/download/54b4208d-d928-4177-aac3-c70c4f6b2745_en?filename=Global%20Alliance%20Joint%20Declaration_final.pdf" TargetMode="External"/><Relationship Id="rId24" Type="http://schemas.openxmlformats.org/officeDocument/2006/relationships/hyperlink" Target="http://data.europa.eu/eli/dec_impl/2025/2642/oj" TargetMode="External"/><Relationship Id="rId32" Type="http://schemas.openxmlformats.org/officeDocument/2006/relationships/hyperlink" Target="https://eur-lex.europa.eu/legal-content/RO/TXT/?uri=CELEX:52023DC0577" TargetMode="External"/><Relationship Id="rId37" Type="http://schemas.openxmlformats.org/officeDocument/2006/relationships/hyperlink" Target="https://ec.europa.eu/regional_policy/information-sources/publications/communications/2025/eu-agenda-for-cities-2025_ro" TargetMode="External"/><Relationship Id="rId40" Type="http://schemas.openxmlformats.org/officeDocument/2006/relationships/hyperlink" Target="https://eur-lex.europa.eu/legal-content/EN/TXT/?uri=celex:52025PC0551" TargetMode="External"/><Relationship Id="rId5" Type="http://schemas.openxmlformats.org/officeDocument/2006/relationships/hyperlink" Target="https://ec.europa.eu/eurostat/statistics-explained/index.php?title=Residence_permits_%E2%80%93_statistics_on_authorisations_to_reside_and_work" TargetMode="External"/><Relationship Id="rId15" Type="http://schemas.openxmlformats.org/officeDocument/2006/relationships/hyperlink" Target="http://data.europa.eu/eli/dec/2025/702/oj" TargetMode="External"/><Relationship Id="rId23" Type="http://schemas.openxmlformats.org/officeDocument/2006/relationships/hyperlink" Target="https://eur-lex.europa.eu/legal-content/RO/TXT/?uri=celex:52025PC0259" TargetMode="External"/><Relationship Id="rId28" Type="http://schemas.openxmlformats.org/officeDocument/2006/relationships/hyperlink" Target="http://data.europa.eu/eli/reg/2024/1349/oj" TargetMode="External"/><Relationship Id="rId36" Type="http://schemas.openxmlformats.org/officeDocument/2006/relationships/hyperlink" Target="https://eur-lex.europa.eu/legal-content/EN/TXT/?uri=CELEX%3A52025SC0162" TargetMode="External"/><Relationship Id="rId10" Type="http://schemas.openxmlformats.org/officeDocument/2006/relationships/hyperlink" Target="https://international-partnerships.ec.europa.eu/policies/programming/projects/migrant-protection-return-and-reintegration-programme-sub-saharan-africa-mprr-ssa_en" TargetMode="External"/><Relationship Id="rId19" Type="http://schemas.openxmlformats.org/officeDocument/2006/relationships/hyperlink" Target="http://data.europa.eu/eli/reg/2024/1689/oj" TargetMode="External"/><Relationship Id="rId31" Type="http://schemas.openxmlformats.org/officeDocument/2006/relationships/hyperlink" Target="https://eur-lex.europa.eu/legal-content/RO/TXT/?uri=celex:52025DC0090" TargetMode="External"/><Relationship Id="rId4" Type="http://schemas.openxmlformats.org/officeDocument/2006/relationships/hyperlink" Target="https://ec.europa.eu/eurostat/web/interactive-publications/migration-2025" TargetMode="External"/><Relationship Id="rId9" Type="http://schemas.openxmlformats.org/officeDocument/2006/relationships/hyperlink" Target="https://www.coe.int/en/web/portal/-/migration-challenges-council-of-europe-ministers-call-for-political-declaration-on-rights" TargetMode="External"/><Relationship Id="rId14" Type="http://schemas.openxmlformats.org/officeDocument/2006/relationships/hyperlink" Target="https://eur-lex.europa.eu/legal-content/RO/TXT/?uri=celex:52023PC0755" TargetMode="External"/><Relationship Id="rId22" Type="http://schemas.openxmlformats.org/officeDocument/2006/relationships/hyperlink" Target="https://eur-lex.europa.eu/legal-content/RO/TXT/?uri=celex%3A52025PC0186" TargetMode="External"/><Relationship Id="rId27" Type="http://schemas.openxmlformats.org/officeDocument/2006/relationships/hyperlink" Target="https://eur-lex.europa.eu/legal-content/RO/TXT/?uri=celex:52025PC0101" TargetMode="External"/><Relationship Id="rId30" Type="http://schemas.openxmlformats.org/officeDocument/2006/relationships/hyperlink" Target="https://eur-lex.europa.eu/legal-content/RO/TXT/?uri=celex:52023DC0032" TargetMode="External"/><Relationship Id="rId35" Type="http://schemas.openxmlformats.org/officeDocument/2006/relationships/hyperlink" Target="https://eur-lex.europa.eu/legal-content/RO/TXT/?uri=CELEX%3A52020DC0758"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951B5A2-9015-4EE5-AF31-83A7F30D50D6}" type="doc">
      <dgm:prSet loTypeId="urn:microsoft.com/office/officeart/2005/8/layout/default" loCatId="list" qsTypeId="urn:microsoft.com/office/officeart/2005/8/quickstyle/simple1" qsCatId="simple" csTypeId="urn:microsoft.com/office/officeart/2005/8/colors/accent1_2" csCatId="accent1" phldr="1"/>
      <dgm:spPr/>
      <dgm:t>
        <a:bodyPr/>
        <a:lstStyle/>
        <a:p>
          <a:endParaRPr lang="en-IE"/>
        </a:p>
      </dgm:t>
    </dgm:pt>
    <dgm:pt modelId="{A6787417-C5D1-48C5-8432-6B838686BE93}">
      <dgm:prSet phldrT="[Text]"/>
      <dgm:spPr>
        <a:effectLst/>
      </dgm:spPr>
      <dgm:t>
        <a:bodyPr/>
        <a:lstStyle/>
        <a:p>
          <a:pPr algn="ctr"/>
          <a:r>
            <a:rPr lang="ro-RO" b="1"/>
            <a:t>Intensificarea diplomației în domeniul migrației</a:t>
          </a:r>
        </a:p>
      </dgm:t>
    </dgm:pt>
    <dgm:pt modelId="{F9F280D8-6EF9-448E-A349-914F20E1FAC6}" type="parTrans" cxnId="{6021C729-71E4-4E64-856E-C9831ACD1084}">
      <dgm:prSet/>
      <dgm:spPr/>
      <dgm:t>
        <a:bodyPr/>
        <a:lstStyle/>
        <a:p>
          <a:pPr algn="ctr"/>
          <a:endParaRPr lang="en-IE"/>
        </a:p>
      </dgm:t>
    </dgm:pt>
    <dgm:pt modelId="{1A3290D5-C3B4-46C3-AE10-8803EB6A53BC}" type="sibTrans" cxnId="{6021C729-71E4-4E64-856E-C9831ACD1084}">
      <dgm:prSet/>
      <dgm:spPr/>
      <dgm:t>
        <a:bodyPr/>
        <a:lstStyle/>
        <a:p>
          <a:pPr algn="ctr"/>
          <a:endParaRPr lang="en-IE"/>
        </a:p>
      </dgm:t>
    </dgm:pt>
    <dgm:pt modelId="{92EC63AC-F29B-4028-B2ED-6990503DD3DF}">
      <dgm:prSet phldrT="[Text]"/>
      <dgm:spPr>
        <a:solidFill>
          <a:srgbClr val="00B0F0"/>
        </a:solidFill>
      </dgm:spPr>
      <dgm:t>
        <a:bodyPr/>
        <a:lstStyle/>
        <a:p>
          <a:pPr algn="ctr"/>
          <a:r>
            <a:rPr lang="ro-RO" b="1"/>
            <a:t>Frontiere puternice ale UE pentru sporirea controlului și a securității </a:t>
          </a:r>
        </a:p>
      </dgm:t>
    </dgm:pt>
    <dgm:pt modelId="{143C49D9-4DE3-4AF0-84C0-752DA730FF05}" type="parTrans" cxnId="{0E58A91B-FBD2-48FA-8B88-D45DD7B1AB33}">
      <dgm:prSet/>
      <dgm:spPr/>
      <dgm:t>
        <a:bodyPr/>
        <a:lstStyle/>
        <a:p>
          <a:pPr algn="ctr"/>
          <a:endParaRPr lang="en-IE"/>
        </a:p>
      </dgm:t>
    </dgm:pt>
    <dgm:pt modelId="{C464ED3B-30FF-42F2-9D4D-3DD9D25A9BD2}" type="sibTrans" cxnId="{0E58A91B-FBD2-48FA-8B88-D45DD7B1AB33}">
      <dgm:prSet/>
      <dgm:spPr/>
      <dgm:t>
        <a:bodyPr/>
        <a:lstStyle/>
        <a:p>
          <a:pPr algn="ctr"/>
          <a:endParaRPr lang="en-IE"/>
        </a:p>
      </dgm:t>
    </dgm:pt>
    <dgm:pt modelId="{9711D5AE-56D1-4A9A-887B-9B993F57E529}">
      <dgm:prSet phldrT="[Text]"/>
      <dgm:spPr>
        <a:solidFill>
          <a:srgbClr val="FFC000"/>
        </a:solidFill>
      </dgm:spPr>
      <dgm:t>
        <a:bodyPr/>
        <a:lstStyle/>
        <a:p>
          <a:pPr algn="ctr"/>
          <a:r>
            <a:rPr lang="ro-RO" b="1"/>
            <a:t>Un sistem de azil și migrație echitabil, ferm și adaptabil</a:t>
          </a:r>
        </a:p>
      </dgm:t>
    </dgm:pt>
    <dgm:pt modelId="{C55129B6-9BCA-40BB-8420-1B3DD9022954}" type="parTrans" cxnId="{8241D8EB-BA9E-4C2E-BF4B-8094A82F0F91}">
      <dgm:prSet/>
      <dgm:spPr/>
      <dgm:t>
        <a:bodyPr/>
        <a:lstStyle/>
        <a:p>
          <a:pPr algn="ctr"/>
          <a:endParaRPr lang="en-IE"/>
        </a:p>
      </dgm:t>
    </dgm:pt>
    <dgm:pt modelId="{2BE23030-3383-4B45-A6FC-59111E306E7A}" type="sibTrans" cxnId="{8241D8EB-BA9E-4C2E-BF4B-8094A82F0F91}">
      <dgm:prSet/>
      <dgm:spPr/>
      <dgm:t>
        <a:bodyPr/>
        <a:lstStyle/>
        <a:p>
          <a:pPr algn="ctr"/>
          <a:endParaRPr lang="en-IE"/>
        </a:p>
      </dgm:t>
    </dgm:pt>
    <dgm:pt modelId="{4CA348E3-BD6F-4C2F-B2CC-BFCD00AF09D1}">
      <dgm:prSet phldrT="[Text]"/>
      <dgm:spPr>
        <a:solidFill>
          <a:srgbClr val="C00000"/>
        </a:solidFill>
      </dgm:spPr>
      <dgm:t>
        <a:bodyPr/>
        <a:lstStyle/>
        <a:p>
          <a:pPr algn="ctr"/>
          <a:r>
            <a:rPr lang="ro-RO" b="1"/>
            <a:t>Proceduri de returnare și readmisie mai eficace</a:t>
          </a:r>
        </a:p>
      </dgm:t>
    </dgm:pt>
    <dgm:pt modelId="{FB707D26-10D9-4325-9DE9-749139DC5FC6}" type="parTrans" cxnId="{39F8508D-5A2D-4E71-AAAA-F54CFCECE549}">
      <dgm:prSet/>
      <dgm:spPr/>
      <dgm:t>
        <a:bodyPr/>
        <a:lstStyle/>
        <a:p>
          <a:pPr algn="ctr"/>
          <a:endParaRPr lang="en-IE"/>
        </a:p>
      </dgm:t>
    </dgm:pt>
    <dgm:pt modelId="{1993B95D-785B-4265-8302-93121184C31D}" type="sibTrans" cxnId="{39F8508D-5A2D-4E71-AAAA-F54CFCECE549}">
      <dgm:prSet/>
      <dgm:spPr/>
      <dgm:t>
        <a:bodyPr/>
        <a:lstStyle/>
        <a:p>
          <a:pPr algn="ctr"/>
          <a:endParaRPr lang="en-IE"/>
        </a:p>
      </dgm:t>
    </dgm:pt>
    <dgm:pt modelId="{263C6530-0552-4E86-9CC8-9C1DC0FD796F}">
      <dgm:prSet phldrT="[Text]"/>
      <dgm:spPr>
        <a:solidFill>
          <a:srgbClr val="92D050"/>
        </a:solidFill>
      </dgm:spPr>
      <dgm:t>
        <a:bodyPr/>
        <a:lstStyle/>
        <a:p>
          <a:pPr algn="ctr"/>
          <a:r>
            <a:rPr lang="ro-RO" b="1"/>
            <a:t>Mobilitatea forței de muncă și a talentelor pentru</a:t>
          </a:r>
          <a:r>
            <a:rPr lang="ro-RO"/>
            <a:t> </a:t>
          </a:r>
          <a:r>
            <a:rPr lang="ro-RO" b="1"/>
            <a:t>sporirea competitivității </a:t>
          </a:r>
        </a:p>
      </dgm:t>
    </dgm:pt>
    <dgm:pt modelId="{BCFCFDA1-1294-4D2E-B75C-F3DB5A8F4F6D}" type="parTrans" cxnId="{69450836-4C2B-4C22-BBA0-0A0F721E89C3}">
      <dgm:prSet/>
      <dgm:spPr/>
      <dgm:t>
        <a:bodyPr/>
        <a:lstStyle/>
        <a:p>
          <a:pPr algn="ctr"/>
          <a:endParaRPr lang="en-IE"/>
        </a:p>
      </dgm:t>
    </dgm:pt>
    <dgm:pt modelId="{992D572C-E286-431A-8A35-53E502D0E119}" type="sibTrans" cxnId="{69450836-4C2B-4C22-BBA0-0A0F721E89C3}">
      <dgm:prSet/>
      <dgm:spPr/>
      <dgm:t>
        <a:bodyPr/>
        <a:lstStyle/>
        <a:p>
          <a:pPr algn="ctr"/>
          <a:endParaRPr lang="en-IE"/>
        </a:p>
      </dgm:t>
    </dgm:pt>
    <dgm:pt modelId="{C87917FA-AE27-4157-B643-39C3FFDA73AC}" type="pres">
      <dgm:prSet presAssocID="{8951B5A2-9015-4EE5-AF31-83A7F30D50D6}" presName="diagram" presStyleCnt="0">
        <dgm:presLayoutVars>
          <dgm:dir/>
          <dgm:resizeHandles val="exact"/>
        </dgm:presLayoutVars>
      </dgm:prSet>
      <dgm:spPr/>
      <dgm:t>
        <a:bodyPr/>
        <a:lstStyle/>
        <a:p>
          <a:endParaRPr lang="en-US"/>
        </a:p>
      </dgm:t>
    </dgm:pt>
    <dgm:pt modelId="{30239140-E3D0-40AF-A53A-493CA1FCFDDD}" type="pres">
      <dgm:prSet presAssocID="{A6787417-C5D1-48C5-8432-6B838686BE93}" presName="node" presStyleLbl="node1" presStyleIdx="0" presStyleCnt="5">
        <dgm:presLayoutVars>
          <dgm:bulletEnabled val="1"/>
        </dgm:presLayoutVars>
      </dgm:prSet>
      <dgm:spPr/>
      <dgm:t>
        <a:bodyPr/>
        <a:lstStyle/>
        <a:p>
          <a:endParaRPr lang="en-US"/>
        </a:p>
      </dgm:t>
    </dgm:pt>
    <dgm:pt modelId="{6ADCC155-FD85-4B0F-B7AB-D0CF1FFDD737}" type="pres">
      <dgm:prSet presAssocID="{1A3290D5-C3B4-46C3-AE10-8803EB6A53BC}" presName="sibTrans" presStyleCnt="0"/>
      <dgm:spPr/>
    </dgm:pt>
    <dgm:pt modelId="{DFFB9137-12B4-4A25-BE23-1813F4B6C6D2}" type="pres">
      <dgm:prSet presAssocID="{92EC63AC-F29B-4028-B2ED-6990503DD3DF}" presName="node" presStyleLbl="node1" presStyleIdx="1" presStyleCnt="5">
        <dgm:presLayoutVars>
          <dgm:bulletEnabled val="1"/>
        </dgm:presLayoutVars>
      </dgm:prSet>
      <dgm:spPr/>
      <dgm:t>
        <a:bodyPr/>
        <a:lstStyle/>
        <a:p>
          <a:endParaRPr lang="en-US"/>
        </a:p>
      </dgm:t>
    </dgm:pt>
    <dgm:pt modelId="{39D12B65-3C45-4BE4-8E3D-CF8D7D072431}" type="pres">
      <dgm:prSet presAssocID="{C464ED3B-30FF-42F2-9D4D-3DD9D25A9BD2}" presName="sibTrans" presStyleCnt="0"/>
      <dgm:spPr/>
    </dgm:pt>
    <dgm:pt modelId="{297A4C50-6A87-44C2-959B-16651383982A}" type="pres">
      <dgm:prSet presAssocID="{9711D5AE-56D1-4A9A-887B-9B993F57E529}" presName="node" presStyleLbl="node1" presStyleIdx="2" presStyleCnt="5">
        <dgm:presLayoutVars>
          <dgm:bulletEnabled val="1"/>
        </dgm:presLayoutVars>
      </dgm:prSet>
      <dgm:spPr/>
      <dgm:t>
        <a:bodyPr/>
        <a:lstStyle/>
        <a:p>
          <a:endParaRPr lang="en-US"/>
        </a:p>
      </dgm:t>
    </dgm:pt>
    <dgm:pt modelId="{86D1CCFF-7A24-42EA-BE29-DAA1736E5311}" type="pres">
      <dgm:prSet presAssocID="{2BE23030-3383-4B45-A6FC-59111E306E7A}" presName="sibTrans" presStyleCnt="0"/>
      <dgm:spPr/>
    </dgm:pt>
    <dgm:pt modelId="{A893A532-32B7-4B57-B09D-ADB74E2D8EFB}" type="pres">
      <dgm:prSet presAssocID="{4CA348E3-BD6F-4C2F-B2CC-BFCD00AF09D1}" presName="node" presStyleLbl="node1" presStyleIdx="3" presStyleCnt="5">
        <dgm:presLayoutVars>
          <dgm:bulletEnabled val="1"/>
        </dgm:presLayoutVars>
      </dgm:prSet>
      <dgm:spPr/>
      <dgm:t>
        <a:bodyPr/>
        <a:lstStyle/>
        <a:p>
          <a:endParaRPr lang="en-US"/>
        </a:p>
      </dgm:t>
    </dgm:pt>
    <dgm:pt modelId="{55607590-194C-4CB1-A5C9-CA20EAB48A68}" type="pres">
      <dgm:prSet presAssocID="{1993B95D-785B-4265-8302-93121184C31D}" presName="sibTrans" presStyleCnt="0"/>
      <dgm:spPr/>
    </dgm:pt>
    <dgm:pt modelId="{F431542A-4819-4635-9E4D-EDDC9FA6906D}" type="pres">
      <dgm:prSet presAssocID="{263C6530-0552-4E86-9CC8-9C1DC0FD796F}" presName="node" presStyleLbl="node1" presStyleIdx="4" presStyleCnt="5">
        <dgm:presLayoutVars>
          <dgm:bulletEnabled val="1"/>
        </dgm:presLayoutVars>
      </dgm:prSet>
      <dgm:spPr/>
      <dgm:t>
        <a:bodyPr/>
        <a:lstStyle/>
        <a:p>
          <a:endParaRPr lang="en-US"/>
        </a:p>
      </dgm:t>
    </dgm:pt>
  </dgm:ptLst>
  <dgm:cxnLst>
    <dgm:cxn modelId="{39F8508D-5A2D-4E71-AAAA-F54CFCECE549}" srcId="{8951B5A2-9015-4EE5-AF31-83A7F30D50D6}" destId="{4CA348E3-BD6F-4C2F-B2CC-BFCD00AF09D1}" srcOrd="3" destOrd="0" parTransId="{FB707D26-10D9-4325-9DE9-749139DC5FC6}" sibTransId="{1993B95D-785B-4265-8302-93121184C31D}"/>
    <dgm:cxn modelId="{D2F0663B-7884-4422-A101-8D9A7463DA61}" type="presOf" srcId="{263C6530-0552-4E86-9CC8-9C1DC0FD796F}" destId="{F431542A-4819-4635-9E4D-EDDC9FA6906D}" srcOrd="0" destOrd="0" presId="urn:microsoft.com/office/officeart/2005/8/layout/default"/>
    <dgm:cxn modelId="{5C8A4975-89FE-420C-9DB5-64C6E3C4A3FF}" type="presOf" srcId="{92EC63AC-F29B-4028-B2ED-6990503DD3DF}" destId="{DFFB9137-12B4-4A25-BE23-1813F4B6C6D2}" srcOrd="0" destOrd="0" presId="urn:microsoft.com/office/officeart/2005/8/layout/default"/>
    <dgm:cxn modelId="{BF1BC6CE-FE79-46B5-A90A-5478A6418D45}" type="presOf" srcId="{9711D5AE-56D1-4A9A-887B-9B993F57E529}" destId="{297A4C50-6A87-44C2-959B-16651383982A}" srcOrd="0" destOrd="0" presId="urn:microsoft.com/office/officeart/2005/8/layout/default"/>
    <dgm:cxn modelId="{A1D5A16A-B90E-4E5A-80A6-98E1CA28D6FB}" type="presOf" srcId="{4CA348E3-BD6F-4C2F-B2CC-BFCD00AF09D1}" destId="{A893A532-32B7-4B57-B09D-ADB74E2D8EFB}" srcOrd="0" destOrd="0" presId="urn:microsoft.com/office/officeart/2005/8/layout/default"/>
    <dgm:cxn modelId="{6F3B40DD-F3E9-4E6D-A588-3AE9BC980FC9}" type="presOf" srcId="{A6787417-C5D1-48C5-8432-6B838686BE93}" destId="{30239140-E3D0-40AF-A53A-493CA1FCFDDD}" srcOrd="0" destOrd="0" presId="urn:microsoft.com/office/officeart/2005/8/layout/default"/>
    <dgm:cxn modelId="{0E58A91B-FBD2-48FA-8B88-D45DD7B1AB33}" srcId="{8951B5A2-9015-4EE5-AF31-83A7F30D50D6}" destId="{92EC63AC-F29B-4028-B2ED-6990503DD3DF}" srcOrd="1" destOrd="0" parTransId="{143C49D9-4DE3-4AF0-84C0-752DA730FF05}" sibTransId="{C464ED3B-30FF-42F2-9D4D-3DD9D25A9BD2}"/>
    <dgm:cxn modelId="{69450836-4C2B-4C22-BBA0-0A0F721E89C3}" srcId="{8951B5A2-9015-4EE5-AF31-83A7F30D50D6}" destId="{263C6530-0552-4E86-9CC8-9C1DC0FD796F}" srcOrd="4" destOrd="0" parTransId="{BCFCFDA1-1294-4D2E-B75C-F3DB5A8F4F6D}" sibTransId="{992D572C-E286-431A-8A35-53E502D0E119}"/>
    <dgm:cxn modelId="{E05DFE66-044E-4B66-8440-FFA9E278F8BB}" type="presOf" srcId="{8951B5A2-9015-4EE5-AF31-83A7F30D50D6}" destId="{C87917FA-AE27-4157-B643-39C3FFDA73AC}" srcOrd="0" destOrd="0" presId="urn:microsoft.com/office/officeart/2005/8/layout/default"/>
    <dgm:cxn modelId="{6021C729-71E4-4E64-856E-C9831ACD1084}" srcId="{8951B5A2-9015-4EE5-AF31-83A7F30D50D6}" destId="{A6787417-C5D1-48C5-8432-6B838686BE93}" srcOrd="0" destOrd="0" parTransId="{F9F280D8-6EF9-448E-A349-914F20E1FAC6}" sibTransId="{1A3290D5-C3B4-46C3-AE10-8803EB6A53BC}"/>
    <dgm:cxn modelId="{8241D8EB-BA9E-4C2E-BF4B-8094A82F0F91}" srcId="{8951B5A2-9015-4EE5-AF31-83A7F30D50D6}" destId="{9711D5AE-56D1-4A9A-887B-9B993F57E529}" srcOrd="2" destOrd="0" parTransId="{C55129B6-9BCA-40BB-8420-1B3DD9022954}" sibTransId="{2BE23030-3383-4B45-A6FC-59111E306E7A}"/>
    <dgm:cxn modelId="{A040F6B0-3F0C-4793-8A2A-6065269ADE45}" type="presParOf" srcId="{C87917FA-AE27-4157-B643-39C3FFDA73AC}" destId="{30239140-E3D0-40AF-A53A-493CA1FCFDDD}" srcOrd="0" destOrd="0" presId="urn:microsoft.com/office/officeart/2005/8/layout/default"/>
    <dgm:cxn modelId="{00448303-48B3-411A-9E6B-662CD9A1FC56}" type="presParOf" srcId="{C87917FA-AE27-4157-B643-39C3FFDA73AC}" destId="{6ADCC155-FD85-4B0F-B7AB-D0CF1FFDD737}" srcOrd="1" destOrd="0" presId="urn:microsoft.com/office/officeart/2005/8/layout/default"/>
    <dgm:cxn modelId="{F7F4141F-625D-4C38-848F-8408A53B768C}" type="presParOf" srcId="{C87917FA-AE27-4157-B643-39C3FFDA73AC}" destId="{DFFB9137-12B4-4A25-BE23-1813F4B6C6D2}" srcOrd="2" destOrd="0" presId="urn:microsoft.com/office/officeart/2005/8/layout/default"/>
    <dgm:cxn modelId="{AAA47F1E-433E-4608-B088-65A126520AF4}" type="presParOf" srcId="{C87917FA-AE27-4157-B643-39C3FFDA73AC}" destId="{39D12B65-3C45-4BE4-8E3D-CF8D7D072431}" srcOrd="3" destOrd="0" presId="urn:microsoft.com/office/officeart/2005/8/layout/default"/>
    <dgm:cxn modelId="{642C9633-DE34-498D-A91F-F69251C6D330}" type="presParOf" srcId="{C87917FA-AE27-4157-B643-39C3FFDA73AC}" destId="{297A4C50-6A87-44C2-959B-16651383982A}" srcOrd="4" destOrd="0" presId="urn:microsoft.com/office/officeart/2005/8/layout/default"/>
    <dgm:cxn modelId="{F35C83B0-19B7-40DF-9548-E159F0B84095}" type="presParOf" srcId="{C87917FA-AE27-4157-B643-39C3FFDA73AC}" destId="{86D1CCFF-7A24-42EA-BE29-DAA1736E5311}" srcOrd="5" destOrd="0" presId="urn:microsoft.com/office/officeart/2005/8/layout/default"/>
    <dgm:cxn modelId="{ECF21622-2A7A-4A62-86D9-D5328B1D2A4A}" type="presParOf" srcId="{C87917FA-AE27-4157-B643-39C3FFDA73AC}" destId="{A893A532-32B7-4B57-B09D-ADB74E2D8EFB}" srcOrd="6" destOrd="0" presId="urn:microsoft.com/office/officeart/2005/8/layout/default"/>
    <dgm:cxn modelId="{F5330885-5431-43D9-B64E-2D0929ED0875}" type="presParOf" srcId="{C87917FA-AE27-4157-B643-39C3FFDA73AC}" destId="{55607590-194C-4CB1-A5C9-CA20EAB48A68}" srcOrd="7" destOrd="0" presId="urn:microsoft.com/office/officeart/2005/8/layout/default"/>
    <dgm:cxn modelId="{7BFF4430-5BCE-44D2-AF2C-8877CD53BC70}" type="presParOf" srcId="{C87917FA-AE27-4157-B643-39C3FFDA73AC}" destId="{F431542A-4819-4635-9E4D-EDDC9FA6906D}" srcOrd="8" destOrd="0" presId="urn:microsoft.com/office/officeart/2005/8/layout/default"/>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0239140-E3D0-40AF-A53A-493CA1FCFDDD}">
      <dsp:nvSpPr>
        <dsp:cNvPr id="0" name=""/>
        <dsp:cNvSpPr/>
      </dsp:nvSpPr>
      <dsp:spPr>
        <a:xfrm>
          <a:off x="228248" y="1285"/>
          <a:ext cx="1404791" cy="842874"/>
        </a:xfrm>
        <a:prstGeom prst="rect">
          <a:avLst/>
        </a:prstGeom>
        <a:solidFill>
          <a:schemeClr val="accent1">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o-RO" sz="1000" b="1" kern="1200"/>
            <a:t>Intensificarea diplomației în domeniul migrației</a:t>
          </a:r>
        </a:p>
      </dsp:txBody>
      <dsp:txXfrm>
        <a:off x="228248" y="1285"/>
        <a:ext cx="1404791" cy="842874"/>
      </dsp:txXfrm>
    </dsp:sp>
    <dsp:sp modelId="{DFFB9137-12B4-4A25-BE23-1813F4B6C6D2}">
      <dsp:nvSpPr>
        <dsp:cNvPr id="0" name=""/>
        <dsp:cNvSpPr/>
      </dsp:nvSpPr>
      <dsp:spPr>
        <a:xfrm>
          <a:off x="1773518" y="1285"/>
          <a:ext cx="1404791" cy="842874"/>
        </a:xfrm>
        <a:prstGeom prst="rect">
          <a:avLst/>
        </a:prstGeom>
        <a:solidFill>
          <a:srgbClr val="00B0F0"/>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o-RO" sz="1000" b="1" kern="1200"/>
            <a:t>Frontiere puternice ale UE pentru sporirea controlului și a securității </a:t>
          </a:r>
        </a:p>
      </dsp:txBody>
      <dsp:txXfrm>
        <a:off x="1773518" y="1285"/>
        <a:ext cx="1404791" cy="842874"/>
      </dsp:txXfrm>
    </dsp:sp>
    <dsp:sp modelId="{297A4C50-6A87-44C2-959B-16651383982A}">
      <dsp:nvSpPr>
        <dsp:cNvPr id="0" name=""/>
        <dsp:cNvSpPr/>
      </dsp:nvSpPr>
      <dsp:spPr>
        <a:xfrm>
          <a:off x="3318788" y="1285"/>
          <a:ext cx="1404791" cy="842874"/>
        </a:xfrm>
        <a:prstGeom prst="rect">
          <a:avLst/>
        </a:prstGeom>
        <a:solidFill>
          <a:srgbClr val="FFC000"/>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o-RO" sz="1000" b="1" kern="1200"/>
            <a:t>Un sistem de azil și migrație echitabil, ferm și adaptabil</a:t>
          </a:r>
        </a:p>
      </dsp:txBody>
      <dsp:txXfrm>
        <a:off x="3318788" y="1285"/>
        <a:ext cx="1404791" cy="842874"/>
      </dsp:txXfrm>
    </dsp:sp>
    <dsp:sp modelId="{A893A532-32B7-4B57-B09D-ADB74E2D8EFB}">
      <dsp:nvSpPr>
        <dsp:cNvPr id="0" name=""/>
        <dsp:cNvSpPr/>
      </dsp:nvSpPr>
      <dsp:spPr>
        <a:xfrm>
          <a:off x="1000883" y="984639"/>
          <a:ext cx="1404791" cy="842874"/>
        </a:xfrm>
        <a:prstGeom prst="rect">
          <a:avLst/>
        </a:prstGeom>
        <a:solidFill>
          <a:srgbClr val="C00000"/>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o-RO" sz="1000" b="1" kern="1200"/>
            <a:t>Proceduri de returnare și readmisie mai eficace</a:t>
          </a:r>
        </a:p>
      </dsp:txBody>
      <dsp:txXfrm>
        <a:off x="1000883" y="984639"/>
        <a:ext cx="1404791" cy="842874"/>
      </dsp:txXfrm>
    </dsp:sp>
    <dsp:sp modelId="{F431542A-4819-4635-9E4D-EDDC9FA6906D}">
      <dsp:nvSpPr>
        <dsp:cNvPr id="0" name=""/>
        <dsp:cNvSpPr/>
      </dsp:nvSpPr>
      <dsp:spPr>
        <a:xfrm>
          <a:off x="2546153" y="984639"/>
          <a:ext cx="1404791" cy="842874"/>
        </a:xfrm>
        <a:prstGeom prst="rect">
          <a:avLst/>
        </a:prstGeom>
        <a:solidFill>
          <a:srgbClr val="92D050"/>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o-RO" sz="1000" b="1" kern="1200"/>
            <a:t>Mobilitatea forței de muncă și a talentelor pentru</a:t>
          </a:r>
          <a:r>
            <a:rPr lang="ro-RO" sz="1000" kern="1200"/>
            <a:t> </a:t>
          </a:r>
          <a:r>
            <a:rPr lang="ro-RO" sz="1000" b="1" kern="1200"/>
            <a:t>sporirea competitivității </a:t>
          </a:r>
        </a:p>
      </dsp:txBody>
      <dsp:txXfrm>
        <a:off x="2546153" y="984639"/>
        <a:ext cx="1404791" cy="842874"/>
      </dsp:txXfrm>
    </dsp:sp>
  </dsp:spTree>
</dsp:drawing>
</file>

<file path=word/diagrams/layout1.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EurolookProperties>
  <ProductCustomizationId>EC</ProductCustomizationId>
  <Created>
    <Version>10.0.47847.0</Version>
    <Date>2025-10-31T22:34:59</Date>
    <Language>EN</Language>
    <Note>Created using 'Convert To Eurolook'</Note>
  </Created>
  <Edited>
    <Version/>
    <Date/>
  </Edited>
  <DocumentModel>
    <Id>34954475-997f-4cb0-a95b-7f65298f3d8c</Id>
    <Name>Report (long)</Name>
  </DocumentModel>
  <CustomTemplate>
    <Id/>
    <Name/>
  </CustomTemplate>
  <DocumentDate>2025-10-31T22:34:59</DocumentDate>
  <DocumentVersion>0.1</DocumentVersion>
  <CompatibilityMode>Eurolook10</CompatibilityMode>
  <DocumentMetadata>
    <EC_SecurityDistributionWorkingGroup MetadataSerializationType="SimpleValue"/>
    <EC_SecurityDistributionDG MetadataSerializationType="SimpleValue"/>
    <EC_SecurityDateMarkingDate MetadataSerializationType="SimpleValue"/>
    <EC_SecurityDateMarkingEvent MetadataSerializationType="SimpleValue"/>
    <EC_SecurityReleasability MetadataSerializationType="SimpleValue"/>
    <EC_SecurityDateMarking MetadataSerializationType="SimpleValue"/>
    <EC_SecurityMarking MetadataSerializationType="SimpleValue"/>
    <EC_SecurityDistributionSpecialHandling MetadataSerializationType="SimpleValue"/>
    <EC_SecurityDistributionSensitive MetadataSerializationType="SimpleValue"/>
  </DocumentMetadata>
</EurolookProperties>
</file>

<file path=customXml/item2.xml><?xml version="1.0" encoding="utf-8"?>
<Texts>
  <SensitiveFootnoteHyperlink>{field:HYPERLINK "https://europa.eu/!db43PX" |https://europa.eu/!db43PX}</SensitiveFootnoteHyperlink>
  <DecisionLetter-SensitiveHandling>Distribution only on a need-to-know basis. Do not read or carry openly in public places. Must be encrypted in transmission and stored securely, where possible by using encrypted storage. Destroy copies by shredding or secure deletion. Full handling instructions: </DecisionLetter-SensitiveHandling>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MarkingUntilText>UNTIL</MarkingUntilText>
  <OrgaRoot>EUROPEAN COMMISSION</OrgaRoot>
  <SecurityPharma>Pharma Investigations</SecurityPharma>
  <ClimaSensitive>CLIMA</ClimaSensitive>
  <SecurityEmbargo>EMBARGO UNTIL</SecurityEmbargo>
  <Contact>Contact:</Contact>
  <Contacts>Contacts:</Contacts>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TOCHeading>Table of Contents</TOCHeading>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DecisionLetter-SpecialHandlingFootnote>Special handling instructions are given at </DecisionLetter-SpecialHandlingFootnote>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TechHistoryCreatedBy>Document created by</TechHistoryCreatedBy>
  <TechHistoryDate>Date</TechHistoryDate>
  <TechHistory>Document History</TechHistory>
  <TechHistoryComment>Comment</TechHistoryComment>
  <TechHistoryVersion>Version</TechHistoryVersion>
  <SecurityStaffMatter>Staff Matter</SecurityStaffMatter>
  <LabelFormattedTableSeqEC>Table {field: SEQ Table \* ARABIC }: </LabelFormattedTableSeqEC>
  <SecurityMediationServiceMatter>Mediation Service</SecurityMediationServiceMatter>
  <SecurityReleasable>RELEASABLE TO:</SecurityReleasable>
  <TechPropsRefno>Reference Number:</TechPropsRefno>
  <TechPropsRevised>Revised by:</TechPropsRevised>
  <TechPropsVersion>Version:</TechPropsVersion>
  <TechPropsApproved>Approved by:</TechPropsApproved>
  <TechPropsAuthors>Authors:</TechPropsAuthors>
  <TechPropsPublic>Public:</TechPropsPublic>
  <TechPropsDate>Date:</TechPropsDate>
  <TechFooterVersion>Versiunea documentului</TechFooterVersion>
  <TechFooterDated>din data de</TechFooterDated>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LabelFormattedFigureSeqEC>Figure {field: SEQ Figure \* ARABIC }: </LabelFormattedFigureSeqEC>
  <COMPSpecialHandlingLabel>COMP</COMPSpecialHandlingLabel>
  <COMPSpecialHandlingHyperlink>{field:HYPERLINK "https://europa.eu/!db43PX" |https://europa.eu/!db43PX }</COMPSpecialHandlingHyperlink>
  <DateFormatShort>dd/MM/yyyy</DateFormatShort>
  <DateFormatLong>d MMMM yyyy</DateFormatLong>
</Texts>
</file>

<file path=customXml/item3.xml><?xml version="1.0" encoding="utf-8"?>
<Author Role="Creator" AuthorRoleName="Writer" AuthorRoleDisplayName="Writer" AuthorRoleId="a4fbaff4-b07c-48b4-a21e-e7b9eedf3796">
  <Id>cf0cb32d-339b-4d4d-b5b2-08db22f585cd</Id>
  <Names>
    <Latin>
      <FirstName>Olivier</FirstName>
      <LastName>BERGEAU</LastName>
    </Latin>
    <Greek>
      <FirstName/>
      <LastName/>
    </Greek>
    <Cyrillic>
      <FirstName/>
      <LastName/>
    </Cyrillic>
    <DocumentScript>
      <FirstName>Olivier</FirstName>
      <LastName>BERGEAU</LastName>
      <FullName>Olivier BERGEAU</FullName>
    </DocumentScript>
  </Names>
  <Initials>OB</Initials>
  <Gender>m</Gender>
  <Email>Olivier.BERGEAU@ec.europa.eu</Email>
  <Service>HOME.A.4</Service>
  <Function ADCode="40" ShowInSignature="true" ShowInHeader="false" HeaderText="">Deputy Head of Unit</Function>
  <WebAddress/>
  <FunctionalMailbox/>
  <InheritedWebAddress>WebAddress</InheritedWebAddress>
  <OrgaEntity1>
    <Id>bb42cf15-e01c-4371-aa80-221cebdf1d8b</Id>
    <LogicalLevel>1</LogicalLevel>
    <Name>HOME</Name>
    <HeadLine1>DIRECTORATE-GENERAL FOR MIGRATION AND HOME AFFAIRS</HeadLine1>
    <HeadLine2/>
    <PrimaryAddressId>f03b5801-04c9-4931-aa17-c6d6c70bc579</PrimaryAddressId>
    <SecondaryAddressId/>
    <WebAddress>WebAddress</WebAddress>
    <InheritedWebAddress>WebAddress</InheritedWebAddress>
    <ShowInHeader>true</ShowInHeader>
  </OrgaEntity1>
  <OrgaEntity2>
    <Id>2f982468-7831-4ee7-ad82-e51ddd34badb</Id>
    <LogicalLevel>2</LogicalLevel>
    <Name>HOME.A</Name>
    <HeadLine1>Directorate A – International &amp; Horizontal Affairs</HeadLine1>
    <HeadLine2/>
    <PrimaryAddressId>f03b5801-04c9-4931-aa17-c6d6c70bc579</PrimaryAddressId>
    <SecondaryAddressId/>
    <WebAddress/>
    <InheritedWebAddress>WebAddress</InheritedWebAddress>
    <ShowInHeader>true</ShowInHeader>
  </OrgaEntity2>
  <OrgaEntity3>
    <Id>c0cf20e2-e187-4d48-849e-8cac04ce4c72</Id>
    <LogicalLevel>3</LogicalLevel>
    <Name>HOME.A.4</Name>
    <HeadLine1>A.4 – Legal affairs</HeadLine1>
    <HeadLine2/>
    <PrimaryAddressId>f03b5801-04c9-4931-aa17-c6d6c70bc579</PrimaryAddressId>
    <SecondaryAddressId/>
    <WebAddress/>
    <InheritedWebAddress>WebAddress</InheritedWebAddress>
    <ShowInHeader>true</ShowInHeader>
  </OrgaEntity3>
  <Hierarchy>
    <OrgaEntity>
      <Id>bb42cf15-e01c-4371-aa80-221cebdf1d8b</Id>
      <LogicalLevel>1</LogicalLevel>
      <Name>HOME</Name>
      <HeadLine1>DIRECTORATE-GENERAL FOR MIGRATION AND HOME AFFAIRS</HeadLine1>
      <HeadLine2/>
      <PrimaryAddressId>f03b5801-04c9-4931-aa17-c6d6c70bc579</PrimaryAddressId>
      <SecondaryAddressId/>
      <WebAddress>WebAddress</WebAddress>
      <InheritedWebAddress>WebAddress</InheritedWebAddress>
      <ShowInHeader>true</ShowInHeader>
    </OrgaEntity>
    <OrgaEntity>
      <Id>2f982468-7831-4ee7-ad82-e51ddd34badb</Id>
      <LogicalLevel>2</LogicalLevel>
      <Name>HOME.A</Name>
      <HeadLine1>Directorate A – International &amp; Horizontal Affairs</HeadLine1>
      <HeadLine2/>
      <PrimaryAddressId>f03b5801-04c9-4931-aa17-c6d6c70bc579</PrimaryAddressId>
      <SecondaryAddressId/>
      <WebAddress/>
      <InheritedWebAddress>WebAddress</InheritedWebAddress>
      <ShowInHeader>true</ShowInHeader>
    </OrgaEntity>
    <OrgaEntity>
      <Id>c0cf20e2-e187-4d48-849e-8cac04ce4c72</Id>
      <LogicalLevel>3</LogicalLevel>
      <Name>HOME.A.4</Name>
      <HeadLine1>A.4 – Legal affairs</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+32 229-92656</Phone>
    <Office>LX46 06/163</Office>
  </MainWorkplace>
  <Workplaces>
    <Workplace IsMain="true">
      <AddressId>f03b5801-04c9-4931-aa17-c6d6c70bc579</AddressId>
      <Fax/>
      <Phone>+32 229-92656</Phone>
      <Office>LX46 06/163</Office>
    </Workplace>
  </Workplaces>
</Author>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EA5527-7367-4268-9D83-5125C98D0ED2}">
  <ds:schemaRefs/>
</ds:datastoreItem>
</file>

<file path=customXml/itemProps2.xml><?xml version="1.0" encoding="utf-8"?>
<ds:datastoreItem xmlns:ds="http://schemas.openxmlformats.org/officeDocument/2006/customXml" ds:itemID="{4EF90DE6-88B6-4264-9629-4D8DFDFE87D2}">
  <ds:schemaRefs/>
</ds:datastoreItem>
</file>

<file path=customXml/itemProps3.xml><?xml version="1.0" encoding="utf-8"?>
<ds:datastoreItem xmlns:ds="http://schemas.openxmlformats.org/officeDocument/2006/customXml" ds:itemID="{9E2A0E0E-BE05-476A-80CF-6B984A867F82}">
  <ds:schemaRefs/>
</ds:datastoreItem>
</file>

<file path=customXml/itemProps4.xml><?xml version="1.0" encoding="utf-8"?>
<ds:datastoreItem xmlns:ds="http://schemas.openxmlformats.org/officeDocument/2006/customXml" ds:itemID="{0655B600-B586-4C8A-A4DE-B2E90D25D853}">
  <ds:schemaRefs>
    <ds:schemaRef ds:uri="http://schemas.openxmlformats.org/officeDocument/2006/bibliography"/>
  </ds:schemaRefs>
</ds:datastoreItem>
</file>

<file path=docMetadata/LabelInfo.xml><?xml version="1.0" encoding="utf-8"?>
<clbl:labelList xmlns:clbl="http://schemas.microsoft.com/office/2020/mipLabelMetadata">
  <clbl:label id="{b24c8b06-522c-46fe-9080-70926f8dddb1}" enabled="0" method="" siteId="{b24c8b06-522c-46fe-9080-70926f8dddb1}"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18</Pages>
  <Words>14297</Words>
  <Characters>81494</Characters>
  <Application>Microsoft Office Word</Application>
  <DocSecurity>0</DocSecurity>
  <PresentationFormat>Microsoft Word 14.0</PresentationFormat>
  <Lines>679</Lines>
  <Paragraphs>191</Paragraphs>
  <ScaleCrop>true</ScaleCrop>
  <Manager/>
  <Company/>
  <LinksUpToDate>false</LinksUpToDate>
  <CharactersWithSpaces>95600</CharactersWithSpaces>
  <SharedDoc>false</SharedDoc>
  <HLinks>
    <vt:vector size="240" baseType="variant">
      <vt:variant>
        <vt:i4>1114132</vt:i4>
      </vt:variant>
      <vt:variant>
        <vt:i4>117</vt:i4>
      </vt:variant>
      <vt:variant>
        <vt:i4>0</vt:i4>
      </vt:variant>
      <vt:variant>
        <vt:i4>5</vt:i4>
      </vt:variant>
      <vt:variant>
        <vt:lpwstr>https://eur-lex.europa.eu/legal-content/EN/TXT/?uri=celex:52025PC0551</vt:lpwstr>
      </vt:variant>
      <vt:variant>
        <vt:lpwstr/>
      </vt:variant>
      <vt:variant>
        <vt:i4>4849779</vt:i4>
      </vt:variant>
      <vt:variant>
        <vt:i4>114</vt:i4>
      </vt:variant>
      <vt:variant>
        <vt:i4>0</vt:i4>
      </vt:variant>
      <vt:variant>
        <vt:i4>5</vt:i4>
      </vt:variant>
      <vt:variant>
        <vt:lpwstr>https://rural-vision.europa.eu/action-plan_en</vt:lpwstr>
      </vt:variant>
      <vt:variant>
        <vt:lpwstr/>
      </vt:variant>
      <vt:variant>
        <vt:i4>1441816</vt:i4>
      </vt:variant>
      <vt:variant>
        <vt:i4>111</vt:i4>
      </vt:variant>
      <vt:variant>
        <vt:i4>0</vt:i4>
      </vt:variant>
      <vt:variant>
        <vt:i4>5</vt:i4>
      </vt:variant>
      <vt:variant>
        <vt:lpwstr>https://www.urbanagenda.urban-initiative.eu/</vt:lpwstr>
      </vt:variant>
      <vt:variant>
        <vt:lpwstr/>
      </vt:variant>
      <vt:variant>
        <vt:i4>3801134</vt:i4>
      </vt:variant>
      <vt:variant>
        <vt:i4>108</vt:i4>
      </vt:variant>
      <vt:variant>
        <vt:i4>0</vt:i4>
      </vt:variant>
      <vt:variant>
        <vt:i4>5</vt:i4>
      </vt:variant>
      <vt:variant>
        <vt:lpwstr>https://ec.europa.eu/regional_policy/information-sources/publications/communications/2025/eu-agenda-for-cities-2025_en</vt:lpwstr>
      </vt:variant>
      <vt:variant>
        <vt:lpwstr/>
      </vt:variant>
      <vt:variant>
        <vt:i4>7274531</vt:i4>
      </vt:variant>
      <vt:variant>
        <vt:i4>105</vt:i4>
      </vt:variant>
      <vt:variant>
        <vt:i4>0</vt:i4>
      </vt:variant>
      <vt:variant>
        <vt:i4>5</vt:i4>
      </vt:variant>
      <vt:variant>
        <vt:lpwstr>https://eur-lex.europa.eu/legal-content/EN/TXT/?uri=CELEX%3A52025SC0162</vt:lpwstr>
      </vt:variant>
      <vt:variant>
        <vt:lpwstr/>
      </vt:variant>
      <vt:variant>
        <vt:i4>8060960</vt:i4>
      </vt:variant>
      <vt:variant>
        <vt:i4>102</vt:i4>
      </vt:variant>
      <vt:variant>
        <vt:i4>0</vt:i4>
      </vt:variant>
      <vt:variant>
        <vt:i4>5</vt:i4>
      </vt:variant>
      <vt:variant>
        <vt:lpwstr>https://eur-lex.europa.eu/legal-content/EN/TXT/?uri=CELEX%3A52020DC0758</vt:lpwstr>
      </vt:variant>
      <vt:variant>
        <vt:lpwstr/>
      </vt:variant>
      <vt:variant>
        <vt:i4>6422638</vt:i4>
      </vt:variant>
      <vt:variant>
        <vt:i4>99</vt:i4>
      </vt:variant>
      <vt:variant>
        <vt:i4>0</vt:i4>
      </vt:variant>
      <vt:variant>
        <vt:i4>5</vt:i4>
      </vt:variant>
      <vt:variant>
        <vt:lpwstr>http://data.europa.eu/eli/dir/2024/1233/oj</vt:lpwstr>
      </vt:variant>
      <vt:variant>
        <vt:lpwstr/>
      </vt:variant>
      <vt:variant>
        <vt:i4>2752552</vt:i4>
      </vt:variant>
      <vt:variant>
        <vt:i4>96</vt:i4>
      </vt:variant>
      <vt:variant>
        <vt:i4>0</vt:i4>
      </vt:variant>
      <vt:variant>
        <vt:i4>5</vt:i4>
      </vt:variant>
      <vt:variant>
        <vt:lpwstr>http://data.europa.eu/eli/reco/2023/2611/oj</vt:lpwstr>
      </vt:variant>
      <vt:variant>
        <vt:lpwstr/>
      </vt:variant>
      <vt:variant>
        <vt:i4>8192019</vt:i4>
      </vt:variant>
      <vt:variant>
        <vt:i4>93</vt:i4>
      </vt:variant>
      <vt:variant>
        <vt:i4>0</vt:i4>
      </vt:variant>
      <vt:variant>
        <vt:i4>5</vt:i4>
      </vt:variant>
      <vt:variant>
        <vt:lpwstr>https://commission.europa.eu/topics/research-and-innovation/choose-europe_en</vt:lpwstr>
      </vt:variant>
      <vt:variant>
        <vt:lpwstr/>
      </vt:variant>
      <vt:variant>
        <vt:i4>589841</vt:i4>
      </vt:variant>
      <vt:variant>
        <vt:i4>90</vt:i4>
      </vt:variant>
      <vt:variant>
        <vt:i4>0</vt:i4>
      </vt:variant>
      <vt:variant>
        <vt:i4>5</vt:i4>
      </vt:variant>
      <vt:variant>
        <vt:lpwstr>https://eur-lex.europa.eu/legal-content/EN/TXT/?uri=celex:52025DC0090</vt:lpwstr>
      </vt:variant>
      <vt:variant>
        <vt:lpwstr/>
      </vt:variant>
      <vt:variant>
        <vt:i4>196631</vt:i4>
      </vt:variant>
      <vt:variant>
        <vt:i4>87</vt:i4>
      </vt:variant>
      <vt:variant>
        <vt:i4>0</vt:i4>
      </vt:variant>
      <vt:variant>
        <vt:i4>5</vt:i4>
      </vt:variant>
      <vt:variant>
        <vt:lpwstr>https://eur-lex.europa.eu/legal-content/EN/TXT/?uri=celex:52023DC0032</vt:lpwstr>
      </vt:variant>
      <vt:variant>
        <vt:lpwstr/>
      </vt:variant>
      <vt:variant>
        <vt:i4>1310736</vt:i4>
      </vt:variant>
      <vt:variant>
        <vt:i4>84</vt:i4>
      </vt:variant>
      <vt:variant>
        <vt:i4>0</vt:i4>
      </vt:variant>
      <vt:variant>
        <vt:i4>5</vt:i4>
      </vt:variant>
      <vt:variant>
        <vt:lpwstr>https://eur-lex.europa.eu/legal-content/EN/TXT/?uri=celex:52025PC0101</vt:lpwstr>
      </vt:variant>
      <vt:variant>
        <vt:lpwstr/>
      </vt:variant>
      <vt:variant>
        <vt:i4>6881382</vt:i4>
      </vt:variant>
      <vt:variant>
        <vt:i4>81</vt:i4>
      </vt:variant>
      <vt:variant>
        <vt:i4>0</vt:i4>
      </vt:variant>
      <vt:variant>
        <vt:i4>5</vt:i4>
      </vt:variant>
      <vt:variant>
        <vt:lpwstr>http://data.europa.eu/eli/reg/2024/1349/oj</vt:lpwstr>
      </vt:variant>
      <vt:variant>
        <vt:lpwstr/>
      </vt:variant>
      <vt:variant>
        <vt:i4>1310736</vt:i4>
      </vt:variant>
      <vt:variant>
        <vt:i4>78</vt:i4>
      </vt:variant>
      <vt:variant>
        <vt:i4>0</vt:i4>
      </vt:variant>
      <vt:variant>
        <vt:i4>5</vt:i4>
      </vt:variant>
      <vt:variant>
        <vt:lpwstr>https://eur-lex.europa.eu/legal-content/EN/TXT/?uri=celex:52025PC0101</vt:lpwstr>
      </vt:variant>
      <vt:variant>
        <vt:lpwstr/>
      </vt:variant>
      <vt:variant>
        <vt:i4>983058</vt:i4>
      </vt:variant>
      <vt:variant>
        <vt:i4>75</vt:i4>
      </vt:variant>
      <vt:variant>
        <vt:i4>0</vt:i4>
      </vt:variant>
      <vt:variant>
        <vt:i4>5</vt:i4>
      </vt:variant>
      <vt:variant>
        <vt:lpwstr>http://data.europa.eu/eli/C/2025/5129/oj</vt:lpwstr>
      </vt:variant>
      <vt:variant>
        <vt:lpwstr/>
      </vt:variant>
      <vt:variant>
        <vt:i4>3080274</vt:i4>
      </vt:variant>
      <vt:variant>
        <vt:i4>72</vt:i4>
      </vt:variant>
      <vt:variant>
        <vt:i4>0</vt:i4>
      </vt:variant>
      <vt:variant>
        <vt:i4>5</vt:i4>
      </vt:variant>
      <vt:variant>
        <vt:lpwstr>https://research-and-innovation.ec.europa.eu/research-area/social-sciences-and-humanities/migration-and-mobility_en</vt:lpwstr>
      </vt:variant>
      <vt:variant>
        <vt:lpwstr/>
      </vt:variant>
      <vt:variant>
        <vt:i4>1572900</vt:i4>
      </vt:variant>
      <vt:variant>
        <vt:i4>69</vt:i4>
      </vt:variant>
      <vt:variant>
        <vt:i4>0</vt:i4>
      </vt:variant>
      <vt:variant>
        <vt:i4>5</vt:i4>
      </vt:variant>
      <vt:variant>
        <vt:lpwstr>http://data.europa.eu/eli/dec_impl/2025/2642/oj</vt:lpwstr>
      </vt:variant>
      <vt:variant>
        <vt:lpwstr/>
      </vt:variant>
      <vt:variant>
        <vt:i4>1114131</vt:i4>
      </vt:variant>
      <vt:variant>
        <vt:i4>66</vt:i4>
      </vt:variant>
      <vt:variant>
        <vt:i4>0</vt:i4>
      </vt:variant>
      <vt:variant>
        <vt:i4>5</vt:i4>
      </vt:variant>
      <vt:variant>
        <vt:lpwstr>https://eur-lex.europa.eu/legal-content/EN/TXT/?uri=celex:52025PC0259</vt:lpwstr>
      </vt:variant>
      <vt:variant>
        <vt:lpwstr/>
      </vt:variant>
      <vt:variant>
        <vt:i4>1835024</vt:i4>
      </vt:variant>
      <vt:variant>
        <vt:i4>63</vt:i4>
      </vt:variant>
      <vt:variant>
        <vt:i4>0</vt:i4>
      </vt:variant>
      <vt:variant>
        <vt:i4>5</vt:i4>
      </vt:variant>
      <vt:variant>
        <vt:lpwstr>https://eur-lex.europa.eu/legal-content/EN/TXT/?uri=celex:52025PC0186</vt:lpwstr>
      </vt:variant>
      <vt:variant>
        <vt:lpwstr/>
      </vt:variant>
      <vt:variant>
        <vt:i4>7798852</vt:i4>
      </vt:variant>
      <vt:variant>
        <vt:i4>60</vt:i4>
      </vt:variant>
      <vt:variant>
        <vt:i4>0</vt:i4>
      </vt:variant>
      <vt:variant>
        <vt:i4>5</vt:i4>
      </vt:variant>
      <vt:variant>
        <vt:lpwstr>https://reform-support.ec.europa.eu/our-projects/flagship-technical-support-projects/tsi-2025-flagship-supporting-member-states-implementation-new-pact-migration-and-asylum_en</vt:lpwstr>
      </vt:variant>
      <vt:variant>
        <vt:lpwstr>:~:text=This%20Flagship%20aims%20to%20provide%20tailor%20made%20expertise,Profile%20Tool%20for%20Third%20Country%20Nationals%20and%20others.</vt:lpwstr>
      </vt:variant>
      <vt:variant>
        <vt:i4>327698</vt:i4>
      </vt:variant>
      <vt:variant>
        <vt:i4>57</vt:i4>
      </vt:variant>
      <vt:variant>
        <vt:i4>0</vt:i4>
      </vt:variant>
      <vt:variant>
        <vt:i4>5</vt:i4>
      </vt:variant>
      <vt:variant>
        <vt:lpwstr>https://eur-lex.europa.eu/legal-content/EN/TXT/?uri=celex:52024DC0251</vt:lpwstr>
      </vt:variant>
      <vt:variant>
        <vt:lpwstr/>
      </vt:variant>
      <vt:variant>
        <vt:i4>6619235</vt:i4>
      </vt:variant>
      <vt:variant>
        <vt:i4>54</vt:i4>
      </vt:variant>
      <vt:variant>
        <vt:i4>0</vt:i4>
      </vt:variant>
      <vt:variant>
        <vt:i4>5</vt:i4>
      </vt:variant>
      <vt:variant>
        <vt:lpwstr>http://data.europa.eu/eli/reg/2024/1689/oj</vt:lpwstr>
      </vt:variant>
      <vt:variant>
        <vt:lpwstr/>
      </vt:variant>
      <vt:variant>
        <vt:i4>3407909</vt:i4>
      </vt:variant>
      <vt:variant>
        <vt:i4>51</vt:i4>
      </vt:variant>
      <vt:variant>
        <vt:i4>0</vt:i4>
      </vt:variant>
      <vt:variant>
        <vt:i4>5</vt:i4>
      </vt:variant>
      <vt:variant>
        <vt:lpwstr>https://data.europa.eu/doi/10.2837/0004501</vt:lpwstr>
      </vt:variant>
      <vt:variant>
        <vt:lpwstr/>
      </vt:variant>
      <vt:variant>
        <vt:i4>1245206</vt:i4>
      </vt:variant>
      <vt:variant>
        <vt:i4>48</vt:i4>
      </vt:variant>
      <vt:variant>
        <vt:i4>0</vt:i4>
      </vt:variant>
      <vt:variant>
        <vt:i4>5</vt:i4>
      </vt:variant>
      <vt:variant>
        <vt:lpwstr>https://eur-lex.europa.eu/legal-content/EN/TXT/?uri=celex:52024PC0670</vt:lpwstr>
      </vt:variant>
      <vt:variant>
        <vt:lpwstr/>
      </vt:variant>
      <vt:variant>
        <vt:i4>3670056</vt:i4>
      </vt:variant>
      <vt:variant>
        <vt:i4>45</vt:i4>
      </vt:variant>
      <vt:variant>
        <vt:i4>0</vt:i4>
      </vt:variant>
      <vt:variant>
        <vt:i4>5</vt:i4>
      </vt:variant>
      <vt:variant>
        <vt:lpwstr>https://eur-lex.europa.eu/legal-content/EN/TXT/HTML/?uri=CELEX:52024DC0570</vt:lpwstr>
      </vt:variant>
      <vt:variant>
        <vt:lpwstr/>
      </vt:variant>
      <vt:variant>
        <vt:i4>4653098</vt:i4>
      </vt:variant>
      <vt:variant>
        <vt:i4>42</vt:i4>
      </vt:variant>
      <vt:variant>
        <vt:i4>0</vt:i4>
      </vt:variant>
      <vt:variant>
        <vt:i4>5</vt:i4>
      </vt:variant>
      <vt:variant>
        <vt:lpwstr>https://international-partnerships.ec.europa.eu/policies/programming/projects/migrant-protection-return-and-reintegration-programme-sub-saharan-africa-mprr-ssa_en</vt:lpwstr>
      </vt:variant>
      <vt:variant>
        <vt:lpwstr/>
      </vt:variant>
      <vt:variant>
        <vt:i4>4325390</vt:i4>
      </vt:variant>
      <vt:variant>
        <vt:i4>39</vt:i4>
      </vt:variant>
      <vt:variant>
        <vt:i4>0</vt:i4>
      </vt:variant>
      <vt:variant>
        <vt:i4>5</vt:i4>
      </vt:variant>
      <vt:variant>
        <vt:lpwstr>http://data.europa.eu/eli/dec/2025/702/oj</vt:lpwstr>
      </vt:variant>
      <vt:variant>
        <vt:lpwstr/>
      </vt:variant>
      <vt:variant>
        <vt:i4>458845</vt:i4>
      </vt:variant>
      <vt:variant>
        <vt:i4>36</vt:i4>
      </vt:variant>
      <vt:variant>
        <vt:i4>0</vt:i4>
      </vt:variant>
      <vt:variant>
        <vt:i4>5</vt:i4>
      </vt:variant>
      <vt:variant>
        <vt:lpwstr>https://www.unhcr.org/refugee-statistics</vt:lpwstr>
      </vt:variant>
      <vt:variant>
        <vt:lpwstr/>
      </vt:variant>
      <vt:variant>
        <vt:i4>1114128</vt:i4>
      </vt:variant>
      <vt:variant>
        <vt:i4>33</vt:i4>
      </vt:variant>
      <vt:variant>
        <vt:i4>0</vt:i4>
      </vt:variant>
      <vt:variant>
        <vt:i4>5</vt:i4>
      </vt:variant>
      <vt:variant>
        <vt:lpwstr>https://eur-lex.europa.eu/legal-content/EN/TXT/?uri=celex:52023PC0755</vt:lpwstr>
      </vt:variant>
      <vt:variant>
        <vt:lpwstr/>
      </vt:variant>
      <vt:variant>
        <vt:i4>655426</vt:i4>
      </vt:variant>
      <vt:variant>
        <vt:i4>30</vt:i4>
      </vt:variant>
      <vt:variant>
        <vt:i4>0</vt:i4>
      </vt:variant>
      <vt:variant>
        <vt:i4>5</vt:i4>
      </vt:variant>
      <vt:variant>
        <vt:lpwstr>https://www.icao.int/sites/default/files/Meetings/a42/Documents/WP/wp_449_en.pdf</vt:lpwstr>
      </vt:variant>
      <vt:variant>
        <vt:lpwstr/>
      </vt:variant>
      <vt:variant>
        <vt:i4>6684799</vt:i4>
      </vt:variant>
      <vt:variant>
        <vt:i4>27</vt:i4>
      </vt:variant>
      <vt:variant>
        <vt:i4>0</vt:i4>
      </vt:variant>
      <vt:variant>
        <vt:i4>5</vt:i4>
      </vt:variant>
      <vt:variant>
        <vt:lpwstr>https://home-affairs.ec.europa.eu/system/files/2023-06/Toolbox addressing the use of commercial means of transport to facilitate irregular migration to the EU.pdf</vt:lpwstr>
      </vt:variant>
      <vt:variant>
        <vt:lpwstr/>
      </vt:variant>
      <vt:variant>
        <vt:i4>2228299</vt:i4>
      </vt:variant>
      <vt:variant>
        <vt:i4>24</vt:i4>
      </vt:variant>
      <vt:variant>
        <vt:i4>0</vt:i4>
      </vt:variant>
      <vt:variant>
        <vt:i4>5</vt:i4>
      </vt:variant>
      <vt:variant>
        <vt:lpwstr>https://ec.europa.eu/commission/presscorner/api/files/document/print/en/ip_25_2229/IP_25_2229_EN.pdf</vt:lpwstr>
      </vt:variant>
      <vt:variant>
        <vt:lpwstr/>
      </vt:variant>
      <vt:variant>
        <vt:i4>3604529</vt:i4>
      </vt:variant>
      <vt:variant>
        <vt:i4>21</vt:i4>
      </vt:variant>
      <vt:variant>
        <vt:i4>0</vt:i4>
      </vt:variant>
      <vt:variant>
        <vt:i4>5</vt:i4>
      </vt:variant>
      <vt:variant>
        <vt:lpwstr>https://home-affairs.ec.europa.eu/document/download/54b4208d-d928-4177-aac3-c70c4f6b2745_en?filename=Global%20Alliance%20Joint%20Declaration_final.pdf</vt:lpwstr>
      </vt:variant>
      <vt:variant>
        <vt:lpwstr/>
      </vt:variant>
      <vt:variant>
        <vt:i4>4653098</vt:i4>
      </vt:variant>
      <vt:variant>
        <vt:i4>18</vt:i4>
      </vt:variant>
      <vt:variant>
        <vt:i4>0</vt:i4>
      </vt:variant>
      <vt:variant>
        <vt:i4>5</vt:i4>
      </vt:variant>
      <vt:variant>
        <vt:lpwstr>https://international-partnerships.ec.europa.eu/policies/programming/projects/migrant-protection-return-and-reintegration-programme-sub-saharan-africa-mprr-ssa_en</vt:lpwstr>
      </vt:variant>
      <vt:variant>
        <vt:lpwstr/>
      </vt:variant>
      <vt:variant>
        <vt:i4>4915290</vt:i4>
      </vt:variant>
      <vt:variant>
        <vt:i4>15</vt:i4>
      </vt:variant>
      <vt:variant>
        <vt:i4>0</vt:i4>
      </vt:variant>
      <vt:variant>
        <vt:i4>5</vt:i4>
      </vt:variant>
      <vt:variant>
        <vt:lpwstr>https://www.coe.int/en/web/portal/-/migration-challenges-council-of-europe-ministers-call-for-political-declaration-on-rights</vt:lpwstr>
      </vt:variant>
      <vt:variant>
        <vt:lpwstr/>
      </vt:variant>
      <vt:variant>
        <vt:i4>3801123</vt:i4>
      </vt:variant>
      <vt:variant>
        <vt:i4>12</vt:i4>
      </vt:variant>
      <vt:variant>
        <vt:i4>0</vt:i4>
      </vt:variant>
      <vt:variant>
        <vt:i4>5</vt:i4>
      </vt:variant>
      <vt:variant>
        <vt:lpwstr>https://eur-lex.europa.eu/legal-content/EN/TXT/HTML/?uri=CELEX:52025JC0026</vt:lpwstr>
      </vt:variant>
      <vt:variant>
        <vt:lpwstr/>
      </vt:variant>
      <vt:variant>
        <vt:i4>6815854</vt:i4>
      </vt:variant>
      <vt:variant>
        <vt:i4>9</vt:i4>
      </vt:variant>
      <vt:variant>
        <vt:i4>0</vt:i4>
      </vt:variant>
      <vt:variant>
        <vt:i4>5</vt:i4>
      </vt:variant>
      <vt:variant>
        <vt:lpwstr>http://data.europa.eu/eli/reg/2024/1351/oj</vt:lpwstr>
      </vt:variant>
      <vt:variant>
        <vt:lpwstr/>
      </vt:variant>
      <vt:variant>
        <vt:i4>3866643</vt:i4>
      </vt:variant>
      <vt:variant>
        <vt:i4>6</vt:i4>
      </vt:variant>
      <vt:variant>
        <vt:i4>0</vt:i4>
      </vt:variant>
      <vt:variant>
        <vt:i4>5</vt:i4>
      </vt:variant>
      <vt:variant>
        <vt:lpwstr>https://ec.europa.eu/eurostat/statistics-explained/index.php?title=Residence_permits_%E2%80%93_statistics_on_authorisations_to_reside_and_work</vt:lpwstr>
      </vt:variant>
      <vt:variant>
        <vt:lpwstr/>
      </vt:variant>
      <vt:variant>
        <vt:i4>4522014</vt:i4>
      </vt:variant>
      <vt:variant>
        <vt:i4>3</vt:i4>
      </vt:variant>
      <vt:variant>
        <vt:i4>0</vt:i4>
      </vt:variant>
      <vt:variant>
        <vt:i4>5</vt:i4>
      </vt:variant>
      <vt:variant>
        <vt:lpwstr>https://ec.europa.eu/eurostat/web/interactive-publications/migration-2025</vt:lpwstr>
      </vt:variant>
      <vt:variant>
        <vt:lpwstr>international-protection</vt:lpwstr>
      </vt:variant>
      <vt:variant>
        <vt:i4>3735659</vt:i4>
      </vt:variant>
      <vt:variant>
        <vt:i4>0</vt:i4>
      </vt:variant>
      <vt:variant>
        <vt:i4>0</vt:i4>
      </vt:variant>
      <vt:variant>
        <vt:i4>5</vt:i4>
      </vt:variant>
      <vt:variant>
        <vt:lpwstr>https://ec.europa.eu/eurostat/statistics-explained/index.php?title=Temporary_protection_for_persons_fleeing_Ukraine_-_monthly_statistics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2026-01-27T16:00:00Z</dcterms:created>
  <dcterms:modified xsi:type="dcterms:W3CDTF">2026-02-24T16:33:00Z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2026-01-27T14:49:14Z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e43df963-c21b-4c60-b902-90f4a2c3375d</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CP-012</vt:lpwstr>
  </property>
</Properties>
</file>