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293F99" w14:textId="0C5FD04B" w:rsidR="004176F3" w:rsidRDefault="00615A0C" w:rsidP="00615A0C">
      <w:pPr>
        <w:pStyle w:val="Pagedecouverture"/>
        <w:rPr>
          <w:noProof/>
        </w:rPr>
      </w:pPr>
      <w:bookmarkStart w:id="0" w:name="LW_BM_COVERPAGE"/>
      <w:r>
        <w:rPr>
          <w:noProof/>
        </w:rPr>
        <w:pict w14:anchorId="6178B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93205E3B-E5B9-435D-AE5A-F8A0C105130B" style="width:455.25pt;height:371.25pt">
            <v:imagedata r:id="rId11" o:title=""/>
          </v:shape>
        </w:pict>
      </w:r>
    </w:p>
    <w:bookmarkEnd w:id="0"/>
    <w:p w14:paraId="2639861B" w14:textId="69EA8CF5" w:rsidR="00302641" w:rsidRDefault="00302641" w:rsidP="00302641">
      <w:pPr>
        <w:rPr>
          <w:noProof/>
        </w:rPr>
        <w:sectPr w:rsidR="00302641" w:rsidSect="00615A0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6C744EB" w14:textId="6C92803F" w:rsidR="00663AC2" w:rsidRPr="006A6461" w:rsidRDefault="00663AC2" w:rsidP="00257B29">
      <w:pPr>
        <w:pStyle w:val="Pagedecouverture"/>
        <w:rPr>
          <w:noProof/>
          <w:szCs w:val="24"/>
        </w:rPr>
      </w:pPr>
      <w:bookmarkStart w:id="1" w:name="_GoBack"/>
      <w:bookmarkEnd w:id="1"/>
      <w:r>
        <w:rPr>
          <w:noProof/>
        </w:rPr>
        <w:lastRenderedPageBreak/>
        <w:t>Vu:</w:t>
      </w:r>
    </w:p>
    <w:p w14:paraId="2C3C4B48" w14:textId="77777777" w:rsidR="00D1196C" w:rsidRPr="006A6461" w:rsidRDefault="00D1196C" w:rsidP="00D1196C">
      <w:pPr>
        <w:pStyle w:val="Tiret0"/>
        <w:rPr>
          <w:noProof/>
        </w:rPr>
      </w:pPr>
      <w:r>
        <w:rPr>
          <w:noProof/>
        </w:rPr>
        <w:t>le traité sur le fonctionnement de l’Union européenne, et notamment son article 314, lu en combinaison avec le traité instituant la Communauté européenne de l'énergie atomique, et notamment son article 106 </w:t>
      </w:r>
      <w:r>
        <w:rPr>
          <w:i/>
          <w:iCs/>
          <w:noProof/>
        </w:rPr>
        <w:t>bis</w:t>
      </w:r>
      <w:r>
        <w:rPr>
          <w:noProof/>
        </w:rPr>
        <w:t>,</w:t>
      </w:r>
    </w:p>
    <w:p w14:paraId="2020DB21" w14:textId="77777777" w:rsidR="00D1196C" w:rsidRPr="006A6461" w:rsidRDefault="00D1196C" w:rsidP="00D1196C">
      <w:pPr>
        <w:pStyle w:val="Tiret0"/>
        <w:rPr>
          <w:noProof/>
        </w:rPr>
      </w:pPr>
      <w:r>
        <w:rPr>
          <w:noProof/>
        </w:rPr>
        <w:t>la décision (UE, Euratom) 2020/2053 du Conseil du 14 décembre 2020 relative au système des ressources propres de l’Union européenne</w:t>
      </w:r>
      <w:r w:rsidRPr="006A6461">
        <w:rPr>
          <w:rStyle w:val="FootnoteReference"/>
          <w:noProof/>
        </w:rPr>
        <w:footnoteReference w:id="2"/>
      </w:r>
      <w:r>
        <w:rPr>
          <w:noProof/>
        </w:rPr>
        <w:t>, entrée en vigueur le 1</w:t>
      </w:r>
      <w:r>
        <w:rPr>
          <w:noProof/>
          <w:vertAlign w:val="superscript"/>
        </w:rPr>
        <w:t>er</w:t>
      </w:r>
      <w:r>
        <w:rPr>
          <w:noProof/>
        </w:rPr>
        <w:t> juin 2021,</w:t>
      </w:r>
    </w:p>
    <w:p w14:paraId="4FA4D118" w14:textId="77777777" w:rsidR="0012781C" w:rsidRPr="00FB236E" w:rsidRDefault="0012781C" w:rsidP="0012781C">
      <w:pPr>
        <w:pStyle w:val="Tiret0"/>
        <w:numPr>
          <w:ilvl w:val="0"/>
          <w:numId w:val="33"/>
        </w:numPr>
        <w:ind w:left="851" w:hanging="851"/>
        <w:rPr>
          <w:noProof/>
        </w:rPr>
      </w:pPr>
      <w:r>
        <w:rPr>
          <w:noProof/>
        </w:rPr>
        <w:t>le règlement (UE, Euratom) 2024/2509 du Parlement européen et du Conseil du 23 septembre 2024 relatif aux règles financières applicables au budget général de l’Union (refonte)</w:t>
      </w:r>
      <w:r w:rsidRPr="00A35074">
        <w:rPr>
          <w:noProof/>
          <w:vertAlign w:val="superscript"/>
        </w:rPr>
        <w:footnoteReference w:id="3"/>
      </w:r>
      <w:r>
        <w:rPr>
          <w:noProof/>
        </w:rPr>
        <w:t>, et notamment son article 44,</w:t>
      </w:r>
    </w:p>
    <w:p w14:paraId="3AD46487" w14:textId="228878BF" w:rsidR="00625016" w:rsidRPr="006A6461" w:rsidRDefault="0012781C" w:rsidP="00A52E9C">
      <w:pPr>
        <w:pStyle w:val="Tiret0"/>
        <w:numPr>
          <w:ilvl w:val="0"/>
          <w:numId w:val="33"/>
        </w:numPr>
        <w:ind w:left="851" w:hanging="851"/>
        <w:rPr>
          <w:noProof/>
        </w:rPr>
      </w:pPr>
      <w:r>
        <w:rPr>
          <w:noProof/>
        </w:rPr>
        <w:t>le budget général de l’Union européenne pour l’exercice 2026, adopté le 26 novembre 2025</w:t>
      </w:r>
      <w:r>
        <w:rPr>
          <w:rStyle w:val="FootnoteReference"/>
          <w:noProof/>
        </w:rPr>
        <w:footnoteReference w:id="4"/>
      </w:r>
      <w:r>
        <w:rPr>
          <w:noProof/>
        </w:rPr>
        <w:t>,</w:t>
      </w:r>
    </w:p>
    <w:p w14:paraId="46AC474D" w14:textId="4FAE5868" w:rsidR="00D1196C" w:rsidRPr="000D4C08" w:rsidRDefault="6EDBFC7B" w:rsidP="00D1196C">
      <w:pPr>
        <w:pStyle w:val="Tiret0"/>
        <w:rPr>
          <w:noProof/>
        </w:rPr>
      </w:pPr>
      <w:r>
        <w:rPr>
          <w:noProof/>
        </w:rPr>
        <w:t>le projet de budget rectificatif nº 1/2026, adopté le 10 avril 2026</w:t>
      </w:r>
      <w:r w:rsidR="00F94105" w:rsidRPr="000D4C08">
        <w:rPr>
          <w:rStyle w:val="FootnoteReference"/>
          <w:noProof/>
        </w:rPr>
        <w:footnoteReference w:id="5"/>
      </w:r>
      <w:r>
        <w:rPr>
          <w:noProof/>
        </w:rPr>
        <w:t>,</w:t>
      </w:r>
    </w:p>
    <w:p w14:paraId="08866B31" w14:textId="744088EF" w:rsidR="00663AC2" w:rsidRPr="006A6461" w:rsidRDefault="00663AC2" w:rsidP="00663AC2">
      <w:pPr>
        <w:rPr>
          <w:rFonts w:ascii="Times New Roman" w:hAnsi="Times New Roman" w:cs="Times New Roman"/>
          <w:noProof/>
          <w:sz w:val="24"/>
          <w:szCs w:val="24"/>
        </w:rPr>
      </w:pPr>
      <w:r>
        <w:rPr>
          <w:rFonts w:ascii="Times New Roman" w:hAnsi="Times New Roman"/>
          <w:noProof/>
          <w:sz w:val="24"/>
        </w:rPr>
        <w:t>la Commission européenne présente ci-après au Parlement européen et au Conseil le projet de budget rectificatif nº 2 au budget 2026.</w:t>
      </w:r>
    </w:p>
    <w:p w14:paraId="27CAFC43" w14:textId="77777777" w:rsidR="00DE2FF0" w:rsidRPr="006A6461" w:rsidRDefault="00DE2FF0" w:rsidP="568A9AE5">
      <w:pPr>
        <w:spacing w:after="0" w:line="240" w:lineRule="auto"/>
        <w:rPr>
          <w:rFonts w:ascii="Times New Roman" w:eastAsia="Times New Roman" w:hAnsi="Times New Roman" w:cs="Times New Roman"/>
          <w:b/>
          <w:bCs/>
          <w:noProof/>
          <w:sz w:val="24"/>
          <w:szCs w:val="24"/>
          <w:highlight w:val="yellow"/>
          <w:u w:val="single"/>
          <w:lang w:eastAsia="en-GB"/>
        </w:rPr>
      </w:pPr>
    </w:p>
    <w:p w14:paraId="313C586E" w14:textId="77777777" w:rsidR="00DE2FF0" w:rsidRPr="006A6461" w:rsidRDefault="00DE2FF0" w:rsidP="568A9AE5">
      <w:pPr>
        <w:spacing w:after="0" w:line="240" w:lineRule="auto"/>
        <w:jc w:val="both"/>
        <w:rPr>
          <w:rFonts w:ascii="Times New Roman" w:eastAsia="Times New Roman" w:hAnsi="Times New Roman" w:cs="Times New Roman"/>
          <w:b/>
          <w:bCs/>
          <w:noProof/>
          <w:sz w:val="24"/>
          <w:szCs w:val="24"/>
          <w:u w:val="single"/>
        </w:rPr>
      </w:pPr>
      <w:r>
        <w:rPr>
          <w:rFonts w:ascii="Times New Roman" w:hAnsi="Times New Roman"/>
          <w:b/>
          <w:noProof/>
          <w:sz w:val="24"/>
          <w:u w:val="single"/>
        </w:rPr>
        <w:t>MODIFICATIONS À L’ÉTAT DES RECETTES ET DES DÉPENSES PAR SECTION</w:t>
      </w:r>
    </w:p>
    <w:p w14:paraId="73192F60" w14:textId="77777777" w:rsidR="00DE2FF0" w:rsidRPr="006A6461" w:rsidRDefault="00DE2FF0" w:rsidP="00DE2FF0">
      <w:pPr>
        <w:spacing w:after="0" w:line="240" w:lineRule="auto"/>
        <w:rPr>
          <w:rFonts w:ascii="Times New Roman" w:eastAsia="Times New Roman" w:hAnsi="Times New Roman" w:cs="Times New Roman"/>
          <w:b/>
          <w:noProof/>
          <w:sz w:val="24"/>
          <w:szCs w:val="24"/>
          <w:u w:val="single"/>
          <w:lang w:eastAsia="ko-KR"/>
        </w:rPr>
      </w:pPr>
    </w:p>
    <w:p w14:paraId="283B77A7" w14:textId="77777777" w:rsidR="00663AC2" w:rsidRPr="006A6461" w:rsidRDefault="00663AC2" w:rsidP="00663AC2">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Les modifications apportées à l’état général des recettes et en particulier à la section III sont disponibles sur EUR-Lex (</w:t>
      </w:r>
      <w:hyperlink r:id="rId18" w:history="1">
        <w:r>
          <w:rPr>
            <w:rFonts w:ascii="Times New Roman" w:hAnsi="Times New Roman"/>
            <w:noProof/>
            <w:color w:val="0000FF"/>
            <w:sz w:val="24"/>
            <w:u w:val="single"/>
          </w:rPr>
          <w:t>https://eur-lex.europa.eu/budget/www/index-fr.htm</w:t>
        </w:r>
      </w:hyperlink>
      <w:r>
        <w:rPr>
          <w:rFonts w:ascii="Times New Roman" w:hAnsi="Times New Roman"/>
          <w:noProof/>
          <w:sz w:val="24"/>
        </w:rPr>
        <w:t>).</w:t>
      </w:r>
    </w:p>
    <w:p w14:paraId="0C6A0C3A" w14:textId="77777777" w:rsidR="004C5ECE" w:rsidRPr="006A6461" w:rsidRDefault="004C5ECE" w:rsidP="004C5ECE">
      <w:pPr>
        <w:spacing w:after="0" w:line="240" w:lineRule="auto"/>
        <w:rPr>
          <w:rFonts w:ascii="Times New Roman" w:eastAsia="Times New Roman" w:hAnsi="Times New Roman" w:cs="Times New Roman"/>
          <w:noProof/>
          <w:sz w:val="24"/>
          <w:szCs w:val="24"/>
          <w:lang w:eastAsia="en-GB"/>
        </w:rPr>
        <w:sectPr w:rsidR="004C5ECE" w:rsidRPr="006A6461">
          <w:headerReference w:type="even" r:id="rId19"/>
          <w:headerReference w:type="default" r:id="rId20"/>
          <w:footerReference w:type="even" r:id="rId21"/>
          <w:footerReference w:type="default" r:id="rId22"/>
          <w:headerReference w:type="first" r:id="rId23"/>
          <w:footerReference w:type="first" r:id="rId24"/>
          <w:pgSz w:w="11907" w:h="16839"/>
          <w:pgMar w:top="1134" w:right="1417" w:bottom="1134" w:left="1417" w:header="709" w:footer="709" w:gutter="0"/>
          <w:cols w:space="708"/>
          <w:docGrid w:linePitch="360"/>
        </w:sectPr>
      </w:pPr>
    </w:p>
    <w:bookmarkStart w:id="2" w:name="_Toc35506109" w:displacedByCustomXml="next"/>
    <w:bookmarkStart w:id="3" w:name="_Toc12621018" w:displacedByCustomXml="next"/>
    <w:bookmarkStart w:id="4" w:name="_Toc514181802" w:displacedByCustomXml="next"/>
    <w:sdt>
      <w:sdtPr>
        <w:rPr>
          <w:rFonts w:asciiTheme="minorHAnsi" w:eastAsiaTheme="minorEastAsia" w:hAnsiTheme="minorHAnsi" w:cstheme="minorBidi"/>
          <w:b w:val="0"/>
          <w:noProof/>
          <w:sz w:val="22"/>
          <w:szCs w:val="22"/>
          <w:lang w:eastAsia="en-US"/>
        </w:rPr>
        <w:id w:val="-1999869514"/>
        <w:docPartObj>
          <w:docPartGallery w:val="Table of Contents"/>
          <w:docPartUnique/>
        </w:docPartObj>
      </w:sdtPr>
      <w:sdtEndPr/>
      <w:sdtContent>
        <w:p w14:paraId="3C9BF4A6" w14:textId="3AD79389" w:rsidR="00C45FCA" w:rsidRDefault="00C45FCA">
          <w:pPr>
            <w:pStyle w:val="TOCHeading"/>
            <w:rPr>
              <w:noProof/>
            </w:rPr>
          </w:pPr>
          <w:r>
            <w:rPr>
              <w:noProof/>
            </w:rPr>
            <w:t>Table des matières</w:t>
          </w:r>
        </w:p>
        <w:p w14:paraId="34802A80" w14:textId="612EAB5E" w:rsidR="0014562B" w:rsidRDefault="00C45FCA">
          <w:pPr>
            <w:pStyle w:val="TOC1"/>
            <w:tabs>
              <w:tab w:val="left" w:pos="480"/>
              <w:tab w:val="right" w:leader="dot" w:pos="9855"/>
            </w:tabs>
            <w:rPr>
              <w:rFonts w:asciiTheme="minorHAnsi" w:eastAsiaTheme="minorEastAsia" w:hAnsiTheme="minorHAnsi" w:cstheme="minorBidi"/>
              <w:b w:val="0"/>
              <w:bCs w:val="0"/>
              <w:caps w:val="0"/>
              <w:noProof/>
              <w:kern w:val="2"/>
              <w:sz w:val="24"/>
              <w:szCs w:val="24"/>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32755293" w:history="1">
            <w:r w:rsidR="0014562B" w:rsidRPr="00161F51">
              <w:rPr>
                <w:rStyle w:val="Hyperlink"/>
                <w:noProof/>
              </w:rPr>
              <w:t>1.</w:t>
            </w:r>
            <w:r w:rsidR="0014562B">
              <w:rPr>
                <w:rFonts w:asciiTheme="minorHAnsi" w:eastAsiaTheme="minorEastAsia" w:hAnsiTheme="minorHAnsi" w:cstheme="minorBidi"/>
                <w:b w:val="0"/>
                <w:bCs w:val="0"/>
                <w:caps w:val="0"/>
                <w:noProof/>
                <w:kern w:val="2"/>
                <w:sz w:val="24"/>
                <w:szCs w:val="24"/>
                <w:lang w:val="en-IE" w:eastAsia="en-IE"/>
                <w14:ligatures w14:val="standardContextual"/>
              </w:rPr>
              <w:tab/>
            </w:r>
            <w:r w:rsidR="0014562B" w:rsidRPr="00161F51">
              <w:rPr>
                <w:rStyle w:val="Hyperlink"/>
                <w:noProof/>
              </w:rPr>
              <w:t>Introduction</w:t>
            </w:r>
            <w:r w:rsidR="0014562B">
              <w:rPr>
                <w:noProof/>
                <w:webHidden/>
              </w:rPr>
              <w:tab/>
            </w:r>
            <w:r w:rsidR="0014562B">
              <w:rPr>
                <w:noProof/>
                <w:webHidden/>
              </w:rPr>
              <w:fldChar w:fldCharType="begin"/>
            </w:r>
            <w:r w:rsidR="0014562B">
              <w:rPr>
                <w:noProof/>
                <w:webHidden/>
              </w:rPr>
              <w:instrText xml:space="preserve"> PAGEREF _Toc232755293 \h </w:instrText>
            </w:r>
            <w:r w:rsidR="0014562B">
              <w:rPr>
                <w:noProof/>
                <w:webHidden/>
              </w:rPr>
            </w:r>
            <w:r w:rsidR="0014562B">
              <w:rPr>
                <w:noProof/>
                <w:webHidden/>
              </w:rPr>
              <w:fldChar w:fldCharType="separate"/>
            </w:r>
            <w:r w:rsidR="00102249">
              <w:rPr>
                <w:noProof/>
                <w:webHidden/>
              </w:rPr>
              <w:t>3</w:t>
            </w:r>
            <w:r w:rsidR="0014562B">
              <w:rPr>
                <w:noProof/>
                <w:webHidden/>
              </w:rPr>
              <w:fldChar w:fldCharType="end"/>
            </w:r>
          </w:hyperlink>
        </w:p>
        <w:p w14:paraId="33EB52F5" w14:textId="7390949F" w:rsidR="0014562B" w:rsidRDefault="00615A0C">
          <w:pPr>
            <w:pStyle w:val="TOC1"/>
            <w:tabs>
              <w:tab w:val="left" w:pos="480"/>
              <w:tab w:val="right" w:leader="dot" w:pos="9855"/>
            </w:tabs>
            <w:rPr>
              <w:rFonts w:asciiTheme="minorHAnsi" w:eastAsiaTheme="minorEastAsia" w:hAnsiTheme="minorHAnsi" w:cstheme="minorBidi"/>
              <w:b w:val="0"/>
              <w:bCs w:val="0"/>
              <w:caps w:val="0"/>
              <w:noProof/>
              <w:kern w:val="2"/>
              <w:sz w:val="24"/>
              <w:szCs w:val="24"/>
              <w:lang w:val="en-IE" w:eastAsia="en-IE"/>
              <w14:ligatures w14:val="standardContextual"/>
            </w:rPr>
          </w:pPr>
          <w:hyperlink w:anchor="_Toc232755294" w:history="1">
            <w:r w:rsidR="0014562B" w:rsidRPr="00161F51">
              <w:rPr>
                <w:rStyle w:val="Hyperlink"/>
                <w:noProof/>
              </w:rPr>
              <w:t>2.</w:t>
            </w:r>
            <w:r w:rsidR="0014562B">
              <w:rPr>
                <w:rFonts w:asciiTheme="minorHAnsi" w:eastAsiaTheme="minorEastAsia" w:hAnsiTheme="minorHAnsi" w:cstheme="minorBidi"/>
                <w:b w:val="0"/>
                <w:bCs w:val="0"/>
                <w:caps w:val="0"/>
                <w:noProof/>
                <w:kern w:val="2"/>
                <w:sz w:val="24"/>
                <w:szCs w:val="24"/>
                <w:lang w:val="en-IE" w:eastAsia="en-IE"/>
                <w14:ligatures w14:val="standardContextual"/>
              </w:rPr>
              <w:tab/>
            </w:r>
            <w:r w:rsidR="0014562B" w:rsidRPr="00161F51">
              <w:rPr>
                <w:rStyle w:val="Hyperlink"/>
                <w:noProof/>
              </w:rPr>
              <w:t>Mise à jour des recettes</w:t>
            </w:r>
            <w:r w:rsidR="0014562B">
              <w:rPr>
                <w:noProof/>
                <w:webHidden/>
              </w:rPr>
              <w:tab/>
            </w:r>
            <w:r w:rsidR="0014562B">
              <w:rPr>
                <w:noProof/>
                <w:webHidden/>
              </w:rPr>
              <w:fldChar w:fldCharType="begin"/>
            </w:r>
            <w:r w:rsidR="0014562B">
              <w:rPr>
                <w:noProof/>
                <w:webHidden/>
              </w:rPr>
              <w:instrText xml:space="preserve"> PAGEREF _Toc232755294 \h </w:instrText>
            </w:r>
            <w:r w:rsidR="0014562B">
              <w:rPr>
                <w:noProof/>
                <w:webHidden/>
              </w:rPr>
            </w:r>
            <w:r w:rsidR="0014562B">
              <w:rPr>
                <w:noProof/>
                <w:webHidden/>
              </w:rPr>
              <w:fldChar w:fldCharType="separate"/>
            </w:r>
            <w:r w:rsidR="00102249">
              <w:rPr>
                <w:noProof/>
                <w:webHidden/>
              </w:rPr>
              <w:t>4</w:t>
            </w:r>
            <w:r w:rsidR="0014562B">
              <w:rPr>
                <w:noProof/>
                <w:webHidden/>
              </w:rPr>
              <w:fldChar w:fldCharType="end"/>
            </w:r>
          </w:hyperlink>
        </w:p>
        <w:p w14:paraId="65DA4E67" w14:textId="127328BF" w:rsidR="0014562B" w:rsidRPr="0014562B" w:rsidRDefault="00615A0C">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2755295" w:history="1">
            <w:r w:rsidR="0014562B" w:rsidRPr="0014562B">
              <w:rPr>
                <w:rStyle w:val="Hyperlink"/>
                <w:noProof/>
              </w:rPr>
              <w:t>2.1</w:t>
            </w:r>
            <w:r w:rsidR="0014562B" w:rsidRPr="0014562B">
              <w:rPr>
                <w:rFonts w:asciiTheme="minorHAnsi" w:eastAsiaTheme="minorEastAsia" w:hAnsiTheme="minorHAnsi" w:cstheme="minorBidi"/>
                <w:smallCaps w:val="0"/>
                <w:noProof/>
                <w:kern w:val="2"/>
                <w:sz w:val="24"/>
                <w:szCs w:val="24"/>
                <w:lang w:val="en-IE" w:eastAsia="en-IE"/>
                <w14:ligatures w14:val="standardContextual"/>
              </w:rPr>
              <w:tab/>
            </w:r>
            <w:r w:rsidR="0014562B" w:rsidRPr="0014562B">
              <w:rPr>
                <w:rStyle w:val="Hyperlink"/>
                <w:noProof/>
              </w:rPr>
              <w:t>Incidence globale du PBR nº 2/2026 sur la répartition, entre États membres, de l’ensemble des versements de ressources propres</w:t>
            </w:r>
            <w:r w:rsidR="0014562B" w:rsidRPr="0014562B">
              <w:rPr>
                <w:noProof/>
                <w:webHidden/>
              </w:rPr>
              <w:tab/>
            </w:r>
            <w:r w:rsidR="0014562B" w:rsidRPr="0014562B">
              <w:rPr>
                <w:noProof/>
                <w:webHidden/>
              </w:rPr>
              <w:fldChar w:fldCharType="begin"/>
            </w:r>
            <w:r w:rsidR="0014562B" w:rsidRPr="0014562B">
              <w:rPr>
                <w:noProof/>
                <w:webHidden/>
              </w:rPr>
              <w:instrText xml:space="preserve"> PAGEREF _Toc232755295 \h </w:instrText>
            </w:r>
            <w:r w:rsidR="0014562B" w:rsidRPr="0014562B">
              <w:rPr>
                <w:noProof/>
                <w:webHidden/>
              </w:rPr>
            </w:r>
            <w:r w:rsidR="0014562B" w:rsidRPr="0014562B">
              <w:rPr>
                <w:noProof/>
                <w:webHidden/>
              </w:rPr>
              <w:fldChar w:fldCharType="separate"/>
            </w:r>
            <w:r w:rsidR="00102249">
              <w:rPr>
                <w:noProof/>
                <w:webHidden/>
              </w:rPr>
              <w:t>4</w:t>
            </w:r>
            <w:r w:rsidR="0014562B" w:rsidRPr="0014562B">
              <w:rPr>
                <w:noProof/>
                <w:webHidden/>
              </w:rPr>
              <w:fldChar w:fldCharType="end"/>
            </w:r>
          </w:hyperlink>
        </w:p>
        <w:p w14:paraId="02FEB79D" w14:textId="67F4BC96" w:rsidR="0014562B" w:rsidRPr="0014562B" w:rsidRDefault="00615A0C">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2755296" w:history="1">
            <w:r w:rsidR="0014562B" w:rsidRPr="0014562B">
              <w:rPr>
                <w:rStyle w:val="Hyperlink"/>
                <w:noProof/>
              </w:rPr>
              <w:t>2.2</w:t>
            </w:r>
            <w:r w:rsidR="0014562B" w:rsidRPr="0014562B">
              <w:rPr>
                <w:rFonts w:asciiTheme="minorHAnsi" w:eastAsiaTheme="minorEastAsia" w:hAnsiTheme="minorHAnsi" w:cstheme="minorBidi"/>
                <w:smallCaps w:val="0"/>
                <w:noProof/>
                <w:kern w:val="2"/>
                <w:sz w:val="24"/>
                <w:szCs w:val="24"/>
                <w:lang w:val="en-IE" w:eastAsia="en-IE"/>
                <w14:ligatures w14:val="standardContextual"/>
              </w:rPr>
              <w:tab/>
            </w:r>
            <w:r w:rsidR="0014562B" w:rsidRPr="0014562B">
              <w:rPr>
                <w:rStyle w:val="Hyperlink"/>
                <w:noProof/>
              </w:rPr>
              <w:t>Révision des prévisions relatives aux RPT et aux assiettes TVA, DEP et RNB</w:t>
            </w:r>
            <w:r w:rsidR="0014562B" w:rsidRPr="0014562B">
              <w:rPr>
                <w:noProof/>
                <w:webHidden/>
              </w:rPr>
              <w:tab/>
            </w:r>
            <w:r w:rsidR="0014562B" w:rsidRPr="0014562B">
              <w:rPr>
                <w:noProof/>
                <w:webHidden/>
              </w:rPr>
              <w:fldChar w:fldCharType="begin"/>
            </w:r>
            <w:r w:rsidR="0014562B" w:rsidRPr="0014562B">
              <w:rPr>
                <w:noProof/>
                <w:webHidden/>
              </w:rPr>
              <w:instrText xml:space="preserve"> PAGEREF _Toc232755296 \h </w:instrText>
            </w:r>
            <w:r w:rsidR="0014562B" w:rsidRPr="0014562B">
              <w:rPr>
                <w:noProof/>
                <w:webHidden/>
              </w:rPr>
            </w:r>
            <w:r w:rsidR="0014562B" w:rsidRPr="0014562B">
              <w:rPr>
                <w:noProof/>
                <w:webHidden/>
              </w:rPr>
              <w:fldChar w:fldCharType="separate"/>
            </w:r>
            <w:r w:rsidR="00102249">
              <w:rPr>
                <w:noProof/>
                <w:webHidden/>
              </w:rPr>
              <w:t>5</w:t>
            </w:r>
            <w:r w:rsidR="0014562B" w:rsidRPr="0014562B">
              <w:rPr>
                <w:noProof/>
                <w:webHidden/>
              </w:rPr>
              <w:fldChar w:fldCharType="end"/>
            </w:r>
          </w:hyperlink>
        </w:p>
        <w:p w14:paraId="00D6AE9F" w14:textId="780AD662" w:rsidR="0014562B" w:rsidRPr="0014562B" w:rsidRDefault="00615A0C">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2755297" w:history="1">
            <w:r w:rsidR="0014562B" w:rsidRPr="0014562B">
              <w:rPr>
                <w:rStyle w:val="Hyperlink"/>
                <w:noProof/>
              </w:rPr>
              <w:t>2.3</w:t>
            </w:r>
            <w:r w:rsidR="0014562B" w:rsidRPr="0014562B">
              <w:rPr>
                <w:rFonts w:asciiTheme="minorHAnsi" w:eastAsiaTheme="minorEastAsia" w:hAnsiTheme="minorHAnsi" w:cstheme="minorBidi"/>
                <w:smallCaps w:val="0"/>
                <w:noProof/>
                <w:kern w:val="2"/>
                <w:sz w:val="24"/>
                <w:szCs w:val="24"/>
                <w:lang w:val="en-IE" w:eastAsia="en-IE"/>
                <w14:ligatures w14:val="standardContextual"/>
              </w:rPr>
              <w:tab/>
            </w:r>
            <w:r w:rsidR="0014562B" w:rsidRPr="0014562B">
              <w:rPr>
                <w:rStyle w:val="Hyperlink"/>
                <w:noProof/>
              </w:rPr>
              <w:t>Contribution du Royaume-Uni</w:t>
            </w:r>
            <w:r w:rsidR="0014562B" w:rsidRPr="0014562B">
              <w:rPr>
                <w:noProof/>
                <w:webHidden/>
              </w:rPr>
              <w:tab/>
            </w:r>
            <w:r w:rsidR="0014562B" w:rsidRPr="0014562B">
              <w:rPr>
                <w:noProof/>
                <w:webHidden/>
              </w:rPr>
              <w:fldChar w:fldCharType="begin"/>
            </w:r>
            <w:r w:rsidR="0014562B" w:rsidRPr="0014562B">
              <w:rPr>
                <w:noProof/>
                <w:webHidden/>
              </w:rPr>
              <w:instrText xml:space="preserve"> PAGEREF _Toc232755297 \h </w:instrText>
            </w:r>
            <w:r w:rsidR="0014562B" w:rsidRPr="0014562B">
              <w:rPr>
                <w:noProof/>
                <w:webHidden/>
              </w:rPr>
            </w:r>
            <w:r w:rsidR="0014562B" w:rsidRPr="0014562B">
              <w:rPr>
                <w:noProof/>
                <w:webHidden/>
              </w:rPr>
              <w:fldChar w:fldCharType="separate"/>
            </w:r>
            <w:r w:rsidR="00102249">
              <w:rPr>
                <w:noProof/>
                <w:webHidden/>
              </w:rPr>
              <w:t>9</w:t>
            </w:r>
            <w:r w:rsidR="0014562B" w:rsidRPr="0014562B">
              <w:rPr>
                <w:noProof/>
                <w:webHidden/>
              </w:rPr>
              <w:fldChar w:fldCharType="end"/>
            </w:r>
          </w:hyperlink>
        </w:p>
        <w:p w14:paraId="46F5C029" w14:textId="4CC7F17A" w:rsidR="0014562B" w:rsidRPr="0014562B" w:rsidRDefault="00615A0C">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2755298" w:history="1">
            <w:r w:rsidR="0014562B" w:rsidRPr="0014562B">
              <w:rPr>
                <w:rStyle w:val="Hyperlink"/>
                <w:noProof/>
              </w:rPr>
              <w:t>2.4</w:t>
            </w:r>
            <w:r w:rsidR="0014562B" w:rsidRPr="0014562B">
              <w:rPr>
                <w:rFonts w:asciiTheme="minorHAnsi" w:eastAsiaTheme="minorEastAsia" w:hAnsiTheme="minorHAnsi" w:cstheme="minorBidi"/>
                <w:smallCaps w:val="0"/>
                <w:noProof/>
                <w:kern w:val="2"/>
                <w:sz w:val="24"/>
                <w:szCs w:val="24"/>
                <w:lang w:val="en-IE" w:eastAsia="en-IE"/>
                <w14:ligatures w14:val="standardContextual"/>
              </w:rPr>
              <w:tab/>
            </w:r>
            <w:r w:rsidR="0014562B" w:rsidRPr="0014562B">
              <w:rPr>
                <w:rStyle w:val="Hyperlink"/>
                <w:noProof/>
              </w:rPr>
              <w:t>Amendes et astreintes</w:t>
            </w:r>
            <w:r w:rsidR="0014562B" w:rsidRPr="0014562B">
              <w:rPr>
                <w:noProof/>
                <w:webHidden/>
              </w:rPr>
              <w:tab/>
            </w:r>
            <w:r w:rsidR="0014562B" w:rsidRPr="0014562B">
              <w:rPr>
                <w:noProof/>
                <w:webHidden/>
              </w:rPr>
              <w:fldChar w:fldCharType="begin"/>
            </w:r>
            <w:r w:rsidR="0014562B" w:rsidRPr="0014562B">
              <w:rPr>
                <w:noProof/>
                <w:webHidden/>
              </w:rPr>
              <w:instrText xml:space="preserve"> PAGEREF _Toc232755298 \h </w:instrText>
            </w:r>
            <w:r w:rsidR="0014562B" w:rsidRPr="0014562B">
              <w:rPr>
                <w:noProof/>
                <w:webHidden/>
              </w:rPr>
            </w:r>
            <w:r w:rsidR="0014562B" w:rsidRPr="0014562B">
              <w:rPr>
                <w:noProof/>
                <w:webHidden/>
              </w:rPr>
              <w:fldChar w:fldCharType="separate"/>
            </w:r>
            <w:r w:rsidR="00102249">
              <w:rPr>
                <w:noProof/>
                <w:webHidden/>
              </w:rPr>
              <w:t>10</w:t>
            </w:r>
            <w:r w:rsidR="0014562B" w:rsidRPr="0014562B">
              <w:rPr>
                <w:noProof/>
                <w:webHidden/>
              </w:rPr>
              <w:fldChar w:fldCharType="end"/>
            </w:r>
          </w:hyperlink>
        </w:p>
        <w:p w14:paraId="5CD9D0C9" w14:textId="59F664DB" w:rsidR="0014562B" w:rsidRPr="0014562B" w:rsidRDefault="00615A0C">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2755299" w:history="1">
            <w:r w:rsidR="0014562B" w:rsidRPr="0014562B">
              <w:rPr>
                <w:rStyle w:val="Hyperlink"/>
                <w:noProof/>
              </w:rPr>
              <w:t>2.5</w:t>
            </w:r>
            <w:r w:rsidR="0014562B" w:rsidRPr="0014562B">
              <w:rPr>
                <w:rFonts w:asciiTheme="minorHAnsi" w:eastAsiaTheme="minorEastAsia" w:hAnsiTheme="minorHAnsi" w:cstheme="minorBidi"/>
                <w:smallCaps w:val="0"/>
                <w:noProof/>
                <w:kern w:val="2"/>
                <w:sz w:val="24"/>
                <w:szCs w:val="24"/>
                <w:lang w:val="en-IE" w:eastAsia="en-IE"/>
                <w14:ligatures w14:val="standardContextual"/>
              </w:rPr>
              <w:tab/>
            </w:r>
            <w:r w:rsidR="0014562B" w:rsidRPr="0014562B">
              <w:rPr>
                <w:rStyle w:val="Hyperlink"/>
                <w:noProof/>
              </w:rPr>
              <w:t>Effet sur la contribution à la ressource propre RNB pour 2026</w:t>
            </w:r>
            <w:r w:rsidR="0014562B" w:rsidRPr="0014562B">
              <w:rPr>
                <w:noProof/>
                <w:webHidden/>
              </w:rPr>
              <w:tab/>
            </w:r>
            <w:r w:rsidR="0014562B" w:rsidRPr="0014562B">
              <w:rPr>
                <w:noProof/>
                <w:webHidden/>
              </w:rPr>
              <w:fldChar w:fldCharType="begin"/>
            </w:r>
            <w:r w:rsidR="0014562B" w:rsidRPr="0014562B">
              <w:rPr>
                <w:noProof/>
                <w:webHidden/>
              </w:rPr>
              <w:instrText xml:space="preserve"> PAGEREF _Toc232755299 \h </w:instrText>
            </w:r>
            <w:r w:rsidR="0014562B" w:rsidRPr="0014562B">
              <w:rPr>
                <w:noProof/>
                <w:webHidden/>
              </w:rPr>
            </w:r>
            <w:r w:rsidR="0014562B" w:rsidRPr="0014562B">
              <w:rPr>
                <w:noProof/>
                <w:webHidden/>
              </w:rPr>
              <w:fldChar w:fldCharType="separate"/>
            </w:r>
            <w:r w:rsidR="00102249">
              <w:rPr>
                <w:noProof/>
                <w:webHidden/>
              </w:rPr>
              <w:t>10</w:t>
            </w:r>
            <w:r w:rsidR="0014562B" w:rsidRPr="0014562B">
              <w:rPr>
                <w:noProof/>
                <w:webHidden/>
              </w:rPr>
              <w:fldChar w:fldCharType="end"/>
            </w:r>
          </w:hyperlink>
        </w:p>
        <w:p w14:paraId="2B2B8B55" w14:textId="5B7012C4" w:rsidR="0014562B" w:rsidRDefault="00615A0C">
          <w:pPr>
            <w:pStyle w:val="TOC1"/>
            <w:tabs>
              <w:tab w:val="left" w:pos="480"/>
              <w:tab w:val="right" w:leader="dot" w:pos="9855"/>
            </w:tabs>
            <w:rPr>
              <w:rFonts w:asciiTheme="minorHAnsi" w:eastAsiaTheme="minorEastAsia" w:hAnsiTheme="minorHAnsi" w:cstheme="minorBidi"/>
              <w:b w:val="0"/>
              <w:bCs w:val="0"/>
              <w:caps w:val="0"/>
              <w:noProof/>
              <w:kern w:val="2"/>
              <w:sz w:val="24"/>
              <w:szCs w:val="24"/>
              <w:lang w:val="en-IE" w:eastAsia="en-IE"/>
              <w14:ligatures w14:val="standardContextual"/>
            </w:rPr>
          </w:pPr>
          <w:hyperlink w:anchor="_Toc232755300" w:history="1">
            <w:r w:rsidR="0014562B" w:rsidRPr="00161F51">
              <w:rPr>
                <w:rStyle w:val="Hyperlink"/>
                <w:noProof/>
              </w:rPr>
              <w:t>3.</w:t>
            </w:r>
            <w:r w:rsidR="0014562B">
              <w:rPr>
                <w:rFonts w:asciiTheme="minorHAnsi" w:eastAsiaTheme="minorEastAsia" w:hAnsiTheme="minorHAnsi" w:cstheme="minorBidi"/>
                <w:b w:val="0"/>
                <w:bCs w:val="0"/>
                <w:caps w:val="0"/>
                <w:noProof/>
                <w:kern w:val="2"/>
                <w:sz w:val="24"/>
                <w:szCs w:val="24"/>
                <w:lang w:val="en-IE" w:eastAsia="en-IE"/>
                <w14:ligatures w14:val="standardContextual"/>
              </w:rPr>
              <w:tab/>
            </w:r>
            <w:r w:rsidR="0014562B" w:rsidRPr="00161F51">
              <w:rPr>
                <w:rStyle w:val="Hyperlink"/>
                <w:noProof/>
              </w:rPr>
              <w:t>Mise à jour des dépenses</w:t>
            </w:r>
            <w:r w:rsidR="0014562B">
              <w:rPr>
                <w:noProof/>
                <w:webHidden/>
              </w:rPr>
              <w:tab/>
            </w:r>
            <w:r w:rsidR="0014562B">
              <w:rPr>
                <w:noProof/>
                <w:webHidden/>
              </w:rPr>
              <w:fldChar w:fldCharType="begin"/>
            </w:r>
            <w:r w:rsidR="0014562B">
              <w:rPr>
                <w:noProof/>
                <w:webHidden/>
              </w:rPr>
              <w:instrText xml:space="preserve"> PAGEREF _Toc232755300 \h </w:instrText>
            </w:r>
            <w:r w:rsidR="0014562B">
              <w:rPr>
                <w:noProof/>
                <w:webHidden/>
              </w:rPr>
            </w:r>
            <w:r w:rsidR="0014562B">
              <w:rPr>
                <w:noProof/>
                <w:webHidden/>
              </w:rPr>
              <w:fldChar w:fldCharType="separate"/>
            </w:r>
            <w:r w:rsidR="00102249">
              <w:rPr>
                <w:noProof/>
                <w:webHidden/>
              </w:rPr>
              <w:t>12</w:t>
            </w:r>
            <w:r w:rsidR="0014562B">
              <w:rPr>
                <w:noProof/>
                <w:webHidden/>
              </w:rPr>
              <w:fldChar w:fldCharType="end"/>
            </w:r>
          </w:hyperlink>
        </w:p>
        <w:p w14:paraId="408D0D54" w14:textId="6EAADA84" w:rsidR="0014562B" w:rsidRPr="0014562B" w:rsidRDefault="00615A0C">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2755301" w:history="1">
            <w:r w:rsidR="0014562B" w:rsidRPr="0014562B">
              <w:rPr>
                <w:rStyle w:val="Hyperlink"/>
                <w:noProof/>
              </w:rPr>
              <w:t>3.1</w:t>
            </w:r>
            <w:r w:rsidR="0014562B" w:rsidRPr="0014562B">
              <w:rPr>
                <w:rFonts w:asciiTheme="minorHAnsi" w:eastAsiaTheme="minorEastAsia" w:hAnsiTheme="minorHAnsi" w:cstheme="minorBidi"/>
                <w:smallCaps w:val="0"/>
                <w:noProof/>
                <w:kern w:val="2"/>
                <w:sz w:val="24"/>
                <w:szCs w:val="24"/>
                <w:lang w:val="en-IE" w:eastAsia="en-IE"/>
                <w14:ligatures w14:val="standardContextual"/>
              </w:rPr>
              <w:tab/>
            </w:r>
            <w:r w:rsidR="0014562B" w:rsidRPr="0014562B">
              <w:rPr>
                <w:rStyle w:val="Hyperlink"/>
                <w:noProof/>
              </w:rPr>
              <w:t>Renforcement des crédits de paiement en faveur de la cohésion et du Fonds européen agricole pour le développement rural (Feader)</w:t>
            </w:r>
            <w:r w:rsidR="0014562B" w:rsidRPr="0014562B">
              <w:rPr>
                <w:noProof/>
                <w:webHidden/>
              </w:rPr>
              <w:tab/>
            </w:r>
            <w:r w:rsidR="0014562B" w:rsidRPr="0014562B">
              <w:rPr>
                <w:noProof/>
                <w:webHidden/>
              </w:rPr>
              <w:fldChar w:fldCharType="begin"/>
            </w:r>
            <w:r w:rsidR="0014562B" w:rsidRPr="0014562B">
              <w:rPr>
                <w:noProof/>
                <w:webHidden/>
              </w:rPr>
              <w:instrText xml:space="preserve"> PAGEREF _Toc232755301 \h </w:instrText>
            </w:r>
            <w:r w:rsidR="0014562B" w:rsidRPr="0014562B">
              <w:rPr>
                <w:noProof/>
                <w:webHidden/>
              </w:rPr>
            </w:r>
            <w:r w:rsidR="0014562B" w:rsidRPr="0014562B">
              <w:rPr>
                <w:noProof/>
                <w:webHidden/>
              </w:rPr>
              <w:fldChar w:fldCharType="separate"/>
            </w:r>
            <w:r w:rsidR="00102249">
              <w:rPr>
                <w:noProof/>
                <w:webHidden/>
              </w:rPr>
              <w:t>12</w:t>
            </w:r>
            <w:r w:rsidR="0014562B" w:rsidRPr="0014562B">
              <w:rPr>
                <w:noProof/>
                <w:webHidden/>
              </w:rPr>
              <w:fldChar w:fldCharType="end"/>
            </w:r>
          </w:hyperlink>
        </w:p>
        <w:p w14:paraId="7E4513FF" w14:textId="2325F0CB" w:rsidR="0014562B" w:rsidRPr="0014562B" w:rsidRDefault="00615A0C">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2755302" w:history="1">
            <w:r w:rsidR="0014562B" w:rsidRPr="0014562B">
              <w:rPr>
                <w:rStyle w:val="Hyperlink"/>
                <w:noProof/>
              </w:rPr>
              <w:t>3.2</w:t>
            </w:r>
            <w:r w:rsidR="0014562B" w:rsidRPr="0014562B">
              <w:rPr>
                <w:rFonts w:asciiTheme="minorHAnsi" w:eastAsiaTheme="minorEastAsia" w:hAnsiTheme="minorHAnsi" w:cstheme="minorBidi"/>
                <w:smallCaps w:val="0"/>
                <w:noProof/>
                <w:kern w:val="2"/>
                <w:sz w:val="24"/>
                <w:szCs w:val="24"/>
                <w:lang w:val="en-IE" w:eastAsia="en-IE"/>
                <w14:ligatures w14:val="standardContextual"/>
              </w:rPr>
              <w:tab/>
            </w:r>
            <w:r w:rsidR="0014562B" w:rsidRPr="0014562B">
              <w:rPr>
                <w:rStyle w:val="Hyperlink"/>
                <w:noProof/>
              </w:rPr>
              <w:t>Renforcements des dépenses agricoles</w:t>
            </w:r>
            <w:r w:rsidR="0014562B" w:rsidRPr="0014562B">
              <w:rPr>
                <w:noProof/>
                <w:webHidden/>
              </w:rPr>
              <w:tab/>
            </w:r>
            <w:r w:rsidR="0014562B" w:rsidRPr="0014562B">
              <w:rPr>
                <w:noProof/>
                <w:webHidden/>
              </w:rPr>
              <w:fldChar w:fldCharType="begin"/>
            </w:r>
            <w:r w:rsidR="0014562B" w:rsidRPr="0014562B">
              <w:rPr>
                <w:noProof/>
                <w:webHidden/>
              </w:rPr>
              <w:instrText xml:space="preserve"> PAGEREF _Toc232755302 \h </w:instrText>
            </w:r>
            <w:r w:rsidR="0014562B" w:rsidRPr="0014562B">
              <w:rPr>
                <w:noProof/>
                <w:webHidden/>
              </w:rPr>
            </w:r>
            <w:r w:rsidR="0014562B" w:rsidRPr="0014562B">
              <w:rPr>
                <w:noProof/>
                <w:webHidden/>
              </w:rPr>
              <w:fldChar w:fldCharType="separate"/>
            </w:r>
            <w:r w:rsidR="00102249">
              <w:rPr>
                <w:noProof/>
                <w:webHidden/>
              </w:rPr>
              <w:t>13</w:t>
            </w:r>
            <w:r w:rsidR="0014562B" w:rsidRPr="0014562B">
              <w:rPr>
                <w:noProof/>
                <w:webHidden/>
              </w:rPr>
              <w:fldChar w:fldCharType="end"/>
            </w:r>
          </w:hyperlink>
        </w:p>
        <w:p w14:paraId="3B1D1E97" w14:textId="7D0B2422" w:rsidR="0014562B" w:rsidRPr="0014562B" w:rsidRDefault="00615A0C">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2755303" w:history="1">
            <w:r w:rsidR="0014562B" w:rsidRPr="0014562B">
              <w:rPr>
                <w:rStyle w:val="Hyperlink"/>
                <w:noProof/>
              </w:rPr>
              <w:t>3.3</w:t>
            </w:r>
            <w:r w:rsidR="0014562B" w:rsidRPr="0014562B">
              <w:rPr>
                <w:rFonts w:asciiTheme="minorHAnsi" w:eastAsiaTheme="minorEastAsia" w:hAnsiTheme="minorHAnsi" w:cstheme="minorBidi"/>
                <w:smallCaps w:val="0"/>
                <w:noProof/>
                <w:kern w:val="2"/>
                <w:sz w:val="24"/>
                <w:szCs w:val="24"/>
                <w:lang w:val="en-IE" w:eastAsia="en-IE"/>
                <w14:ligatures w14:val="standardContextual"/>
              </w:rPr>
              <w:tab/>
            </w:r>
            <w:r w:rsidR="0014562B" w:rsidRPr="0014562B">
              <w:rPr>
                <w:rStyle w:val="Hyperlink"/>
                <w:noProof/>
              </w:rPr>
              <w:t>Emplois supplémentaires au tableau des effectifs et crédits destinés au prêt de soutien à l’Ukraine</w:t>
            </w:r>
            <w:r w:rsidR="0014562B" w:rsidRPr="0014562B">
              <w:rPr>
                <w:noProof/>
                <w:webHidden/>
              </w:rPr>
              <w:tab/>
            </w:r>
            <w:r w:rsidR="0014562B" w:rsidRPr="0014562B">
              <w:rPr>
                <w:noProof/>
                <w:webHidden/>
              </w:rPr>
              <w:fldChar w:fldCharType="begin"/>
            </w:r>
            <w:r w:rsidR="0014562B" w:rsidRPr="0014562B">
              <w:rPr>
                <w:noProof/>
                <w:webHidden/>
              </w:rPr>
              <w:instrText xml:space="preserve"> PAGEREF _Toc232755303 \h </w:instrText>
            </w:r>
            <w:r w:rsidR="0014562B" w:rsidRPr="0014562B">
              <w:rPr>
                <w:noProof/>
                <w:webHidden/>
              </w:rPr>
            </w:r>
            <w:r w:rsidR="0014562B" w:rsidRPr="0014562B">
              <w:rPr>
                <w:noProof/>
                <w:webHidden/>
              </w:rPr>
              <w:fldChar w:fldCharType="separate"/>
            </w:r>
            <w:r w:rsidR="00102249">
              <w:rPr>
                <w:noProof/>
                <w:webHidden/>
              </w:rPr>
              <w:t>14</w:t>
            </w:r>
            <w:r w:rsidR="0014562B" w:rsidRPr="0014562B">
              <w:rPr>
                <w:noProof/>
                <w:webHidden/>
              </w:rPr>
              <w:fldChar w:fldCharType="end"/>
            </w:r>
          </w:hyperlink>
        </w:p>
        <w:p w14:paraId="672B518F" w14:textId="2D539E0F" w:rsidR="0014562B" w:rsidRPr="0014562B" w:rsidRDefault="00615A0C">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2755304" w:history="1">
            <w:r w:rsidR="0014562B" w:rsidRPr="0014562B">
              <w:rPr>
                <w:rStyle w:val="Hyperlink"/>
                <w:noProof/>
              </w:rPr>
              <w:t>3.4</w:t>
            </w:r>
            <w:r w:rsidR="0014562B" w:rsidRPr="0014562B">
              <w:rPr>
                <w:rFonts w:asciiTheme="minorHAnsi" w:eastAsiaTheme="minorEastAsia" w:hAnsiTheme="minorHAnsi" w:cstheme="minorBidi"/>
                <w:smallCaps w:val="0"/>
                <w:noProof/>
                <w:kern w:val="2"/>
                <w:sz w:val="24"/>
                <w:szCs w:val="24"/>
                <w:lang w:val="en-IE" w:eastAsia="en-IE"/>
                <w14:ligatures w14:val="standardContextual"/>
              </w:rPr>
              <w:tab/>
            </w:r>
            <w:r w:rsidR="0014562B" w:rsidRPr="0014562B">
              <w:rPr>
                <w:rStyle w:val="Hyperlink"/>
                <w:noProof/>
              </w:rPr>
              <w:t>Transferts de l’AEE vers le programme LIFE</w:t>
            </w:r>
            <w:r w:rsidR="0014562B" w:rsidRPr="0014562B">
              <w:rPr>
                <w:noProof/>
                <w:webHidden/>
              </w:rPr>
              <w:tab/>
            </w:r>
            <w:r w:rsidR="0014562B" w:rsidRPr="0014562B">
              <w:rPr>
                <w:noProof/>
                <w:webHidden/>
              </w:rPr>
              <w:fldChar w:fldCharType="begin"/>
            </w:r>
            <w:r w:rsidR="0014562B" w:rsidRPr="0014562B">
              <w:rPr>
                <w:noProof/>
                <w:webHidden/>
              </w:rPr>
              <w:instrText xml:space="preserve"> PAGEREF _Toc232755304 \h </w:instrText>
            </w:r>
            <w:r w:rsidR="0014562B" w:rsidRPr="0014562B">
              <w:rPr>
                <w:noProof/>
                <w:webHidden/>
              </w:rPr>
            </w:r>
            <w:r w:rsidR="0014562B" w:rsidRPr="0014562B">
              <w:rPr>
                <w:noProof/>
                <w:webHidden/>
              </w:rPr>
              <w:fldChar w:fldCharType="separate"/>
            </w:r>
            <w:r w:rsidR="00102249">
              <w:rPr>
                <w:noProof/>
                <w:webHidden/>
              </w:rPr>
              <w:t>15</w:t>
            </w:r>
            <w:r w:rsidR="0014562B" w:rsidRPr="0014562B">
              <w:rPr>
                <w:noProof/>
                <w:webHidden/>
              </w:rPr>
              <w:fldChar w:fldCharType="end"/>
            </w:r>
          </w:hyperlink>
        </w:p>
        <w:p w14:paraId="03E4B877" w14:textId="2160FD2C" w:rsidR="0014562B" w:rsidRPr="0014562B" w:rsidRDefault="00615A0C">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2755305" w:history="1">
            <w:r w:rsidR="0014562B" w:rsidRPr="0014562B">
              <w:rPr>
                <w:rStyle w:val="Hyperlink"/>
                <w:noProof/>
              </w:rPr>
              <w:t>3.5</w:t>
            </w:r>
            <w:r w:rsidR="0014562B" w:rsidRPr="0014562B">
              <w:rPr>
                <w:rFonts w:asciiTheme="minorHAnsi" w:eastAsiaTheme="minorEastAsia" w:hAnsiTheme="minorHAnsi" w:cstheme="minorBidi"/>
                <w:smallCaps w:val="0"/>
                <w:noProof/>
                <w:kern w:val="2"/>
                <w:sz w:val="24"/>
                <w:szCs w:val="24"/>
                <w:lang w:val="en-IE" w:eastAsia="en-IE"/>
                <w14:ligatures w14:val="standardContextual"/>
              </w:rPr>
              <w:tab/>
            </w:r>
            <w:r w:rsidR="0014562B" w:rsidRPr="0014562B">
              <w:rPr>
                <w:rStyle w:val="Hyperlink"/>
                <w:noProof/>
              </w:rPr>
              <w:t>Modification des commentaires budgétaires de la ligne 02 02 02 (Garantie de l’Union du Fonds InvestEU – Provisionnement du fonds commun de provisionnement)</w:t>
            </w:r>
            <w:r w:rsidR="0014562B" w:rsidRPr="0014562B">
              <w:rPr>
                <w:noProof/>
                <w:webHidden/>
              </w:rPr>
              <w:tab/>
            </w:r>
            <w:r w:rsidR="0014562B" w:rsidRPr="0014562B">
              <w:rPr>
                <w:noProof/>
                <w:webHidden/>
              </w:rPr>
              <w:fldChar w:fldCharType="begin"/>
            </w:r>
            <w:r w:rsidR="0014562B" w:rsidRPr="0014562B">
              <w:rPr>
                <w:noProof/>
                <w:webHidden/>
              </w:rPr>
              <w:instrText xml:space="preserve"> PAGEREF _Toc232755305 \h </w:instrText>
            </w:r>
            <w:r w:rsidR="0014562B" w:rsidRPr="0014562B">
              <w:rPr>
                <w:noProof/>
                <w:webHidden/>
              </w:rPr>
            </w:r>
            <w:r w:rsidR="0014562B" w:rsidRPr="0014562B">
              <w:rPr>
                <w:noProof/>
                <w:webHidden/>
              </w:rPr>
              <w:fldChar w:fldCharType="separate"/>
            </w:r>
            <w:r w:rsidR="00102249">
              <w:rPr>
                <w:noProof/>
                <w:webHidden/>
              </w:rPr>
              <w:t>15</w:t>
            </w:r>
            <w:r w:rsidR="0014562B" w:rsidRPr="0014562B">
              <w:rPr>
                <w:noProof/>
                <w:webHidden/>
              </w:rPr>
              <w:fldChar w:fldCharType="end"/>
            </w:r>
          </w:hyperlink>
        </w:p>
        <w:p w14:paraId="788554B7" w14:textId="67BE06FE" w:rsidR="0014562B" w:rsidRDefault="00615A0C">
          <w:pPr>
            <w:pStyle w:val="TOC1"/>
            <w:tabs>
              <w:tab w:val="left" w:pos="480"/>
              <w:tab w:val="right" w:leader="dot" w:pos="9855"/>
            </w:tabs>
            <w:rPr>
              <w:rFonts w:asciiTheme="minorHAnsi" w:eastAsiaTheme="minorEastAsia" w:hAnsiTheme="minorHAnsi" w:cstheme="minorBidi"/>
              <w:b w:val="0"/>
              <w:bCs w:val="0"/>
              <w:caps w:val="0"/>
              <w:noProof/>
              <w:kern w:val="2"/>
              <w:sz w:val="24"/>
              <w:szCs w:val="24"/>
              <w:lang w:val="en-IE" w:eastAsia="en-IE"/>
              <w14:ligatures w14:val="standardContextual"/>
            </w:rPr>
          </w:pPr>
          <w:hyperlink w:anchor="_Toc232755306" w:history="1">
            <w:r w:rsidR="0014562B" w:rsidRPr="00161F51">
              <w:rPr>
                <w:rStyle w:val="Hyperlink"/>
                <w:smallCaps/>
                <w:noProof/>
              </w:rPr>
              <w:t>4.</w:t>
            </w:r>
            <w:r w:rsidR="0014562B">
              <w:rPr>
                <w:rFonts w:asciiTheme="minorHAnsi" w:eastAsiaTheme="minorEastAsia" w:hAnsiTheme="minorHAnsi" w:cstheme="minorBidi"/>
                <w:b w:val="0"/>
                <w:bCs w:val="0"/>
                <w:caps w:val="0"/>
                <w:noProof/>
                <w:kern w:val="2"/>
                <w:sz w:val="24"/>
                <w:szCs w:val="24"/>
                <w:lang w:val="en-IE" w:eastAsia="en-IE"/>
                <w14:ligatures w14:val="standardContextual"/>
              </w:rPr>
              <w:tab/>
            </w:r>
            <w:r w:rsidR="0014562B" w:rsidRPr="00161F51">
              <w:rPr>
                <w:rStyle w:val="Hyperlink"/>
                <w:smallCaps/>
                <w:noProof/>
              </w:rPr>
              <w:t>Financement</w:t>
            </w:r>
            <w:r w:rsidR="0014562B">
              <w:rPr>
                <w:noProof/>
                <w:webHidden/>
              </w:rPr>
              <w:tab/>
            </w:r>
            <w:r w:rsidR="0014562B">
              <w:rPr>
                <w:noProof/>
                <w:webHidden/>
              </w:rPr>
              <w:fldChar w:fldCharType="begin"/>
            </w:r>
            <w:r w:rsidR="0014562B">
              <w:rPr>
                <w:noProof/>
                <w:webHidden/>
              </w:rPr>
              <w:instrText xml:space="preserve"> PAGEREF _Toc232755306 \h </w:instrText>
            </w:r>
            <w:r w:rsidR="0014562B">
              <w:rPr>
                <w:noProof/>
                <w:webHidden/>
              </w:rPr>
            </w:r>
            <w:r w:rsidR="0014562B">
              <w:rPr>
                <w:noProof/>
                <w:webHidden/>
              </w:rPr>
              <w:fldChar w:fldCharType="separate"/>
            </w:r>
            <w:r w:rsidR="00102249">
              <w:rPr>
                <w:noProof/>
                <w:webHidden/>
              </w:rPr>
              <w:t>16</w:t>
            </w:r>
            <w:r w:rsidR="0014562B">
              <w:rPr>
                <w:noProof/>
                <w:webHidden/>
              </w:rPr>
              <w:fldChar w:fldCharType="end"/>
            </w:r>
          </w:hyperlink>
        </w:p>
        <w:p w14:paraId="2E0FE61F" w14:textId="6EA43379" w:rsidR="0014562B" w:rsidRDefault="00615A0C">
          <w:pPr>
            <w:pStyle w:val="TOC1"/>
            <w:tabs>
              <w:tab w:val="left" w:pos="480"/>
              <w:tab w:val="right" w:leader="dot" w:pos="9855"/>
            </w:tabs>
            <w:rPr>
              <w:rFonts w:asciiTheme="minorHAnsi" w:eastAsiaTheme="minorEastAsia" w:hAnsiTheme="minorHAnsi" w:cstheme="minorBidi"/>
              <w:b w:val="0"/>
              <w:bCs w:val="0"/>
              <w:caps w:val="0"/>
              <w:noProof/>
              <w:kern w:val="2"/>
              <w:sz w:val="24"/>
              <w:szCs w:val="24"/>
              <w:lang w:val="en-IE" w:eastAsia="en-IE"/>
              <w14:ligatures w14:val="standardContextual"/>
            </w:rPr>
          </w:pPr>
          <w:hyperlink w:anchor="_Toc232755307" w:history="1">
            <w:r w:rsidR="0014562B" w:rsidRPr="00161F51">
              <w:rPr>
                <w:rStyle w:val="Hyperlink"/>
                <w:smallCaps/>
                <w:noProof/>
              </w:rPr>
              <w:t>5.</w:t>
            </w:r>
            <w:r w:rsidR="0014562B">
              <w:rPr>
                <w:rFonts w:asciiTheme="minorHAnsi" w:eastAsiaTheme="minorEastAsia" w:hAnsiTheme="minorHAnsi" w:cstheme="minorBidi"/>
                <w:b w:val="0"/>
                <w:bCs w:val="0"/>
                <w:caps w:val="0"/>
                <w:noProof/>
                <w:kern w:val="2"/>
                <w:sz w:val="24"/>
                <w:szCs w:val="24"/>
                <w:lang w:val="en-IE" w:eastAsia="en-IE"/>
                <w14:ligatures w14:val="standardContextual"/>
              </w:rPr>
              <w:tab/>
            </w:r>
            <w:r w:rsidR="0014562B" w:rsidRPr="00161F51">
              <w:rPr>
                <w:rStyle w:val="Hyperlink"/>
                <w:smallCaps/>
                <w:noProof/>
              </w:rPr>
              <w:t>Tableau récapitulatif par rubrique du CFP</w:t>
            </w:r>
            <w:r w:rsidR="0014562B">
              <w:rPr>
                <w:noProof/>
                <w:webHidden/>
              </w:rPr>
              <w:tab/>
            </w:r>
            <w:r w:rsidR="0014562B">
              <w:rPr>
                <w:noProof/>
                <w:webHidden/>
              </w:rPr>
              <w:fldChar w:fldCharType="begin"/>
            </w:r>
            <w:r w:rsidR="0014562B">
              <w:rPr>
                <w:noProof/>
                <w:webHidden/>
              </w:rPr>
              <w:instrText xml:space="preserve"> PAGEREF _Toc232755307 \h </w:instrText>
            </w:r>
            <w:r w:rsidR="0014562B">
              <w:rPr>
                <w:noProof/>
                <w:webHidden/>
              </w:rPr>
            </w:r>
            <w:r w:rsidR="0014562B">
              <w:rPr>
                <w:noProof/>
                <w:webHidden/>
              </w:rPr>
              <w:fldChar w:fldCharType="separate"/>
            </w:r>
            <w:r w:rsidR="00102249">
              <w:rPr>
                <w:noProof/>
                <w:webHidden/>
              </w:rPr>
              <w:t>17</w:t>
            </w:r>
            <w:r w:rsidR="0014562B">
              <w:rPr>
                <w:noProof/>
                <w:webHidden/>
              </w:rPr>
              <w:fldChar w:fldCharType="end"/>
            </w:r>
          </w:hyperlink>
        </w:p>
        <w:p w14:paraId="46056B7B" w14:textId="32FBEDA2" w:rsidR="00C45FCA" w:rsidRDefault="00C45FCA">
          <w:pPr>
            <w:rPr>
              <w:noProof/>
            </w:rPr>
          </w:pPr>
          <w:r>
            <w:rPr>
              <w:b/>
              <w:noProof/>
            </w:rPr>
            <w:fldChar w:fldCharType="end"/>
          </w:r>
        </w:p>
      </w:sdtContent>
    </w:sdt>
    <w:p w14:paraId="7E4617D0" w14:textId="77777777" w:rsidR="00651864" w:rsidRPr="00651864" w:rsidRDefault="00651864" w:rsidP="00651864">
      <w:pPr>
        <w:rPr>
          <w:noProof/>
          <w:lang w:eastAsia="de-DE"/>
        </w:rPr>
      </w:pPr>
    </w:p>
    <w:p w14:paraId="045622DC" w14:textId="0777D878" w:rsidR="00651864" w:rsidRDefault="00651864" w:rsidP="00651864">
      <w:pPr>
        <w:pStyle w:val="Exposdesmotifstitre"/>
        <w:jc w:val="left"/>
        <w:rPr>
          <w:b w:val="0"/>
          <w:noProof/>
        </w:rPr>
      </w:pPr>
      <w:r>
        <w:rPr>
          <w:noProof/>
        </w:rPr>
        <w:br w:type="page"/>
      </w:r>
    </w:p>
    <w:p w14:paraId="2F08B075" w14:textId="22AA8FAA" w:rsidR="00D52F81" w:rsidRPr="006A6461" w:rsidRDefault="00D52F81" w:rsidP="00D52F81">
      <w:pPr>
        <w:pStyle w:val="Exposdesmotifstitre"/>
        <w:rPr>
          <w:noProof/>
        </w:rPr>
      </w:pPr>
      <w:r>
        <w:rPr>
          <w:noProof/>
        </w:rPr>
        <w:t>EXPOSÉ DES MOTIFS</w:t>
      </w:r>
    </w:p>
    <w:p w14:paraId="7B664D05" w14:textId="77777777" w:rsidR="00D52F81" w:rsidRPr="006A6461" w:rsidRDefault="00D52F81" w:rsidP="00D52F81">
      <w:pPr>
        <w:pStyle w:val="ManualHeading1"/>
        <w:rPr>
          <w:noProof/>
        </w:rPr>
      </w:pPr>
      <w:bookmarkStart w:id="5" w:name="_Toc73720664"/>
      <w:bookmarkStart w:id="6" w:name="_Toc75766698"/>
      <w:bookmarkStart w:id="7" w:name="_Toc232755293"/>
      <w:bookmarkStart w:id="8" w:name="_Toc460335328"/>
      <w:bookmarkStart w:id="9" w:name="_Toc430865948"/>
      <w:bookmarkStart w:id="10" w:name="_Toc430867526"/>
      <w:bookmarkStart w:id="11" w:name="_Toc351469332"/>
      <w:bookmarkStart w:id="12" w:name="_Toc361649879"/>
      <w:bookmarkStart w:id="13" w:name="_Toc430865947"/>
      <w:bookmarkStart w:id="14" w:name="_Toc430867525"/>
      <w:r>
        <w:rPr>
          <w:noProof/>
        </w:rPr>
        <w:t>1.</w:t>
      </w:r>
      <w:r>
        <w:rPr>
          <w:noProof/>
        </w:rPr>
        <w:tab/>
        <w:t>Introduction</w:t>
      </w:r>
      <w:bookmarkEnd w:id="5"/>
      <w:bookmarkEnd w:id="6"/>
      <w:bookmarkEnd w:id="7"/>
    </w:p>
    <w:p w14:paraId="5B11CED0" w14:textId="77777777" w:rsidR="006C3671" w:rsidRDefault="00D52F81" w:rsidP="00D52F81">
      <w:pPr>
        <w:pStyle w:val="ListDash"/>
        <w:numPr>
          <w:ilvl w:val="0"/>
          <w:numId w:val="0"/>
        </w:numPr>
        <w:rPr>
          <w:noProof/>
        </w:rPr>
      </w:pPr>
      <w:r>
        <w:rPr>
          <w:noProof/>
        </w:rPr>
        <w:t xml:space="preserve">Le projet de budget rectificatif (PBR) nº 2 pour l’exercice 2026 met à jour tant le volet des recettes que le volet des dépenses du budget. </w:t>
      </w:r>
    </w:p>
    <w:p w14:paraId="1EA5B4D3" w14:textId="580F3930" w:rsidR="00D52F81" w:rsidRPr="006A6461" w:rsidRDefault="009F7797" w:rsidP="00D52F81">
      <w:pPr>
        <w:pStyle w:val="ListDash"/>
        <w:numPr>
          <w:ilvl w:val="0"/>
          <w:numId w:val="0"/>
        </w:numPr>
        <w:rPr>
          <w:noProof/>
        </w:rPr>
      </w:pPr>
      <w:r>
        <w:rPr>
          <w:noProof/>
        </w:rPr>
        <w:t>En ce qui concerne le volet des recettes, la mise à jour tient compte des évolutions les plus récentes en ce qui concerne:</w:t>
      </w:r>
    </w:p>
    <w:p w14:paraId="43E238CB" w14:textId="1C220845" w:rsidR="00D52F81" w:rsidRPr="006A6461" w:rsidRDefault="6CC0F1E3" w:rsidP="000D3A97">
      <w:pPr>
        <w:pStyle w:val="Tiret0"/>
        <w:ind w:left="720" w:hanging="720"/>
        <w:rPr>
          <w:noProof/>
        </w:rPr>
      </w:pPr>
      <w:r>
        <w:rPr>
          <w:noProof/>
        </w:rPr>
        <w:t>les prévisions mises à jour des ressources propres pour le budget 2026, approuvées par le comité consultatif des ressources propres (CCRP) le 29 mai 2026. Cette mise à jour est généralement présentée peu après la réunion du CCRP consacrée aux prévisions, conformément aux attentes des États membres, qui souhaitent que les mises à jour décidées par le CCRP soient budgétisées dès que possible;</w:t>
      </w:r>
    </w:p>
    <w:p w14:paraId="58A99F3B" w14:textId="5EA8274C" w:rsidR="00D52F81" w:rsidRPr="006A6461" w:rsidRDefault="007F2581" w:rsidP="000D3A97">
      <w:pPr>
        <w:pStyle w:val="Tiret0"/>
        <w:ind w:left="720" w:hanging="720"/>
        <w:rPr>
          <w:noProof/>
        </w:rPr>
      </w:pPr>
      <w:r>
        <w:rPr>
          <w:noProof/>
        </w:rPr>
        <w:t>les autres recettes telles que les amendes et la contribution du Royaume-Uni.</w:t>
      </w:r>
    </w:p>
    <w:p w14:paraId="78BB6571" w14:textId="0E6D6198" w:rsidR="00D52F81" w:rsidRPr="006A6461" w:rsidRDefault="00AC4C26" w:rsidP="00D52F81">
      <w:pPr>
        <w:pStyle w:val="Tiret0"/>
        <w:numPr>
          <w:ilvl w:val="0"/>
          <w:numId w:val="0"/>
        </w:numPr>
        <w:rPr>
          <w:noProof/>
        </w:rPr>
      </w:pPr>
      <w:r>
        <w:rPr>
          <w:noProof/>
        </w:rPr>
        <w:t>En ce qui concerne le volet des dépenses, le PBR nº 2/2026 comprend les éléments spécifiques suivants:</w:t>
      </w:r>
    </w:p>
    <w:p w14:paraId="22355A0D" w14:textId="58426C74" w:rsidR="000A4D67" w:rsidRDefault="00CD7120" w:rsidP="00FF5701">
      <w:pPr>
        <w:pStyle w:val="Tiret0"/>
        <w:ind w:left="720" w:hanging="720"/>
        <w:rPr>
          <w:noProof/>
        </w:rPr>
      </w:pPr>
      <w:bookmarkStart w:id="15" w:name="_Toc73720665"/>
      <w:bookmarkStart w:id="16" w:name="_Toc75766699"/>
      <w:bookmarkEnd w:id="8"/>
      <w:bookmarkEnd w:id="9"/>
      <w:bookmarkEnd w:id="10"/>
      <w:bookmarkEnd w:id="11"/>
      <w:bookmarkEnd w:id="12"/>
      <w:bookmarkEnd w:id="13"/>
      <w:bookmarkEnd w:id="14"/>
      <w:r>
        <w:rPr>
          <w:noProof/>
        </w:rPr>
        <w:t>un renforcement des crédits de paiement de 7,6 milliards d’EUR, dont 3,4 milliards d’EUR pour le Fonds européen de développement régional (FEDER), 0,6 milliard d’EUR pour le Fonds de cohésion (FC), 1,4 milliard d’EUR pour le Fonds social européen plus (FSE+) et 2,2 milliards d’EUR pour le Fonds européen agricole pour le développement rural (Feader);</w:t>
      </w:r>
    </w:p>
    <w:p w14:paraId="1373ACD7" w14:textId="4DCF936E" w:rsidR="001931AA" w:rsidRDefault="001931AA" w:rsidP="00FF5701">
      <w:pPr>
        <w:pStyle w:val="Tiret0"/>
        <w:ind w:left="720" w:hanging="720"/>
        <w:rPr>
          <w:noProof/>
        </w:rPr>
      </w:pPr>
      <w:r>
        <w:rPr>
          <w:noProof/>
        </w:rPr>
        <w:t>un renforcement de la réserve agricole, pour un montant de 300 millions d’EUR en crédits d’engagement et de paiement, afin de procurer un soutien ciblé et exceptionnel aux agriculteurs, qui sont confrontés à de graves problèmes de liquidités, en particulier en raison de l’augmentation des coûts des engrais;</w:t>
      </w:r>
    </w:p>
    <w:p w14:paraId="68B123F0" w14:textId="231E9B69" w:rsidR="00CD1137" w:rsidRDefault="1C1E809A" w:rsidP="5A4EFB7D">
      <w:pPr>
        <w:pStyle w:val="Tiret0"/>
        <w:ind w:left="720" w:hanging="720"/>
        <w:rPr>
          <w:noProof/>
        </w:rPr>
      </w:pPr>
      <w:r>
        <w:rPr>
          <w:noProof/>
        </w:rPr>
        <w:t>un renforcement du Fonds européen agricole de garantie (FEAGA), pour un montant de 140 millions d’EUR en crédits d’engagement et de paiement, afin de garantir le remboursement en temps opportun des dépenses du FEAGA aux États membres;</w:t>
      </w:r>
    </w:p>
    <w:p w14:paraId="6EC32F44" w14:textId="78D61580" w:rsidR="00570D54" w:rsidRDefault="00570D54">
      <w:pPr>
        <w:pStyle w:val="Tiret0"/>
        <w:ind w:left="720" w:hanging="720"/>
        <w:rPr>
          <w:noProof/>
        </w:rPr>
      </w:pPr>
      <w:r>
        <w:rPr>
          <w:noProof/>
        </w:rPr>
        <w:t>une augmentation du nombre d’emplois inscrits au tableau des effectifs de la Commission, un renforcement des dépenses administratives au titre de la rubrique 7 et un renforcement de la ligne d’appui des activités d’emprunt et de gestion de la dette, afin de garantir une gestion efficace du prêt de soutien à l’Ukraine, conformément à la fiche financière et numérique législative correspondante;</w:t>
      </w:r>
    </w:p>
    <w:p w14:paraId="11F9F683" w14:textId="458B2548" w:rsidR="004E3B15" w:rsidRPr="00962352" w:rsidRDefault="004E3B15">
      <w:pPr>
        <w:pStyle w:val="Tiret0"/>
        <w:ind w:left="720" w:hanging="720"/>
        <w:rPr>
          <w:noProof/>
        </w:rPr>
      </w:pPr>
      <w:r>
        <w:rPr>
          <w:noProof/>
        </w:rPr>
        <w:t>deux restitutions de montants, neutres sur le plan budgétaire, de la part de l’Agence européenne pour l’environnement (AEE) en faveur du programme LIFE, à la suite du retrait de la proposition relative à la surveillance des forêts européennes et de retards dans l’adoption de la directive sur les allégations écologiques;</w:t>
      </w:r>
    </w:p>
    <w:p w14:paraId="433D6ECB" w14:textId="0386C2C3" w:rsidR="009C3628" w:rsidRPr="008A44C3" w:rsidRDefault="00164527" w:rsidP="00A65F85">
      <w:pPr>
        <w:pStyle w:val="Tiret0"/>
        <w:ind w:left="720" w:hanging="720"/>
        <w:rPr>
          <w:noProof/>
        </w:rPr>
      </w:pPr>
      <w:r>
        <w:rPr>
          <w:noProof/>
        </w:rPr>
        <w:t>des modifications apportées aux commentaires budgétaires de la ligne 02 02 02 (</w:t>
      </w:r>
      <w:r>
        <w:rPr>
          <w:i/>
          <w:noProof/>
        </w:rPr>
        <w:t>Garantie de l’Union du Fonds InvestEU — Provisionnement du fonds commun de provisionnement</w:t>
      </w:r>
      <w:r>
        <w:rPr>
          <w:noProof/>
        </w:rPr>
        <w:t>) afin de tenir compte de la possibilité pour les États membres de contribuer à l’instrument financier InvestEU au moyen de fonds provenant de la facilité pour la reprise et la résilience (FRR), à la suite du règlement Omnibus II InvestEU.</w:t>
      </w:r>
    </w:p>
    <w:p w14:paraId="05A8353A" w14:textId="4ED7B400" w:rsidR="00BE1A5C" w:rsidRDefault="00E3199A" w:rsidP="009E3195">
      <w:pPr>
        <w:pStyle w:val="Tiret0"/>
        <w:numPr>
          <w:ilvl w:val="0"/>
          <w:numId w:val="0"/>
        </w:numPr>
        <w:rPr>
          <w:noProof/>
        </w:rPr>
      </w:pPr>
      <w:r>
        <w:rPr>
          <w:noProof/>
        </w:rPr>
        <w:t xml:space="preserve">Globalement, l’incidence nette du PBR nº 2/2026 sur les dépenses correspond à une augmentation de 444,2 millions d’EUR en crédits d’engagement et de 8,0 milliards d’EUR en crédits de paiement. </w:t>
      </w:r>
    </w:p>
    <w:p w14:paraId="1BF5F2BC" w14:textId="578ADF5F" w:rsidR="00AA0FAC" w:rsidRPr="006A6461" w:rsidRDefault="000D3A97" w:rsidP="00E3199A">
      <w:pPr>
        <w:pStyle w:val="Tiret0"/>
        <w:numPr>
          <w:ilvl w:val="0"/>
          <w:numId w:val="0"/>
        </w:numPr>
        <w:rPr>
          <w:noProof/>
        </w:rPr>
      </w:pPr>
      <w:r>
        <w:rPr>
          <w:noProof/>
        </w:rPr>
        <w:br w:type="page"/>
      </w:r>
    </w:p>
    <w:p w14:paraId="4B8BA550" w14:textId="6E456BB1" w:rsidR="007A4316" w:rsidRPr="006A6461" w:rsidRDefault="007A4316" w:rsidP="00311C9F">
      <w:pPr>
        <w:pStyle w:val="ManualHeading1"/>
        <w:rPr>
          <w:noProof/>
        </w:rPr>
      </w:pPr>
      <w:bookmarkStart w:id="17" w:name="_Toc232755294"/>
      <w:r>
        <w:rPr>
          <w:noProof/>
        </w:rPr>
        <w:t>2.</w:t>
      </w:r>
      <w:r>
        <w:rPr>
          <w:noProof/>
        </w:rPr>
        <w:tab/>
        <w:t>Mise à jour des recettes</w:t>
      </w:r>
      <w:bookmarkEnd w:id="15"/>
      <w:bookmarkEnd w:id="16"/>
      <w:bookmarkEnd w:id="17"/>
    </w:p>
    <w:p w14:paraId="4751BA31" w14:textId="28C8F0B3" w:rsidR="007A4316" w:rsidRPr="006A6461" w:rsidRDefault="331CFC7B" w:rsidP="11E3DED0">
      <w:pPr>
        <w:keepNext/>
        <w:tabs>
          <w:tab w:val="left" w:pos="850"/>
        </w:tabs>
        <w:spacing w:before="360" w:after="120"/>
        <w:ind w:left="850" w:hanging="850"/>
        <w:jc w:val="both"/>
        <w:outlineLvl w:val="1"/>
        <w:rPr>
          <w:rFonts w:ascii="Times New Roman" w:eastAsia="Calibri" w:hAnsi="Times New Roman" w:cs="Times New Roman"/>
          <w:b/>
          <w:bCs/>
          <w:noProof/>
          <w:sz w:val="24"/>
          <w:szCs w:val="24"/>
        </w:rPr>
      </w:pPr>
      <w:bookmarkStart w:id="18" w:name="_Toc73720666"/>
      <w:bookmarkStart w:id="19" w:name="_Toc75766700"/>
      <w:bookmarkStart w:id="20" w:name="_Toc232755295"/>
      <w:r>
        <w:rPr>
          <w:rFonts w:ascii="Times New Roman" w:hAnsi="Times New Roman"/>
          <w:b/>
          <w:noProof/>
          <w:sz w:val="24"/>
        </w:rPr>
        <w:t>2.1</w:t>
      </w:r>
      <w:r>
        <w:rPr>
          <w:noProof/>
        </w:rPr>
        <w:tab/>
      </w:r>
      <w:r>
        <w:rPr>
          <w:rFonts w:ascii="Times New Roman" w:hAnsi="Times New Roman"/>
          <w:b/>
          <w:noProof/>
          <w:sz w:val="24"/>
        </w:rPr>
        <w:t>Incidence globale du PBR nº 2/2026 sur la répartition, entre États membres, de l’ensemble des versements de ressources propres</w:t>
      </w:r>
      <w:bookmarkEnd w:id="18"/>
      <w:bookmarkEnd w:id="19"/>
      <w:bookmarkEnd w:id="20"/>
    </w:p>
    <w:p w14:paraId="2E7E54C7" w14:textId="7AA991D4" w:rsidR="009D39F6" w:rsidRPr="006A6461" w:rsidRDefault="009D39F6" w:rsidP="009D39F6">
      <w:pPr>
        <w:jc w:val="both"/>
        <w:rPr>
          <w:rFonts w:ascii="Times New Roman" w:hAnsi="Times New Roman" w:cs="Times New Roman"/>
          <w:noProof/>
          <w:sz w:val="24"/>
          <w:szCs w:val="24"/>
        </w:rPr>
      </w:pPr>
      <w:r>
        <w:rPr>
          <w:rFonts w:ascii="Times New Roman" w:hAnsi="Times New Roman"/>
          <w:noProof/>
          <w:sz w:val="24"/>
        </w:rPr>
        <w:t>Les prévisions révisées pour 2026 ont été approuvées lors de la 197</w:t>
      </w:r>
      <w:r>
        <w:rPr>
          <w:rFonts w:ascii="Times New Roman" w:hAnsi="Times New Roman"/>
          <w:noProof/>
          <w:sz w:val="24"/>
          <w:vertAlign w:val="superscript"/>
        </w:rPr>
        <w:t>e</w:t>
      </w:r>
      <w:r>
        <w:rPr>
          <w:rFonts w:ascii="Times New Roman" w:hAnsi="Times New Roman"/>
          <w:noProof/>
          <w:sz w:val="24"/>
        </w:rPr>
        <w:t> réunion du CCRP le 29 mai 2026. Les ajustements au volet des recettes du budget sont nécessaires pour mettre à jour les estimations concernant les ressources propres traditionnelles (RPT) ainsi que les ressources propres fondées sur la taxe sur la valeur ajoutée (TVA), les déchets d’emballages en plastique (DEP) non recyclés et le revenu national brut (RNB), compte tenu des prévisions économiques du printemps 2026 (voir la section 2.2).</w:t>
      </w:r>
    </w:p>
    <w:p w14:paraId="3F872305" w14:textId="41DFC956" w:rsidR="009D39F6" w:rsidRPr="006A6461" w:rsidRDefault="009D39F6" w:rsidP="009D39F6">
      <w:pPr>
        <w:jc w:val="both"/>
        <w:rPr>
          <w:rFonts w:ascii="Times New Roman" w:hAnsi="Times New Roman" w:cs="Times New Roman"/>
          <w:noProof/>
          <w:sz w:val="24"/>
          <w:szCs w:val="24"/>
        </w:rPr>
      </w:pPr>
      <w:r>
        <w:rPr>
          <w:rFonts w:ascii="Times New Roman" w:hAnsi="Times New Roman"/>
          <w:noProof/>
          <w:sz w:val="24"/>
        </w:rPr>
        <w:t>Par ailleurs, le montant des autres recettes est mis à jour pour tenir compte de la contribution révisée du Royaume-Uni et des amendes et astreintes définitivement encaissées depuis le 1</w:t>
      </w:r>
      <w:r>
        <w:rPr>
          <w:rFonts w:ascii="Times New Roman" w:hAnsi="Times New Roman"/>
          <w:noProof/>
          <w:sz w:val="24"/>
          <w:vertAlign w:val="superscript"/>
        </w:rPr>
        <w:t>er</w:t>
      </w:r>
      <w:r>
        <w:rPr>
          <w:rFonts w:ascii="Times New Roman" w:hAnsi="Times New Roman"/>
          <w:noProof/>
          <w:sz w:val="24"/>
        </w:rPr>
        <w:t> janvier 2026 (voir respectivement les sections 2.3 et 2.4).</w:t>
      </w:r>
    </w:p>
    <w:p w14:paraId="18835B71" w14:textId="277018E8" w:rsidR="005F1CD4" w:rsidRPr="009D39F6" w:rsidRDefault="009D39F6" w:rsidP="00005D33">
      <w:pPr>
        <w:jc w:val="both"/>
        <w:rPr>
          <w:rFonts w:ascii="Times New Roman" w:hAnsi="Times New Roman" w:cs="Times New Roman"/>
          <w:b/>
          <w:bCs/>
          <w:noProof/>
        </w:rPr>
      </w:pPr>
      <w:r>
        <w:rPr>
          <w:rFonts w:ascii="Times New Roman" w:hAnsi="Times New Roman"/>
          <w:noProof/>
          <w:sz w:val="24"/>
        </w:rPr>
        <w:t>L’incidence globale des ajustements des recettes relevant du présent PBR est présentée dans le tableau récapitulatif figurant ci-dessous. Ce tableau montre également la répartition, entre États membres, de l’ensemble des versements de ressources propres, tels qu’ils figurent dans le budget initial pour 2026, tels qu’ils ont été inscrits dans le PBR nº 1/2026, et enfin, tels qu’ils sont intégrés dans le présent PBR nº 2/2026.</w:t>
      </w:r>
    </w:p>
    <w:p w14:paraId="1CEC7EC4" w14:textId="6D609A99" w:rsidR="007A4316" w:rsidRPr="006A6461" w:rsidRDefault="007A4316" w:rsidP="007A4316">
      <w:pPr>
        <w:jc w:val="center"/>
        <w:rPr>
          <w:rFonts w:ascii="Times New Roman" w:hAnsi="Times New Roman" w:cs="Times New Roman"/>
          <w:b/>
          <w:noProof/>
        </w:rPr>
      </w:pPr>
      <w:r>
        <w:rPr>
          <w:rFonts w:ascii="Times New Roman" w:hAnsi="Times New Roman"/>
          <w:b/>
          <w:noProof/>
        </w:rPr>
        <w:t xml:space="preserve">Répartition de l’ensemble des versements de ressources propres par État membre (en Mio EUR) </w:t>
      </w:r>
    </w:p>
    <w:tbl>
      <w:tblPr>
        <w:tblW w:w="6272" w:type="dxa"/>
        <w:jc w:val="center"/>
        <w:tblLook w:val="04A0" w:firstRow="1" w:lastRow="0" w:firstColumn="1" w:lastColumn="0" w:noHBand="0" w:noVBand="1"/>
      </w:tblPr>
      <w:tblGrid>
        <w:gridCol w:w="1248"/>
        <w:gridCol w:w="1665"/>
        <w:gridCol w:w="1643"/>
        <w:gridCol w:w="1716"/>
      </w:tblGrid>
      <w:tr w:rsidR="008B73C0" w:rsidRPr="006A6461" w14:paraId="60CBED78" w14:textId="77777777" w:rsidTr="386067CE">
        <w:trPr>
          <w:trHeight w:val="300"/>
          <w:jc w:val="center"/>
        </w:trPr>
        <w:tc>
          <w:tcPr>
            <w:tcW w:w="1248" w:type="dxa"/>
            <w:tcBorders>
              <w:top w:val="single" w:sz="4" w:space="0" w:color="auto"/>
              <w:left w:val="single" w:sz="4" w:space="0" w:color="auto"/>
              <w:bottom w:val="nil"/>
              <w:right w:val="single" w:sz="4" w:space="0" w:color="auto"/>
            </w:tcBorders>
            <w:shd w:val="clear" w:color="auto" w:fill="FFFFFF" w:themeFill="background1"/>
            <w:noWrap/>
            <w:vAlign w:val="bottom"/>
            <w:hideMark/>
          </w:tcPr>
          <w:p w14:paraId="37C7D5FB" w14:textId="77777777" w:rsidR="008B73C0" w:rsidRPr="006A6461" w:rsidRDefault="008B73C0" w:rsidP="008B73C0">
            <w:pPr>
              <w:spacing w:after="120"/>
              <w:jc w:val="center"/>
              <w:rPr>
                <w:rFonts w:ascii="Times New Roman" w:hAnsi="Times New Roman" w:cs="Times New Roman"/>
                <w:b/>
                <w:bCs/>
                <w:noProof/>
                <w:color w:val="000000"/>
                <w:sz w:val="20"/>
                <w:szCs w:val="20"/>
              </w:rPr>
            </w:pPr>
            <w:bookmarkStart w:id="21" w:name="_Toc462410059"/>
            <w:bookmarkStart w:id="22" w:name="_Toc525202233"/>
            <w:r>
              <w:rPr>
                <w:rFonts w:ascii="Times New Roman" w:hAnsi="Times New Roman"/>
                <w:b/>
                <w:noProof/>
                <w:color w:val="000000"/>
                <w:sz w:val="20"/>
              </w:rPr>
              <w:t> </w:t>
            </w:r>
          </w:p>
        </w:tc>
        <w:tc>
          <w:tcPr>
            <w:tcW w:w="1665" w:type="dxa"/>
            <w:tcBorders>
              <w:top w:val="single" w:sz="4" w:space="0" w:color="auto"/>
              <w:left w:val="nil"/>
              <w:bottom w:val="single" w:sz="4" w:space="0" w:color="auto"/>
              <w:right w:val="single" w:sz="4" w:space="0" w:color="auto"/>
            </w:tcBorders>
            <w:shd w:val="clear" w:color="auto" w:fill="FFFFFF" w:themeFill="background1"/>
            <w:noWrap/>
            <w:hideMark/>
          </w:tcPr>
          <w:p w14:paraId="0868E18B" w14:textId="753A6BD7" w:rsidR="008B73C0" w:rsidRPr="006A6461" w:rsidRDefault="320123E7" w:rsidP="008B73C0">
            <w:pPr>
              <w:spacing w:after="120"/>
              <w:jc w:val="center"/>
              <w:rPr>
                <w:rFonts w:ascii="Times New Roman" w:hAnsi="Times New Roman" w:cs="Times New Roman"/>
                <w:b/>
                <w:bCs/>
                <w:noProof/>
                <w:color w:val="000000"/>
                <w:sz w:val="20"/>
                <w:szCs w:val="20"/>
              </w:rPr>
            </w:pPr>
            <w:r>
              <w:rPr>
                <w:rFonts w:ascii="Times New Roman" w:hAnsi="Times New Roman"/>
                <w:b/>
                <w:noProof/>
                <w:sz w:val="20"/>
              </w:rPr>
              <w:t>Budget 2026</w:t>
            </w:r>
          </w:p>
        </w:tc>
        <w:tc>
          <w:tcPr>
            <w:tcW w:w="1724" w:type="dxa"/>
            <w:tcBorders>
              <w:top w:val="single" w:sz="4" w:space="0" w:color="auto"/>
              <w:left w:val="nil"/>
              <w:bottom w:val="single" w:sz="4" w:space="0" w:color="auto"/>
              <w:right w:val="single" w:sz="4" w:space="0" w:color="auto"/>
            </w:tcBorders>
            <w:shd w:val="clear" w:color="auto" w:fill="FFFFFF" w:themeFill="background1"/>
          </w:tcPr>
          <w:p w14:paraId="1D8392C5" w14:textId="32511C69" w:rsidR="0616582D" w:rsidRPr="006A6461" w:rsidRDefault="22572EE6" w:rsidP="337A4174">
            <w:pPr>
              <w:jc w:val="center"/>
              <w:rPr>
                <w:rFonts w:ascii="Times New Roman" w:hAnsi="Times New Roman" w:cs="Times New Roman"/>
                <w:b/>
                <w:bCs/>
                <w:noProof/>
                <w:sz w:val="20"/>
                <w:szCs w:val="20"/>
              </w:rPr>
            </w:pPr>
            <w:r>
              <w:rPr>
                <w:rFonts w:ascii="Times New Roman" w:hAnsi="Times New Roman"/>
                <w:b/>
                <w:noProof/>
                <w:sz w:val="20"/>
              </w:rPr>
              <w:t>PBR 1/2026</w:t>
            </w:r>
          </w:p>
        </w:tc>
        <w:tc>
          <w:tcPr>
            <w:tcW w:w="1635" w:type="dxa"/>
            <w:tcBorders>
              <w:top w:val="single" w:sz="4" w:space="0" w:color="auto"/>
              <w:left w:val="nil"/>
              <w:bottom w:val="single" w:sz="4" w:space="0" w:color="auto"/>
              <w:right w:val="single" w:sz="4" w:space="0" w:color="auto"/>
            </w:tcBorders>
            <w:shd w:val="clear" w:color="auto" w:fill="FFFFFF" w:themeFill="background1"/>
            <w:noWrap/>
            <w:hideMark/>
          </w:tcPr>
          <w:p w14:paraId="570B1FB3" w14:textId="76DA7713" w:rsidR="008B73C0" w:rsidRPr="006A6461" w:rsidRDefault="320123E7" w:rsidP="008B73C0">
            <w:pPr>
              <w:spacing w:after="120"/>
              <w:jc w:val="center"/>
              <w:rPr>
                <w:rFonts w:ascii="Times New Roman" w:hAnsi="Times New Roman" w:cs="Times New Roman"/>
                <w:b/>
                <w:bCs/>
                <w:noProof/>
                <w:color w:val="000000"/>
                <w:sz w:val="20"/>
                <w:szCs w:val="20"/>
              </w:rPr>
            </w:pPr>
            <w:r>
              <w:rPr>
                <w:rFonts w:ascii="Times New Roman" w:hAnsi="Times New Roman"/>
                <w:b/>
                <w:noProof/>
                <w:sz w:val="20"/>
              </w:rPr>
              <w:t>PBR 2/2026</w:t>
            </w:r>
          </w:p>
        </w:tc>
      </w:tr>
      <w:tr w:rsidR="008B73C0" w:rsidRPr="006A6461" w14:paraId="186BB086" w14:textId="77777777" w:rsidTr="386067CE">
        <w:trPr>
          <w:trHeight w:val="300"/>
          <w:jc w:val="center"/>
        </w:trPr>
        <w:tc>
          <w:tcPr>
            <w:tcW w:w="1248"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A61ED76" w14:textId="77777777" w:rsidR="008B73C0" w:rsidRPr="006A6461" w:rsidRDefault="008B73C0" w:rsidP="008B73C0">
            <w:pPr>
              <w:spacing w:after="120"/>
              <w:rPr>
                <w:rFonts w:ascii="Times New Roman" w:hAnsi="Times New Roman" w:cs="Times New Roman"/>
                <w:noProof/>
                <w:color w:val="000000"/>
                <w:sz w:val="20"/>
                <w:szCs w:val="20"/>
              </w:rPr>
            </w:pPr>
            <w:r>
              <w:rPr>
                <w:rFonts w:ascii="Times New Roman" w:hAnsi="Times New Roman"/>
                <w:noProof/>
                <w:color w:val="000000"/>
                <w:sz w:val="20"/>
              </w:rPr>
              <w:t> </w:t>
            </w:r>
          </w:p>
        </w:tc>
        <w:tc>
          <w:tcPr>
            <w:tcW w:w="1665" w:type="dxa"/>
            <w:tcBorders>
              <w:top w:val="nil"/>
              <w:left w:val="nil"/>
              <w:bottom w:val="single" w:sz="4" w:space="0" w:color="auto"/>
              <w:right w:val="single" w:sz="4" w:space="0" w:color="auto"/>
            </w:tcBorders>
            <w:shd w:val="clear" w:color="auto" w:fill="FFFFFF" w:themeFill="background1"/>
            <w:noWrap/>
            <w:hideMark/>
          </w:tcPr>
          <w:p w14:paraId="69DF8BAD" w14:textId="04E3B777" w:rsidR="008B73C0" w:rsidRPr="006A6461" w:rsidRDefault="008B73C0" w:rsidP="008B73C0">
            <w:pPr>
              <w:spacing w:after="120"/>
              <w:jc w:val="center"/>
              <w:rPr>
                <w:rFonts w:ascii="Times New Roman" w:hAnsi="Times New Roman" w:cs="Times New Roman"/>
                <w:noProof/>
                <w:color w:val="000000"/>
                <w:sz w:val="20"/>
                <w:szCs w:val="20"/>
              </w:rPr>
            </w:pPr>
            <w:r>
              <w:rPr>
                <w:rFonts w:ascii="Times New Roman" w:hAnsi="Times New Roman"/>
                <w:noProof/>
                <w:sz w:val="20"/>
              </w:rPr>
              <w:t>(1)</w:t>
            </w:r>
          </w:p>
        </w:tc>
        <w:tc>
          <w:tcPr>
            <w:tcW w:w="1724" w:type="dxa"/>
            <w:tcBorders>
              <w:top w:val="nil"/>
              <w:left w:val="nil"/>
              <w:bottom w:val="single" w:sz="4" w:space="0" w:color="auto"/>
              <w:right w:val="single" w:sz="4" w:space="0" w:color="auto"/>
            </w:tcBorders>
            <w:shd w:val="clear" w:color="auto" w:fill="FFFFFF" w:themeFill="background1"/>
          </w:tcPr>
          <w:p w14:paraId="6CD1BD33" w14:textId="7E2687F6" w:rsidR="4EAF8C3A" w:rsidRPr="006A6461" w:rsidRDefault="4EAF8C3A" w:rsidP="337A4174">
            <w:pPr>
              <w:spacing w:after="120"/>
              <w:jc w:val="center"/>
              <w:rPr>
                <w:rFonts w:ascii="Times New Roman" w:hAnsi="Times New Roman" w:cs="Times New Roman"/>
                <w:noProof/>
                <w:color w:val="000000" w:themeColor="text1"/>
                <w:sz w:val="20"/>
                <w:szCs w:val="20"/>
              </w:rPr>
            </w:pPr>
            <w:r>
              <w:rPr>
                <w:rFonts w:ascii="Times New Roman" w:hAnsi="Times New Roman"/>
                <w:noProof/>
                <w:sz w:val="20"/>
              </w:rPr>
              <w:t>(2)</w:t>
            </w:r>
          </w:p>
          <w:p w14:paraId="3604B0B7" w14:textId="42AC2A3C" w:rsidR="337A4174" w:rsidRPr="006A6461" w:rsidRDefault="337A4174" w:rsidP="337A4174">
            <w:pPr>
              <w:jc w:val="center"/>
              <w:rPr>
                <w:rFonts w:ascii="Times New Roman" w:hAnsi="Times New Roman" w:cs="Times New Roman"/>
                <w:noProof/>
                <w:sz w:val="20"/>
                <w:szCs w:val="20"/>
              </w:rPr>
            </w:pPr>
          </w:p>
        </w:tc>
        <w:tc>
          <w:tcPr>
            <w:tcW w:w="1635" w:type="dxa"/>
            <w:tcBorders>
              <w:top w:val="nil"/>
              <w:left w:val="nil"/>
              <w:bottom w:val="single" w:sz="4" w:space="0" w:color="auto"/>
              <w:right w:val="single" w:sz="4" w:space="0" w:color="auto"/>
            </w:tcBorders>
            <w:shd w:val="clear" w:color="auto" w:fill="FFFFFF" w:themeFill="background1"/>
            <w:noWrap/>
            <w:hideMark/>
          </w:tcPr>
          <w:p w14:paraId="1AFA8922" w14:textId="22F181B6" w:rsidR="008B73C0" w:rsidRPr="006A6461" w:rsidRDefault="320123E7" w:rsidP="008B73C0">
            <w:pPr>
              <w:spacing w:after="120"/>
              <w:jc w:val="center"/>
              <w:rPr>
                <w:rFonts w:ascii="Times New Roman" w:hAnsi="Times New Roman" w:cs="Times New Roman"/>
                <w:noProof/>
                <w:color w:val="000000"/>
                <w:sz w:val="20"/>
                <w:szCs w:val="20"/>
              </w:rPr>
            </w:pPr>
            <w:r>
              <w:rPr>
                <w:rFonts w:ascii="Times New Roman" w:hAnsi="Times New Roman"/>
                <w:noProof/>
                <w:sz w:val="20"/>
              </w:rPr>
              <w:t>(3)</w:t>
            </w:r>
          </w:p>
        </w:tc>
      </w:tr>
      <w:tr w:rsidR="0053464B" w:rsidRPr="006A6461" w14:paraId="5C5D46B1"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765FCFFB"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BE</w:t>
            </w:r>
          </w:p>
        </w:tc>
        <w:tc>
          <w:tcPr>
            <w:tcW w:w="1665" w:type="dxa"/>
            <w:tcBorders>
              <w:top w:val="single" w:sz="4" w:space="0" w:color="auto"/>
              <w:left w:val="nil"/>
              <w:bottom w:val="nil"/>
              <w:right w:val="single" w:sz="4" w:space="0" w:color="auto"/>
            </w:tcBorders>
            <w:shd w:val="clear" w:color="auto" w:fill="FFFFFF" w:themeFill="background1"/>
            <w:noWrap/>
          </w:tcPr>
          <w:p w14:paraId="21E94027" w14:textId="1BB5F16C"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8 315,2</w:t>
            </w:r>
          </w:p>
        </w:tc>
        <w:tc>
          <w:tcPr>
            <w:tcW w:w="1724" w:type="dxa"/>
            <w:tcBorders>
              <w:top w:val="single" w:sz="4" w:space="0" w:color="auto"/>
              <w:left w:val="nil"/>
              <w:bottom w:val="nil"/>
              <w:right w:val="single" w:sz="4" w:space="0" w:color="auto"/>
            </w:tcBorders>
            <w:shd w:val="clear" w:color="auto" w:fill="FFFFFF" w:themeFill="background1"/>
          </w:tcPr>
          <w:p w14:paraId="307B5856" w14:textId="4973B054"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8 243,3</w:t>
            </w:r>
          </w:p>
        </w:tc>
        <w:tc>
          <w:tcPr>
            <w:tcW w:w="1724" w:type="dxa"/>
            <w:tcBorders>
              <w:top w:val="single" w:sz="4" w:space="0" w:color="auto"/>
              <w:left w:val="nil"/>
              <w:bottom w:val="nil"/>
              <w:right w:val="single" w:sz="4" w:space="0" w:color="auto"/>
            </w:tcBorders>
            <w:shd w:val="clear" w:color="auto" w:fill="FFFFFF" w:themeFill="background1"/>
          </w:tcPr>
          <w:p w14:paraId="108624E0" w14:textId="32B719FA"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8 730,7</w:t>
            </w:r>
          </w:p>
        </w:tc>
      </w:tr>
      <w:tr w:rsidR="0053464B" w:rsidRPr="006A6461" w14:paraId="4CADAB79"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016DEE4A"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BG</w:t>
            </w:r>
          </w:p>
        </w:tc>
        <w:tc>
          <w:tcPr>
            <w:tcW w:w="1665" w:type="dxa"/>
            <w:tcBorders>
              <w:top w:val="nil"/>
              <w:left w:val="nil"/>
              <w:bottom w:val="nil"/>
              <w:right w:val="single" w:sz="4" w:space="0" w:color="auto"/>
            </w:tcBorders>
            <w:shd w:val="clear" w:color="auto" w:fill="FFFFFF" w:themeFill="background1"/>
            <w:noWrap/>
          </w:tcPr>
          <w:p w14:paraId="3218315C" w14:textId="0ED68609"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1 187,9</w:t>
            </w:r>
          </w:p>
        </w:tc>
        <w:tc>
          <w:tcPr>
            <w:tcW w:w="1724" w:type="dxa"/>
            <w:tcBorders>
              <w:top w:val="nil"/>
              <w:left w:val="nil"/>
              <w:bottom w:val="nil"/>
              <w:right w:val="single" w:sz="4" w:space="0" w:color="auto"/>
            </w:tcBorders>
            <w:shd w:val="clear" w:color="auto" w:fill="FFFFFF" w:themeFill="background1"/>
          </w:tcPr>
          <w:p w14:paraId="32C81867" w14:textId="30B589B0"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1 175,8</w:t>
            </w:r>
          </w:p>
        </w:tc>
        <w:tc>
          <w:tcPr>
            <w:tcW w:w="1724" w:type="dxa"/>
            <w:tcBorders>
              <w:top w:val="nil"/>
              <w:left w:val="nil"/>
              <w:bottom w:val="nil"/>
              <w:right w:val="single" w:sz="4" w:space="0" w:color="auto"/>
            </w:tcBorders>
            <w:shd w:val="clear" w:color="auto" w:fill="FFFFFF" w:themeFill="background1"/>
          </w:tcPr>
          <w:p w14:paraId="17B882B4" w14:textId="2059D894"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1 226,7</w:t>
            </w:r>
          </w:p>
        </w:tc>
      </w:tr>
      <w:tr w:rsidR="0053464B" w:rsidRPr="006A6461" w14:paraId="2F7E9C25"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3D980E5C"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CZ</w:t>
            </w:r>
          </w:p>
        </w:tc>
        <w:tc>
          <w:tcPr>
            <w:tcW w:w="1665" w:type="dxa"/>
            <w:tcBorders>
              <w:top w:val="nil"/>
              <w:left w:val="nil"/>
              <w:bottom w:val="nil"/>
              <w:right w:val="single" w:sz="4" w:space="0" w:color="auto"/>
            </w:tcBorders>
            <w:shd w:val="clear" w:color="auto" w:fill="FFFFFF" w:themeFill="background1"/>
            <w:noWrap/>
          </w:tcPr>
          <w:p w14:paraId="69603737" w14:textId="5A7274BF"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3 375,6</w:t>
            </w:r>
          </w:p>
        </w:tc>
        <w:tc>
          <w:tcPr>
            <w:tcW w:w="1724" w:type="dxa"/>
            <w:tcBorders>
              <w:top w:val="nil"/>
              <w:left w:val="nil"/>
              <w:bottom w:val="nil"/>
              <w:right w:val="single" w:sz="4" w:space="0" w:color="auto"/>
            </w:tcBorders>
            <w:shd w:val="clear" w:color="auto" w:fill="FFFFFF" w:themeFill="background1"/>
          </w:tcPr>
          <w:p w14:paraId="1DF7F75B" w14:textId="6A9F4789"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3 338,9</w:t>
            </w:r>
          </w:p>
        </w:tc>
        <w:tc>
          <w:tcPr>
            <w:tcW w:w="1724" w:type="dxa"/>
            <w:tcBorders>
              <w:top w:val="nil"/>
              <w:left w:val="nil"/>
              <w:bottom w:val="nil"/>
              <w:right w:val="single" w:sz="4" w:space="0" w:color="auto"/>
            </w:tcBorders>
            <w:shd w:val="clear" w:color="auto" w:fill="FFFFFF" w:themeFill="background1"/>
          </w:tcPr>
          <w:p w14:paraId="487D22A2" w14:textId="7A0C0473"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3 572,1</w:t>
            </w:r>
          </w:p>
        </w:tc>
      </w:tr>
      <w:tr w:rsidR="0053464B" w:rsidRPr="006A6461" w14:paraId="0D56792F"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2738F123"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DK</w:t>
            </w:r>
          </w:p>
        </w:tc>
        <w:tc>
          <w:tcPr>
            <w:tcW w:w="1665" w:type="dxa"/>
            <w:tcBorders>
              <w:top w:val="nil"/>
              <w:left w:val="nil"/>
              <w:bottom w:val="nil"/>
              <w:right w:val="single" w:sz="4" w:space="0" w:color="auto"/>
            </w:tcBorders>
            <w:shd w:val="clear" w:color="auto" w:fill="FFFFFF" w:themeFill="background1"/>
            <w:noWrap/>
          </w:tcPr>
          <w:p w14:paraId="4D6C1837" w14:textId="0A58F93F"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3 858,4</w:t>
            </w:r>
          </w:p>
        </w:tc>
        <w:tc>
          <w:tcPr>
            <w:tcW w:w="1724" w:type="dxa"/>
            <w:tcBorders>
              <w:top w:val="nil"/>
              <w:left w:val="nil"/>
              <w:bottom w:val="nil"/>
              <w:right w:val="single" w:sz="4" w:space="0" w:color="auto"/>
            </w:tcBorders>
            <w:shd w:val="clear" w:color="auto" w:fill="FFFFFF" w:themeFill="background1"/>
          </w:tcPr>
          <w:p w14:paraId="754CC1F7" w14:textId="29557EEC"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3 809,9</w:t>
            </w:r>
          </w:p>
        </w:tc>
        <w:tc>
          <w:tcPr>
            <w:tcW w:w="1724" w:type="dxa"/>
            <w:tcBorders>
              <w:top w:val="nil"/>
              <w:left w:val="nil"/>
              <w:bottom w:val="nil"/>
              <w:right w:val="single" w:sz="4" w:space="0" w:color="auto"/>
            </w:tcBorders>
            <w:shd w:val="clear" w:color="auto" w:fill="FFFFFF" w:themeFill="background1"/>
          </w:tcPr>
          <w:p w14:paraId="676CBDB4" w14:textId="1975D9A4"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3 799,4</w:t>
            </w:r>
          </w:p>
        </w:tc>
      </w:tr>
      <w:tr w:rsidR="0053464B" w:rsidRPr="006A6461" w14:paraId="5C03BCC0"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4973B5CC"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DE</w:t>
            </w:r>
          </w:p>
        </w:tc>
        <w:tc>
          <w:tcPr>
            <w:tcW w:w="1665" w:type="dxa"/>
            <w:tcBorders>
              <w:top w:val="nil"/>
              <w:left w:val="nil"/>
              <w:bottom w:val="nil"/>
              <w:right w:val="single" w:sz="4" w:space="0" w:color="auto"/>
            </w:tcBorders>
            <w:shd w:val="clear" w:color="auto" w:fill="FFFFFF" w:themeFill="background1"/>
            <w:noWrap/>
          </w:tcPr>
          <w:p w14:paraId="04447E7B" w14:textId="72DEECED"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41 374,0</w:t>
            </w:r>
          </w:p>
        </w:tc>
        <w:tc>
          <w:tcPr>
            <w:tcW w:w="1724" w:type="dxa"/>
            <w:tcBorders>
              <w:top w:val="nil"/>
              <w:left w:val="nil"/>
              <w:bottom w:val="nil"/>
              <w:right w:val="single" w:sz="4" w:space="0" w:color="auto"/>
            </w:tcBorders>
            <w:shd w:val="clear" w:color="auto" w:fill="FFFFFF" w:themeFill="background1"/>
          </w:tcPr>
          <w:p w14:paraId="64BBE8F8" w14:textId="2D4114EA"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40 861,9</w:t>
            </w:r>
          </w:p>
        </w:tc>
        <w:tc>
          <w:tcPr>
            <w:tcW w:w="1724" w:type="dxa"/>
            <w:tcBorders>
              <w:top w:val="nil"/>
              <w:left w:val="nil"/>
              <w:bottom w:val="nil"/>
              <w:right w:val="single" w:sz="4" w:space="0" w:color="auto"/>
            </w:tcBorders>
            <w:shd w:val="clear" w:color="auto" w:fill="FFFFFF" w:themeFill="background1"/>
          </w:tcPr>
          <w:p w14:paraId="41D25CCB" w14:textId="10FC7A15"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42 837,6</w:t>
            </w:r>
          </w:p>
        </w:tc>
      </w:tr>
      <w:tr w:rsidR="0053464B" w:rsidRPr="006A6461" w14:paraId="32E14ED0"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166CFBA0"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EE</w:t>
            </w:r>
          </w:p>
        </w:tc>
        <w:tc>
          <w:tcPr>
            <w:tcW w:w="1665" w:type="dxa"/>
            <w:tcBorders>
              <w:top w:val="nil"/>
              <w:left w:val="nil"/>
              <w:bottom w:val="nil"/>
              <w:right w:val="single" w:sz="4" w:space="0" w:color="auto"/>
            </w:tcBorders>
            <w:shd w:val="clear" w:color="auto" w:fill="FFFFFF" w:themeFill="background1"/>
            <w:noWrap/>
          </w:tcPr>
          <w:p w14:paraId="08773530" w14:textId="3882E425"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430,4</w:t>
            </w:r>
          </w:p>
        </w:tc>
        <w:tc>
          <w:tcPr>
            <w:tcW w:w="1724" w:type="dxa"/>
            <w:tcBorders>
              <w:top w:val="nil"/>
              <w:left w:val="nil"/>
              <w:bottom w:val="nil"/>
              <w:right w:val="single" w:sz="4" w:space="0" w:color="auto"/>
            </w:tcBorders>
            <w:shd w:val="clear" w:color="auto" w:fill="FFFFFF" w:themeFill="background1"/>
          </w:tcPr>
          <w:p w14:paraId="140AAB58" w14:textId="4CA793E3"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425,7</w:t>
            </w:r>
          </w:p>
        </w:tc>
        <w:tc>
          <w:tcPr>
            <w:tcW w:w="1724" w:type="dxa"/>
            <w:tcBorders>
              <w:top w:val="nil"/>
              <w:left w:val="nil"/>
              <w:bottom w:val="nil"/>
              <w:right w:val="single" w:sz="4" w:space="0" w:color="auto"/>
            </w:tcBorders>
            <w:shd w:val="clear" w:color="auto" w:fill="FFFFFF" w:themeFill="background1"/>
          </w:tcPr>
          <w:p w14:paraId="453EFEF1" w14:textId="796B38A1"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449,2</w:t>
            </w:r>
          </w:p>
        </w:tc>
      </w:tr>
      <w:tr w:rsidR="0053464B" w:rsidRPr="006A6461" w14:paraId="31C0932C"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08994BAC"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IE</w:t>
            </w:r>
          </w:p>
        </w:tc>
        <w:tc>
          <w:tcPr>
            <w:tcW w:w="1665" w:type="dxa"/>
            <w:tcBorders>
              <w:top w:val="nil"/>
              <w:left w:val="nil"/>
              <w:bottom w:val="nil"/>
              <w:right w:val="single" w:sz="4" w:space="0" w:color="auto"/>
            </w:tcBorders>
            <w:shd w:val="clear" w:color="auto" w:fill="FFFFFF" w:themeFill="background1"/>
            <w:noWrap/>
          </w:tcPr>
          <w:p w14:paraId="296C3249" w14:textId="4C6D7E52"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4 159,8</w:t>
            </w:r>
          </w:p>
        </w:tc>
        <w:tc>
          <w:tcPr>
            <w:tcW w:w="1724" w:type="dxa"/>
            <w:tcBorders>
              <w:top w:val="nil"/>
              <w:left w:val="nil"/>
              <w:bottom w:val="nil"/>
              <w:right w:val="single" w:sz="4" w:space="0" w:color="auto"/>
            </w:tcBorders>
            <w:shd w:val="clear" w:color="auto" w:fill="FFFFFF" w:themeFill="background1"/>
          </w:tcPr>
          <w:p w14:paraId="48A7A2FC" w14:textId="2D41565F"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4 114,8</w:t>
            </w:r>
          </w:p>
        </w:tc>
        <w:tc>
          <w:tcPr>
            <w:tcW w:w="1724" w:type="dxa"/>
            <w:tcBorders>
              <w:top w:val="nil"/>
              <w:left w:val="nil"/>
              <w:bottom w:val="nil"/>
              <w:right w:val="single" w:sz="4" w:space="0" w:color="auto"/>
            </w:tcBorders>
            <w:shd w:val="clear" w:color="auto" w:fill="FFFFFF" w:themeFill="background1"/>
          </w:tcPr>
          <w:p w14:paraId="688E8EB2" w14:textId="6254DBAE"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4 557,9</w:t>
            </w:r>
          </w:p>
        </w:tc>
      </w:tr>
      <w:tr w:rsidR="0053464B" w:rsidRPr="006A6461" w14:paraId="69B92249"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43DABEE6"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EL</w:t>
            </w:r>
          </w:p>
        </w:tc>
        <w:tc>
          <w:tcPr>
            <w:tcW w:w="1665" w:type="dxa"/>
            <w:tcBorders>
              <w:top w:val="nil"/>
              <w:left w:val="nil"/>
              <w:bottom w:val="nil"/>
              <w:right w:val="single" w:sz="4" w:space="0" w:color="auto"/>
            </w:tcBorders>
            <w:shd w:val="clear" w:color="auto" w:fill="FFFFFF" w:themeFill="background1"/>
            <w:noWrap/>
          </w:tcPr>
          <w:p w14:paraId="214BCAEE" w14:textId="32AE277D"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2 635,5</w:t>
            </w:r>
          </w:p>
        </w:tc>
        <w:tc>
          <w:tcPr>
            <w:tcW w:w="1724" w:type="dxa"/>
            <w:tcBorders>
              <w:top w:val="nil"/>
              <w:left w:val="nil"/>
              <w:bottom w:val="nil"/>
              <w:right w:val="single" w:sz="4" w:space="0" w:color="auto"/>
            </w:tcBorders>
            <w:shd w:val="clear" w:color="auto" w:fill="FFFFFF" w:themeFill="background1"/>
          </w:tcPr>
          <w:p w14:paraId="3865D6D7" w14:textId="655A02BE"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2 607,8</w:t>
            </w:r>
          </w:p>
        </w:tc>
        <w:tc>
          <w:tcPr>
            <w:tcW w:w="1724" w:type="dxa"/>
            <w:tcBorders>
              <w:top w:val="nil"/>
              <w:left w:val="nil"/>
              <w:bottom w:val="nil"/>
              <w:right w:val="single" w:sz="4" w:space="0" w:color="auto"/>
            </w:tcBorders>
            <w:shd w:val="clear" w:color="auto" w:fill="FFFFFF" w:themeFill="background1"/>
          </w:tcPr>
          <w:p w14:paraId="337C3035" w14:textId="489E7407"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2 733,0</w:t>
            </w:r>
          </w:p>
        </w:tc>
      </w:tr>
      <w:tr w:rsidR="0053464B" w:rsidRPr="006A6461" w14:paraId="223C891B"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7E6536B6"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ES</w:t>
            </w:r>
          </w:p>
        </w:tc>
        <w:tc>
          <w:tcPr>
            <w:tcW w:w="1665" w:type="dxa"/>
            <w:tcBorders>
              <w:top w:val="nil"/>
              <w:left w:val="nil"/>
              <w:bottom w:val="nil"/>
              <w:right w:val="single" w:sz="4" w:space="0" w:color="auto"/>
            </w:tcBorders>
            <w:shd w:val="clear" w:color="auto" w:fill="FFFFFF" w:themeFill="background1"/>
            <w:noWrap/>
          </w:tcPr>
          <w:p w14:paraId="158E472A" w14:textId="75C3577D"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18 097,8</w:t>
            </w:r>
          </w:p>
        </w:tc>
        <w:tc>
          <w:tcPr>
            <w:tcW w:w="1724" w:type="dxa"/>
            <w:tcBorders>
              <w:top w:val="nil"/>
              <w:left w:val="nil"/>
              <w:bottom w:val="nil"/>
              <w:right w:val="single" w:sz="4" w:space="0" w:color="auto"/>
            </w:tcBorders>
            <w:shd w:val="clear" w:color="auto" w:fill="FFFFFF" w:themeFill="background1"/>
          </w:tcPr>
          <w:p w14:paraId="1DC0C2D4" w14:textId="0A472965"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17 909,0</w:t>
            </w:r>
          </w:p>
        </w:tc>
        <w:tc>
          <w:tcPr>
            <w:tcW w:w="1724" w:type="dxa"/>
            <w:tcBorders>
              <w:top w:val="nil"/>
              <w:left w:val="nil"/>
              <w:bottom w:val="nil"/>
              <w:right w:val="single" w:sz="4" w:space="0" w:color="auto"/>
            </w:tcBorders>
            <w:shd w:val="clear" w:color="auto" w:fill="FFFFFF" w:themeFill="background1"/>
          </w:tcPr>
          <w:p w14:paraId="791BD27F" w14:textId="227DE370"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18 699,7</w:t>
            </w:r>
          </w:p>
        </w:tc>
      </w:tr>
      <w:tr w:rsidR="0053464B" w:rsidRPr="006A6461" w14:paraId="60761312"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07648676"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FR</w:t>
            </w:r>
          </w:p>
        </w:tc>
        <w:tc>
          <w:tcPr>
            <w:tcW w:w="1665" w:type="dxa"/>
            <w:tcBorders>
              <w:top w:val="nil"/>
              <w:left w:val="nil"/>
              <w:bottom w:val="nil"/>
              <w:right w:val="single" w:sz="4" w:space="0" w:color="auto"/>
            </w:tcBorders>
            <w:shd w:val="clear" w:color="auto" w:fill="FFFFFF" w:themeFill="background1"/>
            <w:noWrap/>
          </w:tcPr>
          <w:p w14:paraId="0D27FE34" w14:textId="72496241"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30 881,0</w:t>
            </w:r>
          </w:p>
        </w:tc>
        <w:tc>
          <w:tcPr>
            <w:tcW w:w="1724" w:type="dxa"/>
            <w:tcBorders>
              <w:top w:val="nil"/>
              <w:left w:val="nil"/>
              <w:bottom w:val="nil"/>
              <w:right w:val="single" w:sz="4" w:space="0" w:color="auto"/>
            </w:tcBorders>
            <w:shd w:val="clear" w:color="auto" w:fill="FFFFFF" w:themeFill="background1"/>
          </w:tcPr>
          <w:p w14:paraId="54DF2757" w14:textId="7E067190"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30 541,5</w:t>
            </w:r>
          </w:p>
        </w:tc>
        <w:tc>
          <w:tcPr>
            <w:tcW w:w="1724" w:type="dxa"/>
            <w:tcBorders>
              <w:top w:val="nil"/>
              <w:left w:val="nil"/>
              <w:bottom w:val="nil"/>
              <w:right w:val="single" w:sz="4" w:space="0" w:color="auto"/>
            </w:tcBorders>
            <w:shd w:val="clear" w:color="auto" w:fill="FFFFFF" w:themeFill="background1"/>
          </w:tcPr>
          <w:p w14:paraId="306E78ED" w14:textId="66DB0A61"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31 040,0</w:t>
            </w:r>
          </w:p>
        </w:tc>
      </w:tr>
      <w:tr w:rsidR="0053464B" w:rsidRPr="006A6461" w14:paraId="77EDB103"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2CC67CBF"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HR</w:t>
            </w:r>
          </w:p>
        </w:tc>
        <w:tc>
          <w:tcPr>
            <w:tcW w:w="1665" w:type="dxa"/>
            <w:tcBorders>
              <w:top w:val="nil"/>
              <w:left w:val="nil"/>
              <w:bottom w:val="nil"/>
              <w:right w:val="single" w:sz="4" w:space="0" w:color="auto"/>
            </w:tcBorders>
            <w:shd w:val="clear" w:color="auto" w:fill="FFFFFF" w:themeFill="background1"/>
            <w:noWrap/>
          </w:tcPr>
          <w:p w14:paraId="0C592B81" w14:textId="70ACB167"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966,8</w:t>
            </w:r>
          </w:p>
        </w:tc>
        <w:tc>
          <w:tcPr>
            <w:tcW w:w="1724" w:type="dxa"/>
            <w:tcBorders>
              <w:top w:val="nil"/>
              <w:left w:val="nil"/>
              <w:bottom w:val="nil"/>
              <w:right w:val="single" w:sz="4" w:space="0" w:color="auto"/>
            </w:tcBorders>
            <w:shd w:val="clear" w:color="auto" w:fill="FFFFFF" w:themeFill="background1"/>
          </w:tcPr>
          <w:p w14:paraId="0D0F6026" w14:textId="28BC5146"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956,3</w:t>
            </w:r>
          </w:p>
        </w:tc>
        <w:tc>
          <w:tcPr>
            <w:tcW w:w="1724" w:type="dxa"/>
            <w:tcBorders>
              <w:top w:val="nil"/>
              <w:left w:val="nil"/>
              <w:bottom w:val="nil"/>
              <w:right w:val="single" w:sz="4" w:space="0" w:color="auto"/>
            </w:tcBorders>
            <w:shd w:val="clear" w:color="auto" w:fill="FFFFFF" w:themeFill="background1"/>
          </w:tcPr>
          <w:p w14:paraId="40DE2524" w14:textId="415B8806"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1 003,5</w:t>
            </w:r>
          </w:p>
        </w:tc>
      </w:tr>
      <w:tr w:rsidR="0053464B" w:rsidRPr="006A6461" w14:paraId="663F13C8"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74ACAD1C"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IT</w:t>
            </w:r>
          </w:p>
        </w:tc>
        <w:tc>
          <w:tcPr>
            <w:tcW w:w="1665" w:type="dxa"/>
            <w:tcBorders>
              <w:top w:val="nil"/>
              <w:left w:val="nil"/>
              <w:bottom w:val="nil"/>
              <w:right w:val="single" w:sz="4" w:space="0" w:color="auto"/>
            </w:tcBorders>
            <w:shd w:val="clear" w:color="auto" w:fill="FFFFFF" w:themeFill="background1"/>
            <w:noWrap/>
          </w:tcPr>
          <w:p w14:paraId="3E9A3898" w14:textId="400D307C"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23 068,8</w:t>
            </w:r>
          </w:p>
        </w:tc>
        <w:tc>
          <w:tcPr>
            <w:tcW w:w="1724" w:type="dxa"/>
            <w:tcBorders>
              <w:top w:val="nil"/>
              <w:left w:val="nil"/>
              <w:bottom w:val="nil"/>
              <w:right w:val="single" w:sz="4" w:space="0" w:color="auto"/>
            </w:tcBorders>
            <w:shd w:val="clear" w:color="auto" w:fill="FFFFFF" w:themeFill="background1"/>
          </w:tcPr>
          <w:p w14:paraId="52C19F0B" w14:textId="59C34695"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22 818,2</w:t>
            </w:r>
          </w:p>
        </w:tc>
        <w:tc>
          <w:tcPr>
            <w:tcW w:w="1724" w:type="dxa"/>
            <w:tcBorders>
              <w:top w:val="nil"/>
              <w:left w:val="nil"/>
              <w:bottom w:val="nil"/>
              <w:right w:val="single" w:sz="4" w:space="0" w:color="auto"/>
            </w:tcBorders>
            <w:shd w:val="clear" w:color="auto" w:fill="FFFFFF" w:themeFill="background1"/>
          </w:tcPr>
          <w:p w14:paraId="3150BC7D" w14:textId="0EF70FDF"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23 634,9</w:t>
            </w:r>
          </w:p>
        </w:tc>
      </w:tr>
      <w:tr w:rsidR="0053464B" w:rsidRPr="006A6461" w14:paraId="16A0172E"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1CE6DCCA"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CY</w:t>
            </w:r>
          </w:p>
        </w:tc>
        <w:tc>
          <w:tcPr>
            <w:tcW w:w="1665" w:type="dxa"/>
            <w:tcBorders>
              <w:top w:val="nil"/>
              <w:left w:val="nil"/>
              <w:bottom w:val="nil"/>
              <w:right w:val="single" w:sz="4" w:space="0" w:color="auto"/>
            </w:tcBorders>
            <w:shd w:val="clear" w:color="auto" w:fill="FFFFFF" w:themeFill="background1"/>
            <w:noWrap/>
          </w:tcPr>
          <w:p w14:paraId="44190469" w14:textId="58226C0D"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355,4</w:t>
            </w:r>
          </w:p>
        </w:tc>
        <w:tc>
          <w:tcPr>
            <w:tcW w:w="1724" w:type="dxa"/>
            <w:tcBorders>
              <w:top w:val="nil"/>
              <w:left w:val="nil"/>
              <w:bottom w:val="nil"/>
              <w:right w:val="single" w:sz="4" w:space="0" w:color="auto"/>
            </w:tcBorders>
            <w:shd w:val="clear" w:color="auto" w:fill="FFFFFF" w:themeFill="background1"/>
          </w:tcPr>
          <w:p w14:paraId="16621D75" w14:textId="5DE8F7CE"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351,7</w:t>
            </w:r>
          </w:p>
        </w:tc>
        <w:tc>
          <w:tcPr>
            <w:tcW w:w="1724" w:type="dxa"/>
            <w:tcBorders>
              <w:top w:val="nil"/>
              <w:left w:val="nil"/>
              <w:bottom w:val="nil"/>
              <w:right w:val="single" w:sz="4" w:space="0" w:color="auto"/>
            </w:tcBorders>
            <w:shd w:val="clear" w:color="auto" w:fill="FFFFFF" w:themeFill="background1"/>
          </w:tcPr>
          <w:p w14:paraId="145D2A3F" w14:textId="701A7A32"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363,4</w:t>
            </w:r>
          </w:p>
        </w:tc>
      </w:tr>
      <w:tr w:rsidR="0053464B" w:rsidRPr="006A6461" w14:paraId="2107637B"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16A60C84"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LV</w:t>
            </w:r>
          </w:p>
        </w:tc>
        <w:tc>
          <w:tcPr>
            <w:tcW w:w="1665" w:type="dxa"/>
            <w:tcBorders>
              <w:top w:val="nil"/>
              <w:left w:val="nil"/>
              <w:bottom w:val="nil"/>
              <w:right w:val="single" w:sz="4" w:space="0" w:color="auto"/>
            </w:tcBorders>
            <w:shd w:val="clear" w:color="auto" w:fill="FFFFFF" w:themeFill="background1"/>
            <w:noWrap/>
          </w:tcPr>
          <w:p w14:paraId="76C6373E" w14:textId="51B0602E"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442,8</w:t>
            </w:r>
          </w:p>
        </w:tc>
        <w:tc>
          <w:tcPr>
            <w:tcW w:w="1724" w:type="dxa"/>
            <w:tcBorders>
              <w:top w:val="nil"/>
              <w:left w:val="nil"/>
              <w:bottom w:val="nil"/>
              <w:right w:val="single" w:sz="4" w:space="0" w:color="auto"/>
            </w:tcBorders>
            <w:shd w:val="clear" w:color="auto" w:fill="FFFFFF" w:themeFill="background1"/>
          </w:tcPr>
          <w:p w14:paraId="5473F8BD" w14:textId="50AB04B3"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438,1</w:t>
            </w:r>
          </w:p>
        </w:tc>
        <w:tc>
          <w:tcPr>
            <w:tcW w:w="1724" w:type="dxa"/>
            <w:tcBorders>
              <w:top w:val="nil"/>
              <w:left w:val="nil"/>
              <w:bottom w:val="nil"/>
              <w:right w:val="single" w:sz="4" w:space="0" w:color="auto"/>
            </w:tcBorders>
            <w:shd w:val="clear" w:color="auto" w:fill="FFFFFF" w:themeFill="background1"/>
          </w:tcPr>
          <w:p w14:paraId="5720D519" w14:textId="0B06E57D"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454,2</w:t>
            </w:r>
          </w:p>
        </w:tc>
      </w:tr>
      <w:tr w:rsidR="0053464B" w:rsidRPr="006A6461" w14:paraId="2D24FAB2"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338018DC"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LT</w:t>
            </w:r>
          </w:p>
        </w:tc>
        <w:tc>
          <w:tcPr>
            <w:tcW w:w="1665" w:type="dxa"/>
            <w:tcBorders>
              <w:top w:val="nil"/>
              <w:left w:val="nil"/>
              <w:bottom w:val="nil"/>
              <w:right w:val="single" w:sz="4" w:space="0" w:color="auto"/>
            </w:tcBorders>
            <w:shd w:val="clear" w:color="auto" w:fill="FFFFFF" w:themeFill="background1"/>
            <w:noWrap/>
          </w:tcPr>
          <w:p w14:paraId="5613E63B" w14:textId="2C02FF1E"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876,3</w:t>
            </w:r>
          </w:p>
        </w:tc>
        <w:tc>
          <w:tcPr>
            <w:tcW w:w="1724" w:type="dxa"/>
            <w:tcBorders>
              <w:top w:val="nil"/>
              <w:left w:val="nil"/>
              <w:bottom w:val="nil"/>
              <w:right w:val="single" w:sz="4" w:space="0" w:color="auto"/>
            </w:tcBorders>
            <w:shd w:val="clear" w:color="auto" w:fill="FFFFFF" w:themeFill="background1"/>
          </w:tcPr>
          <w:p w14:paraId="099C47E5" w14:textId="1505217B"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867,0</w:t>
            </w:r>
          </w:p>
        </w:tc>
        <w:tc>
          <w:tcPr>
            <w:tcW w:w="1724" w:type="dxa"/>
            <w:tcBorders>
              <w:top w:val="nil"/>
              <w:left w:val="nil"/>
              <w:bottom w:val="nil"/>
              <w:right w:val="single" w:sz="4" w:space="0" w:color="auto"/>
            </w:tcBorders>
            <w:shd w:val="clear" w:color="auto" w:fill="FFFFFF" w:themeFill="background1"/>
          </w:tcPr>
          <w:p w14:paraId="7E8756B6" w14:textId="434CD10A"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919,1</w:t>
            </w:r>
          </w:p>
        </w:tc>
      </w:tr>
      <w:tr w:rsidR="0053464B" w:rsidRPr="006A6461" w14:paraId="55F52DAF"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7EB25055"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LU</w:t>
            </w:r>
          </w:p>
        </w:tc>
        <w:tc>
          <w:tcPr>
            <w:tcW w:w="1665" w:type="dxa"/>
            <w:tcBorders>
              <w:top w:val="nil"/>
              <w:left w:val="nil"/>
              <w:bottom w:val="nil"/>
              <w:right w:val="single" w:sz="4" w:space="0" w:color="auto"/>
            </w:tcBorders>
            <w:shd w:val="clear" w:color="auto" w:fill="FFFFFF" w:themeFill="background1"/>
            <w:noWrap/>
          </w:tcPr>
          <w:p w14:paraId="73DAC905" w14:textId="0AF05D6A"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570,9</w:t>
            </w:r>
          </w:p>
        </w:tc>
        <w:tc>
          <w:tcPr>
            <w:tcW w:w="1724" w:type="dxa"/>
            <w:tcBorders>
              <w:top w:val="nil"/>
              <w:left w:val="nil"/>
              <w:bottom w:val="nil"/>
              <w:right w:val="single" w:sz="4" w:space="0" w:color="auto"/>
            </w:tcBorders>
            <w:shd w:val="clear" w:color="auto" w:fill="FFFFFF" w:themeFill="background1"/>
          </w:tcPr>
          <w:p w14:paraId="128FA7DF" w14:textId="03AD0CD1"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564,3</w:t>
            </w:r>
          </w:p>
        </w:tc>
        <w:tc>
          <w:tcPr>
            <w:tcW w:w="1724" w:type="dxa"/>
            <w:tcBorders>
              <w:top w:val="nil"/>
              <w:left w:val="nil"/>
              <w:bottom w:val="nil"/>
              <w:right w:val="single" w:sz="4" w:space="0" w:color="auto"/>
            </w:tcBorders>
            <w:shd w:val="clear" w:color="auto" w:fill="FFFFFF" w:themeFill="background1"/>
          </w:tcPr>
          <w:p w14:paraId="45692A4D" w14:textId="4A936F13"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596,4</w:t>
            </w:r>
          </w:p>
        </w:tc>
      </w:tr>
      <w:tr w:rsidR="0053464B" w:rsidRPr="006A6461" w14:paraId="5D84C0C4"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39E673D5"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HU</w:t>
            </w:r>
          </w:p>
        </w:tc>
        <w:tc>
          <w:tcPr>
            <w:tcW w:w="1665" w:type="dxa"/>
            <w:tcBorders>
              <w:top w:val="nil"/>
              <w:left w:val="nil"/>
              <w:bottom w:val="nil"/>
              <w:right w:val="single" w:sz="4" w:space="0" w:color="auto"/>
            </w:tcBorders>
            <w:shd w:val="clear" w:color="auto" w:fill="FFFFFF" w:themeFill="background1"/>
            <w:noWrap/>
          </w:tcPr>
          <w:p w14:paraId="002041AB" w14:textId="63F22544"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2 369,5</w:t>
            </w:r>
          </w:p>
        </w:tc>
        <w:tc>
          <w:tcPr>
            <w:tcW w:w="1724" w:type="dxa"/>
            <w:tcBorders>
              <w:top w:val="nil"/>
              <w:left w:val="nil"/>
              <w:bottom w:val="nil"/>
              <w:right w:val="single" w:sz="4" w:space="0" w:color="auto"/>
            </w:tcBorders>
            <w:shd w:val="clear" w:color="auto" w:fill="FFFFFF" w:themeFill="background1"/>
          </w:tcPr>
          <w:p w14:paraId="50D68724" w14:textId="5C5FD398"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2 345,2</w:t>
            </w:r>
          </w:p>
        </w:tc>
        <w:tc>
          <w:tcPr>
            <w:tcW w:w="1724" w:type="dxa"/>
            <w:tcBorders>
              <w:top w:val="nil"/>
              <w:left w:val="nil"/>
              <w:bottom w:val="nil"/>
              <w:right w:val="single" w:sz="4" w:space="0" w:color="auto"/>
            </w:tcBorders>
            <w:shd w:val="clear" w:color="auto" w:fill="FFFFFF" w:themeFill="background1"/>
          </w:tcPr>
          <w:p w14:paraId="21CCE25C" w14:textId="2AEEBD5A"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2 543,9</w:t>
            </w:r>
          </w:p>
        </w:tc>
      </w:tr>
      <w:tr w:rsidR="0053464B" w:rsidRPr="006A6461" w14:paraId="34112772"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48E40AE0"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MT</w:t>
            </w:r>
          </w:p>
        </w:tc>
        <w:tc>
          <w:tcPr>
            <w:tcW w:w="1665" w:type="dxa"/>
            <w:tcBorders>
              <w:top w:val="nil"/>
              <w:left w:val="nil"/>
              <w:bottom w:val="nil"/>
              <w:right w:val="single" w:sz="4" w:space="0" w:color="auto"/>
            </w:tcBorders>
            <w:shd w:val="clear" w:color="auto" w:fill="FFFFFF" w:themeFill="background1"/>
            <w:noWrap/>
          </w:tcPr>
          <w:p w14:paraId="1F4D6EBF" w14:textId="30F62D49"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228,4</w:t>
            </w:r>
          </w:p>
        </w:tc>
        <w:tc>
          <w:tcPr>
            <w:tcW w:w="1724" w:type="dxa"/>
            <w:tcBorders>
              <w:top w:val="nil"/>
              <w:left w:val="nil"/>
              <w:bottom w:val="nil"/>
              <w:right w:val="single" w:sz="4" w:space="0" w:color="auto"/>
            </w:tcBorders>
            <w:shd w:val="clear" w:color="auto" w:fill="FFFFFF" w:themeFill="background1"/>
          </w:tcPr>
          <w:p w14:paraId="2FCCAB97" w14:textId="44F76856"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226,0</w:t>
            </w:r>
          </w:p>
        </w:tc>
        <w:tc>
          <w:tcPr>
            <w:tcW w:w="1724" w:type="dxa"/>
            <w:tcBorders>
              <w:top w:val="nil"/>
              <w:left w:val="nil"/>
              <w:bottom w:val="nil"/>
              <w:right w:val="single" w:sz="4" w:space="0" w:color="auto"/>
            </w:tcBorders>
            <w:shd w:val="clear" w:color="auto" w:fill="FFFFFF" w:themeFill="background1"/>
          </w:tcPr>
          <w:p w14:paraId="65DA5125" w14:textId="79894DE0"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247,7</w:t>
            </w:r>
          </w:p>
        </w:tc>
      </w:tr>
      <w:tr w:rsidR="0053464B" w:rsidRPr="006A6461" w14:paraId="29D99342"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112315B0"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NL</w:t>
            </w:r>
          </w:p>
        </w:tc>
        <w:tc>
          <w:tcPr>
            <w:tcW w:w="1665" w:type="dxa"/>
            <w:tcBorders>
              <w:top w:val="nil"/>
              <w:left w:val="nil"/>
              <w:bottom w:val="nil"/>
              <w:right w:val="single" w:sz="4" w:space="0" w:color="auto"/>
            </w:tcBorders>
            <w:shd w:val="clear" w:color="auto" w:fill="FFFFFF" w:themeFill="background1"/>
            <w:noWrap/>
          </w:tcPr>
          <w:p w14:paraId="59724D2C" w14:textId="68E56219"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11 800,1</w:t>
            </w:r>
          </w:p>
        </w:tc>
        <w:tc>
          <w:tcPr>
            <w:tcW w:w="1724" w:type="dxa"/>
            <w:tcBorders>
              <w:top w:val="nil"/>
              <w:left w:val="nil"/>
              <w:bottom w:val="nil"/>
              <w:right w:val="single" w:sz="4" w:space="0" w:color="auto"/>
            </w:tcBorders>
            <w:shd w:val="clear" w:color="auto" w:fill="FFFFFF" w:themeFill="background1"/>
          </w:tcPr>
          <w:p w14:paraId="4BD85073" w14:textId="77A35D67"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11 666,4</w:t>
            </w:r>
          </w:p>
        </w:tc>
        <w:tc>
          <w:tcPr>
            <w:tcW w:w="1724" w:type="dxa"/>
            <w:tcBorders>
              <w:top w:val="nil"/>
              <w:left w:val="nil"/>
              <w:bottom w:val="nil"/>
              <w:right w:val="single" w:sz="4" w:space="0" w:color="auto"/>
            </w:tcBorders>
            <w:shd w:val="clear" w:color="auto" w:fill="FFFFFF" w:themeFill="background1"/>
          </w:tcPr>
          <w:p w14:paraId="1B2C3A9D" w14:textId="2C1FCB89"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12 020,6</w:t>
            </w:r>
          </w:p>
        </w:tc>
      </w:tr>
      <w:tr w:rsidR="0053464B" w:rsidRPr="006A6461" w14:paraId="30489406"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1AF30E0A"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AT</w:t>
            </w:r>
          </w:p>
        </w:tc>
        <w:tc>
          <w:tcPr>
            <w:tcW w:w="1665" w:type="dxa"/>
            <w:tcBorders>
              <w:top w:val="nil"/>
              <w:left w:val="nil"/>
              <w:bottom w:val="nil"/>
              <w:right w:val="single" w:sz="4" w:space="0" w:color="auto"/>
            </w:tcBorders>
            <w:shd w:val="clear" w:color="auto" w:fill="FFFFFF" w:themeFill="background1"/>
            <w:noWrap/>
          </w:tcPr>
          <w:p w14:paraId="3D533FF2" w14:textId="2B4E108D"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4 204,4</w:t>
            </w:r>
          </w:p>
        </w:tc>
        <w:tc>
          <w:tcPr>
            <w:tcW w:w="1724" w:type="dxa"/>
            <w:tcBorders>
              <w:top w:val="nil"/>
              <w:left w:val="nil"/>
              <w:bottom w:val="nil"/>
              <w:right w:val="single" w:sz="4" w:space="0" w:color="auto"/>
            </w:tcBorders>
            <w:shd w:val="clear" w:color="auto" w:fill="FFFFFF" w:themeFill="background1"/>
          </w:tcPr>
          <w:p w14:paraId="0102C062" w14:textId="368E05AE"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4 149,1</w:t>
            </w:r>
          </w:p>
        </w:tc>
        <w:tc>
          <w:tcPr>
            <w:tcW w:w="1724" w:type="dxa"/>
            <w:tcBorders>
              <w:top w:val="nil"/>
              <w:left w:val="nil"/>
              <w:bottom w:val="nil"/>
              <w:right w:val="single" w:sz="4" w:space="0" w:color="auto"/>
            </w:tcBorders>
            <w:shd w:val="clear" w:color="auto" w:fill="FFFFFF" w:themeFill="background1"/>
          </w:tcPr>
          <w:p w14:paraId="57CE4FC9" w14:textId="78678BDD"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4 392,2</w:t>
            </w:r>
          </w:p>
        </w:tc>
      </w:tr>
      <w:tr w:rsidR="0053464B" w:rsidRPr="006A6461" w14:paraId="320D2A24"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6B637CD3"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PL</w:t>
            </w:r>
          </w:p>
        </w:tc>
        <w:tc>
          <w:tcPr>
            <w:tcW w:w="1665" w:type="dxa"/>
            <w:tcBorders>
              <w:top w:val="nil"/>
              <w:left w:val="nil"/>
              <w:bottom w:val="nil"/>
              <w:right w:val="single" w:sz="4" w:space="0" w:color="auto"/>
            </w:tcBorders>
            <w:shd w:val="clear" w:color="auto" w:fill="FFFFFF" w:themeFill="background1"/>
            <w:noWrap/>
          </w:tcPr>
          <w:p w14:paraId="49F20D0D" w14:textId="51F3BA81"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9 905,4</w:t>
            </w:r>
          </w:p>
        </w:tc>
        <w:tc>
          <w:tcPr>
            <w:tcW w:w="1724" w:type="dxa"/>
            <w:tcBorders>
              <w:top w:val="nil"/>
              <w:left w:val="nil"/>
              <w:bottom w:val="nil"/>
              <w:right w:val="single" w:sz="4" w:space="0" w:color="auto"/>
            </w:tcBorders>
            <w:shd w:val="clear" w:color="auto" w:fill="FFFFFF" w:themeFill="background1"/>
          </w:tcPr>
          <w:p w14:paraId="0606182E" w14:textId="29202A88"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9 802,4</w:t>
            </w:r>
          </w:p>
        </w:tc>
        <w:tc>
          <w:tcPr>
            <w:tcW w:w="1724" w:type="dxa"/>
            <w:tcBorders>
              <w:top w:val="nil"/>
              <w:left w:val="nil"/>
              <w:bottom w:val="nil"/>
              <w:right w:val="single" w:sz="4" w:space="0" w:color="auto"/>
            </w:tcBorders>
            <w:shd w:val="clear" w:color="auto" w:fill="FFFFFF" w:themeFill="background1"/>
          </w:tcPr>
          <w:p w14:paraId="05EAD5E0" w14:textId="51004F91"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10 355,1</w:t>
            </w:r>
          </w:p>
        </w:tc>
      </w:tr>
      <w:tr w:rsidR="0053464B" w:rsidRPr="006A6461" w14:paraId="2B662691"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3E166319"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PT</w:t>
            </w:r>
          </w:p>
        </w:tc>
        <w:tc>
          <w:tcPr>
            <w:tcW w:w="1665" w:type="dxa"/>
            <w:tcBorders>
              <w:top w:val="nil"/>
              <w:left w:val="nil"/>
              <w:bottom w:val="nil"/>
              <w:right w:val="single" w:sz="4" w:space="0" w:color="auto"/>
            </w:tcBorders>
            <w:shd w:val="clear" w:color="auto" w:fill="FFFFFF" w:themeFill="background1"/>
            <w:noWrap/>
          </w:tcPr>
          <w:p w14:paraId="38F57F33" w14:textId="27D88C0F"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3 205,2</w:t>
            </w:r>
          </w:p>
        </w:tc>
        <w:tc>
          <w:tcPr>
            <w:tcW w:w="1724" w:type="dxa"/>
            <w:tcBorders>
              <w:top w:val="nil"/>
              <w:left w:val="nil"/>
              <w:bottom w:val="nil"/>
              <w:right w:val="single" w:sz="4" w:space="0" w:color="auto"/>
            </w:tcBorders>
            <w:shd w:val="clear" w:color="auto" w:fill="FFFFFF" w:themeFill="background1"/>
          </w:tcPr>
          <w:p w14:paraId="539964EE" w14:textId="434ADD34"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3 171,8</w:t>
            </w:r>
          </w:p>
        </w:tc>
        <w:tc>
          <w:tcPr>
            <w:tcW w:w="1724" w:type="dxa"/>
            <w:tcBorders>
              <w:top w:val="nil"/>
              <w:left w:val="nil"/>
              <w:bottom w:val="nil"/>
              <w:right w:val="single" w:sz="4" w:space="0" w:color="auto"/>
            </w:tcBorders>
            <w:shd w:val="clear" w:color="auto" w:fill="FFFFFF" w:themeFill="background1"/>
          </w:tcPr>
          <w:p w14:paraId="1447DA22" w14:textId="6413F35F"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3 292,1</w:t>
            </w:r>
          </w:p>
        </w:tc>
      </w:tr>
      <w:tr w:rsidR="0053464B" w:rsidRPr="006A6461" w14:paraId="245F8A3C"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08E247B2"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RO</w:t>
            </w:r>
          </w:p>
        </w:tc>
        <w:tc>
          <w:tcPr>
            <w:tcW w:w="1665" w:type="dxa"/>
            <w:tcBorders>
              <w:top w:val="nil"/>
              <w:left w:val="nil"/>
              <w:bottom w:val="nil"/>
              <w:right w:val="single" w:sz="4" w:space="0" w:color="auto"/>
            </w:tcBorders>
            <w:shd w:val="clear" w:color="auto" w:fill="FFFFFF" w:themeFill="background1"/>
            <w:noWrap/>
          </w:tcPr>
          <w:p w14:paraId="5ED57535" w14:textId="628739A5"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4 001,0</w:t>
            </w:r>
          </w:p>
        </w:tc>
        <w:tc>
          <w:tcPr>
            <w:tcW w:w="1724" w:type="dxa"/>
            <w:tcBorders>
              <w:top w:val="nil"/>
              <w:left w:val="nil"/>
              <w:bottom w:val="nil"/>
              <w:right w:val="single" w:sz="4" w:space="0" w:color="auto"/>
            </w:tcBorders>
            <w:shd w:val="clear" w:color="auto" w:fill="FFFFFF" w:themeFill="background1"/>
          </w:tcPr>
          <w:p w14:paraId="2FCA4190" w14:textId="4C139ECB"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3 957,1</w:t>
            </w:r>
          </w:p>
        </w:tc>
        <w:tc>
          <w:tcPr>
            <w:tcW w:w="1724" w:type="dxa"/>
            <w:tcBorders>
              <w:top w:val="nil"/>
              <w:left w:val="nil"/>
              <w:bottom w:val="nil"/>
              <w:right w:val="single" w:sz="4" w:space="0" w:color="auto"/>
            </w:tcBorders>
            <w:shd w:val="clear" w:color="auto" w:fill="FFFFFF" w:themeFill="background1"/>
          </w:tcPr>
          <w:p w14:paraId="40867D81" w14:textId="55FC56F0"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3 972,9</w:t>
            </w:r>
          </w:p>
        </w:tc>
      </w:tr>
      <w:tr w:rsidR="0053464B" w:rsidRPr="006A6461" w14:paraId="49AF8441"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0046F299"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SI</w:t>
            </w:r>
          </w:p>
        </w:tc>
        <w:tc>
          <w:tcPr>
            <w:tcW w:w="1665" w:type="dxa"/>
            <w:tcBorders>
              <w:top w:val="nil"/>
              <w:left w:val="nil"/>
              <w:bottom w:val="nil"/>
              <w:right w:val="single" w:sz="4" w:space="0" w:color="auto"/>
            </w:tcBorders>
            <w:shd w:val="clear" w:color="auto" w:fill="FFFFFF" w:themeFill="background1"/>
            <w:noWrap/>
          </w:tcPr>
          <w:p w14:paraId="024CDFD8" w14:textId="131E35D7"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846,4</w:t>
            </w:r>
          </w:p>
        </w:tc>
        <w:tc>
          <w:tcPr>
            <w:tcW w:w="1724" w:type="dxa"/>
            <w:tcBorders>
              <w:top w:val="nil"/>
              <w:left w:val="nil"/>
              <w:bottom w:val="nil"/>
              <w:right w:val="single" w:sz="4" w:space="0" w:color="auto"/>
            </w:tcBorders>
            <w:shd w:val="clear" w:color="auto" w:fill="FFFFFF" w:themeFill="background1"/>
          </w:tcPr>
          <w:p w14:paraId="3E136E7A" w14:textId="0110A51C"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838,5</w:t>
            </w:r>
          </w:p>
        </w:tc>
        <w:tc>
          <w:tcPr>
            <w:tcW w:w="1724" w:type="dxa"/>
            <w:tcBorders>
              <w:top w:val="nil"/>
              <w:left w:val="nil"/>
              <w:bottom w:val="nil"/>
              <w:right w:val="single" w:sz="4" w:space="0" w:color="auto"/>
            </w:tcBorders>
            <w:shd w:val="clear" w:color="auto" w:fill="FFFFFF" w:themeFill="background1"/>
          </w:tcPr>
          <w:p w14:paraId="5BEB791A" w14:textId="0EE00EC4"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888,0</w:t>
            </w:r>
          </w:p>
        </w:tc>
      </w:tr>
      <w:tr w:rsidR="0053464B" w:rsidRPr="006A6461" w14:paraId="5FBBE19A"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6D719EC8"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SK</w:t>
            </w:r>
          </w:p>
        </w:tc>
        <w:tc>
          <w:tcPr>
            <w:tcW w:w="1665" w:type="dxa"/>
            <w:tcBorders>
              <w:top w:val="nil"/>
              <w:left w:val="nil"/>
              <w:bottom w:val="nil"/>
              <w:right w:val="single" w:sz="4" w:space="0" w:color="auto"/>
            </w:tcBorders>
            <w:shd w:val="clear" w:color="auto" w:fill="FFFFFF" w:themeFill="background1"/>
            <w:noWrap/>
          </w:tcPr>
          <w:p w14:paraId="2870DEDA" w14:textId="2C408B09"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1 476,0</w:t>
            </w:r>
          </w:p>
        </w:tc>
        <w:tc>
          <w:tcPr>
            <w:tcW w:w="1724" w:type="dxa"/>
            <w:tcBorders>
              <w:top w:val="nil"/>
              <w:left w:val="nil"/>
              <w:bottom w:val="nil"/>
              <w:right w:val="single" w:sz="4" w:space="0" w:color="auto"/>
            </w:tcBorders>
            <w:shd w:val="clear" w:color="auto" w:fill="FFFFFF" w:themeFill="background1"/>
          </w:tcPr>
          <w:p w14:paraId="2144261B" w14:textId="68B8C94D"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1 460,8</w:t>
            </w:r>
          </w:p>
        </w:tc>
        <w:tc>
          <w:tcPr>
            <w:tcW w:w="1724" w:type="dxa"/>
            <w:tcBorders>
              <w:top w:val="nil"/>
              <w:left w:val="nil"/>
              <w:bottom w:val="nil"/>
              <w:right w:val="single" w:sz="4" w:space="0" w:color="auto"/>
            </w:tcBorders>
            <w:shd w:val="clear" w:color="auto" w:fill="FFFFFF" w:themeFill="background1"/>
          </w:tcPr>
          <w:p w14:paraId="01F9D06E" w14:textId="1089AD52"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1 392,8</w:t>
            </w:r>
          </w:p>
        </w:tc>
      </w:tr>
      <w:tr w:rsidR="0053464B" w:rsidRPr="006A6461" w14:paraId="15DC5EFA" w14:textId="77777777" w:rsidTr="1BC8E8A2">
        <w:trPr>
          <w:trHeight w:val="300"/>
          <w:jc w:val="center"/>
        </w:trPr>
        <w:tc>
          <w:tcPr>
            <w:tcW w:w="1248" w:type="dxa"/>
            <w:tcBorders>
              <w:top w:val="nil"/>
              <w:left w:val="single" w:sz="4" w:space="0" w:color="auto"/>
              <w:right w:val="single" w:sz="4" w:space="0" w:color="auto"/>
            </w:tcBorders>
            <w:shd w:val="clear" w:color="auto" w:fill="FFFFFF" w:themeFill="background1"/>
            <w:noWrap/>
            <w:vAlign w:val="bottom"/>
            <w:hideMark/>
          </w:tcPr>
          <w:p w14:paraId="45CAAD42"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FI</w:t>
            </w:r>
          </w:p>
        </w:tc>
        <w:tc>
          <w:tcPr>
            <w:tcW w:w="1665" w:type="dxa"/>
            <w:tcBorders>
              <w:top w:val="nil"/>
              <w:left w:val="nil"/>
              <w:right w:val="single" w:sz="4" w:space="0" w:color="auto"/>
            </w:tcBorders>
            <w:shd w:val="clear" w:color="auto" w:fill="FFFFFF" w:themeFill="background1"/>
            <w:noWrap/>
          </w:tcPr>
          <w:p w14:paraId="45AB3B13" w14:textId="15A8C60A"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2 842,3</w:t>
            </w:r>
          </w:p>
        </w:tc>
        <w:tc>
          <w:tcPr>
            <w:tcW w:w="1724" w:type="dxa"/>
            <w:tcBorders>
              <w:top w:val="nil"/>
              <w:left w:val="nil"/>
              <w:right w:val="single" w:sz="4" w:space="0" w:color="auto"/>
            </w:tcBorders>
            <w:shd w:val="clear" w:color="auto" w:fill="FFFFFF" w:themeFill="background1"/>
          </w:tcPr>
          <w:p w14:paraId="35F82AAE" w14:textId="2BE432BF"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2 810,0</w:t>
            </w:r>
          </w:p>
        </w:tc>
        <w:tc>
          <w:tcPr>
            <w:tcW w:w="1724" w:type="dxa"/>
            <w:tcBorders>
              <w:top w:val="nil"/>
              <w:left w:val="nil"/>
              <w:right w:val="single" w:sz="4" w:space="0" w:color="auto"/>
            </w:tcBorders>
            <w:shd w:val="clear" w:color="auto" w:fill="FFFFFF" w:themeFill="background1"/>
          </w:tcPr>
          <w:p w14:paraId="16EEB6D4" w14:textId="72249EE1"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2 831,3</w:t>
            </w:r>
          </w:p>
        </w:tc>
      </w:tr>
      <w:tr w:rsidR="0053464B" w:rsidRPr="006A6461" w14:paraId="65364C61" w14:textId="77777777" w:rsidTr="1BC8E8A2">
        <w:trPr>
          <w:trHeight w:val="300"/>
          <w:jc w:val="center"/>
        </w:trPr>
        <w:tc>
          <w:tcPr>
            <w:tcW w:w="1248" w:type="dxa"/>
            <w:tcBorders>
              <w:top w:val="nil"/>
              <w:left w:val="single" w:sz="4" w:space="0" w:color="auto"/>
              <w:right w:val="single" w:sz="4" w:space="0" w:color="auto"/>
            </w:tcBorders>
            <w:shd w:val="clear" w:color="auto" w:fill="FFFFFF" w:themeFill="background1"/>
            <w:noWrap/>
            <w:vAlign w:val="bottom"/>
            <w:hideMark/>
          </w:tcPr>
          <w:p w14:paraId="42344D00"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SE</w:t>
            </w:r>
          </w:p>
        </w:tc>
        <w:tc>
          <w:tcPr>
            <w:tcW w:w="1665" w:type="dxa"/>
            <w:tcBorders>
              <w:top w:val="nil"/>
              <w:left w:val="nil"/>
              <w:right w:val="single" w:sz="4" w:space="0" w:color="auto"/>
            </w:tcBorders>
            <w:shd w:val="clear" w:color="auto" w:fill="FFFFFF" w:themeFill="background1"/>
            <w:noWrap/>
          </w:tcPr>
          <w:p w14:paraId="369128E5" w14:textId="2B8CB993"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5 080,1</w:t>
            </w:r>
          </w:p>
        </w:tc>
        <w:tc>
          <w:tcPr>
            <w:tcW w:w="1724" w:type="dxa"/>
            <w:tcBorders>
              <w:top w:val="nil"/>
              <w:left w:val="nil"/>
              <w:right w:val="single" w:sz="4" w:space="0" w:color="auto"/>
            </w:tcBorders>
            <w:shd w:val="clear" w:color="auto" w:fill="FFFFFF" w:themeFill="background1"/>
          </w:tcPr>
          <w:p w14:paraId="651BDC95" w14:textId="467F7A67"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5 008,6</w:t>
            </w:r>
          </w:p>
        </w:tc>
        <w:tc>
          <w:tcPr>
            <w:tcW w:w="1724" w:type="dxa"/>
            <w:tcBorders>
              <w:top w:val="nil"/>
              <w:left w:val="nil"/>
              <w:right w:val="single" w:sz="4" w:space="0" w:color="auto"/>
            </w:tcBorders>
            <w:shd w:val="clear" w:color="auto" w:fill="FFFFFF" w:themeFill="background1"/>
          </w:tcPr>
          <w:p w14:paraId="7A9F597C" w14:textId="1CEB516E"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5 268,8</w:t>
            </w:r>
            <w:r>
              <w:rPr>
                <w:rFonts w:ascii="Times New Roman" w:hAnsi="Times New Roman"/>
                <w:b/>
                <w:noProof/>
                <w:color w:val="000000" w:themeColor="text1"/>
                <w:sz w:val="20"/>
              </w:rPr>
              <w:t xml:space="preserve"> </w:t>
            </w:r>
          </w:p>
        </w:tc>
      </w:tr>
      <w:tr w:rsidR="0053464B" w:rsidRPr="006A6461" w14:paraId="577518CD" w14:textId="77777777" w:rsidTr="386067CE">
        <w:trPr>
          <w:trHeight w:val="300"/>
          <w:jc w:val="center"/>
        </w:trPr>
        <w:tc>
          <w:tcPr>
            <w:tcW w:w="1248"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F1D055E" w14:textId="5351AE18" w:rsidR="0053464B" w:rsidRPr="006A6461" w:rsidRDefault="400184B9" w:rsidP="0053464B">
            <w:pPr>
              <w:spacing w:after="120"/>
              <w:rPr>
                <w:rFonts w:ascii="Times New Roman" w:hAnsi="Times New Roman" w:cs="Times New Roman"/>
                <w:b/>
                <w:bCs/>
                <w:noProof/>
                <w:color w:val="000000"/>
                <w:sz w:val="20"/>
                <w:szCs w:val="20"/>
              </w:rPr>
            </w:pPr>
            <w:r>
              <w:rPr>
                <w:rFonts w:ascii="Times New Roman" w:hAnsi="Times New Roman"/>
                <w:b/>
                <w:noProof/>
                <w:color w:val="000000" w:themeColor="text1"/>
                <w:sz w:val="20"/>
              </w:rPr>
              <w:t>UE</w:t>
            </w:r>
          </w:p>
        </w:tc>
        <w:tc>
          <w:tcPr>
            <w:tcW w:w="1665" w:type="dxa"/>
            <w:tcBorders>
              <w:top w:val="single" w:sz="4" w:space="0" w:color="auto"/>
              <w:left w:val="nil"/>
              <w:bottom w:val="single" w:sz="4" w:space="0" w:color="auto"/>
              <w:right w:val="single" w:sz="4" w:space="0" w:color="auto"/>
            </w:tcBorders>
            <w:shd w:val="clear" w:color="auto" w:fill="FFFFFF" w:themeFill="background1"/>
            <w:noWrap/>
          </w:tcPr>
          <w:p w14:paraId="01486390" w14:textId="2E17D79E" w:rsidR="11E3DED0" w:rsidRPr="00005D33" w:rsidRDefault="2FB30CEB" w:rsidP="00905B32">
            <w:pPr>
              <w:spacing w:after="0"/>
              <w:jc w:val="right"/>
              <w:rPr>
                <w:rFonts w:ascii="Times New Roman" w:eastAsia="Times New Roman" w:hAnsi="Times New Roman" w:cs="Times New Roman"/>
                <w:b/>
                <w:bCs/>
                <w:noProof/>
                <w:sz w:val="20"/>
                <w:szCs w:val="20"/>
              </w:rPr>
            </w:pPr>
            <w:r>
              <w:rPr>
                <w:rFonts w:ascii="Times New Roman" w:hAnsi="Times New Roman"/>
                <w:b/>
                <w:noProof/>
                <w:sz w:val="20"/>
              </w:rPr>
              <w:t>186 555,5</w:t>
            </w:r>
          </w:p>
        </w:tc>
        <w:tc>
          <w:tcPr>
            <w:tcW w:w="1724" w:type="dxa"/>
            <w:tcBorders>
              <w:top w:val="single" w:sz="4" w:space="0" w:color="auto"/>
              <w:left w:val="nil"/>
              <w:bottom w:val="single" w:sz="4" w:space="0" w:color="auto"/>
              <w:right w:val="single" w:sz="4" w:space="0" w:color="auto"/>
            </w:tcBorders>
            <w:shd w:val="clear" w:color="auto" w:fill="FFFFFF" w:themeFill="background1"/>
          </w:tcPr>
          <w:p w14:paraId="2662D44F" w14:textId="2DFC7544" w:rsidR="11E3DED0" w:rsidRPr="00005D33" w:rsidRDefault="2FB30CEB" w:rsidP="00905B32">
            <w:pPr>
              <w:spacing w:after="0"/>
              <w:jc w:val="right"/>
              <w:rPr>
                <w:rFonts w:ascii="Times New Roman" w:eastAsia="Times New Roman" w:hAnsi="Times New Roman" w:cs="Times New Roman"/>
                <w:b/>
                <w:bCs/>
                <w:noProof/>
                <w:sz w:val="20"/>
                <w:szCs w:val="20"/>
              </w:rPr>
            </w:pPr>
            <w:r>
              <w:rPr>
                <w:rFonts w:ascii="Times New Roman" w:hAnsi="Times New Roman"/>
                <w:b/>
                <w:noProof/>
                <w:sz w:val="20"/>
              </w:rPr>
              <w:t>184 460,2</w:t>
            </w:r>
          </w:p>
        </w:tc>
        <w:tc>
          <w:tcPr>
            <w:tcW w:w="1635" w:type="dxa"/>
            <w:tcBorders>
              <w:top w:val="single" w:sz="4" w:space="0" w:color="auto"/>
              <w:left w:val="nil"/>
              <w:bottom w:val="single" w:sz="4" w:space="0" w:color="auto"/>
              <w:right w:val="single" w:sz="4" w:space="0" w:color="auto"/>
            </w:tcBorders>
            <w:shd w:val="clear" w:color="auto" w:fill="FFFFFF" w:themeFill="background1"/>
            <w:noWrap/>
          </w:tcPr>
          <w:p w14:paraId="1742C94F" w14:textId="4FD83D58" w:rsidR="4FFED839" w:rsidRPr="00005D33" w:rsidRDefault="2FB30CEB" w:rsidP="00905B32">
            <w:pPr>
              <w:spacing w:after="0"/>
              <w:jc w:val="right"/>
              <w:rPr>
                <w:rFonts w:ascii="Times New Roman" w:eastAsia="Times New Roman" w:hAnsi="Times New Roman" w:cs="Times New Roman"/>
                <w:b/>
                <w:bCs/>
                <w:noProof/>
                <w:sz w:val="20"/>
                <w:szCs w:val="20"/>
              </w:rPr>
            </w:pPr>
            <w:r>
              <w:rPr>
                <w:rFonts w:ascii="Times New Roman" w:hAnsi="Times New Roman"/>
                <w:b/>
                <w:noProof/>
                <w:sz w:val="20"/>
              </w:rPr>
              <w:t>191 823,1</w:t>
            </w:r>
          </w:p>
        </w:tc>
      </w:tr>
    </w:tbl>
    <w:p w14:paraId="7A5FCCC7" w14:textId="77777777" w:rsidR="007A4316" w:rsidRPr="006A6461" w:rsidRDefault="007A4316" w:rsidP="007A4316">
      <w:pPr>
        <w:keepNext/>
        <w:tabs>
          <w:tab w:val="left" w:pos="850"/>
        </w:tabs>
        <w:spacing w:before="360" w:after="120"/>
        <w:ind w:left="850" w:hanging="850"/>
        <w:jc w:val="both"/>
        <w:outlineLvl w:val="1"/>
        <w:rPr>
          <w:rFonts w:ascii="Times New Roman" w:eastAsia="Calibri" w:hAnsi="Times New Roman" w:cs="Times New Roman"/>
          <w:b/>
          <w:noProof/>
          <w:sz w:val="24"/>
          <w:szCs w:val="24"/>
        </w:rPr>
      </w:pPr>
      <w:bookmarkStart w:id="23" w:name="_Toc73720668"/>
      <w:bookmarkStart w:id="24" w:name="_Toc75766701"/>
      <w:bookmarkStart w:id="25" w:name="_Toc232755296"/>
      <w:r>
        <w:rPr>
          <w:rFonts w:ascii="Times New Roman" w:hAnsi="Times New Roman"/>
          <w:b/>
          <w:noProof/>
          <w:sz w:val="24"/>
        </w:rPr>
        <w:t>2.2</w:t>
      </w:r>
      <w:r>
        <w:rPr>
          <w:rFonts w:ascii="Times New Roman" w:hAnsi="Times New Roman"/>
          <w:b/>
          <w:noProof/>
          <w:sz w:val="24"/>
        </w:rPr>
        <w:tab/>
        <w:t>Révision des prévisions relatives aux RPT et aux assiettes TVA, DEP et RNB</w:t>
      </w:r>
      <w:bookmarkEnd w:id="23"/>
      <w:bookmarkEnd w:id="24"/>
      <w:bookmarkEnd w:id="25"/>
    </w:p>
    <w:bookmarkEnd w:id="21"/>
    <w:bookmarkEnd w:id="22"/>
    <w:p w14:paraId="5588E82E" w14:textId="1A1251C4" w:rsidR="00A737A2" w:rsidRPr="006A6461" w:rsidRDefault="00A737A2" w:rsidP="67579C21">
      <w:pPr>
        <w:jc w:val="both"/>
        <w:rPr>
          <w:rFonts w:ascii="Times New Roman" w:hAnsi="Times New Roman" w:cs="Times New Roman"/>
          <w:noProof/>
          <w:sz w:val="24"/>
          <w:szCs w:val="24"/>
        </w:rPr>
      </w:pPr>
      <w:r>
        <w:rPr>
          <w:rFonts w:ascii="Times New Roman" w:hAnsi="Times New Roman"/>
          <w:noProof/>
          <w:sz w:val="24"/>
        </w:rPr>
        <w:t>En vertu de l’article 44, paragraphe 1, premier alinéa, point b), du règlement financier</w:t>
      </w:r>
      <w:r w:rsidRPr="006A6461">
        <w:rPr>
          <w:rStyle w:val="FootnoteReference"/>
          <w:rFonts w:ascii="Times New Roman" w:hAnsi="Times New Roman" w:cs="Times New Roman"/>
          <w:noProof/>
          <w:sz w:val="24"/>
          <w:szCs w:val="24"/>
        </w:rPr>
        <w:footnoteReference w:id="6"/>
      </w:r>
      <w:r>
        <w:rPr>
          <w:rFonts w:ascii="Times New Roman" w:hAnsi="Times New Roman"/>
          <w:noProof/>
          <w:sz w:val="24"/>
        </w:rPr>
        <w:t>, la Commission propose de réviser le financement du budget sur la base de prévisions économiques mises à jour. Conformément à la pratique établie, les prévisions de recettes révisées sont convenues avec les États membres dans le cadre de la procédure de prévision du CCRP.</w:t>
      </w:r>
    </w:p>
    <w:p w14:paraId="7B8D5465" w14:textId="25533B14" w:rsidR="00A737A2" w:rsidRPr="00257B29" w:rsidRDefault="7F4A110F" w:rsidP="00A737A2">
      <w:pPr>
        <w:jc w:val="both"/>
        <w:rPr>
          <w:rFonts w:ascii="Times New Roman" w:hAnsi="Times New Roman" w:cs="Times New Roman"/>
          <w:noProof/>
          <w:sz w:val="24"/>
          <w:szCs w:val="24"/>
          <w:highlight w:val="yellow"/>
        </w:rPr>
      </w:pPr>
      <w:r>
        <w:rPr>
          <w:rFonts w:ascii="Times New Roman" w:hAnsi="Times New Roman"/>
          <w:noProof/>
          <w:sz w:val="24"/>
        </w:rPr>
        <w:t>Cette révision porte sur les prévisions relatives aux RPT à verser au budget en 2026, ainsi que sur les prévisions relatives aux assiettes TVA, DEP et RNB de 2026. Les prévisions figurant dans le budget adopté pour 2026 ont été approuvées lors de la 194</w:t>
      </w:r>
      <w:r>
        <w:rPr>
          <w:rFonts w:ascii="Times New Roman" w:hAnsi="Times New Roman"/>
          <w:noProof/>
          <w:sz w:val="24"/>
          <w:vertAlign w:val="superscript"/>
        </w:rPr>
        <w:t>e</w:t>
      </w:r>
      <w:r>
        <w:rPr>
          <w:rFonts w:ascii="Times New Roman" w:hAnsi="Times New Roman"/>
          <w:noProof/>
          <w:sz w:val="24"/>
        </w:rPr>
        <w:t> réunion du CCRP, tenue le 26 mai 2025. La révision prévue dans le présent PBR nº 2/2026 tient compte des prévisions approuvées lors de la 197</w:t>
      </w:r>
      <w:r>
        <w:rPr>
          <w:rFonts w:ascii="Times New Roman" w:hAnsi="Times New Roman"/>
          <w:noProof/>
          <w:sz w:val="24"/>
          <w:vertAlign w:val="superscript"/>
        </w:rPr>
        <w:t>e</w:t>
      </w:r>
      <w:r>
        <w:rPr>
          <w:rFonts w:ascii="Times New Roman" w:hAnsi="Times New Roman"/>
          <w:noProof/>
          <w:sz w:val="24"/>
        </w:rPr>
        <w:t> réunion du CCRP, tenue le 29 mai 2026. La mise à jour des prévisions relatives aux ressources propres rend les projections de recettes plus précises et fait en sorte que les contributions des États membres au budget de l’UE correspondent plus fidèlement aux besoins financiers réels au cours de l’exercice budgétaire.</w:t>
      </w:r>
    </w:p>
    <w:p w14:paraId="1847ECF1" w14:textId="12A6F1C8" w:rsidR="7068D30B" w:rsidRPr="00005D33" w:rsidRDefault="11A54B81" w:rsidP="00005D33">
      <w:pPr>
        <w:jc w:val="both"/>
        <w:rPr>
          <w:rFonts w:ascii="Times New Roman" w:hAnsi="Times New Roman" w:cs="Times New Roman"/>
          <w:noProof/>
          <w:sz w:val="24"/>
          <w:szCs w:val="24"/>
        </w:rPr>
      </w:pPr>
      <w:r>
        <w:rPr>
          <w:rFonts w:ascii="Times New Roman" w:hAnsi="Times New Roman"/>
          <w:noProof/>
          <w:sz w:val="24"/>
        </w:rPr>
        <w:t>Les projections de recettes de la Commission sont fondées sur ses prévisions économiques du printemps 2026</w:t>
      </w:r>
      <w:r w:rsidR="00BE3C8C" w:rsidRPr="003351A1">
        <w:rPr>
          <w:rStyle w:val="FootnoteReference"/>
          <w:rFonts w:ascii="Times New Roman" w:hAnsi="Times New Roman" w:cs="Times New Roman"/>
          <w:noProof/>
          <w:sz w:val="24"/>
          <w:szCs w:val="24"/>
        </w:rPr>
        <w:footnoteReference w:id="7"/>
      </w:r>
      <w:r>
        <w:rPr>
          <w:rFonts w:ascii="Times New Roman" w:hAnsi="Times New Roman"/>
          <w:noProof/>
          <w:sz w:val="24"/>
        </w:rPr>
        <w:t>, qui prévoient une activité économique plus faible en 2026, étant donné que le conflit au Moyen-Orient déclenche un nouveau choc énergétique qui ravive l’inflation et pèse sur le climat économique.</w:t>
      </w:r>
    </w:p>
    <w:p w14:paraId="1ABCBD99" w14:textId="6F6AF8B1" w:rsidR="7068D30B" w:rsidRPr="00005D33" w:rsidRDefault="7068D30B" w:rsidP="00005D33">
      <w:pPr>
        <w:jc w:val="both"/>
        <w:rPr>
          <w:rFonts w:ascii="Times New Roman" w:hAnsi="Times New Roman" w:cs="Times New Roman"/>
          <w:noProof/>
          <w:sz w:val="24"/>
          <w:szCs w:val="24"/>
        </w:rPr>
      </w:pPr>
      <w:r>
        <w:rPr>
          <w:rFonts w:ascii="Times New Roman" w:hAnsi="Times New Roman"/>
          <w:noProof/>
          <w:sz w:val="24"/>
        </w:rPr>
        <w:t>Avant fin février 2026, l’économie de l’UE était en voie de poursuivre sa croissance modérée parallèlement à la poursuite du recul de l’inflation, mais les perspectives ont considérablement changé depuis l’éclatement du conflit. L’inflation est repartie à la hausse en mars 2026, sous l’effet de la forte augmentation des prix des matières premières énergétiques, et l’activité économique s’essouffle.</w:t>
      </w:r>
    </w:p>
    <w:p w14:paraId="0975551C" w14:textId="109AE956" w:rsidR="7068D30B" w:rsidRDefault="003877D4" w:rsidP="00005D33">
      <w:pPr>
        <w:jc w:val="both"/>
        <w:rPr>
          <w:rFonts w:ascii="Times New Roman" w:eastAsia="Times New Roman" w:hAnsi="Times New Roman" w:cs="Times New Roman"/>
          <w:noProof/>
          <w:color w:val="C239B3"/>
          <w:sz w:val="24"/>
          <w:szCs w:val="24"/>
          <w:u w:val="single"/>
        </w:rPr>
      </w:pPr>
      <w:r>
        <w:rPr>
          <w:rFonts w:ascii="Times New Roman" w:hAnsi="Times New Roman"/>
          <w:noProof/>
          <w:sz w:val="24"/>
        </w:rPr>
        <w:t>En conséquence, la croissance du PIB dans l’UE devrait à présent ralentir pour s’établir à 1,1 % en 2026, ce qui correspond à une révision à la baisse de 0,3 point de pourcentage par rapport aux prévisions économiques de l’automne 2025 (1,4 %) et à une diminution par rapport à la croissance de 1,5 % enregistrée en 2025. La croissance du PIB devrait ensuite se redresser pour atteindre 1,4 % en 2027. L’inflation dans l’UE devrait atteindre 3,1 % en 2026, soit tout un point de pourcentage de plus que prévu précédemment, avant de retomber à 2,4 % en 2027.</w:t>
      </w:r>
    </w:p>
    <w:p w14:paraId="0C2235F2" w14:textId="36621094" w:rsidR="00633EA7" w:rsidRPr="006A6461" w:rsidRDefault="00633EA7" w:rsidP="00633EA7">
      <w:pPr>
        <w:spacing w:before="240" w:after="240"/>
        <w:jc w:val="both"/>
        <w:rPr>
          <w:rFonts w:ascii="Times New Roman" w:eastAsia="Times New Roman" w:hAnsi="Times New Roman" w:cs="Times New Roman"/>
          <w:noProof/>
          <w:sz w:val="24"/>
          <w:szCs w:val="24"/>
        </w:rPr>
      </w:pPr>
      <w:r>
        <w:rPr>
          <w:rFonts w:ascii="Times New Roman" w:hAnsi="Times New Roman"/>
          <w:noProof/>
          <w:sz w:val="24"/>
        </w:rPr>
        <w:t xml:space="preserve">Les prévisions relatives aux RPT s’appuient sur les projections des importations hors UE figurant dans les prévisions économiques du printemps 2026 de la Commission. La croissance dans l’UE est affaiblie mais elle n’est pas compromise, tandis que le commerce mondial devrait continuer de progresser au cours de la période couverte par les prévisions, bien qu’à un rythme plus lent. Malgré la forte hausse des droits de douane américains, le niveau d’incertitude exceptionnellement élevé en matière de politique commerciale et les tensions géopolitiques, le commerce mondial a sensiblement progressé en 2025, à hauteur de 4,3 %. Cette évolution a été favorisée par la vigueur des échanges commerciaux liés aux technologies, les importations américaines anticipées et la poursuite de la forte expansion des échanges commerciaux liés aux services, qui correspond à une tendance structurelle reflétant la part croissante des services dans le commerce mondial. </w:t>
      </w:r>
    </w:p>
    <w:p w14:paraId="177C388B" w14:textId="21F6471C" w:rsidR="00633EA7" w:rsidRPr="006A6461" w:rsidRDefault="00633EA7" w:rsidP="00633EA7">
      <w:pPr>
        <w:spacing w:before="240" w:after="240"/>
        <w:jc w:val="both"/>
        <w:rPr>
          <w:rFonts w:ascii="Times New Roman" w:eastAsia="Times New Roman" w:hAnsi="Times New Roman" w:cs="Times New Roman"/>
          <w:noProof/>
          <w:sz w:val="24"/>
          <w:szCs w:val="24"/>
        </w:rPr>
      </w:pPr>
      <w:r>
        <w:rPr>
          <w:rFonts w:ascii="Times New Roman" w:hAnsi="Times New Roman"/>
          <w:noProof/>
          <w:sz w:val="24"/>
        </w:rPr>
        <w:t>Après plusieurs années de performances médiocres, de nombreuses grandes économies avancées, parmi lesquelles l’UE, le Royaume-Uni et le Japon, ont enregistré une certaine reprise du commerce de marchandises en 2025. Alors que ces facteurs sous-jacents devraient continuer à soutenir le commerce mondial, la croissance annuelle sera plus faible en 2026, étant donné que les chiffres du commerce pour 2025 intégraient l’anticipation des importations de 2026. En outre, les répercussions du conflit au Moyen-Orient sur les flux commerciaux de l’énergie, les chaînes d’approvisionnement et les coûts de transport pèseront également sur le commerce mondial en 2026. En conséquence, la croissance du commerce mondial devrait ralentir pour s’établir à 2,1 % en 2026, renouant globalement avec sa récente tendance, à savoir une hausse légèrement inférieure à la croissance du PIB mondial. En 2027, étant donné le renforcement prévu de l’activité économique mondiale, la croissance du commerce mondial devrait s’accélérer pour atteindre 3 %.</w:t>
      </w:r>
    </w:p>
    <w:p w14:paraId="22DF3A03" w14:textId="366B1B74" w:rsidR="00A737A2" w:rsidRPr="00B571AA" w:rsidRDefault="7F4A110F" w:rsidP="00A737A2">
      <w:pPr>
        <w:jc w:val="both"/>
        <w:rPr>
          <w:rFonts w:ascii="Times New Roman" w:hAnsi="Times New Roman" w:cs="Times New Roman"/>
          <w:noProof/>
          <w:sz w:val="24"/>
          <w:szCs w:val="24"/>
        </w:rPr>
      </w:pPr>
      <w:r>
        <w:rPr>
          <w:rFonts w:ascii="Times New Roman" w:hAnsi="Times New Roman"/>
          <w:noProof/>
          <w:sz w:val="24"/>
        </w:rPr>
        <w:t>Le scénario économique qui sous-tend le budget 2026 est à la base des estimations les plus récentes relatives aux ressources propres traditionnelles et aux assiettes des autres ressources propres:</w:t>
      </w:r>
    </w:p>
    <w:p w14:paraId="6593EB47" w14:textId="12443637" w:rsidR="0005056E" w:rsidRPr="00306FAF" w:rsidRDefault="004B4919" w:rsidP="00905B32">
      <w:pPr>
        <w:pStyle w:val="ListParagraph"/>
        <w:numPr>
          <w:ilvl w:val="0"/>
          <w:numId w:val="27"/>
        </w:numPr>
        <w:spacing w:after="120"/>
        <w:ind w:left="714" w:hanging="357"/>
        <w:contextualSpacing w:val="0"/>
        <w:jc w:val="both"/>
        <w:rPr>
          <w:noProof/>
        </w:rPr>
      </w:pPr>
      <w:r>
        <w:rPr>
          <w:noProof/>
        </w:rPr>
        <w:t>l</w:t>
      </w:r>
      <w:r w:rsidR="7F4A110F">
        <w:rPr>
          <w:noProof/>
        </w:rPr>
        <w:t>e total des droits de douane à percevoir en 2026, déduction faite des 25 % de frais de perception, est estimé à 24 350,2 millions d’EUR, ce qui représente une hausse de 14,0 % par rapport aux prévisions figurant dans le budget 2026, qui étaient de 21 368,3 millions d’EUR. La Commission a comparé les résultats de la méthode traditionnelle appliquée par le CCRP pour les prévisions (sur la base des taux de croissance prévus pour les importations hors UE) avec ceux de la méthode d’extrapolation (fondée sur les dernières données disponibles en matière de perception des droits de douane, c’est-à-dire de janvier à avril 2026). Comme au cours des dernières années, la Commission adopte une approche prudente qui garantit la bonne gestion financière du budget de l’UE dans un contexte marqué par la volatilité et des niveaux élevés d’incertitudes économiques et financières. Par conséquent, il est proposé de recourir à la méthode traditionnelle pour réviser les prévisions relatives aux RPT pour 2026. Il en résulte un montant de recettes supérieur de quelque 3,0 milliards d’EUR au montant inscrit dans le budget adopté pour 2026;</w:t>
      </w:r>
    </w:p>
    <w:p w14:paraId="59F9C972" w14:textId="662312A4" w:rsidR="00A737A2" w:rsidRPr="00212F63" w:rsidRDefault="7F4A110F" w:rsidP="00905B32">
      <w:pPr>
        <w:pStyle w:val="ListParagraph"/>
        <w:numPr>
          <w:ilvl w:val="0"/>
          <w:numId w:val="27"/>
        </w:numPr>
        <w:spacing w:after="120"/>
        <w:ind w:left="714" w:hanging="357"/>
        <w:contextualSpacing w:val="0"/>
        <w:jc w:val="both"/>
        <w:rPr>
          <w:noProof/>
        </w:rPr>
      </w:pPr>
      <w:r>
        <w:rPr>
          <w:noProof/>
        </w:rPr>
        <w:t>l’assiette TVA totale non écrêtée de l’UE pour 2026 est estimée à 8 407 456,0 millions d’EUR, ce qui représente une hausse de 1,2 % par rapport aux prévisions de mai 2025 (8 305 297,6 millions d’EUR) inscrites dans le budget adopté pour 2026. L’assiette TVA totale écrêtée de l’UE pour 2026</w:t>
      </w:r>
      <w:r w:rsidR="009361C0" w:rsidRPr="000E629D">
        <w:rPr>
          <w:rStyle w:val="FootnoteReference"/>
          <w:rFonts w:eastAsiaTheme="minorHAnsi"/>
          <w:noProof/>
          <w:lang w:eastAsia="en-US"/>
        </w:rPr>
        <w:footnoteReference w:id="8"/>
      </w:r>
      <w:r>
        <w:rPr>
          <w:noProof/>
        </w:rPr>
        <w:t xml:space="preserve"> est estimée à 8 362 091,2 millions d’EUR, soit une augmentation de 1,3 % par rapport aux prévisions de mai 2025, qui s’étaient établies à 8 252 480,7 millions d’EUR. Les contributions des États membres au titre de la ressource propre fondée sur la TVA écrêtée sont présentées dans les tableaux 2 et 6 de l’annexe budgétaire jointe;</w:t>
      </w:r>
    </w:p>
    <w:p w14:paraId="5EB20CFA" w14:textId="0EA3C25F" w:rsidR="00A737A2" w:rsidRPr="00212F63" w:rsidRDefault="004B4919" w:rsidP="00905B32">
      <w:pPr>
        <w:pStyle w:val="ListParagraph"/>
        <w:numPr>
          <w:ilvl w:val="0"/>
          <w:numId w:val="27"/>
        </w:numPr>
        <w:spacing w:after="120"/>
        <w:ind w:left="714" w:hanging="357"/>
        <w:contextualSpacing w:val="0"/>
        <w:jc w:val="both"/>
        <w:rPr>
          <w:noProof/>
        </w:rPr>
      </w:pPr>
      <w:r>
        <w:rPr>
          <w:noProof/>
        </w:rPr>
        <w:t>l</w:t>
      </w:r>
      <w:r w:rsidR="7F4A110F">
        <w:rPr>
          <w:noProof/>
        </w:rPr>
        <w:t>es prévisions relatives aux déchets d’emballages en plastique (DEP) non recyclés dans l’UE s’établissent à 9 031 215,2 tonnes en 2026, ce qui constitue une baisse de 4,1 % par rapport aux prévisions de mai 2025, qui étaient de 9 422 229,9 tonnes. Les contributions des États membres au titre de la ressource propre fondée sur les DEP non recyclés sont présentées dans les tableaux 3 et 6 de l’annexe budgétaire jointe;</w:t>
      </w:r>
    </w:p>
    <w:p w14:paraId="6FA8C89B" w14:textId="3F424E49" w:rsidR="00A737A2" w:rsidRPr="00212F63" w:rsidRDefault="7F4A110F" w:rsidP="26C6D807">
      <w:pPr>
        <w:pStyle w:val="ListParagraph"/>
        <w:numPr>
          <w:ilvl w:val="0"/>
          <w:numId w:val="27"/>
        </w:numPr>
        <w:spacing w:after="120"/>
        <w:ind w:left="714" w:hanging="357"/>
        <w:jc w:val="both"/>
        <w:rPr>
          <w:noProof/>
        </w:rPr>
      </w:pPr>
      <w:r>
        <w:rPr>
          <w:noProof/>
        </w:rPr>
        <w:t>l’assiette RNB totale de l’UE pour 2026 est estimée à 19 456 074,9 millions d’EUR, ce qui constitue une hausse de 0,9 % par rapport aux prévisions de mai 2025, qui s’établissaient à 19 277 897,8 millions d’EUR.</w:t>
      </w:r>
    </w:p>
    <w:p w14:paraId="3924D0D4" w14:textId="05CEE444" w:rsidR="00A737A2" w:rsidRPr="00EE33BB" w:rsidRDefault="7F4A110F" w:rsidP="00A737A2">
      <w:pPr>
        <w:jc w:val="both"/>
        <w:rPr>
          <w:rFonts w:ascii="Times New Roman" w:hAnsi="Times New Roman" w:cs="Times New Roman"/>
          <w:noProof/>
          <w:sz w:val="24"/>
          <w:szCs w:val="24"/>
        </w:rPr>
      </w:pPr>
      <w:r>
        <w:rPr>
          <w:rFonts w:ascii="Times New Roman" w:hAnsi="Times New Roman"/>
          <w:noProof/>
          <w:sz w:val="24"/>
        </w:rPr>
        <w:t>Les taux de change du 31 décembre 2025 ont été utilisés pour convertir en euros les prévisions des assiettes TVA et RNB libellées en monnaies nationales pour les six États membres qui ne font pas partie de la zone euro. On évite ainsi des distorsions, puisque ces taux sont les mêmes que ceux qui servent à convertir en monnaies nationales les paiements budgétisés de ressources propres exprimés en euros lorsque les montants sont prélevés, conformément aux dispositions de l’article 10 </w:t>
      </w:r>
      <w:r>
        <w:rPr>
          <w:rFonts w:ascii="Times New Roman" w:hAnsi="Times New Roman"/>
          <w:i/>
          <w:iCs/>
          <w:noProof/>
          <w:sz w:val="24"/>
        </w:rPr>
        <w:t>bis</w:t>
      </w:r>
      <w:r>
        <w:rPr>
          <w:rFonts w:ascii="Times New Roman" w:hAnsi="Times New Roman"/>
          <w:noProof/>
          <w:sz w:val="24"/>
        </w:rPr>
        <w:t>, paragraphe 1, du règlement nº 609/2014 du Conseil</w:t>
      </w:r>
      <w:r w:rsidR="009361C0" w:rsidRPr="00EE33BB">
        <w:rPr>
          <w:rStyle w:val="FootnoteReference"/>
          <w:rFonts w:ascii="Times New Roman" w:hAnsi="Times New Roman" w:cs="Times New Roman"/>
          <w:noProof/>
          <w:sz w:val="24"/>
          <w:szCs w:val="24"/>
        </w:rPr>
        <w:footnoteReference w:id="9"/>
      </w:r>
      <w:r>
        <w:rPr>
          <w:rFonts w:ascii="Times New Roman" w:hAnsi="Times New Roman"/>
          <w:noProof/>
          <w:sz w:val="24"/>
        </w:rPr>
        <w:t>.</w:t>
      </w:r>
    </w:p>
    <w:p w14:paraId="546C2BDB" w14:textId="3E829563" w:rsidR="00A737A2" w:rsidRPr="006A6461" w:rsidRDefault="7F4A110F" w:rsidP="00A737A2">
      <w:pPr>
        <w:jc w:val="both"/>
        <w:rPr>
          <w:rFonts w:ascii="Times New Roman" w:hAnsi="Times New Roman" w:cs="Times New Roman"/>
          <w:noProof/>
          <w:sz w:val="24"/>
          <w:szCs w:val="24"/>
        </w:rPr>
      </w:pPr>
      <w:r>
        <w:rPr>
          <w:rFonts w:ascii="Times New Roman" w:hAnsi="Times New Roman"/>
          <w:noProof/>
          <w:sz w:val="24"/>
        </w:rPr>
        <w:t>Les prévisions révisées des RPT, des assiettes TVA non écrêtées, des assiettes provenant des DEP non recyclés et des assiettes RNB pour 2026, telles qu’arrêtées lors de la 197</w:t>
      </w:r>
      <w:r>
        <w:rPr>
          <w:rFonts w:ascii="Times New Roman" w:hAnsi="Times New Roman"/>
          <w:noProof/>
          <w:sz w:val="24"/>
          <w:vertAlign w:val="superscript"/>
        </w:rPr>
        <w:t>e</w:t>
      </w:r>
      <w:r>
        <w:rPr>
          <w:rFonts w:ascii="Times New Roman" w:hAnsi="Times New Roman"/>
          <w:noProof/>
          <w:sz w:val="24"/>
        </w:rPr>
        <w:t> réunion du CCRP, sont exposées dans le tableau figurant ci-après:</w:t>
      </w:r>
    </w:p>
    <w:p w14:paraId="09F98E2B" w14:textId="77777777" w:rsidR="007A4316" w:rsidRPr="006A6461" w:rsidRDefault="007A4316" w:rsidP="007A4316">
      <w:pPr>
        <w:rPr>
          <w:rFonts w:ascii="Times New Roman" w:hAnsi="Times New Roman" w:cs="Times New Roman"/>
          <w:noProof/>
          <w:sz w:val="24"/>
          <w:szCs w:val="24"/>
        </w:rPr>
      </w:pPr>
      <w:r>
        <w:rPr>
          <w:noProof/>
        </w:rPr>
        <w:br w:type="page"/>
      </w:r>
    </w:p>
    <w:p w14:paraId="45CFB8ED" w14:textId="4907761F" w:rsidR="007A4316" w:rsidRPr="006A6461" w:rsidRDefault="331CFC7B" w:rsidP="11E3DED0">
      <w:pPr>
        <w:keepNext/>
        <w:jc w:val="center"/>
        <w:rPr>
          <w:rFonts w:ascii="Times New Roman" w:hAnsi="Times New Roman" w:cs="Times New Roman"/>
          <w:b/>
          <w:bCs/>
          <w:i/>
          <w:iCs/>
          <w:noProof/>
        </w:rPr>
      </w:pPr>
      <w:r>
        <w:rPr>
          <w:rFonts w:ascii="Times New Roman" w:hAnsi="Times New Roman"/>
          <w:b/>
          <w:noProof/>
        </w:rPr>
        <w:t>Prévisions révisées des RPT et des assiettes TVA, DEP et RNB pour 2026</w:t>
      </w:r>
    </w:p>
    <w:tbl>
      <w:tblPr>
        <w:tblW w:w="0" w:type="auto"/>
        <w:tblInd w:w="697" w:type="dxa"/>
        <w:tblLook w:val="06A0" w:firstRow="1" w:lastRow="0" w:firstColumn="1" w:lastColumn="0" w:noHBand="1" w:noVBand="1"/>
      </w:tblPr>
      <w:tblGrid>
        <w:gridCol w:w="1069"/>
        <w:gridCol w:w="1316"/>
        <w:gridCol w:w="1482"/>
        <w:gridCol w:w="1482"/>
        <w:gridCol w:w="1616"/>
        <w:gridCol w:w="1500"/>
      </w:tblGrid>
      <w:tr w:rsidR="0FB570CA" w14:paraId="0E39CE92" w14:textId="77777777" w:rsidTr="00005D33">
        <w:trPr>
          <w:trHeight w:val="75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E08056" w14:textId="5C8CC169" w:rsidR="0FB570CA" w:rsidRDefault="0FB570CA" w:rsidP="00005D33">
            <w:pPr>
              <w:spacing w:after="0"/>
              <w:rPr>
                <w:rFonts w:ascii="Times New Roman" w:eastAsia="Times New Roman" w:hAnsi="Times New Roman" w:cs="Times New Roman"/>
                <w:b/>
                <w:bCs/>
                <w:noProof/>
                <w:sz w:val="20"/>
                <w:szCs w:val="20"/>
              </w:rPr>
            </w:pP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0CDB6A" w14:textId="39C876EB" w:rsidR="0FB570CA" w:rsidRDefault="0FB570CA" w:rsidP="00005D33">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Douanes </w:t>
            </w:r>
            <w:r>
              <w:rPr>
                <w:noProof/>
              </w:rPr>
              <w:br/>
            </w:r>
            <w:r>
              <w:rPr>
                <w:rFonts w:ascii="Times New Roman" w:hAnsi="Times New Roman"/>
                <w:b/>
                <w:noProof/>
                <w:sz w:val="20"/>
              </w:rPr>
              <w:t>(75 %)</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CAD969" w14:textId="6BF97384" w:rsidR="0FB570CA" w:rsidRDefault="0FB570CA" w:rsidP="00005D33">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Assiettes TVA non écrêtées</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C460F6" w14:textId="610F8585" w:rsidR="0FB570CA" w:rsidRDefault="0FB570CA" w:rsidP="00005D33">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Assiettes DEP non recyclés</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2CCEEB" w14:textId="24525439" w:rsidR="0FB570CA" w:rsidRDefault="0FB570CA" w:rsidP="00005D33">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Assiettes RNB</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76EFAD" w14:textId="3A289665" w:rsidR="0FB570CA" w:rsidRDefault="0FB570CA" w:rsidP="00D58AC7">
            <w:pPr>
              <w:spacing w:after="0"/>
              <w:jc w:val="center"/>
              <w:rPr>
                <w:rFonts w:ascii="Times New Roman" w:eastAsia="Times New Roman" w:hAnsi="Times New Roman" w:cs="Times New Roman"/>
                <w:b/>
                <w:bCs/>
                <w:noProof/>
                <w:sz w:val="20"/>
                <w:szCs w:val="20"/>
              </w:rPr>
            </w:pPr>
            <w:r>
              <w:rPr>
                <w:rFonts w:ascii="Times New Roman" w:hAnsi="Times New Roman"/>
                <w:b/>
                <w:noProof/>
                <w:color w:val="000000" w:themeColor="text1"/>
                <w:sz w:val="20"/>
              </w:rPr>
              <w:t>Assiettes TVA</w:t>
            </w:r>
            <w:r w:rsidRPr="00D58AC7">
              <w:rPr>
                <w:rFonts w:ascii="Times New Roman" w:hAnsi="Times New Roman" w:cs="Times New Roman"/>
                <w:noProof/>
                <w:color w:val="000000" w:themeColor="text1"/>
                <w:sz w:val="20"/>
                <w:szCs w:val="20"/>
                <w:vertAlign w:val="superscript"/>
              </w:rPr>
              <w:footnoteReference w:id="10"/>
            </w:r>
            <w:r w:rsidR="004C0516">
              <w:rPr>
                <w:rFonts w:ascii="Times New Roman" w:hAnsi="Times New Roman"/>
                <w:b/>
                <w:noProof/>
                <w:color w:val="000000" w:themeColor="text1"/>
                <w:sz w:val="20"/>
              </w:rPr>
              <w:t xml:space="preserve"> écrêtées</w:t>
            </w:r>
          </w:p>
        </w:tc>
      </w:tr>
      <w:tr w:rsidR="0FB570CA" w14:paraId="5BD38FA4" w14:textId="77777777" w:rsidTr="00005D33">
        <w:trPr>
          <w:trHeight w:val="435"/>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DB6614" w14:textId="0EE0DA63" w:rsidR="0FB570CA" w:rsidRDefault="0FB570CA" w:rsidP="00005D33">
            <w:pPr>
              <w:spacing w:after="0"/>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2798"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D2D9EB" w14:textId="42615450" w:rsidR="0FB570CA" w:rsidRDefault="0FB570CA" w:rsidP="00005D33">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Mio EUR</w:t>
            </w:r>
          </w:p>
        </w:tc>
        <w:tc>
          <w:tcPr>
            <w:tcW w:w="1482" w:type="dxa"/>
            <w:tcBorders>
              <w:top w:val="single" w:sz="4" w:space="0" w:color="auto"/>
              <w:left w:val="nil"/>
              <w:bottom w:val="single" w:sz="4" w:space="0" w:color="auto"/>
              <w:right w:val="single" w:sz="4" w:space="0" w:color="auto"/>
            </w:tcBorders>
            <w:tcMar>
              <w:top w:w="15" w:type="dxa"/>
              <w:left w:w="15" w:type="dxa"/>
              <w:right w:w="15" w:type="dxa"/>
            </w:tcMar>
            <w:vAlign w:val="center"/>
          </w:tcPr>
          <w:p w14:paraId="14FB9109" w14:textId="7CB259EC" w:rsidR="0FB570CA" w:rsidRDefault="0FB570CA" w:rsidP="00005D33">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Tonnes</w:t>
            </w:r>
          </w:p>
        </w:tc>
        <w:tc>
          <w:tcPr>
            <w:tcW w:w="3116"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9A745D" w14:textId="37182A88" w:rsidR="0FB570CA" w:rsidRDefault="0FB570CA" w:rsidP="00005D33">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Mio EUR</w:t>
            </w:r>
          </w:p>
        </w:tc>
      </w:tr>
      <w:tr w:rsidR="0FB570CA" w14:paraId="0F7F338D"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55A563" w14:textId="67ADBD3C"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BE</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2EA7FB" w14:textId="6EC922E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2 855,0</w:t>
            </w:r>
          </w:p>
        </w:tc>
        <w:tc>
          <w:tcPr>
            <w:tcW w:w="1482"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5F62D96" w14:textId="354C5394"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246 029,8</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F70979" w14:textId="4C2F2B02"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146 503,6</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F793C5" w14:textId="4891C830"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672 147,0</w:t>
            </w:r>
          </w:p>
        </w:tc>
        <w:tc>
          <w:tcPr>
            <w:tcW w:w="150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2CAB399" w14:textId="1BB9B8D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246 029,8</w:t>
            </w:r>
          </w:p>
        </w:tc>
      </w:tr>
      <w:tr w:rsidR="0FB570CA" w14:paraId="2EF88508"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046232" w14:textId="63CA0213"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BG</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8C4A60" w14:textId="3EF432E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156,1</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B5159D" w14:textId="3951568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60 063,1</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BF523C" w14:textId="007162F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60 461,3</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C29B08" w14:textId="18EF7DF9"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116 421,7</w:t>
            </w:r>
          </w:p>
        </w:tc>
        <w:tc>
          <w:tcPr>
            <w:tcW w:w="15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15" w:type="dxa"/>
              <w:right w:w="15" w:type="dxa"/>
            </w:tcMar>
            <w:vAlign w:val="center"/>
          </w:tcPr>
          <w:p w14:paraId="7AFF3BCD" w14:textId="36C068D0"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58 210,9</w:t>
            </w:r>
          </w:p>
        </w:tc>
      </w:tr>
      <w:tr w:rsidR="0FB570CA" w14:paraId="40D564B9"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5DCB91" w14:textId="71C0541E"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CZ</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809691" w14:textId="0E81D11D"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413,5</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99743A" w14:textId="254003BA"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143 348,2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2B2024" w14:textId="23DBC74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145 795,3</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C3C971" w14:textId="41786D9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354 006,6</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CEF165" w14:textId="44113DA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143 348,2</w:t>
            </w:r>
          </w:p>
        </w:tc>
      </w:tr>
      <w:tr w:rsidR="0FB570CA" w14:paraId="50F64A7E"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27CAB1" w14:textId="0EF1E318"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DK</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0A9A69" w14:textId="64771CE9"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428,2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012FAB" w14:textId="489D1067"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159 274,8</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A3EB54" w14:textId="4C8B1FA0"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172 954,0</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697C60" w14:textId="10491FA9"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431 570,7</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362C62" w14:textId="60504466"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159 274,8</w:t>
            </w:r>
          </w:p>
        </w:tc>
      </w:tr>
      <w:tr w:rsidR="0FB570CA" w14:paraId="1575C2BE"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FD23A9" w14:textId="70FA7CD4"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DE</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ADE91D" w14:textId="025CEB21"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4 766,7</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0EDB97" w14:textId="41B4FDF2"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1 926 197,6</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C82CB7" w14:textId="577F062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1 478 042,3</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6A9631" w14:textId="3F1C03D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4 775 859,1</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EF093A" w14:textId="30CB809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1 926 197,6</w:t>
            </w:r>
          </w:p>
        </w:tc>
      </w:tr>
      <w:tr w:rsidR="0FB570CA" w14:paraId="6CD91151"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747C70" w14:textId="59A89AFF"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EE</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4EA82C" w14:textId="0A10A02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43,0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92FD84" w14:textId="3ADDEC90"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23 811,3</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FC971B" w14:textId="6EC920B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26 725,6</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CC57DA" w14:textId="34F8BC2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43 348,5</w:t>
            </w:r>
          </w:p>
        </w:tc>
        <w:tc>
          <w:tcPr>
            <w:tcW w:w="15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15" w:type="dxa"/>
              <w:right w:w="15" w:type="dxa"/>
            </w:tcMar>
            <w:vAlign w:val="center"/>
          </w:tcPr>
          <w:p w14:paraId="05CFE3C9" w14:textId="4556524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21 674,3</w:t>
            </w:r>
          </w:p>
        </w:tc>
      </w:tr>
      <w:tr w:rsidR="0FB570CA" w14:paraId="108D828A"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3948EE" w14:textId="69746D61" w:rsidR="0FB570CA" w:rsidRDefault="0FB570CA" w:rsidP="00005D33">
            <w:pPr>
              <w:spacing w:after="0"/>
              <w:rPr>
                <w:rFonts w:ascii="Times New Roman" w:eastAsia="Times New Roman" w:hAnsi="Times New Roman" w:cs="Times New Roman"/>
                <w:b/>
                <w:bCs/>
                <w:noProof/>
                <w:color w:val="000000" w:themeColor="text1"/>
                <w:sz w:val="20"/>
                <w:szCs w:val="20"/>
              </w:rPr>
            </w:pPr>
            <w:r>
              <w:rPr>
                <w:rFonts w:ascii="Times New Roman" w:hAnsi="Times New Roman"/>
                <w:b/>
                <w:noProof/>
                <w:color w:val="000000" w:themeColor="text1"/>
                <w:sz w:val="20"/>
              </w:rPr>
              <w:t>IE</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D513C9" w14:textId="1B9F0CD1"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493,7</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1D94E8" w14:textId="3FBB690B"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148 033,2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1FB81F" w14:textId="13B9B0E7"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254 421,8</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6840CE" w14:textId="55C44297"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457 422,9</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F6EDD3" w14:textId="653B8F4B"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148 033,2</w:t>
            </w:r>
          </w:p>
        </w:tc>
      </w:tr>
      <w:tr w:rsidR="0FB570CA" w14:paraId="41C29744"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C54D36" w14:textId="0DB259FD" w:rsidR="0FB570CA" w:rsidRDefault="0FB570CA" w:rsidP="00005D33">
            <w:pPr>
              <w:spacing w:after="0"/>
              <w:rPr>
                <w:rFonts w:ascii="Times New Roman" w:eastAsia="Times New Roman" w:hAnsi="Times New Roman" w:cs="Times New Roman"/>
                <w:b/>
                <w:bCs/>
                <w:noProof/>
                <w:color w:val="000000" w:themeColor="text1"/>
                <w:sz w:val="20"/>
                <w:szCs w:val="20"/>
              </w:rPr>
            </w:pPr>
            <w:r>
              <w:rPr>
                <w:rFonts w:ascii="Times New Roman" w:hAnsi="Times New Roman"/>
                <w:b/>
                <w:noProof/>
                <w:color w:val="000000" w:themeColor="text1"/>
                <w:sz w:val="20"/>
              </w:rPr>
              <w:t>EL</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4B37F0" w14:textId="38F5146D"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339,5</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63F17E" w14:textId="2D1D6DD2"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122 227,0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EFC266" w14:textId="5D0ACB0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181 433,0</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125895" w14:textId="021CDA04"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256 347,3</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624795" w14:textId="27E47D9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122 227,0</w:t>
            </w:r>
          </w:p>
        </w:tc>
      </w:tr>
      <w:tr w:rsidR="0FB570CA" w14:paraId="378AFBED"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0BFF5B" w14:textId="02CEA6A0" w:rsidR="0FB570CA" w:rsidRDefault="0FB570CA" w:rsidP="00005D33">
            <w:pPr>
              <w:spacing w:after="0"/>
              <w:rPr>
                <w:rFonts w:ascii="Times New Roman" w:eastAsia="Times New Roman" w:hAnsi="Times New Roman" w:cs="Times New Roman"/>
                <w:b/>
                <w:bCs/>
                <w:noProof/>
                <w:color w:val="000000" w:themeColor="text1"/>
                <w:sz w:val="20"/>
                <w:szCs w:val="20"/>
              </w:rPr>
            </w:pPr>
            <w:r>
              <w:rPr>
                <w:rFonts w:ascii="Times New Roman" w:hAnsi="Times New Roman"/>
                <w:b/>
                <w:noProof/>
                <w:color w:val="000000" w:themeColor="text1"/>
                <w:sz w:val="20"/>
              </w:rPr>
              <w:t>ES</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0F5CF0" w14:textId="03B2847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2 274,0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B52E47" w14:textId="729090B6"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837 957,2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E3B695" w14:textId="2F0C7AE6"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1 018 137,6</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A1AFA7" w14:textId="0CD388D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1 772 531,0</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6BC1D6" w14:textId="2A36992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837 957,2</w:t>
            </w:r>
          </w:p>
        </w:tc>
      </w:tr>
      <w:tr w:rsidR="0FB570CA" w14:paraId="0D3C132F"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2580F9" w14:textId="1811A8F9" w:rsidR="0FB570CA" w:rsidRDefault="0FB570CA" w:rsidP="00005D33">
            <w:pPr>
              <w:spacing w:after="0"/>
              <w:rPr>
                <w:rFonts w:ascii="Times New Roman" w:eastAsia="Times New Roman" w:hAnsi="Times New Roman" w:cs="Times New Roman"/>
                <w:b/>
                <w:bCs/>
                <w:noProof/>
                <w:color w:val="000000" w:themeColor="text1"/>
                <w:sz w:val="20"/>
                <w:szCs w:val="20"/>
              </w:rPr>
            </w:pPr>
            <w:r>
              <w:rPr>
                <w:rFonts w:ascii="Times New Roman" w:hAnsi="Times New Roman"/>
                <w:b/>
                <w:noProof/>
                <w:color w:val="000000" w:themeColor="text1"/>
                <w:sz w:val="20"/>
              </w:rPr>
              <w:t>FR</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B4826E" w14:textId="0B9DFAE2"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2 195,0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5700A0" w14:textId="46AE6CCB"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1 411 044,9</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40187F" w14:textId="2C90868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1 745 591,1</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8F7672" w14:textId="3F85E0A1"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3 108 161,9</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22B5D0" w14:textId="0E07566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1 411 044,9</w:t>
            </w:r>
          </w:p>
        </w:tc>
      </w:tr>
      <w:tr w:rsidR="0FB570CA" w14:paraId="3F1E6532"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B6957F" w14:textId="042CD68F"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HR</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8A5D13" w14:textId="4A8BA0E9"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75,0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237972" w14:textId="69A8FA8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61 109,5</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BCAD7C" w14:textId="129F54B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54 536,8</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6A7FD4" w14:textId="05811A1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100 104,7</w:t>
            </w:r>
          </w:p>
        </w:tc>
        <w:tc>
          <w:tcPr>
            <w:tcW w:w="15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15" w:type="dxa"/>
              <w:right w:w="15" w:type="dxa"/>
            </w:tcMar>
            <w:vAlign w:val="center"/>
          </w:tcPr>
          <w:p w14:paraId="38665BA2" w14:textId="44D2ADA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50 052,4</w:t>
            </w:r>
          </w:p>
        </w:tc>
      </w:tr>
      <w:tr w:rsidR="0FB570CA" w14:paraId="791D916D"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5F346E" w14:textId="78E53602"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IT</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C14B95" w14:textId="615C126A"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2 648,2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0A1530" w14:textId="243B624C"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990 709,1</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678D0E1" w14:textId="1536C5C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1 130 437,1</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D1E9BB" w14:textId="714DC6F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2 315 423,8</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7F0A05" w14:textId="4FD6FEF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990 709,1</w:t>
            </w:r>
          </w:p>
        </w:tc>
      </w:tr>
      <w:tr w:rsidR="0FB570CA" w14:paraId="515AF4AE"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BF8101" w14:textId="75C3C097"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CY</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5B5857" w14:textId="06005912"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50,4</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9E8B55" w14:textId="5665CD5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25 019,4</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60A559" w14:textId="1A849A71"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12 021,5</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4DD39D" w14:textId="6C25AE39"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34 156,5</w:t>
            </w:r>
          </w:p>
        </w:tc>
        <w:tc>
          <w:tcPr>
            <w:tcW w:w="15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15" w:type="dxa"/>
              <w:right w:w="15" w:type="dxa"/>
            </w:tcMar>
            <w:vAlign w:val="center"/>
          </w:tcPr>
          <w:p w14:paraId="0C616931" w14:textId="7C99C45A"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17 078,3</w:t>
            </w:r>
          </w:p>
        </w:tc>
      </w:tr>
      <w:tr w:rsidR="0FB570CA" w14:paraId="02976335"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E365DF" w14:textId="0E9CA191"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LV</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DC6C2D" w14:textId="320EB672"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49,1</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839AFF" w14:textId="7979EFBA"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22 084,6</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5CA4FA" w14:textId="55EEBB3D"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11 499,3</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E2C1E3" w14:textId="4291F8FD"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44 931,3</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A1D30E" w14:textId="7509D5FA"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22 084,6</w:t>
            </w:r>
          </w:p>
        </w:tc>
      </w:tr>
      <w:tr w:rsidR="0FB570CA" w14:paraId="63F7299A"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80F45F" w14:textId="232B8B50"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LT</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63E5DF" w14:textId="1562D062"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111,0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C58658" w14:textId="0AE0FD1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38 876,9</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B3DCE1" w14:textId="745B469B"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61 719,7</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E35D1B" w14:textId="6CB098EC"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87 169,6</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07A5D3" w14:textId="4DE7963C"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38 876,9</w:t>
            </w:r>
          </w:p>
        </w:tc>
      </w:tr>
      <w:tr w:rsidR="0FB570CA" w14:paraId="5050B722"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A9A306" w14:textId="7AC38903"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LU</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E326E4" w14:textId="487B696B"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14,2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D6788D" w14:textId="4187FDB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47 306,5</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14DD6B" w14:textId="191E53FE"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12 474,1</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687F88" w14:textId="3B88F551"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63 794,7</w:t>
            </w:r>
          </w:p>
        </w:tc>
        <w:tc>
          <w:tcPr>
            <w:tcW w:w="15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15" w:type="dxa"/>
              <w:right w:w="15" w:type="dxa"/>
            </w:tcMar>
            <w:vAlign w:val="center"/>
          </w:tcPr>
          <w:p w14:paraId="09E58C0C" w14:textId="1037E731"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31 897,4</w:t>
            </w:r>
          </w:p>
        </w:tc>
      </w:tr>
      <w:tr w:rsidR="0FB570CA" w14:paraId="0038B928"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683982" w14:textId="7DCD5E10"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HU</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805361" w14:textId="4BACF03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303,1</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E3CE2B" w14:textId="4487FDF1"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94 679,0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90F1CA" w14:textId="3025D47A"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303 973,2</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0995A2" w14:textId="36552290"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233 440,3</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2F902F" w14:textId="7B1BCAC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94 679,0</w:t>
            </w:r>
          </w:p>
        </w:tc>
      </w:tr>
      <w:tr w:rsidR="0FB570CA" w14:paraId="24A37817"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270BCF" w14:textId="0A1D46D2"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MT</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088995" w14:textId="743EED50"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29,2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B3EB97" w14:textId="2D22F8B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12 308,4</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AC6771" w14:textId="31AD736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15 047,1</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D47639" w14:textId="66312336"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23 174,5</w:t>
            </w:r>
          </w:p>
        </w:tc>
        <w:tc>
          <w:tcPr>
            <w:tcW w:w="15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15" w:type="dxa"/>
              <w:right w:w="15" w:type="dxa"/>
            </w:tcMar>
            <w:vAlign w:val="center"/>
          </w:tcPr>
          <w:p w14:paraId="0AB011F5" w14:textId="0620C4E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11 587,3</w:t>
            </w:r>
          </w:p>
        </w:tc>
      </w:tr>
      <w:tr w:rsidR="0FB570CA" w14:paraId="65E66B6B"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77B889" w14:textId="2D925DC4"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NL</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A7AA1F" w14:textId="322FB10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3 554,8</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FE8C6E" w14:textId="6AA76030"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526 063,9</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0C2B53" w14:textId="3221FAF0"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268 462,8</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8812A4" w14:textId="5CA4996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1 212 988,5</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F958EA" w14:textId="319F25C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526 063,9</w:t>
            </w:r>
          </w:p>
        </w:tc>
      </w:tr>
      <w:tr w:rsidR="0FB570CA" w14:paraId="7E1CA067"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2048C7" w14:textId="402AAF4E"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AT</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3CD048" w14:textId="4178C65E"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239,5</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BF50E7" w14:textId="515EC8C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250 293,0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08103B" w14:textId="3C49892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190 742,5</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40830D" w14:textId="6C20927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529 021,8</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5BDE28" w14:textId="389F9029"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250 293,0</w:t>
            </w:r>
          </w:p>
        </w:tc>
      </w:tr>
      <w:tr w:rsidR="0FB570CA" w14:paraId="0E55660D"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C8A1F5" w14:textId="599271F2"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PL</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9511C1" w14:textId="5C6A3FE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1 448,3</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98C543" w14:textId="73222D9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463 931,3</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D14F92" w14:textId="013B442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648 814,9</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68D9F4" w14:textId="59B19D3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952 307,6</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82A9A9" w14:textId="0DE886F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463 931,3</w:t>
            </w:r>
          </w:p>
        </w:tc>
      </w:tr>
      <w:tr w:rsidR="0FB570CA" w14:paraId="37502B2A"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666749" w14:textId="2F9B066B"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PT</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C3C927" w14:textId="2C8F9EE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304,0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FEB27C" w14:textId="1CD0F671"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164 482,0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CB6319" w14:textId="178B08B2"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226 139,0</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CB4443" w14:textId="4BD95E9E"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316 470,2</w:t>
            </w:r>
          </w:p>
        </w:tc>
        <w:tc>
          <w:tcPr>
            <w:tcW w:w="15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15" w:type="dxa"/>
              <w:right w:w="15" w:type="dxa"/>
            </w:tcMar>
            <w:vAlign w:val="center"/>
          </w:tcPr>
          <w:p w14:paraId="66F64EA4" w14:textId="6D0FB7F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158 235,1</w:t>
            </w:r>
          </w:p>
        </w:tc>
      </w:tr>
      <w:tr w:rsidR="0FB570CA" w14:paraId="0E9A2CC9"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AE6F80" w14:textId="3C8BB6FA"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RO</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6C8D37" w14:textId="0F10DC57"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372,7</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058407" w14:textId="14E1C136"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143 594,9</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2C07DD" w14:textId="33BDF2A9"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378 921,2</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235147" w14:textId="19130029"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391 778,3</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17851A" w14:textId="08F9D24E"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143 594,9</w:t>
            </w:r>
          </w:p>
        </w:tc>
      </w:tr>
      <w:tr w:rsidR="0FB570CA" w14:paraId="49BFD5D1"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925948" w14:textId="7D972186"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SI</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D8F3A5" w14:textId="7305B0A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215,8</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1DDC01" w14:textId="3C571152"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33 946,8</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CFF1EE" w14:textId="73404D07"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31 986,2</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D43B9D" w14:textId="04D8085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73 774,1</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F3F1C6" w14:textId="6EC5DDAE"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33 946,8</w:t>
            </w:r>
          </w:p>
        </w:tc>
      </w:tr>
      <w:tr w:rsidR="0FB570CA" w14:paraId="051C9775"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31F519" w14:textId="36E9B15E"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SK</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E472F7" w14:textId="37D64CC1"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141,6</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7A97C2" w14:textId="334B5B5C"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56 888,5</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22BC1B" w14:textId="6CFCAAB1"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65 660,5</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E47957" w14:textId="342D331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139 903,8</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860736" w14:textId="450D3399"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56 888,5</w:t>
            </w:r>
          </w:p>
        </w:tc>
      </w:tr>
      <w:tr w:rsidR="0FB570CA" w14:paraId="7F25B957"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FAAD27" w14:textId="11BFE5D3"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FI</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1C399B" w14:textId="26814A4D"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159,3</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57578F" w14:textId="490C3E0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135 868,5</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14D08A" w14:textId="75B41BAE"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115 055,4</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305620" w14:textId="1996E88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290 836,4</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8A3551" w14:textId="4D6483A6"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135 868,5</w:t>
            </w:r>
          </w:p>
        </w:tc>
      </w:tr>
      <w:tr w:rsidR="0FB570CA" w14:paraId="796B66FF"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843122" w14:textId="6836C0D4"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SE</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1A5AF4" w14:textId="241B5F02"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669,3</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CC8939" w14:textId="49189230"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262 306,6</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3D22EA" w14:textId="4EAD19B2"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273 658,3</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6FCC33" w14:textId="61BFAED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658 982,1</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C1398D" w14:textId="11A3142C"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262 306,6</w:t>
            </w:r>
          </w:p>
        </w:tc>
      </w:tr>
      <w:tr w:rsidR="0FB570CA" w14:paraId="0493870A"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5938CD" w14:textId="069462AF"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UE</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F2A869" w14:textId="384999F3" w:rsidR="0FB570CA" w:rsidRDefault="0FB570CA" w:rsidP="00005D33">
            <w:pPr>
              <w:spacing w:after="0"/>
              <w:jc w:val="right"/>
              <w:rPr>
                <w:rFonts w:ascii="Times New Roman" w:eastAsia="Times New Roman" w:hAnsi="Times New Roman" w:cs="Times New Roman"/>
                <w:b/>
                <w:bCs/>
                <w:noProof/>
                <w:sz w:val="20"/>
                <w:szCs w:val="20"/>
              </w:rPr>
            </w:pPr>
            <w:r>
              <w:rPr>
                <w:rFonts w:ascii="Times New Roman" w:hAnsi="Times New Roman"/>
                <w:b/>
                <w:noProof/>
                <w:sz w:val="20"/>
              </w:rPr>
              <w:t xml:space="preserve">  24 350,2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1D792F" w14:textId="7AA3E16E" w:rsidR="0FB570CA" w:rsidRDefault="0FB570CA" w:rsidP="00005D33">
            <w:pPr>
              <w:spacing w:after="0"/>
              <w:jc w:val="right"/>
              <w:rPr>
                <w:rFonts w:ascii="Times New Roman" w:eastAsia="Times New Roman" w:hAnsi="Times New Roman" w:cs="Times New Roman"/>
                <w:b/>
                <w:bCs/>
                <w:noProof/>
                <w:sz w:val="20"/>
                <w:szCs w:val="20"/>
              </w:rPr>
            </w:pPr>
            <w:r>
              <w:rPr>
                <w:rFonts w:ascii="Times New Roman" w:hAnsi="Times New Roman"/>
                <w:b/>
                <w:noProof/>
                <w:sz w:val="20"/>
              </w:rPr>
              <w:t xml:space="preserve"> 8 407 456,0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3B3DF9" w14:textId="7C0C3736" w:rsidR="0FB570CA" w:rsidRDefault="0FB570CA" w:rsidP="00005D33">
            <w:pPr>
              <w:spacing w:after="0"/>
              <w:jc w:val="right"/>
              <w:rPr>
                <w:rFonts w:ascii="Times New Roman" w:eastAsia="Times New Roman" w:hAnsi="Times New Roman" w:cs="Times New Roman"/>
                <w:b/>
                <w:bCs/>
                <w:noProof/>
                <w:sz w:val="20"/>
                <w:szCs w:val="20"/>
              </w:rPr>
            </w:pPr>
            <w:r>
              <w:rPr>
                <w:rFonts w:ascii="Times New Roman" w:hAnsi="Times New Roman"/>
                <w:b/>
                <w:noProof/>
                <w:sz w:val="20"/>
              </w:rPr>
              <w:t xml:space="preserve"> 9 031 215,2</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B3EAC2" w14:textId="7BAF155D" w:rsidR="0FB570CA" w:rsidRDefault="0FB570CA" w:rsidP="00005D33">
            <w:pPr>
              <w:spacing w:after="0"/>
              <w:jc w:val="right"/>
              <w:rPr>
                <w:rFonts w:ascii="Times New Roman" w:eastAsia="Times New Roman" w:hAnsi="Times New Roman" w:cs="Times New Roman"/>
                <w:b/>
                <w:bCs/>
                <w:noProof/>
                <w:sz w:val="20"/>
                <w:szCs w:val="20"/>
              </w:rPr>
            </w:pPr>
            <w:r>
              <w:rPr>
                <w:rFonts w:ascii="Times New Roman" w:hAnsi="Times New Roman"/>
                <w:b/>
                <w:noProof/>
                <w:sz w:val="20"/>
              </w:rPr>
              <w:t xml:space="preserve"> 19 456 074,9</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6AB9EB" w14:textId="06D38FA4" w:rsidR="0FB570CA" w:rsidRDefault="0FB570CA" w:rsidP="00005D33">
            <w:pPr>
              <w:spacing w:after="0"/>
              <w:jc w:val="right"/>
              <w:rPr>
                <w:rFonts w:ascii="Times New Roman" w:eastAsia="Times New Roman" w:hAnsi="Times New Roman" w:cs="Times New Roman"/>
                <w:b/>
                <w:bCs/>
                <w:noProof/>
                <w:sz w:val="20"/>
                <w:szCs w:val="20"/>
              </w:rPr>
            </w:pPr>
            <w:r>
              <w:rPr>
                <w:rFonts w:ascii="Times New Roman" w:hAnsi="Times New Roman"/>
                <w:b/>
                <w:noProof/>
                <w:sz w:val="20"/>
              </w:rPr>
              <w:t xml:space="preserve"> 8 362 091,2</w:t>
            </w:r>
          </w:p>
        </w:tc>
      </w:tr>
    </w:tbl>
    <w:p w14:paraId="09499681" w14:textId="7CEEDDA4" w:rsidR="386446B7" w:rsidRDefault="386446B7" w:rsidP="386446B7">
      <w:pPr>
        <w:keepNext/>
        <w:jc w:val="center"/>
        <w:rPr>
          <w:rFonts w:ascii="Times New Roman" w:hAnsi="Times New Roman" w:cs="Times New Roman"/>
          <w:b/>
          <w:bCs/>
          <w:i/>
          <w:iCs/>
          <w:noProof/>
        </w:rPr>
      </w:pPr>
    </w:p>
    <w:p w14:paraId="3ACBA58B" w14:textId="77777777" w:rsidR="00A37A2D" w:rsidRDefault="00A37A2D">
      <w:pPr>
        <w:rPr>
          <w:rFonts w:ascii="Times New Roman" w:eastAsia="Calibri" w:hAnsi="Times New Roman" w:cs="Times New Roman"/>
          <w:b/>
          <w:noProof/>
          <w:sz w:val="24"/>
          <w:szCs w:val="24"/>
        </w:rPr>
      </w:pPr>
      <w:bookmarkStart w:id="27" w:name="_Toc73720669"/>
      <w:bookmarkStart w:id="28" w:name="_Toc75766702"/>
      <w:bookmarkStart w:id="29" w:name="_Toc463466448"/>
      <w:r>
        <w:rPr>
          <w:noProof/>
        </w:rPr>
        <w:br w:type="page"/>
      </w:r>
    </w:p>
    <w:p w14:paraId="15C794FF" w14:textId="46F4DCE9" w:rsidR="007A4316" w:rsidRPr="006A6461" w:rsidRDefault="007A4316" w:rsidP="63A0D988">
      <w:pPr>
        <w:keepNext/>
        <w:tabs>
          <w:tab w:val="left" w:pos="850"/>
        </w:tabs>
        <w:spacing w:before="360" w:after="120"/>
        <w:ind w:left="850" w:hanging="850"/>
        <w:jc w:val="both"/>
        <w:outlineLvl w:val="1"/>
        <w:rPr>
          <w:rFonts w:ascii="Times New Roman" w:eastAsia="Calibri" w:hAnsi="Times New Roman" w:cs="Times New Roman"/>
          <w:b/>
          <w:bCs/>
          <w:noProof/>
          <w:sz w:val="24"/>
          <w:szCs w:val="24"/>
        </w:rPr>
      </w:pPr>
      <w:bookmarkStart w:id="30" w:name="_Toc73720673"/>
      <w:bookmarkStart w:id="31" w:name="_Toc75766706"/>
      <w:bookmarkStart w:id="32" w:name="_Toc232755297"/>
      <w:bookmarkEnd w:id="27"/>
      <w:bookmarkEnd w:id="28"/>
      <w:bookmarkEnd w:id="29"/>
      <w:r>
        <w:rPr>
          <w:rFonts w:ascii="Times New Roman" w:hAnsi="Times New Roman"/>
          <w:b/>
          <w:noProof/>
          <w:sz w:val="24"/>
        </w:rPr>
        <w:t>2.3</w:t>
      </w:r>
      <w:r>
        <w:rPr>
          <w:rFonts w:ascii="Times New Roman" w:hAnsi="Times New Roman"/>
          <w:b/>
          <w:noProof/>
          <w:sz w:val="24"/>
        </w:rPr>
        <w:tab/>
        <w:t>Contribution du Royaume-Uni</w:t>
      </w:r>
      <w:bookmarkEnd w:id="30"/>
      <w:bookmarkEnd w:id="31"/>
      <w:bookmarkEnd w:id="32"/>
    </w:p>
    <w:p w14:paraId="23BCE86F" w14:textId="6DA3D51D" w:rsidR="00D42D6E" w:rsidRPr="006A6461" w:rsidRDefault="00D42D6E" w:rsidP="00D42D6E">
      <w:pPr>
        <w:spacing w:before="120" w:after="120"/>
        <w:jc w:val="both"/>
        <w:rPr>
          <w:rFonts w:ascii="Times New Roman" w:hAnsi="Times New Roman" w:cs="Times New Roman"/>
          <w:noProof/>
          <w:sz w:val="24"/>
          <w:szCs w:val="24"/>
        </w:rPr>
      </w:pPr>
      <w:r>
        <w:rPr>
          <w:rFonts w:ascii="Times New Roman" w:hAnsi="Times New Roman"/>
          <w:noProof/>
          <w:sz w:val="24"/>
        </w:rPr>
        <w:t>La contribution britannique doit être versée conformément à l’article 148 de l’accord sur le retrait du Royaume-Uni de l’Union européenne (l’«accord de retrait»)</w:t>
      </w:r>
      <w:r w:rsidRPr="006A6461">
        <w:rPr>
          <w:rFonts w:ascii="Times New Roman" w:hAnsi="Times New Roman" w:cs="Times New Roman"/>
          <w:noProof/>
          <w:vertAlign w:val="superscript"/>
        </w:rPr>
        <w:footnoteReference w:id="11"/>
      </w:r>
      <w:r>
        <w:rPr>
          <w:rFonts w:ascii="Times New Roman" w:hAnsi="Times New Roman"/>
          <w:noProof/>
          <w:sz w:val="24"/>
        </w:rPr>
        <w:t xml:space="preserve">; elle couvre en particulier la part du Royaume-Uni dans les engagements restant à liquider antérieurs à 2021 à payer en 2026, ainsi que la part du Royaume-Uni dans les passifs de l’Union (comme les pensions), les amendes et les passifs financiers éventuels. La contribution globale du Royaume-Uni comprend aussi les montants dus à ce pays en ce qui concerne les corrections et ajustements liés aux ressources propres relatifs à des exercices jusqu’en 2021. </w:t>
      </w:r>
    </w:p>
    <w:p w14:paraId="212DB40E" w14:textId="7907BC6E" w:rsidR="00D42D6E" w:rsidRPr="006A6461" w:rsidRDefault="00D42D6E" w:rsidP="00D42D6E">
      <w:pPr>
        <w:spacing w:before="120" w:after="120"/>
        <w:jc w:val="both"/>
        <w:rPr>
          <w:rFonts w:ascii="Times New Roman" w:hAnsi="Times New Roman" w:cs="Times New Roman"/>
          <w:noProof/>
          <w:sz w:val="24"/>
          <w:szCs w:val="24"/>
        </w:rPr>
      </w:pPr>
      <w:r>
        <w:rPr>
          <w:rFonts w:ascii="Times New Roman" w:hAnsi="Times New Roman"/>
          <w:noProof/>
          <w:sz w:val="24"/>
        </w:rPr>
        <w:t>La contribution britannique repose sur la part du Royaume-Uni</w:t>
      </w:r>
      <w:r w:rsidRPr="006A6461">
        <w:rPr>
          <w:rFonts w:ascii="Times New Roman" w:hAnsi="Times New Roman" w:cs="Times New Roman"/>
          <w:noProof/>
          <w:vertAlign w:val="superscript"/>
        </w:rPr>
        <w:footnoteReference w:id="12"/>
      </w:r>
      <w:r>
        <w:rPr>
          <w:rFonts w:ascii="Times New Roman" w:hAnsi="Times New Roman"/>
          <w:noProof/>
          <w:sz w:val="24"/>
        </w:rPr>
        <w:t>, qui est calculée en divisant les ressources propres mises à disposition par le Royaume-Uni pour les années 2014 à 2020 par les ressources propres mises à disposition pendant cette période par tous les États membres, y compris le Royaume-Uni. La part du Royaume-Uni a été ajustée en 2022 conformément à l’article 139 de l’accord de retrait. La part définitive du Royaume-Uni a été fixée à 12,431681219587700 %.</w:t>
      </w:r>
    </w:p>
    <w:p w14:paraId="71614CBB" w14:textId="0659FB65" w:rsidR="00D42D6E" w:rsidRPr="00F34834" w:rsidRDefault="00D42D6E" w:rsidP="00D42D6E">
      <w:pPr>
        <w:spacing w:before="120" w:after="120"/>
        <w:jc w:val="both"/>
        <w:rPr>
          <w:rFonts w:ascii="Times New Roman" w:hAnsi="Times New Roman" w:cs="Times New Roman"/>
          <w:noProof/>
          <w:sz w:val="24"/>
          <w:szCs w:val="24"/>
        </w:rPr>
      </w:pPr>
      <w:r>
        <w:rPr>
          <w:rFonts w:ascii="Times New Roman" w:hAnsi="Times New Roman"/>
          <w:noProof/>
          <w:sz w:val="24"/>
        </w:rPr>
        <w:t>Le tableau figurant ci-dessous présente la contribution mise à jour du Royaume-Uni au budget 2026. Il comprend aussi les éléments que le Royaume-Uni a déjà versés de janvier à mai 2026 sur la base de la facture de septembre 2025, les éléments inclus dans la facture d’avril 2026 ainsi que les estimations concernant les éléments à intégrer dans la facture de septembre 2026 qui sont connus à ce stade. La mise à jour se traduit par une contribution du Royaume-Uni inférieure à l’estimation figurant dans le budget 2026, principalement en raison de l’exécution plus faible que prévu du RAL lié au Brexit en 2025 ainsi que des montants déclarés relatifs aux passifs éventuels, aux corrections financières nettes et aux amendes. Le montant révisé de la contribution du Royaume-Uni figurant dans le PBR nº 2/2026 est calculé en tenant compte des modalités de paiement prévues à l’article 148 de l’accord de retrait.</w:t>
      </w:r>
    </w:p>
    <w:p w14:paraId="7E58E082" w14:textId="77777777" w:rsidR="00093333" w:rsidRDefault="1A45DA5A" w:rsidP="006544F9">
      <w:pPr>
        <w:spacing w:before="120" w:after="120"/>
        <w:jc w:val="both"/>
        <w:rPr>
          <w:rFonts w:ascii="Times New Roman" w:hAnsi="Times New Roman" w:cs="Times New Roman"/>
          <w:noProof/>
          <w:sz w:val="24"/>
          <w:szCs w:val="24"/>
        </w:rPr>
      </w:pPr>
      <w:r>
        <w:rPr>
          <w:rFonts w:ascii="Times New Roman" w:hAnsi="Times New Roman"/>
          <w:noProof/>
          <w:sz w:val="24"/>
        </w:rPr>
        <w:t>Il est dès lors proposé de mettre à jour en conséquence les estimations inscrites dans le budget 2026. Globalement, cela réduira la contribution estimée du Royaume-Uni au budget 2026 de 562,9 millions d’EUR, à la suite de la diminution des recettes générales à hauteur de 557,8 millions d’EUR et des recettes affectées à hauteur de 5,1 millions d’EUR.</w:t>
      </w:r>
    </w:p>
    <w:p w14:paraId="1E919693" w14:textId="2FFCC408" w:rsidR="00C41980" w:rsidRPr="00C41980" w:rsidRDefault="00C41980" w:rsidP="00C41980">
      <w:pPr>
        <w:spacing w:before="120" w:after="120"/>
        <w:jc w:val="center"/>
        <w:rPr>
          <w:rFonts w:ascii="Times New Roman" w:hAnsi="Times New Roman" w:cs="Times New Roman"/>
          <w:b/>
          <w:bCs/>
          <w:noProof/>
        </w:rPr>
      </w:pPr>
      <w:r>
        <w:rPr>
          <w:rFonts w:ascii="Times New Roman" w:hAnsi="Times New Roman"/>
          <w:b/>
          <w:noProof/>
        </w:rPr>
        <w:t>Contribution mise à jour du Royaume-Uni en 2026 (en EUR)</w:t>
      </w:r>
    </w:p>
    <w:tbl>
      <w:tblPr>
        <w:tblStyle w:val="TableGrid"/>
        <w:tblW w:w="10349" w:type="dxa"/>
        <w:tblInd w:w="-289" w:type="dxa"/>
        <w:tblLook w:val="04A0" w:firstRow="1" w:lastRow="0" w:firstColumn="1" w:lastColumn="0" w:noHBand="0" w:noVBand="1"/>
      </w:tblPr>
      <w:tblGrid>
        <w:gridCol w:w="5246"/>
        <w:gridCol w:w="2976"/>
        <w:gridCol w:w="2127"/>
      </w:tblGrid>
      <w:tr w:rsidR="00093333" w14:paraId="611E892B" w14:textId="77777777" w:rsidTr="001E40D5">
        <w:trPr>
          <w:trHeight w:val="536"/>
          <w:tblHeader/>
        </w:trPr>
        <w:tc>
          <w:tcPr>
            <w:tcW w:w="5246" w:type="dxa"/>
            <w:shd w:val="clear" w:color="auto" w:fill="D0CECE" w:themeFill="background2" w:themeFillShade="E6"/>
          </w:tcPr>
          <w:p w14:paraId="78D873EA" w14:textId="77777777" w:rsidR="00093333" w:rsidRPr="00A91A59" w:rsidRDefault="00093333" w:rsidP="00F72167">
            <w:pPr>
              <w:spacing w:line="259" w:lineRule="auto"/>
              <w:jc w:val="center"/>
              <w:rPr>
                <w:b/>
                <w:bCs/>
                <w:noProof/>
              </w:rPr>
            </w:pPr>
          </w:p>
        </w:tc>
        <w:tc>
          <w:tcPr>
            <w:tcW w:w="2976" w:type="dxa"/>
            <w:shd w:val="clear" w:color="auto" w:fill="D0CECE" w:themeFill="background2" w:themeFillShade="E6"/>
          </w:tcPr>
          <w:p w14:paraId="22E3E1E1" w14:textId="7E50EF39" w:rsidR="00093333" w:rsidRPr="00A91A59" w:rsidRDefault="00A91A59" w:rsidP="00F72167">
            <w:pPr>
              <w:spacing w:line="259" w:lineRule="auto"/>
              <w:jc w:val="center"/>
              <w:rPr>
                <w:b/>
                <w:bCs/>
                <w:noProof/>
              </w:rPr>
            </w:pPr>
            <w:r>
              <w:rPr>
                <w:b/>
                <w:noProof/>
              </w:rPr>
              <w:t>Référence à l’article de l’accord de retrait</w:t>
            </w:r>
          </w:p>
        </w:tc>
        <w:tc>
          <w:tcPr>
            <w:tcW w:w="2127" w:type="dxa"/>
            <w:shd w:val="clear" w:color="auto" w:fill="D0CECE" w:themeFill="background2" w:themeFillShade="E6"/>
          </w:tcPr>
          <w:p w14:paraId="1B5D309C" w14:textId="4AE2C17A" w:rsidR="00093333" w:rsidRPr="00A91A59" w:rsidRDefault="00A91A59" w:rsidP="00F72167">
            <w:pPr>
              <w:spacing w:line="259" w:lineRule="auto"/>
              <w:jc w:val="center"/>
              <w:rPr>
                <w:b/>
                <w:bCs/>
                <w:noProof/>
              </w:rPr>
            </w:pPr>
            <w:r>
              <w:rPr>
                <w:b/>
                <w:noProof/>
              </w:rPr>
              <w:t>2026</w:t>
            </w:r>
          </w:p>
        </w:tc>
      </w:tr>
      <w:tr w:rsidR="00093333" w14:paraId="1541D972" w14:textId="77777777" w:rsidTr="00356511">
        <w:trPr>
          <w:trHeight w:val="117"/>
        </w:trPr>
        <w:tc>
          <w:tcPr>
            <w:tcW w:w="5246" w:type="dxa"/>
          </w:tcPr>
          <w:p w14:paraId="6B810ECF" w14:textId="60E96D86" w:rsidR="00093333" w:rsidRPr="00907CBF" w:rsidRDefault="00A91A59" w:rsidP="00C41980">
            <w:pPr>
              <w:rPr>
                <w:b/>
                <w:bCs/>
                <w:noProof/>
              </w:rPr>
            </w:pPr>
            <w:r>
              <w:rPr>
                <w:b/>
                <w:noProof/>
              </w:rPr>
              <w:t>Contribution totale du Royaume-Uni en 2026, dont:</w:t>
            </w:r>
          </w:p>
        </w:tc>
        <w:tc>
          <w:tcPr>
            <w:tcW w:w="2976" w:type="dxa"/>
          </w:tcPr>
          <w:p w14:paraId="51221362" w14:textId="77777777" w:rsidR="00093333" w:rsidRPr="00907CBF" w:rsidRDefault="00093333" w:rsidP="00C41980">
            <w:pPr>
              <w:jc w:val="center"/>
              <w:rPr>
                <w:noProof/>
              </w:rPr>
            </w:pPr>
          </w:p>
        </w:tc>
        <w:tc>
          <w:tcPr>
            <w:tcW w:w="2127" w:type="dxa"/>
            <w:vAlign w:val="bottom"/>
          </w:tcPr>
          <w:p w14:paraId="234E7DEE" w14:textId="4EC94695" w:rsidR="00093333" w:rsidRPr="00724C0C" w:rsidRDefault="00417315" w:rsidP="004E19B0">
            <w:pPr>
              <w:jc w:val="right"/>
              <w:rPr>
                <w:b/>
                <w:bCs/>
                <w:noProof/>
              </w:rPr>
            </w:pPr>
            <w:r>
              <w:rPr>
                <w:b/>
                <w:noProof/>
              </w:rPr>
              <w:t>478 248 868</w:t>
            </w:r>
          </w:p>
        </w:tc>
      </w:tr>
      <w:tr w:rsidR="00093333" w14:paraId="2D4214C7" w14:textId="77777777" w:rsidTr="00356511">
        <w:tc>
          <w:tcPr>
            <w:tcW w:w="5246" w:type="dxa"/>
          </w:tcPr>
          <w:p w14:paraId="1A3FB6EB" w14:textId="5CBBE8C2" w:rsidR="00093333" w:rsidRPr="00907CBF" w:rsidRDefault="00A91A59" w:rsidP="00C41980">
            <w:pPr>
              <w:rPr>
                <w:b/>
                <w:bCs/>
                <w:noProof/>
              </w:rPr>
            </w:pPr>
            <w:r>
              <w:rPr>
                <w:b/>
                <w:noProof/>
              </w:rPr>
              <w:t>1. RAL antérieur à 2021 (y compris corrections financières nettes) - exigible en 2026</w:t>
            </w:r>
          </w:p>
        </w:tc>
        <w:tc>
          <w:tcPr>
            <w:tcW w:w="2976" w:type="dxa"/>
          </w:tcPr>
          <w:p w14:paraId="19591A4F" w14:textId="4C29AEE7" w:rsidR="00093333" w:rsidRPr="00907CBF" w:rsidRDefault="000C2E62" w:rsidP="00C41980">
            <w:pPr>
              <w:jc w:val="center"/>
              <w:rPr>
                <w:noProof/>
              </w:rPr>
            </w:pPr>
            <w:r>
              <w:rPr>
                <w:noProof/>
              </w:rPr>
              <w:t>Art. 140</w:t>
            </w:r>
          </w:p>
        </w:tc>
        <w:tc>
          <w:tcPr>
            <w:tcW w:w="2127" w:type="dxa"/>
            <w:vAlign w:val="bottom"/>
          </w:tcPr>
          <w:p w14:paraId="0A530060" w14:textId="6427E142" w:rsidR="00093333" w:rsidRPr="00907CBF" w:rsidRDefault="00417315" w:rsidP="004E19B0">
            <w:pPr>
              <w:jc w:val="right"/>
              <w:rPr>
                <w:noProof/>
              </w:rPr>
            </w:pPr>
            <w:r>
              <w:rPr>
                <w:noProof/>
              </w:rPr>
              <w:t>371 149 808</w:t>
            </w:r>
          </w:p>
        </w:tc>
      </w:tr>
      <w:tr w:rsidR="000C2E62" w14:paraId="0755196E" w14:textId="77777777" w:rsidTr="00356511">
        <w:tc>
          <w:tcPr>
            <w:tcW w:w="5246" w:type="dxa"/>
          </w:tcPr>
          <w:p w14:paraId="5B23EF15" w14:textId="44888332" w:rsidR="000C2E62" w:rsidRPr="00907CBF" w:rsidRDefault="000C2E62" w:rsidP="00C41980">
            <w:pPr>
              <w:rPr>
                <w:b/>
                <w:bCs/>
                <w:noProof/>
              </w:rPr>
            </w:pPr>
            <w:r>
              <w:rPr>
                <w:b/>
                <w:noProof/>
              </w:rPr>
              <w:t>2. Passifs de l'Union/pensions*</w:t>
            </w:r>
          </w:p>
        </w:tc>
        <w:tc>
          <w:tcPr>
            <w:tcW w:w="2976" w:type="dxa"/>
          </w:tcPr>
          <w:p w14:paraId="0C97DBD6" w14:textId="3398BC45" w:rsidR="000C2E62" w:rsidRPr="00907CBF" w:rsidRDefault="000C2E62" w:rsidP="00C41980">
            <w:pPr>
              <w:jc w:val="center"/>
              <w:rPr>
                <w:noProof/>
              </w:rPr>
            </w:pPr>
            <w:r>
              <w:rPr>
                <w:noProof/>
              </w:rPr>
              <w:t>Art. 142</w:t>
            </w:r>
          </w:p>
        </w:tc>
        <w:tc>
          <w:tcPr>
            <w:tcW w:w="2127" w:type="dxa"/>
            <w:vAlign w:val="bottom"/>
          </w:tcPr>
          <w:p w14:paraId="38D9671A" w14:textId="70DDA877" w:rsidR="000C2E62" w:rsidRPr="00907CBF" w:rsidRDefault="00417315" w:rsidP="004E19B0">
            <w:pPr>
              <w:jc w:val="right"/>
              <w:rPr>
                <w:noProof/>
              </w:rPr>
            </w:pPr>
            <w:r>
              <w:rPr>
                <w:noProof/>
              </w:rPr>
              <w:t>355 397 735</w:t>
            </w:r>
          </w:p>
        </w:tc>
      </w:tr>
      <w:tr w:rsidR="000C2E62" w14:paraId="5321E945" w14:textId="77777777" w:rsidTr="00356511">
        <w:tc>
          <w:tcPr>
            <w:tcW w:w="5246" w:type="dxa"/>
          </w:tcPr>
          <w:p w14:paraId="66BD414A" w14:textId="10004BF2" w:rsidR="000C2E62" w:rsidRPr="00907CBF" w:rsidRDefault="000C2E62" w:rsidP="00C41980">
            <w:pPr>
              <w:rPr>
                <w:b/>
                <w:bCs/>
                <w:noProof/>
              </w:rPr>
            </w:pPr>
            <w:r>
              <w:rPr>
                <w:b/>
                <w:noProof/>
              </w:rPr>
              <w:t>3. Corrections et ajustements des ressources propres, dont:</w:t>
            </w:r>
          </w:p>
        </w:tc>
        <w:tc>
          <w:tcPr>
            <w:tcW w:w="2976" w:type="dxa"/>
          </w:tcPr>
          <w:p w14:paraId="057E93CC" w14:textId="5DE210C2" w:rsidR="000C2E62" w:rsidRPr="00907CBF" w:rsidRDefault="000C2E62" w:rsidP="00C41980">
            <w:pPr>
              <w:jc w:val="center"/>
              <w:rPr>
                <w:noProof/>
              </w:rPr>
            </w:pPr>
          </w:p>
        </w:tc>
        <w:tc>
          <w:tcPr>
            <w:tcW w:w="2127" w:type="dxa"/>
            <w:vAlign w:val="bottom"/>
          </w:tcPr>
          <w:p w14:paraId="63F89967" w14:textId="4D9B6028" w:rsidR="000C2E62" w:rsidRPr="00907CBF" w:rsidRDefault="00417315" w:rsidP="004E19B0">
            <w:pPr>
              <w:jc w:val="right"/>
              <w:rPr>
                <w:noProof/>
              </w:rPr>
            </w:pPr>
            <w:r>
              <w:rPr>
                <w:noProof/>
              </w:rPr>
              <w:t>130 223 924</w:t>
            </w:r>
          </w:p>
        </w:tc>
      </w:tr>
      <w:tr w:rsidR="00B45831" w14:paraId="0702FBD4" w14:textId="77777777" w:rsidTr="00356511">
        <w:tc>
          <w:tcPr>
            <w:tcW w:w="5246" w:type="dxa"/>
          </w:tcPr>
          <w:p w14:paraId="56FEE8A3" w14:textId="18D81960" w:rsidR="00B45831" w:rsidRPr="00907CBF" w:rsidRDefault="00B45831" w:rsidP="00C41980">
            <w:pPr>
              <w:jc w:val="right"/>
              <w:rPr>
                <w:i/>
                <w:iCs/>
                <w:noProof/>
              </w:rPr>
            </w:pPr>
            <w:r>
              <w:rPr>
                <w:i/>
                <w:noProof/>
              </w:rPr>
              <w:t>3.1 Excédent/déficit de 2020</w:t>
            </w:r>
          </w:p>
        </w:tc>
        <w:tc>
          <w:tcPr>
            <w:tcW w:w="2976" w:type="dxa"/>
          </w:tcPr>
          <w:p w14:paraId="0C2F96A0" w14:textId="70BA5E52" w:rsidR="00B45831" w:rsidRPr="00907CBF" w:rsidRDefault="00B45831" w:rsidP="00C41980">
            <w:pPr>
              <w:jc w:val="center"/>
              <w:rPr>
                <w:noProof/>
              </w:rPr>
            </w:pPr>
            <w:r>
              <w:rPr>
                <w:noProof/>
              </w:rPr>
              <w:t>Art. 136, par. 3, point a)</w:t>
            </w:r>
          </w:p>
        </w:tc>
        <w:tc>
          <w:tcPr>
            <w:tcW w:w="2127" w:type="dxa"/>
            <w:vAlign w:val="bottom"/>
          </w:tcPr>
          <w:p w14:paraId="18B230B3" w14:textId="3AF99F4F" w:rsidR="00B45831" w:rsidRPr="00724C0C" w:rsidRDefault="00417315" w:rsidP="004E19B0">
            <w:pPr>
              <w:jc w:val="right"/>
              <w:rPr>
                <w:i/>
                <w:iCs/>
                <w:noProof/>
              </w:rPr>
            </w:pPr>
            <w:r>
              <w:rPr>
                <w:i/>
                <w:noProof/>
              </w:rPr>
              <w:t>s.o.</w:t>
            </w:r>
          </w:p>
        </w:tc>
      </w:tr>
      <w:tr w:rsidR="00B45831" w14:paraId="0A293037" w14:textId="77777777" w:rsidTr="00356511">
        <w:tc>
          <w:tcPr>
            <w:tcW w:w="5246" w:type="dxa"/>
          </w:tcPr>
          <w:p w14:paraId="18839B5B" w14:textId="12F2318F" w:rsidR="00B45831" w:rsidRPr="00907CBF" w:rsidRDefault="00B45831" w:rsidP="00C41980">
            <w:pPr>
              <w:jc w:val="right"/>
              <w:rPr>
                <w:i/>
                <w:iCs/>
                <w:noProof/>
              </w:rPr>
            </w:pPr>
            <w:r>
              <w:rPr>
                <w:i/>
                <w:noProof/>
              </w:rPr>
              <w:t>3.2 Mises à jour de la correction britannique (2018-2019)</w:t>
            </w:r>
          </w:p>
        </w:tc>
        <w:tc>
          <w:tcPr>
            <w:tcW w:w="2976" w:type="dxa"/>
          </w:tcPr>
          <w:p w14:paraId="0BEBB366" w14:textId="38C166B3" w:rsidR="00B45831" w:rsidRPr="00907CBF" w:rsidRDefault="00B45831" w:rsidP="00C41980">
            <w:pPr>
              <w:jc w:val="center"/>
              <w:rPr>
                <w:noProof/>
              </w:rPr>
            </w:pPr>
            <w:r>
              <w:rPr>
                <w:noProof/>
              </w:rPr>
              <w:t>Art. 136</w:t>
            </w:r>
          </w:p>
        </w:tc>
        <w:tc>
          <w:tcPr>
            <w:tcW w:w="2127" w:type="dxa"/>
            <w:vAlign w:val="bottom"/>
          </w:tcPr>
          <w:p w14:paraId="6C4E1284" w14:textId="0C754007" w:rsidR="00B45831" w:rsidRPr="00724C0C" w:rsidRDefault="00417315" w:rsidP="004E19B0">
            <w:pPr>
              <w:jc w:val="right"/>
              <w:rPr>
                <w:i/>
                <w:iCs/>
                <w:noProof/>
              </w:rPr>
            </w:pPr>
            <w:r>
              <w:rPr>
                <w:i/>
                <w:noProof/>
              </w:rPr>
              <w:t>s.o.</w:t>
            </w:r>
          </w:p>
        </w:tc>
      </w:tr>
      <w:tr w:rsidR="00B45831" w14:paraId="7119FF9A" w14:textId="77777777" w:rsidTr="00356511">
        <w:tc>
          <w:tcPr>
            <w:tcW w:w="5246" w:type="dxa"/>
          </w:tcPr>
          <w:p w14:paraId="692B74EF" w14:textId="257A7783" w:rsidR="00B45831" w:rsidRPr="00907CBF" w:rsidRDefault="00B45831" w:rsidP="00C41980">
            <w:pPr>
              <w:jc w:val="right"/>
              <w:rPr>
                <w:i/>
                <w:iCs/>
                <w:noProof/>
              </w:rPr>
            </w:pPr>
            <w:r>
              <w:rPr>
                <w:i/>
                <w:noProof/>
              </w:rPr>
              <w:t>3.3. TVA et RNB</w:t>
            </w:r>
          </w:p>
        </w:tc>
        <w:tc>
          <w:tcPr>
            <w:tcW w:w="2976" w:type="dxa"/>
          </w:tcPr>
          <w:p w14:paraId="4331F58D" w14:textId="6E8DC50E" w:rsidR="00B45831" w:rsidRPr="00907CBF" w:rsidRDefault="00B45831" w:rsidP="00C41980">
            <w:pPr>
              <w:jc w:val="center"/>
              <w:rPr>
                <w:noProof/>
              </w:rPr>
            </w:pPr>
            <w:r>
              <w:rPr>
                <w:noProof/>
              </w:rPr>
              <w:t>Art. 136</w:t>
            </w:r>
          </w:p>
        </w:tc>
        <w:tc>
          <w:tcPr>
            <w:tcW w:w="2127" w:type="dxa"/>
            <w:vAlign w:val="bottom"/>
          </w:tcPr>
          <w:p w14:paraId="6EA5FE4F" w14:textId="7FD71969" w:rsidR="00B45831" w:rsidRPr="00724C0C" w:rsidRDefault="00417315" w:rsidP="004E19B0">
            <w:pPr>
              <w:jc w:val="right"/>
              <w:rPr>
                <w:i/>
                <w:iCs/>
                <w:noProof/>
              </w:rPr>
            </w:pPr>
            <w:r>
              <w:rPr>
                <w:i/>
                <w:noProof/>
              </w:rPr>
              <w:t>105 372 390</w:t>
            </w:r>
          </w:p>
        </w:tc>
      </w:tr>
      <w:tr w:rsidR="00B45831" w14:paraId="7F4450E6" w14:textId="77777777" w:rsidTr="00356511">
        <w:tc>
          <w:tcPr>
            <w:tcW w:w="5246" w:type="dxa"/>
          </w:tcPr>
          <w:p w14:paraId="0D6FAE29" w14:textId="28D26877" w:rsidR="00B45831" w:rsidRPr="00907CBF" w:rsidRDefault="00B45831" w:rsidP="00C41980">
            <w:pPr>
              <w:jc w:val="right"/>
              <w:rPr>
                <w:i/>
                <w:iCs/>
                <w:noProof/>
              </w:rPr>
            </w:pPr>
            <w:r>
              <w:rPr>
                <w:i/>
                <w:noProof/>
              </w:rPr>
              <w:t>3.4. RPT</w:t>
            </w:r>
          </w:p>
        </w:tc>
        <w:tc>
          <w:tcPr>
            <w:tcW w:w="2976" w:type="dxa"/>
          </w:tcPr>
          <w:p w14:paraId="10790E13" w14:textId="52C696A2" w:rsidR="00B45831" w:rsidRPr="00907CBF" w:rsidRDefault="00B45831" w:rsidP="00C41980">
            <w:pPr>
              <w:jc w:val="center"/>
              <w:rPr>
                <w:noProof/>
              </w:rPr>
            </w:pPr>
            <w:r>
              <w:rPr>
                <w:noProof/>
              </w:rPr>
              <w:t>Art. 136, art. 140, par. 4</w:t>
            </w:r>
          </w:p>
        </w:tc>
        <w:tc>
          <w:tcPr>
            <w:tcW w:w="2127" w:type="dxa"/>
            <w:vAlign w:val="bottom"/>
          </w:tcPr>
          <w:p w14:paraId="0F1DA4B4" w14:textId="49BF2C22" w:rsidR="00B45831" w:rsidRPr="00724C0C" w:rsidRDefault="00417315" w:rsidP="004E19B0">
            <w:pPr>
              <w:jc w:val="right"/>
              <w:rPr>
                <w:i/>
                <w:iCs/>
                <w:noProof/>
              </w:rPr>
            </w:pPr>
            <w:r>
              <w:rPr>
                <w:i/>
                <w:noProof/>
              </w:rPr>
              <w:t>24 851 534</w:t>
            </w:r>
          </w:p>
        </w:tc>
      </w:tr>
      <w:tr w:rsidR="00B45831" w14:paraId="625D7EC6" w14:textId="77777777" w:rsidTr="00356511">
        <w:tc>
          <w:tcPr>
            <w:tcW w:w="5246" w:type="dxa"/>
          </w:tcPr>
          <w:p w14:paraId="7AE07AA4" w14:textId="56CCED4F" w:rsidR="00B45831" w:rsidRPr="00724C0C" w:rsidRDefault="00B45831" w:rsidP="00C41980">
            <w:pPr>
              <w:rPr>
                <w:b/>
                <w:bCs/>
                <w:noProof/>
              </w:rPr>
            </w:pPr>
            <w:r>
              <w:rPr>
                <w:b/>
                <w:noProof/>
              </w:rPr>
              <w:t>4. Amendes</w:t>
            </w:r>
          </w:p>
        </w:tc>
        <w:tc>
          <w:tcPr>
            <w:tcW w:w="2976" w:type="dxa"/>
          </w:tcPr>
          <w:p w14:paraId="10CDE5C9" w14:textId="0A4D309C" w:rsidR="00B45831" w:rsidRPr="00907CBF" w:rsidRDefault="00B45831" w:rsidP="00C41980">
            <w:pPr>
              <w:jc w:val="center"/>
              <w:rPr>
                <w:noProof/>
              </w:rPr>
            </w:pPr>
            <w:r>
              <w:rPr>
                <w:noProof/>
              </w:rPr>
              <w:t>Art. 141</w:t>
            </w:r>
          </w:p>
        </w:tc>
        <w:tc>
          <w:tcPr>
            <w:tcW w:w="2127" w:type="dxa"/>
            <w:vAlign w:val="bottom"/>
          </w:tcPr>
          <w:p w14:paraId="45F4FB67" w14:textId="123A244F" w:rsidR="00B45831" w:rsidRPr="00907CBF" w:rsidRDefault="00417315" w:rsidP="004E19B0">
            <w:pPr>
              <w:jc w:val="right"/>
              <w:rPr>
                <w:noProof/>
              </w:rPr>
            </w:pPr>
            <w:r>
              <w:rPr>
                <w:noProof/>
              </w:rPr>
              <w:t>-145 901 554</w:t>
            </w:r>
          </w:p>
        </w:tc>
      </w:tr>
      <w:tr w:rsidR="00B45831" w14:paraId="23EF3BAF" w14:textId="77777777" w:rsidTr="00356511">
        <w:tc>
          <w:tcPr>
            <w:tcW w:w="5246" w:type="dxa"/>
          </w:tcPr>
          <w:p w14:paraId="37D56266" w14:textId="528051A2" w:rsidR="00B45831" w:rsidRPr="00724C0C" w:rsidRDefault="00B45831" w:rsidP="00C41980">
            <w:pPr>
              <w:rPr>
                <w:b/>
                <w:bCs/>
                <w:noProof/>
              </w:rPr>
            </w:pPr>
            <w:r>
              <w:rPr>
                <w:b/>
                <w:noProof/>
              </w:rPr>
              <w:t>5. Passifs éventuels, dont:</w:t>
            </w:r>
          </w:p>
        </w:tc>
        <w:tc>
          <w:tcPr>
            <w:tcW w:w="2976" w:type="dxa"/>
          </w:tcPr>
          <w:p w14:paraId="102CAF2F" w14:textId="6323285D" w:rsidR="00B45831" w:rsidRPr="00907CBF" w:rsidRDefault="00B45831" w:rsidP="00C41980">
            <w:pPr>
              <w:jc w:val="center"/>
              <w:rPr>
                <w:noProof/>
              </w:rPr>
            </w:pPr>
          </w:p>
        </w:tc>
        <w:tc>
          <w:tcPr>
            <w:tcW w:w="2127" w:type="dxa"/>
            <w:vAlign w:val="bottom"/>
          </w:tcPr>
          <w:p w14:paraId="1D496688" w14:textId="4A0124BF" w:rsidR="00B45831" w:rsidRPr="00907CBF" w:rsidRDefault="00417315" w:rsidP="004E19B0">
            <w:pPr>
              <w:jc w:val="right"/>
              <w:rPr>
                <w:noProof/>
              </w:rPr>
            </w:pPr>
            <w:r>
              <w:rPr>
                <w:noProof/>
              </w:rPr>
              <w:t>-233 890 775</w:t>
            </w:r>
          </w:p>
        </w:tc>
      </w:tr>
      <w:tr w:rsidR="00B45831" w14:paraId="3CCF2E58" w14:textId="77777777" w:rsidTr="00356511">
        <w:tc>
          <w:tcPr>
            <w:tcW w:w="5246" w:type="dxa"/>
          </w:tcPr>
          <w:p w14:paraId="2BD17EF8" w14:textId="5FC3F403" w:rsidR="00B45831" w:rsidRPr="00724C0C" w:rsidRDefault="00B45831" w:rsidP="00C41980">
            <w:pPr>
              <w:jc w:val="right"/>
              <w:rPr>
                <w:i/>
                <w:iCs/>
                <w:noProof/>
              </w:rPr>
            </w:pPr>
            <w:r>
              <w:rPr>
                <w:i/>
                <w:noProof/>
              </w:rPr>
              <w:t>5.1 MPE, EFSI, FEDD, prêts (fonds de garantie)</w:t>
            </w:r>
          </w:p>
        </w:tc>
        <w:tc>
          <w:tcPr>
            <w:tcW w:w="2976" w:type="dxa"/>
          </w:tcPr>
          <w:p w14:paraId="1F00B422" w14:textId="1281BCAA" w:rsidR="00B45831" w:rsidRPr="00907CBF" w:rsidRDefault="00B45831" w:rsidP="00C41980">
            <w:pPr>
              <w:jc w:val="center"/>
              <w:rPr>
                <w:noProof/>
              </w:rPr>
            </w:pPr>
            <w:r>
              <w:rPr>
                <w:noProof/>
              </w:rPr>
              <w:t>Art. 143</w:t>
            </w:r>
          </w:p>
        </w:tc>
        <w:tc>
          <w:tcPr>
            <w:tcW w:w="2127" w:type="dxa"/>
            <w:vAlign w:val="bottom"/>
          </w:tcPr>
          <w:p w14:paraId="790B2D20" w14:textId="32197D32" w:rsidR="00B45831" w:rsidRPr="00FD2127" w:rsidRDefault="00417315" w:rsidP="004E19B0">
            <w:pPr>
              <w:jc w:val="right"/>
              <w:rPr>
                <w:i/>
                <w:iCs/>
                <w:noProof/>
              </w:rPr>
            </w:pPr>
            <w:r>
              <w:rPr>
                <w:i/>
                <w:noProof/>
              </w:rPr>
              <w:t>-198 269 614</w:t>
            </w:r>
          </w:p>
        </w:tc>
      </w:tr>
      <w:tr w:rsidR="00B45831" w14:paraId="522BE3C9" w14:textId="77777777" w:rsidTr="00356511">
        <w:tc>
          <w:tcPr>
            <w:tcW w:w="5246" w:type="dxa"/>
          </w:tcPr>
          <w:p w14:paraId="7331BA69" w14:textId="36AFD796" w:rsidR="00B45831" w:rsidRPr="00724C0C" w:rsidRDefault="00B45831" w:rsidP="00C41980">
            <w:pPr>
              <w:jc w:val="right"/>
              <w:rPr>
                <w:i/>
                <w:iCs/>
                <w:noProof/>
              </w:rPr>
            </w:pPr>
            <w:r>
              <w:rPr>
                <w:i/>
                <w:noProof/>
              </w:rPr>
              <w:t>5.2 Instruments financiers</w:t>
            </w:r>
          </w:p>
        </w:tc>
        <w:tc>
          <w:tcPr>
            <w:tcW w:w="2976" w:type="dxa"/>
          </w:tcPr>
          <w:p w14:paraId="55C9432E" w14:textId="35732E2B" w:rsidR="00B45831" w:rsidRPr="00907CBF" w:rsidRDefault="00B45831" w:rsidP="00C41980">
            <w:pPr>
              <w:jc w:val="center"/>
              <w:rPr>
                <w:noProof/>
              </w:rPr>
            </w:pPr>
            <w:r>
              <w:rPr>
                <w:noProof/>
              </w:rPr>
              <w:t>Art. 144</w:t>
            </w:r>
          </w:p>
        </w:tc>
        <w:tc>
          <w:tcPr>
            <w:tcW w:w="2127" w:type="dxa"/>
            <w:vAlign w:val="bottom"/>
          </w:tcPr>
          <w:p w14:paraId="2523316D" w14:textId="10689B03" w:rsidR="00B45831" w:rsidRPr="00FD2127" w:rsidRDefault="00417315" w:rsidP="004E19B0">
            <w:pPr>
              <w:jc w:val="right"/>
              <w:rPr>
                <w:i/>
                <w:iCs/>
                <w:noProof/>
              </w:rPr>
            </w:pPr>
            <w:r>
              <w:rPr>
                <w:i/>
                <w:noProof/>
              </w:rPr>
              <w:t>42 661 537</w:t>
            </w:r>
          </w:p>
        </w:tc>
      </w:tr>
      <w:tr w:rsidR="00B45831" w14:paraId="2A19ADBD" w14:textId="77777777" w:rsidTr="00356511">
        <w:tc>
          <w:tcPr>
            <w:tcW w:w="5246" w:type="dxa"/>
          </w:tcPr>
          <w:p w14:paraId="78CE70E8" w14:textId="0B3D855D" w:rsidR="00B45831" w:rsidRPr="00724C0C" w:rsidRDefault="00B45831" w:rsidP="00C41980">
            <w:pPr>
              <w:jc w:val="right"/>
              <w:rPr>
                <w:i/>
                <w:iCs/>
                <w:noProof/>
              </w:rPr>
            </w:pPr>
            <w:r>
              <w:rPr>
                <w:i/>
                <w:noProof/>
              </w:rPr>
              <w:t>5.3 Affaires juridiques (amendes comprises)</w:t>
            </w:r>
          </w:p>
        </w:tc>
        <w:tc>
          <w:tcPr>
            <w:tcW w:w="2976" w:type="dxa"/>
          </w:tcPr>
          <w:p w14:paraId="22CE5AC9" w14:textId="20E9FA91" w:rsidR="00B45831" w:rsidRPr="00907CBF" w:rsidRDefault="00B45831" w:rsidP="00C41980">
            <w:pPr>
              <w:jc w:val="center"/>
              <w:rPr>
                <w:noProof/>
              </w:rPr>
            </w:pPr>
            <w:r>
              <w:rPr>
                <w:noProof/>
              </w:rPr>
              <w:t>Art. 147</w:t>
            </w:r>
          </w:p>
        </w:tc>
        <w:tc>
          <w:tcPr>
            <w:tcW w:w="2127" w:type="dxa"/>
            <w:vAlign w:val="bottom"/>
          </w:tcPr>
          <w:p w14:paraId="617D9713" w14:textId="4959BEA0" w:rsidR="00B45831" w:rsidRPr="00FD2127" w:rsidRDefault="00417315" w:rsidP="004E19B0">
            <w:pPr>
              <w:jc w:val="right"/>
              <w:rPr>
                <w:i/>
                <w:iCs/>
                <w:noProof/>
              </w:rPr>
            </w:pPr>
            <w:r>
              <w:rPr>
                <w:i/>
                <w:noProof/>
              </w:rPr>
              <w:t>7 040 376</w:t>
            </w:r>
          </w:p>
        </w:tc>
      </w:tr>
      <w:tr w:rsidR="00417315" w14:paraId="3C3FB360" w14:textId="77777777" w:rsidTr="00356511">
        <w:tc>
          <w:tcPr>
            <w:tcW w:w="5246" w:type="dxa"/>
          </w:tcPr>
          <w:p w14:paraId="362AEC79" w14:textId="1BB0CAAA" w:rsidR="00417315" w:rsidRPr="00724C0C" w:rsidRDefault="00417315" w:rsidP="00C41980">
            <w:pPr>
              <w:rPr>
                <w:b/>
                <w:bCs/>
                <w:noProof/>
              </w:rPr>
            </w:pPr>
            <w:r>
              <w:rPr>
                <w:b/>
                <w:noProof/>
              </w:rPr>
              <w:t>6. Avoirs nets de la CECA</w:t>
            </w:r>
          </w:p>
        </w:tc>
        <w:tc>
          <w:tcPr>
            <w:tcW w:w="2976" w:type="dxa"/>
          </w:tcPr>
          <w:p w14:paraId="27BEBC5E" w14:textId="3129A792" w:rsidR="00417315" w:rsidRPr="00907CBF" w:rsidRDefault="00417315" w:rsidP="00C41980">
            <w:pPr>
              <w:jc w:val="center"/>
              <w:rPr>
                <w:noProof/>
              </w:rPr>
            </w:pPr>
            <w:r>
              <w:rPr>
                <w:noProof/>
              </w:rPr>
              <w:t>Art. 145</w:t>
            </w:r>
          </w:p>
        </w:tc>
        <w:tc>
          <w:tcPr>
            <w:tcW w:w="2127" w:type="dxa"/>
            <w:vAlign w:val="bottom"/>
          </w:tcPr>
          <w:p w14:paraId="5B4D36E4" w14:textId="75311F6A" w:rsidR="00417315" w:rsidRPr="00907CBF" w:rsidRDefault="00417315" w:rsidP="004E19B0">
            <w:pPr>
              <w:jc w:val="right"/>
              <w:rPr>
                <w:noProof/>
              </w:rPr>
            </w:pPr>
            <w:r>
              <w:rPr>
                <w:noProof/>
              </w:rPr>
              <w:t>s.o.</w:t>
            </w:r>
          </w:p>
        </w:tc>
      </w:tr>
      <w:tr w:rsidR="00417315" w14:paraId="63B68496" w14:textId="77777777" w:rsidTr="00356511">
        <w:tc>
          <w:tcPr>
            <w:tcW w:w="5246" w:type="dxa"/>
          </w:tcPr>
          <w:p w14:paraId="72D14EF3" w14:textId="3C4CB051" w:rsidR="00417315" w:rsidRPr="00724C0C" w:rsidRDefault="00417315" w:rsidP="00C41980">
            <w:pPr>
              <w:rPr>
                <w:b/>
                <w:bCs/>
                <w:noProof/>
              </w:rPr>
            </w:pPr>
            <w:r>
              <w:rPr>
                <w:b/>
                <w:noProof/>
              </w:rPr>
              <w:t>7. Investissement dans le FEI</w:t>
            </w:r>
          </w:p>
        </w:tc>
        <w:tc>
          <w:tcPr>
            <w:tcW w:w="2976" w:type="dxa"/>
          </w:tcPr>
          <w:p w14:paraId="62CEC1C0" w14:textId="0EA6FA19" w:rsidR="00417315" w:rsidRPr="00907CBF" w:rsidRDefault="00417315" w:rsidP="00C41980">
            <w:pPr>
              <w:jc w:val="center"/>
              <w:rPr>
                <w:noProof/>
              </w:rPr>
            </w:pPr>
            <w:r>
              <w:rPr>
                <w:noProof/>
              </w:rPr>
              <w:t>Art. 146</w:t>
            </w:r>
          </w:p>
        </w:tc>
        <w:tc>
          <w:tcPr>
            <w:tcW w:w="2127" w:type="dxa"/>
            <w:vAlign w:val="bottom"/>
          </w:tcPr>
          <w:p w14:paraId="30EBDE28" w14:textId="788F14A0" w:rsidR="00417315" w:rsidRPr="00907CBF" w:rsidRDefault="00417315" w:rsidP="004E19B0">
            <w:pPr>
              <w:jc w:val="right"/>
              <w:rPr>
                <w:noProof/>
              </w:rPr>
            </w:pPr>
            <w:r>
              <w:rPr>
                <w:noProof/>
              </w:rPr>
              <w:t>s.o.</w:t>
            </w:r>
          </w:p>
        </w:tc>
      </w:tr>
      <w:tr w:rsidR="00417315" w14:paraId="7EAF86E1" w14:textId="77777777" w:rsidTr="00356511">
        <w:tc>
          <w:tcPr>
            <w:tcW w:w="5246" w:type="dxa"/>
          </w:tcPr>
          <w:p w14:paraId="6C096972" w14:textId="2BAB0384" w:rsidR="00417315" w:rsidRPr="00724C0C" w:rsidRDefault="00417315" w:rsidP="00C41980">
            <w:pPr>
              <w:rPr>
                <w:b/>
                <w:bCs/>
                <w:noProof/>
              </w:rPr>
            </w:pPr>
            <w:r>
              <w:rPr>
                <w:b/>
                <w:noProof/>
              </w:rPr>
              <w:t>8. Accès aux réseaux/systèmes/bases de données**</w:t>
            </w:r>
          </w:p>
        </w:tc>
        <w:tc>
          <w:tcPr>
            <w:tcW w:w="2976" w:type="dxa"/>
          </w:tcPr>
          <w:p w14:paraId="401F3D64" w14:textId="2CBCB357" w:rsidR="00417315" w:rsidRPr="00907CBF" w:rsidRDefault="00417315" w:rsidP="00C41980">
            <w:pPr>
              <w:jc w:val="center"/>
              <w:rPr>
                <w:noProof/>
              </w:rPr>
            </w:pPr>
            <w:r>
              <w:rPr>
                <w:noProof/>
              </w:rPr>
              <w:t>Art. 34, par. 2, art. 50 et 53, art. 62, par. 2, art. 63, par. 1, point e), art. 63, par. 2, art. 99, par. 3, art. 100, par. 2.</w:t>
            </w:r>
          </w:p>
        </w:tc>
        <w:tc>
          <w:tcPr>
            <w:tcW w:w="2127" w:type="dxa"/>
            <w:vAlign w:val="bottom"/>
          </w:tcPr>
          <w:p w14:paraId="0982EC4A" w14:textId="29FB3193" w:rsidR="00417315" w:rsidRPr="00907CBF" w:rsidRDefault="00417315" w:rsidP="004E19B0">
            <w:pPr>
              <w:jc w:val="right"/>
              <w:rPr>
                <w:noProof/>
              </w:rPr>
            </w:pPr>
            <w:r>
              <w:rPr>
                <w:noProof/>
              </w:rPr>
              <w:t>1 269 729</w:t>
            </w:r>
          </w:p>
        </w:tc>
      </w:tr>
      <w:tr w:rsidR="00417315" w14:paraId="62DC5147" w14:textId="77777777" w:rsidTr="00356511">
        <w:tc>
          <w:tcPr>
            <w:tcW w:w="10349" w:type="dxa"/>
            <w:gridSpan w:val="3"/>
          </w:tcPr>
          <w:p w14:paraId="586BC1A1" w14:textId="77777777" w:rsidR="00417315" w:rsidRPr="00FD2127" w:rsidRDefault="00417315" w:rsidP="00C41980">
            <w:pPr>
              <w:jc w:val="both"/>
              <w:rPr>
                <w:i/>
                <w:iCs/>
                <w:noProof/>
              </w:rPr>
            </w:pPr>
            <w:r>
              <w:rPr>
                <w:i/>
                <w:noProof/>
              </w:rPr>
              <w:t>* Le montant de 326 millions d’EUR sera inscrit au budget de l’UE en tant que recettes affectées.</w:t>
            </w:r>
          </w:p>
          <w:p w14:paraId="157FCCB1" w14:textId="15EB187A" w:rsidR="00417315" w:rsidRPr="00907CBF" w:rsidRDefault="00417315" w:rsidP="00C41980">
            <w:pPr>
              <w:jc w:val="both"/>
              <w:rPr>
                <w:noProof/>
              </w:rPr>
            </w:pPr>
            <w:r>
              <w:rPr>
                <w:i/>
                <w:noProof/>
              </w:rPr>
              <w:t>** À inscrire au budget de l’UE en tant que recettes affectées.</w:t>
            </w:r>
          </w:p>
        </w:tc>
      </w:tr>
    </w:tbl>
    <w:p w14:paraId="13600A88" w14:textId="617B5BCA" w:rsidR="007A4316" w:rsidRPr="006A6461" w:rsidRDefault="007A4316" w:rsidP="00356511">
      <w:pPr>
        <w:keepNext/>
        <w:tabs>
          <w:tab w:val="left" w:pos="850"/>
        </w:tabs>
        <w:spacing w:before="360" w:after="120"/>
        <w:jc w:val="both"/>
        <w:outlineLvl w:val="1"/>
        <w:rPr>
          <w:rFonts w:ascii="Times New Roman" w:eastAsia="Calibri" w:hAnsi="Times New Roman" w:cs="Times New Roman"/>
          <w:b/>
          <w:noProof/>
          <w:sz w:val="24"/>
          <w:szCs w:val="24"/>
        </w:rPr>
      </w:pPr>
      <w:bookmarkStart w:id="33" w:name="_Toc73720674"/>
      <w:bookmarkStart w:id="34" w:name="_Toc75766707"/>
      <w:bookmarkStart w:id="35" w:name="_Toc232755298"/>
      <w:r>
        <w:rPr>
          <w:rFonts w:ascii="Times New Roman" w:hAnsi="Times New Roman"/>
          <w:b/>
          <w:noProof/>
        </w:rPr>
        <w:t>2.4</w:t>
      </w:r>
      <w:r>
        <w:rPr>
          <w:rFonts w:ascii="Times New Roman" w:hAnsi="Times New Roman"/>
          <w:b/>
          <w:noProof/>
        </w:rPr>
        <w:tab/>
      </w:r>
      <w:r>
        <w:rPr>
          <w:rFonts w:ascii="Times New Roman" w:hAnsi="Times New Roman"/>
          <w:b/>
          <w:noProof/>
          <w:sz w:val="24"/>
        </w:rPr>
        <w:t>Amendes et astreintes</w:t>
      </w:r>
      <w:bookmarkEnd w:id="33"/>
      <w:bookmarkEnd w:id="34"/>
      <w:bookmarkEnd w:id="35"/>
    </w:p>
    <w:p w14:paraId="075E8BB9" w14:textId="6D86BB77" w:rsidR="00CB40ED" w:rsidRPr="006A6461" w:rsidRDefault="3BC8B299" w:rsidP="00CB40ED">
      <w:pPr>
        <w:spacing w:before="120" w:after="120"/>
        <w:jc w:val="both"/>
        <w:rPr>
          <w:rFonts w:ascii="Times New Roman" w:hAnsi="Times New Roman" w:cs="Times New Roman"/>
          <w:noProof/>
          <w:sz w:val="24"/>
          <w:szCs w:val="24"/>
        </w:rPr>
      </w:pPr>
      <w:r>
        <w:rPr>
          <w:rFonts w:ascii="Times New Roman" w:hAnsi="Times New Roman"/>
          <w:noProof/>
          <w:sz w:val="24"/>
        </w:rPr>
        <w:t>Compte tenu des amendes et astreintes encaissées depuis le 1</w:t>
      </w:r>
      <w:r>
        <w:rPr>
          <w:rFonts w:ascii="Times New Roman" w:hAnsi="Times New Roman"/>
          <w:noProof/>
          <w:sz w:val="24"/>
          <w:vertAlign w:val="superscript"/>
        </w:rPr>
        <w:t>er</w:t>
      </w:r>
      <w:r>
        <w:rPr>
          <w:rFonts w:ascii="Times New Roman" w:hAnsi="Times New Roman"/>
          <w:noProof/>
          <w:sz w:val="24"/>
        </w:rPr>
        <w:t> janvier, il est proposé d’inscrire les montants suivants au budget 2026:</w:t>
      </w:r>
    </w:p>
    <w:p w14:paraId="5122EF34" w14:textId="642F1708" w:rsidR="00CB40ED" w:rsidRPr="00F34834" w:rsidRDefault="65FE4213" w:rsidP="4B63F604">
      <w:pPr>
        <w:pStyle w:val="ListParagraph"/>
        <w:numPr>
          <w:ilvl w:val="0"/>
          <w:numId w:val="28"/>
        </w:numPr>
        <w:spacing w:after="120" w:line="259" w:lineRule="auto"/>
        <w:ind w:left="1434" w:hanging="357"/>
        <w:rPr>
          <w:noProof/>
          <w:sz w:val="22"/>
          <w:szCs w:val="22"/>
        </w:rPr>
      </w:pPr>
      <w:r>
        <w:rPr>
          <w:noProof/>
        </w:rPr>
        <w:t>855 millions d’EUR d’amendes en matière de concurrence;</w:t>
      </w:r>
    </w:p>
    <w:p w14:paraId="443F842B" w14:textId="4EB2769F" w:rsidR="00CB40ED" w:rsidRPr="00F34834" w:rsidRDefault="0F7325B2" w:rsidP="4B63F604">
      <w:pPr>
        <w:pStyle w:val="ListParagraph"/>
        <w:numPr>
          <w:ilvl w:val="0"/>
          <w:numId w:val="28"/>
        </w:numPr>
        <w:spacing w:after="120" w:line="259" w:lineRule="auto"/>
        <w:ind w:left="1434" w:hanging="357"/>
        <w:jc w:val="both"/>
        <w:rPr>
          <w:noProof/>
        </w:rPr>
      </w:pPr>
      <w:r>
        <w:rPr>
          <w:noProof/>
        </w:rPr>
        <w:t>268 millions d’EUR d’astreintes et de sommes forfaitaires imposées aux États membres pour inexécution d’arrêts de la Cour de justice de l’Union européenne en constatation de leur manquement aux obligations découlant des traités;</w:t>
      </w:r>
    </w:p>
    <w:p w14:paraId="5ACC2E3B" w14:textId="12EB702C" w:rsidR="006A27C0" w:rsidRPr="00E220AD" w:rsidRDefault="006A27C0" w:rsidP="0DFD5A47">
      <w:pPr>
        <w:pStyle w:val="ListParagraph"/>
        <w:numPr>
          <w:ilvl w:val="0"/>
          <w:numId w:val="28"/>
        </w:numPr>
        <w:spacing w:after="120" w:line="259" w:lineRule="auto"/>
        <w:ind w:left="1434" w:hanging="357"/>
        <w:jc w:val="both"/>
        <w:rPr>
          <w:noProof/>
        </w:rPr>
      </w:pPr>
      <w:r>
        <w:rPr>
          <w:noProof/>
        </w:rPr>
        <w:t>97,5 millions d’EUR d’intérêts relatifs aux amendes et astreintes;</w:t>
      </w:r>
    </w:p>
    <w:p w14:paraId="57655070" w14:textId="6D3B05CC" w:rsidR="006A27C0" w:rsidRPr="00F34834" w:rsidRDefault="1DF5C70B" w:rsidP="4B63F604">
      <w:pPr>
        <w:pStyle w:val="ListParagraph"/>
        <w:numPr>
          <w:ilvl w:val="0"/>
          <w:numId w:val="28"/>
        </w:numPr>
        <w:spacing w:after="120" w:line="259" w:lineRule="auto"/>
        <w:ind w:left="1434" w:hanging="357"/>
        <w:jc w:val="both"/>
        <w:rPr>
          <w:noProof/>
        </w:rPr>
      </w:pPr>
      <w:r>
        <w:rPr>
          <w:noProof/>
        </w:rPr>
        <w:t>22,7 millions d’EUR de rendements négatifs se rapportant à des amendes annulées ou réduites;</w:t>
      </w:r>
    </w:p>
    <w:p w14:paraId="34EFE99F" w14:textId="0C5A5DB2" w:rsidR="415503B8" w:rsidRPr="00E220AD" w:rsidRDefault="415503B8" w:rsidP="0DFD5A47">
      <w:pPr>
        <w:pStyle w:val="ListParagraph"/>
        <w:numPr>
          <w:ilvl w:val="0"/>
          <w:numId w:val="28"/>
        </w:numPr>
        <w:spacing w:after="120" w:line="259" w:lineRule="auto"/>
        <w:ind w:left="1434" w:hanging="357"/>
        <w:jc w:val="both"/>
        <w:rPr>
          <w:noProof/>
        </w:rPr>
      </w:pPr>
      <w:r>
        <w:rPr>
          <w:noProof/>
        </w:rPr>
        <w:t>0,8 million d’EUR d’autres amendes et astreintes sans affectation, principalement pour des primes sur les émissions excédentaires.</w:t>
      </w:r>
    </w:p>
    <w:p w14:paraId="0A7CF29F" w14:textId="1E1EF81C" w:rsidR="00CB40ED" w:rsidRPr="006A6461" w:rsidRDefault="65FE4213" w:rsidP="26C6D807">
      <w:pPr>
        <w:spacing w:before="120" w:after="120"/>
        <w:jc w:val="both"/>
        <w:rPr>
          <w:rFonts w:ascii="Times New Roman" w:hAnsi="Times New Roman" w:cs="Times New Roman"/>
          <w:noProof/>
          <w:sz w:val="24"/>
          <w:szCs w:val="24"/>
        </w:rPr>
      </w:pPr>
      <w:r>
        <w:rPr>
          <w:rFonts w:ascii="Times New Roman" w:hAnsi="Times New Roman"/>
          <w:noProof/>
          <w:sz w:val="24"/>
        </w:rPr>
        <w:t>Il est par conséquent proposé d’augmenter de 1 199 millions d’EUR les prévisions initiales inscrites dans le budget 2026, à savoir 101 millions d’EUR, pour les porter à un total de 1 300 millions d’EUR.</w:t>
      </w:r>
    </w:p>
    <w:p w14:paraId="76748398" w14:textId="2DADACF5" w:rsidR="00CB40ED" w:rsidRPr="006A6461" w:rsidRDefault="00CB40ED" w:rsidP="00CB40ED">
      <w:pPr>
        <w:spacing w:before="120" w:after="120"/>
        <w:jc w:val="both"/>
        <w:rPr>
          <w:rFonts w:ascii="Times New Roman" w:hAnsi="Times New Roman" w:cs="Times New Roman"/>
          <w:noProof/>
          <w:sz w:val="24"/>
          <w:szCs w:val="24"/>
        </w:rPr>
      </w:pPr>
      <w:r>
        <w:rPr>
          <w:rFonts w:ascii="Times New Roman" w:hAnsi="Times New Roman"/>
          <w:noProof/>
          <w:sz w:val="24"/>
        </w:rPr>
        <w:t>Le détail par ligne est présenté dans le tableau figurant ci-dessous.</w:t>
      </w:r>
    </w:p>
    <w:tbl>
      <w:tblPr>
        <w:tblW w:w="10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7"/>
        <w:gridCol w:w="187"/>
        <w:gridCol w:w="1575"/>
        <w:gridCol w:w="2279"/>
        <w:gridCol w:w="1611"/>
        <w:gridCol w:w="1470"/>
        <w:gridCol w:w="1528"/>
        <w:gridCol w:w="183"/>
      </w:tblGrid>
      <w:tr w:rsidR="005E54E7" w:rsidRPr="006A6461" w14:paraId="6EA299A1" w14:textId="77777777" w:rsidTr="386067CE">
        <w:trPr>
          <w:gridAfter w:val="1"/>
          <w:wAfter w:w="183" w:type="dxa"/>
          <w:trHeight w:val="300"/>
        </w:trPr>
        <w:tc>
          <w:tcPr>
            <w:tcW w:w="1474" w:type="dxa"/>
            <w:gridSpan w:val="2"/>
            <w:tcBorders>
              <w:top w:val="nil"/>
              <w:left w:val="nil"/>
              <w:bottom w:val="single" w:sz="4" w:space="0" w:color="auto"/>
              <w:right w:val="nil"/>
            </w:tcBorders>
          </w:tcPr>
          <w:p w14:paraId="4CB5967F" w14:textId="77777777" w:rsidR="00CB40ED" w:rsidRPr="006A6461" w:rsidRDefault="00CB40ED" w:rsidP="003D7759">
            <w:pPr>
              <w:widowControl w:val="0"/>
              <w:spacing w:before="15" w:after="15" w:line="240" w:lineRule="auto"/>
              <w:jc w:val="right"/>
              <w:rPr>
                <w:rFonts w:ascii="Times New Roman" w:eastAsia="Times New Roman" w:hAnsi="Times New Roman" w:cs="Times New Roman"/>
                <w:i/>
                <w:noProof/>
                <w:sz w:val="20"/>
                <w:szCs w:val="20"/>
                <w:lang w:eastAsia="en-GB"/>
              </w:rPr>
            </w:pPr>
          </w:p>
        </w:tc>
        <w:tc>
          <w:tcPr>
            <w:tcW w:w="1575" w:type="dxa"/>
            <w:tcBorders>
              <w:top w:val="nil"/>
              <w:left w:val="nil"/>
              <w:bottom w:val="single" w:sz="4" w:space="0" w:color="auto"/>
              <w:right w:val="nil"/>
            </w:tcBorders>
          </w:tcPr>
          <w:p w14:paraId="6D5B673E" w14:textId="77777777" w:rsidR="00CB40ED" w:rsidRPr="006A6461" w:rsidRDefault="00CB40ED" w:rsidP="003D7759">
            <w:pPr>
              <w:widowControl w:val="0"/>
              <w:spacing w:before="15" w:after="15" w:line="240" w:lineRule="auto"/>
              <w:jc w:val="right"/>
              <w:rPr>
                <w:rFonts w:ascii="Times New Roman" w:eastAsia="Times New Roman" w:hAnsi="Times New Roman" w:cs="Times New Roman"/>
                <w:i/>
                <w:noProof/>
                <w:sz w:val="20"/>
                <w:szCs w:val="20"/>
                <w:lang w:eastAsia="en-GB"/>
              </w:rPr>
            </w:pPr>
          </w:p>
        </w:tc>
        <w:tc>
          <w:tcPr>
            <w:tcW w:w="6888" w:type="dxa"/>
            <w:gridSpan w:val="4"/>
            <w:tcBorders>
              <w:top w:val="nil"/>
              <w:left w:val="nil"/>
              <w:bottom w:val="single" w:sz="4" w:space="0" w:color="auto"/>
              <w:right w:val="nil"/>
            </w:tcBorders>
            <w:vAlign w:val="center"/>
          </w:tcPr>
          <w:p w14:paraId="66949EF2" w14:textId="77777777" w:rsidR="00CB40ED" w:rsidRPr="006A6461" w:rsidRDefault="00CB40ED" w:rsidP="00F07FC3">
            <w:pPr>
              <w:widowControl w:val="0"/>
              <w:spacing w:before="15" w:after="15" w:line="240" w:lineRule="auto"/>
              <w:jc w:val="right"/>
              <w:rPr>
                <w:rFonts w:ascii="Times New Roman" w:eastAsia="Times New Roman" w:hAnsi="Times New Roman" w:cs="Times New Roman"/>
                <w:i/>
                <w:noProof/>
                <w:sz w:val="20"/>
                <w:szCs w:val="20"/>
              </w:rPr>
            </w:pPr>
            <w:r>
              <w:rPr>
                <w:rFonts w:ascii="Times New Roman" w:hAnsi="Times New Roman"/>
                <w:i/>
                <w:noProof/>
                <w:sz w:val="20"/>
              </w:rPr>
              <w:t>(en EUR)</w:t>
            </w:r>
          </w:p>
        </w:tc>
      </w:tr>
      <w:tr w:rsidR="00CB40ED" w:rsidRPr="006A6461" w14:paraId="383CE223" w14:textId="77777777" w:rsidTr="386067CE">
        <w:trPr>
          <w:trHeight w:val="300"/>
        </w:trPr>
        <w:tc>
          <w:tcPr>
            <w:tcW w:w="12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ECAF05" w14:textId="77777777" w:rsidR="00CB40ED" w:rsidRPr="006A6461" w:rsidRDefault="00CB40ED" w:rsidP="003D7759">
            <w:pPr>
              <w:keepNext/>
              <w:spacing w:before="15" w:after="15" w:line="240" w:lineRule="auto"/>
              <w:jc w:val="center"/>
              <w:rPr>
                <w:rFonts w:ascii="Times New Roman" w:eastAsia="Times New Roman" w:hAnsi="Times New Roman" w:cs="Times New Roman"/>
                <w:b/>
                <w:noProof/>
                <w:sz w:val="20"/>
                <w:szCs w:val="20"/>
              </w:rPr>
            </w:pPr>
            <w:r>
              <w:rPr>
                <w:rFonts w:ascii="Times New Roman" w:hAnsi="Times New Roman"/>
                <w:b/>
                <w:noProof/>
                <w:sz w:val="20"/>
              </w:rPr>
              <w:t>Ligne de recettes</w:t>
            </w:r>
          </w:p>
        </w:tc>
        <w:tc>
          <w:tcPr>
            <w:tcW w:w="404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0344A3" w14:textId="77777777" w:rsidR="00CB40ED" w:rsidRPr="006A6461" w:rsidRDefault="00CB40ED" w:rsidP="003D7759">
            <w:pPr>
              <w:widowControl w:val="0"/>
              <w:spacing w:before="15" w:after="15" w:line="240" w:lineRule="auto"/>
              <w:jc w:val="center"/>
              <w:rPr>
                <w:rFonts w:ascii="Times New Roman" w:eastAsia="Times New Roman" w:hAnsi="Times New Roman" w:cs="Times New Roman"/>
                <w:b/>
                <w:noProof/>
                <w:sz w:val="20"/>
                <w:szCs w:val="20"/>
              </w:rPr>
            </w:pPr>
            <w:r>
              <w:rPr>
                <w:rFonts w:ascii="Times New Roman" w:hAnsi="Times New Roman"/>
                <w:b/>
                <w:noProof/>
                <w:sz w:val="20"/>
              </w:rPr>
              <w:t>Intitulé</w:t>
            </w:r>
          </w:p>
        </w:tc>
        <w:tc>
          <w:tcPr>
            <w:tcW w:w="16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6CD164" w14:textId="1439DDBA" w:rsidR="00CB40ED" w:rsidRPr="006A6461" w:rsidRDefault="00CB40ED" w:rsidP="4B63F604">
            <w:pPr>
              <w:widowControl w:val="0"/>
              <w:spacing w:before="15" w:after="15"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Budget 2026</w:t>
            </w:r>
          </w:p>
        </w:tc>
        <w:tc>
          <w:tcPr>
            <w:tcW w:w="1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A9E1AA" w14:textId="7F011E51" w:rsidR="00CB40ED" w:rsidRPr="006A6461" w:rsidRDefault="0F7325B2" w:rsidP="4B63F604">
            <w:pPr>
              <w:widowControl w:val="0"/>
              <w:spacing w:before="15" w:after="15"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PBR 2/2026</w:t>
            </w:r>
          </w:p>
        </w:tc>
        <w:tc>
          <w:tcPr>
            <w:tcW w:w="171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4305A8" w14:textId="77777777" w:rsidR="00CB40ED" w:rsidRPr="006A6461" w:rsidRDefault="00CB40ED" w:rsidP="003D7759">
            <w:pPr>
              <w:widowControl w:val="0"/>
              <w:spacing w:before="15" w:after="15" w:line="240" w:lineRule="auto"/>
              <w:jc w:val="center"/>
              <w:rPr>
                <w:rFonts w:ascii="Times New Roman" w:eastAsia="Times New Roman" w:hAnsi="Times New Roman" w:cs="Times New Roman"/>
                <w:b/>
                <w:noProof/>
                <w:sz w:val="20"/>
                <w:szCs w:val="20"/>
              </w:rPr>
            </w:pPr>
            <w:r>
              <w:rPr>
                <w:rFonts w:ascii="Times New Roman" w:hAnsi="Times New Roman"/>
                <w:b/>
                <w:noProof/>
                <w:sz w:val="20"/>
              </w:rPr>
              <w:t>Nouveau montant</w:t>
            </w:r>
          </w:p>
        </w:tc>
      </w:tr>
      <w:tr w:rsidR="00CB40ED" w:rsidRPr="006A6461" w14:paraId="521F222F" w14:textId="77777777" w:rsidTr="386067CE">
        <w:trPr>
          <w:trHeight w:val="300"/>
        </w:trPr>
        <w:tc>
          <w:tcPr>
            <w:tcW w:w="1287" w:type="dxa"/>
            <w:tcBorders>
              <w:top w:val="single" w:sz="4" w:space="0" w:color="auto"/>
              <w:left w:val="single" w:sz="4" w:space="0" w:color="auto"/>
              <w:bottom w:val="single" w:sz="4" w:space="0" w:color="auto"/>
              <w:right w:val="single" w:sz="4" w:space="0" w:color="auto"/>
            </w:tcBorders>
          </w:tcPr>
          <w:p w14:paraId="12BC25F8" w14:textId="77777777" w:rsidR="00CB40ED" w:rsidRPr="006A6461" w:rsidRDefault="00CB40ED" w:rsidP="003D7759">
            <w:pPr>
              <w:widowControl w:val="0"/>
              <w:spacing w:before="15" w:after="15" w:line="240" w:lineRule="auto"/>
              <w:ind w:right="-113"/>
              <w:jc w:val="both"/>
              <w:rPr>
                <w:rFonts w:ascii="Times New Roman" w:eastAsia="Times New Roman" w:hAnsi="Times New Roman" w:cs="Times New Roman"/>
                <w:noProof/>
                <w:sz w:val="20"/>
                <w:szCs w:val="20"/>
              </w:rPr>
            </w:pPr>
            <w:r>
              <w:rPr>
                <w:rFonts w:ascii="Times New Roman" w:hAnsi="Times New Roman"/>
                <w:noProof/>
                <w:sz w:val="20"/>
              </w:rPr>
              <w:t>4 2 0</w:t>
            </w:r>
          </w:p>
        </w:tc>
        <w:tc>
          <w:tcPr>
            <w:tcW w:w="4041" w:type="dxa"/>
            <w:gridSpan w:val="3"/>
            <w:tcBorders>
              <w:top w:val="single" w:sz="4" w:space="0" w:color="auto"/>
              <w:left w:val="single" w:sz="4" w:space="0" w:color="auto"/>
              <w:bottom w:val="single" w:sz="4" w:space="0" w:color="auto"/>
              <w:right w:val="single" w:sz="4" w:space="0" w:color="auto"/>
            </w:tcBorders>
          </w:tcPr>
          <w:p w14:paraId="570958FC" w14:textId="77777777" w:rsidR="00CB40ED" w:rsidRPr="006A6461" w:rsidRDefault="00CB40ED" w:rsidP="003D7759">
            <w:pPr>
              <w:widowControl w:val="0"/>
              <w:tabs>
                <w:tab w:val="left" w:pos="1350"/>
              </w:tabs>
              <w:spacing w:before="15" w:after="15" w:line="240" w:lineRule="auto"/>
              <w:jc w:val="both"/>
              <w:rPr>
                <w:rFonts w:ascii="Times New Roman" w:eastAsia="Times New Roman" w:hAnsi="Times New Roman" w:cs="Times New Roman"/>
                <w:noProof/>
                <w:sz w:val="20"/>
                <w:szCs w:val="20"/>
              </w:rPr>
            </w:pPr>
            <w:r>
              <w:rPr>
                <w:rFonts w:ascii="Times New Roman" w:hAnsi="Times New Roman"/>
                <w:noProof/>
                <w:sz w:val="20"/>
              </w:rPr>
              <w:t>Amendes liées à la mise en œuvre des règles de concurrence</w:t>
            </w:r>
          </w:p>
        </w:tc>
        <w:tc>
          <w:tcPr>
            <w:tcW w:w="1611" w:type="dxa"/>
            <w:tcBorders>
              <w:top w:val="single" w:sz="4" w:space="0" w:color="auto"/>
              <w:left w:val="single" w:sz="4" w:space="0" w:color="auto"/>
              <w:bottom w:val="single" w:sz="4" w:space="0" w:color="auto"/>
              <w:right w:val="single" w:sz="4" w:space="0" w:color="auto"/>
            </w:tcBorders>
          </w:tcPr>
          <w:p w14:paraId="1CA796BD" w14:textId="48019C7D" w:rsidR="00CB40ED" w:rsidRPr="006D0CA2" w:rsidRDefault="008C1537" w:rsidP="009753FC">
            <w:pPr>
              <w:widowControl w:val="0"/>
              <w:spacing w:before="15" w:after="15"/>
              <w:jc w:val="right"/>
              <w:rPr>
                <w:rFonts w:ascii="Times New Roman" w:hAnsi="Times New Roman" w:cs="Times New Roman"/>
                <w:noProof/>
                <w:sz w:val="20"/>
                <w:szCs w:val="20"/>
              </w:rPr>
            </w:pPr>
            <w:r>
              <w:rPr>
                <w:rFonts w:ascii="Times New Roman" w:hAnsi="Times New Roman"/>
                <w:noProof/>
                <w:sz w:val="20"/>
              </w:rPr>
              <w:t>100 000 000</w:t>
            </w:r>
          </w:p>
        </w:tc>
        <w:tc>
          <w:tcPr>
            <w:tcW w:w="1470" w:type="dxa"/>
            <w:tcBorders>
              <w:top w:val="single" w:sz="4" w:space="0" w:color="auto"/>
              <w:left w:val="single" w:sz="4" w:space="0" w:color="auto"/>
              <w:bottom w:val="single" w:sz="4" w:space="0" w:color="auto"/>
              <w:right w:val="single" w:sz="4" w:space="0" w:color="auto"/>
            </w:tcBorders>
          </w:tcPr>
          <w:p w14:paraId="42D1EA75" w14:textId="25210272" w:rsidR="0DFD5A47" w:rsidRPr="00257B29" w:rsidRDefault="616F812B" w:rsidP="386067CE">
            <w:pPr>
              <w:spacing w:before="15" w:after="15" w:line="257" w:lineRule="auto"/>
              <w:jc w:val="right"/>
              <w:rPr>
                <w:rFonts w:ascii="Times New Roman" w:eastAsia="Calibri" w:hAnsi="Times New Roman" w:cs="Times New Roman"/>
                <w:noProof/>
                <w:sz w:val="20"/>
                <w:szCs w:val="20"/>
              </w:rPr>
            </w:pPr>
            <w:r>
              <w:rPr>
                <w:rFonts w:ascii="Times New Roman" w:hAnsi="Times New Roman"/>
                <w:noProof/>
                <w:sz w:val="20"/>
              </w:rPr>
              <w:t>855 327 953</w:t>
            </w:r>
          </w:p>
        </w:tc>
        <w:tc>
          <w:tcPr>
            <w:tcW w:w="1711" w:type="dxa"/>
            <w:gridSpan w:val="2"/>
            <w:tcBorders>
              <w:top w:val="single" w:sz="4" w:space="0" w:color="auto"/>
              <w:left w:val="single" w:sz="4" w:space="0" w:color="auto"/>
              <w:bottom w:val="single" w:sz="4" w:space="0" w:color="auto"/>
              <w:right w:val="single" w:sz="4" w:space="0" w:color="auto"/>
            </w:tcBorders>
          </w:tcPr>
          <w:p w14:paraId="338360A3" w14:textId="7E6792B2" w:rsidR="00CB40ED" w:rsidRPr="00257B29" w:rsidRDefault="4902C049" w:rsidP="386067CE">
            <w:pPr>
              <w:widowControl w:val="0"/>
              <w:spacing w:before="15" w:after="15"/>
              <w:jc w:val="right"/>
              <w:rPr>
                <w:rFonts w:ascii="Times New Roman" w:eastAsia="Calibri" w:hAnsi="Times New Roman" w:cs="Times New Roman"/>
                <w:noProof/>
                <w:sz w:val="20"/>
                <w:szCs w:val="20"/>
              </w:rPr>
            </w:pPr>
            <w:r>
              <w:rPr>
                <w:rFonts w:ascii="Times New Roman" w:hAnsi="Times New Roman"/>
                <w:noProof/>
                <w:sz w:val="20"/>
              </w:rPr>
              <w:t xml:space="preserve"> 955 327 953</w:t>
            </w:r>
          </w:p>
        </w:tc>
      </w:tr>
      <w:tr w:rsidR="00CB40ED" w:rsidRPr="006A6461" w14:paraId="329A6E93" w14:textId="77777777" w:rsidTr="386067CE">
        <w:trPr>
          <w:trHeight w:val="300"/>
        </w:trPr>
        <w:tc>
          <w:tcPr>
            <w:tcW w:w="1287" w:type="dxa"/>
            <w:tcBorders>
              <w:top w:val="single" w:sz="4" w:space="0" w:color="auto"/>
              <w:left w:val="single" w:sz="4" w:space="0" w:color="auto"/>
              <w:bottom w:val="single" w:sz="4" w:space="0" w:color="auto"/>
              <w:right w:val="single" w:sz="4" w:space="0" w:color="auto"/>
            </w:tcBorders>
          </w:tcPr>
          <w:p w14:paraId="0F6F3E2B" w14:textId="77777777" w:rsidR="00CB40ED" w:rsidRPr="006A6461" w:rsidRDefault="00CB40ED" w:rsidP="003D7759">
            <w:pPr>
              <w:widowControl w:val="0"/>
              <w:spacing w:before="15" w:after="15" w:line="240" w:lineRule="auto"/>
              <w:ind w:right="-113"/>
              <w:jc w:val="both"/>
              <w:rPr>
                <w:rFonts w:ascii="Times New Roman" w:eastAsia="Times New Roman" w:hAnsi="Times New Roman" w:cs="Times New Roman"/>
                <w:noProof/>
                <w:sz w:val="20"/>
                <w:szCs w:val="20"/>
              </w:rPr>
            </w:pPr>
            <w:r>
              <w:rPr>
                <w:rFonts w:ascii="Times New Roman" w:hAnsi="Times New Roman"/>
                <w:noProof/>
                <w:sz w:val="20"/>
              </w:rPr>
              <w:t>4 2 1</w:t>
            </w:r>
          </w:p>
        </w:tc>
        <w:tc>
          <w:tcPr>
            <w:tcW w:w="4041" w:type="dxa"/>
            <w:gridSpan w:val="3"/>
            <w:tcBorders>
              <w:top w:val="single" w:sz="4" w:space="0" w:color="auto"/>
              <w:left w:val="single" w:sz="4" w:space="0" w:color="auto"/>
              <w:bottom w:val="single" w:sz="4" w:space="0" w:color="auto"/>
              <w:right w:val="single" w:sz="4" w:space="0" w:color="auto"/>
            </w:tcBorders>
          </w:tcPr>
          <w:p w14:paraId="39B0A9F9" w14:textId="77777777" w:rsidR="00CB40ED" w:rsidRPr="006A6461" w:rsidRDefault="00CB40ED" w:rsidP="003D7759">
            <w:pPr>
              <w:widowControl w:val="0"/>
              <w:tabs>
                <w:tab w:val="left" w:pos="1350"/>
              </w:tabs>
              <w:spacing w:before="15" w:after="15" w:line="240" w:lineRule="auto"/>
              <w:jc w:val="both"/>
              <w:rPr>
                <w:rFonts w:ascii="Times New Roman" w:eastAsia="Times New Roman" w:hAnsi="Times New Roman" w:cs="Times New Roman"/>
                <w:noProof/>
                <w:sz w:val="20"/>
                <w:szCs w:val="20"/>
              </w:rPr>
            </w:pPr>
            <w:r>
              <w:rPr>
                <w:rFonts w:ascii="Times New Roman" w:hAnsi="Times New Roman"/>
                <w:noProof/>
                <w:sz w:val="20"/>
              </w:rPr>
              <w:t>Astreintes et sommes forfaitaires imposées aux États membres</w:t>
            </w:r>
          </w:p>
        </w:tc>
        <w:tc>
          <w:tcPr>
            <w:tcW w:w="1611" w:type="dxa"/>
            <w:tcBorders>
              <w:top w:val="single" w:sz="4" w:space="0" w:color="auto"/>
              <w:left w:val="single" w:sz="4" w:space="0" w:color="auto"/>
              <w:bottom w:val="single" w:sz="4" w:space="0" w:color="auto"/>
              <w:right w:val="single" w:sz="4" w:space="0" w:color="auto"/>
            </w:tcBorders>
          </w:tcPr>
          <w:p w14:paraId="497591B2" w14:textId="77777777" w:rsidR="00CB40ED" w:rsidRPr="006D0CA2" w:rsidRDefault="00CB40ED" w:rsidP="003C19C9">
            <w:pPr>
              <w:widowControl w:val="0"/>
              <w:spacing w:before="15" w:after="15"/>
              <w:jc w:val="right"/>
              <w:rPr>
                <w:rFonts w:ascii="Times New Roman" w:hAnsi="Times New Roman" w:cs="Times New Roman"/>
                <w:noProof/>
                <w:sz w:val="20"/>
                <w:szCs w:val="20"/>
              </w:rPr>
            </w:pPr>
            <w:r>
              <w:rPr>
                <w:rFonts w:ascii="Times New Roman" w:hAnsi="Times New Roman"/>
                <w:noProof/>
                <w:sz w:val="20"/>
              </w:rPr>
              <w:t>p.m.</w:t>
            </w:r>
          </w:p>
        </w:tc>
        <w:tc>
          <w:tcPr>
            <w:tcW w:w="1470" w:type="dxa"/>
            <w:tcBorders>
              <w:top w:val="single" w:sz="4" w:space="0" w:color="auto"/>
              <w:left w:val="single" w:sz="4" w:space="0" w:color="auto"/>
              <w:bottom w:val="single" w:sz="4" w:space="0" w:color="auto"/>
              <w:right w:val="single" w:sz="4" w:space="0" w:color="auto"/>
            </w:tcBorders>
          </w:tcPr>
          <w:p w14:paraId="0D190777" w14:textId="76BFD6BF" w:rsidR="0DFD5A47" w:rsidRPr="00257B29" w:rsidRDefault="0DFD5A47">
            <w:pPr>
              <w:spacing w:before="15" w:after="15" w:line="257" w:lineRule="auto"/>
              <w:jc w:val="right"/>
              <w:rPr>
                <w:rFonts w:ascii="Times New Roman" w:eastAsia="Calibri" w:hAnsi="Times New Roman" w:cs="Times New Roman"/>
                <w:noProof/>
                <w:sz w:val="20"/>
                <w:szCs w:val="20"/>
              </w:rPr>
            </w:pPr>
            <w:r>
              <w:rPr>
                <w:rFonts w:ascii="Times New Roman" w:hAnsi="Times New Roman"/>
                <w:noProof/>
                <w:sz w:val="20"/>
              </w:rPr>
              <w:t xml:space="preserve"> 268 063 119 </w:t>
            </w:r>
          </w:p>
        </w:tc>
        <w:tc>
          <w:tcPr>
            <w:tcW w:w="1711" w:type="dxa"/>
            <w:gridSpan w:val="2"/>
            <w:tcBorders>
              <w:top w:val="single" w:sz="4" w:space="0" w:color="auto"/>
              <w:left w:val="single" w:sz="4" w:space="0" w:color="auto"/>
              <w:bottom w:val="single" w:sz="4" w:space="0" w:color="auto"/>
              <w:right w:val="single" w:sz="4" w:space="0" w:color="auto"/>
            </w:tcBorders>
          </w:tcPr>
          <w:p w14:paraId="7C6E680B" w14:textId="0E3BEA24" w:rsidR="00CB40ED" w:rsidRPr="00257B29" w:rsidRDefault="36684AA7" w:rsidP="002F0C65">
            <w:pPr>
              <w:widowControl w:val="0"/>
              <w:spacing w:before="15" w:after="15"/>
              <w:jc w:val="right"/>
              <w:rPr>
                <w:rFonts w:ascii="Times New Roman" w:eastAsia="Calibri" w:hAnsi="Times New Roman" w:cs="Times New Roman"/>
                <w:noProof/>
                <w:sz w:val="20"/>
                <w:szCs w:val="20"/>
              </w:rPr>
            </w:pPr>
            <w:r>
              <w:rPr>
                <w:rFonts w:ascii="Times New Roman" w:hAnsi="Times New Roman"/>
                <w:noProof/>
                <w:sz w:val="20"/>
              </w:rPr>
              <w:t xml:space="preserve"> 268 063 119</w:t>
            </w:r>
          </w:p>
        </w:tc>
      </w:tr>
      <w:tr w:rsidR="00CB40ED" w:rsidRPr="006A6461" w14:paraId="509E65E3" w14:textId="77777777" w:rsidTr="386067CE">
        <w:trPr>
          <w:trHeight w:val="300"/>
        </w:trPr>
        <w:tc>
          <w:tcPr>
            <w:tcW w:w="1287" w:type="dxa"/>
            <w:tcBorders>
              <w:top w:val="single" w:sz="4" w:space="0" w:color="auto"/>
              <w:left w:val="single" w:sz="4" w:space="0" w:color="auto"/>
              <w:bottom w:val="single" w:sz="4" w:space="0" w:color="auto"/>
              <w:right w:val="single" w:sz="4" w:space="0" w:color="auto"/>
            </w:tcBorders>
          </w:tcPr>
          <w:p w14:paraId="6990CB8D" w14:textId="77777777" w:rsidR="00CB40ED" w:rsidRPr="006A6461" w:rsidRDefault="00CB40ED" w:rsidP="003D7759">
            <w:pPr>
              <w:widowControl w:val="0"/>
              <w:spacing w:before="15" w:after="15" w:line="240" w:lineRule="auto"/>
              <w:ind w:right="-113"/>
              <w:jc w:val="both"/>
              <w:rPr>
                <w:rFonts w:ascii="Times New Roman" w:eastAsia="Times New Roman" w:hAnsi="Times New Roman" w:cs="Times New Roman"/>
                <w:noProof/>
                <w:sz w:val="20"/>
                <w:szCs w:val="20"/>
              </w:rPr>
            </w:pPr>
            <w:r>
              <w:rPr>
                <w:rFonts w:ascii="Times New Roman" w:hAnsi="Times New Roman"/>
                <w:noProof/>
                <w:sz w:val="20"/>
              </w:rPr>
              <w:t>4 2 4</w:t>
            </w:r>
          </w:p>
        </w:tc>
        <w:tc>
          <w:tcPr>
            <w:tcW w:w="4041" w:type="dxa"/>
            <w:gridSpan w:val="3"/>
            <w:tcBorders>
              <w:top w:val="single" w:sz="4" w:space="0" w:color="auto"/>
              <w:left w:val="single" w:sz="4" w:space="0" w:color="auto"/>
              <w:bottom w:val="single" w:sz="4" w:space="0" w:color="auto"/>
              <w:right w:val="single" w:sz="4" w:space="0" w:color="auto"/>
            </w:tcBorders>
          </w:tcPr>
          <w:p w14:paraId="72DDCB5E" w14:textId="77777777" w:rsidR="00CB40ED" w:rsidRPr="006A6461" w:rsidRDefault="00CB40ED" w:rsidP="003D7759">
            <w:pPr>
              <w:widowControl w:val="0"/>
              <w:tabs>
                <w:tab w:val="left" w:pos="1350"/>
              </w:tabs>
              <w:spacing w:before="15" w:after="15" w:line="240" w:lineRule="auto"/>
              <w:jc w:val="both"/>
              <w:rPr>
                <w:rFonts w:ascii="Times New Roman" w:hAnsi="Times New Roman" w:cs="Times New Roman"/>
                <w:noProof/>
                <w:sz w:val="20"/>
                <w:szCs w:val="20"/>
              </w:rPr>
            </w:pPr>
            <w:r>
              <w:rPr>
                <w:rFonts w:ascii="Times New Roman" w:hAnsi="Times New Roman"/>
                <w:noProof/>
                <w:sz w:val="20"/>
              </w:rPr>
              <w:t>Intérêts relatifs aux amendes et astreintes</w:t>
            </w:r>
          </w:p>
        </w:tc>
        <w:tc>
          <w:tcPr>
            <w:tcW w:w="1611" w:type="dxa"/>
            <w:tcBorders>
              <w:top w:val="single" w:sz="4" w:space="0" w:color="auto"/>
              <w:left w:val="single" w:sz="4" w:space="0" w:color="auto"/>
              <w:bottom w:val="single" w:sz="4" w:space="0" w:color="auto"/>
              <w:right w:val="single" w:sz="4" w:space="0" w:color="auto"/>
            </w:tcBorders>
          </w:tcPr>
          <w:p w14:paraId="41CFCB9C" w14:textId="0716CEEB" w:rsidR="00CB40ED" w:rsidRPr="006D0CA2" w:rsidRDefault="00CB40ED" w:rsidP="003C19C9">
            <w:pPr>
              <w:widowControl w:val="0"/>
              <w:spacing w:before="15" w:after="15"/>
              <w:jc w:val="right"/>
              <w:rPr>
                <w:rFonts w:ascii="Times New Roman" w:hAnsi="Times New Roman" w:cs="Times New Roman"/>
                <w:noProof/>
                <w:sz w:val="20"/>
                <w:szCs w:val="20"/>
              </w:rPr>
            </w:pPr>
            <w:r>
              <w:rPr>
                <w:rFonts w:ascii="Times New Roman" w:hAnsi="Times New Roman"/>
                <w:noProof/>
                <w:sz w:val="20"/>
              </w:rPr>
              <w:t>1 000 000</w:t>
            </w:r>
          </w:p>
        </w:tc>
        <w:tc>
          <w:tcPr>
            <w:tcW w:w="1470" w:type="dxa"/>
            <w:tcBorders>
              <w:top w:val="single" w:sz="4" w:space="0" w:color="auto"/>
              <w:left w:val="single" w:sz="4" w:space="0" w:color="auto"/>
              <w:bottom w:val="single" w:sz="4" w:space="0" w:color="auto"/>
              <w:right w:val="single" w:sz="4" w:space="0" w:color="auto"/>
            </w:tcBorders>
          </w:tcPr>
          <w:p w14:paraId="12F6187D" w14:textId="24555112" w:rsidR="07D1EAA6" w:rsidRPr="00257B29" w:rsidRDefault="07D1EAA6" w:rsidP="00F34834">
            <w:pPr>
              <w:spacing w:before="15" w:after="15" w:line="257" w:lineRule="auto"/>
              <w:jc w:val="right"/>
              <w:rPr>
                <w:rFonts w:ascii="Times New Roman" w:eastAsia="Calibri" w:hAnsi="Times New Roman" w:cs="Times New Roman"/>
                <w:noProof/>
                <w:sz w:val="20"/>
                <w:szCs w:val="20"/>
              </w:rPr>
            </w:pPr>
            <w:r>
              <w:rPr>
                <w:rFonts w:ascii="Times New Roman" w:hAnsi="Times New Roman"/>
                <w:noProof/>
                <w:sz w:val="20"/>
              </w:rPr>
              <w:t xml:space="preserve">97 536 784 </w:t>
            </w:r>
          </w:p>
        </w:tc>
        <w:tc>
          <w:tcPr>
            <w:tcW w:w="1711" w:type="dxa"/>
            <w:gridSpan w:val="2"/>
            <w:tcBorders>
              <w:top w:val="single" w:sz="4" w:space="0" w:color="auto"/>
              <w:left w:val="single" w:sz="4" w:space="0" w:color="auto"/>
              <w:bottom w:val="single" w:sz="4" w:space="0" w:color="auto"/>
              <w:right w:val="single" w:sz="4" w:space="0" w:color="auto"/>
            </w:tcBorders>
          </w:tcPr>
          <w:p w14:paraId="519BAA2A" w14:textId="4DAC9264" w:rsidR="07D1EAA6" w:rsidRPr="00257B29" w:rsidRDefault="07D1EAA6" w:rsidP="00F34834">
            <w:pPr>
              <w:spacing w:before="15" w:after="15" w:line="257" w:lineRule="auto"/>
              <w:jc w:val="right"/>
              <w:rPr>
                <w:rFonts w:ascii="Times New Roman" w:eastAsia="Calibri" w:hAnsi="Times New Roman" w:cs="Times New Roman"/>
                <w:noProof/>
                <w:sz w:val="20"/>
                <w:szCs w:val="20"/>
              </w:rPr>
            </w:pPr>
            <w:r>
              <w:rPr>
                <w:rFonts w:ascii="Times New Roman" w:hAnsi="Times New Roman"/>
                <w:noProof/>
                <w:sz w:val="20"/>
              </w:rPr>
              <w:t xml:space="preserve"> 98 536 784 </w:t>
            </w:r>
          </w:p>
        </w:tc>
      </w:tr>
      <w:tr w:rsidR="00FF15E6" w:rsidRPr="006A6461" w14:paraId="704193A0" w14:textId="77777777" w:rsidTr="386067CE">
        <w:trPr>
          <w:trHeight w:val="300"/>
        </w:trPr>
        <w:tc>
          <w:tcPr>
            <w:tcW w:w="1287" w:type="dxa"/>
          </w:tcPr>
          <w:p w14:paraId="53F29323" w14:textId="0AAEF72B" w:rsidR="00FF15E6" w:rsidRPr="006A6461" w:rsidRDefault="1370EE2D" w:rsidP="003D7759">
            <w:pPr>
              <w:widowControl w:val="0"/>
              <w:spacing w:before="15" w:after="15" w:line="240" w:lineRule="auto"/>
              <w:ind w:right="-113"/>
              <w:jc w:val="both"/>
              <w:rPr>
                <w:rFonts w:ascii="Times New Roman" w:eastAsia="Times New Roman" w:hAnsi="Times New Roman" w:cs="Times New Roman"/>
                <w:noProof/>
                <w:sz w:val="20"/>
                <w:szCs w:val="20"/>
              </w:rPr>
            </w:pPr>
            <w:r>
              <w:rPr>
                <w:rFonts w:ascii="Times New Roman" w:hAnsi="Times New Roman"/>
                <w:noProof/>
                <w:sz w:val="20"/>
              </w:rPr>
              <w:t xml:space="preserve">4 2 5 </w:t>
            </w:r>
          </w:p>
        </w:tc>
        <w:tc>
          <w:tcPr>
            <w:tcW w:w="4041" w:type="dxa"/>
            <w:gridSpan w:val="3"/>
          </w:tcPr>
          <w:p w14:paraId="1C037F8E" w14:textId="199F1FCF" w:rsidR="00FF15E6" w:rsidRPr="006A6461" w:rsidRDefault="00FF15E6" w:rsidP="003D7759">
            <w:pPr>
              <w:widowControl w:val="0"/>
              <w:tabs>
                <w:tab w:val="left" w:pos="1350"/>
              </w:tabs>
              <w:spacing w:before="15" w:after="15" w:line="240" w:lineRule="auto"/>
              <w:jc w:val="both"/>
              <w:rPr>
                <w:rFonts w:ascii="Times New Roman" w:hAnsi="Times New Roman" w:cs="Times New Roman"/>
                <w:noProof/>
                <w:sz w:val="20"/>
                <w:szCs w:val="20"/>
              </w:rPr>
            </w:pPr>
            <w:r>
              <w:rPr>
                <w:rFonts w:ascii="Times New Roman" w:hAnsi="Times New Roman"/>
                <w:noProof/>
                <w:sz w:val="20"/>
              </w:rPr>
              <w:t>Intérêts, autres charges dues et rendements négatifs se rapportant à des amendes annulées ou réduites</w:t>
            </w:r>
          </w:p>
        </w:tc>
        <w:tc>
          <w:tcPr>
            <w:tcW w:w="1611" w:type="dxa"/>
          </w:tcPr>
          <w:p w14:paraId="4D413C42" w14:textId="13E1CDD9" w:rsidR="00FF15E6" w:rsidRPr="006D0CA2" w:rsidRDefault="00FF15E6" w:rsidP="003C19C9">
            <w:pPr>
              <w:widowControl w:val="0"/>
              <w:spacing w:before="15" w:after="15"/>
              <w:jc w:val="right"/>
              <w:rPr>
                <w:rFonts w:ascii="Times New Roman" w:hAnsi="Times New Roman" w:cs="Times New Roman"/>
                <w:noProof/>
                <w:sz w:val="20"/>
                <w:szCs w:val="20"/>
              </w:rPr>
            </w:pPr>
            <w:r>
              <w:rPr>
                <w:rFonts w:ascii="Times New Roman" w:hAnsi="Times New Roman"/>
                <w:noProof/>
                <w:sz w:val="20"/>
              </w:rPr>
              <w:t>p.m.</w:t>
            </w:r>
          </w:p>
        </w:tc>
        <w:tc>
          <w:tcPr>
            <w:tcW w:w="1470" w:type="dxa"/>
          </w:tcPr>
          <w:p w14:paraId="7774EA68" w14:textId="6BC3A6FC" w:rsidR="0DFD5A47" w:rsidRPr="00257B29" w:rsidRDefault="0DFD5A47">
            <w:pPr>
              <w:spacing w:before="15" w:after="15" w:line="257" w:lineRule="auto"/>
              <w:jc w:val="right"/>
              <w:rPr>
                <w:rFonts w:ascii="Times New Roman" w:eastAsia="Calibri" w:hAnsi="Times New Roman" w:cs="Times New Roman"/>
                <w:noProof/>
                <w:sz w:val="20"/>
                <w:szCs w:val="20"/>
              </w:rPr>
            </w:pPr>
            <w:r>
              <w:rPr>
                <w:rFonts w:ascii="Times New Roman" w:hAnsi="Times New Roman"/>
                <w:noProof/>
                <w:sz w:val="20"/>
              </w:rPr>
              <w:t xml:space="preserve">-22 715 250 </w:t>
            </w:r>
          </w:p>
        </w:tc>
        <w:tc>
          <w:tcPr>
            <w:tcW w:w="1711" w:type="dxa"/>
            <w:gridSpan w:val="2"/>
            <w:tcBorders>
              <w:bottom w:val="single" w:sz="4" w:space="0" w:color="auto"/>
            </w:tcBorders>
          </w:tcPr>
          <w:p w14:paraId="62233B3A" w14:textId="2B92233F" w:rsidR="00FF15E6" w:rsidRPr="00257B29" w:rsidRDefault="46703761" w:rsidP="0DFD5A47">
            <w:pPr>
              <w:widowControl w:val="0"/>
              <w:spacing w:before="15" w:after="15"/>
              <w:jc w:val="right"/>
              <w:rPr>
                <w:rFonts w:ascii="Times New Roman" w:eastAsia="Calibri" w:hAnsi="Times New Roman" w:cs="Times New Roman"/>
                <w:noProof/>
                <w:sz w:val="20"/>
                <w:szCs w:val="20"/>
              </w:rPr>
            </w:pPr>
            <w:r>
              <w:rPr>
                <w:rFonts w:ascii="Times New Roman" w:hAnsi="Times New Roman"/>
                <w:noProof/>
                <w:sz w:val="20"/>
              </w:rPr>
              <w:t xml:space="preserve"> </w:t>
            </w:r>
          </w:p>
          <w:p w14:paraId="67EFA95F" w14:textId="142BBAAE" w:rsidR="00FF15E6" w:rsidRPr="00257B29" w:rsidRDefault="46703761" w:rsidP="00EF7A17">
            <w:pPr>
              <w:widowControl w:val="0"/>
              <w:spacing w:before="15" w:after="15"/>
              <w:jc w:val="right"/>
              <w:rPr>
                <w:rFonts w:ascii="Times New Roman" w:eastAsia="Calibri" w:hAnsi="Times New Roman" w:cs="Times New Roman"/>
                <w:noProof/>
                <w:sz w:val="20"/>
                <w:szCs w:val="20"/>
              </w:rPr>
            </w:pPr>
            <w:r>
              <w:rPr>
                <w:rFonts w:ascii="Times New Roman" w:hAnsi="Times New Roman"/>
                <w:noProof/>
                <w:sz w:val="20"/>
              </w:rPr>
              <w:t>-22 715 250</w:t>
            </w:r>
          </w:p>
        </w:tc>
      </w:tr>
      <w:tr w:rsidR="00CB40ED" w:rsidRPr="006A6461" w14:paraId="5264019D" w14:textId="77777777" w:rsidTr="386067CE">
        <w:trPr>
          <w:trHeight w:val="300"/>
        </w:trPr>
        <w:tc>
          <w:tcPr>
            <w:tcW w:w="1287" w:type="dxa"/>
            <w:tcBorders>
              <w:top w:val="single" w:sz="4" w:space="0" w:color="auto"/>
              <w:left w:val="single" w:sz="4" w:space="0" w:color="auto"/>
              <w:bottom w:val="single" w:sz="4" w:space="0" w:color="auto"/>
              <w:right w:val="single" w:sz="4" w:space="0" w:color="auto"/>
            </w:tcBorders>
          </w:tcPr>
          <w:p w14:paraId="67B7A568" w14:textId="77777777" w:rsidR="00CB40ED" w:rsidRPr="006A6461" w:rsidRDefault="00CB40ED" w:rsidP="003D7759">
            <w:pPr>
              <w:widowControl w:val="0"/>
              <w:spacing w:before="15" w:after="15" w:line="240" w:lineRule="auto"/>
              <w:ind w:right="-113"/>
              <w:jc w:val="both"/>
              <w:rPr>
                <w:rFonts w:ascii="Times New Roman" w:eastAsia="Times New Roman" w:hAnsi="Times New Roman" w:cs="Times New Roman"/>
                <w:noProof/>
                <w:sz w:val="20"/>
                <w:szCs w:val="20"/>
              </w:rPr>
            </w:pPr>
            <w:r>
              <w:rPr>
                <w:rFonts w:ascii="Times New Roman" w:hAnsi="Times New Roman"/>
                <w:noProof/>
                <w:sz w:val="20"/>
              </w:rPr>
              <w:t>4 2 9</w:t>
            </w:r>
          </w:p>
        </w:tc>
        <w:tc>
          <w:tcPr>
            <w:tcW w:w="4041" w:type="dxa"/>
            <w:gridSpan w:val="3"/>
            <w:tcBorders>
              <w:top w:val="single" w:sz="4" w:space="0" w:color="auto"/>
              <w:left w:val="single" w:sz="4" w:space="0" w:color="auto"/>
              <w:bottom w:val="single" w:sz="4" w:space="0" w:color="auto"/>
              <w:right w:val="single" w:sz="4" w:space="0" w:color="auto"/>
            </w:tcBorders>
          </w:tcPr>
          <w:p w14:paraId="0B516EDC" w14:textId="77777777" w:rsidR="00CB40ED" w:rsidRPr="006A6461" w:rsidRDefault="00CB40ED" w:rsidP="003D7759">
            <w:pPr>
              <w:widowControl w:val="0"/>
              <w:tabs>
                <w:tab w:val="left" w:pos="1350"/>
              </w:tabs>
              <w:spacing w:before="15" w:after="15" w:line="240" w:lineRule="auto"/>
              <w:jc w:val="both"/>
              <w:rPr>
                <w:rFonts w:ascii="Times New Roman" w:hAnsi="Times New Roman" w:cs="Times New Roman"/>
                <w:noProof/>
                <w:sz w:val="20"/>
                <w:szCs w:val="20"/>
              </w:rPr>
            </w:pPr>
            <w:r>
              <w:rPr>
                <w:rFonts w:ascii="Times New Roman" w:hAnsi="Times New Roman"/>
                <w:noProof/>
                <w:sz w:val="20"/>
              </w:rPr>
              <w:t>Autres amendes et astreintes sans affectation</w:t>
            </w:r>
          </w:p>
        </w:tc>
        <w:tc>
          <w:tcPr>
            <w:tcW w:w="1611" w:type="dxa"/>
            <w:tcBorders>
              <w:top w:val="single" w:sz="4" w:space="0" w:color="auto"/>
              <w:left w:val="single" w:sz="4" w:space="0" w:color="auto"/>
              <w:bottom w:val="single" w:sz="4" w:space="0" w:color="auto"/>
              <w:right w:val="single" w:sz="4" w:space="0" w:color="auto"/>
            </w:tcBorders>
          </w:tcPr>
          <w:p w14:paraId="4E16ACDC" w14:textId="77777777" w:rsidR="00CB40ED" w:rsidRPr="006D0CA2" w:rsidRDefault="00CB40ED" w:rsidP="003C19C9">
            <w:pPr>
              <w:widowControl w:val="0"/>
              <w:spacing w:before="15" w:after="15"/>
              <w:jc w:val="right"/>
              <w:rPr>
                <w:rFonts w:ascii="Times New Roman" w:hAnsi="Times New Roman" w:cs="Times New Roman"/>
                <w:noProof/>
                <w:sz w:val="20"/>
                <w:szCs w:val="20"/>
              </w:rPr>
            </w:pPr>
            <w:r>
              <w:rPr>
                <w:rFonts w:ascii="Times New Roman" w:hAnsi="Times New Roman"/>
                <w:noProof/>
                <w:sz w:val="20"/>
              </w:rPr>
              <w:t>p.m.</w:t>
            </w:r>
          </w:p>
        </w:tc>
        <w:tc>
          <w:tcPr>
            <w:tcW w:w="1470" w:type="dxa"/>
            <w:tcBorders>
              <w:top w:val="single" w:sz="4" w:space="0" w:color="auto"/>
              <w:left w:val="single" w:sz="4" w:space="0" w:color="auto"/>
              <w:bottom w:val="single" w:sz="4" w:space="0" w:color="auto"/>
              <w:right w:val="single" w:sz="4" w:space="0" w:color="auto"/>
            </w:tcBorders>
          </w:tcPr>
          <w:p w14:paraId="1ED29BF6" w14:textId="482A6A98" w:rsidR="0DFD5A47" w:rsidRPr="00257B29" w:rsidRDefault="0DFD5A47">
            <w:pPr>
              <w:spacing w:before="15" w:after="15" w:line="257" w:lineRule="auto"/>
              <w:jc w:val="right"/>
              <w:rPr>
                <w:rFonts w:ascii="Times New Roman" w:eastAsia="Calibri" w:hAnsi="Times New Roman" w:cs="Times New Roman"/>
                <w:noProof/>
                <w:sz w:val="20"/>
                <w:szCs w:val="20"/>
              </w:rPr>
            </w:pPr>
            <w:r>
              <w:rPr>
                <w:rFonts w:ascii="Times New Roman" w:hAnsi="Times New Roman"/>
                <w:noProof/>
                <w:sz w:val="20"/>
              </w:rPr>
              <w:t xml:space="preserve"> 865 504 </w:t>
            </w:r>
          </w:p>
        </w:tc>
        <w:tc>
          <w:tcPr>
            <w:tcW w:w="1711" w:type="dxa"/>
            <w:gridSpan w:val="2"/>
            <w:tcBorders>
              <w:top w:val="single" w:sz="4" w:space="0" w:color="auto"/>
              <w:left w:val="single" w:sz="4" w:space="0" w:color="auto"/>
              <w:bottom w:val="single" w:sz="4" w:space="0" w:color="auto"/>
              <w:right w:val="single" w:sz="4" w:space="0" w:color="auto"/>
            </w:tcBorders>
          </w:tcPr>
          <w:p w14:paraId="50DC355C" w14:textId="6FF0B71E" w:rsidR="00CB40ED" w:rsidRPr="00257B29" w:rsidRDefault="6BF196B0" w:rsidP="0DFD5A47">
            <w:pPr>
              <w:widowControl w:val="0"/>
              <w:spacing w:before="15" w:after="15" w:line="257" w:lineRule="auto"/>
              <w:jc w:val="right"/>
              <w:rPr>
                <w:rFonts w:ascii="Times New Roman" w:eastAsia="Calibri" w:hAnsi="Times New Roman" w:cs="Times New Roman"/>
                <w:noProof/>
                <w:sz w:val="20"/>
                <w:szCs w:val="20"/>
              </w:rPr>
            </w:pPr>
            <w:r>
              <w:rPr>
                <w:rFonts w:ascii="Times New Roman" w:hAnsi="Times New Roman"/>
                <w:noProof/>
                <w:sz w:val="20"/>
              </w:rPr>
              <w:t xml:space="preserve">865 504 </w:t>
            </w:r>
          </w:p>
          <w:p w14:paraId="2BF0DD3C" w14:textId="205EFC42" w:rsidR="00CB40ED" w:rsidRPr="006D0CA2" w:rsidRDefault="00CB40ED" w:rsidP="00EF7A17">
            <w:pPr>
              <w:widowControl w:val="0"/>
              <w:spacing w:before="15" w:after="15"/>
              <w:jc w:val="right"/>
              <w:rPr>
                <w:rFonts w:ascii="Times New Roman" w:hAnsi="Times New Roman" w:cs="Times New Roman"/>
                <w:noProof/>
                <w:sz w:val="20"/>
                <w:szCs w:val="20"/>
              </w:rPr>
            </w:pPr>
          </w:p>
        </w:tc>
      </w:tr>
      <w:tr w:rsidR="00CB40ED" w:rsidRPr="006A6461" w14:paraId="1C0E7EA6" w14:textId="77777777" w:rsidTr="386067CE">
        <w:trPr>
          <w:trHeight w:val="300"/>
        </w:trPr>
        <w:tc>
          <w:tcPr>
            <w:tcW w:w="532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9ED46D" w14:textId="77777777" w:rsidR="00CB40ED" w:rsidRPr="006A6461" w:rsidRDefault="00CB40ED" w:rsidP="003D7759">
            <w:pPr>
              <w:widowControl w:val="0"/>
              <w:spacing w:before="15" w:after="15" w:line="240" w:lineRule="auto"/>
              <w:ind w:right="-113"/>
              <w:jc w:val="both"/>
              <w:rPr>
                <w:rFonts w:ascii="Times New Roman" w:eastAsia="Times New Roman" w:hAnsi="Times New Roman" w:cs="Times New Roman"/>
                <w:noProof/>
                <w:sz w:val="20"/>
                <w:szCs w:val="20"/>
              </w:rPr>
            </w:pPr>
            <w:r>
              <w:rPr>
                <w:rFonts w:ascii="Times New Roman" w:hAnsi="Times New Roman"/>
                <w:b/>
                <w:noProof/>
                <w:sz w:val="20"/>
              </w:rPr>
              <w:t>Total</w:t>
            </w:r>
            <w:r>
              <w:rPr>
                <w:rFonts w:ascii="Times New Roman" w:hAnsi="Times New Roman"/>
                <w:b/>
                <w:noProof/>
                <w:sz w:val="20"/>
              </w:rPr>
              <w:tab/>
            </w:r>
          </w:p>
        </w:tc>
        <w:tc>
          <w:tcPr>
            <w:tcW w:w="16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48451F" w14:textId="77777777" w:rsidR="00CB40ED" w:rsidRPr="00F34834" w:rsidRDefault="00CB40ED" w:rsidP="002F0C65">
            <w:pPr>
              <w:widowControl w:val="0"/>
              <w:spacing w:before="15" w:after="15" w:line="240" w:lineRule="auto"/>
              <w:jc w:val="right"/>
              <w:rPr>
                <w:rFonts w:ascii="Times New Roman" w:eastAsia="Times New Roman" w:hAnsi="Times New Roman" w:cs="Times New Roman"/>
                <w:b/>
                <w:noProof/>
                <w:sz w:val="20"/>
                <w:szCs w:val="20"/>
              </w:rPr>
            </w:pPr>
            <w:r>
              <w:rPr>
                <w:rFonts w:ascii="Times New Roman" w:hAnsi="Times New Roman"/>
                <w:b/>
                <w:noProof/>
                <w:sz w:val="20"/>
              </w:rPr>
              <w:t>101 000 000</w:t>
            </w:r>
          </w:p>
        </w:tc>
        <w:tc>
          <w:tcPr>
            <w:tcW w:w="1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70EEF7" w14:textId="6673BB36" w:rsidR="0DFD5A47" w:rsidRPr="00F34834" w:rsidRDefault="4DEEE30D" w:rsidP="00F34834">
            <w:pPr>
              <w:widowControl w:val="0"/>
              <w:spacing w:before="15" w:after="15" w:line="240" w:lineRule="auto"/>
              <w:jc w:val="right"/>
              <w:rPr>
                <w:rFonts w:ascii="Calibri" w:eastAsia="Calibri" w:hAnsi="Calibri" w:cs="Calibri"/>
                <w:noProof/>
                <w:color w:val="000000" w:themeColor="text1"/>
                <w:sz w:val="20"/>
                <w:szCs w:val="20"/>
              </w:rPr>
            </w:pPr>
            <w:r>
              <w:rPr>
                <w:rFonts w:ascii="Times New Roman" w:hAnsi="Times New Roman"/>
                <w:b/>
                <w:noProof/>
                <w:sz w:val="20"/>
              </w:rPr>
              <w:t>1 199 078 110</w:t>
            </w:r>
          </w:p>
        </w:tc>
        <w:tc>
          <w:tcPr>
            <w:tcW w:w="171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6FACA4" w14:textId="00E1ECE6" w:rsidR="00CB40ED" w:rsidRPr="00F34834" w:rsidRDefault="1E13258B" w:rsidP="386067CE">
            <w:pPr>
              <w:widowControl w:val="0"/>
              <w:spacing w:before="15" w:after="15" w:line="240" w:lineRule="auto"/>
              <w:jc w:val="right"/>
              <w:rPr>
                <w:rFonts w:ascii="Times New Roman" w:eastAsia="Times New Roman" w:hAnsi="Times New Roman" w:cs="Times New Roman"/>
                <w:b/>
                <w:bCs/>
                <w:noProof/>
                <w:sz w:val="20"/>
                <w:szCs w:val="20"/>
              </w:rPr>
            </w:pPr>
            <w:r>
              <w:rPr>
                <w:rFonts w:ascii="Times New Roman" w:hAnsi="Times New Roman"/>
                <w:b/>
                <w:noProof/>
                <w:sz w:val="20"/>
              </w:rPr>
              <w:t xml:space="preserve"> 1 300 078 110 </w:t>
            </w:r>
          </w:p>
        </w:tc>
      </w:tr>
    </w:tbl>
    <w:p w14:paraId="3789A104" w14:textId="79099865" w:rsidR="007A4316" w:rsidRPr="006A6461" w:rsidRDefault="331CFC7B" w:rsidP="11E3DED0">
      <w:pPr>
        <w:keepNext/>
        <w:tabs>
          <w:tab w:val="left" w:pos="850"/>
        </w:tabs>
        <w:spacing w:before="360" w:after="120"/>
        <w:ind w:left="850" w:hanging="850"/>
        <w:jc w:val="both"/>
        <w:outlineLvl w:val="1"/>
        <w:rPr>
          <w:rFonts w:ascii="Times New Roman" w:eastAsia="Calibri" w:hAnsi="Times New Roman" w:cs="Times New Roman"/>
          <w:b/>
          <w:bCs/>
          <w:noProof/>
          <w:sz w:val="24"/>
          <w:szCs w:val="24"/>
        </w:rPr>
      </w:pPr>
      <w:bookmarkStart w:id="36" w:name="_Toc75766708"/>
      <w:bookmarkStart w:id="37" w:name="_Toc232755299"/>
      <w:r>
        <w:rPr>
          <w:rFonts w:ascii="Times New Roman" w:hAnsi="Times New Roman"/>
          <w:b/>
          <w:noProof/>
          <w:sz w:val="24"/>
        </w:rPr>
        <w:t>2.5</w:t>
      </w:r>
      <w:r>
        <w:rPr>
          <w:noProof/>
        </w:rPr>
        <w:tab/>
      </w:r>
      <w:bookmarkEnd w:id="36"/>
      <w:r>
        <w:rPr>
          <w:rFonts w:ascii="Times New Roman" w:hAnsi="Times New Roman"/>
          <w:b/>
          <w:noProof/>
          <w:sz w:val="24"/>
        </w:rPr>
        <w:t>Effet sur la contribution à la ressource propre RNB pour 2026</w:t>
      </w:r>
      <w:bookmarkEnd w:id="37"/>
    </w:p>
    <w:p w14:paraId="11B3AFAD" w14:textId="6E10A992" w:rsidR="00CB40ED" w:rsidRPr="002D7DC7" w:rsidRDefault="45D730FC" w:rsidP="11E3DED0">
      <w:pPr>
        <w:spacing w:before="120" w:after="120"/>
        <w:jc w:val="both"/>
        <w:rPr>
          <w:rFonts w:ascii="Times New Roman" w:hAnsi="Times New Roman" w:cs="Times New Roman"/>
          <w:noProof/>
          <w:sz w:val="24"/>
          <w:szCs w:val="24"/>
          <w:highlight w:val="yellow"/>
        </w:rPr>
      </w:pPr>
      <w:r>
        <w:rPr>
          <w:rFonts w:ascii="Times New Roman" w:hAnsi="Times New Roman"/>
          <w:noProof/>
          <w:sz w:val="24"/>
        </w:rPr>
        <w:t>Compte tenu des prévisions révisées des RPT, de la ressource propre fondée sur la TVA et de la ressource propre fondée sur les DEP non recyclés, le montant des ressources propres autres que le RNB a augmenté de 2 997,9 millions d’EUR. Conjuguée à la hausse de 641,3 millions d’EUR des autres recettes (en raison de l’effet combiné de l’augmentation de 1 199,1 millions d’EUR des recettes provenant des amendes et de la diminution de 557,8 millions d’EUR de la contribution britannique) et à l’augmentation des crédits de paiement de 8 milliards d’EUR, la contribution du RNB est augmentée de</w:t>
      </w:r>
      <w:bookmarkStart w:id="38" w:name="_Hlk137551739"/>
      <w:r>
        <w:rPr>
          <w:rFonts w:ascii="Times New Roman" w:hAnsi="Times New Roman"/>
          <w:noProof/>
          <w:sz w:val="24"/>
        </w:rPr>
        <w:t> </w:t>
      </w:r>
      <w:bookmarkEnd w:id="38"/>
      <w:r>
        <w:rPr>
          <w:rFonts w:ascii="Times New Roman" w:hAnsi="Times New Roman"/>
          <w:noProof/>
          <w:sz w:val="24"/>
        </w:rPr>
        <w:t>4 364,9 millions d’EUR par rapport au PBR nº 1/2026.</w:t>
      </w:r>
    </w:p>
    <w:p w14:paraId="3567313A" w14:textId="77777777" w:rsidR="00CB40ED" w:rsidRDefault="00CB40ED" w:rsidP="00CB40ED">
      <w:pPr>
        <w:spacing w:before="120" w:after="120"/>
        <w:jc w:val="both"/>
        <w:rPr>
          <w:rFonts w:ascii="Times New Roman" w:hAnsi="Times New Roman" w:cs="Times New Roman"/>
          <w:noProof/>
          <w:sz w:val="24"/>
          <w:szCs w:val="24"/>
        </w:rPr>
      </w:pPr>
      <w:r>
        <w:rPr>
          <w:rFonts w:ascii="Times New Roman" w:hAnsi="Times New Roman"/>
          <w:noProof/>
          <w:sz w:val="24"/>
        </w:rPr>
        <w:t>Afin que soit respecté le principe d’équilibre applicable au budget de l’Union, inscrit à l’article 310, paragraphe 1, du traité sur le fonctionnement de l’Union européenne, le taux uniforme à appliquer à la somme des RNB de tous les États membres doit être recalculé compte tenu du total des autres recettes.</w:t>
      </w:r>
    </w:p>
    <w:p w14:paraId="14747707" w14:textId="77777777" w:rsidR="00CB40ED" w:rsidRPr="006A6461" w:rsidRDefault="00CB40ED" w:rsidP="00CB40ED">
      <w:pPr>
        <w:spacing w:before="120" w:after="240"/>
        <w:jc w:val="both"/>
        <w:rPr>
          <w:rFonts w:ascii="Times New Roman" w:hAnsi="Times New Roman" w:cs="Times New Roman"/>
          <w:noProof/>
          <w:sz w:val="24"/>
          <w:szCs w:val="24"/>
        </w:rPr>
      </w:pPr>
      <w:r>
        <w:rPr>
          <w:rFonts w:ascii="Times New Roman" w:hAnsi="Times New Roman"/>
          <w:noProof/>
          <w:sz w:val="24"/>
        </w:rPr>
        <w:t>Les contributions révisées à la ressource propre RNB, compte tenu du nouveau taux uniforme, sont exposées ci-après dans le tableau:</w:t>
      </w:r>
    </w:p>
    <w:p w14:paraId="5C0B386B" w14:textId="6DBE291E" w:rsidR="001A23DC" w:rsidRPr="006A6461" w:rsidRDefault="4467220B" w:rsidP="001A23DC">
      <w:pPr>
        <w:spacing w:before="120" w:after="240"/>
        <w:jc w:val="center"/>
        <w:rPr>
          <w:rFonts w:ascii="Times New Roman" w:hAnsi="Times New Roman" w:cs="Times New Roman"/>
          <w:noProof/>
          <w:sz w:val="20"/>
          <w:szCs w:val="20"/>
        </w:rPr>
      </w:pPr>
      <w:r>
        <w:rPr>
          <w:rFonts w:ascii="Times New Roman" w:hAnsi="Times New Roman"/>
          <w:b/>
          <w:noProof/>
          <w:sz w:val="20"/>
        </w:rPr>
        <w:t xml:space="preserve">Exercice 2026 (en EUR) </w:t>
      </w:r>
    </w:p>
    <w:tbl>
      <w:tblPr>
        <w:tblW w:w="10400" w:type="dxa"/>
        <w:tblCellMar>
          <w:left w:w="0" w:type="dxa"/>
          <w:right w:w="0" w:type="dxa"/>
        </w:tblCellMar>
        <w:tblLook w:val="04A0" w:firstRow="1" w:lastRow="0" w:firstColumn="1" w:lastColumn="0" w:noHBand="0" w:noVBand="1"/>
      </w:tblPr>
      <w:tblGrid>
        <w:gridCol w:w="1520"/>
        <w:gridCol w:w="1833"/>
        <w:gridCol w:w="1630"/>
        <w:gridCol w:w="1676"/>
        <w:gridCol w:w="1768"/>
        <w:gridCol w:w="1937"/>
        <w:gridCol w:w="36"/>
      </w:tblGrid>
      <w:tr w:rsidR="001A23DC" w:rsidRPr="00352E03" w14:paraId="7101C3A3" w14:textId="77777777" w:rsidTr="386067CE">
        <w:trPr>
          <w:gridAfter w:val="1"/>
          <w:trHeight w:val="450"/>
        </w:trPr>
        <w:tc>
          <w:tcPr>
            <w:tcW w:w="1520" w:type="dxa"/>
            <w:vMerge w:val="restar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9E02B08" w14:textId="77777777" w:rsidR="001A23DC" w:rsidRPr="00352E03" w:rsidRDefault="001A23DC">
            <w:pPr>
              <w:jc w:val="center"/>
              <w:rPr>
                <w:rFonts w:ascii="Times New Roman" w:hAnsi="Times New Roman" w:cs="Times New Roman"/>
                <w:b/>
                <w:bCs/>
                <w:noProof/>
                <w:color w:val="000000"/>
                <w:sz w:val="20"/>
                <w:szCs w:val="20"/>
              </w:rPr>
            </w:pPr>
            <w:r>
              <w:rPr>
                <w:rFonts w:ascii="Times New Roman" w:hAnsi="Times New Roman"/>
                <w:b/>
                <w:noProof/>
                <w:color w:val="000000"/>
                <w:sz w:val="20"/>
              </w:rPr>
              <w:t>État membre</w:t>
            </w:r>
          </w:p>
        </w:tc>
        <w:tc>
          <w:tcPr>
            <w:tcW w:w="1833"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7DFC31F" w14:textId="4DE42859" w:rsidR="001A23DC" w:rsidRPr="00352E03" w:rsidRDefault="4467220B">
            <w:pPr>
              <w:jc w:val="center"/>
              <w:rPr>
                <w:rFonts w:ascii="Times New Roman" w:hAnsi="Times New Roman" w:cs="Times New Roman"/>
                <w:b/>
                <w:bCs/>
                <w:noProof/>
                <w:color w:val="000000"/>
                <w:sz w:val="20"/>
                <w:szCs w:val="20"/>
              </w:rPr>
            </w:pPr>
            <w:r>
              <w:rPr>
                <w:rFonts w:ascii="Times New Roman" w:hAnsi="Times New Roman"/>
                <w:b/>
                <w:noProof/>
                <w:color w:val="000000" w:themeColor="text1"/>
                <w:sz w:val="20"/>
              </w:rPr>
              <w:t>1 % de l’assiette RNB utilisée pour le PBR nº 1/2026</w:t>
            </w:r>
          </w:p>
        </w:tc>
        <w:tc>
          <w:tcPr>
            <w:tcW w:w="1630"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E4D67B6" w14:textId="46D59381" w:rsidR="001A23DC" w:rsidRPr="00352E03" w:rsidRDefault="4467220B">
            <w:pPr>
              <w:jc w:val="center"/>
              <w:rPr>
                <w:rFonts w:ascii="Times New Roman" w:hAnsi="Times New Roman" w:cs="Times New Roman"/>
                <w:b/>
                <w:bCs/>
                <w:noProof/>
                <w:color w:val="000000"/>
                <w:sz w:val="20"/>
                <w:szCs w:val="20"/>
              </w:rPr>
            </w:pPr>
            <w:r>
              <w:rPr>
                <w:rFonts w:ascii="Times New Roman" w:hAnsi="Times New Roman"/>
                <w:b/>
                <w:noProof/>
                <w:color w:val="000000" w:themeColor="text1"/>
                <w:sz w:val="20"/>
              </w:rPr>
              <w:t>Taux uniforme de la ressource propre RNB (en %) selon le PBR nº 1/2026</w:t>
            </w:r>
          </w:p>
        </w:tc>
        <w:tc>
          <w:tcPr>
            <w:tcW w:w="1676"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A9076BA" w14:textId="77777777" w:rsidR="001A23DC" w:rsidRPr="00352E03" w:rsidRDefault="001A23DC">
            <w:pPr>
              <w:jc w:val="center"/>
              <w:rPr>
                <w:rFonts w:ascii="Times New Roman" w:hAnsi="Times New Roman" w:cs="Times New Roman"/>
                <w:b/>
                <w:bCs/>
                <w:noProof/>
                <w:color w:val="000000"/>
                <w:sz w:val="20"/>
                <w:szCs w:val="20"/>
              </w:rPr>
            </w:pPr>
            <w:r>
              <w:rPr>
                <w:rFonts w:ascii="Times New Roman" w:hAnsi="Times New Roman"/>
                <w:b/>
                <w:noProof/>
                <w:color w:val="000000"/>
                <w:sz w:val="20"/>
              </w:rPr>
              <w:t>1 % de l’assiette RNB (prévisions approuvées par le CCRP)</w:t>
            </w:r>
          </w:p>
        </w:tc>
        <w:tc>
          <w:tcPr>
            <w:tcW w:w="1768"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3278D98" w14:textId="33CFF87B" w:rsidR="001A23DC" w:rsidRPr="00352E03" w:rsidRDefault="4467220B">
            <w:pPr>
              <w:jc w:val="center"/>
              <w:rPr>
                <w:rFonts w:ascii="Times New Roman" w:hAnsi="Times New Roman" w:cs="Times New Roman"/>
                <w:b/>
                <w:bCs/>
                <w:noProof/>
                <w:color w:val="000000"/>
                <w:sz w:val="20"/>
                <w:szCs w:val="20"/>
              </w:rPr>
            </w:pPr>
            <w:r>
              <w:rPr>
                <w:rFonts w:ascii="Times New Roman" w:hAnsi="Times New Roman"/>
                <w:b/>
                <w:noProof/>
                <w:color w:val="000000" w:themeColor="text1"/>
                <w:sz w:val="20"/>
              </w:rPr>
              <w:t>Taux uniforme de la ressource propre RNB (en %) selon le PBR nº 2/2026</w:t>
            </w:r>
          </w:p>
        </w:tc>
        <w:tc>
          <w:tcPr>
            <w:tcW w:w="1937"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F6FD9C2" w14:textId="77777777" w:rsidR="001A23DC" w:rsidRPr="00352E03" w:rsidRDefault="001A23DC">
            <w:pPr>
              <w:jc w:val="center"/>
              <w:rPr>
                <w:rFonts w:ascii="Times New Roman" w:hAnsi="Times New Roman" w:cs="Times New Roman"/>
                <w:b/>
                <w:bCs/>
                <w:noProof/>
                <w:color w:val="000000"/>
                <w:sz w:val="20"/>
                <w:szCs w:val="20"/>
              </w:rPr>
            </w:pPr>
            <w:r>
              <w:rPr>
                <w:rFonts w:ascii="Times New Roman" w:hAnsi="Times New Roman"/>
                <w:b/>
                <w:noProof/>
                <w:color w:val="000000"/>
                <w:sz w:val="20"/>
              </w:rPr>
              <w:t>Différence dans le RNB</w:t>
            </w:r>
          </w:p>
        </w:tc>
      </w:tr>
      <w:tr w:rsidR="006B7E8C" w:rsidRPr="00352E03" w14:paraId="362B46E7" w14:textId="77777777" w:rsidTr="008B438E">
        <w:trPr>
          <w:trHeight w:val="984"/>
        </w:trPr>
        <w:tc>
          <w:tcPr>
            <w:tcW w:w="0" w:type="auto"/>
            <w:vMerge/>
            <w:tcMar>
              <w:top w:w="15" w:type="dxa"/>
              <w:left w:w="15" w:type="dxa"/>
              <w:bottom w:w="0" w:type="dxa"/>
              <w:right w:w="15" w:type="dxa"/>
            </w:tcMar>
            <w:vAlign w:val="center"/>
            <w:hideMark/>
          </w:tcPr>
          <w:p w14:paraId="6BBB2E16" w14:textId="77777777" w:rsidR="001A23DC" w:rsidRPr="00352E03" w:rsidRDefault="001A23DC">
            <w:pPr>
              <w:rPr>
                <w:rFonts w:ascii="Times New Roman" w:hAnsi="Times New Roman" w:cs="Times New Roman"/>
                <w:noProof/>
                <w:color w:val="000000"/>
                <w:sz w:val="20"/>
                <w:szCs w:val="20"/>
              </w:rPr>
            </w:pPr>
          </w:p>
        </w:tc>
        <w:tc>
          <w:tcPr>
            <w:tcW w:w="0" w:type="auto"/>
            <w:vMerge/>
            <w:tcMar>
              <w:top w:w="15" w:type="dxa"/>
              <w:left w:w="15" w:type="dxa"/>
              <w:bottom w:w="0" w:type="dxa"/>
              <w:right w:w="15" w:type="dxa"/>
            </w:tcMar>
            <w:vAlign w:val="center"/>
            <w:hideMark/>
          </w:tcPr>
          <w:p w14:paraId="06E3F529" w14:textId="77777777" w:rsidR="001A23DC" w:rsidRPr="00352E03" w:rsidRDefault="001A23DC">
            <w:pPr>
              <w:rPr>
                <w:rFonts w:ascii="Times New Roman" w:hAnsi="Times New Roman" w:cs="Times New Roman"/>
                <w:noProof/>
                <w:color w:val="000000"/>
                <w:sz w:val="20"/>
                <w:szCs w:val="20"/>
              </w:rPr>
            </w:pPr>
          </w:p>
        </w:tc>
        <w:tc>
          <w:tcPr>
            <w:tcW w:w="0" w:type="auto"/>
            <w:vMerge/>
            <w:tcMar>
              <w:top w:w="15" w:type="dxa"/>
              <w:left w:w="15" w:type="dxa"/>
              <w:bottom w:w="0" w:type="dxa"/>
              <w:right w:w="15" w:type="dxa"/>
            </w:tcMar>
            <w:vAlign w:val="center"/>
            <w:hideMark/>
          </w:tcPr>
          <w:p w14:paraId="7240E069" w14:textId="77777777" w:rsidR="001A23DC" w:rsidRPr="00352E03" w:rsidRDefault="001A23DC">
            <w:pPr>
              <w:rPr>
                <w:rFonts w:ascii="Times New Roman" w:hAnsi="Times New Roman" w:cs="Times New Roman"/>
                <w:noProof/>
                <w:color w:val="000000"/>
                <w:sz w:val="20"/>
                <w:szCs w:val="20"/>
              </w:rPr>
            </w:pPr>
          </w:p>
        </w:tc>
        <w:tc>
          <w:tcPr>
            <w:tcW w:w="0" w:type="auto"/>
            <w:vMerge/>
            <w:tcMar>
              <w:top w:w="15" w:type="dxa"/>
              <w:left w:w="15" w:type="dxa"/>
              <w:bottom w:w="0" w:type="dxa"/>
              <w:right w:w="15" w:type="dxa"/>
            </w:tcMar>
            <w:vAlign w:val="center"/>
            <w:hideMark/>
          </w:tcPr>
          <w:p w14:paraId="3DEE1707" w14:textId="77777777" w:rsidR="001A23DC" w:rsidRPr="00352E03" w:rsidRDefault="001A23DC">
            <w:pPr>
              <w:rPr>
                <w:rFonts w:ascii="Times New Roman" w:hAnsi="Times New Roman" w:cs="Times New Roman"/>
                <w:noProof/>
                <w:color w:val="000000"/>
                <w:sz w:val="20"/>
                <w:szCs w:val="20"/>
              </w:rPr>
            </w:pPr>
          </w:p>
        </w:tc>
        <w:tc>
          <w:tcPr>
            <w:tcW w:w="0" w:type="auto"/>
            <w:vMerge/>
            <w:tcMar>
              <w:top w:w="15" w:type="dxa"/>
              <w:left w:w="15" w:type="dxa"/>
              <w:bottom w:w="0" w:type="dxa"/>
              <w:right w:w="15" w:type="dxa"/>
            </w:tcMar>
            <w:vAlign w:val="center"/>
            <w:hideMark/>
          </w:tcPr>
          <w:p w14:paraId="71F63D2F" w14:textId="77777777" w:rsidR="001A23DC" w:rsidRPr="00352E03" w:rsidRDefault="001A23DC">
            <w:pPr>
              <w:rPr>
                <w:rFonts w:ascii="Times New Roman" w:hAnsi="Times New Roman" w:cs="Times New Roman"/>
                <w:noProof/>
                <w:color w:val="000000"/>
                <w:sz w:val="20"/>
                <w:szCs w:val="20"/>
              </w:rPr>
            </w:pPr>
          </w:p>
        </w:tc>
        <w:tc>
          <w:tcPr>
            <w:tcW w:w="0" w:type="auto"/>
            <w:vMerge/>
            <w:tcMar>
              <w:top w:w="15" w:type="dxa"/>
              <w:left w:w="15" w:type="dxa"/>
              <w:bottom w:w="0" w:type="dxa"/>
              <w:right w:w="15" w:type="dxa"/>
            </w:tcMar>
            <w:vAlign w:val="center"/>
            <w:hideMark/>
          </w:tcPr>
          <w:p w14:paraId="0E962585" w14:textId="77777777" w:rsidR="001A23DC" w:rsidRPr="00352E03" w:rsidRDefault="001A23DC">
            <w:pPr>
              <w:rPr>
                <w:rFonts w:ascii="Times New Roman" w:hAnsi="Times New Roman" w:cs="Times New Roman"/>
                <w:noProof/>
                <w:color w:val="000000"/>
                <w:sz w:val="20"/>
                <w:szCs w:val="20"/>
              </w:rPr>
            </w:pPr>
          </w:p>
        </w:tc>
        <w:tc>
          <w:tcPr>
            <w:tcW w:w="0" w:type="auto"/>
            <w:tcBorders>
              <w:top w:val="nil"/>
              <w:left w:val="single" w:sz="4" w:space="0" w:color="auto"/>
              <w:bottom w:val="nil"/>
              <w:right w:val="nil"/>
            </w:tcBorders>
            <w:noWrap/>
            <w:tcMar>
              <w:top w:w="15" w:type="dxa"/>
              <w:left w:w="15" w:type="dxa"/>
              <w:bottom w:w="0" w:type="dxa"/>
              <w:right w:w="15" w:type="dxa"/>
            </w:tcMar>
            <w:vAlign w:val="bottom"/>
            <w:hideMark/>
          </w:tcPr>
          <w:p w14:paraId="312A1318" w14:textId="77777777" w:rsidR="001A23DC" w:rsidRPr="00352E03" w:rsidRDefault="001A23DC">
            <w:pPr>
              <w:jc w:val="center"/>
              <w:rPr>
                <w:rFonts w:ascii="Times New Roman" w:hAnsi="Times New Roman" w:cs="Times New Roman"/>
                <w:noProof/>
                <w:color w:val="000000"/>
                <w:sz w:val="20"/>
                <w:szCs w:val="20"/>
              </w:rPr>
            </w:pPr>
          </w:p>
        </w:tc>
      </w:tr>
      <w:tr w:rsidR="001A23DC" w:rsidRPr="00352E03" w14:paraId="543A3BC6" w14:textId="77777777" w:rsidTr="386067CE">
        <w:trPr>
          <w:trHeight w:val="420"/>
        </w:trPr>
        <w:tc>
          <w:tcPr>
            <w:tcW w:w="0" w:type="auto"/>
            <w:vMerge/>
            <w:vAlign w:val="center"/>
            <w:hideMark/>
          </w:tcPr>
          <w:p w14:paraId="354BD4D3" w14:textId="77777777" w:rsidR="001A23DC" w:rsidRPr="00352E03" w:rsidRDefault="001A23DC">
            <w:pPr>
              <w:rPr>
                <w:rFonts w:ascii="Times New Roman" w:hAnsi="Times New Roman" w:cs="Times New Roman"/>
                <w:noProof/>
                <w:color w:val="000000"/>
                <w:sz w:val="20"/>
                <w:szCs w:val="20"/>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9307260" w14:textId="77777777" w:rsidR="001A23DC" w:rsidRPr="00352E03" w:rsidRDefault="001A23DC">
            <w:pPr>
              <w:jc w:val="center"/>
              <w:rPr>
                <w:rFonts w:ascii="Times New Roman" w:hAnsi="Times New Roman" w:cs="Times New Roman"/>
                <w:noProof/>
                <w:color w:val="000000"/>
                <w:sz w:val="20"/>
                <w:szCs w:val="20"/>
              </w:rPr>
            </w:pPr>
            <w:r>
              <w:rPr>
                <w:rFonts w:ascii="Times New Roman" w:hAnsi="Times New Roman"/>
                <w:noProof/>
                <w:color w:val="000000"/>
                <w:sz w:val="20"/>
              </w:rPr>
              <w:t>(1)</w:t>
            </w:r>
          </w:p>
        </w:tc>
        <w:tc>
          <w:tcPr>
            <w:tcW w:w="0" w:type="auto"/>
            <w:tcBorders>
              <w:top w:val="single" w:sz="4" w:space="0" w:color="auto"/>
              <w:left w:val="nil"/>
              <w:bottom w:val="nil"/>
              <w:right w:val="single" w:sz="4" w:space="0" w:color="auto"/>
            </w:tcBorders>
            <w:noWrap/>
            <w:tcMar>
              <w:top w:w="15" w:type="dxa"/>
              <w:left w:w="15" w:type="dxa"/>
              <w:bottom w:w="0" w:type="dxa"/>
              <w:right w:w="15" w:type="dxa"/>
            </w:tcMar>
            <w:vAlign w:val="center"/>
            <w:hideMark/>
          </w:tcPr>
          <w:p w14:paraId="12A0B0E8" w14:textId="77777777" w:rsidR="001A23DC" w:rsidRPr="00352E03" w:rsidRDefault="001A23DC">
            <w:pPr>
              <w:jc w:val="center"/>
              <w:rPr>
                <w:rFonts w:ascii="Times New Roman" w:hAnsi="Times New Roman" w:cs="Times New Roman"/>
                <w:noProof/>
                <w:color w:val="000000"/>
                <w:sz w:val="20"/>
                <w:szCs w:val="20"/>
              </w:rPr>
            </w:pPr>
            <w:r>
              <w:rPr>
                <w:rFonts w:ascii="Times New Roman" w:hAnsi="Times New Roman"/>
                <w:noProof/>
                <w:color w:val="000000"/>
                <w:sz w:val="20"/>
              </w:rPr>
              <w:t>(2)</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hideMark/>
          </w:tcPr>
          <w:p w14:paraId="39AF7A91" w14:textId="77777777" w:rsidR="001A23DC" w:rsidRPr="00352E03" w:rsidRDefault="001A23DC">
            <w:pPr>
              <w:jc w:val="center"/>
              <w:rPr>
                <w:rFonts w:ascii="Times New Roman" w:hAnsi="Times New Roman" w:cs="Times New Roman"/>
                <w:noProof/>
                <w:color w:val="000000"/>
                <w:sz w:val="20"/>
                <w:szCs w:val="20"/>
              </w:rPr>
            </w:pPr>
            <w:r>
              <w:rPr>
                <w:rFonts w:ascii="Times New Roman" w:hAnsi="Times New Roman"/>
                <w:noProof/>
                <w:color w:val="000000"/>
                <w:sz w:val="20"/>
              </w:rPr>
              <w:t>(3)</w:t>
            </w:r>
          </w:p>
        </w:tc>
        <w:tc>
          <w:tcPr>
            <w:tcW w:w="0" w:type="auto"/>
            <w:tcBorders>
              <w:top w:val="single" w:sz="4" w:space="0" w:color="auto"/>
              <w:left w:val="nil"/>
              <w:bottom w:val="nil"/>
              <w:right w:val="single" w:sz="4" w:space="0" w:color="auto"/>
            </w:tcBorders>
            <w:noWrap/>
            <w:tcMar>
              <w:top w:w="15" w:type="dxa"/>
              <w:left w:w="15" w:type="dxa"/>
              <w:bottom w:w="0" w:type="dxa"/>
              <w:right w:w="15" w:type="dxa"/>
            </w:tcMar>
            <w:vAlign w:val="center"/>
            <w:hideMark/>
          </w:tcPr>
          <w:p w14:paraId="1BFDCEB1" w14:textId="77777777" w:rsidR="001A23DC" w:rsidRPr="00352E03" w:rsidRDefault="001A23DC">
            <w:pPr>
              <w:jc w:val="center"/>
              <w:rPr>
                <w:rFonts w:ascii="Times New Roman" w:hAnsi="Times New Roman" w:cs="Times New Roman"/>
                <w:noProof/>
                <w:color w:val="000000"/>
                <w:sz w:val="20"/>
                <w:szCs w:val="20"/>
              </w:rPr>
            </w:pPr>
            <w:r>
              <w:rPr>
                <w:rFonts w:ascii="Times New Roman" w:hAnsi="Times New Roman"/>
                <w:noProof/>
                <w:color w:val="000000"/>
                <w:sz w:val="20"/>
              </w:rPr>
              <w:t>(4)</w:t>
            </w:r>
          </w:p>
        </w:tc>
        <w:tc>
          <w:tcPr>
            <w:tcW w:w="0" w:type="auto"/>
            <w:tcBorders>
              <w:top w:val="single" w:sz="4" w:space="0" w:color="auto"/>
              <w:left w:val="nil"/>
              <w:bottom w:val="single" w:sz="8" w:space="0" w:color="000000" w:themeColor="text1"/>
              <w:right w:val="single" w:sz="4" w:space="0" w:color="auto"/>
            </w:tcBorders>
            <w:noWrap/>
            <w:tcMar>
              <w:top w:w="15" w:type="dxa"/>
              <w:left w:w="15" w:type="dxa"/>
              <w:bottom w:w="0" w:type="dxa"/>
              <w:right w:w="15" w:type="dxa"/>
            </w:tcMar>
            <w:vAlign w:val="center"/>
            <w:hideMark/>
          </w:tcPr>
          <w:p w14:paraId="72EF10BF" w14:textId="77777777" w:rsidR="001A23DC" w:rsidRPr="00352E03" w:rsidRDefault="001A23DC">
            <w:pPr>
              <w:jc w:val="center"/>
              <w:rPr>
                <w:rFonts w:ascii="Times New Roman" w:hAnsi="Times New Roman" w:cs="Times New Roman"/>
                <w:noProof/>
                <w:color w:val="000000"/>
                <w:sz w:val="20"/>
                <w:szCs w:val="20"/>
              </w:rPr>
            </w:pPr>
            <w:r>
              <w:rPr>
                <w:rFonts w:ascii="Times New Roman" w:hAnsi="Times New Roman"/>
                <w:noProof/>
                <w:color w:val="000000"/>
                <w:sz w:val="20"/>
              </w:rPr>
              <w:t>(5) = (3 x 4) - (1 x 2)</w:t>
            </w:r>
          </w:p>
        </w:tc>
        <w:tc>
          <w:tcPr>
            <w:tcW w:w="0" w:type="auto"/>
            <w:vAlign w:val="center"/>
            <w:hideMark/>
          </w:tcPr>
          <w:p w14:paraId="58627548" w14:textId="77777777" w:rsidR="001A23DC" w:rsidRPr="00352E03" w:rsidRDefault="001A23DC">
            <w:pPr>
              <w:rPr>
                <w:rFonts w:ascii="Times New Roman" w:hAnsi="Times New Roman" w:cs="Times New Roman"/>
                <w:noProof/>
                <w:sz w:val="20"/>
                <w:szCs w:val="20"/>
              </w:rPr>
            </w:pPr>
          </w:p>
        </w:tc>
      </w:tr>
      <w:tr w:rsidR="009F6656" w:rsidRPr="00352E03" w14:paraId="21CB1356" w14:textId="77777777" w:rsidTr="1BC8E8A2">
        <w:trPr>
          <w:trHeight w:val="300"/>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913F4FE"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BE</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BC8344D" w14:textId="4653029A"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6 614 962 000</w:t>
            </w:r>
          </w:p>
        </w:tc>
        <w:tc>
          <w:tcPr>
            <w:tcW w:w="0" w:type="auto"/>
            <w:tcBorders>
              <w:top w:val="single" w:sz="4" w:space="0" w:color="auto"/>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bottom"/>
          </w:tcPr>
          <w:p w14:paraId="45036A39" w14:textId="4B360CC2" w:rsidR="0053464B" w:rsidRPr="00352E03" w:rsidRDefault="0053464B" w:rsidP="0053464B">
            <w:pPr>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2F448846" w14:textId="4F44C2B9"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6 721 470 000</w:t>
            </w:r>
          </w:p>
        </w:tc>
        <w:tc>
          <w:tcPr>
            <w:tcW w:w="0" w:type="auto"/>
            <w:tcBorders>
              <w:top w:val="single" w:sz="4" w:space="0" w:color="auto"/>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bottom"/>
          </w:tcPr>
          <w:p w14:paraId="681CECA2" w14:textId="4E091619" w:rsidR="0053464B" w:rsidRPr="00352E03" w:rsidRDefault="0053464B" w:rsidP="0053464B">
            <w:pPr>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3480FD99" w14:textId="315538FE"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181 461 482</w:t>
            </w:r>
          </w:p>
        </w:tc>
        <w:tc>
          <w:tcPr>
            <w:tcW w:w="0" w:type="auto"/>
            <w:tcBorders>
              <w:left w:val="single" w:sz="8" w:space="0" w:color="000000" w:themeColor="text1"/>
            </w:tcBorders>
            <w:vAlign w:val="center"/>
            <w:hideMark/>
          </w:tcPr>
          <w:p w14:paraId="2D3D3FF3" w14:textId="77777777" w:rsidR="0053464B" w:rsidRPr="00352E03" w:rsidRDefault="0053464B" w:rsidP="0053464B">
            <w:pPr>
              <w:rPr>
                <w:rFonts w:ascii="Times New Roman" w:hAnsi="Times New Roman" w:cs="Times New Roman"/>
                <w:noProof/>
                <w:sz w:val="20"/>
                <w:szCs w:val="20"/>
              </w:rPr>
            </w:pPr>
          </w:p>
        </w:tc>
      </w:tr>
      <w:tr w:rsidR="009F6656" w:rsidRPr="00352E03" w14:paraId="36BD03DE"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6B19DB7"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BG</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ECCAC49" w14:textId="5049B726"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1 116 401 000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74BBB9A7" w14:textId="5984AFF4"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366268BC" w14:textId="7BCD8293"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1 164 217 000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6218348D" w14:textId="199DAE4B"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75DE25E2" w14:textId="5794F3FF"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51 464 584</w:t>
            </w:r>
          </w:p>
        </w:tc>
        <w:tc>
          <w:tcPr>
            <w:tcW w:w="0" w:type="auto"/>
            <w:tcBorders>
              <w:left w:val="single" w:sz="8" w:space="0" w:color="000000" w:themeColor="text1"/>
            </w:tcBorders>
            <w:vAlign w:val="center"/>
            <w:hideMark/>
          </w:tcPr>
          <w:p w14:paraId="33C8BB0F" w14:textId="77777777" w:rsidR="0053464B" w:rsidRPr="00352E03" w:rsidRDefault="0053464B" w:rsidP="0053464B">
            <w:pPr>
              <w:rPr>
                <w:rFonts w:ascii="Times New Roman" w:hAnsi="Times New Roman" w:cs="Times New Roman"/>
                <w:noProof/>
                <w:sz w:val="20"/>
                <w:szCs w:val="20"/>
              </w:rPr>
            </w:pPr>
          </w:p>
        </w:tc>
      </w:tr>
      <w:tr w:rsidR="009F6656" w:rsidRPr="00352E03" w14:paraId="0282DEC9"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C4A3830"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CZ</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0B27CB7" w14:textId="45647D9C"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3 376 618 000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20BFB916" w14:textId="3015EAF9"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7FD0651" w14:textId="021216A7"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3 540 066 000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192D8E09" w14:textId="3C766732"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58D4E3DB" w14:textId="2FE01E7B"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168 804 680</w:t>
            </w:r>
          </w:p>
        </w:tc>
        <w:tc>
          <w:tcPr>
            <w:tcW w:w="0" w:type="auto"/>
            <w:tcBorders>
              <w:left w:val="single" w:sz="8" w:space="0" w:color="000000" w:themeColor="text1"/>
            </w:tcBorders>
            <w:vAlign w:val="center"/>
            <w:hideMark/>
          </w:tcPr>
          <w:p w14:paraId="5F66B6E2" w14:textId="77777777" w:rsidR="0053464B" w:rsidRPr="00352E03" w:rsidRDefault="0053464B" w:rsidP="0053464B">
            <w:pPr>
              <w:rPr>
                <w:rFonts w:ascii="Times New Roman" w:hAnsi="Times New Roman" w:cs="Times New Roman"/>
                <w:noProof/>
                <w:sz w:val="20"/>
                <w:szCs w:val="20"/>
              </w:rPr>
            </w:pPr>
          </w:p>
        </w:tc>
      </w:tr>
      <w:tr w:rsidR="009F6656" w:rsidRPr="00352E03" w14:paraId="04199128"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1A980F6"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DK</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2C63730D" w14:textId="1FCE9DC4"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4 457 407 000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40AFC03D" w14:textId="02D5A1DB"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F1B66A7" w14:textId="4FB82933"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4 315 707 000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7DFAD482" w14:textId="5B8431CF"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244191B0" w14:textId="5067E2B6"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- 26 802 157</w:t>
            </w:r>
          </w:p>
        </w:tc>
        <w:tc>
          <w:tcPr>
            <w:tcW w:w="0" w:type="auto"/>
            <w:tcBorders>
              <w:left w:val="single" w:sz="8" w:space="0" w:color="000000" w:themeColor="text1"/>
            </w:tcBorders>
            <w:vAlign w:val="center"/>
            <w:hideMark/>
          </w:tcPr>
          <w:p w14:paraId="0C4D1489" w14:textId="77777777" w:rsidR="0053464B" w:rsidRPr="00352E03" w:rsidRDefault="0053464B" w:rsidP="0053464B">
            <w:pPr>
              <w:rPr>
                <w:rFonts w:ascii="Times New Roman" w:hAnsi="Times New Roman" w:cs="Times New Roman"/>
                <w:noProof/>
                <w:sz w:val="20"/>
                <w:szCs w:val="20"/>
              </w:rPr>
            </w:pPr>
          </w:p>
        </w:tc>
      </w:tr>
      <w:tr w:rsidR="009F6656" w:rsidRPr="00352E03" w14:paraId="28B6340B"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3E266A6"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DE</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9CEE4CC" w14:textId="41FDB781"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47 117 636 000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3F41D04B" w14:textId="746BD45D"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440F6EAD" w14:textId="1925AD11"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47 758 591 000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75B65CD6" w14:textId="77275FA0"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135302DE" w14:textId="2423CF99"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1 210 340 513</w:t>
            </w:r>
          </w:p>
        </w:tc>
        <w:tc>
          <w:tcPr>
            <w:tcW w:w="0" w:type="auto"/>
            <w:tcBorders>
              <w:left w:val="single" w:sz="8" w:space="0" w:color="000000" w:themeColor="text1"/>
            </w:tcBorders>
            <w:vAlign w:val="center"/>
            <w:hideMark/>
          </w:tcPr>
          <w:p w14:paraId="5BBACF79" w14:textId="77777777" w:rsidR="0053464B" w:rsidRPr="00352E03" w:rsidRDefault="0053464B" w:rsidP="0053464B">
            <w:pPr>
              <w:rPr>
                <w:rFonts w:ascii="Times New Roman" w:hAnsi="Times New Roman" w:cs="Times New Roman"/>
                <w:noProof/>
                <w:sz w:val="20"/>
                <w:szCs w:val="20"/>
              </w:rPr>
            </w:pPr>
          </w:p>
        </w:tc>
      </w:tr>
      <w:tr w:rsidR="009F6656" w:rsidRPr="00352E03" w14:paraId="316C0BE2"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0F750BA"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EE</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BBE6CA5" w14:textId="560C88B6"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428 026 000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7F4D73D9" w14:textId="0D10650F"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4D9BE2E1" w14:textId="4E9F8241"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433 485 000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D47CD5B" w14:textId="2E314B5E"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0349D2EC" w14:textId="61D9CE30"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10 741 077</w:t>
            </w:r>
          </w:p>
        </w:tc>
        <w:tc>
          <w:tcPr>
            <w:tcW w:w="0" w:type="auto"/>
            <w:tcBorders>
              <w:left w:val="single" w:sz="8" w:space="0" w:color="000000" w:themeColor="text1"/>
            </w:tcBorders>
            <w:vAlign w:val="center"/>
            <w:hideMark/>
          </w:tcPr>
          <w:p w14:paraId="64C9EBE8" w14:textId="77777777" w:rsidR="0053464B" w:rsidRPr="00352E03" w:rsidRDefault="0053464B" w:rsidP="0053464B">
            <w:pPr>
              <w:rPr>
                <w:rFonts w:ascii="Times New Roman" w:hAnsi="Times New Roman" w:cs="Times New Roman"/>
                <w:noProof/>
                <w:sz w:val="20"/>
                <w:szCs w:val="20"/>
              </w:rPr>
            </w:pPr>
          </w:p>
        </w:tc>
      </w:tr>
      <w:tr w:rsidR="009F6656" w:rsidRPr="00352E03" w14:paraId="20CAF318"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910A676"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IE</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309E43A6" w14:textId="46F89F1F"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4 145 078 000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49501D26" w14:textId="24D0717B"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61368FFB" w14:textId="5A4B7874"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4 574 229 000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0CFB8B47" w14:textId="70A8A163"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5B6FAE68" w14:textId="24916C52"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366 799 858</w:t>
            </w:r>
          </w:p>
        </w:tc>
        <w:tc>
          <w:tcPr>
            <w:tcW w:w="0" w:type="auto"/>
            <w:tcBorders>
              <w:left w:val="single" w:sz="8" w:space="0" w:color="000000" w:themeColor="text1"/>
            </w:tcBorders>
            <w:vAlign w:val="center"/>
            <w:hideMark/>
          </w:tcPr>
          <w:p w14:paraId="047893CE" w14:textId="77777777" w:rsidR="0053464B" w:rsidRPr="00352E03" w:rsidRDefault="0053464B" w:rsidP="0053464B">
            <w:pPr>
              <w:rPr>
                <w:rFonts w:ascii="Times New Roman" w:hAnsi="Times New Roman" w:cs="Times New Roman"/>
                <w:noProof/>
                <w:sz w:val="20"/>
                <w:szCs w:val="20"/>
              </w:rPr>
            </w:pPr>
          </w:p>
        </w:tc>
      </w:tr>
      <w:tr w:rsidR="009F6656" w:rsidRPr="00352E03" w14:paraId="46BE8E84"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4DCAE78"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EL</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01F03B81" w14:textId="775DC111"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2 547 929 000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381C9955" w14:textId="0020128A"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4DAA3D94" w14:textId="730B88FA"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2 563 473 000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1393D2D6" w14:textId="10139913"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764DFB54" w14:textId="7154E35B"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52 100 311</w:t>
            </w:r>
          </w:p>
        </w:tc>
        <w:tc>
          <w:tcPr>
            <w:tcW w:w="0" w:type="auto"/>
            <w:tcBorders>
              <w:left w:val="single" w:sz="8" w:space="0" w:color="000000" w:themeColor="text1"/>
            </w:tcBorders>
            <w:vAlign w:val="center"/>
            <w:hideMark/>
          </w:tcPr>
          <w:p w14:paraId="4F71405A" w14:textId="77777777" w:rsidR="0053464B" w:rsidRPr="00352E03" w:rsidRDefault="0053464B" w:rsidP="0053464B">
            <w:pPr>
              <w:rPr>
                <w:rFonts w:ascii="Times New Roman" w:hAnsi="Times New Roman" w:cs="Times New Roman"/>
                <w:noProof/>
                <w:sz w:val="20"/>
                <w:szCs w:val="20"/>
              </w:rPr>
            </w:pPr>
          </w:p>
        </w:tc>
      </w:tr>
      <w:tr w:rsidR="009F6656" w:rsidRPr="00352E03" w14:paraId="7F58D395"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76E4548"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ES</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25663FFD" w14:textId="0FAE2430"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17 368 690 000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3B86AE95" w14:textId="31DA725D"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166FA5F" w14:textId="6BD499EE"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17 725 310 000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9BCD6B8" w14:textId="0E34C5EB"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78313621" w14:textId="7DC7EDF5"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530 206 848</w:t>
            </w:r>
          </w:p>
        </w:tc>
        <w:tc>
          <w:tcPr>
            <w:tcW w:w="0" w:type="auto"/>
            <w:tcBorders>
              <w:left w:val="single" w:sz="8" w:space="0" w:color="000000" w:themeColor="text1"/>
            </w:tcBorders>
            <w:vAlign w:val="center"/>
            <w:hideMark/>
          </w:tcPr>
          <w:p w14:paraId="5145D713" w14:textId="77777777" w:rsidR="0053464B" w:rsidRPr="00352E03" w:rsidRDefault="0053464B" w:rsidP="0053464B">
            <w:pPr>
              <w:rPr>
                <w:rFonts w:ascii="Times New Roman" w:hAnsi="Times New Roman" w:cs="Times New Roman"/>
                <w:noProof/>
                <w:sz w:val="20"/>
                <w:szCs w:val="20"/>
              </w:rPr>
            </w:pPr>
          </w:p>
        </w:tc>
      </w:tr>
      <w:tr w:rsidR="009F6656" w:rsidRPr="00352E03" w14:paraId="67D87D25"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DB9F99C"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FR</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23B84CED" w14:textId="6A2A3974"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31 241 384 000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30802021" w14:textId="4C2C874C"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444DC6A8" w14:textId="31DD7F59"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31 081 619 000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1DF6589C" w14:textId="5C133C78"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7A91B3EF" w14:textId="664530A4"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394 152 340</w:t>
            </w:r>
          </w:p>
        </w:tc>
        <w:tc>
          <w:tcPr>
            <w:tcW w:w="0" w:type="auto"/>
            <w:tcBorders>
              <w:left w:val="single" w:sz="8" w:space="0" w:color="000000" w:themeColor="text1"/>
            </w:tcBorders>
            <w:vAlign w:val="center"/>
            <w:hideMark/>
          </w:tcPr>
          <w:p w14:paraId="5F7D5FFE" w14:textId="77777777" w:rsidR="0053464B" w:rsidRPr="00352E03" w:rsidRDefault="0053464B" w:rsidP="0053464B">
            <w:pPr>
              <w:rPr>
                <w:rFonts w:ascii="Times New Roman" w:hAnsi="Times New Roman" w:cs="Times New Roman"/>
                <w:noProof/>
                <w:sz w:val="20"/>
                <w:szCs w:val="20"/>
              </w:rPr>
            </w:pPr>
          </w:p>
        </w:tc>
      </w:tr>
      <w:tr w:rsidR="009F6656" w:rsidRPr="00352E03" w14:paraId="663D2178"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745E787"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HR</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418BCED2" w14:textId="7FCB8BB0"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965 743 000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7F5810A1" w14:textId="421D0769"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36166B6E" w14:textId="7F11BFC5"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1 001 047 000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6B529CDE" w14:textId="10BDDBFF"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575CEE60" w14:textId="22F15D0B"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40 287 935</w:t>
            </w:r>
          </w:p>
        </w:tc>
        <w:tc>
          <w:tcPr>
            <w:tcW w:w="0" w:type="auto"/>
            <w:tcBorders>
              <w:left w:val="single" w:sz="8" w:space="0" w:color="000000" w:themeColor="text1"/>
            </w:tcBorders>
            <w:vAlign w:val="center"/>
            <w:hideMark/>
          </w:tcPr>
          <w:p w14:paraId="7E282C6C" w14:textId="77777777" w:rsidR="0053464B" w:rsidRPr="00352E03" w:rsidRDefault="0053464B" w:rsidP="0053464B">
            <w:pPr>
              <w:rPr>
                <w:rFonts w:ascii="Times New Roman" w:hAnsi="Times New Roman" w:cs="Times New Roman"/>
                <w:noProof/>
                <w:sz w:val="20"/>
                <w:szCs w:val="20"/>
              </w:rPr>
            </w:pPr>
          </w:p>
        </w:tc>
      </w:tr>
      <w:tr w:rsidR="009F6656" w:rsidRPr="00352E03" w14:paraId="5D3BF67C"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239EAB5"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IT</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06E1968C" w14:textId="7488405C"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23 055 104 000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5285BD9A" w14:textId="5C26887F"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7BDE72F" w14:textId="4B3B303E"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23 154 238 000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562457DF" w14:textId="6569A644"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07235221" w14:textId="137F56CD"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442 439 474</w:t>
            </w:r>
          </w:p>
        </w:tc>
        <w:tc>
          <w:tcPr>
            <w:tcW w:w="0" w:type="auto"/>
            <w:tcBorders>
              <w:left w:val="single" w:sz="8" w:space="0" w:color="000000" w:themeColor="text1"/>
            </w:tcBorders>
            <w:vAlign w:val="center"/>
            <w:hideMark/>
          </w:tcPr>
          <w:p w14:paraId="3C63D700" w14:textId="77777777" w:rsidR="0053464B" w:rsidRPr="00352E03" w:rsidRDefault="0053464B" w:rsidP="0053464B">
            <w:pPr>
              <w:rPr>
                <w:rFonts w:ascii="Times New Roman" w:hAnsi="Times New Roman" w:cs="Times New Roman"/>
                <w:noProof/>
                <w:sz w:val="20"/>
                <w:szCs w:val="20"/>
              </w:rPr>
            </w:pPr>
          </w:p>
        </w:tc>
      </w:tr>
      <w:tr w:rsidR="009F6656" w:rsidRPr="00352E03" w14:paraId="6712C70F"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06BEAEE"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CY</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3F26166F" w14:textId="4E2A0E28"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336 266 000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2964E043" w14:textId="50821575" w:rsidR="0053464B" w:rsidRPr="00352E03" w:rsidRDefault="4B0B909A" w:rsidP="00005D33">
            <w:pPr>
              <w:jc w:val="center"/>
              <w:rPr>
                <w:rFonts w:ascii="Times New Roman" w:hAnsi="Times New Roman" w:cs="Times New Roman"/>
                <w:noProof/>
                <w:color w:val="000000"/>
                <w:sz w:val="20"/>
                <w:szCs w:val="20"/>
              </w:rPr>
            </w:pPr>
            <w:r>
              <w:rPr>
                <w:rFonts w:ascii="Times New Roman" w:hAnsi="Times New Roman"/>
                <w:noProof/>
                <w:color w:val="000000" w:themeColor="text1"/>
                <w:sz w:val="20"/>
              </w:rPr>
              <w:t>0,6821695</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0B449F3D" w14:textId="3AB8D64B"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341 565 000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6F9743FD" w14:textId="068C601F" w:rsidR="0053464B" w:rsidRPr="00352E03" w:rsidRDefault="521F28FD" w:rsidP="00005D33">
            <w:pPr>
              <w:jc w:val="center"/>
              <w:rPr>
                <w:rFonts w:ascii="Times New Roman" w:hAnsi="Times New Roman" w:cs="Times New Roman"/>
                <w:noProof/>
                <w:color w:val="000000"/>
                <w:sz w:val="20"/>
                <w:szCs w:val="20"/>
              </w:rPr>
            </w:pPr>
            <w:r>
              <w:rPr>
                <w:rFonts w:ascii="Times New Roman" w:hAnsi="Times New Roman"/>
                <w:noProof/>
                <w:color w:val="000000" w:themeColor="text1"/>
                <w:sz w:val="20"/>
              </w:rPr>
              <w:t>0,6983572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3770355B" w14:textId="118B60C4"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9 143 959</w:t>
            </w:r>
          </w:p>
        </w:tc>
        <w:tc>
          <w:tcPr>
            <w:tcW w:w="0" w:type="auto"/>
            <w:tcBorders>
              <w:left w:val="single" w:sz="8" w:space="0" w:color="000000" w:themeColor="text1"/>
            </w:tcBorders>
            <w:vAlign w:val="center"/>
            <w:hideMark/>
          </w:tcPr>
          <w:p w14:paraId="4E42786D" w14:textId="77777777" w:rsidR="0053464B" w:rsidRPr="00352E03" w:rsidRDefault="0053464B" w:rsidP="0053464B">
            <w:pPr>
              <w:rPr>
                <w:rFonts w:ascii="Times New Roman" w:hAnsi="Times New Roman" w:cs="Times New Roman"/>
                <w:noProof/>
                <w:sz w:val="20"/>
                <w:szCs w:val="20"/>
              </w:rPr>
            </w:pPr>
          </w:p>
        </w:tc>
      </w:tr>
      <w:tr w:rsidR="009F6656" w:rsidRPr="00352E03" w14:paraId="0BE10C3F"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66B8601"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LV</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18F0EFD" w14:textId="19AB2449"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430 155 000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162D0FC7" w14:textId="119B536B"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4A914DF8" w14:textId="3B58EF27"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449 313 000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8586908" w14:textId="05534096"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20C7367A" w14:textId="045202F6"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20 342 336</w:t>
            </w:r>
          </w:p>
        </w:tc>
        <w:tc>
          <w:tcPr>
            <w:tcW w:w="0" w:type="auto"/>
            <w:tcBorders>
              <w:left w:val="single" w:sz="8" w:space="0" w:color="000000" w:themeColor="text1"/>
            </w:tcBorders>
            <w:vAlign w:val="center"/>
            <w:hideMark/>
          </w:tcPr>
          <w:p w14:paraId="4E04092E" w14:textId="77777777" w:rsidR="0053464B" w:rsidRPr="00352E03" w:rsidRDefault="0053464B" w:rsidP="0053464B">
            <w:pPr>
              <w:rPr>
                <w:rFonts w:ascii="Times New Roman" w:hAnsi="Times New Roman" w:cs="Times New Roman"/>
                <w:noProof/>
                <w:sz w:val="20"/>
                <w:szCs w:val="20"/>
              </w:rPr>
            </w:pPr>
          </w:p>
        </w:tc>
      </w:tr>
      <w:tr w:rsidR="009F6656" w:rsidRPr="00352E03" w14:paraId="1AAA18A7"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39F7AE4"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LT</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62D35EA" w14:textId="5EE912FD"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857 010 000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6423CCE0" w14:textId="17D260DC"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18A7F7B" w14:textId="64B863DF"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871 696 000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0741BB0" w14:textId="58B67BB7"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3F6F36E7" w14:textId="328AB623"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24 129 073</w:t>
            </w:r>
          </w:p>
        </w:tc>
        <w:tc>
          <w:tcPr>
            <w:tcW w:w="0" w:type="auto"/>
            <w:tcBorders>
              <w:left w:val="single" w:sz="8" w:space="0" w:color="000000" w:themeColor="text1"/>
            </w:tcBorders>
            <w:vAlign w:val="center"/>
            <w:hideMark/>
          </w:tcPr>
          <w:p w14:paraId="2218560E" w14:textId="77777777" w:rsidR="0053464B" w:rsidRPr="00352E03" w:rsidRDefault="0053464B" w:rsidP="0053464B">
            <w:pPr>
              <w:rPr>
                <w:rFonts w:ascii="Times New Roman" w:hAnsi="Times New Roman" w:cs="Times New Roman"/>
                <w:noProof/>
                <w:sz w:val="20"/>
                <w:szCs w:val="20"/>
              </w:rPr>
            </w:pPr>
          </w:p>
        </w:tc>
      </w:tr>
      <w:tr w:rsidR="009F6656" w:rsidRPr="00352E03" w14:paraId="2C2DAAFB"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A806FAD"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LU</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2138F8E" w14:textId="517FFBFC"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609 823 000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147AD689" w14:textId="0739CBBC"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CDF2531" w14:textId="4E6A3DF9"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637 947 000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55829EBA" w14:textId="7FA7FA3E"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58CAAEF0" w14:textId="30BBFECF"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29 512 214</w:t>
            </w:r>
          </w:p>
        </w:tc>
        <w:tc>
          <w:tcPr>
            <w:tcW w:w="0" w:type="auto"/>
            <w:tcBorders>
              <w:left w:val="single" w:sz="8" w:space="0" w:color="000000" w:themeColor="text1"/>
            </w:tcBorders>
            <w:vAlign w:val="center"/>
            <w:hideMark/>
          </w:tcPr>
          <w:p w14:paraId="7AA878C2" w14:textId="77777777" w:rsidR="0053464B" w:rsidRPr="00352E03" w:rsidRDefault="0053464B" w:rsidP="0053464B">
            <w:pPr>
              <w:rPr>
                <w:rFonts w:ascii="Times New Roman" w:hAnsi="Times New Roman" w:cs="Times New Roman"/>
                <w:noProof/>
                <w:sz w:val="20"/>
                <w:szCs w:val="20"/>
              </w:rPr>
            </w:pPr>
          </w:p>
        </w:tc>
      </w:tr>
      <w:tr w:rsidR="009F6656" w:rsidRPr="00352E03" w14:paraId="6493CCC8"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F052670"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HU</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012E7D56" w14:textId="76019B98"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2 238 976 000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314B2BDA" w14:textId="72B34E52"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CAC8B88" w14:textId="500776D3"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2 334 403 000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020576DF" w14:textId="58B152EF"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4BCDD0A4" w14:textId="264F0040"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102 885 946</w:t>
            </w:r>
          </w:p>
        </w:tc>
        <w:tc>
          <w:tcPr>
            <w:tcW w:w="0" w:type="auto"/>
            <w:tcBorders>
              <w:left w:val="single" w:sz="8" w:space="0" w:color="000000" w:themeColor="text1"/>
            </w:tcBorders>
            <w:vAlign w:val="center"/>
            <w:hideMark/>
          </w:tcPr>
          <w:p w14:paraId="7AF00243" w14:textId="77777777" w:rsidR="0053464B" w:rsidRPr="00352E03" w:rsidRDefault="0053464B" w:rsidP="0053464B">
            <w:pPr>
              <w:rPr>
                <w:rFonts w:ascii="Times New Roman" w:hAnsi="Times New Roman" w:cs="Times New Roman"/>
                <w:noProof/>
                <w:sz w:val="20"/>
                <w:szCs w:val="20"/>
              </w:rPr>
            </w:pPr>
          </w:p>
        </w:tc>
      </w:tr>
      <w:tr w:rsidR="009F6656" w:rsidRPr="00352E03" w14:paraId="3762936C"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5240C05"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MT</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4A3A1C7" w14:textId="6C96C17B"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221 079 000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1A3E8A83" w14:textId="17760498"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9488689" w14:textId="7B7E913A"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231 745 000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028A94C5" w14:textId="333531D2"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47BDC289" w14:textId="3D4E4F03"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11 027 433</w:t>
            </w:r>
          </w:p>
        </w:tc>
        <w:tc>
          <w:tcPr>
            <w:tcW w:w="0" w:type="auto"/>
            <w:tcBorders>
              <w:left w:val="single" w:sz="8" w:space="0" w:color="000000" w:themeColor="text1"/>
            </w:tcBorders>
            <w:vAlign w:val="center"/>
            <w:hideMark/>
          </w:tcPr>
          <w:p w14:paraId="780A1F60" w14:textId="77777777" w:rsidR="0053464B" w:rsidRPr="00352E03" w:rsidRDefault="0053464B" w:rsidP="0053464B">
            <w:pPr>
              <w:rPr>
                <w:rFonts w:ascii="Times New Roman" w:hAnsi="Times New Roman" w:cs="Times New Roman"/>
                <w:noProof/>
                <w:sz w:val="20"/>
                <w:szCs w:val="20"/>
              </w:rPr>
            </w:pPr>
          </w:p>
        </w:tc>
      </w:tr>
      <w:tr w:rsidR="009F6656" w:rsidRPr="00352E03" w14:paraId="0BEDED31"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BBE5F4A"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NL</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220E309" w14:textId="1882C3C0"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12 297 977 000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76A8EB48" w14:textId="1BCEE4F1"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42E00C95" w14:textId="6B1EF59E"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12 129 885 000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D09008E" w14:textId="4176758B"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24232DBF" w14:textId="40B95C2E"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81 687 401</w:t>
            </w:r>
          </w:p>
        </w:tc>
        <w:tc>
          <w:tcPr>
            <w:tcW w:w="0" w:type="auto"/>
            <w:tcBorders>
              <w:left w:val="single" w:sz="8" w:space="0" w:color="000000" w:themeColor="text1"/>
            </w:tcBorders>
            <w:vAlign w:val="center"/>
            <w:hideMark/>
          </w:tcPr>
          <w:p w14:paraId="08324782" w14:textId="77777777" w:rsidR="0053464B" w:rsidRPr="00352E03" w:rsidRDefault="0053464B" w:rsidP="0053464B">
            <w:pPr>
              <w:rPr>
                <w:rFonts w:ascii="Times New Roman" w:hAnsi="Times New Roman" w:cs="Times New Roman"/>
                <w:noProof/>
                <w:sz w:val="20"/>
                <w:szCs w:val="20"/>
              </w:rPr>
            </w:pPr>
          </w:p>
        </w:tc>
      </w:tr>
      <w:tr w:rsidR="009F6656" w:rsidRPr="00352E03" w14:paraId="705EC663"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1B135A9"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AT</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96380C5" w14:textId="23858B7B"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5 090 841 000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157B6A42" w14:textId="4CC48283"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5EC81BF" w14:textId="2050146B"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5 290 218 000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5DAEAB45" w14:textId="7F085148"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4845F707" w14:textId="3EB4BC65"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221 645 240</w:t>
            </w:r>
          </w:p>
        </w:tc>
        <w:tc>
          <w:tcPr>
            <w:tcW w:w="0" w:type="auto"/>
            <w:tcBorders>
              <w:left w:val="single" w:sz="8" w:space="0" w:color="000000" w:themeColor="text1"/>
            </w:tcBorders>
            <w:vAlign w:val="center"/>
            <w:hideMark/>
          </w:tcPr>
          <w:p w14:paraId="7B4A6703" w14:textId="77777777" w:rsidR="0053464B" w:rsidRPr="00352E03" w:rsidRDefault="0053464B" w:rsidP="0053464B">
            <w:pPr>
              <w:rPr>
                <w:rFonts w:ascii="Times New Roman" w:hAnsi="Times New Roman" w:cs="Times New Roman"/>
                <w:noProof/>
                <w:sz w:val="20"/>
                <w:szCs w:val="20"/>
              </w:rPr>
            </w:pPr>
          </w:p>
        </w:tc>
      </w:tr>
      <w:tr w:rsidR="009F6656" w:rsidRPr="00352E03" w14:paraId="62AE520A"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EEDBE2B"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PL</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21BA24F8" w14:textId="0308EED2"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9 473 184 000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456E1A54" w14:textId="776361FB"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38362907" w14:textId="2B8CCD66"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9 523 076 000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6C8E3AD7" w14:textId="0FED1EFE"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4E26BB01" w14:textId="7FC58268"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188 191 261</w:t>
            </w:r>
          </w:p>
        </w:tc>
        <w:tc>
          <w:tcPr>
            <w:tcW w:w="0" w:type="auto"/>
            <w:tcBorders>
              <w:left w:val="single" w:sz="8" w:space="0" w:color="000000" w:themeColor="text1"/>
            </w:tcBorders>
            <w:vAlign w:val="center"/>
            <w:hideMark/>
          </w:tcPr>
          <w:p w14:paraId="2F6577B6" w14:textId="77777777" w:rsidR="0053464B" w:rsidRPr="00352E03" w:rsidRDefault="0053464B" w:rsidP="0053464B">
            <w:pPr>
              <w:rPr>
                <w:rFonts w:ascii="Times New Roman" w:hAnsi="Times New Roman" w:cs="Times New Roman"/>
                <w:noProof/>
                <w:sz w:val="20"/>
                <w:szCs w:val="20"/>
              </w:rPr>
            </w:pPr>
          </w:p>
        </w:tc>
      </w:tr>
      <w:tr w:rsidR="009F6656" w:rsidRPr="00352E03" w14:paraId="180FB5F0"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48E2A11"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PT</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0CFB9AB6" w14:textId="01DD040F"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3 073 087 000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661A2241" w14:textId="1A6BB581"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98A4D28" w14:textId="7794CFDE"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3 164 702 000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391DBD4" w14:textId="4116B753"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39DD003E" w14:textId="481555D5"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113 726 127</w:t>
            </w:r>
          </w:p>
        </w:tc>
        <w:tc>
          <w:tcPr>
            <w:tcW w:w="0" w:type="auto"/>
            <w:tcBorders>
              <w:left w:val="single" w:sz="8" w:space="0" w:color="000000" w:themeColor="text1"/>
            </w:tcBorders>
            <w:vAlign w:val="center"/>
            <w:hideMark/>
          </w:tcPr>
          <w:p w14:paraId="16D22CDC" w14:textId="77777777" w:rsidR="0053464B" w:rsidRPr="00352E03" w:rsidRDefault="0053464B" w:rsidP="0053464B">
            <w:pPr>
              <w:rPr>
                <w:rFonts w:ascii="Times New Roman" w:hAnsi="Times New Roman" w:cs="Times New Roman"/>
                <w:noProof/>
                <w:sz w:val="20"/>
                <w:szCs w:val="20"/>
              </w:rPr>
            </w:pPr>
          </w:p>
        </w:tc>
      </w:tr>
      <w:tr w:rsidR="009F6656" w:rsidRPr="00352E03" w14:paraId="47FD405A"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DC36CA4"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RO</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0529C158" w14:textId="1D2F90DE"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4 042 013 000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4A29F7EE" w14:textId="3FEE7F83"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E3145A5" w14:textId="73F7F0B0"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3 917 783 000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D9B8A49" w14:textId="7C9D0E07"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4DF96E8F" w14:textId="3DAF485E"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- 21 326 119</w:t>
            </w:r>
          </w:p>
        </w:tc>
        <w:tc>
          <w:tcPr>
            <w:tcW w:w="0" w:type="auto"/>
            <w:tcBorders>
              <w:left w:val="single" w:sz="8" w:space="0" w:color="000000" w:themeColor="text1"/>
            </w:tcBorders>
            <w:vAlign w:val="center"/>
            <w:hideMark/>
          </w:tcPr>
          <w:p w14:paraId="12C26DDC" w14:textId="77777777" w:rsidR="0053464B" w:rsidRPr="00352E03" w:rsidRDefault="0053464B" w:rsidP="0053464B">
            <w:pPr>
              <w:rPr>
                <w:rFonts w:ascii="Times New Roman" w:hAnsi="Times New Roman" w:cs="Times New Roman"/>
                <w:noProof/>
                <w:sz w:val="20"/>
                <w:szCs w:val="20"/>
              </w:rPr>
            </w:pPr>
          </w:p>
        </w:tc>
      </w:tr>
      <w:tr w:rsidR="009F6656" w:rsidRPr="00352E03" w14:paraId="63E65F7D"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99A95B5"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SI</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00D9E2DA" w14:textId="32EDC251"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730 451 000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118856A5" w14:textId="530F4A89"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74DBFD9" w14:textId="22172BDE"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737 741 000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1ED1127D" w14:textId="6AF0111A"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66287913" w14:textId="04D9EE49"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16 915 328</w:t>
            </w:r>
          </w:p>
        </w:tc>
        <w:tc>
          <w:tcPr>
            <w:tcW w:w="0" w:type="auto"/>
            <w:tcBorders>
              <w:left w:val="single" w:sz="8" w:space="0" w:color="000000" w:themeColor="text1"/>
            </w:tcBorders>
            <w:vAlign w:val="center"/>
            <w:hideMark/>
          </w:tcPr>
          <w:p w14:paraId="1D83C9EE" w14:textId="77777777" w:rsidR="0053464B" w:rsidRPr="00352E03" w:rsidRDefault="0053464B" w:rsidP="0053464B">
            <w:pPr>
              <w:rPr>
                <w:rFonts w:ascii="Times New Roman" w:hAnsi="Times New Roman" w:cs="Times New Roman"/>
                <w:noProof/>
                <w:sz w:val="20"/>
                <w:szCs w:val="20"/>
              </w:rPr>
            </w:pPr>
          </w:p>
        </w:tc>
      </w:tr>
      <w:tr w:rsidR="009F6656" w:rsidRPr="00352E03" w14:paraId="3D7482DD"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7EA28D0"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SK</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6D8C89C" w14:textId="2AA9925A"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1 404 150 000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7B1240F5" w14:textId="6C90EC10"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5FCAF51" w14:textId="0587F666"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1 399 038 000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370DC792" w14:textId="14EF6919"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1FE28614" w14:textId="3730F508"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19 159 922</w:t>
            </w:r>
          </w:p>
        </w:tc>
        <w:tc>
          <w:tcPr>
            <w:tcW w:w="0" w:type="auto"/>
            <w:tcBorders>
              <w:left w:val="single" w:sz="8" w:space="0" w:color="000000" w:themeColor="text1"/>
            </w:tcBorders>
            <w:vAlign w:val="center"/>
            <w:hideMark/>
          </w:tcPr>
          <w:p w14:paraId="7DD3B285" w14:textId="77777777" w:rsidR="0053464B" w:rsidRPr="00352E03" w:rsidRDefault="0053464B" w:rsidP="0053464B">
            <w:pPr>
              <w:rPr>
                <w:rFonts w:ascii="Times New Roman" w:hAnsi="Times New Roman" w:cs="Times New Roman"/>
                <w:noProof/>
                <w:sz w:val="20"/>
                <w:szCs w:val="20"/>
              </w:rPr>
            </w:pPr>
          </w:p>
        </w:tc>
      </w:tr>
      <w:tr w:rsidR="009F6656" w:rsidRPr="00352E03" w14:paraId="2B8BD658"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9CD3D84"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FI</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697ABA06" w14:textId="0507373B"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2 966 604 000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35A16761" w14:textId="57528D04"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4347860" w14:textId="1A6FF906"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2 908 364 000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384FAEA" w14:textId="3B2B5027"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54462EE1" w14:textId="3D293F1C"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7 350 100</w:t>
            </w:r>
          </w:p>
        </w:tc>
        <w:tc>
          <w:tcPr>
            <w:tcW w:w="0" w:type="auto"/>
            <w:tcBorders>
              <w:left w:val="single" w:sz="8" w:space="0" w:color="000000" w:themeColor="text1"/>
            </w:tcBorders>
            <w:vAlign w:val="center"/>
            <w:hideMark/>
          </w:tcPr>
          <w:p w14:paraId="288904DA" w14:textId="77777777" w:rsidR="0053464B" w:rsidRPr="00352E03" w:rsidRDefault="0053464B" w:rsidP="0053464B">
            <w:pPr>
              <w:rPr>
                <w:rFonts w:ascii="Times New Roman" w:hAnsi="Times New Roman" w:cs="Times New Roman"/>
                <w:noProof/>
                <w:sz w:val="20"/>
                <w:szCs w:val="20"/>
              </w:rPr>
            </w:pPr>
          </w:p>
        </w:tc>
      </w:tr>
      <w:tr w:rsidR="009F6656" w:rsidRPr="00352E03" w14:paraId="7495C894"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EAABBD2"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SE</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25D44A7E" w14:textId="514612EA"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6 572 384 000</w:t>
            </w:r>
          </w:p>
        </w:tc>
        <w:tc>
          <w:tcPr>
            <w:tcW w:w="0" w:type="auto"/>
            <w:tcBorders>
              <w:top w:val="nil"/>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41DE12E5" w14:textId="27C0FFF2"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344032B9" w14:textId="27A2A376"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6 589 821 000</w:t>
            </w:r>
          </w:p>
        </w:tc>
        <w:tc>
          <w:tcPr>
            <w:tcW w:w="0" w:type="auto"/>
            <w:tcBorders>
              <w:top w:val="nil"/>
              <w:left w:val="single" w:sz="4" w:space="0" w:color="auto"/>
              <w:bottom w:val="single" w:sz="4" w:space="0" w:color="auto"/>
              <w:right w:val="single" w:sz="8" w:space="0" w:color="000000" w:themeColor="text1"/>
            </w:tcBorders>
            <w:shd w:val="clear" w:color="auto" w:fill="FFFFFF" w:themeFill="background1"/>
            <w:noWrap/>
            <w:tcMar>
              <w:top w:w="15" w:type="dxa"/>
              <w:left w:w="15" w:type="dxa"/>
              <w:bottom w:w="0" w:type="dxa"/>
              <w:right w:w="15" w:type="dxa"/>
            </w:tcMar>
            <w:vAlign w:val="center"/>
          </w:tcPr>
          <w:p w14:paraId="14FF1CA8" w14:textId="6E9EC07A"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7B71C5A3" w14:textId="5A185908"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118 568 871</w:t>
            </w:r>
          </w:p>
        </w:tc>
        <w:tc>
          <w:tcPr>
            <w:tcW w:w="0" w:type="auto"/>
            <w:tcBorders>
              <w:left w:val="single" w:sz="8" w:space="0" w:color="000000" w:themeColor="text1"/>
            </w:tcBorders>
            <w:vAlign w:val="center"/>
            <w:hideMark/>
          </w:tcPr>
          <w:p w14:paraId="526E829E" w14:textId="02D49604" w:rsidR="0053464B" w:rsidRPr="00352E03" w:rsidRDefault="0053464B" w:rsidP="0053464B">
            <w:pPr>
              <w:rPr>
                <w:rFonts w:ascii="Times New Roman" w:hAnsi="Times New Roman" w:cs="Times New Roman"/>
                <w:noProof/>
                <w:sz w:val="20"/>
                <w:szCs w:val="20"/>
              </w:rPr>
            </w:pPr>
          </w:p>
        </w:tc>
      </w:tr>
      <w:tr w:rsidR="0053464B" w:rsidRPr="006A6461" w14:paraId="1F43AA21" w14:textId="77777777" w:rsidTr="386067CE">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13CC629" w14:textId="77777777" w:rsidR="0053464B" w:rsidRPr="00352E03" w:rsidRDefault="0053464B" w:rsidP="00C06354">
            <w:pPr>
              <w:rPr>
                <w:rFonts w:ascii="Times New Roman" w:hAnsi="Times New Roman" w:cs="Times New Roman"/>
                <w:b/>
                <w:bCs/>
                <w:noProof/>
                <w:color w:val="000000"/>
                <w:sz w:val="20"/>
                <w:szCs w:val="20"/>
              </w:rPr>
            </w:pPr>
            <w:r>
              <w:rPr>
                <w:rFonts w:ascii="Times New Roman" w:hAnsi="Times New Roman"/>
                <w:b/>
                <w:noProof/>
                <w:color w:val="000000"/>
                <w:sz w:val="20"/>
              </w:rPr>
              <w:t>Total</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A5E8120" w14:textId="461DA329" w:rsidR="11E3DED0" w:rsidRPr="00352E03" w:rsidRDefault="5D1C6EAE" w:rsidP="00905B32">
            <w:pPr>
              <w:spacing w:after="0"/>
              <w:jc w:val="right"/>
              <w:rPr>
                <w:rFonts w:ascii="Times New Roman" w:eastAsia="Times New Roman" w:hAnsi="Times New Roman" w:cs="Times New Roman"/>
                <w:b/>
                <w:bCs/>
                <w:noProof/>
                <w:sz w:val="20"/>
                <w:szCs w:val="20"/>
              </w:rPr>
            </w:pPr>
            <w:r>
              <w:rPr>
                <w:rFonts w:ascii="Times New Roman" w:hAnsi="Times New Roman"/>
                <w:b/>
                <w:noProof/>
                <w:sz w:val="20"/>
              </w:rPr>
              <w:t>192 778 978 000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008F5DAB" w14:textId="565D5D5F" w:rsidR="0053464B" w:rsidRPr="00352E03" w:rsidRDefault="0053464B" w:rsidP="0053464B">
            <w:pPr>
              <w:jc w:val="right"/>
              <w:rPr>
                <w:rFonts w:ascii="Times New Roman" w:hAnsi="Times New Roman" w:cs="Times New Roman"/>
                <w:b/>
                <w:bCs/>
                <w:noProof/>
                <w:color w:val="000000"/>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7EED9CF" w14:textId="18DD016C" w:rsidR="11E3DED0" w:rsidRPr="00352E03" w:rsidRDefault="4B0C0660" w:rsidP="00905B32">
            <w:pPr>
              <w:spacing w:after="0"/>
              <w:jc w:val="right"/>
              <w:rPr>
                <w:rFonts w:ascii="Times New Roman" w:eastAsia="Times New Roman" w:hAnsi="Times New Roman" w:cs="Times New Roman"/>
                <w:b/>
                <w:bCs/>
                <w:noProof/>
                <w:sz w:val="20"/>
                <w:szCs w:val="20"/>
              </w:rPr>
            </w:pPr>
            <w:r>
              <w:rPr>
                <w:rFonts w:ascii="Times New Roman" w:hAnsi="Times New Roman"/>
                <w:b/>
                <w:noProof/>
                <w:sz w:val="20"/>
              </w:rPr>
              <w:t>194 560 749 000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184434F" w14:textId="556129E5" w:rsidR="0053464B" w:rsidRPr="00352E03" w:rsidRDefault="0053464B" w:rsidP="0053464B">
            <w:pPr>
              <w:jc w:val="right"/>
              <w:rPr>
                <w:rFonts w:ascii="Times New Roman" w:hAnsi="Times New Roman" w:cs="Times New Roman"/>
                <w:b/>
                <w:bCs/>
                <w:noProof/>
                <w:color w:val="000000"/>
                <w:sz w:val="20"/>
                <w:szCs w:val="20"/>
              </w:rPr>
            </w:pPr>
          </w:p>
        </w:tc>
        <w:tc>
          <w:tcPr>
            <w:tcW w:w="0" w:type="auto"/>
            <w:tcBorders>
              <w:top w:val="single" w:sz="8" w:space="0" w:color="000000" w:themeColor="text1"/>
              <w:left w:val="nil"/>
              <w:bottom w:val="single" w:sz="4" w:space="0" w:color="auto"/>
              <w:right w:val="single" w:sz="4" w:space="0" w:color="auto"/>
            </w:tcBorders>
            <w:noWrap/>
            <w:tcMar>
              <w:top w:w="15" w:type="dxa"/>
              <w:left w:w="15" w:type="dxa"/>
              <w:bottom w:w="0" w:type="dxa"/>
              <w:right w:w="15" w:type="dxa"/>
            </w:tcMar>
            <w:vAlign w:val="center"/>
          </w:tcPr>
          <w:p w14:paraId="011D9393" w14:textId="2CF81E4D" w:rsidR="571EDC14" w:rsidRDefault="1C1A8C3F" w:rsidP="386067CE">
            <w:pPr>
              <w:spacing w:after="0"/>
              <w:jc w:val="right"/>
              <w:rPr>
                <w:rFonts w:ascii="Times New Roman" w:eastAsia="Times New Roman" w:hAnsi="Times New Roman" w:cs="Times New Roman"/>
                <w:b/>
                <w:bCs/>
                <w:noProof/>
                <w:sz w:val="20"/>
                <w:szCs w:val="20"/>
              </w:rPr>
            </w:pPr>
            <w:r>
              <w:rPr>
                <w:rFonts w:ascii="Times New Roman" w:hAnsi="Times New Roman"/>
                <w:b/>
                <w:noProof/>
                <w:sz w:val="20"/>
              </w:rPr>
              <w:t>4 364 956 037</w:t>
            </w:r>
          </w:p>
        </w:tc>
        <w:tc>
          <w:tcPr>
            <w:tcW w:w="0" w:type="auto"/>
            <w:vAlign w:val="center"/>
            <w:hideMark/>
          </w:tcPr>
          <w:p w14:paraId="4214490F" w14:textId="77777777" w:rsidR="0053464B" w:rsidRPr="006A6461" w:rsidRDefault="0053464B" w:rsidP="0053464B">
            <w:pPr>
              <w:rPr>
                <w:rFonts w:ascii="Times New Roman" w:hAnsi="Times New Roman" w:cs="Times New Roman"/>
                <w:noProof/>
                <w:sz w:val="20"/>
                <w:szCs w:val="20"/>
              </w:rPr>
            </w:pPr>
          </w:p>
        </w:tc>
      </w:tr>
    </w:tbl>
    <w:p w14:paraId="328A0BE8" w14:textId="746D6CC5" w:rsidR="009B6020" w:rsidRPr="006A6461" w:rsidRDefault="005638C6" w:rsidP="001F423E">
      <w:pPr>
        <w:pStyle w:val="ManualHeading1"/>
        <w:rPr>
          <w:noProof/>
        </w:rPr>
      </w:pPr>
      <w:bookmarkStart w:id="39" w:name="_Toc232755300"/>
      <w:r>
        <w:rPr>
          <w:noProof/>
        </w:rPr>
        <w:t>3.</w:t>
      </w:r>
      <w:r>
        <w:rPr>
          <w:noProof/>
        </w:rPr>
        <w:tab/>
        <w:t>Mise à jour des dépenses</w:t>
      </w:r>
      <w:bookmarkEnd w:id="39"/>
    </w:p>
    <w:p w14:paraId="49620253" w14:textId="1CB94812" w:rsidR="00FF5701" w:rsidRPr="006A6461" w:rsidRDefault="00FF5701" w:rsidP="00FF5701">
      <w:pPr>
        <w:keepNext/>
        <w:tabs>
          <w:tab w:val="left" w:pos="850"/>
        </w:tabs>
        <w:spacing w:before="360" w:after="120"/>
        <w:ind w:left="850" w:hanging="850"/>
        <w:jc w:val="both"/>
        <w:outlineLvl w:val="1"/>
        <w:rPr>
          <w:rFonts w:ascii="Times New Roman" w:eastAsia="Calibri" w:hAnsi="Times New Roman" w:cs="Times New Roman"/>
          <w:b/>
          <w:noProof/>
          <w:sz w:val="24"/>
          <w:szCs w:val="24"/>
        </w:rPr>
      </w:pPr>
      <w:bookmarkStart w:id="40" w:name="_Toc232755301"/>
      <w:r>
        <w:rPr>
          <w:rFonts w:ascii="Times New Roman" w:hAnsi="Times New Roman"/>
          <w:b/>
          <w:noProof/>
          <w:sz w:val="24"/>
        </w:rPr>
        <w:t>3.1</w:t>
      </w:r>
      <w:r>
        <w:rPr>
          <w:noProof/>
        </w:rPr>
        <w:tab/>
      </w:r>
      <w:r>
        <w:rPr>
          <w:rFonts w:ascii="Times New Roman" w:hAnsi="Times New Roman"/>
          <w:b/>
          <w:noProof/>
          <w:sz w:val="24"/>
        </w:rPr>
        <w:t>Renforcement des crédits de paiement en faveur de la cohésion et du Fonds européen agricole pour le développement rural (Feader)</w:t>
      </w:r>
      <w:bookmarkEnd w:id="40"/>
    </w:p>
    <w:p w14:paraId="033EA1EA" w14:textId="4C227651" w:rsidR="2D0B0B3A" w:rsidRDefault="2D0B0B3A" w:rsidP="00E84562">
      <w:pPr>
        <w:spacing w:before="120" w:after="120"/>
        <w:jc w:val="both"/>
        <w:rPr>
          <w:rFonts w:ascii="Times New Roman" w:hAnsi="Times New Roman" w:cs="Times New Roman"/>
          <w:noProof/>
          <w:sz w:val="24"/>
          <w:szCs w:val="24"/>
        </w:rPr>
      </w:pPr>
      <w:bookmarkStart w:id="41" w:name="_Hlk170112566"/>
      <w:r>
        <w:rPr>
          <w:rFonts w:ascii="Times New Roman" w:hAnsi="Times New Roman"/>
          <w:noProof/>
          <w:sz w:val="24"/>
        </w:rPr>
        <w:t>La mise en œuvre des programmes de cohésion a fortement progressé en 2025. Le budget voté en 2025 a été intégralement utilisé, y compris le renforcement de 2,7 milliards d’EUR résultant du budget rectificatif nº 3/2025. De nombreux États membres ont présenté des demandes de paiement allant bien au-delà de l’objectif de dégagement «n+3» en 2025, ce qui en fin de compte a entraîné des besoins de paiement supérieurs aux disponibilités budgétaires. En outre, 32 % du total des demandes de paiement (soit un montant de 14,4 milliards d’EUR), un niveau record, sont arrivés durant les deux dernières semaines de l’année, ce qui a fait naître un important arriéré de demandes (18 milliards d’EUR), qui ont été reportées et ont fait l’objet de paiements au titre du budget 2026.</w:t>
      </w:r>
    </w:p>
    <w:p w14:paraId="05B57A29" w14:textId="2A998B71" w:rsidR="70767307" w:rsidRDefault="70767307" w:rsidP="00E84562">
      <w:pPr>
        <w:spacing w:before="120" w:after="120"/>
        <w:jc w:val="both"/>
        <w:rPr>
          <w:rFonts w:ascii="Times New Roman" w:hAnsi="Times New Roman" w:cs="Times New Roman"/>
          <w:noProof/>
          <w:sz w:val="24"/>
          <w:szCs w:val="24"/>
        </w:rPr>
      </w:pPr>
      <w:r>
        <w:rPr>
          <w:rFonts w:ascii="Times New Roman" w:hAnsi="Times New Roman"/>
          <w:noProof/>
          <w:sz w:val="24"/>
        </w:rPr>
        <w:t>L’arriéré de 2025 en matière de cohésion, conjugué à l’accélération du rythme de mise en œuvre, met le budget 2026 sous pression. La tendance actuelle en ce qui concerne la mise en œuvre sur le terrain (des projets couvrant 69 % de l’enveloppe de la politique de cohésion ont déjà été sélectionnés par les autorités responsables des programmes), ainsi que les prévisions des États membres, suggèrent une exécution intégrale du budget voté pour 2026 et mettent en lumière la nécessité d’un renforcement supplémentaire. Le renforcement proposé de 5,36 milliards d’EUR en faveur de la politique de cohésion, qui figure déjà dans le présent PBR, atténue le risque d’une pénurie de crédits de paiement d’ici la fin du mois d’octobre. Une nouvelle évaluation des besoins jusqu’au terme de l’année sera réalisée à la fin de l’été, sur la base des prévisions des États membres, qui doivent être présentées d’ici la fin du mois de juillet.</w:t>
      </w:r>
    </w:p>
    <w:p w14:paraId="426B7D30" w14:textId="4F8C0E28" w:rsidR="00001A95" w:rsidRPr="00001A95" w:rsidRDefault="00F72892" w:rsidP="00E84562">
      <w:pPr>
        <w:spacing w:before="120" w:after="120"/>
        <w:jc w:val="both"/>
        <w:rPr>
          <w:rFonts w:ascii="Times New Roman" w:hAnsi="Times New Roman" w:cs="Times New Roman"/>
          <w:noProof/>
          <w:sz w:val="24"/>
          <w:szCs w:val="24"/>
        </w:rPr>
      </w:pPr>
      <w:r>
        <w:rPr>
          <w:rFonts w:ascii="Times New Roman" w:hAnsi="Times New Roman"/>
          <w:noProof/>
          <w:sz w:val="24"/>
        </w:rPr>
        <w:t>En ce qui concerne les plans stratégiques relevant de la PAC 2023-2027 au titre du Fonds européen agricole pour le développement rural (Feader), les États membres ont revu à la hausse leurs prévisions pour cette année. Les deux premières déclarations de dépenses reçues jusqu’à présent pour 2026 révèlent également une amélioration du taux de précision des prévisions des États membres. Le rythme accéléré de la mise en œuvre des plans stratégiques relevant de la PAC découle à la fois d’un rattrapage par rapport à la sous-exécution observée durant les premières années de la présente période de programmation et du raccourcissement de la période de programmation (cinq ans). L’accélération de l’exécution des programmes montre que les États membres accordent la priorité à la mise en œuvre des plans stratégiques relevant de la PAC, maintenant que les programmes de développement rural 2014-2022 ont atteint la phase de clôture. La Commission estime dès lors qu’en 2026, un montant supplémentaire de 2,2 milliards d’EUR en crédits de paiement est nécessaire en plus du budget voté.</w:t>
      </w:r>
    </w:p>
    <w:p w14:paraId="04F102CA" w14:textId="76FD4C36" w:rsidR="009B6896" w:rsidRPr="006A6461" w:rsidRDefault="009B6896" w:rsidP="00E84562">
      <w:pPr>
        <w:spacing w:before="120" w:after="120"/>
        <w:jc w:val="both"/>
        <w:rPr>
          <w:rFonts w:ascii="Times New Roman" w:hAnsi="Times New Roman" w:cs="Times New Roman"/>
          <w:noProof/>
          <w:sz w:val="24"/>
          <w:szCs w:val="24"/>
        </w:rPr>
      </w:pPr>
      <w:r>
        <w:rPr>
          <w:rFonts w:ascii="Times New Roman" w:hAnsi="Times New Roman"/>
          <w:noProof/>
          <w:sz w:val="24"/>
        </w:rPr>
        <w:t>L’incidence globale sur les dépenses est par conséquent la suivante:</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FF5701" w:rsidRPr="006A6461" w14:paraId="372050E7" w14:textId="77777777" w:rsidTr="14DD5325">
        <w:trPr>
          <w:jc w:val="center"/>
        </w:trPr>
        <w:tc>
          <w:tcPr>
            <w:tcW w:w="9810" w:type="dxa"/>
            <w:gridSpan w:val="4"/>
            <w:tcBorders>
              <w:top w:val="nil"/>
              <w:left w:val="nil"/>
              <w:bottom w:val="single" w:sz="4" w:space="0" w:color="auto"/>
              <w:right w:val="nil"/>
            </w:tcBorders>
            <w:vAlign w:val="center"/>
          </w:tcPr>
          <w:p w14:paraId="586F0BB0" w14:textId="77777777" w:rsidR="00FF5701" w:rsidRPr="006A6461" w:rsidRDefault="00FF5701">
            <w:pPr>
              <w:widowControl w:val="0"/>
              <w:spacing w:before="15" w:after="15"/>
              <w:jc w:val="right"/>
              <w:rPr>
                <w:rFonts w:ascii="Times New Roman" w:hAnsi="Times New Roman" w:cs="Times New Roman"/>
                <w:i/>
                <w:noProof/>
                <w:sz w:val="20"/>
                <w:szCs w:val="20"/>
              </w:rPr>
            </w:pPr>
            <w:r>
              <w:rPr>
                <w:rFonts w:ascii="Times New Roman" w:hAnsi="Times New Roman"/>
                <w:i/>
                <w:noProof/>
                <w:sz w:val="20"/>
              </w:rPr>
              <w:t>(en EUR)</w:t>
            </w:r>
          </w:p>
        </w:tc>
      </w:tr>
      <w:tr w:rsidR="00FF5701" w:rsidRPr="006A6461" w14:paraId="2D0B3B00" w14:textId="77777777" w:rsidTr="14DD5325">
        <w:trPr>
          <w:jc w:val="center"/>
        </w:trPr>
        <w:tc>
          <w:tcPr>
            <w:tcW w:w="1276" w:type="dxa"/>
            <w:tcBorders>
              <w:top w:val="single" w:sz="4" w:space="0" w:color="auto"/>
            </w:tcBorders>
            <w:shd w:val="clear" w:color="auto" w:fill="D9D9D9" w:themeFill="background1" w:themeFillShade="D9"/>
            <w:vAlign w:val="center"/>
          </w:tcPr>
          <w:p w14:paraId="6DCC9252" w14:textId="77777777" w:rsidR="00FF5701" w:rsidRPr="006A6461" w:rsidRDefault="00FF5701">
            <w:pPr>
              <w:keepNext/>
              <w:spacing w:before="15" w:after="15"/>
              <w:jc w:val="center"/>
              <w:rPr>
                <w:rFonts w:ascii="Times New Roman" w:hAnsi="Times New Roman" w:cs="Times New Roman"/>
                <w:b/>
                <w:noProof/>
                <w:sz w:val="20"/>
                <w:szCs w:val="20"/>
              </w:rPr>
            </w:pPr>
            <w:r>
              <w:rPr>
                <w:rFonts w:ascii="Times New Roman" w:hAnsi="Times New Roman"/>
                <w:b/>
                <w:noProof/>
                <w:sz w:val="20"/>
              </w:rPr>
              <w:t>Ligne budgétaire</w:t>
            </w:r>
          </w:p>
        </w:tc>
        <w:tc>
          <w:tcPr>
            <w:tcW w:w="5132" w:type="dxa"/>
            <w:tcBorders>
              <w:top w:val="single" w:sz="4" w:space="0" w:color="auto"/>
            </w:tcBorders>
            <w:shd w:val="clear" w:color="auto" w:fill="D9D9D9" w:themeFill="background1" w:themeFillShade="D9"/>
            <w:vAlign w:val="center"/>
          </w:tcPr>
          <w:p w14:paraId="5C163CE9" w14:textId="77777777" w:rsidR="00FF5701" w:rsidRPr="006A6461" w:rsidRDefault="00FF5701">
            <w:pPr>
              <w:widowControl w:val="0"/>
              <w:spacing w:before="15" w:after="15"/>
              <w:jc w:val="center"/>
              <w:rPr>
                <w:rFonts w:ascii="Times New Roman" w:hAnsi="Times New Roman" w:cs="Times New Roman"/>
                <w:b/>
                <w:noProof/>
                <w:sz w:val="20"/>
                <w:szCs w:val="20"/>
              </w:rPr>
            </w:pPr>
            <w:r>
              <w:rPr>
                <w:rFonts w:ascii="Times New Roman" w:hAnsi="Times New Roman"/>
                <w:b/>
                <w:noProof/>
                <w:sz w:val="20"/>
              </w:rPr>
              <w:t>Intitulé</w:t>
            </w:r>
          </w:p>
        </w:tc>
        <w:tc>
          <w:tcPr>
            <w:tcW w:w="1701" w:type="dxa"/>
            <w:tcBorders>
              <w:top w:val="single" w:sz="4" w:space="0" w:color="auto"/>
            </w:tcBorders>
            <w:shd w:val="clear" w:color="auto" w:fill="D9D9D9" w:themeFill="background1" w:themeFillShade="D9"/>
            <w:vAlign w:val="center"/>
          </w:tcPr>
          <w:p w14:paraId="5C2BB0DA" w14:textId="77777777" w:rsidR="00FF5701" w:rsidRPr="006A6461" w:rsidRDefault="00FF5701">
            <w:pPr>
              <w:widowControl w:val="0"/>
              <w:spacing w:before="15" w:after="15"/>
              <w:jc w:val="center"/>
              <w:rPr>
                <w:rFonts w:ascii="Times New Roman" w:hAnsi="Times New Roman" w:cs="Times New Roman"/>
                <w:b/>
                <w:noProof/>
                <w:sz w:val="20"/>
                <w:szCs w:val="20"/>
              </w:rPr>
            </w:pPr>
            <w:r>
              <w:rPr>
                <w:rFonts w:ascii="Times New Roman" w:hAnsi="Times New Roman"/>
                <w:b/>
                <w:noProof/>
                <w:sz w:val="20"/>
              </w:rPr>
              <w:t>Crédits d’engagement</w:t>
            </w:r>
          </w:p>
        </w:tc>
        <w:tc>
          <w:tcPr>
            <w:tcW w:w="1701" w:type="dxa"/>
            <w:tcBorders>
              <w:top w:val="single" w:sz="4" w:space="0" w:color="auto"/>
            </w:tcBorders>
            <w:shd w:val="clear" w:color="auto" w:fill="D9D9D9" w:themeFill="background1" w:themeFillShade="D9"/>
            <w:vAlign w:val="center"/>
          </w:tcPr>
          <w:p w14:paraId="132C7EDA" w14:textId="77777777" w:rsidR="00FF5701" w:rsidRPr="006A6461" w:rsidRDefault="00FF5701">
            <w:pPr>
              <w:widowControl w:val="0"/>
              <w:spacing w:before="15" w:after="15"/>
              <w:jc w:val="center"/>
              <w:rPr>
                <w:rFonts w:ascii="Times New Roman" w:hAnsi="Times New Roman" w:cs="Times New Roman"/>
                <w:b/>
                <w:noProof/>
                <w:sz w:val="20"/>
                <w:szCs w:val="20"/>
              </w:rPr>
            </w:pPr>
            <w:r>
              <w:rPr>
                <w:rFonts w:ascii="Times New Roman" w:hAnsi="Times New Roman"/>
                <w:b/>
                <w:noProof/>
                <w:sz w:val="20"/>
              </w:rPr>
              <w:t>Crédits de paiement</w:t>
            </w:r>
          </w:p>
        </w:tc>
      </w:tr>
      <w:tr w:rsidR="00FF5701" w:rsidRPr="006A6461" w14:paraId="03F29758" w14:textId="77777777" w:rsidTr="14DD5325">
        <w:trPr>
          <w:jc w:val="center"/>
        </w:trPr>
        <w:tc>
          <w:tcPr>
            <w:tcW w:w="9810" w:type="dxa"/>
            <w:gridSpan w:val="4"/>
            <w:shd w:val="clear" w:color="auto" w:fill="F2F2F2" w:themeFill="background1" w:themeFillShade="F2"/>
            <w:vAlign w:val="center"/>
          </w:tcPr>
          <w:p w14:paraId="22E3459F" w14:textId="77777777" w:rsidR="00FF5701" w:rsidRPr="006A6461" w:rsidRDefault="00FF5701">
            <w:pPr>
              <w:widowControl w:val="0"/>
              <w:spacing w:before="15" w:after="15"/>
              <w:rPr>
                <w:rFonts w:ascii="Times New Roman" w:hAnsi="Times New Roman" w:cs="Times New Roman"/>
                <w:i/>
                <w:noProof/>
                <w:sz w:val="20"/>
                <w:szCs w:val="20"/>
              </w:rPr>
            </w:pPr>
            <w:r>
              <w:rPr>
                <w:rFonts w:ascii="Times New Roman" w:hAnsi="Times New Roman"/>
                <w:i/>
                <w:noProof/>
                <w:sz w:val="20"/>
              </w:rPr>
              <w:t>Section III — Commission</w:t>
            </w:r>
          </w:p>
        </w:tc>
      </w:tr>
      <w:tr w:rsidR="00716F51" w:rsidRPr="006A6461" w14:paraId="7A730AD3" w14:textId="77777777" w:rsidTr="00F34834">
        <w:trPr>
          <w:trHeight w:val="336"/>
          <w:jc w:val="center"/>
        </w:trPr>
        <w:tc>
          <w:tcPr>
            <w:tcW w:w="1276" w:type="dxa"/>
          </w:tcPr>
          <w:p w14:paraId="422A8782" w14:textId="7BF92B7F" w:rsidR="00716F51" w:rsidRPr="02493DA4" w:rsidRDefault="00CB1587">
            <w:pPr>
              <w:widowControl w:val="0"/>
              <w:spacing w:before="15" w:after="15"/>
              <w:ind w:right="-113"/>
              <w:jc w:val="both"/>
              <w:rPr>
                <w:rFonts w:ascii="Times New Roman" w:hAnsi="Times New Roman" w:cs="Times New Roman"/>
                <w:noProof/>
                <w:sz w:val="16"/>
                <w:szCs w:val="16"/>
                <w:highlight w:val="yellow"/>
              </w:rPr>
            </w:pPr>
            <w:r>
              <w:rPr>
                <w:rFonts w:ascii="Times New Roman" w:hAnsi="Times New Roman"/>
                <w:noProof/>
                <w:sz w:val="16"/>
              </w:rPr>
              <w:t>08 03 01 01</w:t>
            </w:r>
          </w:p>
        </w:tc>
        <w:tc>
          <w:tcPr>
            <w:tcW w:w="5132" w:type="dxa"/>
          </w:tcPr>
          <w:p w14:paraId="749D629C" w14:textId="6AB769CD" w:rsidR="00716F51" w:rsidRPr="02493DA4" w:rsidRDefault="006722F1">
            <w:pPr>
              <w:widowControl w:val="0"/>
              <w:tabs>
                <w:tab w:val="left" w:pos="1350"/>
              </w:tabs>
              <w:spacing w:before="15" w:after="15"/>
              <w:jc w:val="both"/>
              <w:rPr>
                <w:rFonts w:ascii="Times New Roman" w:hAnsi="Times New Roman" w:cs="Times New Roman"/>
                <w:noProof/>
                <w:sz w:val="16"/>
                <w:szCs w:val="16"/>
                <w:highlight w:val="yellow"/>
              </w:rPr>
            </w:pPr>
            <w:r>
              <w:rPr>
                <w:rFonts w:ascii="Times New Roman" w:hAnsi="Times New Roman"/>
                <w:noProof/>
                <w:sz w:val="16"/>
              </w:rPr>
              <w:t>Types d’interventions en faveur du développement rural dans le cadre des plans stratégiques relevant de la PAC</w:t>
            </w:r>
          </w:p>
        </w:tc>
        <w:tc>
          <w:tcPr>
            <w:tcW w:w="1701" w:type="dxa"/>
          </w:tcPr>
          <w:p w14:paraId="54DCF973" w14:textId="60EDE383" w:rsidR="00716F51" w:rsidRPr="02493DA4" w:rsidRDefault="006722F1">
            <w:pPr>
              <w:widowControl w:val="0"/>
              <w:spacing w:before="15" w:after="15"/>
              <w:jc w:val="right"/>
              <w:rPr>
                <w:rFonts w:ascii="Times New Roman" w:hAnsi="Times New Roman" w:cs="Times New Roman"/>
                <w:noProof/>
                <w:sz w:val="16"/>
                <w:szCs w:val="16"/>
                <w:highlight w:val="yellow"/>
              </w:rPr>
            </w:pPr>
            <w:r>
              <w:rPr>
                <w:rFonts w:ascii="Times New Roman" w:hAnsi="Times New Roman"/>
                <w:noProof/>
                <w:sz w:val="16"/>
              </w:rPr>
              <w:t>0</w:t>
            </w:r>
          </w:p>
        </w:tc>
        <w:tc>
          <w:tcPr>
            <w:tcW w:w="1701" w:type="dxa"/>
          </w:tcPr>
          <w:p w14:paraId="3C5A9781" w14:textId="5E5EA5C8" w:rsidR="00716F51" w:rsidRPr="02493DA4" w:rsidRDefault="006722F1">
            <w:pPr>
              <w:widowControl w:val="0"/>
              <w:spacing w:before="15" w:after="15"/>
              <w:jc w:val="right"/>
              <w:rPr>
                <w:rFonts w:ascii="Times New Roman" w:hAnsi="Times New Roman" w:cs="Times New Roman"/>
                <w:noProof/>
                <w:sz w:val="16"/>
                <w:szCs w:val="16"/>
                <w:highlight w:val="yellow"/>
              </w:rPr>
            </w:pPr>
            <w:r>
              <w:rPr>
                <w:rFonts w:ascii="Times New Roman" w:hAnsi="Times New Roman"/>
                <w:noProof/>
                <w:sz w:val="16"/>
              </w:rPr>
              <w:t>2 200 000 000</w:t>
            </w:r>
          </w:p>
        </w:tc>
      </w:tr>
      <w:tr w:rsidR="00CE1FF0" w:rsidRPr="006A6461" w14:paraId="3E6A8E9A" w14:textId="77777777" w:rsidTr="00C06354">
        <w:trPr>
          <w:trHeight w:val="336"/>
          <w:jc w:val="center"/>
        </w:trPr>
        <w:tc>
          <w:tcPr>
            <w:tcW w:w="1276" w:type="dxa"/>
          </w:tcPr>
          <w:p w14:paraId="0CA4AF63" w14:textId="6EC11099" w:rsidR="00CE1FF0" w:rsidRPr="00051C19" w:rsidRDefault="00CE1FF0" w:rsidP="00CE1FF0">
            <w:pPr>
              <w:widowControl w:val="0"/>
              <w:spacing w:before="15" w:after="15"/>
              <w:ind w:right="-113"/>
              <w:jc w:val="both"/>
              <w:rPr>
                <w:rFonts w:ascii="Times New Roman" w:hAnsi="Times New Roman" w:cs="Times New Roman"/>
                <w:noProof/>
                <w:sz w:val="16"/>
                <w:szCs w:val="16"/>
              </w:rPr>
            </w:pPr>
            <w:r>
              <w:rPr>
                <w:rFonts w:ascii="Times New Roman" w:hAnsi="Times New Roman"/>
                <w:noProof/>
                <w:sz w:val="16"/>
              </w:rPr>
              <w:t>05 02 01</w:t>
            </w:r>
          </w:p>
        </w:tc>
        <w:tc>
          <w:tcPr>
            <w:tcW w:w="5132" w:type="dxa"/>
          </w:tcPr>
          <w:p w14:paraId="24E92715" w14:textId="63C7A7C9" w:rsidR="00CE1FF0" w:rsidRPr="00CE1FF0" w:rsidRDefault="00CE1FF0" w:rsidP="00CE1FF0">
            <w:pPr>
              <w:widowControl w:val="0"/>
              <w:tabs>
                <w:tab w:val="left" w:pos="1350"/>
              </w:tabs>
              <w:spacing w:before="15" w:after="15"/>
              <w:jc w:val="both"/>
              <w:rPr>
                <w:rFonts w:ascii="Times New Roman" w:hAnsi="Times New Roman" w:cs="Times New Roman"/>
                <w:noProof/>
                <w:sz w:val="16"/>
                <w:szCs w:val="16"/>
              </w:rPr>
            </w:pPr>
            <w:r>
              <w:rPr>
                <w:rFonts w:ascii="Times New Roman" w:hAnsi="Times New Roman"/>
                <w:noProof/>
                <w:sz w:val="16"/>
              </w:rPr>
              <w:t>FEDER — Dépenses opérationnelles</w:t>
            </w:r>
          </w:p>
        </w:tc>
        <w:tc>
          <w:tcPr>
            <w:tcW w:w="1701" w:type="dxa"/>
          </w:tcPr>
          <w:p w14:paraId="1F8D1A5C" w14:textId="0B26AA0A" w:rsidR="00CE1FF0" w:rsidRPr="002D7DC7" w:rsidRDefault="00CE1FF0" w:rsidP="00CE1FF0">
            <w:pPr>
              <w:widowControl w:val="0"/>
              <w:spacing w:before="15" w:after="15"/>
              <w:jc w:val="right"/>
              <w:rPr>
                <w:rFonts w:ascii="Times New Roman" w:hAnsi="Times New Roman" w:cs="Times New Roman"/>
                <w:noProof/>
                <w:sz w:val="16"/>
                <w:szCs w:val="16"/>
                <w:highlight w:val="yellow"/>
              </w:rPr>
            </w:pPr>
            <w:r>
              <w:rPr>
                <w:rFonts w:ascii="Times New Roman" w:hAnsi="Times New Roman"/>
                <w:noProof/>
                <w:sz w:val="16"/>
              </w:rPr>
              <w:t>0</w:t>
            </w:r>
          </w:p>
        </w:tc>
        <w:tc>
          <w:tcPr>
            <w:tcW w:w="1701" w:type="dxa"/>
          </w:tcPr>
          <w:p w14:paraId="03390B13" w14:textId="18BE1259" w:rsidR="00CE1FF0" w:rsidRPr="00CC2398" w:rsidRDefault="00CE1FF0" w:rsidP="00CE1FF0">
            <w:pPr>
              <w:widowControl w:val="0"/>
              <w:spacing w:before="15" w:after="15"/>
              <w:jc w:val="right"/>
              <w:rPr>
                <w:rFonts w:ascii="Times New Roman" w:hAnsi="Times New Roman" w:cs="Times New Roman"/>
                <w:noProof/>
                <w:sz w:val="16"/>
                <w:szCs w:val="16"/>
              </w:rPr>
            </w:pPr>
            <w:r>
              <w:rPr>
                <w:rFonts w:ascii="Times New Roman" w:hAnsi="Times New Roman"/>
                <w:noProof/>
                <w:sz w:val="16"/>
              </w:rPr>
              <w:t>3 376 800 000</w:t>
            </w:r>
          </w:p>
        </w:tc>
      </w:tr>
      <w:tr w:rsidR="00CE1FF0" w14:paraId="25172BF1" w14:textId="77777777" w:rsidTr="14984923">
        <w:trPr>
          <w:trHeight w:val="336"/>
          <w:jc w:val="center"/>
        </w:trPr>
        <w:tc>
          <w:tcPr>
            <w:tcW w:w="1276" w:type="dxa"/>
          </w:tcPr>
          <w:p w14:paraId="1B82DDFF" w14:textId="4BFB3AD2" w:rsidR="00CE1FF0" w:rsidRPr="00051C19" w:rsidRDefault="00CE1FF0" w:rsidP="00CE1FF0">
            <w:pPr>
              <w:jc w:val="both"/>
              <w:rPr>
                <w:rFonts w:ascii="Times New Roman" w:hAnsi="Times New Roman" w:cs="Times New Roman"/>
                <w:noProof/>
                <w:sz w:val="16"/>
                <w:szCs w:val="16"/>
              </w:rPr>
            </w:pPr>
            <w:r>
              <w:rPr>
                <w:rFonts w:ascii="Times New Roman" w:hAnsi="Times New Roman"/>
                <w:noProof/>
                <w:sz w:val="16"/>
              </w:rPr>
              <w:t>05 03 01</w:t>
            </w:r>
          </w:p>
        </w:tc>
        <w:tc>
          <w:tcPr>
            <w:tcW w:w="5132" w:type="dxa"/>
          </w:tcPr>
          <w:p w14:paraId="6CDA5281" w14:textId="35A372AF" w:rsidR="00CE1FF0" w:rsidRPr="00CE1FF0" w:rsidRDefault="00CE1FF0" w:rsidP="00CE1FF0">
            <w:pPr>
              <w:widowControl w:val="0"/>
              <w:tabs>
                <w:tab w:val="left" w:pos="1350"/>
              </w:tabs>
              <w:spacing w:before="15" w:after="15"/>
              <w:jc w:val="both"/>
              <w:rPr>
                <w:rFonts w:ascii="Times New Roman" w:hAnsi="Times New Roman" w:cs="Times New Roman"/>
                <w:noProof/>
                <w:sz w:val="16"/>
                <w:szCs w:val="16"/>
              </w:rPr>
            </w:pPr>
            <w:r>
              <w:rPr>
                <w:rFonts w:ascii="Times New Roman" w:hAnsi="Times New Roman"/>
                <w:noProof/>
                <w:sz w:val="16"/>
              </w:rPr>
              <w:t>Fonds de cohésion (FC) — Dépenses opérationnelles</w:t>
            </w:r>
          </w:p>
        </w:tc>
        <w:tc>
          <w:tcPr>
            <w:tcW w:w="1701" w:type="dxa"/>
          </w:tcPr>
          <w:p w14:paraId="20A84BE3" w14:textId="4250DB7D" w:rsidR="00CE1FF0" w:rsidRDefault="00CE1FF0" w:rsidP="00CE1FF0">
            <w:pPr>
              <w:jc w:val="right"/>
              <w:rPr>
                <w:rFonts w:ascii="Times New Roman" w:hAnsi="Times New Roman" w:cs="Times New Roman"/>
                <w:noProof/>
                <w:sz w:val="16"/>
                <w:szCs w:val="16"/>
                <w:highlight w:val="yellow"/>
              </w:rPr>
            </w:pPr>
            <w:r>
              <w:rPr>
                <w:rFonts w:ascii="Times New Roman" w:hAnsi="Times New Roman"/>
                <w:noProof/>
                <w:sz w:val="16"/>
              </w:rPr>
              <w:t>0</w:t>
            </w:r>
          </w:p>
        </w:tc>
        <w:tc>
          <w:tcPr>
            <w:tcW w:w="1701" w:type="dxa"/>
          </w:tcPr>
          <w:p w14:paraId="6AB9B165" w14:textId="5F872725" w:rsidR="00CE1FF0" w:rsidRPr="00CC2398" w:rsidRDefault="15F1B458" w:rsidP="00CE1FF0">
            <w:pPr>
              <w:jc w:val="right"/>
              <w:rPr>
                <w:rFonts w:ascii="Times New Roman" w:hAnsi="Times New Roman" w:cs="Times New Roman"/>
                <w:noProof/>
                <w:sz w:val="16"/>
                <w:szCs w:val="16"/>
              </w:rPr>
            </w:pPr>
            <w:r>
              <w:rPr>
                <w:rFonts w:ascii="Times New Roman" w:hAnsi="Times New Roman"/>
                <w:noProof/>
                <w:sz w:val="16"/>
              </w:rPr>
              <w:t>589 600 000</w:t>
            </w:r>
          </w:p>
        </w:tc>
      </w:tr>
      <w:tr w:rsidR="00CE1FF0" w14:paraId="1360AA4A" w14:textId="77777777" w:rsidTr="00C06354">
        <w:trPr>
          <w:trHeight w:val="271"/>
          <w:jc w:val="center"/>
        </w:trPr>
        <w:tc>
          <w:tcPr>
            <w:tcW w:w="1276" w:type="dxa"/>
          </w:tcPr>
          <w:p w14:paraId="6A4AA425" w14:textId="50BEEA62" w:rsidR="00CE1FF0" w:rsidRPr="00051C19" w:rsidRDefault="00CE1FF0" w:rsidP="00CE1FF0">
            <w:pPr>
              <w:jc w:val="both"/>
              <w:rPr>
                <w:rFonts w:ascii="Times New Roman" w:hAnsi="Times New Roman" w:cs="Times New Roman"/>
                <w:noProof/>
                <w:sz w:val="16"/>
                <w:szCs w:val="16"/>
              </w:rPr>
            </w:pPr>
            <w:r>
              <w:rPr>
                <w:rFonts w:ascii="Times New Roman" w:hAnsi="Times New Roman"/>
                <w:noProof/>
                <w:sz w:val="16"/>
              </w:rPr>
              <w:t>07 02 01</w:t>
            </w:r>
          </w:p>
        </w:tc>
        <w:tc>
          <w:tcPr>
            <w:tcW w:w="5132" w:type="dxa"/>
          </w:tcPr>
          <w:p w14:paraId="101AACFB" w14:textId="1ACA66C1" w:rsidR="00CE1FF0" w:rsidRPr="00CE1FF0" w:rsidRDefault="00CE1FF0" w:rsidP="00CE1FF0">
            <w:pPr>
              <w:widowControl w:val="0"/>
              <w:tabs>
                <w:tab w:val="left" w:pos="1350"/>
              </w:tabs>
              <w:spacing w:before="15" w:after="15"/>
              <w:jc w:val="both"/>
              <w:rPr>
                <w:rFonts w:ascii="Times New Roman" w:hAnsi="Times New Roman" w:cs="Times New Roman"/>
                <w:noProof/>
                <w:sz w:val="16"/>
                <w:szCs w:val="16"/>
              </w:rPr>
            </w:pPr>
            <w:r>
              <w:rPr>
                <w:rFonts w:ascii="Times New Roman" w:hAnsi="Times New Roman"/>
                <w:noProof/>
                <w:sz w:val="16"/>
              </w:rPr>
              <w:t>Volet de gestion partagée du FSE+ — Dépenses opérationnelles</w:t>
            </w:r>
          </w:p>
        </w:tc>
        <w:tc>
          <w:tcPr>
            <w:tcW w:w="1701" w:type="dxa"/>
          </w:tcPr>
          <w:p w14:paraId="3312B623" w14:textId="4F09F418" w:rsidR="00CE1FF0" w:rsidRPr="002D7DC7" w:rsidRDefault="00CE1FF0" w:rsidP="00CE1FF0">
            <w:pPr>
              <w:jc w:val="right"/>
              <w:rPr>
                <w:rFonts w:ascii="Times New Roman" w:hAnsi="Times New Roman" w:cs="Times New Roman"/>
                <w:noProof/>
                <w:sz w:val="16"/>
                <w:szCs w:val="16"/>
                <w:highlight w:val="yellow"/>
              </w:rPr>
            </w:pPr>
            <w:r>
              <w:rPr>
                <w:rFonts w:ascii="Times New Roman" w:hAnsi="Times New Roman"/>
                <w:noProof/>
                <w:sz w:val="16"/>
              </w:rPr>
              <w:t>0</w:t>
            </w:r>
          </w:p>
        </w:tc>
        <w:tc>
          <w:tcPr>
            <w:tcW w:w="1701" w:type="dxa"/>
          </w:tcPr>
          <w:p w14:paraId="6C891751" w14:textId="33A2DA72" w:rsidR="00CE1FF0" w:rsidRPr="00CC2398" w:rsidRDefault="00CE1FF0" w:rsidP="00CE1FF0">
            <w:pPr>
              <w:jc w:val="right"/>
              <w:rPr>
                <w:rFonts w:ascii="Times New Roman" w:hAnsi="Times New Roman" w:cs="Times New Roman"/>
                <w:noProof/>
                <w:sz w:val="16"/>
                <w:szCs w:val="16"/>
              </w:rPr>
            </w:pPr>
            <w:r>
              <w:rPr>
                <w:rFonts w:ascii="Times New Roman" w:hAnsi="Times New Roman"/>
                <w:noProof/>
                <w:sz w:val="16"/>
              </w:rPr>
              <w:t>1 393 600 000</w:t>
            </w:r>
          </w:p>
        </w:tc>
      </w:tr>
      <w:tr w:rsidR="00FF5701" w:rsidRPr="006A6461" w14:paraId="1388B2E1" w14:textId="77777777" w:rsidTr="14DD5325">
        <w:trPr>
          <w:jc w:val="center"/>
        </w:trPr>
        <w:tc>
          <w:tcPr>
            <w:tcW w:w="6408" w:type="dxa"/>
            <w:gridSpan w:val="2"/>
            <w:shd w:val="clear" w:color="auto" w:fill="D9D9D9" w:themeFill="background1" w:themeFillShade="D9"/>
          </w:tcPr>
          <w:p w14:paraId="2A3D01A5" w14:textId="77777777" w:rsidR="00FF5701" w:rsidRPr="002D7DC7" w:rsidRDefault="00FF5701">
            <w:pPr>
              <w:widowControl w:val="0"/>
              <w:spacing w:before="15" w:after="15"/>
              <w:ind w:right="-113"/>
              <w:jc w:val="both"/>
              <w:rPr>
                <w:rFonts w:ascii="Times New Roman" w:hAnsi="Times New Roman" w:cs="Times New Roman"/>
                <w:noProof/>
                <w:sz w:val="20"/>
                <w:szCs w:val="20"/>
                <w:highlight w:val="yellow"/>
              </w:rPr>
            </w:pPr>
            <w:r>
              <w:rPr>
                <w:rFonts w:ascii="Times New Roman" w:hAnsi="Times New Roman"/>
                <w:b/>
                <w:noProof/>
                <w:sz w:val="20"/>
              </w:rPr>
              <w:t>Total</w:t>
            </w:r>
            <w:r>
              <w:rPr>
                <w:rFonts w:ascii="Times New Roman" w:hAnsi="Times New Roman"/>
                <w:b/>
                <w:noProof/>
                <w:sz w:val="20"/>
              </w:rPr>
              <w:tab/>
            </w:r>
          </w:p>
        </w:tc>
        <w:tc>
          <w:tcPr>
            <w:tcW w:w="1701" w:type="dxa"/>
            <w:shd w:val="clear" w:color="auto" w:fill="D9D9D9" w:themeFill="background1" w:themeFillShade="D9"/>
          </w:tcPr>
          <w:p w14:paraId="0174D356" w14:textId="594538F8" w:rsidR="00FF5701" w:rsidRPr="006C09D7" w:rsidRDefault="22EB392C">
            <w:pPr>
              <w:widowControl w:val="0"/>
              <w:spacing w:before="15" w:after="15"/>
              <w:jc w:val="right"/>
              <w:rPr>
                <w:rFonts w:ascii="Times New Roman" w:hAnsi="Times New Roman" w:cs="Times New Roman"/>
                <w:b/>
                <w:bCs/>
                <w:noProof/>
                <w:sz w:val="20"/>
                <w:szCs w:val="20"/>
              </w:rPr>
            </w:pPr>
            <w:r>
              <w:rPr>
                <w:rFonts w:ascii="Times New Roman" w:hAnsi="Times New Roman"/>
                <w:b/>
                <w:noProof/>
                <w:sz w:val="20"/>
              </w:rPr>
              <w:t>0</w:t>
            </w:r>
          </w:p>
        </w:tc>
        <w:tc>
          <w:tcPr>
            <w:tcW w:w="1701" w:type="dxa"/>
            <w:shd w:val="clear" w:color="auto" w:fill="D9D9D9" w:themeFill="background1" w:themeFillShade="D9"/>
          </w:tcPr>
          <w:p w14:paraId="79DC4D26" w14:textId="5BD3FCE8" w:rsidR="00FF5701" w:rsidRPr="006C09D7" w:rsidRDefault="006C09D7">
            <w:pPr>
              <w:widowControl w:val="0"/>
              <w:spacing w:before="15" w:after="15"/>
              <w:jc w:val="right"/>
              <w:rPr>
                <w:rFonts w:ascii="Times New Roman" w:hAnsi="Times New Roman" w:cs="Times New Roman"/>
                <w:b/>
                <w:noProof/>
                <w:sz w:val="20"/>
                <w:szCs w:val="20"/>
              </w:rPr>
            </w:pPr>
            <w:r>
              <w:rPr>
                <w:rFonts w:ascii="Times New Roman" w:hAnsi="Times New Roman"/>
                <w:b/>
                <w:noProof/>
                <w:sz w:val="20"/>
              </w:rPr>
              <w:t>7 560 000 000</w:t>
            </w:r>
          </w:p>
        </w:tc>
      </w:tr>
    </w:tbl>
    <w:bookmarkEnd w:id="41"/>
    <w:p w14:paraId="66C2D79C" w14:textId="570E4E75" w:rsidR="006C09D7" w:rsidRDefault="00261537" w:rsidP="00C06354">
      <w:pPr>
        <w:spacing w:before="240"/>
        <w:jc w:val="both"/>
        <w:rPr>
          <w:rFonts w:ascii="Times New Roman" w:hAnsi="Times New Roman" w:cs="Times New Roman"/>
          <w:noProof/>
          <w:sz w:val="24"/>
          <w:szCs w:val="24"/>
        </w:rPr>
      </w:pPr>
      <w:r>
        <w:rPr>
          <w:rFonts w:ascii="Times New Roman" w:hAnsi="Times New Roman"/>
          <w:noProof/>
          <w:sz w:val="24"/>
        </w:rPr>
        <w:t>En parallèle, la Commission continuera d’assurer le suivi de l’exécution de l’ensemble du budget. Après l’été, elle fera le point sur les prévisions actualisées des États membres en ce qui concerne la politique de cohésion et le Feader (celles-ci devant être fournies respectivement pour la fin juillet et la fin août) et sur l’exécution budgétaire effective.  Dans le cadre de l’exercice de virement global, elle adaptera ensuite les crédits budgétaires aux besoins actualisés pour tous les programmes, ce qui pourrait nécessiter un nouveau renforcement des crédits de paiement pour 2026, notamment en faveur de la cohésion.</w:t>
      </w:r>
    </w:p>
    <w:p w14:paraId="798177DC" w14:textId="6B5751C4" w:rsidR="0089275D" w:rsidRPr="006A6461" w:rsidRDefault="0089275D" w:rsidP="005D3C5A">
      <w:pPr>
        <w:keepNext/>
        <w:tabs>
          <w:tab w:val="left" w:pos="850"/>
        </w:tabs>
        <w:spacing w:before="360" w:after="120"/>
        <w:ind w:left="850" w:hanging="850"/>
        <w:jc w:val="both"/>
        <w:outlineLvl w:val="1"/>
        <w:rPr>
          <w:rFonts w:ascii="Times New Roman" w:eastAsia="Calibri" w:hAnsi="Times New Roman" w:cs="Times New Roman"/>
          <w:b/>
          <w:noProof/>
          <w:sz w:val="24"/>
          <w:szCs w:val="24"/>
        </w:rPr>
      </w:pPr>
      <w:bookmarkStart w:id="42" w:name="_Toc232755302"/>
      <w:r>
        <w:rPr>
          <w:rFonts w:ascii="Times New Roman" w:hAnsi="Times New Roman"/>
          <w:b/>
          <w:noProof/>
          <w:sz w:val="24"/>
        </w:rPr>
        <w:t>3.2</w:t>
      </w:r>
      <w:r>
        <w:rPr>
          <w:noProof/>
        </w:rPr>
        <w:tab/>
      </w:r>
      <w:r>
        <w:rPr>
          <w:rFonts w:ascii="Times New Roman" w:hAnsi="Times New Roman"/>
          <w:b/>
          <w:noProof/>
          <w:sz w:val="24"/>
        </w:rPr>
        <w:t>Renforcements des dépenses agricoles</w:t>
      </w:r>
      <w:bookmarkEnd w:id="42"/>
      <w:r>
        <w:rPr>
          <w:rFonts w:ascii="Times New Roman" w:hAnsi="Times New Roman"/>
          <w:b/>
          <w:noProof/>
          <w:sz w:val="24"/>
        </w:rPr>
        <w:t xml:space="preserve"> </w:t>
      </w:r>
    </w:p>
    <w:p w14:paraId="1B600392" w14:textId="77777777" w:rsidR="00FB0573" w:rsidRDefault="1BDA4B8F" w:rsidP="00E84562">
      <w:pPr>
        <w:spacing w:before="120" w:after="120"/>
        <w:jc w:val="both"/>
        <w:rPr>
          <w:rFonts w:ascii="Times New Roman" w:hAnsi="Times New Roman" w:cs="Times New Roman"/>
          <w:noProof/>
          <w:sz w:val="24"/>
          <w:szCs w:val="24"/>
        </w:rPr>
      </w:pPr>
      <w:r>
        <w:rPr>
          <w:rFonts w:ascii="Times New Roman" w:hAnsi="Times New Roman"/>
          <w:noProof/>
          <w:sz w:val="24"/>
        </w:rPr>
        <w:t xml:space="preserve">Les agriculteurs sont actuellement confrontés à de graves problèmes de liquidités à la suite de la crise au Moyen-Orient, notamment en raison de l’incidence négative de celle-ci sur les coûts des intrants agricoles, à savoir l’énergie et les engrais. Il est impératif de stabiliser le secteur agricole et de garantir la sécurité alimentaire et la stabilité du marché dans l’UE en remédiant aux pénuries urgentes de liquidités chez les agriculteurs. </w:t>
      </w:r>
    </w:p>
    <w:p w14:paraId="7A5B8789" w14:textId="3ED748D8" w:rsidR="702220C8" w:rsidRDefault="00C76277" w:rsidP="00E84562">
      <w:pPr>
        <w:spacing w:before="120" w:after="120"/>
        <w:jc w:val="both"/>
        <w:rPr>
          <w:rFonts w:ascii="Times New Roman" w:hAnsi="Times New Roman" w:cs="Times New Roman"/>
          <w:noProof/>
          <w:sz w:val="24"/>
          <w:szCs w:val="24"/>
        </w:rPr>
      </w:pPr>
      <w:r>
        <w:rPr>
          <w:rFonts w:ascii="Times New Roman" w:hAnsi="Times New Roman"/>
          <w:noProof/>
          <w:sz w:val="24"/>
        </w:rPr>
        <w:t>Pour atteindre cet objectif, il est nécessaire de prévoir un soutien exceptionnel ciblé pour les agriculteurs européens les plus touchés, au moyen des instruments de crise existants dans le cadre de la politique agricole commune (PAC). Dans cette optique, la Commission a adopté, le 19 mai, un plan d’action sur les engrais</w:t>
      </w:r>
      <w:r w:rsidR="02D5D84A" w:rsidRPr="00680121">
        <w:rPr>
          <w:rStyle w:val="FootnoteReference"/>
          <w:rFonts w:eastAsia="Times New Roman"/>
          <w:noProof/>
          <w:color w:val="000000" w:themeColor="text1"/>
          <w:lang w:val="en-IE"/>
        </w:rPr>
        <w:footnoteReference w:id="13"/>
      </w:r>
      <w:r>
        <w:rPr>
          <w:rFonts w:ascii="Times New Roman" w:hAnsi="Times New Roman"/>
          <w:noProof/>
          <w:sz w:val="24"/>
        </w:rPr>
        <w:t xml:space="preserve"> qui mentionnait, parmi les actions immédiates destinées à améliorer l’accès des agriculteurs à des engrais à des prix abordables, une prochaine proposition visant à augmenter la réserve agricole afin d’apporter rapidement un soutien exceptionnel aux agriculteurs. Compte tenu du montant actuellement disponible au titre de la réserve agricole pour 2026, un renforcement de 300 millions d’EUR est demandé à partir de la marge sous le sous-plafond du FEAGA dans la rubrique 3.</w:t>
      </w:r>
    </w:p>
    <w:p w14:paraId="451EEA35" w14:textId="69512084" w:rsidR="001C353D" w:rsidRDefault="001C353D" w:rsidP="00E84562">
      <w:pPr>
        <w:spacing w:before="120" w:after="120"/>
        <w:jc w:val="both"/>
        <w:rPr>
          <w:rFonts w:ascii="Times New Roman" w:hAnsi="Times New Roman" w:cs="Times New Roman"/>
          <w:noProof/>
          <w:sz w:val="24"/>
          <w:szCs w:val="24"/>
        </w:rPr>
      </w:pPr>
      <w:r>
        <w:rPr>
          <w:rFonts w:ascii="Times New Roman" w:hAnsi="Times New Roman"/>
          <w:noProof/>
          <w:sz w:val="24"/>
        </w:rPr>
        <w:t>En outre, le budget 2026 du FEAGA comprenait, comme lors des précédents exercices, une projection du montant des recettes affectées à percevoir en 2026 réduisant les nouveaux crédits inscrits au budget pour couvrir les besoins en conséquence. Les estimations pour 2026 étaient fondées sur des données préliminaires à un stade précoce de la procédure d’apurement de conformité. Les estimations révisées, qui intègrent les décisions d’apurement effectives et les possibilités de compensation pour 2026, font à présent état d’un niveau de recettes affectées inférieur aux prévisions initiales, ce qui entraîne un déficit pour couvrir les besoins du FEAGA. Une partie de ce déficit sera comblée par des redéploiements au sein du FEAGA. Toutefois, afin d’éviter le risque d’une insuffisance des crédits et de garantir le remboursement en temps utile des dépenses du FEAGA aux États membres, un renforcement de 140 millions d’EUR est demandé à partir de la marge sous le sous-plafond du FEAGA dans la rubrique 3.</w:t>
      </w:r>
    </w:p>
    <w:p w14:paraId="273FA17B" w14:textId="60A6593D" w:rsidR="0063218C" w:rsidRPr="006A6461" w:rsidRDefault="0063218C" w:rsidP="00E84562">
      <w:pPr>
        <w:spacing w:before="120" w:after="120"/>
        <w:jc w:val="both"/>
        <w:rPr>
          <w:rFonts w:ascii="Times New Roman" w:hAnsi="Times New Roman" w:cs="Times New Roman"/>
          <w:noProof/>
          <w:sz w:val="24"/>
          <w:szCs w:val="24"/>
        </w:rPr>
      </w:pPr>
      <w:r>
        <w:rPr>
          <w:rFonts w:ascii="Times New Roman" w:hAnsi="Times New Roman"/>
          <w:noProof/>
          <w:sz w:val="24"/>
        </w:rPr>
        <w:t>L’incidence globale sur les dépenses est par conséquent la suivante:</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63218C" w:rsidRPr="006A6461" w14:paraId="60F88832" w14:textId="77777777" w:rsidTr="22C38884">
        <w:trPr>
          <w:jc w:val="center"/>
        </w:trPr>
        <w:tc>
          <w:tcPr>
            <w:tcW w:w="9810" w:type="dxa"/>
            <w:gridSpan w:val="4"/>
            <w:tcBorders>
              <w:top w:val="nil"/>
              <w:left w:val="nil"/>
              <w:bottom w:val="single" w:sz="4" w:space="0" w:color="auto"/>
              <w:right w:val="nil"/>
            </w:tcBorders>
            <w:vAlign w:val="center"/>
          </w:tcPr>
          <w:p w14:paraId="1A87A603" w14:textId="77777777" w:rsidR="0063218C" w:rsidRPr="006A6461" w:rsidRDefault="0063218C">
            <w:pPr>
              <w:widowControl w:val="0"/>
              <w:spacing w:before="15" w:after="15"/>
              <w:jc w:val="right"/>
              <w:rPr>
                <w:rFonts w:ascii="Times New Roman" w:hAnsi="Times New Roman" w:cs="Times New Roman"/>
                <w:i/>
                <w:noProof/>
                <w:sz w:val="20"/>
                <w:szCs w:val="20"/>
              </w:rPr>
            </w:pPr>
            <w:r>
              <w:rPr>
                <w:rFonts w:ascii="Times New Roman" w:hAnsi="Times New Roman"/>
                <w:i/>
                <w:noProof/>
                <w:sz w:val="20"/>
              </w:rPr>
              <w:t>(en EUR)</w:t>
            </w:r>
          </w:p>
        </w:tc>
      </w:tr>
      <w:tr w:rsidR="0063218C" w:rsidRPr="006A6461" w14:paraId="3D30D4BB" w14:textId="77777777" w:rsidTr="22C38884">
        <w:trPr>
          <w:jc w:val="center"/>
        </w:trPr>
        <w:tc>
          <w:tcPr>
            <w:tcW w:w="1276" w:type="dxa"/>
            <w:tcBorders>
              <w:top w:val="single" w:sz="4" w:space="0" w:color="auto"/>
            </w:tcBorders>
            <w:shd w:val="clear" w:color="auto" w:fill="D9D9D9" w:themeFill="background1" w:themeFillShade="D9"/>
            <w:vAlign w:val="center"/>
          </w:tcPr>
          <w:p w14:paraId="398DCE77" w14:textId="77777777" w:rsidR="0063218C" w:rsidRPr="006A6461" w:rsidRDefault="0063218C">
            <w:pPr>
              <w:keepNext/>
              <w:spacing w:before="15" w:after="15"/>
              <w:jc w:val="center"/>
              <w:rPr>
                <w:rFonts w:ascii="Times New Roman" w:hAnsi="Times New Roman" w:cs="Times New Roman"/>
                <w:b/>
                <w:noProof/>
                <w:sz w:val="20"/>
                <w:szCs w:val="20"/>
              </w:rPr>
            </w:pPr>
            <w:r>
              <w:rPr>
                <w:rFonts w:ascii="Times New Roman" w:hAnsi="Times New Roman"/>
                <w:b/>
                <w:noProof/>
                <w:sz w:val="20"/>
              </w:rPr>
              <w:t>Ligne budgétaire</w:t>
            </w:r>
          </w:p>
        </w:tc>
        <w:tc>
          <w:tcPr>
            <w:tcW w:w="5132" w:type="dxa"/>
            <w:tcBorders>
              <w:top w:val="single" w:sz="4" w:space="0" w:color="auto"/>
            </w:tcBorders>
            <w:shd w:val="clear" w:color="auto" w:fill="D9D9D9" w:themeFill="background1" w:themeFillShade="D9"/>
            <w:vAlign w:val="center"/>
          </w:tcPr>
          <w:p w14:paraId="10367F14" w14:textId="77777777" w:rsidR="0063218C" w:rsidRPr="006A6461" w:rsidRDefault="0063218C">
            <w:pPr>
              <w:widowControl w:val="0"/>
              <w:spacing w:before="15" w:after="15"/>
              <w:jc w:val="center"/>
              <w:rPr>
                <w:rFonts w:ascii="Times New Roman" w:hAnsi="Times New Roman" w:cs="Times New Roman"/>
                <w:b/>
                <w:noProof/>
                <w:sz w:val="20"/>
                <w:szCs w:val="20"/>
              </w:rPr>
            </w:pPr>
            <w:r>
              <w:rPr>
                <w:rFonts w:ascii="Times New Roman" w:hAnsi="Times New Roman"/>
                <w:b/>
                <w:noProof/>
                <w:sz w:val="20"/>
              </w:rPr>
              <w:t>Intitulé</w:t>
            </w:r>
          </w:p>
        </w:tc>
        <w:tc>
          <w:tcPr>
            <w:tcW w:w="1701" w:type="dxa"/>
            <w:tcBorders>
              <w:top w:val="single" w:sz="4" w:space="0" w:color="auto"/>
            </w:tcBorders>
            <w:shd w:val="clear" w:color="auto" w:fill="D9D9D9" w:themeFill="background1" w:themeFillShade="D9"/>
            <w:vAlign w:val="center"/>
          </w:tcPr>
          <w:p w14:paraId="15B5DF8F" w14:textId="77777777" w:rsidR="0063218C" w:rsidRPr="006A6461" w:rsidRDefault="0063218C">
            <w:pPr>
              <w:widowControl w:val="0"/>
              <w:spacing w:before="15" w:after="15"/>
              <w:jc w:val="center"/>
              <w:rPr>
                <w:rFonts w:ascii="Times New Roman" w:hAnsi="Times New Roman" w:cs="Times New Roman"/>
                <w:b/>
                <w:noProof/>
                <w:sz w:val="20"/>
                <w:szCs w:val="20"/>
              </w:rPr>
            </w:pPr>
            <w:r>
              <w:rPr>
                <w:rFonts w:ascii="Times New Roman" w:hAnsi="Times New Roman"/>
                <w:b/>
                <w:noProof/>
                <w:sz w:val="20"/>
              </w:rPr>
              <w:t>Crédits d’engagement</w:t>
            </w:r>
          </w:p>
        </w:tc>
        <w:tc>
          <w:tcPr>
            <w:tcW w:w="1701" w:type="dxa"/>
            <w:tcBorders>
              <w:top w:val="single" w:sz="4" w:space="0" w:color="auto"/>
            </w:tcBorders>
            <w:shd w:val="clear" w:color="auto" w:fill="D9D9D9" w:themeFill="background1" w:themeFillShade="D9"/>
            <w:vAlign w:val="center"/>
          </w:tcPr>
          <w:p w14:paraId="7D4E3AC0" w14:textId="5FB2A0B4" w:rsidR="0063218C" w:rsidRPr="006A6461" w:rsidRDefault="28295982" w:rsidP="636D7CA7">
            <w:pPr>
              <w:widowControl w:val="0"/>
              <w:spacing w:before="15" w:after="15"/>
              <w:jc w:val="center"/>
              <w:rPr>
                <w:rFonts w:ascii="Times New Roman" w:hAnsi="Times New Roman" w:cs="Times New Roman"/>
                <w:b/>
                <w:bCs/>
                <w:noProof/>
                <w:sz w:val="20"/>
                <w:szCs w:val="20"/>
              </w:rPr>
            </w:pPr>
            <w:r>
              <w:rPr>
                <w:rFonts w:ascii="Times New Roman" w:hAnsi="Times New Roman"/>
                <w:b/>
                <w:noProof/>
                <w:sz w:val="20"/>
              </w:rPr>
              <w:t>Crédits de paiement</w:t>
            </w:r>
          </w:p>
        </w:tc>
      </w:tr>
      <w:tr w:rsidR="0063218C" w:rsidRPr="006A6461" w14:paraId="4DD57627" w14:textId="77777777" w:rsidTr="00F34834">
        <w:trPr>
          <w:trHeight w:val="315"/>
          <w:jc w:val="center"/>
        </w:trPr>
        <w:tc>
          <w:tcPr>
            <w:tcW w:w="981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5DE2E0" w14:textId="77777777" w:rsidR="0063218C" w:rsidRPr="006A6461" w:rsidRDefault="0063218C">
            <w:pPr>
              <w:widowControl w:val="0"/>
              <w:spacing w:before="15" w:after="15"/>
              <w:rPr>
                <w:rFonts w:ascii="Times New Roman" w:hAnsi="Times New Roman" w:cs="Times New Roman"/>
                <w:i/>
                <w:noProof/>
                <w:sz w:val="20"/>
                <w:szCs w:val="20"/>
              </w:rPr>
            </w:pPr>
            <w:r>
              <w:rPr>
                <w:rFonts w:ascii="Times New Roman" w:hAnsi="Times New Roman"/>
                <w:i/>
                <w:noProof/>
                <w:sz w:val="20"/>
              </w:rPr>
              <w:t>Section III — Commission</w:t>
            </w:r>
          </w:p>
        </w:tc>
      </w:tr>
      <w:tr w:rsidR="00B0742B" w:rsidRPr="006A6461" w14:paraId="5D23BEAA" w14:textId="77777777" w:rsidTr="22C38884">
        <w:trPr>
          <w:jc w:val="center"/>
        </w:trPr>
        <w:tc>
          <w:tcPr>
            <w:tcW w:w="1276" w:type="dxa"/>
          </w:tcPr>
          <w:p w14:paraId="176F0E91" w14:textId="03C4DE10" w:rsidR="00B0742B" w:rsidRPr="006A6461" w:rsidRDefault="1138AE2F">
            <w:pPr>
              <w:widowControl w:val="0"/>
              <w:spacing w:before="15" w:after="15"/>
              <w:ind w:right="-113"/>
              <w:jc w:val="both"/>
              <w:rPr>
                <w:rFonts w:ascii="Times New Roman" w:hAnsi="Times New Roman" w:cs="Times New Roman"/>
                <w:noProof/>
                <w:sz w:val="16"/>
                <w:szCs w:val="16"/>
              </w:rPr>
            </w:pPr>
            <w:r>
              <w:rPr>
                <w:rFonts w:ascii="Times New Roman" w:hAnsi="Times New Roman"/>
                <w:noProof/>
                <w:sz w:val="16"/>
              </w:rPr>
              <w:t>08 02 01</w:t>
            </w:r>
          </w:p>
        </w:tc>
        <w:tc>
          <w:tcPr>
            <w:tcW w:w="5132" w:type="dxa"/>
          </w:tcPr>
          <w:p w14:paraId="1A8E8C65" w14:textId="102B39AE" w:rsidR="00B0742B" w:rsidRPr="005C67FB" w:rsidRDefault="1138AE2F">
            <w:pPr>
              <w:widowControl w:val="0"/>
              <w:tabs>
                <w:tab w:val="left" w:pos="1350"/>
              </w:tabs>
              <w:spacing w:before="15" w:after="15"/>
              <w:jc w:val="both"/>
              <w:rPr>
                <w:rFonts w:ascii="Times New Roman" w:hAnsi="Times New Roman" w:cs="Times New Roman"/>
                <w:noProof/>
                <w:sz w:val="16"/>
                <w:szCs w:val="16"/>
              </w:rPr>
            </w:pPr>
            <w:r>
              <w:rPr>
                <w:rFonts w:ascii="Times New Roman" w:hAnsi="Times New Roman"/>
                <w:noProof/>
                <w:sz w:val="16"/>
              </w:rPr>
              <w:t>Réserve agricole</w:t>
            </w:r>
          </w:p>
        </w:tc>
        <w:tc>
          <w:tcPr>
            <w:tcW w:w="1701" w:type="dxa"/>
          </w:tcPr>
          <w:p w14:paraId="69ACCF9D" w14:textId="385A2EF0" w:rsidR="00B0742B" w:rsidRPr="006A6461" w:rsidRDefault="18C57899">
            <w:pPr>
              <w:widowControl w:val="0"/>
              <w:spacing w:before="15" w:after="15"/>
              <w:jc w:val="right"/>
              <w:rPr>
                <w:rFonts w:ascii="Times New Roman" w:hAnsi="Times New Roman" w:cs="Times New Roman"/>
                <w:noProof/>
                <w:sz w:val="16"/>
                <w:szCs w:val="16"/>
              </w:rPr>
            </w:pPr>
            <w:r>
              <w:rPr>
                <w:rFonts w:ascii="Times New Roman" w:hAnsi="Times New Roman"/>
                <w:noProof/>
                <w:sz w:val="16"/>
              </w:rPr>
              <w:t>300 000 000</w:t>
            </w:r>
          </w:p>
        </w:tc>
        <w:tc>
          <w:tcPr>
            <w:tcW w:w="1701" w:type="dxa"/>
          </w:tcPr>
          <w:p w14:paraId="25A59A78" w14:textId="45048606" w:rsidR="00B0742B" w:rsidRPr="006A6461" w:rsidRDefault="73456F0A" w:rsidP="636D7CA7">
            <w:pPr>
              <w:widowControl w:val="0"/>
              <w:spacing w:before="15" w:after="15"/>
              <w:jc w:val="right"/>
              <w:rPr>
                <w:rFonts w:ascii="Times New Roman" w:hAnsi="Times New Roman" w:cs="Times New Roman"/>
                <w:noProof/>
                <w:sz w:val="16"/>
                <w:szCs w:val="16"/>
              </w:rPr>
            </w:pPr>
            <w:r>
              <w:rPr>
                <w:rFonts w:ascii="Times New Roman" w:hAnsi="Times New Roman"/>
                <w:noProof/>
                <w:sz w:val="16"/>
              </w:rPr>
              <w:t>300 000 000</w:t>
            </w:r>
          </w:p>
        </w:tc>
      </w:tr>
      <w:tr w:rsidR="001C353D" w:rsidRPr="006A6461" w14:paraId="7B0A98B2" w14:textId="77777777" w:rsidTr="22C38884">
        <w:trPr>
          <w:jc w:val="center"/>
        </w:trPr>
        <w:tc>
          <w:tcPr>
            <w:tcW w:w="1276" w:type="dxa"/>
          </w:tcPr>
          <w:p w14:paraId="02D4830C" w14:textId="6EE38D46" w:rsidR="001C353D" w:rsidRPr="50F81335" w:rsidRDefault="001C353D" w:rsidP="001C353D">
            <w:pPr>
              <w:widowControl w:val="0"/>
              <w:spacing w:before="15" w:after="15"/>
              <w:ind w:right="-113"/>
              <w:jc w:val="both"/>
              <w:rPr>
                <w:rFonts w:ascii="Times New Roman" w:hAnsi="Times New Roman" w:cs="Times New Roman"/>
                <w:noProof/>
                <w:sz w:val="16"/>
                <w:szCs w:val="16"/>
              </w:rPr>
            </w:pPr>
            <w:r>
              <w:rPr>
                <w:rFonts w:ascii="Times New Roman" w:hAnsi="Times New Roman"/>
                <w:noProof/>
                <w:sz w:val="16"/>
              </w:rPr>
              <w:t>08 02 04 01</w:t>
            </w:r>
          </w:p>
        </w:tc>
        <w:tc>
          <w:tcPr>
            <w:tcW w:w="5132" w:type="dxa"/>
          </w:tcPr>
          <w:p w14:paraId="2DB42393" w14:textId="2AAF9B5C" w:rsidR="001C353D" w:rsidRPr="26388B04" w:rsidRDefault="001C353D" w:rsidP="001C353D">
            <w:pPr>
              <w:widowControl w:val="0"/>
              <w:tabs>
                <w:tab w:val="left" w:pos="1350"/>
              </w:tabs>
              <w:spacing w:before="15" w:after="15"/>
              <w:jc w:val="both"/>
              <w:rPr>
                <w:rFonts w:ascii="Times New Roman" w:hAnsi="Times New Roman" w:cs="Times New Roman"/>
                <w:noProof/>
                <w:sz w:val="16"/>
                <w:szCs w:val="16"/>
              </w:rPr>
            </w:pPr>
            <w:r>
              <w:rPr>
                <w:rFonts w:ascii="Times New Roman" w:hAnsi="Times New Roman"/>
                <w:noProof/>
                <w:sz w:val="16"/>
              </w:rPr>
              <w:t>Aide de base au revenu pour un développement durable</w:t>
            </w:r>
          </w:p>
        </w:tc>
        <w:tc>
          <w:tcPr>
            <w:tcW w:w="1701" w:type="dxa"/>
          </w:tcPr>
          <w:p w14:paraId="72C58B6E" w14:textId="2DE7E5AD" w:rsidR="001C353D" w:rsidRPr="5E70BEFF" w:rsidRDefault="001C353D" w:rsidP="001C353D">
            <w:pPr>
              <w:widowControl w:val="0"/>
              <w:spacing w:before="15" w:after="15"/>
              <w:jc w:val="right"/>
              <w:rPr>
                <w:rFonts w:ascii="Times New Roman" w:hAnsi="Times New Roman" w:cs="Times New Roman"/>
                <w:noProof/>
                <w:sz w:val="16"/>
                <w:szCs w:val="16"/>
              </w:rPr>
            </w:pPr>
            <w:r>
              <w:rPr>
                <w:rFonts w:ascii="Times New Roman" w:hAnsi="Times New Roman"/>
                <w:noProof/>
                <w:sz w:val="16"/>
              </w:rPr>
              <w:t>140 000 000</w:t>
            </w:r>
          </w:p>
        </w:tc>
        <w:tc>
          <w:tcPr>
            <w:tcW w:w="1701" w:type="dxa"/>
          </w:tcPr>
          <w:p w14:paraId="1F82E151" w14:textId="3462DBBD" w:rsidR="001C353D" w:rsidRPr="03D49D6B" w:rsidRDefault="001C353D" w:rsidP="001C353D">
            <w:pPr>
              <w:widowControl w:val="0"/>
              <w:spacing w:before="15" w:after="15"/>
              <w:jc w:val="right"/>
              <w:rPr>
                <w:rFonts w:ascii="Times New Roman" w:hAnsi="Times New Roman" w:cs="Times New Roman"/>
                <w:noProof/>
                <w:sz w:val="16"/>
                <w:szCs w:val="16"/>
              </w:rPr>
            </w:pPr>
            <w:r>
              <w:rPr>
                <w:rFonts w:ascii="Times New Roman" w:hAnsi="Times New Roman"/>
                <w:noProof/>
                <w:sz w:val="16"/>
              </w:rPr>
              <w:t>140 000 000</w:t>
            </w:r>
          </w:p>
        </w:tc>
      </w:tr>
      <w:tr w:rsidR="001C353D" w:rsidRPr="006A6461" w14:paraId="1D932475" w14:textId="77777777" w:rsidTr="22C38884">
        <w:trPr>
          <w:jc w:val="center"/>
        </w:trPr>
        <w:tc>
          <w:tcPr>
            <w:tcW w:w="6408" w:type="dxa"/>
            <w:gridSpan w:val="2"/>
            <w:shd w:val="clear" w:color="auto" w:fill="D9D9D9" w:themeFill="background1" w:themeFillShade="D9"/>
          </w:tcPr>
          <w:p w14:paraId="62388ECB" w14:textId="77777777" w:rsidR="001C353D" w:rsidRPr="006A6461" w:rsidRDefault="001C353D" w:rsidP="001C353D">
            <w:pPr>
              <w:widowControl w:val="0"/>
              <w:spacing w:before="15" w:after="15"/>
              <w:ind w:right="-113"/>
              <w:jc w:val="both"/>
              <w:rPr>
                <w:rFonts w:ascii="Times New Roman" w:hAnsi="Times New Roman" w:cs="Times New Roman"/>
                <w:noProof/>
                <w:sz w:val="20"/>
                <w:szCs w:val="20"/>
              </w:rPr>
            </w:pPr>
            <w:r>
              <w:rPr>
                <w:rFonts w:ascii="Times New Roman" w:hAnsi="Times New Roman"/>
                <w:b/>
                <w:noProof/>
                <w:sz w:val="20"/>
              </w:rPr>
              <w:t>Total</w:t>
            </w:r>
            <w:r>
              <w:rPr>
                <w:rFonts w:ascii="Times New Roman" w:hAnsi="Times New Roman"/>
                <w:b/>
                <w:noProof/>
                <w:sz w:val="20"/>
              </w:rPr>
              <w:tab/>
            </w:r>
          </w:p>
        </w:tc>
        <w:tc>
          <w:tcPr>
            <w:tcW w:w="1701" w:type="dxa"/>
            <w:shd w:val="clear" w:color="auto" w:fill="D9D9D9" w:themeFill="background1" w:themeFillShade="D9"/>
          </w:tcPr>
          <w:p w14:paraId="2ECAEF98" w14:textId="1CA9031B" w:rsidR="001C353D" w:rsidRPr="006A6461" w:rsidRDefault="001C353D" w:rsidP="001C353D">
            <w:pPr>
              <w:widowControl w:val="0"/>
              <w:spacing w:before="15" w:after="15"/>
              <w:jc w:val="right"/>
              <w:rPr>
                <w:rFonts w:ascii="Times New Roman" w:hAnsi="Times New Roman" w:cs="Times New Roman"/>
                <w:b/>
                <w:bCs/>
                <w:noProof/>
                <w:sz w:val="20"/>
                <w:szCs w:val="20"/>
              </w:rPr>
            </w:pPr>
            <w:r>
              <w:rPr>
                <w:rFonts w:ascii="Times New Roman" w:hAnsi="Times New Roman"/>
                <w:b/>
                <w:noProof/>
                <w:sz w:val="20"/>
              </w:rPr>
              <w:t>440 000 000</w:t>
            </w:r>
          </w:p>
        </w:tc>
        <w:tc>
          <w:tcPr>
            <w:tcW w:w="1701" w:type="dxa"/>
            <w:shd w:val="clear" w:color="auto" w:fill="D9D9D9" w:themeFill="background1" w:themeFillShade="D9"/>
          </w:tcPr>
          <w:p w14:paraId="3A5658A2" w14:textId="50CE52BB" w:rsidR="001C353D" w:rsidRPr="006A6461" w:rsidRDefault="001C353D" w:rsidP="001C353D">
            <w:pPr>
              <w:widowControl w:val="0"/>
              <w:spacing w:before="15" w:after="15"/>
              <w:jc w:val="right"/>
              <w:rPr>
                <w:rFonts w:ascii="Times New Roman" w:hAnsi="Times New Roman" w:cs="Times New Roman"/>
                <w:b/>
                <w:bCs/>
                <w:noProof/>
                <w:sz w:val="20"/>
                <w:szCs w:val="20"/>
              </w:rPr>
            </w:pPr>
            <w:r>
              <w:rPr>
                <w:rFonts w:ascii="Times New Roman" w:hAnsi="Times New Roman"/>
                <w:b/>
                <w:noProof/>
                <w:sz w:val="20"/>
              </w:rPr>
              <w:t>440 000 000</w:t>
            </w:r>
          </w:p>
        </w:tc>
      </w:tr>
    </w:tbl>
    <w:p w14:paraId="61B63C17" w14:textId="3E94CF1C" w:rsidR="00A65750" w:rsidRDefault="00A65750" w:rsidP="00A65750">
      <w:pPr>
        <w:keepNext/>
        <w:tabs>
          <w:tab w:val="left" w:pos="850"/>
        </w:tabs>
        <w:spacing w:before="360" w:after="120"/>
        <w:ind w:left="850" w:hanging="850"/>
        <w:jc w:val="both"/>
        <w:outlineLvl w:val="1"/>
        <w:rPr>
          <w:rFonts w:ascii="Times New Roman" w:eastAsia="Calibri" w:hAnsi="Times New Roman" w:cs="Times New Roman"/>
          <w:b/>
          <w:noProof/>
          <w:sz w:val="24"/>
          <w:szCs w:val="24"/>
        </w:rPr>
      </w:pPr>
      <w:bookmarkStart w:id="43" w:name="_Toc232755303"/>
      <w:bookmarkStart w:id="44" w:name="_Toc84231370"/>
      <w:r>
        <w:rPr>
          <w:rFonts w:ascii="Times New Roman" w:hAnsi="Times New Roman"/>
          <w:b/>
          <w:noProof/>
          <w:sz w:val="24"/>
        </w:rPr>
        <w:t>3.3</w:t>
      </w:r>
      <w:r>
        <w:rPr>
          <w:rFonts w:ascii="Times New Roman" w:hAnsi="Times New Roman"/>
          <w:b/>
          <w:noProof/>
          <w:sz w:val="24"/>
        </w:rPr>
        <w:tab/>
        <w:t>Emplois supplémentaires au tableau des effectifs et crédits destinés au prêt de soutien à l’Ukraine</w:t>
      </w:r>
      <w:bookmarkEnd w:id="43"/>
      <w:r>
        <w:rPr>
          <w:rFonts w:ascii="Times New Roman" w:hAnsi="Times New Roman"/>
          <w:b/>
          <w:noProof/>
          <w:sz w:val="24"/>
        </w:rPr>
        <w:t xml:space="preserve"> </w:t>
      </w:r>
    </w:p>
    <w:p w14:paraId="3A81D3CE" w14:textId="2CA72F2C" w:rsidR="772CF781" w:rsidRDefault="772CF781" w:rsidP="23025DFA">
      <w:p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 14 janvier 2026, la Commission a présenté sa proposition</w:t>
      </w:r>
      <w:r w:rsidR="008C25D8">
        <w:rPr>
          <w:rStyle w:val="FootnoteReference"/>
          <w:rFonts w:ascii="Times New Roman" w:eastAsia="Times New Roman" w:hAnsi="Times New Roman" w:cs="Times New Roman"/>
          <w:noProof/>
          <w:color w:val="000000" w:themeColor="text1"/>
          <w:sz w:val="24"/>
          <w:szCs w:val="24"/>
          <w:lang w:val="en-IE"/>
        </w:rPr>
        <w:footnoteReference w:id="14"/>
      </w:r>
      <w:r>
        <w:rPr>
          <w:rFonts w:ascii="Times New Roman" w:hAnsi="Times New Roman"/>
          <w:noProof/>
          <w:color w:val="000000" w:themeColor="text1"/>
          <w:sz w:val="24"/>
        </w:rPr>
        <w:t xml:space="preserve"> de règlement établissant le prêt de soutien à l’Ukraine, qui a été adoptée par le Parlement européen et le Conseil le 24 février 2026</w:t>
      </w:r>
      <w:r w:rsidR="002D78A8">
        <w:rPr>
          <w:rStyle w:val="FootnoteReference"/>
          <w:rFonts w:ascii="Times New Roman" w:eastAsia="Times New Roman" w:hAnsi="Times New Roman" w:cs="Times New Roman"/>
          <w:noProof/>
          <w:color w:val="000000" w:themeColor="text1"/>
          <w:sz w:val="24"/>
          <w:szCs w:val="24"/>
          <w:lang w:val="en-IE"/>
        </w:rPr>
        <w:footnoteReference w:id="15"/>
      </w:r>
      <w:r>
        <w:rPr>
          <w:rFonts w:ascii="Times New Roman" w:hAnsi="Times New Roman"/>
          <w:noProof/>
          <w:color w:val="000000" w:themeColor="text1"/>
          <w:sz w:val="24"/>
        </w:rPr>
        <w:t xml:space="preserve">. Le prêt de soutien à l’Ukraine, établi dans le cadre d’une coopération renforcée, donne lieu à un nouveau type de gestion financière, budgétaire et juridique. Conjugué au volume et à la nature des crédits à gérer, cela nécessite une expertise supplémentaire au sein des directions générales qui participent à sa mise en place et à sa mise en œuvre. </w:t>
      </w:r>
    </w:p>
    <w:p w14:paraId="0E6802DC" w14:textId="2DF4BA36" w:rsidR="772CF781" w:rsidRDefault="772CF781" w:rsidP="00F34834">
      <w:pPr>
        <w:spacing w:after="120" w:line="279"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Dans le cadre financier pluriannuel (CFP) actuel, la Commission fonctionne selon le principe de la stabilité des effectifs. Cependant, pour répondre à de nouvelles priorités, la Commission s’est vu confier plusieurs nouvelles tâches, ce qui a donné lieu à un important déficit dans ses capacités. Malgré les efforts constants déployés pour trouver des synergies et des gains d’efficacité, la capacité à absorber de nouvelles tâches moyennant une stabilité des effectifs a atteint ses limites. Par conséquent, la mise en œuvre de cette proposition nécessite un total de 53 emplois inscrits au tableau des effectifs, dont 41 emplois au-delà des effectifs stables. Cela est conforme à la fiche financière et numérique législative jointe à la proposition de la Commission, qui a été adoptée par le Parlement européen et le Conseil. </w:t>
      </w:r>
    </w:p>
    <w:p w14:paraId="35D5AE49" w14:textId="176ACA25" w:rsidR="000E20AA" w:rsidRDefault="000E20AA" w:rsidP="000E20AA">
      <w:pPr>
        <w:spacing w:after="120" w:line="279"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Ces ressources supplémentaires permettront une mise en place et une gestion appropriées du nouvel instrument. Certains nouveaux emplois seront situés au sein de la délégation de l’UE en Ukraine, afin de superviser la mise en œuvre du nouvel instrument sur le terrain. Un montant global de 3,2 millions d’EUR en crédits d’engagement et de paiement est demandé dans la rubrique 7 (Administration publique européenne) pour couvrir le financement des traitements, des indemnités et des allocations de ce personnel supplémentaire, ainsi que les coûts non salariaux connexes pour 2026, sur la base d’une présence moyenne de six mois en 2026.</w:t>
      </w:r>
    </w:p>
    <w:p w14:paraId="748C529A" w14:textId="76D999DF" w:rsidR="004F720D" w:rsidRDefault="000E20AA" w:rsidP="00F34834">
      <w:pPr>
        <w:spacing w:after="120" w:line="279"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Parallèlement à l’augmentation des postes inscrits au tableau des effectifs, des dépenses d’appui supplémentaires sont également nécessaires pour gérer les opérations d’emprunt liées au prêt de soutien à l’Ukraine. </w:t>
      </w:r>
      <w:r>
        <w:rPr>
          <w:rFonts w:ascii="Times New Roman" w:hAnsi="Times New Roman"/>
          <w:noProof/>
          <w:sz w:val="24"/>
        </w:rPr>
        <w:t>L’emprunt pour le prêt sera couvert dans le cadre de l’approche unifiée de l’UE en matière de financement, au titre de laquelle la Commission émet des obligations de l’UE et affecte le produit à une réserve de financement centrale, à partir de laquelle le prêt de soutien à l’Ukraine sera financé. Un montant total de 1 million d’EUR en crédits d’engagement et de paiement est donc également demandé dans la rubrique 2 b afin de permettre un niveau accru d’emprunts pour lever les fonds nécessaires.</w:t>
      </w:r>
    </w:p>
    <w:p w14:paraId="1124E835" w14:textId="77777777" w:rsidR="00647387" w:rsidRPr="006A6461" w:rsidRDefault="00647387" w:rsidP="00647387">
      <w:pPr>
        <w:spacing w:after="0"/>
        <w:jc w:val="both"/>
        <w:rPr>
          <w:rFonts w:ascii="Times New Roman" w:hAnsi="Times New Roman" w:cs="Times New Roman"/>
          <w:noProof/>
          <w:sz w:val="24"/>
          <w:szCs w:val="24"/>
        </w:rPr>
      </w:pPr>
      <w:r>
        <w:rPr>
          <w:rFonts w:ascii="Times New Roman" w:hAnsi="Times New Roman"/>
          <w:noProof/>
          <w:sz w:val="24"/>
        </w:rPr>
        <w:t>L’incidence globale sur les dépenses est par conséquent la suivante:</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647387" w:rsidRPr="006A6461" w14:paraId="50D221A1" w14:textId="77777777" w:rsidTr="53409780">
        <w:trPr>
          <w:jc w:val="center"/>
        </w:trPr>
        <w:tc>
          <w:tcPr>
            <w:tcW w:w="9810" w:type="dxa"/>
            <w:gridSpan w:val="4"/>
            <w:tcBorders>
              <w:top w:val="nil"/>
              <w:left w:val="nil"/>
              <w:bottom w:val="single" w:sz="4" w:space="0" w:color="auto"/>
              <w:right w:val="nil"/>
            </w:tcBorders>
            <w:vAlign w:val="center"/>
          </w:tcPr>
          <w:p w14:paraId="4FECF725" w14:textId="77777777" w:rsidR="00647387" w:rsidRPr="006A6461" w:rsidRDefault="00647387">
            <w:pPr>
              <w:widowControl w:val="0"/>
              <w:spacing w:before="15" w:after="15"/>
              <w:jc w:val="right"/>
              <w:rPr>
                <w:rFonts w:ascii="Times New Roman" w:hAnsi="Times New Roman" w:cs="Times New Roman"/>
                <w:i/>
                <w:noProof/>
                <w:sz w:val="20"/>
                <w:szCs w:val="20"/>
              </w:rPr>
            </w:pPr>
            <w:r>
              <w:rPr>
                <w:rFonts w:ascii="Times New Roman" w:hAnsi="Times New Roman"/>
                <w:i/>
                <w:noProof/>
                <w:sz w:val="20"/>
              </w:rPr>
              <w:t>(en EUR)</w:t>
            </w:r>
          </w:p>
        </w:tc>
      </w:tr>
      <w:tr w:rsidR="00647387" w:rsidRPr="006A6461" w14:paraId="4FB96BFA" w14:textId="77777777" w:rsidTr="53409780">
        <w:trPr>
          <w:jc w:val="center"/>
        </w:trPr>
        <w:tc>
          <w:tcPr>
            <w:tcW w:w="1276" w:type="dxa"/>
            <w:tcBorders>
              <w:top w:val="single" w:sz="4" w:space="0" w:color="auto"/>
            </w:tcBorders>
            <w:shd w:val="clear" w:color="auto" w:fill="D9D9D9" w:themeFill="background1" w:themeFillShade="D9"/>
            <w:vAlign w:val="center"/>
          </w:tcPr>
          <w:p w14:paraId="2860F981" w14:textId="77777777" w:rsidR="00647387" w:rsidRPr="006A6461" w:rsidRDefault="00647387">
            <w:pPr>
              <w:keepNext/>
              <w:spacing w:before="15" w:after="15"/>
              <w:jc w:val="center"/>
              <w:rPr>
                <w:rFonts w:ascii="Times New Roman" w:hAnsi="Times New Roman" w:cs="Times New Roman"/>
                <w:b/>
                <w:noProof/>
                <w:sz w:val="20"/>
                <w:szCs w:val="20"/>
              </w:rPr>
            </w:pPr>
            <w:r>
              <w:rPr>
                <w:rFonts w:ascii="Times New Roman" w:hAnsi="Times New Roman"/>
                <w:b/>
                <w:noProof/>
                <w:sz w:val="20"/>
              </w:rPr>
              <w:t>Ligne budgétaire</w:t>
            </w:r>
          </w:p>
        </w:tc>
        <w:tc>
          <w:tcPr>
            <w:tcW w:w="5132" w:type="dxa"/>
            <w:tcBorders>
              <w:top w:val="single" w:sz="4" w:space="0" w:color="auto"/>
            </w:tcBorders>
            <w:shd w:val="clear" w:color="auto" w:fill="D9D9D9" w:themeFill="background1" w:themeFillShade="D9"/>
            <w:vAlign w:val="center"/>
          </w:tcPr>
          <w:p w14:paraId="2B507F70" w14:textId="77777777" w:rsidR="00647387" w:rsidRPr="006A6461" w:rsidRDefault="00647387">
            <w:pPr>
              <w:widowControl w:val="0"/>
              <w:spacing w:before="15" w:after="15"/>
              <w:jc w:val="center"/>
              <w:rPr>
                <w:rFonts w:ascii="Times New Roman" w:hAnsi="Times New Roman" w:cs="Times New Roman"/>
                <w:b/>
                <w:noProof/>
                <w:sz w:val="20"/>
                <w:szCs w:val="20"/>
              </w:rPr>
            </w:pPr>
            <w:r>
              <w:rPr>
                <w:rFonts w:ascii="Times New Roman" w:hAnsi="Times New Roman"/>
                <w:b/>
                <w:noProof/>
                <w:sz w:val="20"/>
              </w:rPr>
              <w:t>Intitulé</w:t>
            </w:r>
          </w:p>
        </w:tc>
        <w:tc>
          <w:tcPr>
            <w:tcW w:w="1701" w:type="dxa"/>
            <w:tcBorders>
              <w:top w:val="single" w:sz="4" w:space="0" w:color="auto"/>
            </w:tcBorders>
            <w:shd w:val="clear" w:color="auto" w:fill="D9D9D9" w:themeFill="background1" w:themeFillShade="D9"/>
            <w:vAlign w:val="center"/>
          </w:tcPr>
          <w:p w14:paraId="4A35C0A8" w14:textId="77777777" w:rsidR="00647387" w:rsidRPr="006A6461" w:rsidRDefault="00647387">
            <w:pPr>
              <w:widowControl w:val="0"/>
              <w:spacing w:before="15" w:after="15"/>
              <w:jc w:val="center"/>
              <w:rPr>
                <w:rFonts w:ascii="Times New Roman" w:hAnsi="Times New Roman" w:cs="Times New Roman"/>
                <w:b/>
                <w:noProof/>
                <w:sz w:val="20"/>
                <w:szCs w:val="20"/>
              </w:rPr>
            </w:pPr>
            <w:r>
              <w:rPr>
                <w:rFonts w:ascii="Times New Roman" w:hAnsi="Times New Roman"/>
                <w:b/>
                <w:noProof/>
                <w:sz w:val="20"/>
              </w:rPr>
              <w:t>Crédits d’engagement</w:t>
            </w:r>
          </w:p>
        </w:tc>
        <w:tc>
          <w:tcPr>
            <w:tcW w:w="1701" w:type="dxa"/>
            <w:tcBorders>
              <w:top w:val="single" w:sz="4" w:space="0" w:color="auto"/>
            </w:tcBorders>
            <w:shd w:val="clear" w:color="auto" w:fill="D9D9D9" w:themeFill="background1" w:themeFillShade="D9"/>
            <w:vAlign w:val="center"/>
          </w:tcPr>
          <w:p w14:paraId="0B2CC620" w14:textId="77777777" w:rsidR="00647387" w:rsidRPr="006A6461" w:rsidRDefault="00647387">
            <w:pPr>
              <w:widowControl w:val="0"/>
              <w:spacing w:before="15" w:after="15"/>
              <w:jc w:val="center"/>
              <w:rPr>
                <w:rFonts w:ascii="Times New Roman" w:hAnsi="Times New Roman" w:cs="Times New Roman"/>
                <w:b/>
                <w:bCs/>
                <w:noProof/>
                <w:sz w:val="20"/>
                <w:szCs w:val="20"/>
              </w:rPr>
            </w:pPr>
            <w:r>
              <w:rPr>
                <w:rFonts w:ascii="Times New Roman" w:hAnsi="Times New Roman"/>
                <w:b/>
                <w:noProof/>
                <w:sz w:val="20"/>
              </w:rPr>
              <w:t>Crédits de paiement</w:t>
            </w:r>
          </w:p>
        </w:tc>
      </w:tr>
      <w:tr w:rsidR="00647387" w:rsidRPr="006A6461" w14:paraId="463D33EE" w14:textId="77777777" w:rsidTr="00F34834">
        <w:trPr>
          <w:trHeight w:val="300"/>
          <w:jc w:val="center"/>
        </w:trPr>
        <w:tc>
          <w:tcPr>
            <w:tcW w:w="9810" w:type="dxa"/>
            <w:gridSpan w:val="4"/>
            <w:shd w:val="clear" w:color="auto" w:fill="F2F2F2" w:themeFill="background1" w:themeFillShade="F2"/>
            <w:vAlign w:val="center"/>
          </w:tcPr>
          <w:p w14:paraId="1770320F" w14:textId="77777777" w:rsidR="00647387" w:rsidRPr="006A6461" w:rsidRDefault="00647387">
            <w:pPr>
              <w:widowControl w:val="0"/>
              <w:spacing w:before="15" w:after="15"/>
              <w:rPr>
                <w:rFonts w:ascii="Times New Roman" w:hAnsi="Times New Roman" w:cs="Times New Roman"/>
                <w:i/>
                <w:noProof/>
                <w:sz w:val="20"/>
                <w:szCs w:val="20"/>
              </w:rPr>
            </w:pPr>
            <w:r>
              <w:rPr>
                <w:rFonts w:ascii="Times New Roman" w:hAnsi="Times New Roman"/>
                <w:i/>
                <w:noProof/>
                <w:sz w:val="20"/>
              </w:rPr>
              <w:t>Section III — Commission</w:t>
            </w:r>
          </w:p>
        </w:tc>
      </w:tr>
      <w:tr w:rsidR="00354AC0" w:rsidRPr="006A6461" w14:paraId="4633C440" w14:textId="77777777" w:rsidTr="53409780">
        <w:trPr>
          <w:jc w:val="center"/>
        </w:trPr>
        <w:tc>
          <w:tcPr>
            <w:tcW w:w="1276" w:type="dxa"/>
          </w:tcPr>
          <w:p w14:paraId="44526B71" w14:textId="0B128CFD" w:rsidR="00354AC0" w:rsidRPr="53409780" w:rsidRDefault="00354AC0" w:rsidP="00354AC0">
            <w:pPr>
              <w:widowControl w:val="0"/>
              <w:spacing w:before="15" w:after="15"/>
              <w:ind w:right="-113"/>
              <w:jc w:val="both"/>
              <w:rPr>
                <w:rFonts w:ascii="Times New Roman" w:eastAsia="Calibri" w:hAnsi="Times New Roman" w:cs="Times New Roman"/>
                <w:noProof/>
                <w:sz w:val="16"/>
                <w:szCs w:val="16"/>
              </w:rPr>
            </w:pPr>
            <w:r>
              <w:rPr>
                <w:rFonts w:ascii="Times New Roman" w:hAnsi="Times New Roman"/>
                <w:noProof/>
                <w:sz w:val="16"/>
              </w:rPr>
              <w:t>06 01 03</w:t>
            </w:r>
          </w:p>
        </w:tc>
        <w:tc>
          <w:tcPr>
            <w:tcW w:w="5132" w:type="dxa"/>
          </w:tcPr>
          <w:p w14:paraId="28F0A26C" w14:textId="61B78406" w:rsidR="00354AC0" w:rsidRPr="53409780" w:rsidRDefault="00354AC0" w:rsidP="00354AC0">
            <w:pPr>
              <w:widowControl w:val="0"/>
              <w:tabs>
                <w:tab w:val="left" w:pos="1350"/>
              </w:tabs>
              <w:spacing w:before="15" w:after="15"/>
              <w:jc w:val="both"/>
              <w:rPr>
                <w:rFonts w:ascii="Times New Roman" w:eastAsia="Calibri" w:hAnsi="Times New Roman" w:cs="Times New Roman"/>
                <w:noProof/>
                <w:color w:val="000000" w:themeColor="text1"/>
                <w:sz w:val="16"/>
                <w:szCs w:val="16"/>
              </w:rPr>
            </w:pPr>
            <w:r>
              <w:rPr>
                <w:rFonts w:ascii="Times New Roman" w:hAnsi="Times New Roman"/>
                <w:noProof/>
                <w:sz w:val="16"/>
              </w:rPr>
              <w:t>Dépenses d’appui pour les activités d’emprunt de gestion de la dette de l’Union européenne</w:t>
            </w:r>
          </w:p>
        </w:tc>
        <w:tc>
          <w:tcPr>
            <w:tcW w:w="1701" w:type="dxa"/>
          </w:tcPr>
          <w:p w14:paraId="3293D0F1" w14:textId="5850CA45" w:rsidR="00354AC0" w:rsidRPr="53409780" w:rsidRDefault="00354AC0" w:rsidP="00354AC0">
            <w:pPr>
              <w:widowControl w:val="0"/>
              <w:spacing w:before="15" w:after="15"/>
              <w:jc w:val="right"/>
              <w:rPr>
                <w:rFonts w:ascii="Times New Roman" w:eastAsia="Calibri" w:hAnsi="Times New Roman" w:cs="Times New Roman"/>
                <w:noProof/>
                <w:sz w:val="16"/>
                <w:szCs w:val="16"/>
              </w:rPr>
            </w:pPr>
            <w:r>
              <w:rPr>
                <w:rFonts w:ascii="Times New Roman" w:hAnsi="Times New Roman"/>
                <w:noProof/>
                <w:sz w:val="16"/>
              </w:rPr>
              <w:t>1 000 000</w:t>
            </w:r>
          </w:p>
        </w:tc>
        <w:tc>
          <w:tcPr>
            <w:tcW w:w="1701" w:type="dxa"/>
          </w:tcPr>
          <w:p w14:paraId="6BC380DE" w14:textId="2E6CAF14" w:rsidR="00354AC0" w:rsidRPr="53409780" w:rsidRDefault="00354AC0" w:rsidP="00354AC0">
            <w:pPr>
              <w:widowControl w:val="0"/>
              <w:spacing w:before="15" w:after="15"/>
              <w:jc w:val="right"/>
              <w:rPr>
                <w:rFonts w:ascii="Times New Roman" w:eastAsia="Calibri" w:hAnsi="Times New Roman" w:cs="Times New Roman"/>
                <w:noProof/>
                <w:sz w:val="16"/>
                <w:szCs w:val="16"/>
              </w:rPr>
            </w:pPr>
            <w:r>
              <w:rPr>
                <w:rFonts w:ascii="Times New Roman" w:hAnsi="Times New Roman"/>
                <w:noProof/>
                <w:sz w:val="16"/>
              </w:rPr>
              <w:t>1 000 000</w:t>
            </w:r>
          </w:p>
        </w:tc>
      </w:tr>
      <w:tr w:rsidR="00354AC0" w:rsidRPr="006A6461" w14:paraId="6DE604B1" w14:textId="77777777" w:rsidTr="53409780">
        <w:trPr>
          <w:jc w:val="center"/>
        </w:trPr>
        <w:tc>
          <w:tcPr>
            <w:tcW w:w="1276" w:type="dxa"/>
          </w:tcPr>
          <w:p w14:paraId="34FDFA11" w14:textId="1FA8F8E8" w:rsidR="00354AC0" w:rsidRPr="006A6461" w:rsidRDefault="00354AC0" w:rsidP="00354AC0">
            <w:pPr>
              <w:widowControl w:val="0"/>
              <w:spacing w:before="15" w:after="15"/>
              <w:ind w:right="-113"/>
              <w:jc w:val="both"/>
              <w:rPr>
                <w:rFonts w:ascii="Times New Roman" w:eastAsia="Calibri" w:hAnsi="Times New Roman" w:cs="Times New Roman"/>
                <w:noProof/>
                <w:sz w:val="16"/>
                <w:szCs w:val="16"/>
              </w:rPr>
            </w:pPr>
            <w:r>
              <w:rPr>
                <w:rFonts w:ascii="Times New Roman" w:hAnsi="Times New Roman"/>
                <w:noProof/>
                <w:sz w:val="16"/>
              </w:rPr>
              <w:t>20 01 02 01</w:t>
            </w:r>
          </w:p>
        </w:tc>
        <w:tc>
          <w:tcPr>
            <w:tcW w:w="5132" w:type="dxa"/>
          </w:tcPr>
          <w:p w14:paraId="0E6F3865" w14:textId="71C56C66" w:rsidR="00354AC0" w:rsidRPr="006A6461" w:rsidRDefault="00354AC0" w:rsidP="00354AC0">
            <w:pPr>
              <w:widowControl w:val="0"/>
              <w:tabs>
                <w:tab w:val="left" w:pos="1350"/>
              </w:tabs>
              <w:spacing w:before="15" w:after="15"/>
              <w:jc w:val="both"/>
              <w:rPr>
                <w:rFonts w:ascii="Times New Roman" w:eastAsia="Calibri" w:hAnsi="Times New Roman" w:cs="Times New Roman"/>
                <w:noProof/>
                <w:color w:val="000000" w:themeColor="text1"/>
                <w:sz w:val="16"/>
                <w:szCs w:val="16"/>
              </w:rPr>
            </w:pPr>
            <w:r>
              <w:rPr>
                <w:rFonts w:ascii="Times New Roman" w:hAnsi="Times New Roman"/>
                <w:noProof/>
                <w:color w:val="000000" w:themeColor="text1"/>
                <w:sz w:val="16"/>
              </w:rPr>
              <w:t>Rémunérations et indemnités — Sièges et bureaux de représentation</w:t>
            </w:r>
          </w:p>
        </w:tc>
        <w:tc>
          <w:tcPr>
            <w:tcW w:w="1701" w:type="dxa"/>
          </w:tcPr>
          <w:p w14:paraId="5BD3227A" w14:textId="23AF625E" w:rsidR="00354AC0" w:rsidRPr="006A6461" w:rsidRDefault="00354AC0" w:rsidP="00354AC0">
            <w:pPr>
              <w:widowControl w:val="0"/>
              <w:spacing w:before="15" w:after="15"/>
              <w:jc w:val="right"/>
              <w:rPr>
                <w:rFonts w:ascii="Times New Roman" w:eastAsia="Calibri" w:hAnsi="Times New Roman" w:cs="Times New Roman"/>
                <w:noProof/>
                <w:sz w:val="16"/>
                <w:szCs w:val="16"/>
              </w:rPr>
            </w:pPr>
            <w:r>
              <w:rPr>
                <w:rFonts w:ascii="Times New Roman" w:hAnsi="Times New Roman"/>
                <w:noProof/>
                <w:sz w:val="16"/>
              </w:rPr>
              <w:t>1 864 000</w:t>
            </w:r>
          </w:p>
        </w:tc>
        <w:tc>
          <w:tcPr>
            <w:tcW w:w="1701" w:type="dxa"/>
          </w:tcPr>
          <w:p w14:paraId="4DDE8D78" w14:textId="67BF3DB3" w:rsidR="00354AC0" w:rsidRPr="006A6461" w:rsidRDefault="00354AC0" w:rsidP="00354AC0">
            <w:pPr>
              <w:widowControl w:val="0"/>
              <w:spacing w:before="15" w:after="15"/>
              <w:jc w:val="right"/>
              <w:rPr>
                <w:rFonts w:ascii="Times New Roman" w:eastAsia="Calibri" w:hAnsi="Times New Roman" w:cs="Times New Roman"/>
                <w:noProof/>
                <w:sz w:val="16"/>
                <w:szCs w:val="16"/>
              </w:rPr>
            </w:pPr>
            <w:r>
              <w:rPr>
                <w:rFonts w:ascii="Times New Roman" w:hAnsi="Times New Roman"/>
                <w:noProof/>
                <w:sz w:val="16"/>
              </w:rPr>
              <w:t>1 864 000</w:t>
            </w:r>
          </w:p>
        </w:tc>
      </w:tr>
      <w:tr w:rsidR="00354AC0" w14:paraId="29AE0660" w14:textId="77777777" w:rsidTr="53409780">
        <w:trPr>
          <w:trHeight w:val="300"/>
          <w:jc w:val="center"/>
        </w:trPr>
        <w:tc>
          <w:tcPr>
            <w:tcW w:w="1276" w:type="dxa"/>
          </w:tcPr>
          <w:p w14:paraId="1920160B" w14:textId="3F451CDE" w:rsidR="00354AC0" w:rsidRDefault="00354AC0" w:rsidP="00354AC0">
            <w:pPr>
              <w:jc w:val="both"/>
              <w:rPr>
                <w:rFonts w:ascii="Times New Roman" w:eastAsia="Calibri" w:hAnsi="Times New Roman" w:cs="Times New Roman"/>
                <w:noProof/>
                <w:sz w:val="16"/>
                <w:szCs w:val="16"/>
              </w:rPr>
            </w:pPr>
            <w:r>
              <w:rPr>
                <w:rFonts w:ascii="Times New Roman" w:hAnsi="Times New Roman"/>
                <w:noProof/>
                <w:sz w:val="16"/>
              </w:rPr>
              <w:t xml:space="preserve">20 01 02 02 </w:t>
            </w:r>
          </w:p>
        </w:tc>
        <w:tc>
          <w:tcPr>
            <w:tcW w:w="5132" w:type="dxa"/>
          </w:tcPr>
          <w:p w14:paraId="2B657E90" w14:textId="7F7DFBF5" w:rsidR="00354AC0" w:rsidRDefault="00354AC0" w:rsidP="00354AC0">
            <w:pPr>
              <w:jc w:val="both"/>
              <w:rPr>
                <w:rFonts w:ascii="Times New Roman" w:eastAsia="Calibri" w:hAnsi="Times New Roman" w:cs="Times New Roman"/>
                <w:noProof/>
                <w:color w:val="000000" w:themeColor="text1"/>
                <w:sz w:val="16"/>
                <w:szCs w:val="16"/>
              </w:rPr>
            </w:pPr>
            <w:r>
              <w:rPr>
                <w:rFonts w:ascii="Times New Roman" w:hAnsi="Times New Roman"/>
                <w:noProof/>
                <w:color w:val="000000" w:themeColor="text1"/>
                <w:sz w:val="16"/>
              </w:rPr>
              <w:t>Frais et indemnités de recrutement, de mutation et de cessation des fonctions — Sièges et bureaux de représentation</w:t>
            </w:r>
          </w:p>
        </w:tc>
        <w:tc>
          <w:tcPr>
            <w:tcW w:w="1701" w:type="dxa"/>
          </w:tcPr>
          <w:p w14:paraId="0B2F1E17" w14:textId="3F176625" w:rsidR="00354AC0" w:rsidRDefault="00354AC0" w:rsidP="00354AC0">
            <w:pPr>
              <w:jc w:val="right"/>
              <w:rPr>
                <w:rFonts w:ascii="Times New Roman" w:eastAsia="Calibri" w:hAnsi="Times New Roman" w:cs="Times New Roman"/>
                <w:noProof/>
                <w:sz w:val="16"/>
                <w:szCs w:val="16"/>
              </w:rPr>
            </w:pPr>
            <w:r>
              <w:rPr>
                <w:rFonts w:ascii="Times New Roman" w:hAnsi="Times New Roman"/>
                <w:noProof/>
                <w:sz w:val="16"/>
              </w:rPr>
              <w:t>551 000</w:t>
            </w:r>
          </w:p>
        </w:tc>
        <w:tc>
          <w:tcPr>
            <w:tcW w:w="1701" w:type="dxa"/>
          </w:tcPr>
          <w:p w14:paraId="6DE7B325" w14:textId="1A475C9A" w:rsidR="00354AC0" w:rsidRDefault="00354AC0" w:rsidP="00354AC0">
            <w:pPr>
              <w:jc w:val="right"/>
              <w:rPr>
                <w:rFonts w:ascii="Times New Roman" w:eastAsia="Calibri" w:hAnsi="Times New Roman" w:cs="Times New Roman"/>
                <w:noProof/>
                <w:sz w:val="16"/>
                <w:szCs w:val="16"/>
              </w:rPr>
            </w:pPr>
            <w:r>
              <w:rPr>
                <w:rFonts w:ascii="Times New Roman" w:hAnsi="Times New Roman"/>
                <w:noProof/>
                <w:sz w:val="16"/>
              </w:rPr>
              <w:t>551 000</w:t>
            </w:r>
          </w:p>
        </w:tc>
      </w:tr>
      <w:tr w:rsidR="00354AC0" w14:paraId="5BBED4C2" w14:textId="77777777" w:rsidTr="53409780">
        <w:trPr>
          <w:trHeight w:val="300"/>
          <w:jc w:val="center"/>
        </w:trPr>
        <w:tc>
          <w:tcPr>
            <w:tcW w:w="1276" w:type="dxa"/>
          </w:tcPr>
          <w:p w14:paraId="45BEF3BB" w14:textId="3C693C7A" w:rsidR="00354AC0" w:rsidRDefault="00354AC0" w:rsidP="00354AC0">
            <w:pPr>
              <w:jc w:val="both"/>
              <w:rPr>
                <w:rFonts w:ascii="Times New Roman" w:eastAsia="Calibri" w:hAnsi="Times New Roman" w:cs="Times New Roman"/>
                <w:noProof/>
                <w:sz w:val="16"/>
                <w:szCs w:val="16"/>
              </w:rPr>
            </w:pPr>
            <w:r>
              <w:rPr>
                <w:rFonts w:ascii="Times New Roman" w:hAnsi="Times New Roman"/>
                <w:noProof/>
                <w:sz w:val="16"/>
              </w:rPr>
              <w:t xml:space="preserve">20 01 02 03 </w:t>
            </w:r>
          </w:p>
        </w:tc>
        <w:tc>
          <w:tcPr>
            <w:tcW w:w="5132" w:type="dxa"/>
          </w:tcPr>
          <w:p w14:paraId="4B580FD9" w14:textId="0141A645" w:rsidR="00354AC0" w:rsidRDefault="00354AC0" w:rsidP="00354AC0">
            <w:pPr>
              <w:jc w:val="both"/>
              <w:rPr>
                <w:rFonts w:ascii="Times New Roman" w:eastAsia="Calibri" w:hAnsi="Times New Roman" w:cs="Times New Roman"/>
                <w:noProof/>
                <w:color w:val="000000" w:themeColor="text1"/>
                <w:sz w:val="16"/>
                <w:szCs w:val="16"/>
              </w:rPr>
            </w:pPr>
            <w:r>
              <w:rPr>
                <w:rFonts w:ascii="Times New Roman" w:hAnsi="Times New Roman"/>
                <w:noProof/>
                <w:color w:val="000000" w:themeColor="text1"/>
                <w:sz w:val="16"/>
              </w:rPr>
              <w:t>Rémunérations et indemnités — Délégations de l’Union</w:t>
            </w:r>
          </w:p>
        </w:tc>
        <w:tc>
          <w:tcPr>
            <w:tcW w:w="1701" w:type="dxa"/>
          </w:tcPr>
          <w:p w14:paraId="6EB1F081" w14:textId="5E6BE181" w:rsidR="00354AC0" w:rsidRDefault="00354AC0" w:rsidP="00354AC0">
            <w:pPr>
              <w:jc w:val="right"/>
              <w:rPr>
                <w:rFonts w:ascii="Times New Roman" w:eastAsia="Calibri" w:hAnsi="Times New Roman" w:cs="Times New Roman"/>
                <w:noProof/>
                <w:sz w:val="16"/>
                <w:szCs w:val="16"/>
              </w:rPr>
            </w:pPr>
            <w:r>
              <w:rPr>
                <w:rFonts w:ascii="Times New Roman" w:hAnsi="Times New Roman"/>
                <w:noProof/>
                <w:sz w:val="16"/>
              </w:rPr>
              <w:t>510 000</w:t>
            </w:r>
          </w:p>
        </w:tc>
        <w:tc>
          <w:tcPr>
            <w:tcW w:w="1701" w:type="dxa"/>
          </w:tcPr>
          <w:p w14:paraId="1D03FE23" w14:textId="2AF7F856" w:rsidR="00354AC0" w:rsidRDefault="00354AC0" w:rsidP="00354AC0">
            <w:pPr>
              <w:jc w:val="right"/>
              <w:rPr>
                <w:rFonts w:ascii="Times New Roman" w:eastAsia="Calibri" w:hAnsi="Times New Roman" w:cs="Times New Roman"/>
                <w:noProof/>
                <w:sz w:val="16"/>
                <w:szCs w:val="16"/>
              </w:rPr>
            </w:pPr>
            <w:r>
              <w:rPr>
                <w:rFonts w:ascii="Times New Roman" w:hAnsi="Times New Roman"/>
                <w:noProof/>
                <w:sz w:val="16"/>
              </w:rPr>
              <w:t>510 000</w:t>
            </w:r>
          </w:p>
        </w:tc>
      </w:tr>
      <w:tr w:rsidR="00354AC0" w14:paraId="15062AA2" w14:textId="77777777" w:rsidTr="53409780">
        <w:trPr>
          <w:trHeight w:val="300"/>
          <w:jc w:val="center"/>
        </w:trPr>
        <w:tc>
          <w:tcPr>
            <w:tcW w:w="1276" w:type="dxa"/>
          </w:tcPr>
          <w:p w14:paraId="5C3FB5CB" w14:textId="069E3398" w:rsidR="00354AC0" w:rsidRDefault="00354AC0" w:rsidP="00354AC0">
            <w:pPr>
              <w:jc w:val="both"/>
              <w:rPr>
                <w:rFonts w:ascii="Times New Roman" w:eastAsia="Calibri" w:hAnsi="Times New Roman" w:cs="Times New Roman"/>
                <w:noProof/>
                <w:sz w:val="16"/>
                <w:szCs w:val="16"/>
              </w:rPr>
            </w:pPr>
            <w:r>
              <w:rPr>
                <w:rFonts w:ascii="Times New Roman" w:hAnsi="Times New Roman"/>
                <w:noProof/>
                <w:sz w:val="16"/>
              </w:rPr>
              <w:t xml:space="preserve">20 01 05 01 </w:t>
            </w:r>
          </w:p>
        </w:tc>
        <w:tc>
          <w:tcPr>
            <w:tcW w:w="5132" w:type="dxa"/>
          </w:tcPr>
          <w:p w14:paraId="28A787EA" w14:textId="648883AA" w:rsidR="00354AC0" w:rsidRDefault="00354AC0" w:rsidP="00354AC0">
            <w:pPr>
              <w:jc w:val="both"/>
              <w:rPr>
                <w:rFonts w:ascii="Times New Roman" w:eastAsia="Calibri" w:hAnsi="Times New Roman" w:cs="Times New Roman"/>
                <w:noProof/>
                <w:sz w:val="16"/>
                <w:szCs w:val="16"/>
              </w:rPr>
            </w:pPr>
            <w:r>
              <w:rPr>
                <w:rFonts w:ascii="Times New Roman" w:hAnsi="Times New Roman"/>
                <w:noProof/>
                <w:color w:val="000000" w:themeColor="text1"/>
                <w:sz w:val="16"/>
              </w:rPr>
              <w:t>Service médical</w:t>
            </w:r>
          </w:p>
        </w:tc>
        <w:tc>
          <w:tcPr>
            <w:tcW w:w="1701" w:type="dxa"/>
          </w:tcPr>
          <w:p w14:paraId="351D8C00" w14:textId="68BB1E82" w:rsidR="00354AC0" w:rsidRDefault="00354AC0" w:rsidP="00354AC0">
            <w:pPr>
              <w:jc w:val="right"/>
              <w:rPr>
                <w:rFonts w:ascii="Times New Roman" w:eastAsia="Calibri" w:hAnsi="Times New Roman" w:cs="Times New Roman"/>
                <w:noProof/>
                <w:sz w:val="16"/>
                <w:szCs w:val="16"/>
              </w:rPr>
            </w:pPr>
            <w:r>
              <w:rPr>
                <w:rFonts w:ascii="Times New Roman" w:hAnsi="Times New Roman"/>
                <w:noProof/>
                <w:sz w:val="16"/>
              </w:rPr>
              <w:t>1 000</w:t>
            </w:r>
          </w:p>
        </w:tc>
        <w:tc>
          <w:tcPr>
            <w:tcW w:w="1701" w:type="dxa"/>
          </w:tcPr>
          <w:p w14:paraId="227095CD" w14:textId="6D8E6300" w:rsidR="00354AC0" w:rsidRDefault="00354AC0" w:rsidP="00354AC0">
            <w:pPr>
              <w:jc w:val="right"/>
              <w:rPr>
                <w:rFonts w:ascii="Times New Roman" w:eastAsia="Calibri" w:hAnsi="Times New Roman" w:cs="Times New Roman"/>
                <w:noProof/>
                <w:sz w:val="16"/>
                <w:szCs w:val="16"/>
              </w:rPr>
            </w:pPr>
            <w:r>
              <w:rPr>
                <w:rFonts w:ascii="Times New Roman" w:hAnsi="Times New Roman"/>
                <w:noProof/>
                <w:sz w:val="16"/>
              </w:rPr>
              <w:t>1 000</w:t>
            </w:r>
          </w:p>
        </w:tc>
      </w:tr>
      <w:tr w:rsidR="00354AC0" w14:paraId="30D6F266" w14:textId="77777777" w:rsidTr="53409780">
        <w:trPr>
          <w:trHeight w:val="300"/>
          <w:jc w:val="center"/>
        </w:trPr>
        <w:tc>
          <w:tcPr>
            <w:tcW w:w="1276" w:type="dxa"/>
          </w:tcPr>
          <w:p w14:paraId="2FC674A9" w14:textId="445218EE" w:rsidR="00354AC0" w:rsidRDefault="00354AC0" w:rsidP="00354AC0">
            <w:pPr>
              <w:jc w:val="both"/>
              <w:rPr>
                <w:rFonts w:ascii="Times New Roman" w:eastAsia="Calibri" w:hAnsi="Times New Roman" w:cs="Times New Roman"/>
                <w:noProof/>
                <w:sz w:val="16"/>
                <w:szCs w:val="16"/>
              </w:rPr>
            </w:pPr>
            <w:r>
              <w:rPr>
                <w:rFonts w:ascii="Times New Roman" w:hAnsi="Times New Roman"/>
                <w:noProof/>
                <w:sz w:val="16"/>
              </w:rPr>
              <w:t xml:space="preserve">20 03 05 01 </w:t>
            </w:r>
          </w:p>
        </w:tc>
        <w:tc>
          <w:tcPr>
            <w:tcW w:w="5132" w:type="dxa"/>
          </w:tcPr>
          <w:p w14:paraId="3E1A7B51" w14:textId="62704EAB" w:rsidR="00354AC0" w:rsidRDefault="00354AC0" w:rsidP="00354AC0">
            <w:pPr>
              <w:jc w:val="both"/>
              <w:rPr>
                <w:rFonts w:ascii="Times New Roman" w:eastAsia="Calibri" w:hAnsi="Times New Roman" w:cs="Times New Roman"/>
                <w:noProof/>
                <w:color w:val="000000" w:themeColor="text1"/>
                <w:sz w:val="16"/>
                <w:szCs w:val="16"/>
              </w:rPr>
            </w:pPr>
            <w:r>
              <w:rPr>
                <w:rFonts w:ascii="Times New Roman" w:hAnsi="Times New Roman"/>
                <w:noProof/>
                <w:color w:val="000000" w:themeColor="text1"/>
                <w:sz w:val="16"/>
              </w:rPr>
              <w:t>Frais d’acquisition et de location et frais connexes</w:t>
            </w:r>
          </w:p>
        </w:tc>
        <w:tc>
          <w:tcPr>
            <w:tcW w:w="1701" w:type="dxa"/>
          </w:tcPr>
          <w:p w14:paraId="4284A83F" w14:textId="4E9237A8" w:rsidR="00354AC0" w:rsidRDefault="00354AC0" w:rsidP="00354AC0">
            <w:pPr>
              <w:jc w:val="right"/>
              <w:rPr>
                <w:rFonts w:ascii="Times New Roman" w:eastAsia="Calibri" w:hAnsi="Times New Roman" w:cs="Times New Roman"/>
                <w:noProof/>
                <w:sz w:val="16"/>
                <w:szCs w:val="16"/>
              </w:rPr>
            </w:pPr>
            <w:r>
              <w:rPr>
                <w:rFonts w:ascii="Times New Roman" w:hAnsi="Times New Roman"/>
                <w:noProof/>
                <w:sz w:val="16"/>
              </w:rPr>
              <w:t>239 000</w:t>
            </w:r>
          </w:p>
        </w:tc>
        <w:tc>
          <w:tcPr>
            <w:tcW w:w="1701" w:type="dxa"/>
          </w:tcPr>
          <w:p w14:paraId="5A749235" w14:textId="1059086E" w:rsidR="00354AC0" w:rsidRDefault="00354AC0" w:rsidP="00354AC0">
            <w:pPr>
              <w:jc w:val="right"/>
              <w:rPr>
                <w:rFonts w:ascii="Times New Roman" w:eastAsia="Calibri" w:hAnsi="Times New Roman" w:cs="Times New Roman"/>
                <w:noProof/>
                <w:sz w:val="16"/>
                <w:szCs w:val="16"/>
              </w:rPr>
            </w:pPr>
            <w:r>
              <w:rPr>
                <w:rFonts w:ascii="Times New Roman" w:hAnsi="Times New Roman"/>
                <w:noProof/>
                <w:sz w:val="16"/>
              </w:rPr>
              <w:t>239 000</w:t>
            </w:r>
          </w:p>
        </w:tc>
      </w:tr>
      <w:tr w:rsidR="00354AC0" w:rsidRPr="006A6461" w14:paraId="78A76259" w14:textId="77777777" w:rsidTr="53409780">
        <w:trPr>
          <w:jc w:val="center"/>
        </w:trPr>
        <w:tc>
          <w:tcPr>
            <w:tcW w:w="6408" w:type="dxa"/>
            <w:gridSpan w:val="2"/>
            <w:shd w:val="clear" w:color="auto" w:fill="D9D9D9" w:themeFill="background1" w:themeFillShade="D9"/>
          </w:tcPr>
          <w:p w14:paraId="2C4EDACF" w14:textId="77777777" w:rsidR="00354AC0" w:rsidRPr="006A6461" w:rsidRDefault="00354AC0" w:rsidP="00354AC0">
            <w:pPr>
              <w:widowControl w:val="0"/>
              <w:spacing w:before="15" w:after="15"/>
              <w:ind w:right="-113"/>
              <w:jc w:val="both"/>
              <w:rPr>
                <w:rFonts w:ascii="Times New Roman" w:hAnsi="Times New Roman" w:cs="Times New Roman"/>
                <w:noProof/>
                <w:sz w:val="20"/>
                <w:szCs w:val="20"/>
              </w:rPr>
            </w:pPr>
            <w:r>
              <w:rPr>
                <w:rFonts w:ascii="Times New Roman" w:hAnsi="Times New Roman"/>
                <w:b/>
                <w:noProof/>
                <w:sz w:val="20"/>
              </w:rPr>
              <w:t>Total</w:t>
            </w:r>
            <w:r>
              <w:rPr>
                <w:rFonts w:ascii="Times New Roman" w:hAnsi="Times New Roman"/>
                <w:b/>
                <w:noProof/>
                <w:sz w:val="20"/>
              </w:rPr>
              <w:tab/>
            </w:r>
          </w:p>
        </w:tc>
        <w:tc>
          <w:tcPr>
            <w:tcW w:w="1701" w:type="dxa"/>
            <w:shd w:val="clear" w:color="auto" w:fill="D9D9D9" w:themeFill="background1" w:themeFillShade="D9"/>
          </w:tcPr>
          <w:p w14:paraId="682D0F3D" w14:textId="38BB7C30" w:rsidR="00354AC0" w:rsidRPr="00B65168" w:rsidRDefault="00354AC0" w:rsidP="00354AC0">
            <w:pPr>
              <w:widowControl w:val="0"/>
              <w:spacing w:before="15" w:after="15"/>
              <w:jc w:val="right"/>
              <w:rPr>
                <w:rFonts w:ascii="Times New Roman" w:eastAsia="Times New Roman" w:hAnsi="Times New Roman" w:cs="Times New Roman"/>
                <w:b/>
                <w:bCs/>
                <w:noProof/>
                <w:sz w:val="20"/>
                <w:szCs w:val="20"/>
              </w:rPr>
            </w:pPr>
            <w:r>
              <w:rPr>
                <w:rFonts w:ascii="Times New Roman" w:hAnsi="Times New Roman"/>
                <w:b/>
                <w:noProof/>
                <w:sz w:val="20"/>
              </w:rPr>
              <w:t>4 165 000</w:t>
            </w:r>
          </w:p>
        </w:tc>
        <w:tc>
          <w:tcPr>
            <w:tcW w:w="1701" w:type="dxa"/>
            <w:shd w:val="clear" w:color="auto" w:fill="D9D9D9" w:themeFill="background1" w:themeFillShade="D9"/>
          </w:tcPr>
          <w:p w14:paraId="23AE8169" w14:textId="64B650FB" w:rsidR="00354AC0" w:rsidRPr="006A6461" w:rsidRDefault="00354AC0" w:rsidP="00354AC0">
            <w:pPr>
              <w:widowControl w:val="0"/>
              <w:spacing w:before="15" w:after="15"/>
              <w:jc w:val="right"/>
              <w:rPr>
                <w:rFonts w:ascii="Times New Roman" w:hAnsi="Times New Roman" w:cs="Times New Roman"/>
                <w:b/>
                <w:bCs/>
                <w:noProof/>
                <w:sz w:val="20"/>
                <w:szCs w:val="20"/>
              </w:rPr>
            </w:pPr>
            <w:r>
              <w:rPr>
                <w:rFonts w:ascii="Times New Roman" w:hAnsi="Times New Roman"/>
                <w:b/>
                <w:noProof/>
                <w:sz w:val="20"/>
              </w:rPr>
              <w:t xml:space="preserve">4 165 000 </w:t>
            </w:r>
          </w:p>
        </w:tc>
      </w:tr>
    </w:tbl>
    <w:p w14:paraId="3CCDCD82" w14:textId="3FD7E3E7" w:rsidR="00647387" w:rsidRPr="006A6461" w:rsidRDefault="00354AC0" w:rsidP="0053599F">
      <w:pPr>
        <w:spacing w:after="120"/>
        <w:jc w:val="both"/>
        <w:rPr>
          <w:rFonts w:ascii="Times New Roman" w:hAnsi="Times New Roman" w:cs="Times New Roman"/>
          <w:noProof/>
          <w:sz w:val="24"/>
          <w:szCs w:val="24"/>
        </w:rPr>
      </w:pPr>
      <w:r>
        <w:rPr>
          <w:rFonts w:ascii="Times New Roman" w:hAnsi="Times New Roman"/>
          <w:noProof/>
          <w:sz w:val="24"/>
        </w:rPr>
        <w:br/>
        <w:t>Le tableau des effectifs actualisé figure dans l’annexe budgétaire.</w:t>
      </w:r>
    </w:p>
    <w:p w14:paraId="6D77DD11" w14:textId="328014AE" w:rsidR="00CE076F" w:rsidRDefault="00CE076F" w:rsidP="00CE076F">
      <w:pPr>
        <w:keepNext/>
        <w:tabs>
          <w:tab w:val="left" w:pos="850"/>
        </w:tabs>
        <w:spacing w:before="360" w:after="120"/>
        <w:ind w:left="850" w:hanging="850"/>
        <w:jc w:val="both"/>
        <w:outlineLvl w:val="1"/>
        <w:rPr>
          <w:rFonts w:ascii="Times New Roman" w:eastAsia="Calibri" w:hAnsi="Times New Roman" w:cs="Times New Roman"/>
          <w:b/>
          <w:noProof/>
          <w:sz w:val="24"/>
          <w:szCs w:val="24"/>
        </w:rPr>
      </w:pPr>
      <w:bookmarkStart w:id="45" w:name="_Toc232755304"/>
      <w:r>
        <w:rPr>
          <w:rFonts w:ascii="Times New Roman" w:hAnsi="Times New Roman"/>
          <w:b/>
          <w:noProof/>
          <w:sz w:val="24"/>
        </w:rPr>
        <w:t>3.4</w:t>
      </w:r>
      <w:r>
        <w:rPr>
          <w:rFonts w:ascii="Times New Roman" w:hAnsi="Times New Roman"/>
          <w:b/>
          <w:noProof/>
          <w:sz w:val="24"/>
        </w:rPr>
        <w:tab/>
        <w:t>Transferts de l’AEE vers le programme LIFE</w:t>
      </w:r>
      <w:bookmarkEnd w:id="45"/>
    </w:p>
    <w:p w14:paraId="3021FFBD" w14:textId="7AFB82A9" w:rsidR="006B36AC" w:rsidRDefault="006B36AC" w:rsidP="00F34834">
      <w:pPr>
        <w:jc w:val="both"/>
        <w:rPr>
          <w:rFonts w:ascii="Times New Roman" w:hAnsi="Times New Roman" w:cs="Times New Roman"/>
          <w:noProof/>
          <w:sz w:val="24"/>
          <w:szCs w:val="24"/>
        </w:rPr>
      </w:pPr>
      <w:r>
        <w:rPr>
          <w:rFonts w:ascii="Times New Roman" w:hAnsi="Times New Roman"/>
          <w:noProof/>
          <w:sz w:val="24"/>
        </w:rPr>
        <w:t>Les négociations relatives à la proposition de directive sur les allégations écologiques</w:t>
      </w:r>
      <w:r w:rsidR="00C10FBB">
        <w:rPr>
          <w:rStyle w:val="FootnoteReference"/>
          <w:rFonts w:ascii="Times New Roman" w:hAnsi="Times New Roman" w:cs="Times New Roman"/>
          <w:noProof/>
          <w:lang w:val="en-IE"/>
        </w:rPr>
        <w:footnoteReference w:id="16"/>
      </w:r>
      <w:r>
        <w:rPr>
          <w:rFonts w:ascii="Times New Roman" w:hAnsi="Times New Roman"/>
          <w:noProof/>
          <w:sz w:val="24"/>
        </w:rPr>
        <w:t xml:space="preserve"> sont au point mort, et aucun accord n’est attendu en 2026. Les ressources financières qui étaient prévues pour permettre la mise en œuvre des tâches correspondantes par l’Agence européenne pour l’environnement – soit un total de 432 172 EUR en crédits d’engagement et de paiement – peuvent dès lors être restituées au programme LIFE, d’où provenaient ces crédits à l’origine. De même, un emploi du tableau des effectifs et un emploi d’agent contractuel prévus à cet effet ne sont plus nécessaires.</w:t>
      </w:r>
    </w:p>
    <w:p w14:paraId="5C5D97C2" w14:textId="2C35B11A" w:rsidR="004B09DD" w:rsidRPr="00536CD0" w:rsidRDefault="004B09DD" w:rsidP="00F34834">
      <w:pPr>
        <w:jc w:val="both"/>
        <w:rPr>
          <w:rFonts w:ascii="Times New Roman" w:hAnsi="Times New Roman" w:cs="Times New Roman"/>
          <w:noProof/>
          <w:sz w:val="24"/>
          <w:szCs w:val="24"/>
        </w:rPr>
      </w:pPr>
      <w:r>
        <w:rPr>
          <w:rFonts w:ascii="Times New Roman" w:hAnsi="Times New Roman"/>
          <w:noProof/>
          <w:sz w:val="24"/>
        </w:rPr>
        <w:t>En outre, la proposition de la Commission relative à la surveillance des forêts européennes</w:t>
      </w:r>
      <w:r w:rsidR="00A00AAB">
        <w:rPr>
          <w:rStyle w:val="FootnoteReference"/>
          <w:rFonts w:ascii="Times New Roman" w:hAnsi="Times New Roman" w:cs="Times New Roman"/>
          <w:noProof/>
          <w:sz w:val="24"/>
          <w:szCs w:val="24"/>
        </w:rPr>
        <w:footnoteReference w:id="17"/>
      </w:r>
      <w:r>
        <w:rPr>
          <w:rFonts w:ascii="Times New Roman" w:hAnsi="Times New Roman"/>
          <w:noProof/>
          <w:sz w:val="24"/>
        </w:rPr>
        <w:t xml:space="preserve"> a été inscrite sur la liste des initiatives en suspens retirées qui figure dans la communication de la Commission intitulée «Programme de travail de la Commission pour 2026 – L’Europe prend son indépendance»</w:t>
      </w:r>
      <w:r w:rsidR="00C26C5A">
        <w:rPr>
          <w:rStyle w:val="FootnoteReference"/>
          <w:rFonts w:ascii="Times New Roman" w:hAnsi="Times New Roman" w:cs="Times New Roman"/>
          <w:noProof/>
          <w:sz w:val="24"/>
          <w:szCs w:val="24"/>
        </w:rPr>
        <w:footnoteReference w:id="18"/>
      </w:r>
      <w:r>
        <w:rPr>
          <w:rFonts w:ascii="Times New Roman" w:hAnsi="Times New Roman"/>
          <w:noProof/>
          <w:sz w:val="24"/>
        </w:rPr>
        <w:t>. Les ressources financières qui étaient prévues pour permettre la mise en œuvre des tâches correspondantes par l’Agence européenne pour l’environnement – soit un total de 1,1 million d’EUR en crédits d’engagement et de paiement – seront dès lors restituées aux lignes budgétaires du programme LIFE, d’où provenaient ces montants à l’origine. De même, deux emplois du tableau des effectifs et un emploi d’agent contractuel prévus à cet effet ne sont plus nécessaires.</w:t>
      </w:r>
    </w:p>
    <w:p w14:paraId="5C4B008B" w14:textId="77777777" w:rsidR="00647387" w:rsidRPr="006A6461" w:rsidRDefault="00647387" w:rsidP="00647387">
      <w:pPr>
        <w:spacing w:after="0"/>
        <w:jc w:val="both"/>
        <w:rPr>
          <w:rFonts w:ascii="Times New Roman" w:hAnsi="Times New Roman" w:cs="Times New Roman"/>
          <w:noProof/>
          <w:sz w:val="24"/>
          <w:szCs w:val="24"/>
        </w:rPr>
      </w:pPr>
      <w:r>
        <w:rPr>
          <w:rFonts w:ascii="Times New Roman" w:hAnsi="Times New Roman"/>
          <w:noProof/>
          <w:sz w:val="24"/>
        </w:rPr>
        <w:t>L’incidence globale sur les dépenses est par conséquent la suivante:</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647387" w:rsidRPr="006A6461" w14:paraId="4D09DF88" w14:textId="77777777" w:rsidTr="0FE2306C">
        <w:trPr>
          <w:jc w:val="center"/>
        </w:trPr>
        <w:tc>
          <w:tcPr>
            <w:tcW w:w="9810" w:type="dxa"/>
            <w:gridSpan w:val="4"/>
            <w:tcBorders>
              <w:top w:val="nil"/>
              <w:left w:val="nil"/>
              <w:bottom w:val="single" w:sz="4" w:space="0" w:color="auto"/>
              <w:right w:val="nil"/>
            </w:tcBorders>
            <w:vAlign w:val="center"/>
          </w:tcPr>
          <w:p w14:paraId="4460B4EE" w14:textId="77777777" w:rsidR="00647387" w:rsidRPr="006A6461" w:rsidRDefault="00647387">
            <w:pPr>
              <w:widowControl w:val="0"/>
              <w:spacing w:before="15" w:after="15"/>
              <w:jc w:val="right"/>
              <w:rPr>
                <w:rFonts w:ascii="Times New Roman" w:hAnsi="Times New Roman" w:cs="Times New Roman"/>
                <w:i/>
                <w:noProof/>
                <w:sz w:val="20"/>
                <w:szCs w:val="20"/>
              </w:rPr>
            </w:pPr>
            <w:r>
              <w:rPr>
                <w:rFonts w:ascii="Times New Roman" w:hAnsi="Times New Roman"/>
                <w:i/>
                <w:noProof/>
                <w:sz w:val="20"/>
              </w:rPr>
              <w:t>(en EUR)</w:t>
            </w:r>
          </w:p>
        </w:tc>
      </w:tr>
      <w:tr w:rsidR="00647387" w:rsidRPr="006A6461" w14:paraId="50B9FC3C" w14:textId="77777777" w:rsidTr="0FE2306C">
        <w:trPr>
          <w:jc w:val="center"/>
        </w:trPr>
        <w:tc>
          <w:tcPr>
            <w:tcW w:w="1276" w:type="dxa"/>
            <w:tcBorders>
              <w:top w:val="single" w:sz="4" w:space="0" w:color="auto"/>
            </w:tcBorders>
            <w:shd w:val="clear" w:color="auto" w:fill="D9D9D9" w:themeFill="background1" w:themeFillShade="D9"/>
            <w:vAlign w:val="center"/>
          </w:tcPr>
          <w:p w14:paraId="0ED152C7" w14:textId="77777777" w:rsidR="00647387" w:rsidRPr="006A6461" w:rsidRDefault="00647387">
            <w:pPr>
              <w:keepNext/>
              <w:spacing w:before="15" w:after="15"/>
              <w:jc w:val="center"/>
              <w:rPr>
                <w:rFonts w:ascii="Times New Roman" w:hAnsi="Times New Roman" w:cs="Times New Roman"/>
                <w:b/>
                <w:noProof/>
                <w:sz w:val="20"/>
                <w:szCs w:val="20"/>
              </w:rPr>
            </w:pPr>
            <w:r>
              <w:rPr>
                <w:rFonts w:ascii="Times New Roman" w:hAnsi="Times New Roman"/>
                <w:b/>
                <w:noProof/>
                <w:sz w:val="20"/>
              </w:rPr>
              <w:t>Ligne budgétaire</w:t>
            </w:r>
          </w:p>
        </w:tc>
        <w:tc>
          <w:tcPr>
            <w:tcW w:w="5132" w:type="dxa"/>
            <w:tcBorders>
              <w:top w:val="single" w:sz="4" w:space="0" w:color="auto"/>
            </w:tcBorders>
            <w:shd w:val="clear" w:color="auto" w:fill="D9D9D9" w:themeFill="background1" w:themeFillShade="D9"/>
            <w:vAlign w:val="center"/>
          </w:tcPr>
          <w:p w14:paraId="0F616520" w14:textId="77777777" w:rsidR="00647387" w:rsidRPr="006A6461" w:rsidRDefault="00647387">
            <w:pPr>
              <w:widowControl w:val="0"/>
              <w:spacing w:before="15" w:after="15"/>
              <w:jc w:val="center"/>
              <w:rPr>
                <w:rFonts w:ascii="Times New Roman" w:hAnsi="Times New Roman" w:cs="Times New Roman"/>
                <w:b/>
                <w:noProof/>
                <w:sz w:val="20"/>
                <w:szCs w:val="20"/>
              </w:rPr>
            </w:pPr>
            <w:r>
              <w:rPr>
                <w:rFonts w:ascii="Times New Roman" w:hAnsi="Times New Roman"/>
                <w:b/>
                <w:noProof/>
                <w:sz w:val="20"/>
              </w:rPr>
              <w:t>Intitulé</w:t>
            </w:r>
          </w:p>
        </w:tc>
        <w:tc>
          <w:tcPr>
            <w:tcW w:w="1701" w:type="dxa"/>
            <w:tcBorders>
              <w:top w:val="single" w:sz="4" w:space="0" w:color="auto"/>
            </w:tcBorders>
            <w:shd w:val="clear" w:color="auto" w:fill="D9D9D9" w:themeFill="background1" w:themeFillShade="D9"/>
            <w:vAlign w:val="center"/>
          </w:tcPr>
          <w:p w14:paraId="26714562" w14:textId="77777777" w:rsidR="00647387" w:rsidRPr="006A6461" w:rsidRDefault="00647387">
            <w:pPr>
              <w:widowControl w:val="0"/>
              <w:spacing w:before="15" w:after="15"/>
              <w:jc w:val="center"/>
              <w:rPr>
                <w:rFonts w:ascii="Times New Roman" w:hAnsi="Times New Roman" w:cs="Times New Roman"/>
                <w:b/>
                <w:noProof/>
                <w:sz w:val="20"/>
                <w:szCs w:val="20"/>
              </w:rPr>
            </w:pPr>
            <w:r>
              <w:rPr>
                <w:rFonts w:ascii="Times New Roman" w:hAnsi="Times New Roman"/>
                <w:b/>
                <w:noProof/>
                <w:sz w:val="20"/>
              </w:rPr>
              <w:t>Crédits d’engagement</w:t>
            </w:r>
          </w:p>
        </w:tc>
        <w:tc>
          <w:tcPr>
            <w:tcW w:w="1701" w:type="dxa"/>
            <w:tcBorders>
              <w:top w:val="single" w:sz="4" w:space="0" w:color="auto"/>
            </w:tcBorders>
            <w:shd w:val="clear" w:color="auto" w:fill="D9D9D9" w:themeFill="background1" w:themeFillShade="D9"/>
            <w:vAlign w:val="center"/>
          </w:tcPr>
          <w:p w14:paraId="627F8263" w14:textId="77777777" w:rsidR="00647387" w:rsidRPr="006A6461" w:rsidRDefault="00647387">
            <w:pPr>
              <w:widowControl w:val="0"/>
              <w:spacing w:before="15" w:after="15"/>
              <w:jc w:val="center"/>
              <w:rPr>
                <w:rFonts w:ascii="Times New Roman" w:hAnsi="Times New Roman" w:cs="Times New Roman"/>
                <w:b/>
                <w:bCs/>
                <w:noProof/>
                <w:sz w:val="20"/>
                <w:szCs w:val="20"/>
              </w:rPr>
            </w:pPr>
            <w:r>
              <w:rPr>
                <w:rFonts w:ascii="Times New Roman" w:hAnsi="Times New Roman"/>
                <w:b/>
                <w:noProof/>
                <w:sz w:val="20"/>
              </w:rPr>
              <w:t>Crédits de paiement</w:t>
            </w:r>
          </w:p>
        </w:tc>
      </w:tr>
      <w:tr w:rsidR="00647387" w:rsidRPr="006A6461" w14:paraId="67C5F6B8" w14:textId="77777777" w:rsidTr="0FE2306C">
        <w:trPr>
          <w:jc w:val="center"/>
        </w:trPr>
        <w:tc>
          <w:tcPr>
            <w:tcW w:w="9810" w:type="dxa"/>
            <w:gridSpan w:val="4"/>
            <w:shd w:val="clear" w:color="auto" w:fill="F2F2F2" w:themeFill="background1" w:themeFillShade="F2"/>
            <w:vAlign w:val="center"/>
          </w:tcPr>
          <w:p w14:paraId="0A0E75B2" w14:textId="77777777" w:rsidR="00647387" w:rsidRPr="006A6461" w:rsidRDefault="00647387">
            <w:pPr>
              <w:widowControl w:val="0"/>
              <w:spacing w:before="15" w:after="15"/>
              <w:rPr>
                <w:rFonts w:ascii="Times New Roman" w:hAnsi="Times New Roman" w:cs="Times New Roman"/>
                <w:i/>
                <w:noProof/>
                <w:sz w:val="20"/>
                <w:szCs w:val="20"/>
              </w:rPr>
            </w:pPr>
            <w:r>
              <w:rPr>
                <w:rFonts w:ascii="Times New Roman" w:hAnsi="Times New Roman"/>
                <w:i/>
                <w:noProof/>
                <w:sz w:val="20"/>
              </w:rPr>
              <w:t>Section III — Commission</w:t>
            </w:r>
          </w:p>
        </w:tc>
      </w:tr>
      <w:tr w:rsidR="00647387" w:rsidRPr="006A6461" w14:paraId="5E671876" w14:textId="77777777" w:rsidTr="00565581">
        <w:trPr>
          <w:jc w:val="center"/>
        </w:trPr>
        <w:tc>
          <w:tcPr>
            <w:tcW w:w="1276" w:type="dxa"/>
          </w:tcPr>
          <w:p w14:paraId="3096CE81" w14:textId="32757895" w:rsidR="00647387" w:rsidRPr="006A6461" w:rsidRDefault="00EA1F5B">
            <w:pPr>
              <w:widowControl w:val="0"/>
              <w:spacing w:before="15" w:after="15"/>
              <w:ind w:right="-113"/>
              <w:jc w:val="both"/>
              <w:rPr>
                <w:rFonts w:ascii="Times New Roman" w:hAnsi="Times New Roman" w:cs="Times New Roman"/>
                <w:noProof/>
                <w:sz w:val="16"/>
                <w:szCs w:val="16"/>
              </w:rPr>
            </w:pPr>
            <w:r>
              <w:rPr>
                <w:rFonts w:ascii="Times New Roman" w:hAnsi="Times New Roman"/>
                <w:noProof/>
                <w:sz w:val="16"/>
              </w:rPr>
              <w:t>30 02 02</w:t>
            </w:r>
          </w:p>
        </w:tc>
        <w:tc>
          <w:tcPr>
            <w:tcW w:w="5132" w:type="dxa"/>
          </w:tcPr>
          <w:p w14:paraId="247D06A7" w14:textId="7ADA0DC2" w:rsidR="00647387" w:rsidRPr="00F34834" w:rsidRDefault="00565581" w:rsidP="0FE2306C">
            <w:pPr>
              <w:widowControl w:val="0"/>
              <w:tabs>
                <w:tab w:val="left" w:pos="1350"/>
              </w:tabs>
              <w:spacing w:before="15" w:after="15"/>
              <w:jc w:val="both"/>
              <w:rPr>
                <w:rFonts w:ascii="Times New Roman" w:hAnsi="Times New Roman" w:cs="Times New Roman"/>
                <w:noProof/>
                <w:sz w:val="16"/>
                <w:szCs w:val="16"/>
              </w:rPr>
            </w:pPr>
            <w:r>
              <w:rPr>
                <w:rFonts w:ascii="Times New Roman" w:hAnsi="Times New Roman"/>
                <w:noProof/>
                <w:sz w:val="16"/>
              </w:rPr>
              <w:t>Crédits dissociés (Réserve pour l’article 09 10 02)</w:t>
            </w:r>
          </w:p>
        </w:tc>
        <w:tc>
          <w:tcPr>
            <w:tcW w:w="1701" w:type="dxa"/>
          </w:tcPr>
          <w:p w14:paraId="6B74FBB3" w14:textId="23ABE5AF" w:rsidR="00647387" w:rsidRPr="006A6461" w:rsidRDefault="00EA1F5B">
            <w:pPr>
              <w:widowControl w:val="0"/>
              <w:spacing w:before="15" w:after="15"/>
              <w:jc w:val="right"/>
              <w:rPr>
                <w:rFonts w:ascii="Times New Roman" w:hAnsi="Times New Roman" w:cs="Times New Roman"/>
                <w:noProof/>
                <w:sz w:val="16"/>
                <w:szCs w:val="16"/>
              </w:rPr>
            </w:pPr>
            <w:r>
              <w:rPr>
                <w:rFonts w:ascii="Times New Roman" w:hAnsi="Times New Roman"/>
                <w:noProof/>
                <w:sz w:val="16"/>
              </w:rPr>
              <w:t>- 1 537 273</w:t>
            </w:r>
          </w:p>
        </w:tc>
        <w:tc>
          <w:tcPr>
            <w:tcW w:w="1701" w:type="dxa"/>
          </w:tcPr>
          <w:p w14:paraId="01E8E35D" w14:textId="74AFFE2C" w:rsidR="00647387" w:rsidRPr="006A6461" w:rsidRDefault="00DC6261">
            <w:pPr>
              <w:widowControl w:val="0"/>
              <w:spacing w:before="15" w:after="15"/>
              <w:jc w:val="right"/>
              <w:rPr>
                <w:rFonts w:ascii="Times New Roman" w:hAnsi="Times New Roman" w:cs="Times New Roman"/>
                <w:noProof/>
                <w:sz w:val="16"/>
                <w:szCs w:val="16"/>
              </w:rPr>
            </w:pPr>
            <w:r>
              <w:rPr>
                <w:rFonts w:ascii="Times New Roman" w:hAnsi="Times New Roman"/>
                <w:noProof/>
                <w:sz w:val="16"/>
              </w:rPr>
              <w:t>- 1 537 273</w:t>
            </w:r>
          </w:p>
        </w:tc>
      </w:tr>
      <w:tr w:rsidR="00884447" w:rsidRPr="006A6461" w14:paraId="3EE99D40" w14:textId="77777777" w:rsidTr="009A305F">
        <w:trPr>
          <w:jc w:val="center"/>
        </w:trPr>
        <w:tc>
          <w:tcPr>
            <w:tcW w:w="1276" w:type="dxa"/>
          </w:tcPr>
          <w:p w14:paraId="6C9BF63D" w14:textId="2DB5EA90" w:rsidR="007A7E93" w:rsidRPr="006A6461" w:rsidRDefault="007A7E93" w:rsidP="007A7E93">
            <w:pPr>
              <w:widowControl w:val="0"/>
              <w:spacing w:before="15" w:after="15"/>
              <w:ind w:right="-113"/>
              <w:jc w:val="both"/>
              <w:rPr>
                <w:rFonts w:ascii="Times New Roman" w:hAnsi="Times New Roman" w:cs="Times New Roman"/>
                <w:noProof/>
                <w:sz w:val="16"/>
                <w:szCs w:val="16"/>
              </w:rPr>
            </w:pPr>
            <w:r>
              <w:rPr>
                <w:rFonts w:ascii="Times New Roman" w:hAnsi="Times New Roman"/>
                <w:noProof/>
                <w:sz w:val="16"/>
              </w:rPr>
              <w:t>09 02 01</w:t>
            </w:r>
          </w:p>
        </w:tc>
        <w:tc>
          <w:tcPr>
            <w:tcW w:w="5132" w:type="dxa"/>
          </w:tcPr>
          <w:p w14:paraId="36426059" w14:textId="5BD010B1" w:rsidR="007A7E93" w:rsidRPr="00F34834" w:rsidRDefault="00274526" w:rsidP="00274526">
            <w:pPr>
              <w:widowControl w:val="0"/>
              <w:tabs>
                <w:tab w:val="left" w:pos="1350"/>
              </w:tabs>
              <w:spacing w:before="15" w:after="15"/>
              <w:jc w:val="both"/>
              <w:rPr>
                <w:rFonts w:ascii="Times New Roman" w:hAnsi="Times New Roman" w:cs="Times New Roman"/>
                <w:noProof/>
                <w:sz w:val="16"/>
                <w:szCs w:val="16"/>
              </w:rPr>
            </w:pPr>
            <w:r>
              <w:rPr>
                <w:rFonts w:ascii="Times New Roman" w:hAnsi="Times New Roman"/>
                <w:noProof/>
                <w:sz w:val="16"/>
              </w:rPr>
              <w:t>Nature et biodiversité</w:t>
            </w:r>
          </w:p>
        </w:tc>
        <w:tc>
          <w:tcPr>
            <w:tcW w:w="1701" w:type="dxa"/>
          </w:tcPr>
          <w:p w14:paraId="2B76F63F" w14:textId="73ACDCA9" w:rsidR="007A7E93" w:rsidRPr="006A6461" w:rsidRDefault="007A7E93" w:rsidP="007A7E93">
            <w:pPr>
              <w:widowControl w:val="0"/>
              <w:spacing w:before="15" w:after="15"/>
              <w:jc w:val="right"/>
              <w:rPr>
                <w:rFonts w:ascii="Times New Roman" w:hAnsi="Times New Roman" w:cs="Times New Roman"/>
                <w:noProof/>
                <w:sz w:val="16"/>
                <w:szCs w:val="16"/>
              </w:rPr>
            </w:pPr>
            <w:r>
              <w:rPr>
                <w:rFonts w:ascii="Times New Roman" w:hAnsi="Times New Roman"/>
                <w:noProof/>
                <w:sz w:val="16"/>
              </w:rPr>
              <w:t>552 550</w:t>
            </w:r>
          </w:p>
        </w:tc>
        <w:tc>
          <w:tcPr>
            <w:tcW w:w="1701" w:type="dxa"/>
          </w:tcPr>
          <w:p w14:paraId="0DD1A668" w14:textId="499A309C" w:rsidR="007A7E93" w:rsidRPr="006A6461" w:rsidRDefault="007A7E93" w:rsidP="007A7E93">
            <w:pPr>
              <w:widowControl w:val="0"/>
              <w:spacing w:before="15" w:after="15"/>
              <w:jc w:val="right"/>
              <w:rPr>
                <w:rFonts w:ascii="Times New Roman" w:hAnsi="Times New Roman" w:cs="Times New Roman"/>
                <w:noProof/>
                <w:sz w:val="16"/>
                <w:szCs w:val="16"/>
              </w:rPr>
            </w:pPr>
            <w:r>
              <w:rPr>
                <w:rFonts w:ascii="Times New Roman" w:hAnsi="Times New Roman"/>
                <w:noProof/>
                <w:sz w:val="16"/>
              </w:rPr>
              <w:t>552 550</w:t>
            </w:r>
          </w:p>
        </w:tc>
      </w:tr>
      <w:tr w:rsidR="00884447" w:rsidRPr="006A6461" w14:paraId="700245EF" w14:textId="77777777" w:rsidTr="009A305F">
        <w:trPr>
          <w:jc w:val="center"/>
        </w:trPr>
        <w:tc>
          <w:tcPr>
            <w:tcW w:w="1276" w:type="dxa"/>
          </w:tcPr>
          <w:p w14:paraId="57825D9F" w14:textId="36F46D01" w:rsidR="007A7E93" w:rsidRPr="006A6461" w:rsidRDefault="007A7E93" w:rsidP="007A7E93">
            <w:pPr>
              <w:widowControl w:val="0"/>
              <w:spacing w:before="15" w:after="15"/>
              <w:ind w:right="-113"/>
              <w:jc w:val="both"/>
              <w:rPr>
                <w:rFonts w:ascii="Times New Roman" w:hAnsi="Times New Roman" w:cs="Times New Roman"/>
                <w:noProof/>
                <w:sz w:val="16"/>
                <w:szCs w:val="16"/>
              </w:rPr>
            </w:pPr>
            <w:r>
              <w:rPr>
                <w:rFonts w:ascii="Times New Roman" w:hAnsi="Times New Roman"/>
                <w:noProof/>
                <w:sz w:val="16"/>
              </w:rPr>
              <w:t>09 02 02</w:t>
            </w:r>
          </w:p>
        </w:tc>
        <w:tc>
          <w:tcPr>
            <w:tcW w:w="5132" w:type="dxa"/>
          </w:tcPr>
          <w:p w14:paraId="3F4E7A0C" w14:textId="3B47BC32" w:rsidR="007A7E93" w:rsidRPr="00F34834" w:rsidRDefault="00CB17B5" w:rsidP="00CB17B5">
            <w:pPr>
              <w:widowControl w:val="0"/>
              <w:tabs>
                <w:tab w:val="left" w:pos="1350"/>
              </w:tabs>
              <w:spacing w:before="15" w:after="15"/>
              <w:jc w:val="both"/>
              <w:rPr>
                <w:rFonts w:ascii="Times New Roman" w:hAnsi="Times New Roman" w:cs="Times New Roman"/>
                <w:noProof/>
                <w:sz w:val="16"/>
                <w:szCs w:val="16"/>
              </w:rPr>
            </w:pPr>
            <w:r>
              <w:rPr>
                <w:rFonts w:ascii="Times New Roman" w:hAnsi="Times New Roman"/>
                <w:noProof/>
                <w:sz w:val="16"/>
              </w:rPr>
              <w:t>Économie circulaire et qualité de vie</w:t>
            </w:r>
          </w:p>
        </w:tc>
        <w:tc>
          <w:tcPr>
            <w:tcW w:w="1701" w:type="dxa"/>
          </w:tcPr>
          <w:p w14:paraId="40ACFDAB" w14:textId="4A0B96BE" w:rsidR="007A7E93" w:rsidRPr="006A6461" w:rsidRDefault="007A7E93" w:rsidP="007A7E93">
            <w:pPr>
              <w:widowControl w:val="0"/>
              <w:spacing w:before="15" w:after="15"/>
              <w:jc w:val="right"/>
              <w:rPr>
                <w:rFonts w:ascii="Times New Roman" w:hAnsi="Times New Roman" w:cs="Times New Roman"/>
                <w:noProof/>
                <w:sz w:val="16"/>
                <w:szCs w:val="16"/>
              </w:rPr>
            </w:pPr>
            <w:r>
              <w:rPr>
                <w:rFonts w:ascii="Times New Roman" w:hAnsi="Times New Roman"/>
                <w:noProof/>
                <w:sz w:val="16"/>
              </w:rPr>
              <w:t>432 172</w:t>
            </w:r>
          </w:p>
        </w:tc>
        <w:tc>
          <w:tcPr>
            <w:tcW w:w="1701" w:type="dxa"/>
          </w:tcPr>
          <w:p w14:paraId="478C64C2" w14:textId="39A2C2ED" w:rsidR="007A7E93" w:rsidRPr="006A6461" w:rsidRDefault="007A7E93" w:rsidP="007A7E93">
            <w:pPr>
              <w:widowControl w:val="0"/>
              <w:spacing w:before="15" w:after="15"/>
              <w:jc w:val="right"/>
              <w:rPr>
                <w:rFonts w:ascii="Times New Roman" w:hAnsi="Times New Roman" w:cs="Times New Roman"/>
                <w:noProof/>
                <w:sz w:val="16"/>
                <w:szCs w:val="16"/>
              </w:rPr>
            </w:pPr>
            <w:r>
              <w:rPr>
                <w:rFonts w:ascii="Times New Roman" w:hAnsi="Times New Roman"/>
                <w:noProof/>
                <w:sz w:val="16"/>
              </w:rPr>
              <w:t>432 172</w:t>
            </w:r>
          </w:p>
        </w:tc>
      </w:tr>
      <w:tr w:rsidR="00884447" w:rsidRPr="006A6461" w14:paraId="0B1768CF" w14:textId="77777777" w:rsidTr="009A305F">
        <w:trPr>
          <w:jc w:val="center"/>
        </w:trPr>
        <w:tc>
          <w:tcPr>
            <w:tcW w:w="1276" w:type="dxa"/>
          </w:tcPr>
          <w:p w14:paraId="37FCE62E" w14:textId="5A069F45" w:rsidR="007A7E93" w:rsidRPr="006A6461" w:rsidRDefault="007A7E93" w:rsidP="007A7E93">
            <w:pPr>
              <w:widowControl w:val="0"/>
              <w:spacing w:before="15" w:after="15"/>
              <w:ind w:right="-113"/>
              <w:jc w:val="both"/>
              <w:rPr>
                <w:rFonts w:ascii="Times New Roman" w:hAnsi="Times New Roman" w:cs="Times New Roman"/>
                <w:noProof/>
                <w:sz w:val="16"/>
                <w:szCs w:val="16"/>
              </w:rPr>
            </w:pPr>
            <w:r>
              <w:rPr>
                <w:rFonts w:ascii="Times New Roman" w:hAnsi="Times New Roman"/>
                <w:noProof/>
                <w:sz w:val="16"/>
              </w:rPr>
              <w:t>09 02 03</w:t>
            </w:r>
          </w:p>
        </w:tc>
        <w:tc>
          <w:tcPr>
            <w:tcW w:w="5132" w:type="dxa"/>
          </w:tcPr>
          <w:p w14:paraId="7C17431B" w14:textId="341CD803" w:rsidR="007A7E93" w:rsidRPr="00F34834" w:rsidRDefault="00CB17B5" w:rsidP="00CB17B5">
            <w:pPr>
              <w:widowControl w:val="0"/>
              <w:tabs>
                <w:tab w:val="left" w:pos="1350"/>
              </w:tabs>
              <w:spacing w:before="15" w:after="15"/>
              <w:jc w:val="both"/>
              <w:rPr>
                <w:rFonts w:ascii="Times New Roman" w:hAnsi="Times New Roman" w:cs="Times New Roman"/>
                <w:noProof/>
                <w:sz w:val="16"/>
                <w:szCs w:val="16"/>
              </w:rPr>
            </w:pPr>
            <w:r>
              <w:rPr>
                <w:rFonts w:ascii="Times New Roman" w:hAnsi="Times New Roman"/>
                <w:noProof/>
                <w:sz w:val="16"/>
              </w:rPr>
              <w:t>Atténuation du changement climatique et adaptation à celui-ci</w:t>
            </w:r>
          </w:p>
        </w:tc>
        <w:tc>
          <w:tcPr>
            <w:tcW w:w="1701" w:type="dxa"/>
          </w:tcPr>
          <w:p w14:paraId="23765F31" w14:textId="5197C3BB" w:rsidR="007A7E93" w:rsidRPr="006A6461" w:rsidRDefault="007A7E93" w:rsidP="007A7E93">
            <w:pPr>
              <w:widowControl w:val="0"/>
              <w:spacing w:before="15" w:after="15"/>
              <w:jc w:val="right"/>
              <w:rPr>
                <w:rFonts w:ascii="Times New Roman" w:hAnsi="Times New Roman" w:cs="Times New Roman"/>
                <w:noProof/>
                <w:sz w:val="16"/>
                <w:szCs w:val="16"/>
              </w:rPr>
            </w:pPr>
            <w:r>
              <w:rPr>
                <w:rFonts w:ascii="Times New Roman" w:hAnsi="Times New Roman"/>
                <w:noProof/>
                <w:sz w:val="16"/>
              </w:rPr>
              <w:t>552 551</w:t>
            </w:r>
          </w:p>
        </w:tc>
        <w:tc>
          <w:tcPr>
            <w:tcW w:w="1701" w:type="dxa"/>
          </w:tcPr>
          <w:p w14:paraId="0F2EA25C" w14:textId="463CB234" w:rsidR="007A7E93" w:rsidRPr="006A6461" w:rsidRDefault="007A7E93" w:rsidP="007A7E93">
            <w:pPr>
              <w:widowControl w:val="0"/>
              <w:spacing w:before="15" w:after="15"/>
              <w:jc w:val="right"/>
              <w:rPr>
                <w:rFonts w:ascii="Times New Roman" w:hAnsi="Times New Roman" w:cs="Times New Roman"/>
                <w:noProof/>
                <w:sz w:val="16"/>
                <w:szCs w:val="16"/>
              </w:rPr>
            </w:pPr>
            <w:r>
              <w:rPr>
                <w:rFonts w:ascii="Times New Roman" w:hAnsi="Times New Roman"/>
                <w:noProof/>
                <w:sz w:val="16"/>
              </w:rPr>
              <w:t>552 551</w:t>
            </w:r>
          </w:p>
        </w:tc>
      </w:tr>
      <w:tr w:rsidR="00DC6261" w:rsidRPr="006A6461" w14:paraId="7F4E7FF9" w14:textId="77777777" w:rsidTr="0FE2306C">
        <w:trPr>
          <w:jc w:val="center"/>
        </w:trPr>
        <w:tc>
          <w:tcPr>
            <w:tcW w:w="6408" w:type="dxa"/>
            <w:gridSpan w:val="2"/>
            <w:shd w:val="clear" w:color="auto" w:fill="D9D9D9" w:themeFill="background1" w:themeFillShade="D9"/>
          </w:tcPr>
          <w:p w14:paraId="3422511E" w14:textId="77777777" w:rsidR="00DC6261" w:rsidRPr="006A6461" w:rsidRDefault="00DC6261" w:rsidP="00DC6261">
            <w:pPr>
              <w:widowControl w:val="0"/>
              <w:spacing w:before="15" w:after="15"/>
              <w:ind w:right="-113"/>
              <w:jc w:val="both"/>
              <w:rPr>
                <w:rFonts w:ascii="Times New Roman" w:hAnsi="Times New Roman" w:cs="Times New Roman"/>
                <w:noProof/>
                <w:sz w:val="20"/>
                <w:szCs w:val="20"/>
              </w:rPr>
            </w:pPr>
            <w:r>
              <w:rPr>
                <w:rFonts w:ascii="Times New Roman" w:hAnsi="Times New Roman"/>
                <w:b/>
                <w:noProof/>
                <w:sz w:val="20"/>
              </w:rPr>
              <w:t>Total</w:t>
            </w:r>
            <w:r>
              <w:rPr>
                <w:rFonts w:ascii="Times New Roman" w:hAnsi="Times New Roman"/>
                <w:b/>
                <w:noProof/>
                <w:sz w:val="20"/>
              </w:rPr>
              <w:tab/>
            </w:r>
          </w:p>
        </w:tc>
        <w:tc>
          <w:tcPr>
            <w:tcW w:w="1701" w:type="dxa"/>
            <w:shd w:val="clear" w:color="auto" w:fill="D9D9D9" w:themeFill="background1" w:themeFillShade="D9"/>
          </w:tcPr>
          <w:p w14:paraId="238ECC1C" w14:textId="3762C189" w:rsidR="00DC6261" w:rsidRPr="00DC6261" w:rsidRDefault="00DC6261" w:rsidP="00DC6261">
            <w:pPr>
              <w:widowControl w:val="0"/>
              <w:spacing w:before="15" w:after="15"/>
              <w:jc w:val="right"/>
              <w:rPr>
                <w:rFonts w:ascii="Times New Roman" w:eastAsia="Times New Roman" w:hAnsi="Times New Roman" w:cs="Times New Roman"/>
                <w:b/>
                <w:bCs/>
                <w:noProof/>
                <w:sz w:val="20"/>
                <w:szCs w:val="20"/>
              </w:rPr>
            </w:pPr>
            <w:r>
              <w:rPr>
                <w:rFonts w:ascii="Times New Roman" w:hAnsi="Times New Roman"/>
                <w:b/>
                <w:noProof/>
                <w:sz w:val="20"/>
              </w:rPr>
              <w:t>0</w:t>
            </w:r>
          </w:p>
        </w:tc>
        <w:tc>
          <w:tcPr>
            <w:tcW w:w="1701" w:type="dxa"/>
            <w:shd w:val="clear" w:color="auto" w:fill="D9D9D9" w:themeFill="background1" w:themeFillShade="D9"/>
          </w:tcPr>
          <w:p w14:paraId="38390A57" w14:textId="62A783B4" w:rsidR="00DC6261" w:rsidRPr="006A6461" w:rsidRDefault="00DC6261" w:rsidP="00DC6261">
            <w:pPr>
              <w:widowControl w:val="0"/>
              <w:spacing w:before="15" w:after="15"/>
              <w:jc w:val="right"/>
              <w:rPr>
                <w:rFonts w:ascii="Times New Roman" w:hAnsi="Times New Roman" w:cs="Times New Roman"/>
                <w:b/>
                <w:bCs/>
                <w:noProof/>
                <w:sz w:val="20"/>
                <w:szCs w:val="20"/>
              </w:rPr>
            </w:pPr>
            <w:r>
              <w:rPr>
                <w:rFonts w:ascii="Times New Roman" w:hAnsi="Times New Roman"/>
                <w:b/>
                <w:noProof/>
                <w:sz w:val="20"/>
              </w:rPr>
              <w:t>0</w:t>
            </w:r>
          </w:p>
        </w:tc>
      </w:tr>
    </w:tbl>
    <w:p w14:paraId="53DA3B4C" w14:textId="119BD281" w:rsidR="00B51D81" w:rsidRPr="004B09DD" w:rsidRDefault="00E0307B" w:rsidP="004B09DD">
      <w:pPr>
        <w:jc w:val="both"/>
        <w:rPr>
          <w:rFonts w:ascii="Times New Roman" w:hAnsi="Times New Roman" w:cs="Times New Roman"/>
          <w:noProof/>
          <w:sz w:val="24"/>
          <w:szCs w:val="24"/>
        </w:rPr>
      </w:pPr>
      <w:r>
        <w:rPr>
          <w:rFonts w:ascii="Times New Roman" w:hAnsi="Times New Roman"/>
          <w:noProof/>
          <w:sz w:val="24"/>
        </w:rPr>
        <w:br/>
        <w:t>Le tableau des effectifs actualisé figure dans l’annexe budgétaire.</w:t>
      </w:r>
    </w:p>
    <w:p w14:paraId="1B4E3F92" w14:textId="5E4A8D33" w:rsidR="00647387" w:rsidRDefault="00647387" w:rsidP="00F34834">
      <w:pPr>
        <w:keepNext/>
        <w:tabs>
          <w:tab w:val="left" w:pos="850"/>
        </w:tabs>
        <w:spacing w:before="360" w:after="120"/>
        <w:jc w:val="both"/>
        <w:outlineLvl w:val="1"/>
        <w:rPr>
          <w:rFonts w:ascii="Times New Roman" w:eastAsia="Calibri" w:hAnsi="Times New Roman" w:cs="Times New Roman"/>
          <w:b/>
          <w:noProof/>
          <w:sz w:val="24"/>
          <w:szCs w:val="24"/>
        </w:rPr>
      </w:pPr>
      <w:bookmarkStart w:id="46" w:name="_Toc232755305"/>
      <w:r>
        <w:rPr>
          <w:rFonts w:ascii="Times New Roman" w:hAnsi="Times New Roman"/>
          <w:b/>
          <w:noProof/>
          <w:sz w:val="24"/>
        </w:rPr>
        <w:t>3.5</w:t>
      </w:r>
      <w:r>
        <w:rPr>
          <w:rFonts w:ascii="Times New Roman" w:hAnsi="Times New Roman"/>
          <w:b/>
          <w:noProof/>
          <w:sz w:val="24"/>
        </w:rPr>
        <w:tab/>
        <w:t>Modification des commentaires budgétaires de la ligne 02 02 02 (Garantie de l’Union du Fonds InvestEU – Provisionnement du fonds commun de provisionnement)</w:t>
      </w:r>
      <w:bookmarkEnd w:id="46"/>
    </w:p>
    <w:p w14:paraId="56DEB1C7" w14:textId="497C2DF4" w:rsidR="00565581" w:rsidRPr="00565581" w:rsidRDefault="00565581" w:rsidP="00565581">
      <w:pPr>
        <w:jc w:val="both"/>
        <w:rPr>
          <w:rFonts w:ascii="Times New Roman" w:hAnsi="Times New Roman" w:cs="Times New Roman"/>
          <w:noProof/>
          <w:sz w:val="24"/>
          <w:szCs w:val="24"/>
        </w:rPr>
      </w:pPr>
      <w:r>
        <w:rPr>
          <w:rFonts w:ascii="Times New Roman" w:hAnsi="Times New Roman"/>
          <w:noProof/>
          <w:sz w:val="24"/>
        </w:rPr>
        <w:t>En vertu du règlement Omnibus II InvestEU</w:t>
      </w:r>
      <w:r w:rsidR="00373254">
        <w:rPr>
          <w:rStyle w:val="FootnoteReference"/>
          <w:rFonts w:ascii="Times New Roman" w:hAnsi="Times New Roman" w:cs="Times New Roman"/>
          <w:noProof/>
          <w:sz w:val="24"/>
          <w:szCs w:val="24"/>
        </w:rPr>
        <w:footnoteReference w:id="19"/>
      </w:r>
      <w:r>
        <w:rPr>
          <w:rFonts w:ascii="Times New Roman" w:hAnsi="Times New Roman"/>
          <w:noProof/>
          <w:sz w:val="24"/>
        </w:rPr>
        <w:t>, les États membres peuvent à présent contribuer à l’instrument financier InvestEU au moyen de fonds provenant de la facilité pour la reprise et la résilience (FRR). Ces fonds sont des contributions directes en espèces des États membres aux partenaires chargés de la mise en œuvre, pour lesquelles la solution la plus appropriée est d’enregistrer ces recettes affectées externes sur la ligne budgétaire 02 02 02. Afin de tenir compte de cette modification et de répondre à de futures demandes similaires, il est proposé de modifier les commentaires budgétaires de la ligne 02 02 02 du budget 2026 comme suit:</w:t>
      </w:r>
    </w:p>
    <w:p w14:paraId="384A1C40" w14:textId="31AD3562" w:rsidR="00E80641" w:rsidRPr="00FC1192" w:rsidRDefault="007601E8" w:rsidP="00955D72">
      <w:pPr>
        <w:jc w:val="both"/>
        <w:rPr>
          <w:rFonts w:ascii="Times New Roman" w:hAnsi="Times New Roman" w:cs="Times New Roman"/>
          <w:b/>
          <w:bCs/>
          <w:i/>
          <w:iCs/>
          <w:noProof/>
          <w:sz w:val="24"/>
          <w:szCs w:val="24"/>
        </w:rPr>
      </w:pPr>
      <w:r>
        <w:rPr>
          <w:rFonts w:ascii="Times New Roman" w:hAnsi="Times New Roman"/>
          <w:b/>
          <w:i/>
          <w:noProof/>
          <w:sz w:val="24"/>
        </w:rPr>
        <w:t>Ligne 02 02 02 –– Garantie de l’Union du Fonds InvestEU — Provisionnement du fonds commun de provisionnement</w:t>
      </w:r>
    </w:p>
    <w:p w14:paraId="3C8EDDF3" w14:textId="2C1A75E5" w:rsidR="00196E99" w:rsidRPr="00196E99" w:rsidRDefault="00196E99" w:rsidP="00196E99">
      <w:pPr>
        <w:jc w:val="both"/>
        <w:rPr>
          <w:rFonts w:ascii="Times New Roman" w:hAnsi="Times New Roman" w:cs="Times New Roman"/>
          <w:i/>
          <w:iCs/>
          <w:noProof/>
          <w:sz w:val="24"/>
          <w:szCs w:val="24"/>
        </w:rPr>
      </w:pPr>
      <w:r>
        <w:rPr>
          <w:rFonts w:ascii="Times New Roman" w:hAnsi="Times New Roman"/>
          <w:i/>
          <w:noProof/>
          <w:sz w:val="24"/>
        </w:rPr>
        <w:t>Ce crédit est destiné à couvrir le provisionnement de la garantie de l’Union nécessaire principalement pour couvrir les appels de garantie et les autres frais liés à la mise en œuvre de la garantie de l’Union du Fonds InvestEU.</w:t>
      </w:r>
    </w:p>
    <w:p w14:paraId="0A87659A" w14:textId="6CF386AD" w:rsidR="00196E99" w:rsidRDefault="00196E99" w:rsidP="00196E99">
      <w:pPr>
        <w:jc w:val="both"/>
        <w:rPr>
          <w:rFonts w:ascii="Times New Roman" w:hAnsi="Times New Roman" w:cs="Times New Roman"/>
          <w:i/>
          <w:iCs/>
          <w:noProof/>
          <w:sz w:val="24"/>
          <w:szCs w:val="24"/>
        </w:rPr>
      </w:pPr>
      <w:r>
        <w:rPr>
          <w:rFonts w:ascii="Times New Roman" w:hAnsi="Times New Roman"/>
          <w:i/>
          <w:noProof/>
          <w:sz w:val="24"/>
        </w:rPr>
        <w:t>En outre, des contributions de cinq États membres (Roumanie, Grèce, Finlande, Bulgarie et Malte) ainsi que de la Norvège et de l’Islande ont été reçues en 2022, 2023 et 2024 à titre de contributions annuelles supplémentaires des États membres et des États de l’AELE, augmentant les crédits correspondants inscrits à cet article.</w:t>
      </w:r>
    </w:p>
    <w:p w14:paraId="4D90FE5F" w14:textId="5A16004B" w:rsidR="002C1575" w:rsidRDefault="002C1575" w:rsidP="00955D72">
      <w:pPr>
        <w:jc w:val="both"/>
        <w:rPr>
          <w:rFonts w:ascii="Times New Roman" w:eastAsia="Times New Roman" w:hAnsi="Times New Roman" w:cs="Times New Roman"/>
          <w:i/>
          <w:iCs/>
          <w:noProof/>
          <w:color w:val="4472C4" w:themeColor="accent5"/>
          <w:sz w:val="24"/>
          <w:szCs w:val="24"/>
          <w:u w:val="single"/>
        </w:rPr>
      </w:pPr>
      <w:r>
        <w:rPr>
          <w:rFonts w:ascii="Times New Roman" w:hAnsi="Times New Roman"/>
          <w:i/>
          <w:noProof/>
          <w:color w:val="4472C4" w:themeColor="accent5"/>
          <w:sz w:val="24"/>
          <w:u w:val="single"/>
        </w:rPr>
        <w:t>À la suite du règlement Omnibus II InvestEU, des contributions supplémentaires sont attendues de l’Italie et de la Roumanie, qui constitueront des recettes affectées externes. Ces fonds ne feront pas partie de la garantie InvestEU, mais seront confiés aux partenaires correspondants chargés de la mise en œuvre d’InvestEU et déployés en tant qu’instrument financier au titre d’InvestEU.</w:t>
      </w:r>
    </w:p>
    <w:p w14:paraId="1449F8C1" w14:textId="2D62507C" w:rsidR="00C839FE" w:rsidRPr="00C839FE" w:rsidRDefault="00C839FE" w:rsidP="00C839FE">
      <w:pPr>
        <w:keepNext/>
        <w:tabs>
          <w:tab w:val="left" w:pos="850"/>
        </w:tabs>
        <w:spacing w:before="240" w:after="120"/>
        <w:ind w:left="851" w:hanging="851"/>
        <w:jc w:val="both"/>
        <w:outlineLvl w:val="0"/>
        <w:rPr>
          <w:rFonts w:ascii="Times New Roman" w:hAnsi="Times New Roman" w:cs="Times New Roman"/>
          <w:b/>
          <w:bCs/>
          <w:smallCaps/>
          <w:noProof/>
          <w:sz w:val="24"/>
          <w:szCs w:val="24"/>
        </w:rPr>
      </w:pPr>
      <w:bookmarkStart w:id="47" w:name="_Toc232755306"/>
      <w:bookmarkEnd w:id="44"/>
      <w:r>
        <w:rPr>
          <w:rFonts w:ascii="Times New Roman" w:hAnsi="Times New Roman"/>
          <w:b/>
          <w:smallCaps/>
          <w:noProof/>
          <w:sz w:val="24"/>
        </w:rPr>
        <w:t>4.</w:t>
      </w:r>
      <w:r>
        <w:rPr>
          <w:noProof/>
        </w:rPr>
        <w:tab/>
      </w:r>
      <w:r>
        <w:rPr>
          <w:rFonts w:ascii="Times New Roman" w:hAnsi="Times New Roman"/>
          <w:b/>
          <w:smallCaps/>
          <w:noProof/>
          <w:sz w:val="24"/>
        </w:rPr>
        <w:t>Financement</w:t>
      </w:r>
      <w:bookmarkEnd w:id="47"/>
    </w:p>
    <w:p w14:paraId="5CEA7388" w14:textId="7DB47ED1" w:rsidR="00EC42DC" w:rsidRDefault="000E013D" w:rsidP="00C45FCA">
      <w:pPr>
        <w:jc w:val="both"/>
        <w:rPr>
          <w:rFonts w:ascii="Times New Roman" w:eastAsia="Times New Roman" w:hAnsi="Times New Roman" w:cs="Times New Roman"/>
          <w:noProof/>
          <w:sz w:val="24"/>
          <w:szCs w:val="24"/>
        </w:rPr>
      </w:pPr>
      <w:bookmarkStart w:id="48" w:name="_Hlk137570371"/>
      <w:bookmarkStart w:id="49" w:name="_Toc35506112"/>
      <w:bookmarkEnd w:id="2"/>
      <w:r>
        <w:rPr>
          <w:rFonts w:ascii="Times New Roman" w:hAnsi="Times New Roman"/>
          <w:noProof/>
          <w:sz w:val="24"/>
        </w:rPr>
        <w:t xml:space="preserve">Globalement, l’incidence nette du PBR nº 2/2026 sur les dépenses correspond à une augmentation de 444,2 millions d’EUR en crédits d’engagement et de 8 004,2 millions d’EUR en crédits de paiement. </w:t>
      </w:r>
      <w:bookmarkEnd w:id="48"/>
      <w:r>
        <w:rPr>
          <w:rFonts w:ascii="Times New Roman" w:hAnsi="Times New Roman"/>
          <w:noProof/>
          <w:sz w:val="24"/>
        </w:rPr>
        <w:t>Il est proposé d’ajuster le volet des recettes du budget comme indiqué dans le présent PBR nº 2/2026.</w:t>
      </w:r>
    </w:p>
    <w:p w14:paraId="11B2CC8A" w14:textId="17CADD44" w:rsidR="007B04F7" w:rsidRPr="007B04F7" w:rsidRDefault="00AB5FEE" w:rsidP="7B4807BD">
      <w:pPr>
        <w:pStyle w:val="paragraph"/>
        <w:spacing w:before="0" w:beforeAutospacing="0" w:after="0" w:afterAutospacing="0"/>
        <w:jc w:val="both"/>
        <w:textAlignment w:val="baseline"/>
        <w:rPr>
          <w:rStyle w:val="normaltextrun"/>
          <w:noProof/>
        </w:rPr>
      </w:pPr>
      <w:r>
        <w:rPr>
          <w:rStyle w:val="normaltextrun"/>
          <w:noProof/>
        </w:rPr>
        <w:t>Compte tenu de l’absence de marges et de possibilités de redéploiement dans la sous-rubrique 2 b, la Commission propose de mobiliser l’instrument de flexibilité, conformément à l’article 12 du règlement (UE, Euratom) 2020/2093</w:t>
      </w:r>
      <w:r w:rsidR="007B04F7" w:rsidRPr="007B04F7">
        <w:rPr>
          <w:rStyle w:val="FootnoteReference"/>
          <w:noProof/>
          <w:lang w:val="en-GB"/>
        </w:rPr>
        <w:footnoteReference w:id="20"/>
      </w:r>
      <w:r>
        <w:rPr>
          <w:rStyle w:val="normaltextrun"/>
          <w:noProof/>
        </w:rPr>
        <w:t>, à hauteur d’un montant de 1 million d’EUR en crédits d’engagement et de paiement pour la sous-rubrique 2 b, afin de renforcer la ligne budgétaire relative aux dépenses d’appui pour les activités d’emprunt et de gestion de la dette.</w:t>
      </w:r>
    </w:p>
    <w:p w14:paraId="02E26FC8" w14:textId="77777777" w:rsidR="007B04F7" w:rsidRPr="004C0516" w:rsidRDefault="007B04F7" w:rsidP="7B4807BD">
      <w:pPr>
        <w:pStyle w:val="paragraph"/>
        <w:spacing w:before="0" w:beforeAutospacing="0" w:after="0" w:afterAutospacing="0"/>
        <w:jc w:val="both"/>
        <w:textAlignment w:val="baseline"/>
        <w:rPr>
          <w:rStyle w:val="normaltextrun"/>
          <w:noProof/>
          <w:lang w:val="fr-BE"/>
        </w:rPr>
      </w:pPr>
    </w:p>
    <w:p w14:paraId="34FB903D" w14:textId="623E463C" w:rsidR="00AB5FEE" w:rsidRPr="00791DF2" w:rsidRDefault="007B04F7" w:rsidP="7B4807BD">
      <w:pPr>
        <w:pStyle w:val="paragraph"/>
        <w:spacing w:before="0" w:beforeAutospacing="0" w:after="0" w:afterAutospacing="0"/>
        <w:jc w:val="both"/>
        <w:textAlignment w:val="baseline"/>
        <w:rPr>
          <w:rStyle w:val="eop"/>
          <w:noProof/>
          <w:highlight w:val="yellow"/>
        </w:rPr>
      </w:pPr>
      <w:r>
        <w:rPr>
          <w:rStyle w:val="normaltextrun"/>
          <w:noProof/>
        </w:rPr>
        <w:t>De même, compte tenu de l’absence de marges et de possibilités de redéploiement dans la rubrique 7, la Commission propose de mobiliser le dispositif de marge unique, conformément à l’article 11 du règlement (UE, Euratom) 2020/2093</w:t>
      </w:r>
      <w:r w:rsidRPr="00CD6192">
        <w:rPr>
          <w:rStyle w:val="FootnoteReference"/>
          <w:noProof/>
          <w:lang w:val="en-GB"/>
        </w:rPr>
        <w:footnoteReference w:id="21"/>
      </w:r>
      <w:r>
        <w:rPr>
          <w:rStyle w:val="normaltextrun"/>
          <w:noProof/>
        </w:rPr>
        <w:t>, à hauteur d’un montant de 3,165 millions d’EUR en crédits d’engagement pour la rubrique 7.</w:t>
      </w:r>
    </w:p>
    <w:p w14:paraId="5F7DB691" w14:textId="091F26F4" w:rsidR="00AB5FEE" w:rsidRPr="00791DF2" w:rsidRDefault="00AB5FEE" w:rsidP="7B4807BD">
      <w:pPr>
        <w:pStyle w:val="paragraph"/>
        <w:spacing w:before="0" w:beforeAutospacing="0" w:after="0" w:afterAutospacing="0"/>
        <w:jc w:val="both"/>
        <w:textAlignment w:val="baseline"/>
        <w:rPr>
          <w:rFonts w:ascii="Segoe UI" w:hAnsi="Segoe UI" w:cs="Segoe UI"/>
          <w:noProof/>
          <w:sz w:val="18"/>
          <w:szCs w:val="18"/>
          <w:highlight w:val="yellow"/>
        </w:rPr>
      </w:pPr>
    </w:p>
    <w:p w14:paraId="31D93D5E" w14:textId="5064CC0D" w:rsidR="00AB5FEE" w:rsidRDefault="00AB5FEE" w:rsidP="7B4807BD">
      <w:pPr>
        <w:pStyle w:val="paragraph"/>
        <w:spacing w:before="0" w:beforeAutospacing="0" w:after="0" w:afterAutospacing="0"/>
        <w:jc w:val="both"/>
        <w:textAlignment w:val="baseline"/>
        <w:rPr>
          <w:rStyle w:val="normaltextrun"/>
          <w:noProof/>
        </w:rPr>
      </w:pPr>
      <w:r>
        <w:rPr>
          <w:rStyle w:val="normaltextrun"/>
          <w:noProof/>
        </w:rPr>
        <w:t>Les crédits de paiement pour 2026 liés à la mobilisation de l’instrument de flexibilité pour la période allant de 2023 à 2026 sont estimés à 2 286,0 millions d’EUR. L’échéancier de paiement estimé relatif aux montants correspondants dus pour ces exercices est exposé dans le tableau suivant:</w:t>
      </w:r>
    </w:p>
    <w:p w14:paraId="4F37F779" w14:textId="77777777" w:rsidR="004F3857" w:rsidRDefault="004F3857" w:rsidP="7B4807BD">
      <w:pPr>
        <w:pStyle w:val="paragraph"/>
        <w:spacing w:before="0" w:beforeAutospacing="0" w:after="0" w:afterAutospacing="0"/>
        <w:jc w:val="both"/>
        <w:textAlignment w:val="baseline"/>
        <w:rPr>
          <w:rStyle w:val="eop"/>
          <w:noProof/>
        </w:rPr>
      </w:pPr>
    </w:p>
    <w:tbl>
      <w:tblP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57" w:type="dxa"/>
        </w:tblCellMar>
        <w:tblLook w:val="04A0" w:firstRow="1" w:lastRow="0" w:firstColumn="1" w:lastColumn="0" w:noHBand="0" w:noVBand="1"/>
      </w:tblPr>
      <w:tblGrid>
        <w:gridCol w:w="1830"/>
        <w:gridCol w:w="1305"/>
        <w:gridCol w:w="1305"/>
        <w:gridCol w:w="1509"/>
        <w:gridCol w:w="1843"/>
      </w:tblGrid>
      <w:tr w:rsidR="001069F0" w:rsidRPr="001069F0" w14:paraId="02B0E2B1" w14:textId="77777777" w:rsidTr="00257B29">
        <w:trPr>
          <w:trHeight w:val="300"/>
        </w:trPr>
        <w:tc>
          <w:tcPr>
            <w:tcW w:w="7792" w:type="dxa"/>
            <w:gridSpan w:val="5"/>
          </w:tcPr>
          <w:p w14:paraId="1493BC70" w14:textId="5B2624DE" w:rsidR="001069F0" w:rsidRPr="001069F0" w:rsidRDefault="001069F0" w:rsidP="001069F0">
            <w:pPr>
              <w:pStyle w:val="paragraph"/>
              <w:spacing w:before="0" w:beforeAutospacing="0" w:after="0" w:afterAutospacing="0"/>
              <w:jc w:val="center"/>
              <w:textAlignment w:val="baseline"/>
              <w:rPr>
                <w:rStyle w:val="normaltextrun"/>
                <w:b/>
                <w:bCs/>
                <w:noProof/>
                <w:color w:val="000000"/>
                <w:sz w:val="22"/>
                <w:szCs w:val="22"/>
              </w:rPr>
            </w:pPr>
            <w:r>
              <w:rPr>
                <w:rStyle w:val="normaltextrun"/>
                <w:i/>
                <w:noProof/>
                <w:color w:val="000000"/>
                <w:sz w:val="20"/>
              </w:rPr>
              <w:t>Instrument de flexibilité - profil de paiement (en Mio EUR)</w:t>
            </w:r>
            <w:r>
              <w:rPr>
                <w:rStyle w:val="eop"/>
                <w:noProof/>
                <w:color w:val="000000"/>
                <w:sz w:val="20"/>
              </w:rPr>
              <w:t> </w:t>
            </w:r>
          </w:p>
        </w:tc>
      </w:tr>
      <w:tr w:rsidR="001069F0" w:rsidRPr="001069F0" w14:paraId="1E538C93" w14:textId="77777777" w:rsidTr="00257B29">
        <w:trPr>
          <w:trHeight w:val="300"/>
        </w:trPr>
        <w:tc>
          <w:tcPr>
            <w:tcW w:w="1830" w:type="dxa"/>
            <w:vAlign w:val="center"/>
            <w:hideMark/>
          </w:tcPr>
          <w:p w14:paraId="41A718BA" w14:textId="77777777" w:rsidR="001069F0" w:rsidRPr="001069F0" w:rsidRDefault="001069F0" w:rsidP="000A0F81">
            <w:pPr>
              <w:pStyle w:val="paragraph"/>
              <w:spacing w:before="0" w:beforeAutospacing="0" w:after="0" w:afterAutospacing="0"/>
              <w:textAlignment w:val="baseline"/>
              <w:rPr>
                <w:noProof/>
              </w:rPr>
            </w:pPr>
            <w:r>
              <w:rPr>
                <w:rStyle w:val="normaltextrun"/>
                <w:i/>
                <w:noProof/>
                <w:color w:val="000000"/>
                <w:sz w:val="22"/>
              </w:rPr>
              <w:t>Exercice de la mobilisation</w:t>
            </w:r>
            <w:r>
              <w:rPr>
                <w:rStyle w:val="eop"/>
                <w:noProof/>
                <w:color w:val="000000"/>
                <w:sz w:val="22"/>
              </w:rPr>
              <w:t> </w:t>
            </w:r>
          </w:p>
        </w:tc>
        <w:tc>
          <w:tcPr>
            <w:tcW w:w="1305" w:type="dxa"/>
            <w:vAlign w:val="center"/>
          </w:tcPr>
          <w:p w14:paraId="54FFD50D" w14:textId="675EE371" w:rsidR="001069F0" w:rsidRPr="001069F0" w:rsidRDefault="001069F0" w:rsidP="00905B32">
            <w:pPr>
              <w:pStyle w:val="paragraph"/>
              <w:spacing w:before="0" w:beforeAutospacing="0" w:after="0" w:afterAutospacing="0"/>
              <w:jc w:val="center"/>
              <w:textAlignment w:val="baseline"/>
              <w:rPr>
                <w:noProof/>
              </w:rPr>
            </w:pPr>
            <w:r>
              <w:rPr>
                <w:b/>
                <w:noProof/>
                <w:color w:val="000000"/>
                <w:sz w:val="22"/>
              </w:rPr>
              <w:t>2026</w:t>
            </w:r>
            <w:r>
              <w:rPr>
                <w:noProof/>
                <w:color w:val="000000"/>
                <w:sz w:val="22"/>
              </w:rPr>
              <w:t>  </w:t>
            </w:r>
          </w:p>
        </w:tc>
        <w:tc>
          <w:tcPr>
            <w:tcW w:w="1305" w:type="dxa"/>
            <w:vAlign w:val="center"/>
          </w:tcPr>
          <w:p w14:paraId="759D3E58" w14:textId="3E484D4D" w:rsidR="001069F0" w:rsidRPr="001069F0" w:rsidRDefault="001069F0" w:rsidP="00905B32">
            <w:pPr>
              <w:pStyle w:val="paragraph"/>
              <w:spacing w:before="0" w:beforeAutospacing="0" w:after="0" w:afterAutospacing="0"/>
              <w:jc w:val="center"/>
              <w:textAlignment w:val="baseline"/>
              <w:rPr>
                <w:noProof/>
              </w:rPr>
            </w:pPr>
            <w:r>
              <w:rPr>
                <w:b/>
                <w:noProof/>
                <w:color w:val="000000"/>
                <w:sz w:val="22"/>
              </w:rPr>
              <w:t>2027</w:t>
            </w:r>
            <w:r>
              <w:rPr>
                <w:noProof/>
                <w:color w:val="000000"/>
                <w:sz w:val="22"/>
              </w:rPr>
              <w:t>  </w:t>
            </w:r>
          </w:p>
        </w:tc>
        <w:tc>
          <w:tcPr>
            <w:tcW w:w="1509" w:type="dxa"/>
            <w:vAlign w:val="center"/>
          </w:tcPr>
          <w:p w14:paraId="2C6DA204" w14:textId="1D88124F" w:rsidR="001069F0" w:rsidRPr="001069F0" w:rsidRDefault="001069F0" w:rsidP="00905B32">
            <w:pPr>
              <w:pStyle w:val="paragraph"/>
              <w:spacing w:before="0" w:beforeAutospacing="0" w:after="0" w:afterAutospacing="0"/>
              <w:jc w:val="center"/>
              <w:textAlignment w:val="baseline"/>
              <w:rPr>
                <w:noProof/>
              </w:rPr>
            </w:pPr>
            <w:r>
              <w:rPr>
                <w:b/>
                <w:noProof/>
                <w:color w:val="000000"/>
                <w:sz w:val="22"/>
              </w:rPr>
              <w:t>Au-delà du CFP 2021-2027</w:t>
            </w:r>
          </w:p>
        </w:tc>
        <w:tc>
          <w:tcPr>
            <w:tcW w:w="1843" w:type="dxa"/>
            <w:vAlign w:val="center"/>
            <w:hideMark/>
          </w:tcPr>
          <w:p w14:paraId="04ED4A99" w14:textId="5504FCFE" w:rsidR="001069F0" w:rsidRPr="001069F0" w:rsidRDefault="001069F0" w:rsidP="00905B32">
            <w:pPr>
              <w:pStyle w:val="paragraph"/>
              <w:spacing w:before="0" w:beforeAutospacing="0" w:after="0" w:afterAutospacing="0"/>
              <w:jc w:val="center"/>
              <w:textAlignment w:val="baseline"/>
              <w:rPr>
                <w:noProof/>
              </w:rPr>
            </w:pPr>
            <w:r>
              <w:rPr>
                <w:rStyle w:val="normaltextrun"/>
                <w:b/>
                <w:noProof/>
                <w:color w:val="000000"/>
                <w:sz w:val="22"/>
              </w:rPr>
              <w:t>Total</w:t>
            </w:r>
          </w:p>
        </w:tc>
      </w:tr>
      <w:tr w:rsidR="001069F0" w:rsidRPr="001069F0" w14:paraId="3B7F0E28" w14:textId="77777777" w:rsidTr="00257B29">
        <w:trPr>
          <w:trHeight w:val="300"/>
        </w:trPr>
        <w:tc>
          <w:tcPr>
            <w:tcW w:w="1830" w:type="dxa"/>
            <w:vAlign w:val="bottom"/>
            <w:hideMark/>
          </w:tcPr>
          <w:p w14:paraId="6E71D92E" w14:textId="4D641A96" w:rsidR="001069F0" w:rsidRPr="001069F0" w:rsidRDefault="001069F0" w:rsidP="00473BC4">
            <w:pPr>
              <w:pStyle w:val="paragraph"/>
              <w:spacing w:before="0" w:beforeAutospacing="0" w:after="0" w:afterAutospacing="0"/>
              <w:textAlignment w:val="baseline"/>
              <w:rPr>
                <w:noProof/>
              </w:rPr>
            </w:pPr>
            <w:r>
              <w:rPr>
                <w:rStyle w:val="normaltextrun"/>
                <w:noProof/>
                <w:color w:val="000000"/>
                <w:sz w:val="22"/>
              </w:rPr>
              <w:t>2023</w:t>
            </w:r>
            <w:r>
              <w:rPr>
                <w:rStyle w:val="eop"/>
                <w:noProof/>
                <w:color w:val="000000"/>
                <w:sz w:val="22"/>
              </w:rPr>
              <w:t> </w:t>
            </w:r>
          </w:p>
        </w:tc>
        <w:tc>
          <w:tcPr>
            <w:tcW w:w="1305" w:type="dxa"/>
            <w:vAlign w:val="bottom"/>
          </w:tcPr>
          <w:p w14:paraId="0EAC70D9" w14:textId="15F4323B" w:rsidR="001069F0" w:rsidRPr="001069F0" w:rsidRDefault="001069F0" w:rsidP="00473BC4">
            <w:pPr>
              <w:pStyle w:val="paragraph"/>
              <w:spacing w:before="0" w:beforeAutospacing="0" w:after="0" w:afterAutospacing="0"/>
              <w:jc w:val="right"/>
              <w:textAlignment w:val="baseline"/>
              <w:rPr>
                <w:noProof/>
                <w:sz w:val="22"/>
                <w:szCs w:val="22"/>
              </w:rPr>
            </w:pPr>
            <w:r>
              <w:rPr>
                <w:noProof/>
                <w:sz w:val="22"/>
              </w:rPr>
              <w:t>83,2</w:t>
            </w:r>
          </w:p>
        </w:tc>
        <w:tc>
          <w:tcPr>
            <w:tcW w:w="1305" w:type="dxa"/>
            <w:vAlign w:val="bottom"/>
          </w:tcPr>
          <w:p w14:paraId="0871E8B0" w14:textId="7A1E098D" w:rsidR="001069F0" w:rsidRPr="001069F0" w:rsidRDefault="001069F0" w:rsidP="00473BC4">
            <w:pPr>
              <w:pStyle w:val="paragraph"/>
              <w:spacing w:before="0" w:beforeAutospacing="0" w:after="0" w:afterAutospacing="0"/>
              <w:jc w:val="right"/>
              <w:textAlignment w:val="baseline"/>
              <w:rPr>
                <w:noProof/>
                <w:sz w:val="22"/>
                <w:szCs w:val="22"/>
              </w:rPr>
            </w:pPr>
            <w:r>
              <w:rPr>
                <w:noProof/>
                <w:sz w:val="22"/>
              </w:rPr>
              <w:t>0,0</w:t>
            </w:r>
          </w:p>
        </w:tc>
        <w:tc>
          <w:tcPr>
            <w:tcW w:w="1509" w:type="dxa"/>
            <w:vAlign w:val="bottom"/>
          </w:tcPr>
          <w:p w14:paraId="14F84FBA" w14:textId="4D1BEFEA" w:rsidR="001069F0" w:rsidRPr="001069F0" w:rsidRDefault="001069F0" w:rsidP="00473BC4">
            <w:pPr>
              <w:pStyle w:val="paragraph"/>
              <w:spacing w:before="0" w:beforeAutospacing="0" w:after="0" w:afterAutospacing="0"/>
              <w:jc w:val="right"/>
              <w:textAlignment w:val="baseline"/>
              <w:rPr>
                <w:noProof/>
                <w:sz w:val="22"/>
                <w:szCs w:val="22"/>
              </w:rPr>
            </w:pPr>
            <w:r>
              <w:rPr>
                <w:noProof/>
                <w:sz w:val="22"/>
              </w:rPr>
              <w:t>0,0</w:t>
            </w:r>
          </w:p>
        </w:tc>
        <w:tc>
          <w:tcPr>
            <w:tcW w:w="1843" w:type="dxa"/>
            <w:vAlign w:val="bottom"/>
            <w:hideMark/>
          </w:tcPr>
          <w:p w14:paraId="1517575C" w14:textId="1C682946" w:rsidR="001069F0" w:rsidRPr="001069F0" w:rsidRDefault="00977DF3" w:rsidP="00473BC4">
            <w:pPr>
              <w:pStyle w:val="paragraph"/>
              <w:spacing w:before="0" w:beforeAutospacing="0" w:after="0" w:afterAutospacing="0"/>
              <w:jc w:val="right"/>
              <w:textAlignment w:val="baseline"/>
              <w:rPr>
                <w:b/>
                <w:noProof/>
                <w:sz w:val="22"/>
                <w:szCs w:val="22"/>
              </w:rPr>
            </w:pPr>
            <w:r>
              <w:rPr>
                <w:b/>
                <w:noProof/>
                <w:sz w:val="22"/>
              </w:rPr>
              <w:t>83,2</w:t>
            </w:r>
          </w:p>
        </w:tc>
      </w:tr>
      <w:tr w:rsidR="001069F0" w:rsidRPr="001069F0" w14:paraId="1EC74D46" w14:textId="77777777" w:rsidTr="00257B29">
        <w:trPr>
          <w:trHeight w:val="300"/>
        </w:trPr>
        <w:tc>
          <w:tcPr>
            <w:tcW w:w="1830" w:type="dxa"/>
            <w:vAlign w:val="bottom"/>
            <w:hideMark/>
          </w:tcPr>
          <w:p w14:paraId="144EF50B" w14:textId="6124D847" w:rsidR="001069F0" w:rsidRPr="001069F0" w:rsidRDefault="001069F0" w:rsidP="00473BC4">
            <w:pPr>
              <w:pStyle w:val="paragraph"/>
              <w:spacing w:before="0" w:beforeAutospacing="0" w:after="0" w:afterAutospacing="0"/>
              <w:textAlignment w:val="baseline"/>
              <w:rPr>
                <w:noProof/>
              </w:rPr>
            </w:pPr>
            <w:r>
              <w:rPr>
                <w:rStyle w:val="normaltextrun"/>
                <w:noProof/>
                <w:color w:val="000000"/>
                <w:sz w:val="22"/>
              </w:rPr>
              <w:t>2024</w:t>
            </w:r>
            <w:r>
              <w:rPr>
                <w:rStyle w:val="eop"/>
                <w:noProof/>
                <w:color w:val="000000"/>
                <w:sz w:val="22"/>
              </w:rPr>
              <w:t> </w:t>
            </w:r>
          </w:p>
        </w:tc>
        <w:tc>
          <w:tcPr>
            <w:tcW w:w="1305" w:type="dxa"/>
            <w:vAlign w:val="bottom"/>
          </w:tcPr>
          <w:p w14:paraId="1825A8BC" w14:textId="7AFF478F" w:rsidR="001069F0" w:rsidRPr="001069F0" w:rsidRDefault="001069F0" w:rsidP="00473BC4">
            <w:pPr>
              <w:pStyle w:val="paragraph"/>
              <w:spacing w:before="0" w:beforeAutospacing="0" w:after="0" w:afterAutospacing="0"/>
              <w:jc w:val="right"/>
              <w:textAlignment w:val="baseline"/>
              <w:rPr>
                <w:noProof/>
                <w:sz w:val="22"/>
                <w:szCs w:val="22"/>
              </w:rPr>
            </w:pPr>
            <w:r>
              <w:rPr>
                <w:noProof/>
                <w:sz w:val="22"/>
              </w:rPr>
              <w:t>83,7</w:t>
            </w:r>
          </w:p>
        </w:tc>
        <w:tc>
          <w:tcPr>
            <w:tcW w:w="1305" w:type="dxa"/>
            <w:vAlign w:val="bottom"/>
          </w:tcPr>
          <w:p w14:paraId="77C6FD80" w14:textId="142D113A" w:rsidR="001069F0" w:rsidRPr="001069F0" w:rsidRDefault="001069F0" w:rsidP="00473BC4">
            <w:pPr>
              <w:pStyle w:val="paragraph"/>
              <w:spacing w:before="0" w:beforeAutospacing="0" w:after="0" w:afterAutospacing="0"/>
              <w:jc w:val="right"/>
              <w:textAlignment w:val="baseline"/>
              <w:rPr>
                <w:noProof/>
                <w:sz w:val="22"/>
                <w:szCs w:val="22"/>
              </w:rPr>
            </w:pPr>
            <w:r>
              <w:rPr>
                <w:noProof/>
                <w:sz w:val="22"/>
              </w:rPr>
              <w:t>46,3</w:t>
            </w:r>
          </w:p>
        </w:tc>
        <w:tc>
          <w:tcPr>
            <w:tcW w:w="1509" w:type="dxa"/>
            <w:vAlign w:val="bottom"/>
          </w:tcPr>
          <w:p w14:paraId="27F80319" w14:textId="6D8B788D" w:rsidR="001069F0" w:rsidRPr="001069F0" w:rsidRDefault="001069F0" w:rsidP="00473BC4">
            <w:pPr>
              <w:pStyle w:val="paragraph"/>
              <w:spacing w:before="0" w:beforeAutospacing="0" w:after="0" w:afterAutospacing="0"/>
              <w:jc w:val="right"/>
              <w:textAlignment w:val="baseline"/>
              <w:rPr>
                <w:noProof/>
                <w:sz w:val="22"/>
                <w:szCs w:val="22"/>
              </w:rPr>
            </w:pPr>
            <w:r>
              <w:rPr>
                <w:noProof/>
                <w:sz w:val="22"/>
              </w:rPr>
              <w:t>0,0</w:t>
            </w:r>
          </w:p>
        </w:tc>
        <w:tc>
          <w:tcPr>
            <w:tcW w:w="1843" w:type="dxa"/>
            <w:vAlign w:val="bottom"/>
          </w:tcPr>
          <w:p w14:paraId="709BA9A0" w14:textId="5AC5A986" w:rsidR="001069F0" w:rsidRPr="001069F0" w:rsidRDefault="000E46F4" w:rsidP="00473BC4">
            <w:pPr>
              <w:pStyle w:val="paragraph"/>
              <w:spacing w:before="0" w:beforeAutospacing="0" w:after="0" w:afterAutospacing="0"/>
              <w:jc w:val="right"/>
              <w:textAlignment w:val="baseline"/>
              <w:rPr>
                <w:b/>
                <w:noProof/>
                <w:sz w:val="22"/>
                <w:szCs w:val="22"/>
              </w:rPr>
            </w:pPr>
            <w:r>
              <w:rPr>
                <w:b/>
                <w:noProof/>
                <w:sz w:val="22"/>
              </w:rPr>
              <w:t>129,9</w:t>
            </w:r>
          </w:p>
        </w:tc>
      </w:tr>
      <w:tr w:rsidR="001069F0" w:rsidRPr="001069F0" w14:paraId="511DA123" w14:textId="77777777" w:rsidTr="00257B29">
        <w:trPr>
          <w:trHeight w:val="300"/>
        </w:trPr>
        <w:tc>
          <w:tcPr>
            <w:tcW w:w="1830" w:type="dxa"/>
            <w:vAlign w:val="bottom"/>
            <w:hideMark/>
          </w:tcPr>
          <w:p w14:paraId="5EEC2A81" w14:textId="3E2AFD17" w:rsidR="001069F0" w:rsidRPr="001069F0" w:rsidRDefault="001069F0" w:rsidP="00473BC4">
            <w:pPr>
              <w:pStyle w:val="paragraph"/>
              <w:spacing w:before="0" w:beforeAutospacing="0" w:after="0" w:afterAutospacing="0"/>
              <w:textAlignment w:val="baseline"/>
              <w:rPr>
                <w:noProof/>
              </w:rPr>
            </w:pPr>
            <w:r>
              <w:rPr>
                <w:rStyle w:val="normaltextrun"/>
                <w:noProof/>
                <w:color w:val="000000"/>
                <w:sz w:val="22"/>
              </w:rPr>
              <w:t>2025</w:t>
            </w:r>
            <w:r>
              <w:rPr>
                <w:rStyle w:val="eop"/>
                <w:noProof/>
                <w:color w:val="000000"/>
                <w:sz w:val="22"/>
              </w:rPr>
              <w:t> </w:t>
            </w:r>
          </w:p>
        </w:tc>
        <w:tc>
          <w:tcPr>
            <w:tcW w:w="1305" w:type="dxa"/>
            <w:vAlign w:val="bottom"/>
          </w:tcPr>
          <w:p w14:paraId="767D0B27" w14:textId="19898173" w:rsidR="001069F0" w:rsidRPr="001069F0" w:rsidRDefault="001069F0" w:rsidP="00473BC4">
            <w:pPr>
              <w:pStyle w:val="paragraph"/>
              <w:spacing w:before="0" w:beforeAutospacing="0" w:after="0" w:afterAutospacing="0"/>
              <w:jc w:val="right"/>
              <w:textAlignment w:val="baseline"/>
              <w:rPr>
                <w:noProof/>
                <w:sz w:val="22"/>
                <w:szCs w:val="22"/>
              </w:rPr>
            </w:pPr>
            <w:r>
              <w:rPr>
                <w:noProof/>
                <w:sz w:val="22"/>
              </w:rPr>
              <w:t>15,8</w:t>
            </w:r>
          </w:p>
        </w:tc>
        <w:tc>
          <w:tcPr>
            <w:tcW w:w="1305" w:type="dxa"/>
            <w:vAlign w:val="bottom"/>
          </w:tcPr>
          <w:p w14:paraId="3621CEC1" w14:textId="5DD689D3" w:rsidR="001069F0" w:rsidRPr="001069F0" w:rsidRDefault="001069F0" w:rsidP="00473BC4">
            <w:pPr>
              <w:pStyle w:val="paragraph"/>
              <w:spacing w:before="0" w:beforeAutospacing="0" w:after="0" w:afterAutospacing="0"/>
              <w:jc w:val="right"/>
              <w:textAlignment w:val="baseline"/>
              <w:rPr>
                <w:noProof/>
                <w:sz w:val="22"/>
                <w:szCs w:val="22"/>
              </w:rPr>
            </w:pPr>
            <w:r>
              <w:rPr>
                <w:noProof/>
                <w:sz w:val="22"/>
              </w:rPr>
              <w:t>9,4</w:t>
            </w:r>
          </w:p>
        </w:tc>
        <w:tc>
          <w:tcPr>
            <w:tcW w:w="1509" w:type="dxa"/>
            <w:vAlign w:val="bottom"/>
          </w:tcPr>
          <w:p w14:paraId="4A05980E" w14:textId="5C20D745" w:rsidR="001069F0" w:rsidRPr="001069F0" w:rsidRDefault="001069F0" w:rsidP="00473BC4">
            <w:pPr>
              <w:pStyle w:val="paragraph"/>
              <w:spacing w:before="0" w:beforeAutospacing="0" w:after="0" w:afterAutospacing="0"/>
              <w:jc w:val="right"/>
              <w:textAlignment w:val="baseline"/>
              <w:rPr>
                <w:noProof/>
                <w:sz w:val="22"/>
                <w:szCs w:val="22"/>
              </w:rPr>
            </w:pPr>
            <w:r>
              <w:rPr>
                <w:noProof/>
                <w:sz w:val="22"/>
              </w:rPr>
              <w:t>5,7</w:t>
            </w:r>
          </w:p>
        </w:tc>
        <w:tc>
          <w:tcPr>
            <w:tcW w:w="1843" w:type="dxa"/>
            <w:vAlign w:val="bottom"/>
          </w:tcPr>
          <w:p w14:paraId="53A73809" w14:textId="4DE73727" w:rsidR="001069F0" w:rsidRPr="001069F0" w:rsidRDefault="000E46F4" w:rsidP="00473BC4">
            <w:pPr>
              <w:pStyle w:val="paragraph"/>
              <w:spacing w:before="0" w:beforeAutospacing="0" w:after="0" w:afterAutospacing="0"/>
              <w:jc w:val="right"/>
              <w:textAlignment w:val="baseline"/>
              <w:rPr>
                <w:b/>
                <w:noProof/>
                <w:sz w:val="22"/>
                <w:szCs w:val="22"/>
              </w:rPr>
            </w:pPr>
            <w:r>
              <w:rPr>
                <w:b/>
                <w:noProof/>
                <w:sz w:val="22"/>
              </w:rPr>
              <w:t>30,9</w:t>
            </w:r>
          </w:p>
        </w:tc>
      </w:tr>
      <w:tr w:rsidR="001069F0" w:rsidRPr="001069F0" w14:paraId="43AA3B3B" w14:textId="77777777" w:rsidTr="00257B29">
        <w:trPr>
          <w:trHeight w:val="300"/>
        </w:trPr>
        <w:tc>
          <w:tcPr>
            <w:tcW w:w="1830" w:type="dxa"/>
            <w:vAlign w:val="bottom"/>
          </w:tcPr>
          <w:p w14:paraId="034109C3" w14:textId="170770FD" w:rsidR="001069F0" w:rsidRPr="001069F0" w:rsidRDefault="001069F0" w:rsidP="00473BC4">
            <w:pPr>
              <w:pStyle w:val="paragraph"/>
              <w:spacing w:before="0" w:beforeAutospacing="0" w:after="0" w:afterAutospacing="0"/>
              <w:textAlignment w:val="baseline"/>
              <w:rPr>
                <w:rStyle w:val="normaltextrun"/>
                <w:noProof/>
                <w:color w:val="000000"/>
                <w:sz w:val="22"/>
                <w:szCs w:val="22"/>
              </w:rPr>
            </w:pPr>
            <w:r>
              <w:rPr>
                <w:rStyle w:val="normaltextrun"/>
                <w:noProof/>
                <w:color w:val="000000"/>
                <w:sz w:val="22"/>
              </w:rPr>
              <w:t>2026</w:t>
            </w:r>
          </w:p>
        </w:tc>
        <w:tc>
          <w:tcPr>
            <w:tcW w:w="1305" w:type="dxa"/>
            <w:vAlign w:val="bottom"/>
          </w:tcPr>
          <w:p w14:paraId="7C473421" w14:textId="1E760643" w:rsidR="001069F0" w:rsidRPr="001069F0" w:rsidRDefault="00770463" w:rsidP="00473BC4">
            <w:pPr>
              <w:pStyle w:val="paragraph"/>
              <w:spacing w:before="0" w:beforeAutospacing="0" w:after="0" w:afterAutospacing="0"/>
              <w:jc w:val="right"/>
              <w:textAlignment w:val="baseline"/>
              <w:rPr>
                <w:noProof/>
                <w:sz w:val="22"/>
                <w:szCs w:val="22"/>
              </w:rPr>
            </w:pPr>
            <w:r>
              <w:rPr>
                <w:noProof/>
                <w:sz w:val="22"/>
              </w:rPr>
              <w:t>2 038,7</w:t>
            </w:r>
          </w:p>
        </w:tc>
        <w:tc>
          <w:tcPr>
            <w:tcW w:w="1305" w:type="dxa"/>
            <w:vAlign w:val="bottom"/>
          </w:tcPr>
          <w:p w14:paraId="52A7D5BD" w14:textId="43E3B6C9" w:rsidR="001069F0" w:rsidRPr="001069F0" w:rsidRDefault="00977DF3" w:rsidP="00473BC4">
            <w:pPr>
              <w:pStyle w:val="paragraph"/>
              <w:spacing w:before="0" w:beforeAutospacing="0" w:after="0" w:afterAutospacing="0"/>
              <w:jc w:val="right"/>
              <w:textAlignment w:val="baseline"/>
              <w:rPr>
                <w:noProof/>
                <w:sz w:val="22"/>
                <w:szCs w:val="22"/>
              </w:rPr>
            </w:pPr>
            <w:r>
              <w:rPr>
                <w:noProof/>
                <w:sz w:val="22"/>
              </w:rPr>
              <w:t>1,7</w:t>
            </w:r>
          </w:p>
        </w:tc>
        <w:tc>
          <w:tcPr>
            <w:tcW w:w="1509" w:type="dxa"/>
            <w:vAlign w:val="bottom"/>
          </w:tcPr>
          <w:p w14:paraId="0BBFA854" w14:textId="573E96AF" w:rsidR="001069F0" w:rsidRPr="001069F0" w:rsidRDefault="00977DF3" w:rsidP="00473BC4">
            <w:pPr>
              <w:pStyle w:val="paragraph"/>
              <w:spacing w:before="0" w:beforeAutospacing="0" w:after="0" w:afterAutospacing="0"/>
              <w:jc w:val="right"/>
              <w:textAlignment w:val="baseline"/>
              <w:rPr>
                <w:noProof/>
                <w:sz w:val="22"/>
                <w:szCs w:val="22"/>
              </w:rPr>
            </w:pPr>
            <w:r>
              <w:rPr>
                <w:noProof/>
                <w:sz w:val="22"/>
              </w:rPr>
              <w:t>1,6</w:t>
            </w:r>
          </w:p>
        </w:tc>
        <w:tc>
          <w:tcPr>
            <w:tcW w:w="1843" w:type="dxa"/>
            <w:tcBorders>
              <w:bottom w:val="single" w:sz="4" w:space="0" w:color="auto"/>
            </w:tcBorders>
            <w:vAlign w:val="bottom"/>
          </w:tcPr>
          <w:p w14:paraId="52A94ADF" w14:textId="3634D2A4" w:rsidR="001069F0" w:rsidRPr="001069F0" w:rsidRDefault="00977DF3" w:rsidP="00473BC4">
            <w:pPr>
              <w:pStyle w:val="paragraph"/>
              <w:spacing w:before="0" w:beforeAutospacing="0" w:after="0" w:afterAutospacing="0"/>
              <w:jc w:val="right"/>
              <w:textAlignment w:val="baseline"/>
              <w:rPr>
                <w:b/>
                <w:bCs/>
                <w:noProof/>
                <w:sz w:val="22"/>
                <w:szCs w:val="22"/>
              </w:rPr>
            </w:pPr>
            <w:r>
              <w:rPr>
                <w:b/>
                <w:noProof/>
                <w:sz w:val="22"/>
              </w:rPr>
              <w:t>2 041,9</w:t>
            </w:r>
          </w:p>
        </w:tc>
      </w:tr>
      <w:tr w:rsidR="001069F0" w:rsidRPr="00791DF2" w14:paraId="0E6C321C" w14:textId="77777777" w:rsidTr="00257B29">
        <w:trPr>
          <w:trHeight w:val="300"/>
        </w:trPr>
        <w:tc>
          <w:tcPr>
            <w:tcW w:w="1830" w:type="dxa"/>
            <w:vAlign w:val="bottom"/>
          </w:tcPr>
          <w:p w14:paraId="69686EF5" w14:textId="7CC67566" w:rsidR="001069F0" w:rsidRPr="001069F0" w:rsidRDefault="001069F0" w:rsidP="001069F0">
            <w:pPr>
              <w:pStyle w:val="paragraph"/>
              <w:spacing w:before="0" w:beforeAutospacing="0" w:after="0" w:afterAutospacing="0"/>
              <w:textAlignment w:val="baseline"/>
              <w:rPr>
                <w:rStyle w:val="normaltextrun"/>
                <w:noProof/>
                <w:color w:val="000000"/>
                <w:sz w:val="22"/>
                <w:szCs w:val="22"/>
              </w:rPr>
            </w:pPr>
            <w:r>
              <w:rPr>
                <w:rStyle w:val="normaltextrun"/>
                <w:b/>
                <w:noProof/>
                <w:color w:val="000000"/>
                <w:sz w:val="22"/>
              </w:rPr>
              <w:t>Total</w:t>
            </w:r>
            <w:r>
              <w:rPr>
                <w:rStyle w:val="eop"/>
                <w:noProof/>
                <w:color w:val="000000"/>
                <w:sz w:val="22"/>
              </w:rPr>
              <w:t> </w:t>
            </w:r>
          </w:p>
        </w:tc>
        <w:tc>
          <w:tcPr>
            <w:tcW w:w="1305" w:type="dxa"/>
            <w:vAlign w:val="bottom"/>
          </w:tcPr>
          <w:p w14:paraId="6675A3B0" w14:textId="7A864847" w:rsidR="001069F0" w:rsidRPr="001069F0" w:rsidRDefault="00113DF1" w:rsidP="001069F0">
            <w:pPr>
              <w:pStyle w:val="paragraph"/>
              <w:spacing w:before="0" w:beforeAutospacing="0" w:after="0" w:afterAutospacing="0"/>
              <w:jc w:val="right"/>
              <w:textAlignment w:val="baseline"/>
              <w:rPr>
                <w:noProof/>
                <w:sz w:val="22"/>
                <w:szCs w:val="22"/>
              </w:rPr>
            </w:pPr>
            <w:r>
              <w:rPr>
                <w:b/>
                <w:noProof/>
                <w:sz w:val="22"/>
              </w:rPr>
              <w:t>2 221,4</w:t>
            </w:r>
          </w:p>
        </w:tc>
        <w:tc>
          <w:tcPr>
            <w:tcW w:w="1305" w:type="dxa"/>
            <w:vAlign w:val="bottom"/>
          </w:tcPr>
          <w:p w14:paraId="4A158C5A" w14:textId="17F288B5" w:rsidR="001069F0" w:rsidRPr="001069F0" w:rsidRDefault="001069F0" w:rsidP="001069F0">
            <w:pPr>
              <w:pStyle w:val="paragraph"/>
              <w:spacing w:before="0" w:beforeAutospacing="0" w:after="0" w:afterAutospacing="0"/>
              <w:jc w:val="right"/>
              <w:textAlignment w:val="baseline"/>
              <w:rPr>
                <w:noProof/>
                <w:sz w:val="22"/>
                <w:szCs w:val="22"/>
              </w:rPr>
            </w:pPr>
            <w:r>
              <w:rPr>
                <w:b/>
                <w:noProof/>
                <w:sz w:val="22"/>
              </w:rPr>
              <w:t>57</w:t>
            </w:r>
            <w:r>
              <w:rPr>
                <w:noProof/>
              </w:rPr>
              <w:t>,3</w:t>
            </w:r>
          </w:p>
        </w:tc>
        <w:tc>
          <w:tcPr>
            <w:tcW w:w="1509" w:type="dxa"/>
            <w:vAlign w:val="bottom"/>
          </w:tcPr>
          <w:p w14:paraId="37B62460" w14:textId="77E07175" w:rsidR="001069F0" w:rsidRPr="001069F0" w:rsidRDefault="00113DF1" w:rsidP="001069F0">
            <w:pPr>
              <w:pStyle w:val="paragraph"/>
              <w:spacing w:before="0" w:beforeAutospacing="0" w:after="0" w:afterAutospacing="0"/>
              <w:jc w:val="right"/>
              <w:textAlignment w:val="baseline"/>
              <w:rPr>
                <w:noProof/>
                <w:sz w:val="22"/>
                <w:szCs w:val="22"/>
              </w:rPr>
            </w:pPr>
            <w:r>
              <w:rPr>
                <w:b/>
                <w:noProof/>
                <w:sz w:val="22"/>
              </w:rPr>
              <w:t>7,2</w:t>
            </w:r>
          </w:p>
        </w:tc>
        <w:tc>
          <w:tcPr>
            <w:tcW w:w="1843" w:type="dxa"/>
            <w:vAlign w:val="bottom"/>
          </w:tcPr>
          <w:p w14:paraId="619E3BE2" w14:textId="3D0E8D83" w:rsidR="001069F0" w:rsidRPr="001069F0" w:rsidRDefault="000E46F4" w:rsidP="001069F0">
            <w:pPr>
              <w:pStyle w:val="paragraph"/>
              <w:spacing w:before="0" w:beforeAutospacing="0" w:after="0" w:afterAutospacing="0"/>
              <w:jc w:val="right"/>
              <w:textAlignment w:val="baseline"/>
              <w:rPr>
                <w:b/>
                <w:bCs/>
                <w:noProof/>
                <w:sz w:val="22"/>
                <w:szCs w:val="22"/>
              </w:rPr>
            </w:pPr>
            <w:r>
              <w:rPr>
                <w:b/>
                <w:noProof/>
                <w:sz w:val="22"/>
              </w:rPr>
              <w:t>2 286,0</w:t>
            </w:r>
          </w:p>
        </w:tc>
      </w:tr>
    </w:tbl>
    <w:p w14:paraId="64032AD7" w14:textId="77777777" w:rsidR="007752E8" w:rsidRDefault="007752E8" w:rsidP="00C45FCA">
      <w:pPr>
        <w:jc w:val="both"/>
        <w:rPr>
          <w:rFonts w:ascii="Times New Roman" w:eastAsia="Times New Roman" w:hAnsi="Times New Roman" w:cs="Times New Roman"/>
          <w:noProof/>
          <w:sz w:val="24"/>
          <w:szCs w:val="24"/>
          <w:lang w:eastAsia="en-GB"/>
        </w:rPr>
      </w:pPr>
    </w:p>
    <w:p w14:paraId="6FBDC22E" w14:textId="589CB52D" w:rsidR="00841817" w:rsidRDefault="00841817">
      <w:pPr>
        <w:rPr>
          <w:rFonts w:ascii="Times New Roman" w:eastAsia="Times New Roman" w:hAnsi="Times New Roman" w:cs="Times New Roman"/>
          <w:noProof/>
          <w:sz w:val="24"/>
          <w:szCs w:val="24"/>
        </w:rPr>
      </w:pPr>
      <w:r>
        <w:rPr>
          <w:noProof/>
        </w:rPr>
        <w:br w:type="page"/>
      </w:r>
    </w:p>
    <w:p w14:paraId="0EDF542B" w14:textId="77777777" w:rsidR="00841817" w:rsidRPr="00C45FCA" w:rsidRDefault="00841817" w:rsidP="00C45FCA">
      <w:pPr>
        <w:jc w:val="both"/>
        <w:rPr>
          <w:rFonts w:ascii="Times New Roman" w:eastAsia="Times New Roman" w:hAnsi="Times New Roman" w:cs="Times New Roman"/>
          <w:noProof/>
          <w:sz w:val="24"/>
          <w:szCs w:val="24"/>
          <w:lang w:eastAsia="en-GB"/>
        </w:rPr>
      </w:pPr>
    </w:p>
    <w:p w14:paraId="1A6BE52C" w14:textId="5E7DAEC1" w:rsidR="07AFED15" w:rsidRDefault="68358EFA" w:rsidP="00F354E9">
      <w:pPr>
        <w:keepNext/>
        <w:tabs>
          <w:tab w:val="left" w:pos="850"/>
        </w:tabs>
        <w:spacing w:before="240" w:after="120"/>
        <w:ind w:left="851" w:hanging="851"/>
        <w:jc w:val="both"/>
        <w:outlineLvl w:val="0"/>
        <w:rPr>
          <w:rFonts w:ascii="Times New Roman" w:hAnsi="Times New Roman" w:cs="Times New Roman"/>
          <w:b/>
          <w:bCs/>
          <w:smallCaps/>
          <w:noProof/>
          <w:sz w:val="24"/>
          <w:szCs w:val="24"/>
        </w:rPr>
      </w:pPr>
      <w:bookmarkStart w:id="50" w:name="_Toc84231371"/>
      <w:bookmarkStart w:id="51" w:name="_Toc232755307"/>
      <w:r>
        <w:rPr>
          <w:rFonts w:ascii="Times New Roman" w:hAnsi="Times New Roman"/>
          <w:b/>
          <w:smallCaps/>
          <w:noProof/>
          <w:sz w:val="24"/>
        </w:rPr>
        <w:t>5.</w:t>
      </w:r>
      <w:r>
        <w:rPr>
          <w:noProof/>
        </w:rPr>
        <w:tab/>
      </w:r>
      <w:r>
        <w:rPr>
          <w:rFonts w:ascii="Times New Roman" w:hAnsi="Times New Roman"/>
          <w:b/>
          <w:smallCaps/>
          <w:noProof/>
          <w:sz w:val="24"/>
        </w:rPr>
        <w:t>Tableau récapitulatif par rubrique du CFP</w:t>
      </w:r>
      <w:bookmarkEnd w:id="49"/>
      <w:bookmarkEnd w:id="50"/>
      <w:bookmarkEnd w:id="51"/>
      <w:bookmarkEnd w:id="4"/>
      <w:bookmarkEnd w:id="3"/>
    </w:p>
    <w:tbl>
      <w:tblPr>
        <w:tblW w:w="10612" w:type="dxa"/>
        <w:tblLook w:val="04A0" w:firstRow="1" w:lastRow="0" w:firstColumn="1" w:lastColumn="0" w:noHBand="0" w:noVBand="1"/>
      </w:tblPr>
      <w:tblGrid>
        <w:gridCol w:w="448"/>
        <w:gridCol w:w="2140"/>
        <w:gridCol w:w="1380"/>
        <w:gridCol w:w="1380"/>
        <w:gridCol w:w="1296"/>
        <w:gridCol w:w="1240"/>
        <w:gridCol w:w="1380"/>
        <w:gridCol w:w="1380"/>
      </w:tblGrid>
      <w:tr w:rsidR="00F354E9" w:rsidRPr="00F354E9" w14:paraId="0C3EF383" w14:textId="77777777" w:rsidTr="00F354E9">
        <w:trPr>
          <w:trHeight w:val="315"/>
        </w:trPr>
        <w:tc>
          <w:tcPr>
            <w:tcW w:w="416" w:type="dxa"/>
            <w:tcBorders>
              <w:top w:val="nil"/>
              <w:left w:val="nil"/>
              <w:bottom w:val="nil"/>
              <w:right w:val="nil"/>
            </w:tcBorders>
            <w:shd w:val="clear" w:color="auto" w:fill="FFFFFF" w:themeFill="background1"/>
            <w:noWrap/>
            <w:vAlign w:val="bottom"/>
            <w:hideMark/>
          </w:tcPr>
          <w:p w14:paraId="15BF1623" w14:textId="77777777" w:rsidR="00F354E9" w:rsidRPr="00F10ACE" w:rsidRDefault="00F354E9" w:rsidP="00F10ACE">
            <w:pPr>
              <w:spacing w:after="0" w:line="240" w:lineRule="auto"/>
              <w:rPr>
                <w:rFonts w:ascii="Calibri" w:eastAsia="Times New Roman" w:hAnsi="Calibri" w:cs="Calibri"/>
                <w:noProof/>
                <w:color w:val="000000"/>
              </w:rPr>
            </w:pPr>
            <w:r>
              <w:rPr>
                <w:rFonts w:ascii="Calibri" w:hAnsi="Calibri"/>
                <w:noProof/>
                <w:color w:val="000000"/>
              </w:rPr>
              <w:t> </w:t>
            </w:r>
          </w:p>
        </w:tc>
        <w:tc>
          <w:tcPr>
            <w:tcW w:w="2140" w:type="dxa"/>
            <w:tcBorders>
              <w:top w:val="nil"/>
              <w:left w:val="nil"/>
              <w:bottom w:val="nil"/>
              <w:right w:val="nil"/>
            </w:tcBorders>
            <w:shd w:val="clear" w:color="auto" w:fill="FFFFFF" w:themeFill="background1"/>
            <w:noWrap/>
            <w:vAlign w:val="bottom"/>
            <w:hideMark/>
          </w:tcPr>
          <w:p w14:paraId="5EC10398" w14:textId="77777777" w:rsidR="00F354E9" w:rsidRPr="00F10ACE" w:rsidRDefault="00F354E9" w:rsidP="00F10ACE">
            <w:pPr>
              <w:spacing w:after="0" w:line="240" w:lineRule="auto"/>
              <w:rPr>
                <w:rFonts w:ascii="Calibri" w:eastAsia="Times New Roman" w:hAnsi="Calibri" w:cs="Calibri"/>
                <w:noProof/>
                <w:color w:val="000000"/>
              </w:rPr>
            </w:pPr>
            <w:r>
              <w:rPr>
                <w:rFonts w:ascii="Calibri" w:hAnsi="Calibri"/>
                <w:noProof/>
                <w:color w:val="000000"/>
              </w:rPr>
              <w:t> </w:t>
            </w:r>
          </w:p>
        </w:tc>
        <w:tc>
          <w:tcPr>
            <w:tcW w:w="1380" w:type="dxa"/>
            <w:tcBorders>
              <w:top w:val="nil"/>
              <w:left w:val="nil"/>
              <w:bottom w:val="nil"/>
              <w:right w:val="nil"/>
            </w:tcBorders>
            <w:shd w:val="clear" w:color="auto" w:fill="FFFFFF" w:themeFill="background1"/>
            <w:noWrap/>
            <w:vAlign w:val="bottom"/>
            <w:hideMark/>
          </w:tcPr>
          <w:p w14:paraId="2DB3D7FB" w14:textId="77777777" w:rsidR="00F354E9" w:rsidRPr="00F10ACE" w:rsidRDefault="00F354E9" w:rsidP="00F10ACE">
            <w:pPr>
              <w:spacing w:after="0" w:line="240" w:lineRule="auto"/>
              <w:rPr>
                <w:rFonts w:ascii="Calibri" w:eastAsia="Times New Roman" w:hAnsi="Calibri" w:cs="Calibri"/>
                <w:noProof/>
                <w:color w:val="000000"/>
              </w:rPr>
            </w:pPr>
            <w:r>
              <w:rPr>
                <w:rFonts w:ascii="Calibri" w:hAnsi="Calibri"/>
                <w:noProof/>
                <w:color w:val="000000"/>
              </w:rPr>
              <w:t> </w:t>
            </w:r>
          </w:p>
        </w:tc>
        <w:tc>
          <w:tcPr>
            <w:tcW w:w="1380" w:type="dxa"/>
            <w:tcBorders>
              <w:top w:val="nil"/>
              <w:left w:val="nil"/>
              <w:bottom w:val="nil"/>
              <w:right w:val="nil"/>
            </w:tcBorders>
            <w:shd w:val="clear" w:color="auto" w:fill="FFFFFF" w:themeFill="background1"/>
            <w:noWrap/>
            <w:vAlign w:val="bottom"/>
            <w:hideMark/>
          </w:tcPr>
          <w:p w14:paraId="67717207" w14:textId="77777777" w:rsidR="00F354E9" w:rsidRPr="00F10ACE" w:rsidRDefault="00F354E9" w:rsidP="00F10ACE">
            <w:pPr>
              <w:spacing w:after="0" w:line="240" w:lineRule="auto"/>
              <w:rPr>
                <w:rFonts w:ascii="Calibri" w:eastAsia="Times New Roman" w:hAnsi="Calibri" w:cs="Calibri"/>
                <w:noProof/>
                <w:color w:val="000000"/>
              </w:rPr>
            </w:pPr>
            <w:r>
              <w:rPr>
                <w:rFonts w:ascii="Calibri" w:hAnsi="Calibri"/>
                <w:noProof/>
                <w:color w:val="000000"/>
              </w:rPr>
              <w:t> </w:t>
            </w:r>
          </w:p>
        </w:tc>
        <w:tc>
          <w:tcPr>
            <w:tcW w:w="1296" w:type="dxa"/>
            <w:tcBorders>
              <w:top w:val="nil"/>
              <w:left w:val="nil"/>
              <w:bottom w:val="nil"/>
              <w:right w:val="nil"/>
            </w:tcBorders>
            <w:shd w:val="clear" w:color="auto" w:fill="FFFFFF" w:themeFill="background1"/>
            <w:noWrap/>
            <w:vAlign w:val="bottom"/>
            <w:hideMark/>
          </w:tcPr>
          <w:p w14:paraId="06305914" w14:textId="77777777" w:rsidR="00F354E9" w:rsidRPr="00F10ACE" w:rsidRDefault="00F354E9" w:rsidP="00F10ACE">
            <w:pPr>
              <w:spacing w:after="0" w:line="240" w:lineRule="auto"/>
              <w:rPr>
                <w:rFonts w:ascii="Calibri" w:eastAsia="Times New Roman" w:hAnsi="Calibri" w:cs="Calibri"/>
                <w:noProof/>
              </w:rPr>
            </w:pPr>
            <w:r>
              <w:rPr>
                <w:rFonts w:ascii="Calibri" w:hAnsi="Calibri"/>
                <w:noProof/>
              </w:rPr>
              <w:t> </w:t>
            </w:r>
          </w:p>
        </w:tc>
        <w:tc>
          <w:tcPr>
            <w:tcW w:w="1240" w:type="dxa"/>
            <w:tcBorders>
              <w:top w:val="nil"/>
              <w:left w:val="nil"/>
              <w:bottom w:val="nil"/>
              <w:right w:val="nil"/>
            </w:tcBorders>
            <w:shd w:val="clear" w:color="auto" w:fill="FFFFFF" w:themeFill="background1"/>
            <w:noWrap/>
            <w:vAlign w:val="bottom"/>
            <w:hideMark/>
          </w:tcPr>
          <w:p w14:paraId="07D60246" w14:textId="77777777" w:rsidR="00F354E9" w:rsidRPr="00F10ACE" w:rsidRDefault="00F354E9" w:rsidP="00F10ACE">
            <w:pPr>
              <w:spacing w:after="0" w:line="240" w:lineRule="auto"/>
              <w:rPr>
                <w:rFonts w:ascii="Calibri" w:eastAsia="Times New Roman" w:hAnsi="Calibri" w:cs="Calibri"/>
                <w:noProof/>
              </w:rPr>
            </w:pPr>
            <w:r>
              <w:rPr>
                <w:rFonts w:ascii="Calibri" w:hAnsi="Calibri"/>
                <w:noProof/>
              </w:rPr>
              <w:t> </w:t>
            </w:r>
          </w:p>
        </w:tc>
        <w:tc>
          <w:tcPr>
            <w:tcW w:w="1380" w:type="dxa"/>
            <w:tcBorders>
              <w:top w:val="nil"/>
              <w:left w:val="nil"/>
              <w:bottom w:val="nil"/>
              <w:right w:val="nil"/>
            </w:tcBorders>
            <w:shd w:val="clear" w:color="auto" w:fill="FFFFFF" w:themeFill="background1"/>
            <w:noWrap/>
            <w:vAlign w:val="bottom"/>
            <w:hideMark/>
          </w:tcPr>
          <w:p w14:paraId="3821FF23" w14:textId="77777777" w:rsidR="00F354E9" w:rsidRPr="00F10ACE" w:rsidRDefault="00F354E9" w:rsidP="00F10ACE">
            <w:pPr>
              <w:spacing w:after="0" w:line="240" w:lineRule="auto"/>
              <w:rPr>
                <w:rFonts w:ascii="Calibri" w:eastAsia="Times New Roman" w:hAnsi="Calibri" w:cs="Calibri"/>
                <w:noProof/>
                <w:color w:val="000000"/>
              </w:rPr>
            </w:pPr>
            <w:r>
              <w:rPr>
                <w:rFonts w:ascii="Calibri" w:hAnsi="Calibri"/>
                <w:noProof/>
                <w:color w:val="000000"/>
              </w:rPr>
              <w:t> </w:t>
            </w:r>
          </w:p>
        </w:tc>
        <w:tc>
          <w:tcPr>
            <w:tcW w:w="1380" w:type="dxa"/>
            <w:tcBorders>
              <w:top w:val="nil"/>
              <w:left w:val="nil"/>
              <w:bottom w:val="nil"/>
              <w:right w:val="nil"/>
            </w:tcBorders>
            <w:shd w:val="clear" w:color="auto" w:fill="FFFFFF" w:themeFill="background1"/>
            <w:noWrap/>
            <w:vAlign w:val="bottom"/>
            <w:hideMark/>
          </w:tcPr>
          <w:p w14:paraId="0B45B50A" w14:textId="77777777" w:rsidR="00F354E9" w:rsidRPr="00F354E9" w:rsidRDefault="00F354E9" w:rsidP="00F10ACE">
            <w:pPr>
              <w:spacing w:after="0" w:line="240" w:lineRule="auto"/>
              <w:jc w:val="right"/>
              <w:rPr>
                <w:rFonts w:ascii="Times New Roman" w:eastAsia="Times New Roman" w:hAnsi="Times New Roman" w:cs="Times New Roman"/>
                <w:i/>
                <w:iCs/>
                <w:noProof/>
                <w:color w:val="000000"/>
              </w:rPr>
            </w:pPr>
            <w:r>
              <w:rPr>
                <w:rFonts w:ascii="Times New Roman" w:hAnsi="Times New Roman"/>
                <w:i/>
                <w:noProof/>
                <w:color w:val="000000"/>
              </w:rPr>
              <w:t>(en EUR)</w:t>
            </w:r>
          </w:p>
        </w:tc>
      </w:tr>
      <w:tr w:rsidR="00F354E9" w:rsidRPr="00791DF2" w14:paraId="32BE6BAD" w14:textId="77777777" w:rsidTr="00F354E9">
        <w:trPr>
          <w:trHeight w:val="450"/>
        </w:trPr>
        <w:tc>
          <w:tcPr>
            <w:tcW w:w="2556" w:type="dxa"/>
            <w:gridSpan w:val="2"/>
            <w:vMerge w:val="restart"/>
            <w:tcBorders>
              <w:top w:val="single" w:sz="8" w:space="0" w:color="auto"/>
              <w:left w:val="single" w:sz="4" w:space="0" w:color="auto"/>
              <w:bottom w:val="single" w:sz="8" w:space="0" w:color="000000" w:themeColor="text1"/>
              <w:right w:val="single" w:sz="4" w:space="0" w:color="auto"/>
            </w:tcBorders>
            <w:shd w:val="clear" w:color="auto" w:fill="BFBFBF" w:themeFill="background1" w:themeFillShade="BF"/>
            <w:vAlign w:val="center"/>
            <w:hideMark/>
          </w:tcPr>
          <w:p w14:paraId="6610A8E0" w14:textId="77777777" w:rsidR="00F354E9" w:rsidRPr="00F354E9" w:rsidRDefault="00F354E9" w:rsidP="00F10AC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760" w:type="dxa"/>
            <w:gridSpan w:val="2"/>
            <w:vMerge w:val="restart"/>
            <w:tcBorders>
              <w:top w:val="single" w:sz="8" w:space="0" w:color="auto"/>
              <w:left w:val="single" w:sz="4" w:space="0" w:color="auto"/>
              <w:bottom w:val="single" w:sz="8" w:space="0" w:color="000000" w:themeColor="text1"/>
              <w:right w:val="single" w:sz="4" w:space="0" w:color="auto"/>
            </w:tcBorders>
            <w:shd w:val="clear" w:color="auto" w:fill="BFBFBF" w:themeFill="background1" w:themeFillShade="BF"/>
            <w:vAlign w:val="center"/>
            <w:hideMark/>
          </w:tcPr>
          <w:p w14:paraId="282B93BC" w14:textId="4BA2665B" w:rsidR="00F354E9" w:rsidRPr="00F354E9" w:rsidRDefault="00F354E9" w:rsidP="00F10A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Budget 2026 (y compris PBR 1/2026)</w:t>
            </w:r>
          </w:p>
        </w:tc>
        <w:tc>
          <w:tcPr>
            <w:tcW w:w="2536" w:type="dxa"/>
            <w:gridSpan w:val="2"/>
            <w:vMerge w:val="restart"/>
            <w:tcBorders>
              <w:top w:val="single" w:sz="8" w:space="0" w:color="auto"/>
              <w:left w:val="single" w:sz="4" w:space="0" w:color="auto"/>
              <w:bottom w:val="single" w:sz="8" w:space="0" w:color="000000" w:themeColor="text1"/>
              <w:right w:val="single" w:sz="4" w:space="0" w:color="auto"/>
            </w:tcBorders>
            <w:shd w:val="clear" w:color="auto" w:fill="BFBFBF" w:themeFill="background1" w:themeFillShade="BF"/>
            <w:vAlign w:val="center"/>
            <w:hideMark/>
          </w:tcPr>
          <w:p w14:paraId="2ACF5E87" w14:textId="46FD4916" w:rsidR="00F354E9" w:rsidRPr="00F354E9" w:rsidRDefault="00F354E9" w:rsidP="00F10ACE">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Projet de budget rectificatif 2/2026</w:t>
            </w:r>
          </w:p>
        </w:tc>
        <w:tc>
          <w:tcPr>
            <w:tcW w:w="2760" w:type="dxa"/>
            <w:gridSpan w:val="2"/>
            <w:vMerge w:val="restart"/>
            <w:tcBorders>
              <w:top w:val="single" w:sz="8" w:space="0" w:color="auto"/>
              <w:left w:val="single" w:sz="4" w:space="0" w:color="auto"/>
              <w:bottom w:val="single" w:sz="8" w:space="0" w:color="000000" w:themeColor="text1"/>
              <w:right w:val="single" w:sz="4" w:space="0" w:color="auto"/>
            </w:tcBorders>
            <w:shd w:val="clear" w:color="auto" w:fill="BFBFBF" w:themeFill="background1" w:themeFillShade="BF"/>
            <w:vAlign w:val="center"/>
            <w:hideMark/>
          </w:tcPr>
          <w:p w14:paraId="706A229A" w14:textId="301F733C" w:rsidR="00F354E9" w:rsidRPr="00F354E9" w:rsidRDefault="00F354E9" w:rsidP="00F10A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Budget 2026 (y compris PBR 1 et 2/2026)</w:t>
            </w:r>
          </w:p>
        </w:tc>
      </w:tr>
      <w:tr w:rsidR="00F354E9" w:rsidRPr="00791DF2" w14:paraId="7D0ED48F" w14:textId="77777777" w:rsidTr="00F354E9">
        <w:trPr>
          <w:trHeight w:val="450"/>
        </w:trPr>
        <w:tc>
          <w:tcPr>
            <w:tcW w:w="2556" w:type="dxa"/>
            <w:gridSpan w:val="2"/>
            <w:vMerge/>
            <w:tcBorders>
              <w:left w:val="single" w:sz="4" w:space="0" w:color="auto"/>
              <w:right w:val="single" w:sz="4" w:space="0" w:color="auto"/>
            </w:tcBorders>
            <w:vAlign w:val="center"/>
            <w:hideMark/>
          </w:tcPr>
          <w:p w14:paraId="4E359DE5" w14:textId="77777777" w:rsidR="00F354E9" w:rsidRPr="004C0516" w:rsidRDefault="00F354E9" w:rsidP="00F10ACE">
            <w:pPr>
              <w:spacing w:after="0" w:line="240" w:lineRule="auto"/>
              <w:rPr>
                <w:rFonts w:ascii="Times New Roman" w:eastAsia="Times New Roman" w:hAnsi="Times New Roman" w:cs="Times New Roman"/>
                <w:noProof/>
                <w:color w:val="000000"/>
                <w:sz w:val="16"/>
                <w:szCs w:val="16"/>
                <w:lang w:val="fr-BE" w:eastAsia="en-IE"/>
              </w:rPr>
            </w:pPr>
          </w:p>
        </w:tc>
        <w:tc>
          <w:tcPr>
            <w:tcW w:w="2760" w:type="dxa"/>
            <w:gridSpan w:val="2"/>
            <w:vMerge/>
            <w:tcBorders>
              <w:left w:val="single" w:sz="4" w:space="0" w:color="auto"/>
              <w:bottom w:val="single" w:sz="4" w:space="0" w:color="auto"/>
              <w:right w:val="single" w:sz="4" w:space="0" w:color="auto"/>
            </w:tcBorders>
            <w:vAlign w:val="center"/>
            <w:hideMark/>
          </w:tcPr>
          <w:p w14:paraId="79F7300E" w14:textId="77777777" w:rsidR="00F354E9" w:rsidRPr="004C0516" w:rsidRDefault="00F354E9" w:rsidP="00F10ACE">
            <w:pPr>
              <w:spacing w:after="0" w:line="240" w:lineRule="auto"/>
              <w:rPr>
                <w:rFonts w:ascii="Times New Roman" w:eastAsia="Times New Roman" w:hAnsi="Times New Roman" w:cs="Times New Roman"/>
                <w:b/>
                <w:bCs/>
                <w:noProof/>
                <w:color w:val="000000"/>
                <w:sz w:val="16"/>
                <w:szCs w:val="16"/>
                <w:lang w:val="fr-BE" w:eastAsia="en-IE"/>
              </w:rPr>
            </w:pPr>
          </w:p>
        </w:tc>
        <w:tc>
          <w:tcPr>
            <w:tcW w:w="2536" w:type="dxa"/>
            <w:gridSpan w:val="2"/>
            <w:vMerge/>
            <w:tcBorders>
              <w:left w:val="single" w:sz="4" w:space="0" w:color="auto"/>
              <w:bottom w:val="single" w:sz="4" w:space="0" w:color="auto"/>
              <w:right w:val="single" w:sz="4" w:space="0" w:color="auto"/>
            </w:tcBorders>
            <w:vAlign w:val="center"/>
            <w:hideMark/>
          </w:tcPr>
          <w:p w14:paraId="1AFB8F6F" w14:textId="77777777" w:rsidR="00F354E9" w:rsidRPr="004C0516" w:rsidRDefault="00F354E9" w:rsidP="00F10ACE">
            <w:pPr>
              <w:spacing w:after="0" w:line="240" w:lineRule="auto"/>
              <w:rPr>
                <w:rFonts w:ascii="Times New Roman" w:eastAsia="Times New Roman" w:hAnsi="Times New Roman" w:cs="Times New Roman"/>
                <w:b/>
                <w:bCs/>
                <w:noProof/>
                <w:sz w:val="16"/>
                <w:szCs w:val="16"/>
                <w:lang w:val="fr-BE" w:eastAsia="en-IE"/>
              </w:rPr>
            </w:pPr>
          </w:p>
        </w:tc>
        <w:tc>
          <w:tcPr>
            <w:tcW w:w="2760" w:type="dxa"/>
            <w:gridSpan w:val="2"/>
            <w:vMerge/>
            <w:tcBorders>
              <w:left w:val="single" w:sz="4" w:space="0" w:color="auto"/>
              <w:right w:val="single" w:sz="4" w:space="0" w:color="auto"/>
            </w:tcBorders>
            <w:vAlign w:val="center"/>
            <w:hideMark/>
          </w:tcPr>
          <w:p w14:paraId="3FBA6306" w14:textId="77777777" w:rsidR="00F354E9" w:rsidRPr="004C0516" w:rsidRDefault="00F354E9" w:rsidP="00F10ACE">
            <w:pPr>
              <w:spacing w:after="0" w:line="240" w:lineRule="auto"/>
              <w:rPr>
                <w:rFonts w:ascii="Times New Roman" w:eastAsia="Times New Roman" w:hAnsi="Times New Roman" w:cs="Times New Roman"/>
                <w:b/>
                <w:bCs/>
                <w:noProof/>
                <w:color w:val="000000"/>
                <w:sz w:val="16"/>
                <w:szCs w:val="16"/>
                <w:lang w:val="fr-BE" w:eastAsia="en-IE"/>
              </w:rPr>
            </w:pPr>
          </w:p>
        </w:tc>
      </w:tr>
      <w:tr w:rsidR="00F354E9" w:rsidRPr="00791DF2" w14:paraId="796E4981" w14:textId="77777777" w:rsidTr="00F354E9">
        <w:trPr>
          <w:trHeight w:val="315"/>
        </w:trPr>
        <w:tc>
          <w:tcPr>
            <w:tcW w:w="2556" w:type="dxa"/>
            <w:gridSpan w:val="2"/>
            <w:vMerge/>
            <w:tcBorders>
              <w:left w:val="single" w:sz="4" w:space="0" w:color="auto"/>
              <w:right w:val="single" w:sz="4" w:space="0" w:color="auto"/>
            </w:tcBorders>
            <w:vAlign w:val="center"/>
            <w:hideMark/>
          </w:tcPr>
          <w:p w14:paraId="3CFD76A6" w14:textId="77777777" w:rsidR="00F354E9" w:rsidRPr="004C0516" w:rsidRDefault="00F354E9" w:rsidP="00F10ACE">
            <w:pPr>
              <w:spacing w:after="0" w:line="240" w:lineRule="auto"/>
              <w:rPr>
                <w:rFonts w:ascii="Times New Roman" w:eastAsia="Times New Roman" w:hAnsi="Times New Roman" w:cs="Times New Roman"/>
                <w:noProof/>
                <w:color w:val="000000"/>
                <w:sz w:val="16"/>
                <w:szCs w:val="16"/>
                <w:lang w:val="fr-BE" w:eastAsia="en-IE"/>
              </w:rPr>
            </w:pPr>
          </w:p>
        </w:tc>
        <w:tc>
          <w:tcPr>
            <w:tcW w:w="1380" w:type="dxa"/>
            <w:tcBorders>
              <w:top w:val="single" w:sz="4" w:space="0" w:color="auto"/>
              <w:left w:val="single" w:sz="4" w:space="0" w:color="auto"/>
              <w:bottom w:val="single" w:sz="8" w:space="0" w:color="auto"/>
              <w:right w:val="single" w:sz="8" w:space="0" w:color="auto"/>
            </w:tcBorders>
            <w:shd w:val="clear" w:color="auto" w:fill="BFBFBF" w:themeFill="background1" w:themeFillShade="BF"/>
            <w:vAlign w:val="center"/>
            <w:hideMark/>
          </w:tcPr>
          <w:p w14:paraId="62BD8C27" w14:textId="77777777" w:rsidR="00F354E9" w:rsidRPr="00F354E9" w:rsidRDefault="00F354E9" w:rsidP="00F10A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CE</w:t>
            </w:r>
          </w:p>
        </w:tc>
        <w:tc>
          <w:tcPr>
            <w:tcW w:w="1380" w:type="dxa"/>
            <w:tcBorders>
              <w:top w:val="single" w:sz="4" w:space="0" w:color="auto"/>
              <w:left w:val="nil"/>
              <w:bottom w:val="single" w:sz="8" w:space="0" w:color="auto"/>
              <w:right w:val="single" w:sz="8" w:space="0" w:color="auto"/>
            </w:tcBorders>
            <w:shd w:val="clear" w:color="auto" w:fill="BFBFBF" w:themeFill="background1" w:themeFillShade="BF"/>
            <w:vAlign w:val="center"/>
            <w:hideMark/>
          </w:tcPr>
          <w:p w14:paraId="1CB6A9CF" w14:textId="77777777" w:rsidR="00F354E9" w:rsidRPr="00F354E9" w:rsidRDefault="00F354E9" w:rsidP="00F10A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CP</w:t>
            </w:r>
          </w:p>
        </w:tc>
        <w:tc>
          <w:tcPr>
            <w:tcW w:w="1296" w:type="dxa"/>
            <w:tcBorders>
              <w:top w:val="single" w:sz="4" w:space="0" w:color="auto"/>
              <w:left w:val="nil"/>
              <w:bottom w:val="single" w:sz="8" w:space="0" w:color="auto"/>
              <w:right w:val="single" w:sz="8" w:space="0" w:color="auto"/>
            </w:tcBorders>
            <w:shd w:val="clear" w:color="auto" w:fill="BFBFBF" w:themeFill="background1" w:themeFillShade="BF"/>
            <w:vAlign w:val="center"/>
            <w:hideMark/>
          </w:tcPr>
          <w:p w14:paraId="269D246C" w14:textId="77777777" w:rsidR="00F354E9" w:rsidRPr="00F354E9" w:rsidRDefault="00F354E9" w:rsidP="00F10ACE">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CE</w:t>
            </w:r>
          </w:p>
        </w:tc>
        <w:tc>
          <w:tcPr>
            <w:tcW w:w="1240" w:type="dxa"/>
            <w:tcBorders>
              <w:top w:val="single" w:sz="4" w:space="0" w:color="auto"/>
              <w:left w:val="nil"/>
              <w:bottom w:val="single" w:sz="8" w:space="0" w:color="auto"/>
              <w:right w:val="single" w:sz="8" w:space="0" w:color="auto"/>
            </w:tcBorders>
            <w:shd w:val="clear" w:color="auto" w:fill="BFBFBF" w:themeFill="background1" w:themeFillShade="BF"/>
            <w:vAlign w:val="center"/>
            <w:hideMark/>
          </w:tcPr>
          <w:p w14:paraId="758AFBE1" w14:textId="77777777" w:rsidR="00F354E9" w:rsidRPr="00F354E9" w:rsidRDefault="00F354E9" w:rsidP="00F10ACE">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CP</w:t>
            </w:r>
          </w:p>
        </w:tc>
        <w:tc>
          <w:tcPr>
            <w:tcW w:w="1380" w:type="dxa"/>
            <w:tcBorders>
              <w:top w:val="single" w:sz="4" w:space="0" w:color="auto"/>
              <w:left w:val="nil"/>
              <w:bottom w:val="single" w:sz="8" w:space="0" w:color="auto"/>
              <w:right w:val="single" w:sz="8" w:space="0" w:color="auto"/>
            </w:tcBorders>
            <w:shd w:val="clear" w:color="auto" w:fill="BFBFBF" w:themeFill="background1" w:themeFillShade="BF"/>
            <w:vAlign w:val="center"/>
            <w:hideMark/>
          </w:tcPr>
          <w:p w14:paraId="6FEDCCDD" w14:textId="77777777" w:rsidR="00F354E9" w:rsidRPr="00F354E9" w:rsidRDefault="00F354E9" w:rsidP="00F10A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CE</w:t>
            </w:r>
          </w:p>
        </w:tc>
        <w:tc>
          <w:tcPr>
            <w:tcW w:w="1380" w:type="dxa"/>
            <w:tcBorders>
              <w:top w:val="single" w:sz="4" w:space="0" w:color="auto"/>
              <w:left w:val="nil"/>
              <w:bottom w:val="single" w:sz="8" w:space="0" w:color="auto"/>
              <w:right w:val="single" w:sz="4" w:space="0" w:color="auto"/>
            </w:tcBorders>
            <w:shd w:val="clear" w:color="auto" w:fill="BFBFBF" w:themeFill="background1" w:themeFillShade="BF"/>
            <w:vAlign w:val="center"/>
            <w:hideMark/>
          </w:tcPr>
          <w:p w14:paraId="10D92A4E" w14:textId="77777777" w:rsidR="00F354E9" w:rsidRPr="00F354E9" w:rsidRDefault="00F354E9" w:rsidP="00F10A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CP</w:t>
            </w:r>
          </w:p>
        </w:tc>
      </w:tr>
      <w:tr w:rsidR="00F354E9" w:rsidRPr="00791DF2" w14:paraId="46476F93" w14:textId="77777777" w:rsidTr="00F354E9">
        <w:trPr>
          <w:trHeight w:val="420"/>
        </w:trPr>
        <w:tc>
          <w:tcPr>
            <w:tcW w:w="416" w:type="dxa"/>
            <w:tcBorders>
              <w:top w:val="single" w:sz="4" w:space="0" w:color="auto"/>
              <w:left w:val="single" w:sz="8" w:space="0" w:color="auto"/>
              <w:bottom w:val="dotted" w:sz="4" w:space="0" w:color="auto"/>
              <w:right w:val="nil"/>
            </w:tcBorders>
            <w:shd w:val="clear" w:color="auto" w:fill="D9D9D9" w:themeFill="background1" w:themeFillShade="D9"/>
            <w:vAlign w:val="center"/>
            <w:hideMark/>
          </w:tcPr>
          <w:p w14:paraId="1706C64A"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2140" w:type="dxa"/>
            <w:tcBorders>
              <w:top w:val="single" w:sz="4" w:space="0" w:color="auto"/>
              <w:left w:val="nil"/>
              <w:bottom w:val="dotted" w:sz="4" w:space="0" w:color="auto"/>
              <w:right w:val="single" w:sz="8" w:space="0" w:color="auto"/>
            </w:tcBorders>
            <w:shd w:val="clear" w:color="auto" w:fill="D9D9D9" w:themeFill="background1" w:themeFillShade="D9"/>
            <w:vAlign w:val="center"/>
            <w:hideMark/>
          </w:tcPr>
          <w:p w14:paraId="79F1B210"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Marché unique, innovation et numérique</w:t>
            </w:r>
          </w:p>
        </w:tc>
        <w:tc>
          <w:tcPr>
            <w:tcW w:w="1380" w:type="dxa"/>
            <w:tcBorders>
              <w:top w:val="nil"/>
              <w:left w:val="nil"/>
              <w:bottom w:val="dotted" w:sz="4" w:space="0" w:color="auto"/>
              <w:right w:val="single" w:sz="8" w:space="0" w:color="auto"/>
            </w:tcBorders>
            <w:shd w:val="clear" w:color="000000" w:fill="D9D9D9"/>
            <w:vAlign w:val="center"/>
            <w:hideMark/>
          </w:tcPr>
          <w:p w14:paraId="4848FDF5" w14:textId="037D1CD3"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22 162 993 197</w:t>
            </w:r>
          </w:p>
        </w:tc>
        <w:tc>
          <w:tcPr>
            <w:tcW w:w="1380" w:type="dxa"/>
            <w:tcBorders>
              <w:top w:val="nil"/>
              <w:left w:val="nil"/>
              <w:bottom w:val="dotted" w:sz="4" w:space="0" w:color="auto"/>
              <w:right w:val="single" w:sz="8" w:space="0" w:color="auto"/>
            </w:tcBorders>
            <w:shd w:val="clear" w:color="000000" w:fill="D9D9D9"/>
            <w:vAlign w:val="center"/>
            <w:hideMark/>
          </w:tcPr>
          <w:p w14:paraId="33437A72" w14:textId="6FB36641"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23 336 627 126</w:t>
            </w:r>
          </w:p>
        </w:tc>
        <w:tc>
          <w:tcPr>
            <w:tcW w:w="1296" w:type="dxa"/>
            <w:tcBorders>
              <w:top w:val="nil"/>
              <w:left w:val="nil"/>
              <w:bottom w:val="dotted" w:sz="4" w:space="0" w:color="auto"/>
              <w:right w:val="single" w:sz="8" w:space="0" w:color="auto"/>
            </w:tcBorders>
            <w:shd w:val="clear" w:color="000000" w:fill="D9D9D9"/>
            <w:vAlign w:val="center"/>
            <w:hideMark/>
          </w:tcPr>
          <w:p w14:paraId="3EBD241B" w14:textId="686B5D19"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w:t>
            </w:r>
          </w:p>
        </w:tc>
        <w:tc>
          <w:tcPr>
            <w:tcW w:w="1240" w:type="dxa"/>
            <w:tcBorders>
              <w:top w:val="nil"/>
              <w:left w:val="nil"/>
              <w:bottom w:val="dotted" w:sz="4" w:space="0" w:color="auto"/>
              <w:right w:val="single" w:sz="8" w:space="0" w:color="auto"/>
            </w:tcBorders>
            <w:shd w:val="clear" w:color="000000" w:fill="D9D9D9"/>
            <w:vAlign w:val="center"/>
            <w:hideMark/>
          </w:tcPr>
          <w:p w14:paraId="791EFE97" w14:textId="0CD5C8B7"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w:t>
            </w:r>
          </w:p>
        </w:tc>
        <w:tc>
          <w:tcPr>
            <w:tcW w:w="1380" w:type="dxa"/>
            <w:tcBorders>
              <w:top w:val="nil"/>
              <w:left w:val="nil"/>
              <w:bottom w:val="dotted" w:sz="4" w:space="0" w:color="auto"/>
              <w:right w:val="single" w:sz="8" w:space="0" w:color="auto"/>
            </w:tcBorders>
            <w:shd w:val="clear" w:color="000000" w:fill="D9D9D9"/>
            <w:vAlign w:val="center"/>
            <w:hideMark/>
          </w:tcPr>
          <w:p w14:paraId="3519DE71" w14:textId="4EA30248"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22 162 993 197</w:t>
            </w:r>
          </w:p>
        </w:tc>
        <w:tc>
          <w:tcPr>
            <w:tcW w:w="1380" w:type="dxa"/>
            <w:tcBorders>
              <w:top w:val="nil"/>
              <w:left w:val="nil"/>
              <w:bottom w:val="dotted" w:sz="4" w:space="0" w:color="auto"/>
              <w:right w:val="single" w:sz="8" w:space="0" w:color="auto"/>
            </w:tcBorders>
            <w:shd w:val="clear" w:color="000000" w:fill="D9D9D9"/>
            <w:vAlign w:val="center"/>
            <w:hideMark/>
          </w:tcPr>
          <w:p w14:paraId="3C776AFE" w14:textId="7FB5B52E"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23 336 627 126</w:t>
            </w:r>
          </w:p>
        </w:tc>
      </w:tr>
      <w:tr w:rsidR="00F354E9" w:rsidRPr="00791DF2" w14:paraId="0A8BF4D9"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3D903B83"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6147D3A6"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Plafond</w:t>
            </w:r>
          </w:p>
        </w:tc>
        <w:tc>
          <w:tcPr>
            <w:tcW w:w="1380" w:type="dxa"/>
            <w:tcBorders>
              <w:top w:val="nil"/>
              <w:left w:val="nil"/>
              <w:bottom w:val="dotted" w:sz="4" w:space="0" w:color="auto"/>
              <w:right w:val="single" w:sz="8" w:space="0" w:color="auto"/>
            </w:tcBorders>
            <w:shd w:val="clear" w:color="000000" w:fill="FFFFFF"/>
            <w:vAlign w:val="center"/>
            <w:hideMark/>
          </w:tcPr>
          <w:p w14:paraId="1B8F76F3" w14:textId="512A7965"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22 210 000 000</w:t>
            </w:r>
          </w:p>
        </w:tc>
        <w:tc>
          <w:tcPr>
            <w:tcW w:w="1380" w:type="dxa"/>
            <w:tcBorders>
              <w:top w:val="nil"/>
              <w:left w:val="nil"/>
              <w:bottom w:val="dotted" w:sz="4" w:space="0" w:color="auto"/>
              <w:right w:val="single" w:sz="8" w:space="0" w:color="auto"/>
            </w:tcBorders>
            <w:shd w:val="clear" w:color="000000" w:fill="FFFFFF"/>
            <w:vAlign w:val="center"/>
            <w:hideMark/>
          </w:tcPr>
          <w:p w14:paraId="69D3147A" w14:textId="7B5C0D01"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61C5821B" w14:textId="68581961"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711D3453" w14:textId="28FB47E3"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086D5149" w14:textId="42BB41B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22 210 000 000</w:t>
            </w:r>
          </w:p>
        </w:tc>
        <w:tc>
          <w:tcPr>
            <w:tcW w:w="1380" w:type="dxa"/>
            <w:tcBorders>
              <w:top w:val="nil"/>
              <w:left w:val="nil"/>
              <w:bottom w:val="dotted" w:sz="4" w:space="0" w:color="auto"/>
              <w:right w:val="single" w:sz="8" w:space="0" w:color="auto"/>
            </w:tcBorders>
            <w:shd w:val="clear" w:color="000000" w:fill="FFFFFF"/>
            <w:vAlign w:val="center"/>
            <w:hideMark/>
          </w:tcPr>
          <w:p w14:paraId="64D41E2E" w14:textId="00E94577"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2A9BECF3" w14:textId="77777777" w:rsidTr="00F354E9">
        <w:trPr>
          <w:trHeight w:val="315"/>
        </w:trPr>
        <w:tc>
          <w:tcPr>
            <w:tcW w:w="416" w:type="dxa"/>
            <w:tcBorders>
              <w:top w:val="nil"/>
              <w:left w:val="single" w:sz="8" w:space="0" w:color="auto"/>
              <w:bottom w:val="single" w:sz="8" w:space="0" w:color="auto"/>
              <w:right w:val="nil"/>
            </w:tcBorders>
            <w:shd w:val="clear" w:color="auto" w:fill="FFFFFF" w:themeFill="background1"/>
            <w:vAlign w:val="center"/>
            <w:hideMark/>
          </w:tcPr>
          <w:p w14:paraId="363CEC45"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single" w:sz="8" w:space="0" w:color="auto"/>
              <w:right w:val="single" w:sz="8" w:space="0" w:color="auto"/>
            </w:tcBorders>
            <w:shd w:val="clear" w:color="auto" w:fill="FFFFFF" w:themeFill="background1"/>
            <w:vAlign w:val="center"/>
            <w:hideMark/>
          </w:tcPr>
          <w:p w14:paraId="5A40D8D3"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Marge</w:t>
            </w:r>
          </w:p>
        </w:tc>
        <w:tc>
          <w:tcPr>
            <w:tcW w:w="1380" w:type="dxa"/>
            <w:tcBorders>
              <w:top w:val="nil"/>
              <w:left w:val="nil"/>
              <w:bottom w:val="single" w:sz="8" w:space="0" w:color="auto"/>
              <w:right w:val="single" w:sz="8" w:space="0" w:color="auto"/>
            </w:tcBorders>
            <w:shd w:val="clear" w:color="000000" w:fill="FFFFFF"/>
            <w:vAlign w:val="center"/>
            <w:hideMark/>
          </w:tcPr>
          <w:p w14:paraId="04CAF49E" w14:textId="07CCB311"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47 006 803</w:t>
            </w:r>
          </w:p>
        </w:tc>
        <w:tc>
          <w:tcPr>
            <w:tcW w:w="1380" w:type="dxa"/>
            <w:tcBorders>
              <w:top w:val="nil"/>
              <w:left w:val="nil"/>
              <w:bottom w:val="single" w:sz="8" w:space="0" w:color="auto"/>
              <w:right w:val="single" w:sz="8" w:space="0" w:color="auto"/>
            </w:tcBorders>
            <w:shd w:val="clear" w:color="000000" w:fill="FFFFFF"/>
            <w:vAlign w:val="center"/>
            <w:hideMark/>
          </w:tcPr>
          <w:p w14:paraId="7916FC54" w14:textId="6CA2D5A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single" w:sz="8" w:space="0" w:color="auto"/>
              <w:right w:val="single" w:sz="8" w:space="0" w:color="auto"/>
            </w:tcBorders>
            <w:shd w:val="clear" w:color="000000" w:fill="FFFFFF"/>
            <w:vAlign w:val="center"/>
            <w:hideMark/>
          </w:tcPr>
          <w:p w14:paraId="01DB25CB" w14:textId="33ADD315"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single" w:sz="8" w:space="0" w:color="auto"/>
              <w:right w:val="single" w:sz="8" w:space="0" w:color="auto"/>
            </w:tcBorders>
            <w:shd w:val="clear" w:color="000000" w:fill="FFFFFF"/>
            <w:vAlign w:val="center"/>
            <w:hideMark/>
          </w:tcPr>
          <w:p w14:paraId="4F459936" w14:textId="244F43A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3C139CDD" w14:textId="04685282"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47 006 803</w:t>
            </w:r>
          </w:p>
        </w:tc>
        <w:tc>
          <w:tcPr>
            <w:tcW w:w="1380" w:type="dxa"/>
            <w:tcBorders>
              <w:top w:val="nil"/>
              <w:left w:val="nil"/>
              <w:bottom w:val="single" w:sz="8" w:space="0" w:color="auto"/>
              <w:right w:val="single" w:sz="8" w:space="0" w:color="auto"/>
            </w:tcBorders>
            <w:shd w:val="clear" w:color="000000" w:fill="FFFFFF"/>
            <w:vAlign w:val="center"/>
            <w:hideMark/>
          </w:tcPr>
          <w:p w14:paraId="57759882" w14:textId="4ACA352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709114C1" w14:textId="77777777" w:rsidTr="00F354E9">
        <w:trPr>
          <w:trHeight w:val="42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3ADDE0CC"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6D05C6A0"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Cohésion, résilience et valeurs</w:t>
            </w:r>
          </w:p>
        </w:tc>
        <w:tc>
          <w:tcPr>
            <w:tcW w:w="1380" w:type="dxa"/>
            <w:tcBorders>
              <w:top w:val="nil"/>
              <w:left w:val="nil"/>
              <w:bottom w:val="dotted" w:sz="4" w:space="0" w:color="auto"/>
              <w:right w:val="single" w:sz="8" w:space="0" w:color="auto"/>
            </w:tcBorders>
            <w:shd w:val="clear" w:color="000000" w:fill="D9D9D9"/>
            <w:vAlign w:val="center"/>
            <w:hideMark/>
          </w:tcPr>
          <w:p w14:paraId="11A1E422" w14:textId="306E26AB"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71 649 838 425</w:t>
            </w:r>
          </w:p>
        </w:tc>
        <w:tc>
          <w:tcPr>
            <w:tcW w:w="1380" w:type="dxa"/>
            <w:tcBorders>
              <w:top w:val="nil"/>
              <w:left w:val="nil"/>
              <w:bottom w:val="dotted" w:sz="4" w:space="0" w:color="auto"/>
              <w:right w:val="single" w:sz="8" w:space="0" w:color="auto"/>
            </w:tcBorders>
            <w:shd w:val="clear" w:color="000000" w:fill="D9D9D9"/>
            <w:vAlign w:val="center"/>
            <w:hideMark/>
          </w:tcPr>
          <w:p w14:paraId="0AB9B782" w14:textId="3D8E78B9"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73 166 657 166</w:t>
            </w:r>
          </w:p>
        </w:tc>
        <w:tc>
          <w:tcPr>
            <w:tcW w:w="1296" w:type="dxa"/>
            <w:tcBorders>
              <w:top w:val="nil"/>
              <w:left w:val="nil"/>
              <w:bottom w:val="dotted" w:sz="4" w:space="0" w:color="auto"/>
              <w:right w:val="single" w:sz="8" w:space="0" w:color="auto"/>
            </w:tcBorders>
            <w:shd w:val="clear" w:color="000000" w:fill="D9D9D9"/>
            <w:vAlign w:val="center"/>
            <w:hideMark/>
          </w:tcPr>
          <w:p w14:paraId="11C1B0D3" w14:textId="458EE03C"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1 000 000</w:t>
            </w:r>
          </w:p>
        </w:tc>
        <w:tc>
          <w:tcPr>
            <w:tcW w:w="1240" w:type="dxa"/>
            <w:tcBorders>
              <w:top w:val="nil"/>
              <w:left w:val="nil"/>
              <w:bottom w:val="dotted" w:sz="4" w:space="0" w:color="auto"/>
              <w:right w:val="single" w:sz="8" w:space="0" w:color="auto"/>
            </w:tcBorders>
            <w:shd w:val="clear" w:color="000000" w:fill="D9D9D9"/>
            <w:vAlign w:val="center"/>
            <w:hideMark/>
          </w:tcPr>
          <w:p w14:paraId="4EA943C7" w14:textId="5AF64CD5" w:rsidR="00F354E9" w:rsidRPr="00C51D3F" w:rsidRDefault="00D87254"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5 361 000 000</w:t>
            </w:r>
          </w:p>
        </w:tc>
        <w:tc>
          <w:tcPr>
            <w:tcW w:w="1380" w:type="dxa"/>
            <w:tcBorders>
              <w:top w:val="nil"/>
              <w:left w:val="nil"/>
              <w:bottom w:val="dotted" w:sz="4" w:space="0" w:color="auto"/>
              <w:right w:val="single" w:sz="8" w:space="0" w:color="auto"/>
            </w:tcBorders>
            <w:shd w:val="clear" w:color="000000" w:fill="D9D9D9"/>
            <w:vAlign w:val="center"/>
            <w:hideMark/>
          </w:tcPr>
          <w:p w14:paraId="4E99FAD0" w14:textId="21FD0194"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71 650 838 425</w:t>
            </w:r>
          </w:p>
        </w:tc>
        <w:tc>
          <w:tcPr>
            <w:tcW w:w="1380" w:type="dxa"/>
            <w:tcBorders>
              <w:top w:val="nil"/>
              <w:left w:val="nil"/>
              <w:bottom w:val="dotted" w:sz="4" w:space="0" w:color="auto"/>
              <w:right w:val="single" w:sz="8" w:space="0" w:color="auto"/>
            </w:tcBorders>
            <w:shd w:val="clear" w:color="000000" w:fill="D9D9D9"/>
            <w:vAlign w:val="center"/>
            <w:hideMark/>
          </w:tcPr>
          <w:p w14:paraId="0437EF62" w14:textId="615DCBBE" w:rsidR="00F354E9" w:rsidRPr="00C51D3F" w:rsidRDefault="00D87254"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78 527 657 166</w:t>
            </w:r>
          </w:p>
        </w:tc>
      </w:tr>
      <w:tr w:rsidR="00F354E9" w:rsidRPr="00791DF2" w14:paraId="05025772"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08D62993"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1B05B0D1"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Plafond</w:t>
            </w:r>
          </w:p>
        </w:tc>
        <w:tc>
          <w:tcPr>
            <w:tcW w:w="1380" w:type="dxa"/>
            <w:tcBorders>
              <w:top w:val="nil"/>
              <w:left w:val="nil"/>
              <w:bottom w:val="dotted" w:sz="4" w:space="0" w:color="auto"/>
              <w:right w:val="single" w:sz="8" w:space="0" w:color="auto"/>
            </w:tcBorders>
            <w:shd w:val="clear" w:color="000000" w:fill="FFFFFF"/>
            <w:vAlign w:val="center"/>
            <w:hideMark/>
          </w:tcPr>
          <w:p w14:paraId="445CEF2F" w14:textId="54FF039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67 523 000 000</w:t>
            </w:r>
          </w:p>
        </w:tc>
        <w:tc>
          <w:tcPr>
            <w:tcW w:w="1380" w:type="dxa"/>
            <w:tcBorders>
              <w:top w:val="nil"/>
              <w:left w:val="nil"/>
              <w:bottom w:val="dotted" w:sz="4" w:space="0" w:color="auto"/>
              <w:right w:val="single" w:sz="8" w:space="0" w:color="auto"/>
            </w:tcBorders>
            <w:shd w:val="clear" w:color="000000" w:fill="FFFFFF"/>
            <w:vAlign w:val="center"/>
            <w:hideMark/>
          </w:tcPr>
          <w:p w14:paraId="3C50ACD3" w14:textId="5DB999F1"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7E02F0D1" w14:textId="0590DABE"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51DD7DC8" w14:textId="0D16117C"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392F453D" w14:textId="2F3F9F49"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67 523 000 000</w:t>
            </w:r>
          </w:p>
        </w:tc>
        <w:tc>
          <w:tcPr>
            <w:tcW w:w="1380" w:type="dxa"/>
            <w:tcBorders>
              <w:top w:val="nil"/>
              <w:left w:val="nil"/>
              <w:bottom w:val="dotted" w:sz="4" w:space="0" w:color="auto"/>
              <w:right w:val="single" w:sz="8" w:space="0" w:color="auto"/>
            </w:tcBorders>
            <w:shd w:val="clear" w:color="000000" w:fill="FFFFFF"/>
            <w:vAlign w:val="center"/>
            <w:hideMark/>
          </w:tcPr>
          <w:p w14:paraId="657FF7FF" w14:textId="3C57428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4ADAD2E5"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hideMark/>
          </w:tcPr>
          <w:p w14:paraId="45E15880"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710D0728"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dont part relevant de l'instrument de flexibilité</w:t>
            </w:r>
          </w:p>
        </w:tc>
        <w:tc>
          <w:tcPr>
            <w:tcW w:w="1380" w:type="dxa"/>
            <w:tcBorders>
              <w:top w:val="nil"/>
              <w:left w:val="nil"/>
              <w:bottom w:val="dotted" w:sz="4" w:space="0" w:color="auto"/>
              <w:right w:val="single" w:sz="8" w:space="0" w:color="auto"/>
            </w:tcBorders>
            <w:shd w:val="clear" w:color="000000" w:fill="FFFFFF"/>
            <w:vAlign w:val="center"/>
            <w:hideMark/>
          </w:tcPr>
          <w:p w14:paraId="1BD86F83" w14:textId="03F3244A"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2 014 115 425</w:t>
            </w:r>
          </w:p>
        </w:tc>
        <w:tc>
          <w:tcPr>
            <w:tcW w:w="1380" w:type="dxa"/>
            <w:tcBorders>
              <w:top w:val="nil"/>
              <w:left w:val="nil"/>
              <w:bottom w:val="dotted" w:sz="4" w:space="0" w:color="auto"/>
              <w:right w:val="single" w:sz="8" w:space="0" w:color="auto"/>
            </w:tcBorders>
            <w:shd w:val="clear" w:color="000000" w:fill="FFFFFF"/>
            <w:vAlign w:val="center"/>
            <w:hideMark/>
          </w:tcPr>
          <w:p w14:paraId="593AB04E" w14:textId="4DDC4551"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3B8A979F" w14:textId="1BF81BF4"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1 000 000</w:t>
            </w:r>
          </w:p>
        </w:tc>
        <w:tc>
          <w:tcPr>
            <w:tcW w:w="1240" w:type="dxa"/>
            <w:tcBorders>
              <w:top w:val="nil"/>
              <w:left w:val="nil"/>
              <w:bottom w:val="dotted" w:sz="4" w:space="0" w:color="auto"/>
              <w:right w:val="single" w:sz="8" w:space="0" w:color="auto"/>
            </w:tcBorders>
            <w:shd w:val="clear" w:color="000000" w:fill="FFFFFF"/>
            <w:vAlign w:val="center"/>
            <w:hideMark/>
          </w:tcPr>
          <w:p w14:paraId="4EE78F32" w14:textId="7E264B3D"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1 000 000</w:t>
            </w:r>
          </w:p>
        </w:tc>
        <w:tc>
          <w:tcPr>
            <w:tcW w:w="1380" w:type="dxa"/>
            <w:tcBorders>
              <w:top w:val="nil"/>
              <w:left w:val="nil"/>
              <w:bottom w:val="dotted" w:sz="4" w:space="0" w:color="auto"/>
              <w:right w:val="single" w:sz="8" w:space="0" w:color="auto"/>
            </w:tcBorders>
            <w:shd w:val="clear" w:color="000000" w:fill="FFFFFF"/>
            <w:vAlign w:val="center"/>
            <w:hideMark/>
          </w:tcPr>
          <w:p w14:paraId="246D423D" w14:textId="1E065307"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2 015 115 425</w:t>
            </w:r>
          </w:p>
        </w:tc>
        <w:tc>
          <w:tcPr>
            <w:tcW w:w="1380" w:type="dxa"/>
            <w:tcBorders>
              <w:top w:val="nil"/>
              <w:left w:val="nil"/>
              <w:bottom w:val="dotted" w:sz="4" w:space="0" w:color="auto"/>
              <w:right w:val="single" w:sz="8" w:space="0" w:color="auto"/>
            </w:tcBorders>
            <w:shd w:val="clear" w:color="000000" w:fill="FFFFFF"/>
            <w:vAlign w:val="center"/>
            <w:hideMark/>
          </w:tcPr>
          <w:p w14:paraId="0E92E62B" w14:textId="44A6ECBB"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44607720"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47D98357"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7E908CE0"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dont part relevant de l'EURI</w:t>
            </w:r>
          </w:p>
        </w:tc>
        <w:tc>
          <w:tcPr>
            <w:tcW w:w="1380" w:type="dxa"/>
            <w:tcBorders>
              <w:top w:val="nil"/>
              <w:left w:val="nil"/>
              <w:bottom w:val="dotted" w:sz="4" w:space="0" w:color="auto"/>
              <w:right w:val="single" w:sz="8" w:space="0" w:color="auto"/>
            </w:tcBorders>
            <w:shd w:val="clear" w:color="000000" w:fill="FFFFFF"/>
            <w:vAlign w:val="center"/>
            <w:hideMark/>
          </w:tcPr>
          <w:p w14:paraId="0A795946" w14:textId="797A473D"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2 112 723 000</w:t>
            </w:r>
          </w:p>
        </w:tc>
        <w:tc>
          <w:tcPr>
            <w:tcW w:w="1380" w:type="dxa"/>
            <w:tcBorders>
              <w:top w:val="nil"/>
              <w:left w:val="nil"/>
              <w:bottom w:val="dotted" w:sz="4" w:space="0" w:color="auto"/>
              <w:right w:val="single" w:sz="8" w:space="0" w:color="auto"/>
            </w:tcBorders>
            <w:shd w:val="clear" w:color="000000" w:fill="FFFFFF"/>
            <w:vAlign w:val="center"/>
            <w:hideMark/>
          </w:tcPr>
          <w:p w14:paraId="6C629B7B" w14:textId="571C57B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1DF3C1B6" w14:textId="36AC6FF7"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2B5B18B1" w14:textId="708395C7"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60CF1345" w14:textId="34D00E7A"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2 112 723 000</w:t>
            </w:r>
          </w:p>
        </w:tc>
        <w:tc>
          <w:tcPr>
            <w:tcW w:w="1380" w:type="dxa"/>
            <w:tcBorders>
              <w:top w:val="nil"/>
              <w:left w:val="nil"/>
              <w:bottom w:val="dotted" w:sz="4" w:space="0" w:color="auto"/>
              <w:right w:val="single" w:sz="8" w:space="0" w:color="auto"/>
            </w:tcBorders>
            <w:shd w:val="clear" w:color="000000" w:fill="FFFFFF"/>
            <w:vAlign w:val="center"/>
            <w:hideMark/>
          </w:tcPr>
          <w:p w14:paraId="03231729" w14:textId="26B8C7C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2911E6A5"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43C6E81B"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40C339B6"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Marge</w:t>
            </w:r>
          </w:p>
        </w:tc>
        <w:tc>
          <w:tcPr>
            <w:tcW w:w="1380" w:type="dxa"/>
            <w:tcBorders>
              <w:top w:val="nil"/>
              <w:left w:val="nil"/>
              <w:bottom w:val="dotted" w:sz="4" w:space="0" w:color="auto"/>
              <w:right w:val="single" w:sz="8" w:space="0" w:color="auto"/>
            </w:tcBorders>
            <w:shd w:val="clear" w:color="000000" w:fill="FFFFFF"/>
            <w:vAlign w:val="center"/>
            <w:hideMark/>
          </w:tcPr>
          <w:p w14:paraId="1C89D628" w14:textId="1FF90163"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6EE98A9B" w14:textId="3E567950"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1077407E" w14:textId="3108678D"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49F1CFB4" w14:textId="0CB237FB"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5CBA137E" w14:textId="09D7ECE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698AA036" w14:textId="5473D232"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3D05D973" w14:textId="77777777" w:rsidTr="00F354E9">
        <w:trPr>
          <w:trHeight w:val="45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2ECA0A2E"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2 a.</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17F55012"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Cohésion économique, sociale et territoriale</w:t>
            </w:r>
          </w:p>
        </w:tc>
        <w:tc>
          <w:tcPr>
            <w:tcW w:w="1380" w:type="dxa"/>
            <w:tcBorders>
              <w:top w:val="nil"/>
              <w:left w:val="nil"/>
              <w:bottom w:val="dotted" w:sz="4" w:space="0" w:color="auto"/>
              <w:right w:val="single" w:sz="8" w:space="0" w:color="auto"/>
            </w:tcBorders>
            <w:shd w:val="clear" w:color="000000" w:fill="D9D9D9"/>
            <w:vAlign w:val="center"/>
            <w:hideMark/>
          </w:tcPr>
          <w:p w14:paraId="390D6F59" w14:textId="7BF848DB"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56 594 001 997</w:t>
            </w:r>
          </w:p>
        </w:tc>
        <w:tc>
          <w:tcPr>
            <w:tcW w:w="1380" w:type="dxa"/>
            <w:tcBorders>
              <w:top w:val="nil"/>
              <w:left w:val="nil"/>
              <w:bottom w:val="dotted" w:sz="4" w:space="0" w:color="auto"/>
              <w:right w:val="single" w:sz="8" w:space="0" w:color="auto"/>
            </w:tcBorders>
            <w:shd w:val="clear" w:color="000000" w:fill="D9D9D9"/>
            <w:vAlign w:val="center"/>
            <w:hideMark/>
          </w:tcPr>
          <w:p w14:paraId="537574A2" w14:textId="7BC867EC"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58 298 110 625</w:t>
            </w:r>
          </w:p>
        </w:tc>
        <w:tc>
          <w:tcPr>
            <w:tcW w:w="1296" w:type="dxa"/>
            <w:tcBorders>
              <w:top w:val="nil"/>
              <w:left w:val="nil"/>
              <w:bottom w:val="dotted" w:sz="4" w:space="0" w:color="auto"/>
              <w:right w:val="single" w:sz="8" w:space="0" w:color="auto"/>
            </w:tcBorders>
            <w:shd w:val="clear" w:color="000000" w:fill="D9D9D9"/>
            <w:vAlign w:val="center"/>
            <w:hideMark/>
          </w:tcPr>
          <w:p w14:paraId="5C0859BE" w14:textId="78275162"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40" w:type="dxa"/>
            <w:tcBorders>
              <w:top w:val="nil"/>
              <w:left w:val="nil"/>
              <w:bottom w:val="dotted" w:sz="4" w:space="0" w:color="auto"/>
              <w:right w:val="single" w:sz="8" w:space="0" w:color="auto"/>
            </w:tcBorders>
            <w:shd w:val="clear" w:color="000000" w:fill="D9D9D9"/>
            <w:vAlign w:val="center"/>
            <w:hideMark/>
          </w:tcPr>
          <w:p w14:paraId="4767C7A2" w14:textId="37E5DE24" w:rsidR="00F354E9" w:rsidRPr="00C51D3F" w:rsidRDefault="00D87254"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5 360 000 000 </w:t>
            </w:r>
          </w:p>
        </w:tc>
        <w:tc>
          <w:tcPr>
            <w:tcW w:w="1380" w:type="dxa"/>
            <w:tcBorders>
              <w:top w:val="nil"/>
              <w:left w:val="nil"/>
              <w:bottom w:val="dotted" w:sz="4" w:space="0" w:color="auto"/>
              <w:right w:val="single" w:sz="8" w:space="0" w:color="auto"/>
            </w:tcBorders>
            <w:shd w:val="clear" w:color="000000" w:fill="D9D9D9"/>
            <w:vAlign w:val="center"/>
            <w:hideMark/>
          </w:tcPr>
          <w:p w14:paraId="7362641F" w14:textId="3BE7BBE3"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56 594 001 997</w:t>
            </w:r>
          </w:p>
        </w:tc>
        <w:tc>
          <w:tcPr>
            <w:tcW w:w="1380" w:type="dxa"/>
            <w:tcBorders>
              <w:top w:val="nil"/>
              <w:left w:val="nil"/>
              <w:bottom w:val="dotted" w:sz="4" w:space="0" w:color="auto"/>
              <w:right w:val="single" w:sz="8" w:space="0" w:color="auto"/>
            </w:tcBorders>
            <w:shd w:val="clear" w:color="000000" w:fill="D9D9D9"/>
            <w:vAlign w:val="center"/>
            <w:hideMark/>
          </w:tcPr>
          <w:p w14:paraId="20A7E409" w14:textId="7F98DE08" w:rsidR="00F354E9" w:rsidRPr="00C51D3F" w:rsidRDefault="00D04F21"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63 658 110 625</w:t>
            </w:r>
          </w:p>
        </w:tc>
      </w:tr>
      <w:tr w:rsidR="00F354E9" w:rsidRPr="00791DF2" w14:paraId="7604A261"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2473E2D3"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0CD18E86"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Plafond</w:t>
            </w:r>
          </w:p>
        </w:tc>
        <w:tc>
          <w:tcPr>
            <w:tcW w:w="1380" w:type="dxa"/>
            <w:tcBorders>
              <w:top w:val="nil"/>
              <w:left w:val="nil"/>
              <w:bottom w:val="dotted" w:sz="4" w:space="0" w:color="auto"/>
              <w:right w:val="single" w:sz="8" w:space="0" w:color="auto"/>
            </w:tcBorders>
            <w:shd w:val="clear" w:color="000000" w:fill="FFFFFF"/>
            <w:vAlign w:val="center"/>
            <w:hideMark/>
          </w:tcPr>
          <w:p w14:paraId="5E55644C" w14:textId="1297E16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56 593 000 000</w:t>
            </w:r>
          </w:p>
        </w:tc>
        <w:tc>
          <w:tcPr>
            <w:tcW w:w="1380" w:type="dxa"/>
            <w:tcBorders>
              <w:top w:val="nil"/>
              <w:left w:val="nil"/>
              <w:bottom w:val="dotted" w:sz="4" w:space="0" w:color="auto"/>
              <w:right w:val="single" w:sz="8" w:space="0" w:color="auto"/>
            </w:tcBorders>
            <w:shd w:val="clear" w:color="000000" w:fill="FFFFFF"/>
            <w:vAlign w:val="center"/>
            <w:hideMark/>
          </w:tcPr>
          <w:p w14:paraId="0CF5AB9A" w14:textId="6D7A4F8D"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47C4ED50" w14:textId="34F192DA"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68D10302" w14:textId="160A2F97"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356D419D" w14:textId="14FA5F6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56 593 000 000</w:t>
            </w:r>
          </w:p>
        </w:tc>
        <w:tc>
          <w:tcPr>
            <w:tcW w:w="1380" w:type="dxa"/>
            <w:tcBorders>
              <w:top w:val="nil"/>
              <w:left w:val="nil"/>
              <w:bottom w:val="dotted" w:sz="4" w:space="0" w:color="auto"/>
              <w:right w:val="single" w:sz="8" w:space="0" w:color="auto"/>
            </w:tcBorders>
            <w:shd w:val="clear" w:color="000000" w:fill="FFFFFF"/>
            <w:vAlign w:val="center"/>
            <w:hideMark/>
          </w:tcPr>
          <w:p w14:paraId="3B7AEE5D" w14:textId="59DEFEF3"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734B1A72"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hideMark/>
          </w:tcPr>
          <w:p w14:paraId="2AD65727"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7BDA4D01"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dont part relevant de l'instrument de flexibilité</w:t>
            </w:r>
          </w:p>
        </w:tc>
        <w:tc>
          <w:tcPr>
            <w:tcW w:w="1380" w:type="dxa"/>
            <w:tcBorders>
              <w:top w:val="nil"/>
              <w:left w:val="nil"/>
              <w:bottom w:val="dotted" w:sz="4" w:space="0" w:color="auto"/>
              <w:right w:val="single" w:sz="8" w:space="0" w:color="auto"/>
            </w:tcBorders>
            <w:shd w:val="clear" w:color="000000" w:fill="FFFFFF"/>
            <w:vAlign w:val="center"/>
            <w:hideMark/>
          </w:tcPr>
          <w:p w14:paraId="00C91767" w14:textId="62042065"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1 001 997</w:t>
            </w:r>
          </w:p>
        </w:tc>
        <w:tc>
          <w:tcPr>
            <w:tcW w:w="1380" w:type="dxa"/>
            <w:tcBorders>
              <w:top w:val="nil"/>
              <w:left w:val="nil"/>
              <w:bottom w:val="dotted" w:sz="4" w:space="0" w:color="auto"/>
              <w:right w:val="single" w:sz="8" w:space="0" w:color="auto"/>
            </w:tcBorders>
            <w:shd w:val="clear" w:color="000000" w:fill="FFFFFF"/>
            <w:vAlign w:val="center"/>
            <w:hideMark/>
          </w:tcPr>
          <w:p w14:paraId="3D937D98" w14:textId="3A712CD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5E460C61" w14:textId="746A152A"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4055DA94" w14:textId="2DFDAB6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38AF247A" w14:textId="5094B6E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1 001 997</w:t>
            </w:r>
          </w:p>
        </w:tc>
        <w:tc>
          <w:tcPr>
            <w:tcW w:w="1380" w:type="dxa"/>
            <w:tcBorders>
              <w:top w:val="nil"/>
              <w:left w:val="nil"/>
              <w:bottom w:val="dotted" w:sz="4" w:space="0" w:color="auto"/>
              <w:right w:val="single" w:sz="8" w:space="0" w:color="auto"/>
            </w:tcBorders>
            <w:shd w:val="clear" w:color="000000" w:fill="FFFFFF"/>
            <w:vAlign w:val="center"/>
            <w:hideMark/>
          </w:tcPr>
          <w:p w14:paraId="32172574" w14:textId="784CA15A"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109ABFD2"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23427530"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479669F6"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Marge</w:t>
            </w:r>
          </w:p>
        </w:tc>
        <w:tc>
          <w:tcPr>
            <w:tcW w:w="1380" w:type="dxa"/>
            <w:tcBorders>
              <w:top w:val="nil"/>
              <w:left w:val="nil"/>
              <w:bottom w:val="dotted" w:sz="4" w:space="0" w:color="auto"/>
              <w:right w:val="single" w:sz="8" w:space="0" w:color="auto"/>
            </w:tcBorders>
            <w:shd w:val="clear" w:color="000000" w:fill="FFFFFF"/>
            <w:vAlign w:val="center"/>
            <w:hideMark/>
          </w:tcPr>
          <w:p w14:paraId="706BCCB2" w14:textId="0774875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7298A9B2" w14:textId="7B9648C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65B2F431" w14:textId="14E4C301"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1D4EF69C" w14:textId="2308F29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79578D58" w14:textId="685D953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2ED65E88" w14:textId="682DC0B2"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1F6EE5B7" w14:textId="77777777" w:rsidTr="00F354E9">
        <w:trPr>
          <w:trHeight w:val="45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1BBD968F"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2 b.</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5345B96D"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Résilience et valeurs</w:t>
            </w:r>
          </w:p>
        </w:tc>
        <w:tc>
          <w:tcPr>
            <w:tcW w:w="1380" w:type="dxa"/>
            <w:tcBorders>
              <w:top w:val="nil"/>
              <w:left w:val="nil"/>
              <w:bottom w:val="dotted" w:sz="4" w:space="0" w:color="auto"/>
              <w:right w:val="single" w:sz="8" w:space="0" w:color="auto"/>
            </w:tcBorders>
            <w:shd w:val="clear" w:color="000000" w:fill="D9D9D9"/>
            <w:vAlign w:val="center"/>
            <w:hideMark/>
          </w:tcPr>
          <w:p w14:paraId="34E75D65" w14:textId="7983CF11"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15 055 836 428</w:t>
            </w:r>
          </w:p>
        </w:tc>
        <w:tc>
          <w:tcPr>
            <w:tcW w:w="1380" w:type="dxa"/>
            <w:tcBorders>
              <w:top w:val="nil"/>
              <w:left w:val="nil"/>
              <w:bottom w:val="dotted" w:sz="4" w:space="0" w:color="auto"/>
              <w:right w:val="single" w:sz="8" w:space="0" w:color="auto"/>
            </w:tcBorders>
            <w:shd w:val="clear" w:color="000000" w:fill="D9D9D9"/>
            <w:vAlign w:val="center"/>
            <w:hideMark/>
          </w:tcPr>
          <w:p w14:paraId="2AF6BA85" w14:textId="2D415615"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14 868 546 541</w:t>
            </w:r>
          </w:p>
        </w:tc>
        <w:tc>
          <w:tcPr>
            <w:tcW w:w="1296" w:type="dxa"/>
            <w:tcBorders>
              <w:top w:val="nil"/>
              <w:left w:val="nil"/>
              <w:bottom w:val="dotted" w:sz="4" w:space="0" w:color="auto"/>
              <w:right w:val="single" w:sz="8" w:space="0" w:color="auto"/>
            </w:tcBorders>
            <w:shd w:val="clear" w:color="000000" w:fill="D9D9D9"/>
            <w:vAlign w:val="center"/>
            <w:hideMark/>
          </w:tcPr>
          <w:p w14:paraId="565E3717" w14:textId="61AEDDD6"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1 000 000</w:t>
            </w:r>
          </w:p>
        </w:tc>
        <w:tc>
          <w:tcPr>
            <w:tcW w:w="1240" w:type="dxa"/>
            <w:tcBorders>
              <w:top w:val="nil"/>
              <w:left w:val="nil"/>
              <w:bottom w:val="dotted" w:sz="4" w:space="0" w:color="auto"/>
              <w:right w:val="single" w:sz="8" w:space="0" w:color="auto"/>
            </w:tcBorders>
            <w:shd w:val="clear" w:color="000000" w:fill="D9D9D9"/>
            <w:vAlign w:val="center"/>
            <w:hideMark/>
          </w:tcPr>
          <w:p w14:paraId="77743EB9" w14:textId="2A3F0F03"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1 000 000</w:t>
            </w:r>
          </w:p>
        </w:tc>
        <w:tc>
          <w:tcPr>
            <w:tcW w:w="1380" w:type="dxa"/>
            <w:tcBorders>
              <w:top w:val="nil"/>
              <w:left w:val="nil"/>
              <w:bottom w:val="dotted" w:sz="4" w:space="0" w:color="auto"/>
              <w:right w:val="single" w:sz="8" w:space="0" w:color="auto"/>
            </w:tcBorders>
            <w:shd w:val="clear" w:color="000000" w:fill="D9D9D9"/>
            <w:vAlign w:val="center"/>
            <w:hideMark/>
          </w:tcPr>
          <w:p w14:paraId="41974973" w14:textId="16203F02"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15 056 836 428</w:t>
            </w:r>
          </w:p>
        </w:tc>
        <w:tc>
          <w:tcPr>
            <w:tcW w:w="1380" w:type="dxa"/>
            <w:tcBorders>
              <w:top w:val="nil"/>
              <w:left w:val="nil"/>
              <w:bottom w:val="dotted" w:sz="4" w:space="0" w:color="auto"/>
              <w:right w:val="single" w:sz="8" w:space="0" w:color="auto"/>
            </w:tcBorders>
            <w:shd w:val="clear" w:color="000000" w:fill="D9D9D9"/>
            <w:vAlign w:val="center"/>
            <w:hideMark/>
          </w:tcPr>
          <w:p w14:paraId="63E99F8F" w14:textId="02728227"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14 869 546 541</w:t>
            </w:r>
          </w:p>
        </w:tc>
      </w:tr>
      <w:tr w:rsidR="00F354E9" w:rsidRPr="00791DF2" w14:paraId="1621C86D"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7C6F5E11"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5778A20B"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Plafond</w:t>
            </w:r>
          </w:p>
        </w:tc>
        <w:tc>
          <w:tcPr>
            <w:tcW w:w="1380" w:type="dxa"/>
            <w:tcBorders>
              <w:top w:val="nil"/>
              <w:left w:val="nil"/>
              <w:bottom w:val="dotted" w:sz="4" w:space="0" w:color="auto"/>
              <w:right w:val="single" w:sz="8" w:space="0" w:color="auto"/>
            </w:tcBorders>
            <w:shd w:val="clear" w:color="000000" w:fill="FFFFFF"/>
            <w:vAlign w:val="center"/>
            <w:hideMark/>
          </w:tcPr>
          <w:p w14:paraId="49ED612E" w14:textId="28DD5CF2"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10 930 000 000</w:t>
            </w:r>
          </w:p>
        </w:tc>
        <w:tc>
          <w:tcPr>
            <w:tcW w:w="1380" w:type="dxa"/>
            <w:tcBorders>
              <w:top w:val="nil"/>
              <w:left w:val="nil"/>
              <w:bottom w:val="dotted" w:sz="4" w:space="0" w:color="auto"/>
              <w:right w:val="single" w:sz="8" w:space="0" w:color="auto"/>
            </w:tcBorders>
            <w:shd w:val="clear" w:color="000000" w:fill="FFFFFF"/>
            <w:vAlign w:val="center"/>
            <w:hideMark/>
          </w:tcPr>
          <w:p w14:paraId="32B5EBBE" w14:textId="3C63611B"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08219D30" w14:textId="18B499F2"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0C97E0A8" w14:textId="25B4C2F2"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39923292" w14:textId="1C8A571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10 930 000 000</w:t>
            </w:r>
          </w:p>
        </w:tc>
        <w:tc>
          <w:tcPr>
            <w:tcW w:w="1380" w:type="dxa"/>
            <w:tcBorders>
              <w:top w:val="nil"/>
              <w:left w:val="nil"/>
              <w:bottom w:val="dotted" w:sz="4" w:space="0" w:color="auto"/>
              <w:right w:val="single" w:sz="8" w:space="0" w:color="auto"/>
            </w:tcBorders>
            <w:shd w:val="clear" w:color="000000" w:fill="FFFFFF"/>
            <w:vAlign w:val="center"/>
            <w:hideMark/>
          </w:tcPr>
          <w:p w14:paraId="38AAE4F4" w14:textId="14EC4B55"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4E7AB54E"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hideMark/>
          </w:tcPr>
          <w:p w14:paraId="2912CC33"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513088C2"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dont part relevant de l'instrument de flexibilité</w:t>
            </w:r>
          </w:p>
        </w:tc>
        <w:tc>
          <w:tcPr>
            <w:tcW w:w="1380" w:type="dxa"/>
            <w:tcBorders>
              <w:top w:val="nil"/>
              <w:left w:val="nil"/>
              <w:bottom w:val="dotted" w:sz="4" w:space="0" w:color="auto"/>
              <w:right w:val="single" w:sz="8" w:space="0" w:color="auto"/>
            </w:tcBorders>
            <w:shd w:val="clear" w:color="000000" w:fill="FFFFFF"/>
            <w:vAlign w:val="center"/>
            <w:hideMark/>
          </w:tcPr>
          <w:p w14:paraId="4DFB5836" w14:textId="4D8B8F2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2 013 113 428</w:t>
            </w:r>
          </w:p>
        </w:tc>
        <w:tc>
          <w:tcPr>
            <w:tcW w:w="1380" w:type="dxa"/>
            <w:tcBorders>
              <w:top w:val="nil"/>
              <w:left w:val="nil"/>
              <w:bottom w:val="dotted" w:sz="4" w:space="0" w:color="auto"/>
              <w:right w:val="single" w:sz="8" w:space="0" w:color="auto"/>
            </w:tcBorders>
            <w:shd w:val="clear" w:color="000000" w:fill="FFFFFF"/>
            <w:vAlign w:val="center"/>
            <w:hideMark/>
          </w:tcPr>
          <w:p w14:paraId="3E73F260" w14:textId="2CCF7914"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01260FCA" w14:textId="034EB825"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1 000 000</w:t>
            </w:r>
          </w:p>
        </w:tc>
        <w:tc>
          <w:tcPr>
            <w:tcW w:w="1240" w:type="dxa"/>
            <w:tcBorders>
              <w:top w:val="nil"/>
              <w:left w:val="nil"/>
              <w:bottom w:val="dotted" w:sz="4" w:space="0" w:color="auto"/>
              <w:right w:val="single" w:sz="8" w:space="0" w:color="auto"/>
            </w:tcBorders>
            <w:shd w:val="clear" w:color="000000" w:fill="FFFFFF"/>
            <w:vAlign w:val="center"/>
            <w:hideMark/>
          </w:tcPr>
          <w:p w14:paraId="2C3873BA" w14:textId="511A0C96"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1 000 000</w:t>
            </w:r>
          </w:p>
        </w:tc>
        <w:tc>
          <w:tcPr>
            <w:tcW w:w="1380" w:type="dxa"/>
            <w:tcBorders>
              <w:top w:val="nil"/>
              <w:left w:val="nil"/>
              <w:bottom w:val="dotted" w:sz="4" w:space="0" w:color="auto"/>
              <w:right w:val="single" w:sz="8" w:space="0" w:color="auto"/>
            </w:tcBorders>
            <w:shd w:val="clear" w:color="000000" w:fill="FFFFFF"/>
            <w:vAlign w:val="center"/>
            <w:hideMark/>
          </w:tcPr>
          <w:p w14:paraId="0CBC7B05" w14:textId="0BE3D68A"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2 014 113 428</w:t>
            </w:r>
          </w:p>
        </w:tc>
        <w:tc>
          <w:tcPr>
            <w:tcW w:w="1380" w:type="dxa"/>
            <w:tcBorders>
              <w:top w:val="nil"/>
              <w:left w:val="nil"/>
              <w:bottom w:val="dotted" w:sz="4" w:space="0" w:color="auto"/>
              <w:right w:val="single" w:sz="8" w:space="0" w:color="auto"/>
            </w:tcBorders>
            <w:shd w:val="clear" w:color="000000" w:fill="FFFFFF"/>
            <w:vAlign w:val="center"/>
            <w:hideMark/>
          </w:tcPr>
          <w:p w14:paraId="35C822A1" w14:textId="53DC6424"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76D1B09E"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548A57E9"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5A5B7908"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dont part relevant de l'EURI</w:t>
            </w:r>
          </w:p>
        </w:tc>
        <w:tc>
          <w:tcPr>
            <w:tcW w:w="1380" w:type="dxa"/>
            <w:tcBorders>
              <w:top w:val="nil"/>
              <w:left w:val="nil"/>
              <w:bottom w:val="dotted" w:sz="4" w:space="0" w:color="auto"/>
              <w:right w:val="single" w:sz="8" w:space="0" w:color="auto"/>
            </w:tcBorders>
            <w:shd w:val="clear" w:color="000000" w:fill="FFFFFF"/>
            <w:vAlign w:val="center"/>
            <w:hideMark/>
          </w:tcPr>
          <w:p w14:paraId="023F1D9F" w14:textId="1FFB47D9"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2 112 723 000</w:t>
            </w:r>
          </w:p>
        </w:tc>
        <w:tc>
          <w:tcPr>
            <w:tcW w:w="1380" w:type="dxa"/>
            <w:tcBorders>
              <w:top w:val="nil"/>
              <w:left w:val="nil"/>
              <w:bottom w:val="dotted" w:sz="4" w:space="0" w:color="auto"/>
              <w:right w:val="single" w:sz="8" w:space="0" w:color="auto"/>
            </w:tcBorders>
            <w:shd w:val="clear" w:color="000000" w:fill="FFFFFF"/>
            <w:vAlign w:val="center"/>
            <w:hideMark/>
          </w:tcPr>
          <w:p w14:paraId="4A601DF3" w14:textId="254C01A4"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6469CE2A" w14:textId="256DB4A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4A171EC3" w14:textId="5EA8CFB0"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74040231" w14:textId="7D511AB1"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2 112 723 000</w:t>
            </w:r>
          </w:p>
        </w:tc>
        <w:tc>
          <w:tcPr>
            <w:tcW w:w="1380" w:type="dxa"/>
            <w:tcBorders>
              <w:top w:val="nil"/>
              <w:left w:val="nil"/>
              <w:bottom w:val="dotted" w:sz="4" w:space="0" w:color="auto"/>
              <w:right w:val="single" w:sz="8" w:space="0" w:color="auto"/>
            </w:tcBorders>
            <w:shd w:val="clear" w:color="000000" w:fill="FFFFFF"/>
            <w:vAlign w:val="center"/>
            <w:hideMark/>
          </w:tcPr>
          <w:p w14:paraId="58D50C75" w14:textId="2DF044F7"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46F0A786" w14:textId="77777777" w:rsidTr="00F354E9">
        <w:trPr>
          <w:trHeight w:val="315"/>
        </w:trPr>
        <w:tc>
          <w:tcPr>
            <w:tcW w:w="416" w:type="dxa"/>
            <w:tcBorders>
              <w:top w:val="nil"/>
              <w:left w:val="single" w:sz="8" w:space="0" w:color="auto"/>
              <w:bottom w:val="single" w:sz="8" w:space="0" w:color="auto"/>
              <w:right w:val="nil"/>
            </w:tcBorders>
            <w:shd w:val="clear" w:color="auto" w:fill="FFFFFF" w:themeFill="background1"/>
            <w:vAlign w:val="center"/>
            <w:hideMark/>
          </w:tcPr>
          <w:p w14:paraId="65719881"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single" w:sz="8" w:space="0" w:color="auto"/>
              <w:right w:val="single" w:sz="8" w:space="0" w:color="auto"/>
            </w:tcBorders>
            <w:shd w:val="clear" w:color="auto" w:fill="FFFFFF" w:themeFill="background1"/>
            <w:vAlign w:val="center"/>
            <w:hideMark/>
          </w:tcPr>
          <w:p w14:paraId="51F485DF"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Marge</w:t>
            </w:r>
          </w:p>
        </w:tc>
        <w:tc>
          <w:tcPr>
            <w:tcW w:w="1380" w:type="dxa"/>
            <w:tcBorders>
              <w:top w:val="nil"/>
              <w:left w:val="nil"/>
              <w:bottom w:val="single" w:sz="8" w:space="0" w:color="auto"/>
              <w:right w:val="single" w:sz="8" w:space="0" w:color="auto"/>
            </w:tcBorders>
            <w:shd w:val="clear" w:color="000000" w:fill="FFFFFF"/>
            <w:vAlign w:val="center"/>
            <w:hideMark/>
          </w:tcPr>
          <w:p w14:paraId="2CC0A344" w14:textId="0E809269"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754426B7" w14:textId="6A4513B5"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single" w:sz="8" w:space="0" w:color="auto"/>
              <w:right w:val="single" w:sz="8" w:space="0" w:color="auto"/>
            </w:tcBorders>
            <w:shd w:val="clear" w:color="000000" w:fill="FFFFFF"/>
            <w:vAlign w:val="center"/>
            <w:hideMark/>
          </w:tcPr>
          <w:p w14:paraId="528E3177" w14:textId="0637DDF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single" w:sz="8" w:space="0" w:color="auto"/>
              <w:right w:val="single" w:sz="8" w:space="0" w:color="auto"/>
            </w:tcBorders>
            <w:shd w:val="clear" w:color="000000" w:fill="FFFFFF"/>
            <w:vAlign w:val="center"/>
            <w:hideMark/>
          </w:tcPr>
          <w:p w14:paraId="340C8D27" w14:textId="0C4C487D"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608FF2B9" w14:textId="52D77EAB"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380" w:type="dxa"/>
            <w:tcBorders>
              <w:top w:val="nil"/>
              <w:left w:val="nil"/>
              <w:bottom w:val="nil"/>
              <w:right w:val="single" w:sz="8" w:space="0" w:color="auto"/>
            </w:tcBorders>
            <w:shd w:val="clear" w:color="000000" w:fill="FFFFFF"/>
            <w:vAlign w:val="center"/>
            <w:hideMark/>
          </w:tcPr>
          <w:p w14:paraId="0D5F9015" w14:textId="543F87B1"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2D166A2E" w14:textId="77777777" w:rsidTr="00F354E9">
        <w:trPr>
          <w:trHeight w:val="42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1957A057"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51AEE938"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Ressources naturelles et environnement</w:t>
            </w:r>
          </w:p>
        </w:tc>
        <w:tc>
          <w:tcPr>
            <w:tcW w:w="1380" w:type="dxa"/>
            <w:tcBorders>
              <w:top w:val="nil"/>
              <w:left w:val="nil"/>
              <w:bottom w:val="dotted" w:sz="4" w:space="0" w:color="auto"/>
              <w:right w:val="single" w:sz="8" w:space="0" w:color="auto"/>
            </w:tcBorders>
            <w:shd w:val="clear" w:color="000000" w:fill="D9D9D9"/>
            <w:vAlign w:val="center"/>
            <w:hideMark/>
          </w:tcPr>
          <w:p w14:paraId="3E35EB5A" w14:textId="65A2F874"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56 529 415 080</w:t>
            </w:r>
          </w:p>
        </w:tc>
        <w:tc>
          <w:tcPr>
            <w:tcW w:w="1380" w:type="dxa"/>
            <w:tcBorders>
              <w:top w:val="nil"/>
              <w:left w:val="nil"/>
              <w:bottom w:val="dotted" w:sz="4" w:space="0" w:color="auto"/>
              <w:right w:val="single" w:sz="8" w:space="0" w:color="auto"/>
            </w:tcBorders>
            <w:shd w:val="clear" w:color="000000" w:fill="D9D9D9"/>
            <w:vAlign w:val="center"/>
            <w:hideMark/>
          </w:tcPr>
          <w:p w14:paraId="3592A5A7" w14:textId="459959C2"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52 577 345 231</w:t>
            </w:r>
          </w:p>
        </w:tc>
        <w:tc>
          <w:tcPr>
            <w:tcW w:w="1296" w:type="dxa"/>
            <w:tcBorders>
              <w:top w:val="nil"/>
              <w:left w:val="nil"/>
              <w:bottom w:val="dotted" w:sz="4" w:space="0" w:color="auto"/>
              <w:right w:val="single" w:sz="8" w:space="0" w:color="auto"/>
            </w:tcBorders>
            <w:shd w:val="clear" w:color="000000" w:fill="D9D9D9"/>
            <w:vAlign w:val="center"/>
            <w:hideMark/>
          </w:tcPr>
          <w:p w14:paraId="55E9B5DC" w14:textId="28D61E21" w:rsidR="00F354E9" w:rsidRPr="00C51D3F" w:rsidRDefault="001312DD"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440 000 000</w:t>
            </w:r>
          </w:p>
        </w:tc>
        <w:tc>
          <w:tcPr>
            <w:tcW w:w="1240" w:type="dxa"/>
            <w:tcBorders>
              <w:top w:val="nil"/>
              <w:left w:val="nil"/>
              <w:bottom w:val="dotted" w:sz="4" w:space="0" w:color="auto"/>
              <w:right w:val="single" w:sz="8" w:space="0" w:color="auto"/>
            </w:tcBorders>
            <w:shd w:val="clear" w:color="000000" w:fill="D9D9D9"/>
            <w:vAlign w:val="center"/>
            <w:hideMark/>
          </w:tcPr>
          <w:p w14:paraId="01F289A0" w14:textId="25DF3D09"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2 640 000 000</w:t>
            </w:r>
          </w:p>
        </w:tc>
        <w:tc>
          <w:tcPr>
            <w:tcW w:w="1380" w:type="dxa"/>
            <w:tcBorders>
              <w:top w:val="single" w:sz="8" w:space="0" w:color="auto"/>
              <w:left w:val="nil"/>
              <w:bottom w:val="dotted" w:sz="4" w:space="0" w:color="auto"/>
              <w:right w:val="single" w:sz="8" w:space="0" w:color="auto"/>
            </w:tcBorders>
            <w:shd w:val="clear" w:color="000000" w:fill="D9D9D9"/>
            <w:vAlign w:val="center"/>
            <w:hideMark/>
          </w:tcPr>
          <w:p w14:paraId="5096644A" w14:textId="0CDA273C"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56 969 415 080</w:t>
            </w:r>
          </w:p>
        </w:tc>
        <w:tc>
          <w:tcPr>
            <w:tcW w:w="1380" w:type="dxa"/>
            <w:tcBorders>
              <w:top w:val="single" w:sz="8" w:space="0" w:color="auto"/>
              <w:left w:val="nil"/>
              <w:bottom w:val="dotted" w:sz="4" w:space="0" w:color="auto"/>
              <w:right w:val="single" w:sz="8" w:space="0" w:color="auto"/>
            </w:tcBorders>
            <w:shd w:val="clear" w:color="000000" w:fill="D9D9D9"/>
            <w:vAlign w:val="center"/>
            <w:hideMark/>
          </w:tcPr>
          <w:p w14:paraId="34924852" w14:textId="3216ADC3"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55 217 345 231</w:t>
            </w:r>
          </w:p>
        </w:tc>
      </w:tr>
      <w:tr w:rsidR="00F354E9" w:rsidRPr="00791DF2" w14:paraId="14F0EC29"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4FF42161"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63B168B1"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Plafond</w:t>
            </w:r>
          </w:p>
        </w:tc>
        <w:tc>
          <w:tcPr>
            <w:tcW w:w="1380" w:type="dxa"/>
            <w:tcBorders>
              <w:top w:val="nil"/>
              <w:left w:val="nil"/>
              <w:bottom w:val="dotted" w:sz="4" w:space="0" w:color="auto"/>
              <w:right w:val="single" w:sz="8" w:space="0" w:color="auto"/>
            </w:tcBorders>
            <w:shd w:val="clear" w:color="000000" w:fill="FFFFFF"/>
            <w:vAlign w:val="center"/>
            <w:hideMark/>
          </w:tcPr>
          <w:p w14:paraId="280A4211" w14:textId="7088ED5D"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57 100 000 000</w:t>
            </w:r>
          </w:p>
        </w:tc>
        <w:tc>
          <w:tcPr>
            <w:tcW w:w="1380" w:type="dxa"/>
            <w:tcBorders>
              <w:top w:val="nil"/>
              <w:left w:val="nil"/>
              <w:bottom w:val="dotted" w:sz="4" w:space="0" w:color="auto"/>
              <w:right w:val="single" w:sz="8" w:space="0" w:color="auto"/>
            </w:tcBorders>
            <w:shd w:val="clear" w:color="000000" w:fill="FFFFFF"/>
            <w:vAlign w:val="center"/>
            <w:hideMark/>
          </w:tcPr>
          <w:p w14:paraId="2C955201" w14:textId="553C709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7777C34E" w14:textId="5B9D4309"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488C8A76" w14:textId="1123A131"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52A8A5E9" w14:textId="563F0E6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57 100 000 000</w:t>
            </w:r>
          </w:p>
        </w:tc>
        <w:tc>
          <w:tcPr>
            <w:tcW w:w="1380" w:type="dxa"/>
            <w:tcBorders>
              <w:top w:val="nil"/>
              <w:left w:val="nil"/>
              <w:bottom w:val="dotted" w:sz="4" w:space="0" w:color="auto"/>
              <w:right w:val="single" w:sz="8" w:space="0" w:color="auto"/>
            </w:tcBorders>
            <w:shd w:val="clear" w:color="000000" w:fill="FFFFFF"/>
            <w:vAlign w:val="center"/>
            <w:hideMark/>
          </w:tcPr>
          <w:p w14:paraId="2AF1BBB4" w14:textId="663EC98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4A1BBA54"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79A0A7D9"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23543090"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Marge</w:t>
            </w:r>
          </w:p>
        </w:tc>
        <w:tc>
          <w:tcPr>
            <w:tcW w:w="1380" w:type="dxa"/>
            <w:tcBorders>
              <w:top w:val="nil"/>
              <w:left w:val="nil"/>
              <w:bottom w:val="dotted" w:sz="4" w:space="0" w:color="auto"/>
              <w:right w:val="single" w:sz="8" w:space="0" w:color="auto"/>
            </w:tcBorders>
            <w:shd w:val="clear" w:color="000000" w:fill="FFFFFF"/>
            <w:vAlign w:val="center"/>
            <w:hideMark/>
          </w:tcPr>
          <w:p w14:paraId="6FD7BA2F" w14:textId="5CF4445E"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570 584 920</w:t>
            </w:r>
          </w:p>
        </w:tc>
        <w:tc>
          <w:tcPr>
            <w:tcW w:w="1380" w:type="dxa"/>
            <w:tcBorders>
              <w:top w:val="nil"/>
              <w:left w:val="nil"/>
              <w:bottom w:val="dotted" w:sz="4" w:space="0" w:color="auto"/>
              <w:right w:val="single" w:sz="8" w:space="0" w:color="auto"/>
            </w:tcBorders>
            <w:shd w:val="clear" w:color="000000" w:fill="FFFFFF"/>
            <w:vAlign w:val="center"/>
            <w:hideMark/>
          </w:tcPr>
          <w:p w14:paraId="420E8DEB" w14:textId="429C2576"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43673920" w14:textId="0AAD9F37"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-440 000 000</w:t>
            </w:r>
          </w:p>
        </w:tc>
        <w:tc>
          <w:tcPr>
            <w:tcW w:w="1240" w:type="dxa"/>
            <w:tcBorders>
              <w:top w:val="nil"/>
              <w:left w:val="nil"/>
              <w:bottom w:val="dotted" w:sz="4" w:space="0" w:color="auto"/>
              <w:right w:val="single" w:sz="8" w:space="0" w:color="auto"/>
            </w:tcBorders>
            <w:shd w:val="clear" w:color="000000" w:fill="FFFFFF"/>
            <w:vAlign w:val="center"/>
            <w:hideMark/>
          </w:tcPr>
          <w:p w14:paraId="6A0768C6" w14:textId="43258C4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394B6034" w14:textId="4C1ADC19" w:rsidR="00F354E9" w:rsidRPr="00C51D3F" w:rsidRDefault="001312DD"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130 584 920</w:t>
            </w:r>
          </w:p>
        </w:tc>
        <w:tc>
          <w:tcPr>
            <w:tcW w:w="1380" w:type="dxa"/>
            <w:tcBorders>
              <w:top w:val="nil"/>
              <w:left w:val="nil"/>
              <w:bottom w:val="dotted" w:sz="4" w:space="0" w:color="auto"/>
              <w:right w:val="single" w:sz="8" w:space="0" w:color="auto"/>
            </w:tcBorders>
            <w:shd w:val="clear" w:color="000000" w:fill="FFFFFF"/>
            <w:vAlign w:val="center"/>
            <w:hideMark/>
          </w:tcPr>
          <w:p w14:paraId="1BB6706D" w14:textId="65AC4307"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2AA95E7A" w14:textId="77777777" w:rsidTr="00F354E9">
        <w:trPr>
          <w:trHeight w:val="63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24C8044E"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2859EB5F"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dont: dépenses liées au marché et paiements directs</w:t>
            </w:r>
          </w:p>
        </w:tc>
        <w:tc>
          <w:tcPr>
            <w:tcW w:w="1380" w:type="dxa"/>
            <w:tcBorders>
              <w:top w:val="nil"/>
              <w:left w:val="nil"/>
              <w:bottom w:val="dotted" w:sz="4" w:space="0" w:color="auto"/>
              <w:right w:val="single" w:sz="8" w:space="0" w:color="auto"/>
            </w:tcBorders>
            <w:shd w:val="clear" w:color="000000" w:fill="D9D9D9"/>
            <w:vAlign w:val="center"/>
            <w:hideMark/>
          </w:tcPr>
          <w:p w14:paraId="1CA7567C" w14:textId="6669A2F9"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40 011 259 481</w:t>
            </w:r>
          </w:p>
        </w:tc>
        <w:tc>
          <w:tcPr>
            <w:tcW w:w="1380" w:type="dxa"/>
            <w:tcBorders>
              <w:top w:val="nil"/>
              <w:left w:val="nil"/>
              <w:bottom w:val="dotted" w:sz="4" w:space="0" w:color="auto"/>
              <w:right w:val="single" w:sz="8" w:space="0" w:color="auto"/>
            </w:tcBorders>
            <w:shd w:val="clear" w:color="000000" w:fill="D9D9D9"/>
            <w:vAlign w:val="center"/>
            <w:hideMark/>
          </w:tcPr>
          <w:p w14:paraId="5AAD84A6" w14:textId="4D70C644"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39 958 066 815</w:t>
            </w:r>
          </w:p>
        </w:tc>
        <w:tc>
          <w:tcPr>
            <w:tcW w:w="1296" w:type="dxa"/>
            <w:tcBorders>
              <w:top w:val="nil"/>
              <w:left w:val="nil"/>
              <w:bottom w:val="dotted" w:sz="4" w:space="0" w:color="auto"/>
              <w:right w:val="single" w:sz="8" w:space="0" w:color="auto"/>
            </w:tcBorders>
            <w:shd w:val="clear" w:color="000000" w:fill="D9D9D9"/>
            <w:vAlign w:val="center"/>
            <w:hideMark/>
          </w:tcPr>
          <w:p w14:paraId="4DC6B796" w14:textId="6BA2D3DB" w:rsidR="00F354E9" w:rsidRPr="00C51D3F" w:rsidRDefault="00EF0BA8"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440 000 000 </w:t>
            </w:r>
          </w:p>
        </w:tc>
        <w:tc>
          <w:tcPr>
            <w:tcW w:w="1240" w:type="dxa"/>
            <w:tcBorders>
              <w:top w:val="nil"/>
              <w:left w:val="nil"/>
              <w:bottom w:val="dotted" w:sz="4" w:space="0" w:color="auto"/>
              <w:right w:val="single" w:sz="8" w:space="0" w:color="auto"/>
            </w:tcBorders>
            <w:shd w:val="clear" w:color="000000" w:fill="D9D9D9"/>
            <w:vAlign w:val="center"/>
            <w:hideMark/>
          </w:tcPr>
          <w:p w14:paraId="5B7DC2D1" w14:textId="5F33AD3C" w:rsidR="00F354E9" w:rsidRPr="00C51D3F" w:rsidRDefault="00EF0BA8"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440 000 000 </w:t>
            </w:r>
          </w:p>
        </w:tc>
        <w:tc>
          <w:tcPr>
            <w:tcW w:w="1380" w:type="dxa"/>
            <w:tcBorders>
              <w:top w:val="nil"/>
              <w:left w:val="nil"/>
              <w:bottom w:val="dotted" w:sz="4" w:space="0" w:color="auto"/>
              <w:right w:val="single" w:sz="8" w:space="0" w:color="auto"/>
            </w:tcBorders>
            <w:shd w:val="clear" w:color="000000" w:fill="D9D9D9"/>
            <w:vAlign w:val="center"/>
            <w:hideMark/>
          </w:tcPr>
          <w:p w14:paraId="02A7B727" w14:textId="14B20872"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40 451 259 481</w:t>
            </w:r>
          </w:p>
        </w:tc>
        <w:tc>
          <w:tcPr>
            <w:tcW w:w="1380" w:type="dxa"/>
            <w:tcBorders>
              <w:top w:val="nil"/>
              <w:left w:val="nil"/>
              <w:bottom w:val="dotted" w:sz="4" w:space="0" w:color="auto"/>
              <w:right w:val="single" w:sz="8" w:space="0" w:color="auto"/>
            </w:tcBorders>
            <w:shd w:val="clear" w:color="000000" w:fill="D9D9D9"/>
            <w:vAlign w:val="center"/>
            <w:hideMark/>
          </w:tcPr>
          <w:p w14:paraId="772A03DE" w14:textId="07681904" w:rsidR="00F354E9" w:rsidRPr="00C51D3F" w:rsidRDefault="007D6E53"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40 398 066 815</w:t>
            </w:r>
          </w:p>
        </w:tc>
      </w:tr>
      <w:tr w:rsidR="00F354E9" w:rsidRPr="00791DF2" w14:paraId="6965F46F"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3E9A259E"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3AA1FA30"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Sous-plafond FEAGA</w:t>
            </w:r>
          </w:p>
        </w:tc>
        <w:tc>
          <w:tcPr>
            <w:tcW w:w="1380" w:type="dxa"/>
            <w:tcBorders>
              <w:top w:val="nil"/>
              <w:left w:val="nil"/>
              <w:bottom w:val="dotted" w:sz="4" w:space="0" w:color="auto"/>
              <w:right w:val="single" w:sz="8" w:space="0" w:color="auto"/>
            </w:tcBorders>
            <w:shd w:val="clear" w:color="000000" w:fill="FFFFFF"/>
            <w:vAlign w:val="center"/>
            <w:hideMark/>
          </w:tcPr>
          <w:p w14:paraId="7307CA77" w14:textId="6ABF49D6"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41 764 000 000</w:t>
            </w:r>
          </w:p>
        </w:tc>
        <w:tc>
          <w:tcPr>
            <w:tcW w:w="1380" w:type="dxa"/>
            <w:tcBorders>
              <w:top w:val="nil"/>
              <w:left w:val="nil"/>
              <w:bottom w:val="dotted" w:sz="4" w:space="0" w:color="auto"/>
              <w:right w:val="single" w:sz="8" w:space="0" w:color="auto"/>
            </w:tcBorders>
            <w:shd w:val="clear" w:color="000000" w:fill="FFFFFF"/>
            <w:vAlign w:val="center"/>
            <w:hideMark/>
          </w:tcPr>
          <w:p w14:paraId="0CEF3EEE" w14:textId="0558BAF6"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514DE223" w14:textId="4FFAFC1E"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33E942F7" w14:textId="1F2C1DA3"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16BAC6F0" w14:textId="74191A5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41 764 000 000</w:t>
            </w:r>
          </w:p>
        </w:tc>
        <w:tc>
          <w:tcPr>
            <w:tcW w:w="1380" w:type="dxa"/>
            <w:tcBorders>
              <w:top w:val="nil"/>
              <w:left w:val="nil"/>
              <w:bottom w:val="dotted" w:sz="4" w:space="0" w:color="auto"/>
              <w:right w:val="single" w:sz="8" w:space="0" w:color="auto"/>
            </w:tcBorders>
            <w:shd w:val="clear" w:color="000000" w:fill="FFFFFF"/>
            <w:vAlign w:val="center"/>
            <w:hideMark/>
          </w:tcPr>
          <w:p w14:paraId="166EAA6D" w14:textId="06F0ACB0"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119DD9FE" w14:textId="77777777" w:rsidTr="00F354E9">
        <w:trPr>
          <w:trHeight w:val="675"/>
        </w:trPr>
        <w:tc>
          <w:tcPr>
            <w:tcW w:w="416" w:type="dxa"/>
            <w:tcBorders>
              <w:top w:val="nil"/>
              <w:left w:val="single" w:sz="8" w:space="0" w:color="auto"/>
              <w:bottom w:val="dotted" w:sz="4" w:space="0" w:color="auto"/>
              <w:right w:val="nil"/>
            </w:tcBorders>
            <w:shd w:val="clear" w:color="auto" w:fill="FFFFFF" w:themeFill="background1"/>
            <w:vAlign w:val="center"/>
            <w:hideMark/>
          </w:tcPr>
          <w:p w14:paraId="075F46FB"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6D32B9F0"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 xml:space="preserve"> Écart d'arrondis exclu pour le calcul de la sous-marge</w:t>
            </w:r>
          </w:p>
        </w:tc>
        <w:tc>
          <w:tcPr>
            <w:tcW w:w="1380" w:type="dxa"/>
            <w:tcBorders>
              <w:top w:val="nil"/>
              <w:left w:val="nil"/>
              <w:bottom w:val="dotted" w:sz="4" w:space="0" w:color="auto"/>
              <w:right w:val="single" w:sz="8" w:space="0" w:color="auto"/>
            </w:tcBorders>
            <w:shd w:val="clear" w:color="000000" w:fill="FFFFFF"/>
            <w:vAlign w:val="center"/>
            <w:hideMark/>
          </w:tcPr>
          <w:p w14:paraId="4E141337" w14:textId="032FFFCA"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773 000</w:t>
            </w:r>
          </w:p>
        </w:tc>
        <w:tc>
          <w:tcPr>
            <w:tcW w:w="1380" w:type="dxa"/>
            <w:tcBorders>
              <w:top w:val="nil"/>
              <w:left w:val="nil"/>
              <w:bottom w:val="dotted" w:sz="4" w:space="0" w:color="auto"/>
              <w:right w:val="single" w:sz="8" w:space="0" w:color="auto"/>
            </w:tcBorders>
            <w:shd w:val="clear" w:color="000000" w:fill="FFFFFF"/>
            <w:vAlign w:val="center"/>
            <w:hideMark/>
          </w:tcPr>
          <w:p w14:paraId="7331F587" w14:textId="611660C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5EA51FFF" w14:textId="34120665"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7FC95F76" w14:textId="4711AC06"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6B602C4C" w14:textId="0CFEFEEA"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773 000</w:t>
            </w:r>
          </w:p>
        </w:tc>
        <w:tc>
          <w:tcPr>
            <w:tcW w:w="1380" w:type="dxa"/>
            <w:tcBorders>
              <w:top w:val="nil"/>
              <w:left w:val="nil"/>
              <w:bottom w:val="dotted" w:sz="4" w:space="0" w:color="auto"/>
              <w:right w:val="single" w:sz="8" w:space="0" w:color="auto"/>
            </w:tcBorders>
            <w:shd w:val="clear" w:color="000000" w:fill="FFFFFF"/>
            <w:vAlign w:val="center"/>
            <w:hideMark/>
          </w:tcPr>
          <w:p w14:paraId="63905851" w14:textId="54C1805C"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7FA0DF46"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hideMark/>
          </w:tcPr>
          <w:p w14:paraId="6FC0B046"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4E3766D0"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 xml:space="preserve"> Transferts nets entre le FEAGA et le Feader</w:t>
            </w:r>
          </w:p>
        </w:tc>
        <w:tc>
          <w:tcPr>
            <w:tcW w:w="1380" w:type="dxa"/>
            <w:tcBorders>
              <w:top w:val="nil"/>
              <w:left w:val="nil"/>
              <w:bottom w:val="dotted" w:sz="4" w:space="0" w:color="auto"/>
              <w:right w:val="single" w:sz="8" w:space="0" w:color="auto"/>
            </w:tcBorders>
            <w:shd w:val="clear" w:color="000000" w:fill="FFFFFF"/>
            <w:vAlign w:val="center"/>
            <w:hideMark/>
          </w:tcPr>
          <w:p w14:paraId="3E701D4B" w14:textId="701DF465"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-1 222 773 000</w:t>
            </w:r>
          </w:p>
        </w:tc>
        <w:tc>
          <w:tcPr>
            <w:tcW w:w="1380" w:type="dxa"/>
            <w:tcBorders>
              <w:top w:val="nil"/>
              <w:left w:val="nil"/>
              <w:bottom w:val="dotted" w:sz="4" w:space="0" w:color="auto"/>
              <w:right w:val="single" w:sz="8" w:space="0" w:color="auto"/>
            </w:tcBorders>
            <w:shd w:val="clear" w:color="000000" w:fill="FFFFFF"/>
            <w:vAlign w:val="center"/>
            <w:hideMark/>
          </w:tcPr>
          <w:p w14:paraId="6E209704" w14:textId="65C1C25C"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734E6D4F" w14:textId="19624D3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22C46F74" w14:textId="088ECB3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64F48370" w14:textId="47D0F51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-1 222 773 000</w:t>
            </w:r>
          </w:p>
        </w:tc>
        <w:tc>
          <w:tcPr>
            <w:tcW w:w="1380" w:type="dxa"/>
            <w:tcBorders>
              <w:top w:val="nil"/>
              <w:left w:val="nil"/>
              <w:bottom w:val="dotted" w:sz="4" w:space="0" w:color="auto"/>
              <w:right w:val="single" w:sz="8" w:space="0" w:color="auto"/>
            </w:tcBorders>
            <w:shd w:val="clear" w:color="000000" w:fill="FFFFFF"/>
            <w:vAlign w:val="center"/>
            <w:hideMark/>
          </w:tcPr>
          <w:p w14:paraId="136358C6" w14:textId="07D08AC2"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5AC03C62" w14:textId="77777777" w:rsidTr="00F354E9">
        <w:trPr>
          <w:trHeight w:val="1125"/>
        </w:trPr>
        <w:tc>
          <w:tcPr>
            <w:tcW w:w="416" w:type="dxa"/>
            <w:tcBorders>
              <w:top w:val="nil"/>
              <w:left w:val="single" w:sz="8" w:space="0" w:color="auto"/>
              <w:bottom w:val="dotted" w:sz="4" w:space="0" w:color="auto"/>
              <w:right w:val="nil"/>
            </w:tcBorders>
            <w:shd w:val="clear" w:color="auto" w:fill="FFFFFF" w:themeFill="background1"/>
            <w:vAlign w:val="center"/>
            <w:hideMark/>
          </w:tcPr>
          <w:p w14:paraId="59A277CA"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48DA67DC"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 xml:space="preserve"> Solde net disponible pour les dépenses du FEAGA (sous-plafond corrigé des transferts entre le FEAGA et le Feader)</w:t>
            </w:r>
          </w:p>
        </w:tc>
        <w:tc>
          <w:tcPr>
            <w:tcW w:w="1380" w:type="dxa"/>
            <w:tcBorders>
              <w:top w:val="nil"/>
              <w:left w:val="nil"/>
              <w:bottom w:val="dotted" w:sz="4" w:space="0" w:color="auto"/>
              <w:right w:val="single" w:sz="8" w:space="0" w:color="auto"/>
            </w:tcBorders>
            <w:shd w:val="clear" w:color="000000" w:fill="FFFFFF"/>
            <w:vAlign w:val="center"/>
            <w:hideMark/>
          </w:tcPr>
          <w:p w14:paraId="7DCF36D7" w14:textId="7F03031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40 542 000 000</w:t>
            </w:r>
          </w:p>
        </w:tc>
        <w:tc>
          <w:tcPr>
            <w:tcW w:w="1380" w:type="dxa"/>
            <w:tcBorders>
              <w:top w:val="nil"/>
              <w:left w:val="nil"/>
              <w:bottom w:val="dotted" w:sz="4" w:space="0" w:color="auto"/>
              <w:right w:val="single" w:sz="8" w:space="0" w:color="auto"/>
            </w:tcBorders>
            <w:shd w:val="clear" w:color="000000" w:fill="FFFFFF"/>
            <w:vAlign w:val="center"/>
            <w:hideMark/>
          </w:tcPr>
          <w:p w14:paraId="1177C0BB" w14:textId="7B5F496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3A298BB1" w14:textId="629B6DF2"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66E0E342" w14:textId="457A742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5C7B52A3" w14:textId="131B93AB"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40 542 000 000</w:t>
            </w:r>
          </w:p>
        </w:tc>
        <w:tc>
          <w:tcPr>
            <w:tcW w:w="1380" w:type="dxa"/>
            <w:tcBorders>
              <w:top w:val="nil"/>
              <w:left w:val="nil"/>
              <w:bottom w:val="dotted" w:sz="4" w:space="0" w:color="auto"/>
              <w:right w:val="single" w:sz="8" w:space="0" w:color="auto"/>
            </w:tcBorders>
            <w:shd w:val="clear" w:color="000000" w:fill="FFFFFF"/>
            <w:vAlign w:val="center"/>
            <w:hideMark/>
          </w:tcPr>
          <w:p w14:paraId="021E1421" w14:textId="13779D5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4082799F" w14:textId="77777777" w:rsidTr="00F354E9">
        <w:trPr>
          <w:trHeight w:val="315"/>
        </w:trPr>
        <w:tc>
          <w:tcPr>
            <w:tcW w:w="416" w:type="dxa"/>
            <w:tcBorders>
              <w:top w:val="nil"/>
              <w:left w:val="single" w:sz="8" w:space="0" w:color="auto"/>
              <w:bottom w:val="single" w:sz="8" w:space="0" w:color="auto"/>
              <w:right w:val="nil"/>
            </w:tcBorders>
            <w:shd w:val="clear" w:color="auto" w:fill="FFFFFF" w:themeFill="background1"/>
            <w:vAlign w:val="center"/>
            <w:hideMark/>
          </w:tcPr>
          <w:p w14:paraId="1BD97031"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single" w:sz="8" w:space="0" w:color="auto"/>
              <w:right w:val="single" w:sz="8" w:space="0" w:color="auto"/>
            </w:tcBorders>
            <w:shd w:val="clear" w:color="auto" w:fill="FFFFFF" w:themeFill="background1"/>
            <w:vAlign w:val="center"/>
            <w:hideMark/>
          </w:tcPr>
          <w:p w14:paraId="7FB1D38D"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Sous-marge FEAGA</w:t>
            </w:r>
          </w:p>
        </w:tc>
        <w:tc>
          <w:tcPr>
            <w:tcW w:w="1380" w:type="dxa"/>
            <w:tcBorders>
              <w:top w:val="nil"/>
              <w:left w:val="nil"/>
              <w:bottom w:val="single" w:sz="8" w:space="0" w:color="auto"/>
              <w:right w:val="single" w:sz="8" w:space="0" w:color="auto"/>
            </w:tcBorders>
            <w:shd w:val="clear" w:color="000000" w:fill="FFFFFF"/>
            <w:vAlign w:val="center"/>
            <w:hideMark/>
          </w:tcPr>
          <w:p w14:paraId="640DBA90" w14:textId="006538D5"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529 967 519</w:t>
            </w:r>
          </w:p>
        </w:tc>
        <w:tc>
          <w:tcPr>
            <w:tcW w:w="1380" w:type="dxa"/>
            <w:tcBorders>
              <w:top w:val="nil"/>
              <w:left w:val="nil"/>
              <w:bottom w:val="single" w:sz="8" w:space="0" w:color="auto"/>
              <w:right w:val="single" w:sz="8" w:space="0" w:color="auto"/>
            </w:tcBorders>
            <w:shd w:val="clear" w:color="000000" w:fill="FFFFFF"/>
            <w:vAlign w:val="center"/>
            <w:hideMark/>
          </w:tcPr>
          <w:p w14:paraId="7DBB0757" w14:textId="70BDF5E2"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single" w:sz="8" w:space="0" w:color="auto"/>
              <w:right w:val="single" w:sz="8" w:space="0" w:color="auto"/>
            </w:tcBorders>
            <w:shd w:val="clear" w:color="000000" w:fill="FFFFFF"/>
            <w:vAlign w:val="center"/>
            <w:hideMark/>
          </w:tcPr>
          <w:p w14:paraId="0B159D6E" w14:textId="70A4BCB8" w:rsidR="00F354E9" w:rsidRPr="00C51D3F" w:rsidRDefault="00F354E9" w:rsidP="000E51D8">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i/>
                <w:noProof/>
                <w:sz w:val="16"/>
              </w:rPr>
              <w:t xml:space="preserve">-440 000 000 </w:t>
            </w:r>
          </w:p>
        </w:tc>
        <w:tc>
          <w:tcPr>
            <w:tcW w:w="1240" w:type="dxa"/>
            <w:tcBorders>
              <w:top w:val="nil"/>
              <w:left w:val="nil"/>
              <w:bottom w:val="single" w:sz="8" w:space="0" w:color="auto"/>
              <w:right w:val="single" w:sz="8" w:space="0" w:color="auto"/>
            </w:tcBorders>
            <w:shd w:val="clear" w:color="000000" w:fill="FFFFFF"/>
            <w:vAlign w:val="center"/>
            <w:hideMark/>
          </w:tcPr>
          <w:p w14:paraId="57452C26" w14:textId="5A77C97F"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13BB8792" w14:textId="09540487" w:rsidR="00F354E9" w:rsidRPr="00C51D3F" w:rsidRDefault="007848ED"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89 967 519</w:t>
            </w:r>
          </w:p>
        </w:tc>
        <w:tc>
          <w:tcPr>
            <w:tcW w:w="1380" w:type="dxa"/>
            <w:tcBorders>
              <w:top w:val="nil"/>
              <w:left w:val="nil"/>
              <w:bottom w:val="single" w:sz="8" w:space="0" w:color="auto"/>
              <w:right w:val="single" w:sz="8" w:space="0" w:color="auto"/>
            </w:tcBorders>
            <w:shd w:val="clear" w:color="000000" w:fill="FFFFFF"/>
            <w:vAlign w:val="center"/>
            <w:hideMark/>
          </w:tcPr>
          <w:p w14:paraId="1C4CB6BF" w14:textId="3613F230"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57EDCDBE" w14:textId="77777777" w:rsidTr="00F354E9">
        <w:trPr>
          <w:trHeight w:val="42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68809809"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285571DB"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Migration et gestion des frontières</w:t>
            </w:r>
          </w:p>
        </w:tc>
        <w:tc>
          <w:tcPr>
            <w:tcW w:w="1380" w:type="dxa"/>
            <w:tcBorders>
              <w:top w:val="nil"/>
              <w:left w:val="nil"/>
              <w:bottom w:val="dotted" w:sz="4" w:space="0" w:color="auto"/>
              <w:right w:val="single" w:sz="8" w:space="0" w:color="auto"/>
            </w:tcBorders>
            <w:shd w:val="clear" w:color="000000" w:fill="D9D9D9"/>
            <w:vAlign w:val="center"/>
            <w:hideMark/>
          </w:tcPr>
          <w:p w14:paraId="70FD9734" w14:textId="09A02215"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5 018 866 515</w:t>
            </w:r>
          </w:p>
        </w:tc>
        <w:tc>
          <w:tcPr>
            <w:tcW w:w="1380" w:type="dxa"/>
            <w:tcBorders>
              <w:top w:val="nil"/>
              <w:left w:val="nil"/>
              <w:bottom w:val="dotted" w:sz="4" w:space="0" w:color="auto"/>
              <w:right w:val="single" w:sz="8" w:space="0" w:color="auto"/>
            </w:tcBorders>
            <w:shd w:val="clear" w:color="000000" w:fill="D9D9D9"/>
            <w:vAlign w:val="center"/>
            <w:hideMark/>
          </w:tcPr>
          <w:p w14:paraId="4B9E8C04" w14:textId="2FE3EB4B"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3 887 896 129</w:t>
            </w:r>
          </w:p>
        </w:tc>
        <w:tc>
          <w:tcPr>
            <w:tcW w:w="1296" w:type="dxa"/>
            <w:tcBorders>
              <w:top w:val="nil"/>
              <w:left w:val="nil"/>
              <w:bottom w:val="dotted" w:sz="4" w:space="0" w:color="auto"/>
              <w:right w:val="single" w:sz="8" w:space="0" w:color="auto"/>
            </w:tcBorders>
            <w:shd w:val="clear" w:color="000000" w:fill="D9D9D9"/>
            <w:vAlign w:val="center"/>
            <w:hideMark/>
          </w:tcPr>
          <w:p w14:paraId="1C6E6579" w14:textId="14F739FB"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w:t>
            </w:r>
          </w:p>
        </w:tc>
        <w:tc>
          <w:tcPr>
            <w:tcW w:w="1240" w:type="dxa"/>
            <w:tcBorders>
              <w:top w:val="nil"/>
              <w:left w:val="nil"/>
              <w:bottom w:val="dotted" w:sz="4" w:space="0" w:color="auto"/>
              <w:right w:val="single" w:sz="8" w:space="0" w:color="auto"/>
            </w:tcBorders>
            <w:shd w:val="clear" w:color="000000" w:fill="D9D9D9"/>
            <w:vAlign w:val="center"/>
            <w:hideMark/>
          </w:tcPr>
          <w:p w14:paraId="52379BA3" w14:textId="7555E362"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w:t>
            </w:r>
          </w:p>
        </w:tc>
        <w:tc>
          <w:tcPr>
            <w:tcW w:w="1380" w:type="dxa"/>
            <w:tcBorders>
              <w:top w:val="nil"/>
              <w:left w:val="nil"/>
              <w:bottom w:val="dotted" w:sz="4" w:space="0" w:color="auto"/>
              <w:right w:val="single" w:sz="8" w:space="0" w:color="auto"/>
            </w:tcBorders>
            <w:shd w:val="clear" w:color="000000" w:fill="D9D9D9"/>
            <w:vAlign w:val="center"/>
            <w:hideMark/>
          </w:tcPr>
          <w:p w14:paraId="3A5A9D66" w14:textId="7BF8D08A"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5 018 866 515</w:t>
            </w:r>
          </w:p>
        </w:tc>
        <w:tc>
          <w:tcPr>
            <w:tcW w:w="1380" w:type="dxa"/>
            <w:tcBorders>
              <w:top w:val="nil"/>
              <w:left w:val="nil"/>
              <w:bottom w:val="dotted" w:sz="4" w:space="0" w:color="auto"/>
              <w:right w:val="single" w:sz="8" w:space="0" w:color="auto"/>
            </w:tcBorders>
            <w:shd w:val="clear" w:color="000000" w:fill="D9D9D9"/>
            <w:vAlign w:val="center"/>
            <w:hideMark/>
          </w:tcPr>
          <w:p w14:paraId="41551C16" w14:textId="720EAA5F"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3 887 896 129</w:t>
            </w:r>
          </w:p>
        </w:tc>
      </w:tr>
      <w:tr w:rsidR="00F354E9" w:rsidRPr="00791DF2" w14:paraId="587C1385"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58FAE470"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2C1A848A"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Plafond</w:t>
            </w:r>
          </w:p>
        </w:tc>
        <w:tc>
          <w:tcPr>
            <w:tcW w:w="1380" w:type="dxa"/>
            <w:tcBorders>
              <w:top w:val="nil"/>
              <w:left w:val="nil"/>
              <w:bottom w:val="dotted" w:sz="4" w:space="0" w:color="auto"/>
              <w:right w:val="single" w:sz="8" w:space="0" w:color="auto"/>
            </w:tcBorders>
            <w:shd w:val="clear" w:color="000000" w:fill="FFFFFF"/>
            <w:vAlign w:val="center"/>
            <w:hideMark/>
          </w:tcPr>
          <w:p w14:paraId="105B7289" w14:textId="618B9CD0"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5 103 000 000</w:t>
            </w:r>
          </w:p>
        </w:tc>
        <w:tc>
          <w:tcPr>
            <w:tcW w:w="1380" w:type="dxa"/>
            <w:tcBorders>
              <w:top w:val="nil"/>
              <w:left w:val="nil"/>
              <w:bottom w:val="dotted" w:sz="4" w:space="0" w:color="auto"/>
              <w:right w:val="single" w:sz="8" w:space="0" w:color="auto"/>
            </w:tcBorders>
            <w:shd w:val="clear" w:color="000000" w:fill="FFFFFF"/>
            <w:vAlign w:val="center"/>
            <w:hideMark/>
          </w:tcPr>
          <w:p w14:paraId="1F45A16D" w14:textId="30D4B295"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4D4E9A27" w14:textId="5A9E4773"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5B7CB5EA" w14:textId="6500A92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5A5BB37D" w14:textId="756AF800"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5 103 000 000</w:t>
            </w:r>
          </w:p>
        </w:tc>
        <w:tc>
          <w:tcPr>
            <w:tcW w:w="1380" w:type="dxa"/>
            <w:tcBorders>
              <w:top w:val="nil"/>
              <w:left w:val="nil"/>
              <w:bottom w:val="dotted" w:sz="4" w:space="0" w:color="auto"/>
              <w:right w:val="single" w:sz="8" w:space="0" w:color="auto"/>
            </w:tcBorders>
            <w:shd w:val="clear" w:color="000000" w:fill="FFFFFF"/>
            <w:vAlign w:val="center"/>
            <w:hideMark/>
          </w:tcPr>
          <w:p w14:paraId="0B01A851" w14:textId="26768C94"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3118D4D1" w14:textId="77777777" w:rsidTr="00F354E9">
        <w:trPr>
          <w:trHeight w:val="315"/>
        </w:trPr>
        <w:tc>
          <w:tcPr>
            <w:tcW w:w="416" w:type="dxa"/>
            <w:tcBorders>
              <w:top w:val="nil"/>
              <w:left w:val="single" w:sz="8" w:space="0" w:color="auto"/>
              <w:bottom w:val="single" w:sz="8" w:space="0" w:color="auto"/>
              <w:right w:val="nil"/>
            </w:tcBorders>
            <w:shd w:val="clear" w:color="auto" w:fill="FFFFFF" w:themeFill="background1"/>
            <w:vAlign w:val="center"/>
            <w:hideMark/>
          </w:tcPr>
          <w:p w14:paraId="2B05B97F"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single" w:sz="8" w:space="0" w:color="auto"/>
              <w:right w:val="single" w:sz="8" w:space="0" w:color="auto"/>
            </w:tcBorders>
            <w:shd w:val="clear" w:color="auto" w:fill="FFFFFF" w:themeFill="background1"/>
            <w:vAlign w:val="center"/>
            <w:hideMark/>
          </w:tcPr>
          <w:p w14:paraId="15AA115C"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Marge</w:t>
            </w:r>
          </w:p>
        </w:tc>
        <w:tc>
          <w:tcPr>
            <w:tcW w:w="1380" w:type="dxa"/>
            <w:tcBorders>
              <w:top w:val="nil"/>
              <w:left w:val="nil"/>
              <w:bottom w:val="single" w:sz="8" w:space="0" w:color="auto"/>
              <w:right w:val="single" w:sz="8" w:space="0" w:color="auto"/>
            </w:tcBorders>
            <w:shd w:val="clear" w:color="000000" w:fill="FFFFFF"/>
            <w:vAlign w:val="center"/>
            <w:hideMark/>
          </w:tcPr>
          <w:p w14:paraId="3868B031" w14:textId="3B541890"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84 133 485</w:t>
            </w:r>
          </w:p>
        </w:tc>
        <w:tc>
          <w:tcPr>
            <w:tcW w:w="1380" w:type="dxa"/>
            <w:tcBorders>
              <w:top w:val="nil"/>
              <w:left w:val="nil"/>
              <w:bottom w:val="single" w:sz="8" w:space="0" w:color="auto"/>
              <w:right w:val="single" w:sz="8" w:space="0" w:color="auto"/>
            </w:tcBorders>
            <w:shd w:val="clear" w:color="000000" w:fill="FFFFFF"/>
            <w:vAlign w:val="center"/>
            <w:hideMark/>
          </w:tcPr>
          <w:p w14:paraId="233C235E" w14:textId="3E4684B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single" w:sz="8" w:space="0" w:color="auto"/>
              <w:right w:val="single" w:sz="8" w:space="0" w:color="auto"/>
            </w:tcBorders>
            <w:shd w:val="clear" w:color="000000" w:fill="FFFFFF"/>
            <w:vAlign w:val="center"/>
            <w:hideMark/>
          </w:tcPr>
          <w:p w14:paraId="55257F46" w14:textId="0C39DD71"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single" w:sz="8" w:space="0" w:color="auto"/>
              <w:right w:val="single" w:sz="8" w:space="0" w:color="auto"/>
            </w:tcBorders>
            <w:shd w:val="clear" w:color="000000" w:fill="FFFFFF"/>
            <w:vAlign w:val="center"/>
            <w:hideMark/>
          </w:tcPr>
          <w:p w14:paraId="1A908E21" w14:textId="12BE86BB"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36A93878" w14:textId="523C84F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84 133 485</w:t>
            </w:r>
          </w:p>
        </w:tc>
        <w:tc>
          <w:tcPr>
            <w:tcW w:w="1380" w:type="dxa"/>
            <w:tcBorders>
              <w:top w:val="nil"/>
              <w:left w:val="nil"/>
              <w:bottom w:val="single" w:sz="8" w:space="0" w:color="auto"/>
              <w:right w:val="single" w:sz="8" w:space="0" w:color="auto"/>
            </w:tcBorders>
            <w:shd w:val="clear" w:color="000000" w:fill="FFFFFF"/>
            <w:vAlign w:val="center"/>
            <w:hideMark/>
          </w:tcPr>
          <w:p w14:paraId="14E81B14" w14:textId="625DE43A"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347C34FB" w14:textId="77777777" w:rsidTr="00F354E9">
        <w:trPr>
          <w:trHeight w:val="30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20A91518"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119AF1EB"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Sécurité et défense</w:t>
            </w:r>
          </w:p>
        </w:tc>
        <w:tc>
          <w:tcPr>
            <w:tcW w:w="1380" w:type="dxa"/>
            <w:tcBorders>
              <w:top w:val="nil"/>
              <w:left w:val="nil"/>
              <w:bottom w:val="dotted" w:sz="4" w:space="0" w:color="auto"/>
              <w:right w:val="single" w:sz="8" w:space="0" w:color="auto"/>
            </w:tcBorders>
            <w:shd w:val="clear" w:color="000000" w:fill="D9D9D9"/>
            <w:vAlign w:val="center"/>
            <w:hideMark/>
          </w:tcPr>
          <w:p w14:paraId="003F80B1" w14:textId="24FDD02E"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2 813 506 939</w:t>
            </w:r>
          </w:p>
        </w:tc>
        <w:tc>
          <w:tcPr>
            <w:tcW w:w="1380" w:type="dxa"/>
            <w:tcBorders>
              <w:top w:val="nil"/>
              <w:left w:val="nil"/>
              <w:bottom w:val="dotted" w:sz="4" w:space="0" w:color="auto"/>
              <w:right w:val="single" w:sz="8" w:space="0" w:color="auto"/>
            </w:tcBorders>
            <w:shd w:val="clear" w:color="000000" w:fill="D9D9D9"/>
            <w:vAlign w:val="center"/>
            <w:hideMark/>
          </w:tcPr>
          <w:p w14:paraId="1F38C23F" w14:textId="5259FFC7"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2 253 300 408</w:t>
            </w:r>
          </w:p>
        </w:tc>
        <w:tc>
          <w:tcPr>
            <w:tcW w:w="1296" w:type="dxa"/>
            <w:tcBorders>
              <w:top w:val="nil"/>
              <w:left w:val="nil"/>
              <w:bottom w:val="dotted" w:sz="4" w:space="0" w:color="auto"/>
              <w:right w:val="single" w:sz="8" w:space="0" w:color="auto"/>
            </w:tcBorders>
            <w:shd w:val="clear" w:color="000000" w:fill="D9D9D9"/>
            <w:vAlign w:val="center"/>
            <w:hideMark/>
          </w:tcPr>
          <w:p w14:paraId="5F80AA5A" w14:textId="2C75CB9A"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w:t>
            </w:r>
          </w:p>
        </w:tc>
        <w:tc>
          <w:tcPr>
            <w:tcW w:w="1240" w:type="dxa"/>
            <w:tcBorders>
              <w:top w:val="nil"/>
              <w:left w:val="nil"/>
              <w:bottom w:val="dotted" w:sz="4" w:space="0" w:color="auto"/>
              <w:right w:val="single" w:sz="8" w:space="0" w:color="auto"/>
            </w:tcBorders>
            <w:shd w:val="clear" w:color="000000" w:fill="D9D9D9"/>
            <w:vAlign w:val="center"/>
            <w:hideMark/>
          </w:tcPr>
          <w:p w14:paraId="66142126" w14:textId="202633AD"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w:t>
            </w:r>
          </w:p>
        </w:tc>
        <w:tc>
          <w:tcPr>
            <w:tcW w:w="1380" w:type="dxa"/>
            <w:tcBorders>
              <w:top w:val="nil"/>
              <w:left w:val="nil"/>
              <w:bottom w:val="dotted" w:sz="4" w:space="0" w:color="auto"/>
              <w:right w:val="single" w:sz="8" w:space="0" w:color="auto"/>
            </w:tcBorders>
            <w:shd w:val="clear" w:color="000000" w:fill="D9D9D9"/>
            <w:vAlign w:val="center"/>
            <w:hideMark/>
          </w:tcPr>
          <w:p w14:paraId="2D48A292" w14:textId="16F77D15"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2 813 506 939</w:t>
            </w:r>
          </w:p>
        </w:tc>
        <w:tc>
          <w:tcPr>
            <w:tcW w:w="1380" w:type="dxa"/>
            <w:tcBorders>
              <w:top w:val="nil"/>
              <w:left w:val="nil"/>
              <w:bottom w:val="dotted" w:sz="4" w:space="0" w:color="auto"/>
              <w:right w:val="single" w:sz="8" w:space="0" w:color="auto"/>
            </w:tcBorders>
            <w:shd w:val="clear" w:color="000000" w:fill="D9D9D9"/>
            <w:vAlign w:val="center"/>
            <w:hideMark/>
          </w:tcPr>
          <w:p w14:paraId="569186DE" w14:textId="54614FAE"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2 253 300 408</w:t>
            </w:r>
          </w:p>
        </w:tc>
      </w:tr>
      <w:tr w:rsidR="00F354E9" w:rsidRPr="00791DF2" w14:paraId="31D29F3B"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1C095614"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2D380F63"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Plafond</w:t>
            </w:r>
          </w:p>
        </w:tc>
        <w:tc>
          <w:tcPr>
            <w:tcW w:w="1380" w:type="dxa"/>
            <w:tcBorders>
              <w:top w:val="nil"/>
              <w:left w:val="nil"/>
              <w:bottom w:val="dotted" w:sz="4" w:space="0" w:color="auto"/>
              <w:right w:val="single" w:sz="8" w:space="0" w:color="auto"/>
            </w:tcBorders>
            <w:shd w:val="clear" w:color="000000" w:fill="FFFFFF"/>
            <w:vAlign w:val="center"/>
            <w:hideMark/>
          </w:tcPr>
          <w:p w14:paraId="5AB325CD" w14:textId="2CA04469"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2 810 000 000</w:t>
            </w:r>
          </w:p>
        </w:tc>
        <w:tc>
          <w:tcPr>
            <w:tcW w:w="1380" w:type="dxa"/>
            <w:tcBorders>
              <w:top w:val="nil"/>
              <w:left w:val="nil"/>
              <w:bottom w:val="dotted" w:sz="4" w:space="0" w:color="auto"/>
              <w:right w:val="single" w:sz="8" w:space="0" w:color="auto"/>
            </w:tcBorders>
            <w:shd w:val="clear" w:color="000000" w:fill="FFFFFF"/>
            <w:vAlign w:val="center"/>
            <w:hideMark/>
          </w:tcPr>
          <w:p w14:paraId="25BE0556" w14:textId="2E450F5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05DF823F" w14:textId="73DB5FED"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6A9461BB" w14:textId="7A49C264"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597641A3" w14:textId="23B5ACC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2 810 000 000</w:t>
            </w:r>
          </w:p>
        </w:tc>
        <w:tc>
          <w:tcPr>
            <w:tcW w:w="1380" w:type="dxa"/>
            <w:tcBorders>
              <w:top w:val="nil"/>
              <w:left w:val="nil"/>
              <w:bottom w:val="dotted" w:sz="4" w:space="0" w:color="auto"/>
              <w:right w:val="single" w:sz="8" w:space="0" w:color="auto"/>
            </w:tcBorders>
            <w:shd w:val="clear" w:color="000000" w:fill="FFFFFF"/>
            <w:vAlign w:val="center"/>
            <w:hideMark/>
          </w:tcPr>
          <w:p w14:paraId="28C0E9FA" w14:textId="0D890C8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39009AC3"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hideMark/>
          </w:tcPr>
          <w:p w14:paraId="78335FE4"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65F29647"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dont part relevant de l'instrument de flexibilité</w:t>
            </w:r>
          </w:p>
        </w:tc>
        <w:tc>
          <w:tcPr>
            <w:tcW w:w="1380" w:type="dxa"/>
            <w:tcBorders>
              <w:top w:val="nil"/>
              <w:left w:val="nil"/>
              <w:bottom w:val="dotted" w:sz="4" w:space="0" w:color="auto"/>
              <w:right w:val="single" w:sz="8" w:space="0" w:color="auto"/>
            </w:tcBorders>
            <w:shd w:val="clear" w:color="000000" w:fill="FFFFFF"/>
            <w:vAlign w:val="center"/>
            <w:hideMark/>
          </w:tcPr>
          <w:p w14:paraId="267C03BA" w14:textId="0ED0410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3 506 939</w:t>
            </w:r>
          </w:p>
        </w:tc>
        <w:tc>
          <w:tcPr>
            <w:tcW w:w="1380" w:type="dxa"/>
            <w:tcBorders>
              <w:top w:val="nil"/>
              <w:left w:val="nil"/>
              <w:bottom w:val="dotted" w:sz="4" w:space="0" w:color="auto"/>
              <w:right w:val="single" w:sz="8" w:space="0" w:color="auto"/>
            </w:tcBorders>
            <w:shd w:val="clear" w:color="000000" w:fill="FFFFFF"/>
            <w:vAlign w:val="center"/>
            <w:hideMark/>
          </w:tcPr>
          <w:p w14:paraId="7EA7B98D" w14:textId="6098D83D"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03866544" w14:textId="0F935484"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55E78BBD" w14:textId="7655542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2EE8A7AE" w14:textId="00FC215E"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3 506 939</w:t>
            </w:r>
          </w:p>
        </w:tc>
        <w:tc>
          <w:tcPr>
            <w:tcW w:w="1380" w:type="dxa"/>
            <w:tcBorders>
              <w:top w:val="nil"/>
              <w:left w:val="nil"/>
              <w:bottom w:val="dotted" w:sz="4" w:space="0" w:color="auto"/>
              <w:right w:val="single" w:sz="8" w:space="0" w:color="auto"/>
            </w:tcBorders>
            <w:shd w:val="clear" w:color="000000" w:fill="FFFFFF"/>
            <w:vAlign w:val="center"/>
            <w:hideMark/>
          </w:tcPr>
          <w:p w14:paraId="2E7585C5" w14:textId="2BA21F26"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57AC1EFC" w14:textId="77777777" w:rsidTr="00F354E9">
        <w:trPr>
          <w:trHeight w:val="315"/>
        </w:trPr>
        <w:tc>
          <w:tcPr>
            <w:tcW w:w="416" w:type="dxa"/>
            <w:tcBorders>
              <w:top w:val="nil"/>
              <w:left w:val="single" w:sz="8" w:space="0" w:color="auto"/>
              <w:bottom w:val="single" w:sz="8" w:space="0" w:color="auto"/>
              <w:right w:val="nil"/>
            </w:tcBorders>
            <w:shd w:val="clear" w:color="auto" w:fill="FFFFFF" w:themeFill="background1"/>
            <w:vAlign w:val="center"/>
            <w:hideMark/>
          </w:tcPr>
          <w:p w14:paraId="673DEA74"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single" w:sz="8" w:space="0" w:color="auto"/>
              <w:right w:val="single" w:sz="8" w:space="0" w:color="auto"/>
            </w:tcBorders>
            <w:shd w:val="clear" w:color="auto" w:fill="FFFFFF" w:themeFill="background1"/>
            <w:vAlign w:val="center"/>
            <w:hideMark/>
          </w:tcPr>
          <w:p w14:paraId="4D584625"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Marge</w:t>
            </w:r>
          </w:p>
        </w:tc>
        <w:tc>
          <w:tcPr>
            <w:tcW w:w="1380" w:type="dxa"/>
            <w:tcBorders>
              <w:top w:val="nil"/>
              <w:left w:val="nil"/>
              <w:bottom w:val="single" w:sz="8" w:space="0" w:color="auto"/>
              <w:right w:val="single" w:sz="8" w:space="0" w:color="auto"/>
            </w:tcBorders>
            <w:shd w:val="clear" w:color="000000" w:fill="FFFFFF"/>
            <w:vAlign w:val="center"/>
            <w:hideMark/>
          </w:tcPr>
          <w:p w14:paraId="4E87E9C2" w14:textId="455285E2"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4F1F9C08" w14:textId="7C9FD621"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single" w:sz="8" w:space="0" w:color="auto"/>
              <w:right w:val="single" w:sz="8" w:space="0" w:color="auto"/>
            </w:tcBorders>
            <w:shd w:val="clear" w:color="000000" w:fill="FFFFFF"/>
            <w:vAlign w:val="center"/>
            <w:hideMark/>
          </w:tcPr>
          <w:p w14:paraId="0AB1AF9C" w14:textId="1D10D000"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single" w:sz="8" w:space="0" w:color="auto"/>
              <w:right w:val="single" w:sz="8" w:space="0" w:color="auto"/>
            </w:tcBorders>
            <w:shd w:val="clear" w:color="000000" w:fill="FFFFFF"/>
            <w:vAlign w:val="center"/>
            <w:hideMark/>
          </w:tcPr>
          <w:p w14:paraId="5DAA98D6" w14:textId="3CB29543"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74B6272D" w14:textId="00C5864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0B09D699" w14:textId="6D4D650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673D4F54" w14:textId="77777777" w:rsidTr="00F354E9">
        <w:trPr>
          <w:trHeight w:val="42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012D83D7"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4A277DDC"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Le voisinage et le monde</w:t>
            </w:r>
          </w:p>
        </w:tc>
        <w:tc>
          <w:tcPr>
            <w:tcW w:w="1380" w:type="dxa"/>
            <w:tcBorders>
              <w:top w:val="nil"/>
              <w:left w:val="nil"/>
              <w:bottom w:val="dotted" w:sz="4" w:space="0" w:color="auto"/>
              <w:right w:val="single" w:sz="8" w:space="0" w:color="auto"/>
            </w:tcBorders>
            <w:shd w:val="clear" w:color="000000" w:fill="D9D9D9"/>
            <w:vAlign w:val="center"/>
            <w:hideMark/>
          </w:tcPr>
          <w:p w14:paraId="681447F3" w14:textId="391A6BDE"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15 600 020 092</w:t>
            </w:r>
          </w:p>
        </w:tc>
        <w:tc>
          <w:tcPr>
            <w:tcW w:w="1380" w:type="dxa"/>
            <w:tcBorders>
              <w:top w:val="nil"/>
              <w:left w:val="nil"/>
              <w:bottom w:val="dotted" w:sz="4" w:space="0" w:color="auto"/>
              <w:right w:val="single" w:sz="8" w:space="0" w:color="auto"/>
            </w:tcBorders>
            <w:shd w:val="clear" w:color="000000" w:fill="D9D9D9"/>
            <w:vAlign w:val="center"/>
            <w:hideMark/>
          </w:tcPr>
          <w:p w14:paraId="6D191136" w14:textId="72F836AD"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16 569 670 072</w:t>
            </w:r>
          </w:p>
        </w:tc>
        <w:tc>
          <w:tcPr>
            <w:tcW w:w="1296" w:type="dxa"/>
            <w:tcBorders>
              <w:top w:val="nil"/>
              <w:left w:val="nil"/>
              <w:bottom w:val="dotted" w:sz="4" w:space="0" w:color="auto"/>
              <w:right w:val="single" w:sz="8" w:space="0" w:color="auto"/>
            </w:tcBorders>
            <w:shd w:val="clear" w:color="000000" w:fill="D9D9D9"/>
            <w:vAlign w:val="center"/>
            <w:hideMark/>
          </w:tcPr>
          <w:p w14:paraId="75B63FF2" w14:textId="015FB036"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w:t>
            </w:r>
          </w:p>
        </w:tc>
        <w:tc>
          <w:tcPr>
            <w:tcW w:w="1240" w:type="dxa"/>
            <w:tcBorders>
              <w:top w:val="nil"/>
              <w:left w:val="nil"/>
              <w:bottom w:val="dotted" w:sz="4" w:space="0" w:color="auto"/>
              <w:right w:val="single" w:sz="8" w:space="0" w:color="auto"/>
            </w:tcBorders>
            <w:shd w:val="clear" w:color="000000" w:fill="D9D9D9"/>
            <w:vAlign w:val="center"/>
            <w:hideMark/>
          </w:tcPr>
          <w:p w14:paraId="6BC02684" w14:textId="11725227"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w:t>
            </w:r>
          </w:p>
        </w:tc>
        <w:tc>
          <w:tcPr>
            <w:tcW w:w="1380" w:type="dxa"/>
            <w:tcBorders>
              <w:top w:val="nil"/>
              <w:left w:val="nil"/>
              <w:bottom w:val="dotted" w:sz="4" w:space="0" w:color="auto"/>
              <w:right w:val="single" w:sz="8" w:space="0" w:color="auto"/>
            </w:tcBorders>
            <w:shd w:val="clear" w:color="000000" w:fill="D9D9D9"/>
            <w:vAlign w:val="center"/>
            <w:hideMark/>
          </w:tcPr>
          <w:p w14:paraId="45927CAE" w14:textId="1442A799"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15 600 020 092</w:t>
            </w:r>
          </w:p>
        </w:tc>
        <w:tc>
          <w:tcPr>
            <w:tcW w:w="1380" w:type="dxa"/>
            <w:tcBorders>
              <w:top w:val="nil"/>
              <w:left w:val="nil"/>
              <w:bottom w:val="dotted" w:sz="4" w:space="0" w:color="auto"/>
              <w:right w:val="single" w:sz="8" w:space="0" w:color="auto"/>
            </w:tcBorders>
            <w:shd w:val="clear" w:color="000000" w:fill="D9D9D9"/>
            <w:vAlign w:val="center"/>
            <w:hideMark/>
          </w:tcPr>
          <w:p w14:paraId="1FC5FA40" w14:textId="208F6836"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16 569 670 072</w:t>
            </w:r>
          </w:p>
        </w:tc>
      </w:tr>
      <w:tr w:rsidR="00F354E9" w:rsidRPr="00791DF2" w14:paraId="5A61E824"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36194419"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02565338"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Plafond</w:t>
            </w:r>
          </w:p>
        </w:tc>
        <w:tc>
          <w:tcPr>
            <w:tcW w:w="1380" w:type="dxa"/>
            <w:tcBorders>
              <w:top w:val="nil"/>
              <w:left w:val="nil"/>
              <w:bottom w:val="dotted" w:sz="4" w:space="0" w:color="auto"/>
              <w:right w:val="single" w:sz="8" w:space="0" w:color="auto"/>
            </w:tcBorders>
            <w:shd w:val="clear" w:color="000000" w:fill="FFFFFF"/>
            <w:vAlign w:val="center"/>
            <w:hideMark/>
          </w:tcPr>
          <w:p w14:paraId="44C3408B" w14:textId="47C5BAC3"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15 614 000 000</w:t>
            </w:r>
          </w:p>
        </w:tc>
        <w:tc>
          <w:tcPr>
            <w:tcW w:w="1380" w:type="dxa"/>
            <w:tcBorders>
              <w:top w:val="nil"/>
              <w:left w:val="nil"/>
              <w:bottom w:val="dotted" w:sz="4" w:space="0" w:color="auto"/>
              <w:right w:val="single" w:sz="8" w:space="0" w:color="auto"/>
            </w:tcBorders>
            <w:shd w:val="clear" w:color="000000" w:fill="FFFFFF"/>
            <w:vAlign w:val="center"/>
            <w:hideMark/>
          </w:tcPr>
          <w:p w14:paraId="118FECFE" w14:textId="1932D70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5983843E" w14:textId="4343B2E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257532AA" w14:textId="4CA3DACF"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1C256C11" w14:textId="1C06A11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15 614 000 000</w:t>
            </w:r>
          </w:p>
        </w:tc>
        <w:tc>
          <w:tcPr>
            <w:tcW w:w="1380" w:type="dxa"/>
            <w:tcBorders>
              <w:top w:val="nil"/>
              <w:left w:val="nil"/>
              <w:bottom w:val="dotted" w:sz="4" w:space="0" w:color="auto"/>
              <w:right w:val="single" w:sz="8" w:space="0" w:color="auto"/>
            </w:tcBorders>
            <w:shd w:val="clear" w:color="000000" w:fill="FFFFFF"/>
            <w:vAlign w:val="center"/>
            <w:hideMark/>
          </w:tcPr>
          <w:p w14:paraId="62AF8684" w14:textId="19602EA0"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6E1BCF4C" w14:textId="77777777" w:rsidTr="00F354E9">
        <w:trPr>
          <w:trHeight w:val="315"/>
        </w:trPr>
        <w:tc>
          <w:tcPr>
            <w:tcW w:w="416" w:type="dxa"/>
            <w:tcBorders>
              <w:top w:val="nil"/>
              <w:left w:val="single" w:sz="8" w:space="0" w:color="auto"/>
              <w:bottom w:val="single" w:sz="8" w:space="0" w:color="auto"/>
              <w:right w:val="nil"/>
            </w:tcBorders>
            <w:shd w:val="clear" w:color="auto" w:fill="FFFFFF" w:themeFill="background1"/>
            <w:vAlign w:val="center"/>
            <w:hideMark/>
          </w:tcPr>
          <w:p w14:paraId="5D8B2560"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single" w:sz="8" w:space="0" w:color="auto"/>
              <w:right w:val="single" w:sz="8" w:space="0" w:color="auto"/>
            </w:tcBorders>
            <w:shd w:val="clear" w:color="auto" w:fill="FFFFFF" w:themeFill="background1"/>
            <w:vAlign w:val="center"/>
            <w:hideMark/>
          </w:tcPr>
          <w:p w14:paraId="3E25AE2A"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Marge</w:t>
            </w:r>
          </w:p>
        </w:tc>
        <w:tc>
          <w:tcPr>
            <w:tcW w:w="1380" w:type="dxa"/>
            <w:tcBorders>
              <w:top w:val="nil"/>
              <w:left w:val="nil"/>
              <w:bottom w:val="single" w:sz="8" w:space="0" w:color="auto"/>
              <w:right w:val="single" w:sz="8" w:space="0" w:color="auto"/>
            </w:tcBorders>
            <w:shd w:val="clear" w:color="000000" w:fill="FFFFFF"/>
            <w:vAlign w:val="center"/>
            <w:hideMark/>
          </w:tcPr>
          <w:p w14:paraId="46975660" w14:textId="0C1EAF1E" w:rsidR="00F354E9" w:rsidRPr="00C51D3F" w:rsidRDefault="00F354E9" w:rsidP="006901A4">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i/>
                <w:noProof/>
                <w:sz w:val="16"/>
              </w:rPr>
              <w:t>13 979 908</w:t>
            </w:r>
          </w:p>
        </w:tc>
        <w:tc>
          <w:tcPr>
            <w:tcW w:w="1380" w:type="dxa"/>
            <w:tcBorders>
              <w:top w:val="nil"/>
              <w:left w:val="nil"/>
              <w:bottom w:val="single" w:sz="8" w:space="0" w:color="auto"/>
              <w:right w:val="single" w:sz="8" w:space="0" w:color="auto"/>
            </w:tcBorders>
            <w:shd w:val="clear" w:color="000000" w:fill="FFFFFF"/>
            <w:vAlign w:val="center"/>
            <w:hideMark/>
          </w:tcPr>
          <w:p w14:paraId="36D987E7" w14:textId="3E3051D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single" w:sz="8" w:space="0" w:color="auto"/>
              <w:right w:val="single" w:sz="8" w:space="0" w:color="auto"/>
            </w:tcBorders>
            <w:shd w:val="clear" w:color="000000" w:fill="FFFFFF"/>
            <w:vAlign w:val="center"/>
            <w:hideMark/>
          </w:tcPr>
          <w:p w14:paraId="523F7964" w14:textId="25131A01"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i/>
                <w:noProof/>
                <w:sz w:val="16"/>
              </w:rPr>
              <w:t> </w:t>
            </w:r>
          </w:p>
        </w:tc>
        <w:tc>
          <w:tcPr>
            <w:tcW w:w="1240" w:type="dxa"/>
            <w:tcBorders>
              <w:top w:val="nil"/>
              <w:left w:val="nil"/>
              <w:bottom w:val="single" w:sz="8" w:space="0" w:color="auto"/>
              <w:right w:val="single" w:sz="8" w:space="0" w:color="auto"/>
            </w:tcBorders>
            <w:shd w:val="clear" w:color="000000" w:fill="FFFFFF"/>
            <w:vAlign w:val="center"/>
            <w:hideMark/>
          </w:tcPr>
          <w:p w14:paraId="6820CE50" w14:textId="7544B17F"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4D97BCDC" w14:textId="5290B538" w:rsidR="00F354E9" w:rsidRPr="00C51D3F" w:rsidRDefault="00F354E9" w:rsidP="006901A4">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i/>
                <w:noProof/>
                <w:sz w:val="16"/>
              </w:rPr>
              <w:t>13 979 908</w:t>
            </w:r>
          </w:p>
        </w:tc>
        <w:tc>
          <w:tcPr>
            <w:tcW w:w="1380" w:type="dxa"/>
            <w:tcBorders>
              <w:top w:val="nil"/>
              <w:left w:val="nil"/>
              <w:bottom w:val="single" w:sz="8" w:space="0" w:color="auto"/>
              <w:right w:val="single" w:sz="8" w:space="0" w:color="auto"/>
            </w:tcBorders>
            <w:shd w:val="clear" w:color="000000" w:fill="FFFFFF"/>
            <w:vAlign w:val="center"/>
            <w:hideMark/>
          </w:tcPr>
          <w:p w14:paraId="5135300B" w14:textId="7B88841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37357499" w14:textId="77777777" w:rsidTr="00F354E9">
        <w:trPr>
          <w:trHeight w:val="42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3BEC99E3"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7ED86178"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Administration publique européenne</w:t>
            </w:r>
          </w:p>
        </w:tc>
        <w:tc>
          <w:tcPr>
            <w:tcW w:w="1380" w:type="dxa"/>
            <w:tcBorders>
              <w:top w:val="nil"/>
              <w:left w:val="nil"/>
              <w:bottom w:val="dotted" w:sz="4" w:space="0" w:color="auto"/>
              <w:right w:val="single" w:sz="8" w:space="0" w:color="auto"/>
            </w:tcBorders>
            <w:shd w:val="clear" w:color="000000" w:fill="D9D9D9"/>
            <w:vAlign w:val="center"/>
            <w:hideMark/>
          </w:tcPr>
          <w:p w14:paraId="4E2027C9" w14:textId="7570B695"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13 277 510 287</w:t>
            </w:r>
          </w:p>
        </w:tc>
        <w:tc>
          <w:tcPr>
            <w:tcW w:w="1380" w:type="dxa"/>
            <w:tcBorders>
              <w:top w:val="nil"/>
              <w:left w:val="nil"/>
              <w:bottom w:val="dotted" w:sz="4" w:space="0" w:color="auto"/>
              <w:right w:val="single" w:sz="8" w:space="0" w:color="auto"/>
            </w:tcBorders>
            <w:shd w:val="clear" w:color="000000" w:fill="D9D9D9"/>
            <w:vAlign w:val="center"/>
            <w:hideMark/>
          </w:tcPr>
          <w:p w14:paraId="42A33923" w14:textId="4BBA1129"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13 277 510 287</w:t>
            </w:r>
          </w:p>
        </w:tc>
        <w:tc>
          <w:tcPr>
            <w:tcW w:w="1296" w:type="dxa"/>
            <w:tcBorders>
              <w:top w:val="nil"/>
              <w:left w:val="nil"/>
              <w:bottom w:val="dotted" w:sz="4" w:space="0" w:color="auto"/>
              <w:right w:val="single" w:sz="8" w:space="0" w:color="auto"/>
            </w:tcBorders>
            <w:shd w:val="clear" w:color="000000" w:fill="D9D9D9"/>
            <w:vAlign w:val="center"/>
            <w:hideMark/>
          </w:tcPr>
          <w:p w14:paraId="0AD3DBDE" w14:textId="33E133EA"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3 165 000</w:t>
            </w:r>
          </w:p>
        </w:tc>
        <w:tc>
          <w:tcPr>
            <w:tcW w:w="1240" w:type="dxa"/>
            <w:tcBorders>
              <w:top w:val="nil"/>
              <w:left w:val="nil"/>
              <w:bottom w:val="dotted" w:sz="4" w:space="0" w:color="auto"/>
              <w:right w:val="single" w:sz="8" w:space="0" w:color="auto"/>
            </w:tcBorders>
            <w:shd w:val="clear" w:color="000000" w:fill="D9D9D9"/>
            <w:vAlign w:val="center"/>
            <w:hideMark/>
          </w:tcPr>
          <w:p w14:paraId="7CA6998E" w14:textId="13152074"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3 165 000</w:t>
            </w:r>
          </w:p>
        </w:tc>
        <w:tc>
          <w:tcPr>
            <w:tcW w:w="1380" w:type="dxa"/>
            <w:tcBorders>
              <w:top w:val="nil"/>
              <w:left w:val="nil"/>
              <w:bottom w:val="dotted" w:sz="4" w:space="0" w:color="auto"/>
              <w:right w:val="single" w:sz="8" w:space="0" w:color="auto"/>
            </w:tcBorders>
            <w:shd w:val="clear" w:color="000000" w:fill="D9D9D9"/>
            <w:vAlign w:val="center"/>
            <w:hideMark/>
          </w:tcPr>
          <w:p w14:paraId="1E5DC87C" w14:textId="299AF114"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13 280 675 287</w:t>
            </w:r>
          </w:p>
        </w:tc>
        <w:tc>
          <w:tcPr>
            <w:tcW w:w="1380" w:type="dxa"/>
            <w:tcBorders>
              <w:top w:val="nil"/>
              <w:left w:val="nil"/>
              <w:bottom w:val="dotted" w:sz="4" w:space="0" w:color="auto"/>
              <w:right w:val="single" w:sz="8" w:space="0" w:color="auto"/>
            </w:tcBorders>
            <w:shd w:val="clear" w:color="000000" w:fill="D9D9D9"/>
            <w:vAlign w:val="center"/>
            <w:hideMark/>
          </w:tcPr>
          <w:p w14:paraId="0EE1061B" w14:textId="633159AA"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13 280 675 287</w:t>
            </w:r>
          </w:p>
        </w:tc>
      </w:tr>
      <w:tr w:rsidR="00F354E9" w:rsidRPr="00791DF2" w14:paraId="7529ED14"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18C6D89E"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1F70E05F"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Plafond</w:t>
            </w:r>
          </w:p>
        </w:tc>
        <w:tc>
          <w:tcPr>
            <w:tcW w:w="1380" w:type="dxa"/>
            <w:tcBorders>
              <w:top w:val="nil"/>
              <w:left w:val="nil"/>
              <w:bottom w:val="dotted" w:sz="4" w:space="0" w:color="auto"/>
              <w:right w:val="single" w:sz="8" w:space="0" w:color="auto"/>
            </w:tcBorders>
            <w:shd w:val="clear" w:color="000000" w:fill="FFFFFF"/>
            <w:vAlign w:val="center"/>
            <w:hideMark/>
          </w:tcPr>
          <w:p w14:paraId="485C4E1D" w14:textId="4228B3D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12 506 000 000</w:t>
            </w:r>
          </w:p>
        </w:tc>
        <w:tc>
          <w:tcPr>
            <w:tcW w:w="1380" w:type="dxa"/>
            <w:tcBorders>
              <w:top w:val="nil"/>
              <w:left w:val="nil"/>
              <w:bottom w:val="dotted" w:sz="4" w:space="0" w:color="auto"/>
              <w:right w:val="single" w:sz="8" w:space="0" w:color="auto"/>
            </w:tcBorders>
            <w:shd w:val="clear" w:color="000000" w:fill="FFFFFF"/>
            <w:vAlign w:val="center"/>
            <w:hideMark/>
          </w:tcPr>
          <w:p w14:paraId="182D91D1" w14:textId="52B8B87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273FCC41" w14:textId="45C0E60B"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558B9E79" w14:textId="60006BBB"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684B5F06" w14:textId="69AD6979"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12 506 000 000</w:t>
            </w:r>
          </w:p>
        </w:tc>
        <w:tc>
          <w:tcPr>
            <w:tcW w:w="1380" w:type="dxa"/>
            <w:tcBorders>
              <w:top w:val="nil"/>
              <w:left w:val="nil"/>
              <w:bottom w:val="dotted" w:sz="4" w:space="0" w:color="auto"/>
              <w:right w:val="single" w:sz="8" w:space="0" w:color="auto"/>
            </w:tcBorders>
            <w:shd w:val="clear" w:color="000000" w:fill="FFFFFF"/>
            <w:vAlign w:val="center"/>
            <w:hideMark/>
          </w:tcPr>
          <w:p w14:paraId="2E894591" w14:textId="4D5BA30D"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08A8A2C7"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tcPr>
          <w:p w14:paraId="79A664BB"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p>
        </w:tc>
        <w:tc>
          <w:tcPr>
            <w:tcW w:w="2140" w:type="dxa"/>
            <w:tcBorders>
              <w:top w:val="nil"/>
              <w:left w:val="nil"/>
              <w:bottom w:val="dotted" w:sz="4" w:space="0" w:color="auto"/>
              <w:right w:val="single" w:sz="8" w:space="0" w:color="auto"/>
            </w:tcBorders>
            <w:shd w:val="clear" w:color="auto" w:fill="FFFFFF" w:themeFill="background1"/>
            <w:vAlign w:val="center"/>
          </w:tcPr>
          <w:p w14:paraId="7F734381" w14:textId="7FA36ACE"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dont part relevant de l'instrument de flexibilité</w:t>
            </w:r>
          </w:p>
        </w:tc>
        <w:tc>
          <w:tcPr>
            <w:tcW w:w="1380" w:type="dxa"/>
            <w:tcBorders>
              <w:top w:val="nil"/>
              <w:left w:val="nil"/>
              <w:bottom w:val="dotted" w:sz="4" w:space="0" w:color="auto"/>
              <w:right w:val="single" w:sz="8" w:space="0" w:color="auto"/>
            </w:tcBorders>
            <w:shd w:val="clear" w:color="000000" w:fill="FFFFFF"/>
            <w:vAlign w:val="center"/>
          </w:tcPr>
          <w:p w14:paraId="03F1A986" w14:textId="56535DB0"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23 306 848</w:t>
            </w:r>
          </w:p>
        </w:tc>
        <w:tc>
          <w:tcPr>
            <w:tcW w:w="1380" w:type="dxa"/>
            <w:tcBorders>
              <w:top w:val="nil"/>
              <w:left w:val="nil"/>
              <w:bottom w:val="dotted" w:sz="4" w:space="0" w:color="auto"/>
              <w:right w:val="single" w:sz="8" w:space="0" w:color="auto"/>
            </w:tcBorders>
            <w:shd w:val="clear" w:color="000000" w:fill="FFFFFF"/>
            <w:vAlign w:val="center"/>
          </w:tcPr>
          <w:p w14:paraId="69011E51" w14:textId="25DA7D0B"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tcPr>
          <w:p w14:paraId="6AF502CF" w14:textId="49FBD3EE"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dotted" w:sz="4" w:space="0" w:color="auto"/>
              <w:right w:val="single" w:sz="8" w:space="0" w:color="auto"/>
            </w:tcBorders>
            <w:shd w:val="clear" w:color="000000" w:fill="FFFFFF"/>
            <w:vAlign w:val="center"/>
          </w:tcPr>
          <w:p w14:paraId="5479A2EE" w14:textId="5CFE2F7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tcPr>
          <w:p w14:paraId="596C554F" w14:textId="33159B63"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23 306 848</w:t>
            </w:r>
          </w:p>
        </w:tc>
        <w:tc>
          <w:tcPr>
            <w:tcW w:w="1380" w:type="dxa"/>
            <w:tcBorders>
              <w:top w:val="nil"/>
              <w:left w:val="nil"/>
              <w:bottom w:val="dotted" w:sz="4" w:space="0" w:color="auto"/>
              <w:right w:val="single" w:sz="8" w:space="0" w:color="auto"/>
            </w:tcBorders>
            <w:shd w:val="clear" w:color="000000" w:fill="FFFFFF"/>
            <w:vAlign w:val="center"/>
          </w:tcPr>
          <w:p w14:paraId="2C11912A" w14:textId="6E368F35"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0D8C2DDF"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hideMark/>
          </w:tcPr>
          <w:p w14:paraId="64791997"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14D7A37B"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dont au titre du dispositif de marge unique visé à l’art. 11, par. 1, pt a)</w:t>
            </w:r>
          </w:p>
        </w:tc>
        <w:tc>
          <w:tcPr>
            <w:tcW w:w="1380" w:type="dxa"/>
            <w:tcBorders>
              <w:top w:val="nil"/>
              <w:left w:val="nil"/>
              <w:bottom w:val="dotted" w:sz="4" w:space="0" w:color="auto"/>
              <w:right w:val="single" w:sz="8" w:space="0" w:color="auto"/>
            </w:tcBorders>
            <w:shd w:val="clear" w:color="000000" w:fill="FFFFFF"/>
            <w:vAlign w:val="center"/>
            <w:hideMark/>
          </w:tcPr>
          <w:p w14:paraId="2FA74F32" w14:textId="71B5301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748 203 439</w:t>
            </w:r>
          </w:p>
        </w:tc>
        <w:tc>
          <w:tcPr>
            <w:tcW w:w="1380" w:type="dxa"/>
            <w:tcBorders>
              <w:top w:val="nil"/>
              <w:left w:val="nil"/>
              <w:bottom w:val="dotted" w:sz="4" w:space="0" w:color="auto"/>
              <w:right w:val="single" w:sz="8" w:space="0" w:color="auto"/>
            </w:tcBorders>
            <w:shd w:val="clear" w:color="000000" w:fill="FFFFFF"/>
            <w:vAlign w:val="center"/>
            <w:hideMark/>
          </w:tcPr>
          <w:p w14:paraId="4095FCC4" w14:textId="0B5EDB6B"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550ECF9B" w14:textId="600D834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3 165 000</w:t>
            </w:r>
          </w:p>
        </w:tc>
        <w:tc>
          <w:tcPr>
            <w:tcW w:w="1240" w:type="dxa"/>
            <w:tcBorders>
              <w:top w:val="nil"/>
              <w:left w:val="nil"/>
              <w:bottom w:val="dotted" w:sz="4" w:space="0" w:color="auto"/>
              <w:right w:val="single" w:sz="8" w:space="0" w:color="auto"/>
            </w:tcBorders>
            <w:shd w:val="clear" w:color="000000" w:fill="FFFFFF"/>
            <w:vAlign w:val="center"/>
            <w:hideMark/>
          </w:tcPr>
          <w:p w14:paraId="343F566F" w14:textId="1B3CECF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7CE3B417" w14:textId="37719934"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751 368 439</w:t>
            </w:r>
          </w:p>
        </w:tc>
        <w:tc>
          <w:tcPr>
            <w:tcW w:w="1380" w:type="dxa"/>
            <w:tcBorders>
              <w:top w:val="nil"/>
              <w:left w:val="nil"/>
              <w:bottom w:val="dotted" w:sz="4" w:space="0" w:color="auto"/>
              <w:right w:val="single" w:sz="8" w:space="0" w:color="auto"/>
            </w:tcBorders>
            <w:shd w:val="clear" w:color="000000" w:fill="FFFFFF"/>
            <w:vAlign w:val="center"/>
            <w:hideMark/>
          </w:tcPr>
          <w:p w14:paraId="4680D968" w14:textId="3C603667"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F354E9" w:rsidRPr="00791DF2" w14:paraId="5FE5EB33"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55C875FD"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06634AAC"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Marge</w:t>
            </w:r>
          </w:p>
        </w:tc>
        <w:tc>
          <w:tcPr>
            <w:tcW w:w="1380" w:type="dxa"/>
            <w:tcBorders>
              <w:top w:val="nil"/>
              <w:left w:val="nil"/>
              <w:bottom w:val="dotted" w:sz="4" w:space="0" w:color="auto"/>
              <w:right w:val="single" w:sz="8" w:space="0" w:color="auto"/>
            </w:tcBorders>
            <w:shd w:val="clear" w:color="000000" w:fill="FFFFFF"/>
            <w:vAlign w:val="center"/>
            <w:hideMark/>
          </w:tcPr>
          <w:p w14:paraId="2A346135" w14:textId="5EBE761D"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3681F4FD" w14:textId="0D264E3C"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32A0535F" w14:textId="762A22A2"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4BAB2599" w14:textId="40C562A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7FCE405C" w14:textId="543B42E0"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26880B33" w14:textId="7EEC8276"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6901A4" w:rsidRPr="00791DF2" w14:paraId="06C0FEF6" w14:textId="77777777" w:rsidTr="00F354E9">
        <w:trPr>
          <w:trHeight w:val="63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127CFFFD"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60753512" w14:textId="77777777" w:rsidR="006901A4" w:rsidRPr="00F354E9" w:rsidRDefault="006901A4" w:rsidP="006901A4">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dont: dépenses administratives des institutions</w:t>
            </w:r>
          </w:p>
        </w:tc>
        <w:tc>
          <w:tcPr>
            <w:tcW w:w="1380" w:type="dxa"/>
            <w:tcBorders>
              <w:top w:val="nil"/>
              <w:left w:val="nil"/>
              <w:bottom w:val="dotted" w:sz="4" w:space="0" w:color="auto"/>
              <w:right w:val="single" w:sz="8" w:space="0" w:color="auto"/>
            </w:tcBorders>
            <w:shd w:val="clear" w:color="000000" w:fill="D9D9D9"/>
            <w:vAlign w:val="center"/>
            <w:hideMark/>
          </w:tcPr>
          <w:p w14:paraId="0B81DB2B" w14:textId="286729EC"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9 999 745 735</w:t>
            </w:r>
          </w:p>
        </w:tc>
        <w:tc>
          <w:tcPr>
            <w:tcW w:w="1380" w:type="dxa"/>
            <w:tcBorders>
              <w:top w:val="nil"/>
              <w:left w:val="nil"/>
              <w:bottom w:val="dotted" w:sz="4" w:space="0" w:color="auto"/>
              <w:right w:val="single" w:sz="8" w:space="0" w:color="auto"/>
            </w:tcBorders>
            <w:shd w:val="clear" w:color="000000" w:fill="D9D9D9"/>
            <w:vAlign w:val="center"/>
            <w:hideMark/>
          </w:tcPr>
          <w:p w14:paraId="0FC1BC1E" w14:textId="4806008E"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9 999 745 735</w:t>
            </w:r>
          </w:p>
        </w:tc>
        <w:tc>
          <w:tcPr>
            <w:tcW w:w="1296" w:type="dxa"/>
            <w:tcBorders>
              <w:top w:val="nil"/>
              <w:left w:val="nil"/>
              <w:bottom w:val="dotted" w:sz="4" w:space="0" w:color="auto"/>
              <w:right w:val="single" w:sz="8" w:space="0" w:color="auto"/>
            </w:tcBorders>
            <w:shd w:val="clear" w:color="000000" w:fill="D9D9D9"/>
            <w:vAlign w:val="center"/>
            <w:hideMark/>
          </w:tcPr>
          <w:p w14:paraId="165A86EB" w14:textId="15DE6D93"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3 165 000</w:t>
            </w:r>
          </w:p>
        </w:tc>
        <w:tc>
          <w:tcPr>
            <w:tcW w:w="1240" w:type="dxa"/>
            <w:tcBorders>
              <w:top w:val="nil"/>
              <w:left w:val="nil"/>
              <w:bottom w:val="dotted" w:sz="4" w:space="0" w:color="auto"/>
              <w:right w:val="single" w:sz="8" w:space="0" w:color="auto"/>
            </w:tcBorders>
            <w:shd w:val="clear" w:color="000000" w:fill="D9D9D9"/>
            <w:vAlign w:val="center"/>
            <w:hideMark/>
          </w:tcPr>
          <w:p w14:paraId="29F6ABCE" w14:textId="701274C4"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3 165 000</w:t>
            </w:r>
          </w:p>
        </w:tc>
        <w:tc>
          <w:tcPr>
            <w:tcW w:w="1380" w:type="dxa"/>
            <w:tcBorders>
              <w:top w:val="nil"/>
              <w:left w:val="nil"/>
              <w:bottom w:val="dotted" w:sz="4" w:space="0" w:color="auto"/>
              <w:right w:val="single" w:sz="8" w:space="0" w:color="auto"/>
            </w:tcBorders>
            <w:shd w:val="clear" w:color="000000" w:fill="D9D9D9"/>
            <w:vAlign w:val="center"/>
            <w:hideMark/>
          </w:tcPr>
          <w:p w14:paraId="7729CDC8" w14:textId="400C050F"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10 002 910 735</w:t>
            </w:r>
          </w:p>
        </w:tc>
        <w:tc>
          <w:tcPr>
            <w:tcW w:w="1380" w:type="dxa"/>
            <w:tcBorders>
              <w:top w:val="nil"/>
              <w:left w:val="nil"/>
              <w:bottom w:val="dotted" w:sz="4" w:space="0" w:color="auto"/>
              <w:right w:val="single" w:sz="8" w:space="0" w:color="auto"/>
            </w:tcBorders>
            <w:shd w:val="clear" w:color="000000" w:fill="D9D9D9"/>
            <w:vAlign w:val="center"/>
            <w:hideMark/>
          </w:tcPr>
          <w:p w14:paraId="19C86A98" w14:textId="189591DE" w:rsidR="006901A4" w:rsidRPr="00C51D3F" w:rsidRDefault="005E68E3"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10 002 910 735</w:t>
            </w:r>
          </w:p>
        </w:tc>
      </w:tr>
      <w:tr w:rsidR="006901A4" w:rsidRPr="00791DF2" w14:paraId="0B9636E1"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3501C503"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1FEFCCEC" w14:textId="77777777" w:rsidR="006901A4" w:rsidRPr="00F354E9" w:rsidRDefault="006901A4" w:rsidP="006901A4">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Sous-plafond</w:t>
            </w:r>
          </w:p>
        </w:tc>
        <w:tc>
          <w:tcPr>
            <w:tcW w:w="1380" w:type="dxa"/>
            <w:tcBorders>
              <w:top w:val="nil"/>
              <w:left w:val="nil"/>
              <w:bottom w:val="dotted" w:sz="4" w:space="0" w:color="auto"/>
              <w:right w:val="single" w:sz="8" w:space="0" w:color="auto"/>
            </w:tcBorders>
            <w:shd w:val="clear" w:color="000000" w:fill="FFFFFF"/>
            <w:vAlign w:val="center"/>
            <w:hideMark/>
          </w:tcPr>
          <w:p w14:paraId="4D95427D" w14:textId="510AF09B"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9 464 000 000</w:t>
            </w:r>
          </w:p>
        </w:tc>
        <w:tc>
          <w:tcPr>
            <w:tcW w:w="1380" w:type="dxa"/>
            <w:tcBorders>
              <w:top w:val="nil"/>
              <w:left w:val="nil"/>
              <w:bottom w:val="dotted" w:sz="4" w:space="0" w:color="auto"/>
              <w:right w:val="single" w:sz="8" w:space="0" w:color="auto"/>
            </w:tcBorders>
            <w:shd w:val="clear" w:color="000000" w:fill="FFFFFF"/>
            <w:vAlign w:val="center"/>
            <w:hideMark/>
          </w:tcPr>
          <w:p w14:paraId="72249D8F" w14:textId="1989C2E2"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shd w:val="clear" w:color="000000" w:fill="FFFFFF"/>
            <w:vAlign w:val="center"/>
            <w:hideMark/>
          </w:tcPr>
          <w:p w14:paraId="01BD633A" w14:textId="66A31FA8"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dotted" w:sz="4" w:space="0" w:color="auto"/>
              <w:right w:val="single" w:sz="8" w:space="0" w:color="auto"/>
            </w:tcBorders>
            <w:shd w:val="clear" w:color="000000" w:fill="FFFFFF"/>
            <w:vAlign w:val="center"/>
            <w:hideMark/>
          </w:tcPr>
          <w:p w14:paraId="59944750" w14:textId="4445A5C0"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2880BE74" w14:textId="5503FCBA"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9 464 000 000</w:t>
            </w:r>
          </w:p>
        </w:tc>
        <w:tc>
          <w:tcPr>
            <w:tcW w:w="1380" w:type="dxa"/>
            <w:tcBorders>
              <w:top w:val="nil"/>
              <w:left w:val="nil"/>
              <w:bottom w:val="dotted" w:sz="4" w:space="0" w:color="auto"/>
              <w:right w:val="single" w:sz="8" w:space="0" w:color="auto"/>
            </w:tcBorders>
            <w:shd w:val="clear" w:color="000000" w:fill="FFFFFF"/>
            <w:vAlign w:val="center"/>
            <w:hideMark/>
          </w:tcPr>
          <w:p w14:paraId="6E173251" w14:textId="7794903E"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6901A4" w:rsidRPr="00791DF2" w14:paraId="0CAC10F2"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hideMark/>
          </w:tcPr>
          <w:p w14:paraId="1CC402FF"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26B3BF63" w14:textId="77777777" w:rsidR="006901A4" w:rsidRPr="00F354E9" w:rsidRDefault="006901A4" w:rsidP="006901A4">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dont au titre du dispositif de marge unique visé à l’art. 11, par. 1, pt a)</w:t>
            </w:r>
          </w:p>
        </w:tc>
        <w:tc>
          <w:tcPr>
            <w:tcW w:w="1380" w:type="dxa"/>
            <w:tcBorders>
              <w:top w:val="nil"/>
              <w:left w:val="nil"/>
              <w:bottom w:val="dotted" w:sz="4" w:space="0" w:color="auto"/>
              <w:right w:val="single" w:sz="8" w:space="0" w:color="auto"/>
            </w:tcBorders>
            <w:shd w:val="clear" w:color="000000" w:fill="FFFFFF"/>
            <w:vAlign w:val="center"/>
            <w:hideMark/>
          </w:tcPr>
          <w:p w14:paraId="58C20F22" w14:textId="17AB983D"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535 745 735</w:t>
            </w:r>
          </w:p>
        </w:tc>
        <w:tc>
          <w:tcPr>
            <w:tcW w:w="1380" w:type="dxa"/>
            <w:tcBorders>
              <w:top w:val="nil"/>
              <w:left w:val="nil"/>
              <w:bottom w:val="dotted" w:sz="4" w:space="0" w:color="auto"/>
              <w:right w:val="single" w:sz="8" w:space="0" w:color="auto"/>
            </w:tcBorders>
            <w:shd w:val="clear" w:color="000000" w:fill="FFFFFF"/>
            <w:vAlign w:val="center"/>
            <w:hideMark/>
          </w:tcPr>
          <w:p w14:paraId="27CB60D9" w14:textId="24A8BF25"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dotted" w:sz="4" w:space="0" w:color="auto"/>
              <w:right w:val="single" w:sz="8" w:space="0" w:color="auto"/>
            </w:tcBorders>
            <w:vAlign w:val="center"/>
            <w:hideMark/>
          </w:tcPr>
          <w:p w14:paraId="404F21F9" w14:textId="60841C2E"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3 165 000</w:t>
            </w:r>
          </w:p>
        </w:tc>
        <w:tc>
          <w:tcPr>
            <w:tcW w:w="1240" w:type="dxa"/>
            <w:tcBorders>
              <w:top w:val="nil"/>
              <w:left w:val="nil"/>
              <w:bottom w:val="dotted" w:sz="4" w:space="0" w:color="auto"/>
              <w:right w:val="single" w:sz="8" w:space="0" w:color="auto"/>
            </w:tcBorders>
            <w:shd w:val="clear" w:color="000000" w:fill="FFFFFF"/>
            <w:vAlign w:val="center"/>
            <w:hideMark/>
          </w:tcPr>
          <w:p w14:paraId="36D72FB0" w14:textId="3D66AD4D"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380" w:type="dxa"/>
            <w:tcBorders>
              <w:top w:val="nil"/>
              <w:left w:val="nil"/>
              <w:bottom w:val="dotted" w:sz="4" w:space="0" w:color="auto"/>
              <w:right w:val="single" w:sz="8" w:space="0" w:color="auto"/>
            </w:tcBorders>
            <w:shd w:val="clear" w:color="000000" w:fill="FFFFFF"/>
            <w:vAlign w:val="center"/>
            <w:hideMark/>
          </w:tcPr>
          <w:p w14:paraId="784D51CB" w14:textId="31934CA2"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538 910 735</w:t>
            </w:r>
          </w:p>
        </w:tc>
        <w:tc>
          <w:tcPr>
            <w:tcW w:w="1380" w:type="dxa"/>
            <w:tcBorders>
              <w:top w:val="nil"/>
              <w:left w:val="nil"/>
              <w:bottom w:val="dotted" w:sz="4" w:space="0" w:color="auto"/>
              <w:right w:val="single" w:sz="8" w:space="0" w:color="auto"/>
            </w:tcBorders>
            <w:shd w:val="clear" w:color="000000" w:fill="FFFFFF"/>
            <w:vAlign w:val="center"/>
            <w:hideMark/>
          </w:tcPr>
          <w:p w14:paraId="4947D74D" w14:textId="09C4A45E"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6901A4" w:rsidRPr="00791DF2" w14:paraId="696B0C30" w14:textId="77777777" w:rsidTr="00F354E9">
        <w:trPr>
          <w:trHeight w:val="315"/>
        </w:trPr>
        <w:tc>
          <w:tcPr>
            <w:tcW w:w="416" w:type="dxa"/>
            <w:tcBorders>
              <w:top w:val="nil"/>
              <w:left w:val="single" w:sz="8" w:space="0" w:color="auto"/>
              <w:bottom w:val="single" w:sz="8" w:space="0" w:color="auto"/>
              <w:right w:val="nil"/>
            </w:tcBorders>
            <w:shd w:val="clear" w:color="auto" w:fill="FFFFFF" w:themeFill="background1"/>
            <w:vAlign w:val="center"/>
            <w:hideMark/>
          </w:tcPr>
          <w:p w14:paraId="4012D5C7"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single" w:sz="8" w:space="0" w:color="auto"/>
              <w:right w:val="single" w:sz="8" w:space="0" w:color="auto"/>
            </w:tcBorders>
            <w:shd w:val="clear" w:color="auto" w:fill="FFFFFF" w:themeFill="background1"/>
            <w:vAlign w:val="center"/>
            <w:hideMark/>
          </w:tcPr>
          <w:p w14:paraId="2DA0002C" w14:textId="77777777" w:rsidR="006901A4" w:rsidRPr="00F354E9" w:rsidRDefault="006901A4" w:rsidP="006901A4">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Sous-marge</w:t>
            </w:r>
          </w:p>
        </w:tc>
        <w:tc>
          <w:tcPr>
            <w:tcW w:w="1380" w:type="dxa"/>
            <w:tcBorders>
              <w:top w:val="nil"/>
              <w:left w:val="nil"/>
              <w:bottom w:val="single" w:sz="8" w:space="0" w:color="auto"/>
              <w:right w:val="single" w:sz="8" w:space="0" w:color="auto"/>
            </w:tcBorders>
            <w:shd w:val="clear" w:color="000000" w:fill="FFFFFF"/>
            <w:vAlign w:val="center"/>
            <w:hideMark/>
          </w:tcPr>
          <w:p w14:paraId="6E335965" w14:textId="21D298F0"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42F9677C" w14:textId="2814093D"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296" w:type="dxa"/>
            <w:tcBorders>
              <w:top w:val="nil"/>
              <w:left w:val="nil"/>
              <w:bottom w:val="single" w:sz="8" w:space="0" w:color="auto"/>
              <w:right w:val="single" w:sz="8" w:space="0" w:color="auto"/>
            </w:tcBorders>
            <w:shd w:val="clear" w:color="000000" w:fill="FFFFFF"/>
            <w:vAlign w:val="center"/>
            <w:hideMark/>
          </w:tcPr>
          <w:p w14:paraId="7503DA2F" w14:textId="2CA5C520"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240" w:type="dxa"/>
            <w:tcBorders>
              <w:top w:val="nil"/>
              <w:left w:val="nil"/>
              <w:bottom w:val="single" w:sz="8" w:space="0" w:color="auto"/>
              <w:right w:val="single" w:sz="8" w:space="0" w:color="auto"/>
            </w:tcBorders>
            <w:shd w:val="clear" w:color="000000" w:fill="FFFFFF"/>
            <w:vAlign w:val="center"/>
            <w:hideMark/>
          </w:tcPr>
          <w:p w14:paraId="2FD62A9F" w14:textId="78709DFD"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462DDED1" w14:textId="61A37CA9"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w:t>
            </w:r>
          </w:p>
        </w:tc>
        <w:tc>
          <w:tcPr>
            <w:tcW w:w="1380" w:type="dxa"/>
            <w:tcBorders>
              <w:top w:val="nil"/>
              <w:left w:val="nil"/>
              <w:bottom w:val="single" w:sz="8" w:space="0" w:color="auto"/>
              <w:right w:val="single" w:sz="8" w:space="0" w:color="auto"/>
            </w:tcBorders>
            <w:shd w:val="clear" w:color="000000" w:fill="FFFFFF"/>
            <w:vAlign w:val="center"/>
            <w:hideMark/>
          </w:tcPr>
          <w:p w14:paraId="68C9D595" w14:textId="061F7B38"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w:t>
            </w:r>
          </w:p>
        </w:tc>
      </w:tr>
      <w:tr w:rsidR="006901A4" w:rsidRPr="00791DF2" w14:paraId="511437A4" w14:textId="77777777" w:rsidTr="00F354E9">
        <w:trPr>
          <w:trHeight w:val="315"/>
        </w:trPr>
        <w:tc>
          <w:tcPr>
            <w:tcW w:w="2556" w:type="dxa"/>
            <w:gridSpan w:val="2"/>
            <w:tcBorders>
              <w:top w:val="single" w:sz="8" w:space="0" w:color="auto"/>
              <w:left w:val="single" w:sz="8" w:space="0" w:color="auto"/>
              <w:bottom w:val="single" w:sz="8" w:space="0" w:color="auto"/>
              <w:right w:val="single" w:sz="8" w:space="0" w:color="000000" w:themeColor="text1"/>
            </w:tcBorders>
            <w:shd w:val="clear" w:color="auto" w:fill="BFBFBF" w:themeFill="background1" w:themeFillShade="BF"/>
            <w:vAlign w:val="center"/>
            <w:hideMark/>
          </w:tcPr>
          <w:p w14:paraId="4ABF6EC5" w14:textId="77777777" w:rsidR="006901A4" w:rsidRPr="00F354E9" w:rsidRDefault="006901A4" w:rsidP="006901A4">
            <w:pPr>
              <w:spacing w:after="0" w:line="240" w:lineRule="auto"/>
              <w:jc w:val="right"/>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Crédits pour les rubriques</w:t>
            </w:r>
          </w:p>
        </w:tc>
        <w:tc>
          <w:tcPr>
            <w:tcW w:w="1380" w:type="dxa"/>
            <w:tcBorders>
              <w:top w:val="nil"/>
              <w:left w:val="nil"/>
              <w:bottom w:val="single" w:sz="8" w:space="0" w:color="auto"/>
              <w:right w:val="single" w:sz="8" w:space="0" w:color="auto"/>
            </w:tcBorders>
            <w:shd w:val="clear" w:color="auto" w:fill="BFBFBF" w:themeFill="background1" w:themeFillShade="BF"/>
            <w:vAlign w:val="center"/>
            <w:hideMark/>
          </w:tcPr>
          <w:p w14:paraId="2D095389" w14:textId="403CB067"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187 052 150 535</w:t>
            </w:r>
          </w:p>
        </w:tc>
        <w:tc>
          <w:tcPr>
            <w:tcW w:w="1380" w:type="dxa"/>
            <w:tcBorders>
              <w:top w:val="nil"/>
              <w:left w:val="nil"/>
              <w:bottom w:val="single" w:sz="8" w:space="0" w:color="auto"/>
              <w:right w:val="single" w:sz="8" w:space="0" w:color="auto"/>
            </w:tcBorders>
            <w:shd w:val="clear" w:color="000000" w:fill="BFBFBF"/>
            <w:vAlign w:val="center"/>
          </w:tcPr>
          <w:p w14:paraId="59D66BAF" w14:textId="43F2D336"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185 069 006 419</w:t>
            </w:r>
          </w:p>
        </w:tc>
        <w:tc>
          <w:tcPr>
            <w:tcW w:w="1296" w:type="dxa"/>
            <w:tcBorders>
              <w:top w:val="nil"/>
              <w:left w:val="nil"/>
              <w:bottom w:val="single" w:sz="8" w:space="0" w:color="auto"/>
              <w:right w:val="single" w:sz="8" w:space="0" w:color="auto"/>
            </w:tcBorders>
            <w:shd w:val="clear" w:color="000000" w:fill="BFBFBF"/>
            <w:vAlign w:val="center"/>
          </w:tcPr>
          <w:p w14:paraId="11EE0C44" w14:textId="41B4AF02" w:rsidR="006901A4" w:rsidRPr="00C51D3F" w:rsidRDefault="0094621D"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444 165 000</w:t>
            </w:r>
          </w:p>
        </w:tc>
        <w:tc>
          <w:tcPr>
            <w:tcW w:w="1240" w:type="dxa"/>
            <w:tcBorders>
              <w:top w:val="nil"/>
              <w:left w:val="nil"/>
              <w:bottom w:val="single" w:sz="8" w:space="0" w:color="auto"/>
              <w:right w:val="single" w:sz="8" w:space="0" w:color="auto"/>
            </w:tcBorders>
            <w:shd w:val="clear" w:color="000000" w:fill="BFBFBF"/>
            <w:vAlign w:val="center"/>
          </w:tcPr>
          <w:p w14:paraId="7459518F" w14:textId="30F71732"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8 004 165 000</w:t>
            </w:r>
          </w:p>
        </w:tc>
        <w:tc>
          <w:tcPr>
            <w:tcW w:w="1380" w:type="dxa"/>
            <w:tcBorders>
              <w:top w:val="nil"/>
              <w:left w:val="nil"/>
              <w:bottom w:val="single" w:sz="8" w:space="0" w:color="auto"/>
              <w:right w:val="single" w:sz="8" w:space="0" w:color="auto"/>
            </w:tcBorders>
            <w:shd w:val="clear" w:color="000000" w:fill="BFBFBF"/>
            <w:vAlign w:val="center"/>
          </w:tcPr>
          <w:p w14:paraId="219AD862" w14:textId="6CDE0C0A"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187 496 315 535</w:t>
            </w:r>
          </w:p>
        </w:tc>
        <w:tc>
          <w:tcPr>
            <w:tcW w:w="1380" w:type="dxa"/>
            <w:tcBorders>
              <w:top w:val="nil"/>
              <w:left w:val="nil"/>
              <w:bottom w:val="single" w:sz="8" w:space="0" w:color="auto"/>
              <w:right w:val="single" w:sz="8" w:space="0" w:color="auto"/>
            </w:tcBorders>
            <w:shd w:val="clear" w:color="000000" w:fill="BFBFBF"/>
            <w:vAlign w:val="center"/>
          </w:tcPr>
          <w:p w14:paraId="4C6BDDC6" w14:textId="458D4114"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193 073 171 419</w:t>
            </w:r>
          </w:p>
        </w:tc>
      </w:tr>
      <w:tr w:rsidR="006901A4" w:rsidRPr="00791DF2" w14:paraId="25048C03" w14:textId="77777777" w:rsidTr="00F354E9">
        <w:trPr>
          <w:trHeight w:val="300"/>
        </w:trPr>
        <w:tc>
          <w:tcPr>
            <w:tcW w:w="416" w:type="dxa"/>
            <w:tcBorders>
              <w:top w:val="nil"/>
              <w:left w:val="single" w:sz="8" w:space="0" w:color="auto"/>
              <w:bottom w:val="dotted" w:sz="4" w:space="0" w:color="auto"/>
              <w:right w:val="nil"/>
            </w:tcBorders>
            <w:shd w:val="clear" w:color="auto" w:fill="F2F2F2" w:themeFill="background1" w:themeFillShade="F2"/>
            <w:vAlign w:val="center"/>
            <w:hideMark/>
          </w:tcPr>
          <w:p w14:paraId="0FA76A4B"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2F2F2" w:themeFill="background1" w:themeFillShade="F2"/>
            <w:vAlign w:val="center"/>
            <w:hideMark/>
          </w:tcPr>
          <w:p w14:paraId="24A57F50" w14:textId="77777777" w:rsidR="006901A4" w:rsidRPr="00F354E9" w:rsidRDefault="006901A4" w:rsidP="006901A4">
            <w:pPr>
              <w:spacing w:after="0" w:line="240" w:lineRule="auto"/>
              <w:jc w:val="right"/>
              <w:rPr>
                <w:rFonts w:ascii="Times New Roman" w:eastAsia="Times New Roman" w:hAnsi="Times New Roman" w:cs="Times New Roman"/>
                <w:b/>
                <w:bCs/>
                <w:i/>
                <w:iCs/>
                <w:noProof/>
                <w:color w:val="000000"/>
                <w:sz w:val="16"/>
                <w:szCs w:val="16"/>
              </w:rPr>
            </w:pPr>
            <w:r>
              <w:rPr>
                <w:rFonts w:ascii="Times New Roman" w:hAnsi="Times New Roman"/>
                <w:b/>
                <w:i/>
                <w:noProof/>
                <w:color w:val="000000"/>
                <w:sz w:val="16"/>
              </w:rPr>
              <w:t xml:space="preserve">Plafond </w:t>
            </w:r>
          </w:p>
        </w:tc>
        <w:tc>
          <w:tcPr>
            <w:tcW w:w="1380" w:type="dxa"/>
            <w:tcBorders>
              <w:top w:val="nil"/>
              <w:left w:val="nil"/>
              <w:bottom w:val="dotted" w:sz="4" w:space="0" w:color="auto"/>
              <w:right w:val="single" w:sz="8" w:space="0" w:color="auto"/>
            </w:tcBorders>
            <w:shd w:val="clear" w:color="000000" w:fill="F2F2F2"/>
            <w:vAlign w:val="center"/>
            <w:hideMark/>
          </w:tcPr>
          <w:p w14:paraId="7C11DF26" w14:textId="3D58D7DD"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182 866 000 000</w:t>
            </w:r>
          </w:p>
        </w:tc>
        <w:tc>
          <w:tcPr>
            <w:tcW w:w="1380" w:type="dxa"/>
            <w:tcBorders>
              <w:top w:val="nil"/>
              <w:left w:val="nil"/>
              <w:bottom w:val="dotted" w:sz="4" w:space="0" w:color="auto"/>
              <w:right w:val="single" w:sz="8" w:space="0" w:color="auto"/>
            </w:tcBorders>
            <w:shd w:val="clear" w:color="000000" w:fill="F2F2F2"/>
            <w:vAlign w:val="center"/>
            <w:hideMark/>
          </w:tcPr>
          <w:p w14:paraId="54AAB2C2" w14:textId="2290A0A7"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201 170 000 000</w:t>
            </w:r>
          </w:p>
        </w:tc>
        <w:tc>
          <w:tcPr>
            <w:tcW w:w="1296" w:type="dxa"/>
            <w:tcBorders>
              <w:top w:val="nil"/>
              <w:left w:val="nil"/>
              <w:bottom w:val="dotted" w:sz="4" w:space="0" w:color="auto"/>
              <w:right w:val="single" w:sz="8" w:space="0" w:color="auto"/>
            </w:tcBorders>
            <w:shd w:val="clear" w:color="000000" w:fill="F2F2F2"/>
            <w:vAlign w:val="center"/>
            <w:hideMark/>
          </w:tcPr>
          <w:p w14:paraId="3398A35B" w14:textId="457B7035"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 </w:t>
            </w:r>
          </w:p>
        </w:tc>
        <w:tc>
          <w:tcPr>
            <w:tcW w:w="1240" w:type="dxa"/>
            <w:tcBorders>
              <w:top w:val="nil"/>
              <w:left w:val="nil"/>
              <w:bottom w:val="dotted" w:sz="4" w:space="0" w:color="auto"/>
              <w:right w:val="single" w:sz="8" w:space="0" w:color="auto"/>
            </w:tcBorders>
            <w:shd w:val="clear" w:color="000000" w:fill="F2F2F2"/>
            <w:vAlign w:val="center"/>
            <w:hideMark/>
          </w:tcPr>
          <w:p w14:paraId="01BF9C99" w14:textId="4A35388B"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 </w:t>
            </w:r>
          </w:p>
        </w:tc>
        <w:tc>
          <w:tcPr>
            <w:tcW w:w="1380" w:type="dxa"/>
            <w:tcBorders>
              <w:top w:val="nil"/>
              <w:left w:val="nil"/>
              <w:bottom w:val="dotted" w:sz="4" w:space="0" w:color="auto"/>
              <w:right w:val="single" w:sz="8" w:space="0" w:color="auto"/>
            </w:tcBorders>
            <w:shd w:val="clear" w:color="000000" w:fill="F2F2F2"/>
            <w:vAlign w:val="center"/>
            <w:hideMark/>
          </w:tcPr>
          <w:p w14:paraId="2EE75873" w14:textId="1CCD712D"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182 866 000 000</w:t>
            </w:r>
          </w:p>
        </w:tc>
        <w:tc>
          <w:tcPr>
            <w:tcW w:w="1380" w:type="dxa"/>
            <w:tcBorders>
              <w:top w:val="nil"/>
              <w:left w:val="nil"/>
              <w:bottom w:val="dotted" w:sz="4" w:space="0" w:color="auto"/>
              <w:right w:val="single" w:sz="8" w:space="0" w:color="auto"/>
            </w:tcBorders>
            <w:shd w:val="clear" w:color="000000" w:fill="F2F2F2"/>
            <w:vAlign w:val="center"/>
            <w:hideMark/>
          </w:tcPr>
          <w:p w14:paraId="7C38F676" w14:textId="06EB2F0D"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201 170 000 000</w:t>
            </w:r>
          </w:p>
        </w:tc>
      </w:tr>
      <w:tr w:rsidR="006901A4" w:rsidRPr="00791DF2" w14:paraId="79686C25" w14:textId="77777777" w:rsidTr="00F354E9">
        <w:trPr>
          <w:trHeight w:val="450"/>
        </w:trPr>
        <w:tc>
          <w:tcPr>
            <w:tcW w:w="416" w:type="dxa"/>
            <w:tcBorders>
              <w:top w:val="nil"/>
              <w:left w:val="single" w:sz="8" w:space="0" w:color="auto"/>
              <w:bottom w:val="dotted" w:sz="4" w:space="0" w:color="auto"/>
              <w:right w:val="nil"/>
            </w:tcBorders>
            <w:shd w:val="clear" w:color="auto" w:fill="F2F2F2" w:themeFill="background1" w:themeFillShade="F2"/>
            <w:vAlign w:val="center"/>
            <w:hideMark/>
          </w:tcPr>
          <w:p w14:paraId="3A7C1D77"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2F2F2" w:themeFill="background1" w:themeFillShade="F2"/>
            <w:vAlign w:val="center"/>
            <w:hideMark/>
          </w:tcPr>
          <w:p w14:paraId="468337EB" w14:textId="77777777" w:rsidR="006901A4" w:rsidRPr="00F354E9" w:rsidRDefault="006901A4" w:rsidP="006901A4">
            <w:pPr>
              <w:spacing w:after="0" w:line="240" w:lineRule="auto"/>
              <w:jc w:val="right"/>
              <w:rPr>
                <w:rFonts w:ascii="Times New Roman" w:eastAsia="Times New Roman" w:hAnsi="Times New Roman" w:cs="Times New Roman"/>
                <w:b/>
                <w:bCs/>
                <w:i/>
                <w:iCs/>
                <w:noProof/>
                <w:color w:val="000000"/>
                <w:sz w:val="16"/>
                <w:szCs w:val="16"/>
              </w:rPr>
            </w:pPr>
            <w:r>
              <w:rPr>
                <w:rFonts w:ascii="Times New Roman" w:hAnsi="Times New Roman"/>
                <w:b/>
                <w:i/>
                <w:noProof/>
                <w:color w:val="000000"/>
                <w:sz w:val="16"/>
              </w:rPr>
              <w:t>dont part relevant de l'instrument de flexibilité</w:t>
            </w:r>
          </w:p>
        </w:tc>
        <w:tc>
          <w:tcPr>
            <w:tcW w:w="1380" w:type="dxa"/>
            <w:tcBorders>
              <w:top w:val="nil"/>
              <w:left w:val="nil"/>
              <w:bottom w:val="dotted" w:sz="4" w:space="0" w:color="auto"/>
              <w:right w:val="single" w:sz="8" w:space="0" w:color="auto"/>
            </w:tcBorders>
            <w:shd w:val="clear" w:color="000000" w:fill="F2F2F2"/>
            <w:vAlign w:val="center"/>
            <w:hideMark/>
          </w:tcPr>
          <w:p w14:paraId="33051C78" w14:textId="7A332466"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2 040 929 212</w:t>
            </w:r>
          </w:p>
        </w:tc>
        <w:tc>
          <w:tcPr>
            <w:tcW w:w="1380" w:type="dxa"/>
            <w:tcBorders>
              <w:top w:val="nil"/>
              <w:left w:val="nil"/>
              <w:bottom w:val="dotted" w:sz="4" w:space="0" w:color="auto"/>
              <w:right w:val="single" w:sz="8" w:space="0" w:color="auto"/>
            </w:tcBorders>
            <w:shd w:val="clear" w:color="000000" w:fill="F2F2F2"/>
            <w:vAlign w:val="center"/>
            <w:hideMark/>
          </w:tcPr>
          <w:p w14:paraId="66220939" w14:textId="21A18CA5"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2 220 417 865</w:t>
            </w:r>
          </w:p>
        </w:tc>
        <w:tc>
          <w:tcPr>
            <w:tcW w:w="1296" w:type="dxa"/>
            <w:tcBorders>
              <w:top w:val="nil"/>
              <w:left w:val="nil"/>
              <w:bottom w:val="dotted" w:sz="4" w:space="0" w:color="auto"/>
              <w:right w:val="single" w:sz="8" w:space="0" w:color="auto"/>
            </w:tcBorders>
            <w:shd w:val="clear" w:color="000000" w:fill="F2F2F2"/>
            <w:vAlign w:val="center"/>
            <w:hideMark/>
          </w:tcPr>
          <w:p w14:paraId="42C8C38C" w14:textId="1795BEBB"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1 000 000</w:t>
            </w:r>
          </w:p>
        </w:tc>
        <w:tc>
          <w:tcPr>
            <w:tcW w:w="1240" w:type="dxa"/>
            <w:tcBorders>
              <w:top w:val="nil"/>
              <w:left w:val="nil"/>
              <w:bottom w:val="dotted" w:sz="4" w:space="0" w:color="auto"/>
              <w:right w:val="single" w:sz="8" w:space="0" w:color="auto"/>
            </w:tcBorders>
            <w:shd w:val="clear" w:color="000000" w:fill="F2F2F2"/>
            <w:vAlign w:val="center"/>
            <w:hideMark/>
          </w:tcPr>
          <w:p w14:paraId="2B02A4A8" w14:textId="0DF5865A"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1 000 000</w:t>
            </w:r>
          </w:p>
        </w:tc>
        <w:tc>
          <w:tcPr>
            <w:tcW w:w="1380" w:type="dxa"/>
            <w:tcBorders>
              <w:top w:val="nil"/>
              <w:left w:val="nil"/>
              <w:bottom w:val="dotted" w:sz="4" w:space="0" w:color="auto"/>
              <w:right w:val="single" w:sz="8" w:space="0" w:color="auto"/>
            </w:tcBorders>
            <w:shd w:val="clear" w:color="000000" w:fill="F2F2F2"/>
            <w:vAlign w:val="center"/>
            <w:hideMark/>
          </w:tcPr>
          <w:p w14:paraId="1F738FDC" w14:textId="230079B0"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2 041 929 212</w:t>
            </w:r>
          </w:p>
        </w:tc>
        <w:tc>
          <w:tcPr>
            <w:tcW w:w="1380" w:type="dxa"/>
            <w:tcBorders>
              <w:top w:val="nil"/>
              <w:left w:val="nil"/>
              <w:bottom w:val="dotted" w:sz="4" w:space="0" w:color="auto"/>
              <w:right w:val="single" w:sz="8" w:space="0" w:color="auto"/>
            </w:tcBorders>
            <w:shd w:val="clear" w:color="000000" w:fill="F2F2F2"/>
            <w:vAlign w:val="center"/>
            <w:hideMark/>
          </w:tcPr>
          <w:p w14:paraId="2F62A1B2" w14:textId="18855CDF"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2 221 417 865</w:t>
            </w:r>
          </w:p>
        </w:tc>
      </w:tr>
      <w:tr w:rsidR="006901A4" w:rsidRPr="00791DF2" w14:paraId="434D656B" w14:textId="77777777" w:rsidTr="00F354E9">
        <w:trPr>
          <w:trHeight w:val="450"/>
        </w:trPr>
        <w:tc>
          <w:tcPr>
            <w:tcW w:w="416" w:type="dxa"/>
            <w:tcBorders>
              <w:top w:val="nil"/>
              <w:left w:val="single" w:sz="8" w:space="0" w:color="auto"/>
              <w:bottom w:val="dotted" w:sz="4" w:space="0" w:color="auto"/>
              <w:right w:val="nil"/>
            </w:tcBorders>
            <w:shd w:val="clear" w:color="auto" w:fill="F2F2F2" w:themeFill="background1" w:themeFillShade="F2"/>
            <w:vAlign w:val="center"/>
            <w:hideMark/>
          </w:tcPr>
          <w:p w14:paraId="3609CC97"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2F2F2" w:themeFill="background1" w:themeFillShade="F2"/>
            <w:vAlign w:val="center"/>
            <w:hideMark/>
          </w:tcPr>
          <w:p w14:paraId="30FA8E27" w14:textId="77777777" w:rsidR="006901A4" w:rsidRPr="00F354E9" w:rsidRDefault="006901A4" w:rsidP="006901A4">
            <w:pPr>
              <w:spacing w:after="0" w:line="240" w:lineRule="auto"/>
              <w:jc w:val="right"/>
              <w:rPr>
                <w:rFonts w:ascii="Times New Roman" w:eastAsia="Times New Roman" w:hAnsi="Times New Roman" w:cs="Times New Roman"/>
                <w:b/>
                <w:bCs/>
                <w:i/>
                <w:iCs/>
                <w:noProof/>
                <w:color w:val="000000"/>
                <w:sz w:val="16"/>
                <w:szCs w:val="16"/>
              </w:rPr>
            </w:pPr>
            <w:r>
              <w:rPr>
                <w:rFonts w:ascii="Times New Roman" w:hAnsi="Times New Roman"/>
                <w:b/>
                <w:i/>
                <w:noProof/>
                <w:color w:val="000000"/>
                <w:sz w:val="16"/>
              </w:rPr>
              <w:t>dont au titre du dispositif de marge unique visé à l’art. 11, par. 1, pt a)</w:t>
            </w:r>
          </w:p>
        </w:tc>
        <w:tc>
          <w:tcPr>
            <w:tcW w:w="1380" w:type="dxa"/>
            <w:tcBorders>
              <w:top w:val="nil"/>
              <w:left w:val="nil"/>
              <w:bottom w:val="dotted" w:sz="4" w:space="0" w:color="auto"/>
              <w:right w:val="single" w:sz="8" w:space="0" w:color="auto"/>
            </w:tcBorders>
            <w:shd w:val="clear" w:color="000000" w:fill="F2F2F2"/>
            <w:vAlign w:val="center"/>
            <w:hideMark/>
          </w:tcPr>
          <w:p w14:paraId="172C4B15" w14:textId="7F69B8F3"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748 203 439</w:t>
            </w:r>
          </w:p>
        </w:tc>
        <w:tc>
          <w:tcPr>
            <w:tcW w:w="1380" w:type="dxa"/>
            <w:tcBorders>
              <w:top w:val="nil"/>
              <w:left w:val="nil"/>
              <w:bottom w:val="dotted" w:sz="4" w:space="0" w:color="auto"/>
              <w:right w:val="single" w:sz="8" w:space="0" w:color="auto"/>
            </w:tcBorders>
            <w:shd w:val="clear" w:color="000000" w:fill="F2F2F2"/>
            <w:vAlign w:val="center"/>
            <w:hideMark/>
          </w:tcPr>
          <w:p w14:paraId="19492119" w14:textId="43933452"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 </w:t>
            </w:r>
          </w:p>
        </w:tc>
        <w:tc>
          <w:tcPr>
            <w:tcW w:w="1296" w:type="dxa"/>
            <w:tcBorders>
              <w:top w:val="nil"/>
              <w:left w:val="nil"/>
              <w:bottom w:val="dotted" w:sz="4" w:space="0" w:color="auto"/>
              <w:right w:val="single" w:sz="8" w:space="0" w:color="auto"/>
            </w:tcBorders>
            <w:shd w:val="clear" w:color="000000" w:fill="F2F2F2"/>
            <w:vAlign w:val="center"/>
            <w:hideMark/>
          </w:tcPr>
          <w:p w14:paraId="258785F7" w14:textId="3F74869D"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3 165 000</w:t>
            </w:r>
          </w:p>
        </w:tc>
        <w:tc>
          <w:tcPr>
            <w:tcW w:w="1240" w:type="dxa"/>
            <w:tcBorders>
              <w:top w:val="nil"/>
              <w:left w:val="nil"/>
              <w:bottom w:val="dotted" w:sz="4" w:space="0" w:color="auto"/>
              <w:right w:val="single" w:sz="8" w:space="0" w:color="auto"/>
            </w:tcBorders>
            <w:shd w:val="clear" w:color="000000" w:fill="F2F2F2"/>
            <w:vAlign w:val="center"/>
            <w:hideMark/>
          </w:tcPr>
          <w:p w14:paraId="5B2B0BF4" w14:textId="0D168161"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 </w:t>
            </w:r>
          </w:p>
        </w:tc>
        <w:tc>
          <w:tcPr>
            <w:tcW w:w="1380" w:type="dxa"/>
            <w:tcBorders>
              <w:top w:val="nil"/>
              <w:left w:val="nil"/>
              <w:bottom w:val="dotted" w:sz="4" w:space="0" w:color="auto"/>
              <w:right w:val="single" w:sz="8" w:space="0" w:color="auto"/>
            </w:tcBorders>
            <w:shd w:val="clear" w:color="000000" w:fill="F2F2F2"/>
            <w:vAlign w:val="center"/>
            <w:hideMark/>
          </w:tcPr>
          <w:p w14:paraId="1D766476" w14:textId="0886ADE8"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751 368 439</w:t>
            </w:r>
          </w:p>
        </w:tc>
        <w:tc>
          <w:tcPr>
            <w:tcW w:w="1380" w:type="dxa"/>
            <w:tcBorders>
              <w:top w:val="nil"/>
              <w:left w:val="nil"/>
              <w:bottom w:val="dotted" w:sz="4" w:space="0" w:color="auto"/>
              <w:right w:val="single" w:sz="8" w:space="0" w:color="auto"/>
            </w:tcBorders>
            <w:shd w:val="clear" w:color="000000" w:fill="F2F2F2"/>
            <w:vAlign w:val="center"/>
            <w:hideMark/>
          </w:tcPr>
          <w:p w14:paraId="61F8CE05" w14:textId="31BD4530"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 </w:t>
            </w:r>
          </w:p>
        </w:tc>
      </w:tr>
      <w:tr w:rsidR="006901A4" w:rsidRPr="00791DF2" w14:paraId="5B76DBC5" w14:textId="77777777" w:rsidTr="00F354E9">
        <w:trPr>
          <w:trHeight w:val="300"/>
        </w:trPr>
        <w:tc>
          <w:tcPr>
            <w:tcW w:w="416" w:type="dxa"/>
            <w:tcBorders>
              <w:top w:val="nil"/>
              <w:left w:val="single" w:sz="8" w:space="0" w:color="auto"/>
              <w:bottom w:val="dotted" w:sz="4" w:space="0" w:color="auto"/>
              <w:right w:val="nil"/>
            </w:tcBorders>
            <w:shd w:val="clear" w:color="auto" w:fill="F2F2F2" w:themeFill="background1" w:themeFillShade="F2"/>
            <w:vAlign w:val="center"/>
            <w:hideMark/>
          </w:tcPr>
          <w:p w14:paraId="0B388B66"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dotted" w:sz="4" w:space="0" w:color="auto"/>
              <w:right w:val="single" w:sz="8" w:space="0" w:color="auto"/>
            </w:tcBorders>
            <w:shd w:val="clear" w:color="auto" w:fill="F2F2F2" w:themeFill="background1" w:themeFillShade="F2"/>
            <w:vAlign w:val="center"/>
            <w:hideMark/>
          </w:tcPr>
          <w:p w14:paraId="13486D26" w14:textId="77777777" w:rsidR="006901A4" w:rsidRPr="00F354E9" w:rsidRDefault="006901A4" w:rsidP="006901A4">
            <w:pPr>
              <w:spacing w:after="0" w:line="240" w:lineRule="auto"/>
              <w:jc w:val="right"/>
              <w:rPr>
                <w:rFonts w:ascii="Times New Roman" w:eastAsia="Times New Roman" w:hAnsi="Times New Roman" w:cs="Times New Roman"/>
                <w:b/>
                <w:bCs/>
                <w:i/>
                <w:iCs/>
                <w:noProof/>
                <w:color w:val="000000"/>
                <w:sz w:val="16"/>
                <w:szCs w:val="16"/>
              </w:rPr>
            </w:pPr>
            <w:r>
              <w:rPr>
                <w:rFonts w:ascii="Times New Roman" w:hAnsi="Times New Roman"/>
                <w:b/>
                <w:i/>
                <w:noProof/>
                <w:color w:val="000000"/>
                <w:sz w:val="16"/>
              </w:rPr>
              <w:t>dont part relevant de l'EURI</w:t>
            </w:r>
          </w:p>
        </w:tc>
        <w:tc>
          <w:tcPr>
            <w:tcW w:w="1380" w:type="dxa"/>
            <w:tcBorders>
              <w:top w:val="nil"/>
              <w:left w:val="nil"/>
              <w:bottom w:val="dotted" w:sz="4" w:space="0" w:color="auto"/>
              <w:right w:val="single" w:sz="8" w:space="0" w:color="auto"/>
            </w:tcBorders>
            <w:shd w:val="clear" w:color="000000" w:fill="F2F2F2"/>
            <w:vAlign w:val="center"/>
            <w:hideMark/>
          </w:tcPr>
          <w:p w14:paraId="5C8FFAE8" w14:textId="1EEEEB65"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2 112 723 000</w:t>
            </w:r>
          </w:p>
        </w:tc>
        <w:tc>
          <w:tcPr>
            <w:tcW w:w="1380" w:type="dxa"/>
            <w:tcBorders>
              <w:top w:val="nil"/>
              <w:left w:val="nil"/>
              <w:bottom w:val="dotted" w:sz="4" w:space="0" w:color="auto"/>
              <w:right w:val="single" w:sz="8" w:space="0" w:color="auto"/>
            </w:tcBorders>
            <w:shd w:val="clear" w:color="000000" w:fill="F2F2F2"/>
            <w:vAlign w:val="center"/>
            <w:hideMark/>
          </w:tcPr>
          <w:p w14:paraId="1A9987A6" w14:textId="718CDDF5"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2 112 723 000</w:t>
            </w:r>
          </w:p>
        </w:tc>
        <w:tc>
          <w:tcPr>
            <w:tcW w:w="1296" w:type="dxa"/>
            <w:tcBorders>
              <w:top w:val="nil"/>
              <w:left w:val="nil"/>
              <w:bottom w:val="dotted" w:sz="4" w:space="0" w:color="auto"/>
              <w:right w:val="single" w:sz="8" w:space="0" w:color="auto"/>
            </w:tcBorders>
            <w:shd w:val="clear" w:color="000000" w:fill="F2F2F2"/>
            <w:vAlign w:val="center"/>
            <w:hideMark/>
          </w:tcPr>
          <w:p w14:paraId="0EF5BE54" w14:textId="008D896A"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 </w:t>
            </w:r>
          </w:p>
        </w:tc>
        <w:tc>
          <w:tcPr>
            <w:tcW w:w="1240" w:type="dxa"/>
            <w:tcBorders>
              <w:top w:val="nil"/>
              <w:left w:val="nil"/>
              <w:bottom w:val="dotted" w:sz="4" w:space="0" w:color="auto"/>
              <w:right w:val="single" w:sz="8" w:space="0" w:color="auto"/>
            </w:tcBorders>
            <w:shd w:val="clear" w:color="000000" w:fill="F2F2F2"/>
            <w:vAlign w:val="center"/>
            <w:hideMark/>
          </w:tcPr>
          <w:p w14:paraId="049359E3" w14:textId="54438663"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 </w:t>
            </w:r>
          </w:p>
        </w:tc>
        <w:tc>
          <w:tcPr>
            <w:tcW w:w="1380" w:type="dxa"/>
            <w:tcBorders>
              <w:top w:val="nil"/>
              <w:left w:val="nil"/>
              <w:bottom w:val="dotted" w:sz="4" w:space="0" w:color="auto"/>
              <w:right w:val="single" w:sz="8" w:space="0" w:color="auto"/>
            </w:tcBorders>
            <w:shd w:val="clear" w:color="000000" w:fill="F2F2F2"/>
            <w:vAlign w:val="center"/>
            <w:hideMark/>
          </w:tcPr>
          <w:p w14:paraId="23EC03E0" w14:textId="077ACC43"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2 112 723 000</w:t>
            </w:r>
          </w:p>
        </w:tc>
        <w:tc>
          <w:tcPr>
            <w:tcW w:w="1380" w:type="dxa"/>
            <w:tcBorders>
              <w:top w:val="nil"/>
              <w:left w:val="nil"/>
              <w:bottom w:val="dotted" w:sz="4" w:space="0" w:color="auto"/>
              <w:right w:val="single" w:sz="8" w:space="0" w:color="auto"/>
            </w:tcBorders>
            <w:shd w:val="clear" w:color="000000" w:fill="F2F2F2"/>
            <w:vAlign w:val="center"/>
            <w:hideMark/>
          </w:tcPr>
          <w:p w14:paraId="305D7ADF" w14:textId="77CE1E99"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2 112 723 000</w:t>
            </w:r>
          </w:p>
        </w:tc>
      </w:tr>
      <w:tr w:rsidR="006901A4" w:rsidRPr="00791DF2" w14:paraId="2904E290" w14:textId="77777777" w:rsidTr="00F354E9">
        <w:trPr>
          <w:trHeight w:val="315"/>
        </w:trPr>
        <w:tc>
          <w:tcPr>
            <w:tcW w:w="416" w:type="dxa"/>
            <w:tcBorders>
              <w:top w:val="nil"/>
              <w:left w:val="single" w:sz="8" w:space="0" w:color="auto"/>
              <w:bottom w:val="single" w:sz="8" w:space="0" w:color="auto"/>
              <w:right w:val="nil"/>
            </w:tcBorders>
            <w:shd w:val="clear" w:color="auto" w:fill="F2F2F2" w:themeFill="background1" w:themeFillShade="F2"/>
            <w:vAlign w:val="center"/>
            <w:hideMark/>
          </w:tcPr>
          <w:p w14:paraId="79DA0ACD"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single" w:sz="8" w:space="0" w:color="auto"/>
              <w:right w:val="single" w:sz="8" w:space="0" w:color="auto"/>
            </w:tcBorders>
            <w:shd w:val="clear" w:color="auto" w:fill="F2F2F2" w:themeFill="background1" w:themeFillShade="F2"/>
            <w:vAlign w:val="center"/>
            <w:hideMark/>
          </w:tcPr>
          <w:p w14:paraId="3CDD4C70" w14:textId="77777777" w:rsidR="006901A4" w:rsidRPr="00F354E9" w:rsidRDefault="006901A4" w:rsidP="006901A4">
            <w:pPr>
              <w:spacing w:after="0" w:line="240" w:lineRule="auto"/>
              <w:jc w:val="right"/>
              <w:rPr>
                <w:rFonts w:ascii="Times New Roman" w:eastAsia="Times New Roman" w:hAnsi="Times New Roman" w:cs="Times New Roman"/>
                <w:b/>
                <w:bCs/>
                <w:i/>
                <w:iCs/>
                <w:noProof/>
                <w:color w:val="000000"/>
                <w:sz w:val="16"/>
                <w:szCs w:val="16"/>
              </w:rPr>
            </w:pPr>
            <w:r>
              <w:rPr>
                <w:rFonts w:ascii="Times New Roman" w:hAnsi="Times New Roman"/>
                <w:b/>
                <w:i/>
                <w:noProof/>
                <w:color w:val="000000"/>
                <w:sz w:val="16"/>
              </w:rPr>
              <w:t>Marge</w:t>
            </w:r>
          </w:p>
        </w:tc>
        <w:tc>
          <w:tcPr>
            <w:tcW w:w="1380" w:type="dxa"/>
            <w:tcBorders>
              <w:top w:val="nil"/>
              <w:left w:val="nil"/>
              <w:bottom w:val="single" w:sz="8" w:space="0" w:color="auto"/>
              <w:right w:val="single" w:sz="8" w:space="0" w:color="auto"/>
            </w:tcBorders>
            <w:shd w:val="clear" w:color="000000" w:fill="F2F2F2"/>
            <w:vAlign w:val="center"/>
            <w:hideMark/>
          </w:tcPr>
          <w:p w14:paraId="10CA492B" w14:textId="6D9B44B8"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715 705 116</w:t>
            </w:r>
          </w:p>
        </w:tc>
        <w:tc>
          <w:tcPr>
            <w:tcW w:w="1380" w:type="dxa"/>
            <w:tcBorders>
              <w:top w:val="nil"/>
              <w:left w:val="nil"/>
              <w:bottom w:val="single" w:sz="8" w:space="0" w:color="auto"/>
              <w:right w:val="single" w:sz="8" w:space="0" w:color="auto"/>
            </w:tcBorders>
            <w:shd w:val="clear" w:color="000000" w:fill="F2F2F2"/>
            <w:vAlign w:val="center"/>
            <w:hideMark/>
          </w:tcPr>
          <w:p w14:paraId="3B65C05A" w14:textId="633F227C"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20 434 134 446</w:t>
            </w:r>
          </w:p>
        </w:tc>
        <w:tc>
          <w:tcPr>
            <w:tcW w:w="1296" w:type="dxa"/>
            <w:tcBorders>
              <w:top w:val="nil"/>
              <w:left w:val="nil"/>
              <w:bottom w:val="single" w:sz="8" w:space="0" w:color="auto"/>
              <w:right w:val="single" w:sz="8" w:space="0" w:color="auto"/>
            </w:tcBorders>
            <w:shd w:val="clear" w:color="000000" w:fill="F2F2F2"/>
            <w:vAlign w:val="center"/>
            <w:hideMark/>
          </w:tcPr>
          <w:p w14:paraId="49910C58" w14:textId="7C92EFF6"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-440 000 000</w:t>
            </w:r>
          </w:p>
        </w:tc>
        <w:tc>
          <w:tcPr>
            <w:tcW w:w="1240" w:type="dxa"/>
            <w:tcBorders>
              <w:top w:val="nil"/>
              <w:left w:val="nil"/>
              <w:bottom w:val="single" w:sz="8" w:space="0" w:color="auto"/>
              <w:right w:val="single" w:sz="8" w:space="0" w:color="auto"/>
            </w:tcBorders>
            <w:shd w:val="clear" w:color="000000" w:fill="F2F2F2"/>
            <w:vAlign w:val="center"/>
            <w:hideMark/>
          </w:tcPr>
          <w:p w14:paraId="5C936907" w14:textId="354D0FAE"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-8 003 165 000</w:t>
            </w:r>
          </w:p>
        </w:tc>
        <w:tc>
          <w:tcPr>
            <w:tcW w:w="1380" w:type="dxa"/>
            <w:tcBorders>
              <w:top w:val="nil"/>
              <w:left w:val="nil"/>
              <w:bottom w:val="single" w:sz="8" w:space="0" w:color="auto"/>
              <w:right w:val="single" w:sz="8" w:space="0" w:color="auto"/>
            </w:tcBorders>
            <w:shd w:val="clear" w:color="000000" w:fill="F2F2F2"/>
            <w:vAlign w:val="center"/>
            <w:hideMark/>
          </w:tcPr>
          <w:p w14:paraId="1E312250" w14:textId="662265FE" w:rsidR="006901A4" w:rsidRPr="00C51D3F" w:rsidRDefault="001F7F36"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275 705 116</w:t>
            </w:r>
          </w:p>
        </w:tc>
        <w:tc>
          <w:tcPr>
            <w:tcW w:w="1380" w:type="dxa"/>
            <w:tcBorders>
              <w:top w:val="nil"/>
              <w:left w:val="nil"/>
              <w:bottom w:val="single" w:sz="8" w:space="0" w:color="auto"/>
              <w:right w:val="single" w:sz="8" w:space="0" w:color="auto"/>
            </w:tcBorders>
            <w:shd w:val="clear" w:color="000000" w:fill="F2F2F2"/>
            <w:vAlign w:val="center"/>
            <w:hideMark/>
          </w:tcPr>
          <w:p w14:paraId="5DFE18B3" w14:textId="1961A19A"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12 430 969 446</w:t>
            </w:r>
          </w:p>
        </w:tc>
      </w:tr>
      <w:tr w:rsidR="006901A4" w:rsidRPr="00791DF2" w14:paraId="5112AC7C" w14:textId="77777777" w:rsidTr="00F354E9">
        <w:trPr>
          <w:trHeight w:val="435"/>
        </w:trPr>
        <w:tc>
          <w:tcPr>
            <w:tcW w:w="416" w:type="dxa"/>
            <w:tcBorders>
              <w:top w:val="nil"/>
              <w:left w:val="single" w:sz="8" w:space="0" w:color="auto"/>
              <w:bottom w:val="single" w:sz="8" w:space="0" w:color="auto"/>
              <w:right w:val="nil"/>
            </w:tcBorders>
            <w:shd w:val="clear" w:color="auto" w:fill="D9D9D9" w:themeFill="background1" w:themeFillShade="D9"/>
            <w:vAlign w:val="center"/>
            <w:hideMark/>
          </w:tcPr>
          <w:p w14:paraId="3B7476C5"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w:t>
            </w:r>
          </w:p>
        </w:tc>
        <w:tc>
          <w:tcPr>
            <w:tcW w:w="2140" w:type="dxa"/>
            <w:tcBorders>
              <w:top w:val="nil"/>
              <w:left w:val="nil"/>
              <w:bottom w:val="single" w:sz="8" w:space="0" w:color="auto"/>
              <w:right w:val="single" w:sz="8" w:space="0" w:color="auto"/>
            </w:tcBorders>
            <w:shd w:val="clear" w:color="auto" w:fill="D9D9D9" w:themeFill="background1" w:themeFillShade="D9"/>
            <w:vAlign w:val="center"/>
            <w:hideMark/>
          </w:tcPr>
          <w:p w14:paraId="7DFD2FD7" w14:textId="77777777" w:rsidR="006901A4" w:rsidRPr="00F354E9" w:rsidRDefault="006901A4" w:rsidP="006901A4">
            <w:pPr>
              <w:spacing w:after="0" w:line="240" w:lineRule="auto"/>
              <w:jc w:val="right"/>
              <w:rPr>
                <w:rFonts w:ascii="Times New Roman" w:eastAsia="Times New Roman" w:hAnsi="Times New Roman" w:cs="Times New Roman"/>
                <w:b/>
                <w:bCs/>
                <w:noProof/>
                <w:color w:val="000000"/>
                <w:sz w:val="16"/>
                <w:szCs w:val="16"/>
              </w:rPr>
            </w:pPr>
            <w:r>
              <w:rPr>
                <w:rFonts w:ascii="Times New Roman" w:hAnsi="Times New Roman"/>
                <w:b/>
                <w:noProof/>
                <w:color w:val="000000"/>
                <w:sz w:val="16"/>
              </w:rPr>
              <w:t>Instruments spéciaux thématiques</w:t>
            </w:r>
          </w:p>
        </w:tc>
        <w:tc>
          <w:tcPr>
            <w:tcW w:w="1380" w:type="dxa"/>
            <w:tcBorders>
              <w:top w:val="nil"/>
              <w:left w:val="nil"/>
              <w:bottom w:val="single" w:sz="8" w:space="0" w:color="auto"/>
              <w:right w:val="single" w:sz="8" w:space="0" w:color="auto"/>
            </w:tcBorders>
            <w:shd w:val="clear" w:color="000000" w:fill="D9D9D9"/>
            <w:vAlign w:val="center"/>
            <w:hideMark/>
          </w:tcPr>
          <w:p w14:paraId="752147DC" w14:textId="11ECC77F"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5 715 921 020</w:t>
            </w:r>
          </w:p>
        </w:tc>
        <w:tc>
          <w:tcPr>
            <w:tcW w:w="1380" w:type="dxa"/>
            <w:tcBorders>
              <w:top w:val="nil"/>
              <w:left w:val="nil"/>
              <w:bottom w:val="single" w:sz="8" w:space="0" w:color="auto"/>
              <w:right w:val="single" w:sz="8" w:space="0" w:color="auto"/>
            </w:tcBorders>
            <w:shd w:val="clear" w:color="000000" w:fill="D9D9D9"/>
            <w:vAlign w:val="center"/>
            <w:hideMark/>
          </w:tcPr>
          <w:p w14:paraId="18CEAD66" w14:textId="2188C5AC"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5 022 549 248</w:t>
            </w:r>
          </w:p>
        </w:tc>
        <w:tc>
          <w:tcPr>
            <w:tcW w:w="1296" w:type="dxa"/>
            <w:tcBorders>
              <w:top w:val="nil"/>
              <w:left w:val="nil"/>
              <w:bottom w:val="single" w:sz="8" w:space="0" w:color="auto"/>
              <w:right w:val="single" w:sz="8" w:space="0" w:color="auto"/>
            </w:tcBorders>
            <w:shd w:val="clear" w:color="000000" w:fill="D9D9D9"/>
            <w:vAlign w:val="center"/>
            <w:hideMark/>
          </w:tcPr>
          <w:p w14:paraId="4BDED9E0" w14:textId="2BA3CC7A"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w:t>
            </w:r>
          </w:p>
        </w:tc>
        <w:tc>
          <w:tcPr>
            <w:tcW w:w="1240" w:type="dxa"/>
            <w:tcBorders>
              <w:top w:val="nil"/>
              <w:left w:val="nil"/>
              <w:bottom w:val="single" w:sz="8" w:space="0" w:color="auto"/>
              <w:right w:val="single" w:sz="8" w:space="0" w:color="auto"/>
            </w:tcBorders>
            <w:shd w:val="clear" w:color="000000" w:fill="D9D9D9"/>
            <w:vAlign w:val="center"/>
            <w:hideMark/>
          </w:tcPr>
          <w:p w14:paraId="3F594C94" w14:textId="78CB0664"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w:t>
            </w:r>
          </w:p>
        </w:tc>
        <w:tc>
          <w:tcPr>
            <w:tcW w:w="1380" w:type="dxa"/>
            <w:tcBorders>
              <w:top w:val="nil"/>
              <w:left w:val="nil"/>
              <w:bottom w:val="single" w:sz="8" w:space="0" w:color="auto"/>
              <w:right w:val="single" w:sz="8" w:space="0" w:color="auto"/>
            </w:tcBorders>
            <w:shd w:val="clear" w:color="000000" w:fill="D9D9D9"/>
            <w:vAlign w:val="center"/>
            <w:hideMark/>
          </w:tcPr>
          <w:p w14:paraId="5FDB9A50" w14:textId="0873E802"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5 715 921 020</w:t>
            </w:r>
          </w:p>
        </w:tc>
        <w:tc>
          <w:tcPr>
            <w:tcW w:w="1380" w:type="dxa"/>
            <w:tcBorders>
              <w:top w:val="nil"/>
              <w:left w:val="nil"/>
              <w:bottom w:val="single" w:sz="8" w:space="0" w:color="auto"/>
              <w:right w:val="single" w:sz="8" w:space="0" w:color="auto"/>
            </w:tcBorders>
            <w:shd w:val="clear" w:color="000000" w:fill="D9D9D9"/>
            <w:vAlign w:val="center"/>
            <w:hideMark/>
          </w:tcPr>
          <w:p w14:paraId="06BBD305" w14:textId="49A05CB2"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5 022 549 248</w:t>
            </w:r>
          </w:p>
        </w:tc>
      </w:tr>
      <w:tr w:rsidR="006901A4" w:rsidRPr="00F10ACE" w14:paraId="5F6F3391" w14:textId="77777777" w:rsidTr="00F354E9">
        <w:trPr>
          <w:trHeight w:val="315"/>
        </w:trPr>
        <w:tc>
          <w:tcPr>
            <w:tcW w:w="2556" w:type="dxa"/>
            <w:gridSpan w:val="2"/>
            <w:tcBorders>
              <w:top w:val="single" w:sz="8" w:space="0" w:color="auto"/>
              <w:left w:val="single" w:sz="8" w:space="0" w:color="auto"/>
              <w:bottom w:val="single" w:sz="8" w:space="0" w:color="auto"/>
              <w:right w:val="single" w:sz="8" w:space="0" w:color="000000" w:themeColor="text1"/>
            </w:tcBorders>
            <w:shd w:val="clear" w:color="auto" w:fill="BFBFBF" w:themeFill="background1" w:themeFillShade="BF"/>
            <w:vAlign w:val="center"/>
            <w:hideMark/>
          </w:tcPr>
          <w:p w14:paraId="546FEB7C" w14:textId="77777777" w:rsidR="006901A4" w:rsidRPr="00F354E9" w:rsidRDefault="006901A4" w:rsidP="006901A4">
            <w:pPr>
              <w:spacing w:after="0" w:line="240" w:lineRule="auto"/>
              <w:jc w:val="right"/>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Total des crédits </w:t>
            </w:r>
          </w:p>
        </w:tc>
        <w:tc>
          <w:tcPr>
            <w:tcW w:w="1380" w:type="dxa"/>
            <w:tcBorders>
              <w:top w:val="nil"/>
              <w:left w:val="nil"/>
              <w:bottom w:val="single" w:sz="8" w:space="0" w:color="auto"/>
              <w:right w:val="single" w:sz="8" w:space="0" w:color="auto"/>
            </w:tcBorders>
            <w:shd w:val="clear" w:color="auto" w:fill="BFBFBF" w:themeFill="background1" w:themeFillShade="BF"/>
            <w:vAlign w:val="center"/>
            <w:hideMark/>
          </w:tcPr>
          <w:p w14:paraId="64A9D71A" w14:textId="4D436BEF"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192 768 071 555</w:t>
            </w:r>
          </w:p>
        </w:tc>
        <w:tc>
          <w:tcPr>
            <w:tcW w:w="1380" w:type="dxa"/>
            <w:tcBorders>
              <w:top w:val="nil"/>
              <w:left w:val="nil"/>
              <w:bottom w:val="single" w:sz="8" w:space="0" w:color="auto"/>
              <w:right w:val="single" w:sz="8" w:space="0" w:color="auto"/>
            </w:tcBorders>
            <w:shd w:val="clear" w:color="000000" w:fill="BFBFBF"/>
            <w:vAlign w:val="center"/>
          </w:tcPr>
          <w:p w14:paraId="62ADDF3A" w14:textId="3F2C10D9"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190 091 555 667</w:t>
            </w:r>
          </w:p>
        </w:tc>
        <w:tc>
          <w:tcPr>
            <w:tcW w:w="1296" w:type="dxa"/>
            <w:tcBorders>
              <w:top w:val="nil"/>
              <w:left w:val="nil"/>
              <w:bottom w:val="single" w:sz="8" w:space="0" w:color="auto"/>
              <w:right w:val="single" w:sz="8" w:space="0" w:color="auto"/>
            </w:tcBorders>
            <w:shd w:val="clear" w:color="000000" w:fill="BFBFBF"/>
            <w:vAlign w:val="center"/>
          </w:tcPr>
          <w:p w14:paraId="4359ABA8" w14:textId="68550D17" w:rsidR="006901A4" w:rsidRPr="00C51D3F" w:rsidRDefault="0094621D"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444 165 000</w:t>
            </w:r>
          </w:p>
        </w:tc>
        <w:tc>
          <w:tcPr>
            <w:tcW w:w="1240" w:type="dxa"/>
            <w:tcBorders>
              <w:top w:val="nil"/>
              <w:left w:val="nil"/>
              <w:bottom w:val="single" w:sz="8" w:space="0" w:color="auto"/>
              <w:right w:val="single" w:sz="8" w:space="0" w:color="auto"/>
            </w:tcBorders>
            <w:shd w:val="clear" w:color="000000" w:fill="BFBFBF"/>
            <w:vAlign w:val="center"/>
          </w:tcPr>
          <w:p w14:paraId="621B21F9" w14:textId="0EA4B499"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8 004 165 000</w:t>
            </w:r>
          </w:p>
        </w:tc>
        <w:tc>
          <w:tcPr>
            <w:tcW w:w="1380" w:type="dxa"/>
            <w:tcBorders>
              <w:top w:val="nil"/>
              <w:left w:val="nil"/>
              <w:bottom w:val="single" w:sz="8" w:space="0" w:color="auto"/>
              <w:right w:val="single" w:sz="8" w:space="0" w:color="auto"/>
            </w:tcBorders>
            <w:shd w:val="clear" w:color="000000" w:fill="BFBFBF"/>
            <w:vAlign w:val="center"/>
          </w:tcPr>
          <w:p w14:paraId="45F33469" w14:textId="794BA0BA"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193 212 236 555</w:t>
            </w:r>
          </w:p>
        </w:tc>
        <w:tc>
          <w:tcPr>
            <w:tcW w:w="1380" w:type="dxa"/>
            <w:tcBorders>
              <w:top w:val="nil"/>
              <w:left w:val="nil"/>
              <w:bottom w:val="single" w:sz="8" w:space="0" w:color="auto"/>
              <w:right w:val="single" w:sz="8" w:space="0" w:color="auto"/>
            </w:tcBorders>
            <w:shd w:val="clear" w:color="000000" w:fill="BFBFBF"/>
            <w:vAlign w:val="center"/>
          </w:tcPr>
          <w:p w14:paraId="1E2E69A7" w14:textId="5E9393B4" w:rsidR="006901A4" w:rsidRPr="00C51D3F" w:rsidRDefault="006901A4" w:rsidP="006901A4">
            <w:pPr>
              <w:spacing w:after="0" w:line="240" w:lineRule="auto"/>
              <w:jc w:val="right"/>
              <w:rPr>
                <w:rFonts w:ascii="Times New Roman" w:eastAsia="Times New Roman" w:hAnsi="Times New Roman" w:cs="Times New Roman"/>
                <w:b/>
                <w:bCs/>
                <w:noProof/>
                <w:sz w:val="16"/>
                <w:szCs w:val="16"/>
              </w:rPr>
            </w:pPr>
            <w:r>
              <w:rPr>
                <w:rFonts w:ascii="Times New Roman" w:hAnsi="Times New Roman"/>
                <w:b/>
                <w:noProof/>
                <w:sz w:val="16"/>
              </w:rPr>
              <w:t>198 095 720 667</w:t>
            </w:r>
          </w:p>
        </w:tc>
      </w:tr>
    </w:tbl>
    <w:p w14:paraId="7838FC58" w14:textId="61EBE879" w:rsidR="000852D2" w:rsidRPr="006A6461" w:rsidRDefault="000852D2" w:rsidP="00311C9F">
      <w:pPr>
        <w:keepNext/>
        <w:tabs>
          <w:tab w:val="left" w:pos="850"/>
        </w:tabs>
        <w:spacing w:before="240" w:after="120"/>
        <w:ind w:left="851" w:hanging="851"/>
        <w:jc w:val="both"/>
        <w:outlineLvl w:val="0"/>
        <w:rPr>
          <w:rFonts w:ascii="Times New Roman" w:hAnsi="Times New Roman" w:cs="Times New Roman"/>
          <w:b/>
          <w:smallCaps/>
          <w:noProof/>
          <w:sz w:val="24"/>
          <w:szCs w:val="24"/>
          <w:lang w:eastAsia="de-DE"/>
        </w:rPr>
      </w:pPr>
    </w:p>
    <w:p w14:paraId="604E33A0" w14:textId="77777777" w:rsidR="000852D2" w:rsidRPr="006A6461" w:rsidRDefault="000852D2" w:rsidP="00311C9F">
      <w:pPr>
        <w:keepNext/>
        <w:tabs>
          <w:tab w:val="left" w:pos="850"/>
        </w:tabs>
        <w:spacing w:before="240" w:after="120"/>
        <w:ind w:left="851" w:hanging="851"/>
        <w:jc w:val="both"/>
        <w:outlineLvl w:val="0"/>
        <w:rPr>
          <w:rFonts w:ascii="Times New Roman" w:hAnsi="Times New Roman" w:cs="Times New Roman"/>
          <w:b/>
          <w:smallCaps/>
          <w:noProof/>
          <w:sz w:val="24"/>
          <w:szCs w:val="24"/>
          <w:lang w:eastAsia="de-DE"/>
        </w:rPr>
      </w:pPr>
    </w:p>
    <w:sectPr w:rsidR="000852D2" w:rsidRPr="006A6461" w:rsidSect="008234F4">
      <w:headerReference w:type="even" r:id="rId25"/>
      <w:headerReference w:type="default" r:id="rId26"/>
      <w:footerReference w:type="even" r:id="rId27"/>
      <w:footerReference w:type="default" r:id="rId28"/>
      <w:headerReference w:type="first" r:id="rId29"/>
      <w:footerReference w:type="first" r:id="rId30"/>
      <w:pgSz w:w="11907" w:h="16839"/>
      <w:pgMar w:top="720"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C2C2A" w14:textId="77777777" w:rsidR="00613583" w:rsidRDefault="00613583">
      <w:pPr>
        <w:spacing w:after="0" w:line="240" w:lineRule="auto"/>
      </w:pPr>
      <w:r>
        <w:separator/>
      </w:r>
    </w:p>
  </w:endnote>
  <w:endnote w:type="continuationSeparator" w:id="0">
    <w:p w14:paraId="41683FFD" w14:textId="77777777" w:rsidR="00613583" w:rsidRDefault="00613583">
      <w:pPr>
        <w:spacing w:after="0" w:line="240" w:lineRule="auto"/>
      </w:pPr>
      <w:r>
        <w:continuationSeparator/>
      </w:r>
    </w:p>
  </w:endnote>
  <w:endnote w:type="continuationNotice" w:id="1">
    <w:p w14:paraId="58AF3C7F" w14:textId="77777777" w:rsidR="00613583" w:rsidRDefault="006135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39E15" w14:textId="06EB605B" w:rsidR="00615A0C" w:rsidRPr="00615A0C" w:rsidRDefault="00615A0C" w:rsidP="00615A0C">
    <w:pPr>
      <w:pStyle w:val="FooterCoverPage"/>
      <w:rPr>
        <w:rFonts w:ascii="Arial" w:hAnsi="Arial" w:cs="Arial"/>
        <w:b/>
        <w:sz w:val="48"/>
      </w:rPr>
    </w:pPr>
    <w:r w:rsidRPr="00615A0C">
      <w:rPr>
        <w:rFonts w:ascii="Arial" w:hAnsi="Arial" w:cs="Arial"/>
        <w:b/>
        <w:sz w:val="48"/>
      </w:rPr>
      <w:t>FR</w:t>
    </w:r>
    <w:r w:rsidRPr="00615A0C">
      <w:rPr>
        <w:rFonts w:ascii="Arial" w:hAnsi="Arial" w:cs="Arial"/>
        <w:b/>
        <w:sz w:val="48"/>
      </w:rPr>
      <w:tab/>
    </w:r>
    <w:r w:rsidRPr="00615A0C">
      <w:rPr>
        <w:rFonts w:ascii="Arial" w:hAnsi="Arial" w:cs="Arial"/>
        <w:b/>
        <w:sz w:val="48"/>
      </w:rPr>
      <w:tab/>
    </w:r>
    <w:r w:rsidRPr="00615A0C">
      <w:tab/>
    </w:r>
    <w:r w:rsidRPr="00615A0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18047" w14:textId="2B2C2252" w:rsidR="00615A0C" w:rsidRPr="00615A0C" w:rsidRDefault="00615A0C" w:rsidP="00615A0C">
    <w:pPr>
      <w:pStyle w:val="FooterCoverPage"/>
      <w:rPr>
        <w:rFonts w:ascii="Arial" w:hAnsi="Arial" w:cs="Arial"/>
        <w:b/>
        <w:sz w:val="48"/>
      </w:rPr>
    </w:pPr>
    <w:r w:rsidRPr="00615A0C">
      <w:rPr>
        <w:rFonts w:ascii="Arial" w:hAnsi="Arial" w:cs="Arial"/>
        <w:b/>
        <w:sz w:val="48"/>
      </w:rPr>
      <w:t>FR</w:t>
    </w:r>
    <w:r w:rsidRPr="00615A0C">
      <w:rPr>
        <w:rFonts w:ascii="Arial" w:hAnsi="Arial" w:cs="Arial"/>
        <w:b/>
        <w:sz w:val="48"/>
      </w:rPr>
      <w:tab/>
    </w:r>
    <w:r w:rsidRPr="00615A0C">
      <w:rPr>
        <w:rFonts w:ascii="Arial" w:hAnsi="Arial" w:cs="Arial"/>
        <w:b/>
        <w:sz w:val="48"/>
      </w:rPr>
      <w:tab/>
    </w:r>
    <w:r w:rsidRPr="00615A0C">
      <w:tab/>
    </w:r>
    <w:r w:rsidRPr="00615A0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348B5" w14:textId="77777777" w:rsidR="00615A0C" w:rsidRPr="00615A0C" w:rsidRDefault="00615A0C" w:rsidP="00615A0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E0CA3" w14:textId="77777777" w:rsidR="0038470B" w:rsidRDefault="003847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938B5" w14:textId="1EB1E17A" w:rsidR="0038470B" w:rsidRDefault="0038470B">
    <w:pPr>
      <w:pStyle w:val="Footer"/>
      <w:ind w:left="-851" w:right="-851"/>
      <w:rPr>
        <w:rFonts w:ascii="Arial" w:hAnsi="Arial" w:cs="Arial"/>
        <w:b/>
        <w:sz w:val="48"/>
      </w:rPr>
    </w:pPr>
    <w:r>
      <w:rPr>
        <w:rFonts w:ascii="Arial" w:hAnsi="Arial"/>
        <w:b/>
        <w:sz w:val="48"/>
      </w:rPr>
      <w:tab/>
    </w:r>
    <w:r>
      <w:fldChar w:fldCharType="begin"/>
    </w:r>
    <w:r>
      <w:instrText xml:space="preserve"> PAGE  \* MERGEFORMAT </w:instrText>
    </w:r>
    <w:r>
      <w:fldChar w:fldCharType="separate"/>
    </w:r>
    <w:r w:rsidR="00615A0C">
      <w:rPr>
        <w:noProof/>
      </w:rPr>
      <w:t>1</w:t>
    </w:r>
    <w:r>
      <w:fldChar w:fldCharType="end"/>
    </w: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82496" w14:textId="77777777" w:rsidR="0038470B" w:rsidRDefault="0038470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4BA79" w14:textId="77777777" w:rsidR="0038470B" w:rsidRDefault="0038470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10AA5" w14:textId="252C7A88" w:rsidR="000F1862" w:rsidRDefault="000F1862" w:rsidP="000F1862">
    <w:pPr>
      <w:pStyle w:val="Footer"/>
      <w:ind w:left="-851" w:right="-851"/>
      <w:rPr>
        <w:rFonts w:ascii="Arial" w:hAnsi="Arial" w:cs="Arial"/>
        <w:b/>
        <w:sz w:val="48"/>
      </w:rPr>
    </w:pPr>
    <w:r>
      <w:rPr>
        <w:rFonts w:ascii="Arial" w:hAnsi="Arial"/>
        <w:b/>
        <w:sz w:val="48"/>
      </w:rPr>
      <w:tab/>
    </w:r>
    <w:r>
      <w:fldChar w:fldCharType="begin"/>
    </w:r>
    <w:r>
      <w:instrText xml:space="preserve"> PAGE  \* MERGEFORMAT </w:instrText>
    </w:r>
    <w:r>
      <w:fldChar w:fldCharType="separate"/>
    </w:r>
    <w:r w:rsidR="00615A0C">
      <w:rPr>
        <w:noProof/>
      </w:rPr>
      <w:t>5</w:t>
    </w:r>
    <w:r>
      <w:fldChar w:fldCharType="end"/>
    </w:r>
    <w:r>
      <w:tab/>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14D3A" w14:textId="77777777" w:rsidR="0038470B" w:rsidRDefault="003847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7C857A" w14:textId="77777777" w:rsidR="00613583" w:rsidRDefault="00613583">
      <w:pPr>
        <w:spacing w:after="0" w:line="240" w:lineRule="auto"/>
      </w:pPr>
      <w:r>
        <w:separator/>
      </w:r>
    </w:p>
  </w:footnote>
  <w:footnote w:type="continuationSeparator" w:id="0">
    <w:p w14:paraId="26AF53C1" w14:textId="77777777" w:rsidR="00613583" w:rsidRDefault="00613583">
      <w:pPr>
        <w:spacing w:after="0" w:line="240" w:lineRule="auto"/>
      </w:pPr>
      <w:r>
        <w:continuationSeparator/>
      </w:r>
    </w:p>
  </w:footnote>
  <w:footnote w:type="continuationNotice" w:id="1">
    <w:p w14:paraId="69883E71" w14:textId="77777777" w:rsidR="00613583" w:rsidRDefault="00613583">
      <w:pPr>
        <w:spacing w:after="0" w:line="240" w:lineRule="auto"/>
      </w:pPr>
    </w:p>
  </w:footnote>
  <w:footnote w:id="2">
    <w:p w14:paraId="25E9E437" w14:textId="35A5AD34" w:rsidR="00D1196C" w:rsidRPr="004C0516" w:rsidRDefault="00D1196C" w:rsidP="00D1196C">
      <w:pPr>
        <w:pStyle w:val="FootnoteText"/>
        <w:rPr>
          <w:lang w:val="en-IE"/>
        </w:rPr>
      </w:pPr>
      <w:r>
        <w:rPr>
          <w:rStyle w:val="FootnoteReference"/>
        </w:rPr>
        <w:footnoteRef/>
      </w:r>
      <w:r>
        <w:t xml:space="preserve"> </w:t>
      </w:r>
      <w:r>
        <w:tab/>
        <w:t xml:space="preserve">Décision (UE, Euratom) 2020/2053 du Conseil du 14 décembre 2020 relative au système des ressources propres de l’Union européenne et abrogeant la décision 2014/335/UE, Euratom (JO L 424 du 15.12.2020, p. 1. </w:t>
      </w:r>
      <w:r w:rsidRPr="004C0516">
        <w:rPr>
          <w:lang w:val="en-IE"/>
        </w:rPr>
        <w:t>ELI: http://data.europa.eu/eli/dec/2020/2053/oj).</w:t>
      </w:r>
    </w:p>
  </w:footnote>
  <w:footnote w:id="3">
    <w:p w14:paraId="0A79F78F" w14:textId="77777777" w:rsidR="0012781C" w:rsidRPr="004C0516" w:rsidRDefault="0012781C" w:rsidP="0012781C">
      <w:pPr>
        <w:pStyle w:val="FootnoteText"/>
        <w:rPr>
          <w:lang w:val="en-IE"/>
        </w:rPr>
      </w:pPr>
      <w:r>
        <w:rPr>
          <w:rStyle w:val="FootnoteReference"/>
        </w:rPr>
        <w:footnoteRef/>
      </w:r>
      <w:r w:rsidRPr="004C0516">
        <w:rPr>
          <w:lang w:val="en-IE"/>
        </w:rPr>
        <w:t xml:space="preserve"> </w:t>
      </w:r>
      <w:r w:rsidRPr="004C0516">
        <w:rPr>
          <w:lang w:val="en-IE"/>
        </w:rPr>
        <w:tab/>
        <w:t>JO L, 2024/2509, 26.9.2024, ELI: http://data.europa.eu/eli/reg/2024/2509/oj.</w:t>
      </w:r>
    </w:p>
  </w:footnote>
  <w:footnote w:id="4">
    <w:p w14:paraId="041AE4BF" w14:textId="7E30EAB7" w:rsidR="0012781C" w:rsidRPr="004C0516" w:rsidRDefault="0012781C" w:rsidP="0012781C">
      <w:pPr>
        <w:pStyle w:val="FootnoteText"/>
        <w:rPr>
          <w:lang w:val="en-IE"/>
        </w:rPr>
      </w:pPr>
      <w:r>
        <w:rPr>
          <w:rStyle w:val="FootnoteReference"/>
        </w:rPr>
        <w:footnoteRef/>
      </w:r>
      <w:r w:rsidRPr="004C0516">
        <w:rPr>
          <w:lang w:val="en-IE"/>
        </w:rPr>
        <w:t xml:space="preserve"> </w:t>
      </w:r>
      <w:r w:rsidRPr="004C0516">
        <w:rPr>
          <w:lang w:val="en-IE"/>
        </w:rPr>
        <w:tab/>
        <w:t>JO L, 2026/72, 26.2.2026, ELI: http://data.europa.eu/eli/reg/2026/72/oj.</w:t>
      </w:r>
    </w:p>
  </w:footnote>
  <w:footnote w:id="5">
    <w:p w14:paraId="0B7AD997" w14:textId="107CC58D" w:rsidR="00F94105" w:rsidRPr="00F34834" w:rsidRDefault="00F94105">
      <w:pPr>
        <w:pStyle w:val="FootnoteText"/>
      </w:pPr>
      <w:r>
        <w:rPr>
          <w:rStyle w:val="FootnoteReference"/>
        </w:rPr>
        <w:footnoteRef/>
      </w:r>
      <w:r>
        <w:t xml:space="preserve"> </w:t>
      </w:r>
      <w:r>
        <w:tab/>
        <w:t>COM(2026) 450 du 10.4.2026.</w:t>
      </w:r>
    </w:p>
  </w:footnote>
  <w:footnote w:id="6">
    <w:p w14:paraId="2A2B6988" w14:textId="3572E2D8" w:rsidR="00A737A2" w:rsidRPr="00A737A2" w:rsidRDefault="00A737A2">
      <w:pPr>
        <w:pStyle w:val="FootnoteText"/>
      </w:pPr>
      <w:r>
        <w:rPr>
          <w:rStyle w:val="FootnoteReference"/>
        </w:rPr>
        <w:footnoteRef/>
      </w:r>
      <w:r>
        <w:t xml:space="preserve"> </w:t>
      </w:r>
      <w:r>
        <w:tab/>
        <w:t>Règlement (UE, Euratom) 2024/2509 du Parlement européen et du Conseil du 23 septembre 2024 relatif aux règles financières applicables au budget général de l’Union (refonte) (JO L, 2024/2509, 26.9.2024, ELI: http://data.europa.eu/eli/reg/2024/2509/oj).</w:t>
      </w:r>
    </w:p>
  </w:footnote>
  <w:footnote w:id="7">
    <w:p w14:paraId="4DAC6029" w14:textId="7FE245C3" w:rsidR="00BE3C8C" w:rsidRPr="004C0516" w:rsidRDefault="00BE3C8C">
      <w:pPr>
        <w:pStyle w:val="FootnoteText"/>
        <w:rPr>
          <w:lang w:val="en-IE"/>
        </w:rPr>
      </w:pPr>
      <w:r>
        <w:rPr>
          <w:rStyle w:val="FootnoteReference"/>
        </w:rPr>
        <w:footnoteRef/>
      </w:r>
      <w:r w:rsidRPr="004C0516">
        <w:rPr>
          <w:lang w:val="en-IE"/>
        </w:rPr>
        <w:t xml:space="preserve"> </w:t>
      </w:r>
      <w:r w:rsidRPr="004C0516">
        <w:rPr>
          <w:lang w:val="en-IE"/>
        </w:rPr>
        <w:tab/>
        <w:t>Commission européenne (2026), European Economic Forecast, Spring 2026, European Economy, Institutional Paper 341.</w:t>
      </w:r>
    </w:p>
  </w:footnote>
  <w:footnote w:id="8">
    <w:p w14:paraId="75492EC3" w14:textId="27DF3244" w:rsidR="009361C0" w:rsidRPr="009361C0" w:rsidRDefault="009361C0">
      <w:pPr>
        <w:pStyle w:val="FootnoteText"/>
      </w:pPr>
      <w:r>
        <w:rPr>
          <w:rStyle w:val="FootnoteReference"/>
        </w:rPr>
        <w:footnoteRef/>
      </w:r>
      <w:r>
        <w:t xml:space="preserve"> </w:t>
      </w:r>
      <w:r>
        <w:tab/>
        <w:t>L’article 2, paragraphe 1, point b), de la décision RP de 2020 dispose que, pour chaque État membre, l’assiette TVA n’excède pas 50</w:t>
      </w:r>
      <w:bookmarkStart w:id="26" w:name="_Hlk138066661"/>
      <w:bookmarkEnd w:id="26"/>
      <w:r>
        <w:t> % du RNB. Dans le PBR nº 2/2026, la Bulgarie, l’Estonie, la Croatie, Chypre, le Luxembourg, Malte et le Portugal verront leur assiette TVA écrêtée à 50 % du RNB.</w:t>
      </w:r>
    </w:p>
  </w:footnote>
  <w:footnote w:id="9">
    <w:p w14:paraId="32038A3C" w14:textId="3205A375" w:rsidR="009361C0" w:rsidRPr="009361C0" w:rsidRDefault="009361C0">
      <w:pPr>
        <w:pStyle w:val="FootnoteText"/>
      </w:pPr>
      <w:r>
        <w:rPr>
          <w:rStyle w:val="FootnoteReference"/>
        </w:rPr>
        <w:footnoteRef/>
      </w:r>
      <w:r>
        <w:t xml:space="preserve"> </w:t>
      </w:r>
      <w:r>
        <w:tab/>
        <w:t>Règlement (UE, Euratom) nº 609/2014 du Conseil du 26 mai 2014 relatif aux modalités et à la procédure de mise à disposition des ressources propres traditionnelles, de la ressource propre fondée sur la TVA et de la ressource propre fondée sur le RNB et aux mesures visant à faire face aux besoins de trésorerie (JO L 168 du 7.6.2014, p. 39, ELI: http://data.europa.eu/eli/reg/2014/609/oj), modifié en dernier lieu par le règlement (UE, Euratom) 2022/615 du Conseil du 5 avril 2022 (JO L 115 du 13.4.2022, p. 51, ELI: http://data.europa.eu/eli/reg/2022/615/oj).</w:t>
      </w:r>
    </w:p>
  </w:footnote>
  <w:footnote w:id="10">
    <w:p w14:paraId="5A7C2CD9" w14:textId="3EEE6F28" w:rsidR="00D58AC7" w:rsidRDefault="00D58AC7" w:rsidP="00D58AC7">
      <w:pPr>
        <w:pStyle w:val="FootnoteText"/>
      </w:pPr>
      <w:r>
        <w:rPr>
          <w:rStyle w:val="FootnoteReference"/>
        </w:rPr>
        <w:footnoteRef/>
      </w:r>
      <w:r>
        <w:t xml:space="preserve"> </w:t>
      </w:r>
      <w:r>
        <w:tab/>
        <w:t>Les montants indiqués en grisé découlent des assiettes TVA écrêtées, comme expliqué plus haut à la note de bas de page nº 8.</w:t>
      </w:r>
    </w:p>
  </w:footnote>
  <w:footnote w:id="11">
    <w:p w14:paraId="1ED984FA" w14:textId="7510D2A1" w:rsidR="00D42D6E" w:rsidRDefault="00D42D6E" w:rsidP="00D42D6E">
      <w:pPr>
        <w:pStyle w:val="FootnoteText"/>
        <w:ind w:left="709" w:hanging="709"/>
      </w:pPr>
      <w:r>
        <w:rPr>
          <w:rStyle w:val="FootnoteReference"/>
        </w:rPr>
        <w:footnoteRef/>
      </w:r>
      <w:r>
        <w:t xml:space="preserve"> </w:t>
      </w:r>
      <w:r>
        <w:tab/>
      </w:r>
      <w:r>
        <w:tab/>
        <w:t>Accord sur le retrait du Royaume-Uni de Grande-Bretagne et d’Irlande du Nord de l’Union européenne et de la Communauté européenne de l’énergie atomique (JO L 29 du 31.1.2020, p. 7, ELI: http://data.europa.eu/eli/treaty/withd_2020/sign).</w:t>
      </w:r>
    </w:p>
  </w:footnote>
  <w:footnote w:id="12">
    <w:p w14:paraId="19CF3A66" w14:textId="1BB8C86D" w:rsidR="00D42D6E" w:rsidRDefault="00D42D6E" w:rsidP="00D42D6E">
      <w:pPr>
        <w:pStyle w:val="FootnoteText"/>
        <w:ind w:left="284" w:hanging="284"/>
      </w:pPr>
      <w:r>
        <w:rPr>
          <w:rStyle w:val="FootnoteReference"/>
        </w:rPr>
        <w:footnoteRef/>
      </w:r>
      <w:r>
        <w:t xml:space="preserve"> </w:t>
      </w:r>
      <w:r>
        <w:tab/>
      </w:r>
      <w:r>
        <w:tab/>
        <w:t>Visée à l’article 136, paragraphe 3, points a) et c), et aux articles 140 à 147 de l’accord de retrait.</w:t>
      </w:r>
    </w:p>
  </w:footnote>
  <w:footnote w:id="13">
    <w:p w14:paraId="59A4FFDF" w14:textId="6665BFF8" w:rsidR="6183F241" w:rsidRDefault="6183F241" w:rsidP="00257B29">
      <w:pPr>
        <w:spacing w:after="0"/>
      </w:pPr>
      <w:r>
        <w:rPr>
          <w:rStyle w:val="FootnoteReference"/>
          <w:rFonts w:ascii="Times New Roman" w:eastAsia="Times New Roman" w:hAnsi="Times New Roman" w:cs="Times New Roman"/>
          <w:sz w:val="20"/>
          <w:szCs w:val="20"/>
          <w:lang w:eastAsia="de-DE"/>
        </w:rPr>
        <w:footnoteRef/>
      </w:r>
      <w:r>
        <w:t xml:space="preserve"> </w:t>
      </w:r>
      <w:r>
        <w:tab/>
      </w:r>
      <w:r>
        <w:rPr>
          <w:rFonts w:ascii="Times New Roman" w:hAnsi="Times New Roman"/>
          <w:sz w:val="20"/>
        </w:rPr>
        <w:t>COM(2026) 310 du 19.5.2026.</w:t>
      </w:r>
    </w:p>
  </w:footnote>
  <w:footnote w:id="14">
    <w:p w14:paraId="5607C912" w14:textId="6712085C" w:rsidR="008C25D8" w:rsidRPr="00257B29" w:rsidRDefault="008C25D8">
      <w:pPr>
        <w:pStyle w:val="FootnoteText"/>
      </w:pPr>
      <w:r>
        <w:rPr>
          <w:rStyle w:val="FootnoteReference"/>
        </w:rPr>
        <w:footnoteRef/>
      </w:r>
      <w:r>
        <w:t xml:space="preserve"> </w:t>
      </w:r>
      <w:r>
        <w:tab/>
        <w:t>COM(2026) 20 du 14.1.2026.</w:t>
      </w:r>
    </w:p>
  </w:footnote>
  <w:footnote w:id="15">
    <w:p w14:paraId="5540D048" w14:textId="620BBC52" w:rsidR="002D78A8" w:rsidRPr="00257B29" w:rsidRDefault="002D78A8" w:rsidP="00A210D1">
      <w:pPr>
        <w:pStyle w:val="FootnoteText"/>
      </w:pPr>
      <w:r>
        <w:rPr>
          <w:rStyle w:val="FootnoteReference"/>
        </w:rPr>
        <w:footnoteRef/>
      </w:r>
      <w:r>
        <w:t xml:space="preserve"> </w:t>
      </w:r>
      <w:r>
        <w:tab/>
        <w:t>Règlement (UE) 2026/467 du Parlement européen et du Conseil du 24 février 2026 mettant en œuvre une coopération renforcée concernant l’établissement du prêt de soutien à l’Ukraine pour 2026 et 2027 (JO L, 2026/467, 26.2.2026, ELI: http://data.europa.eu/eli/reg/2026/467/oj</w:t>
      </w:r>
      <w:r w:rsidR="00102249">
        <w:t>).</w:t>
      </w:r>
    </w:p>
  </w:footnote>
  <w:footnote w:id="16">
    <w:p w14:paraId="7AA61645" w14:textId="25940F58" w:rsidR="00C10FBB" w:rsidRPr="004B4B1F" w:rsidRDefault="00C10FBB">
      <w:pPr>
        <w:pStyle w:val="FootnoteText"/>
      </w:pPr>
      <w:r>
        <w:rPr>
          <w:rStyle w:val="FootnoteReference"/>
        </w:rPr>
        <w:footnoteRef/>
      </w:r>
      <w:r>
        <w:t xml:space="preserve"> </w:t>
      </w:r>
      <w:r>
        <w:tab/>
        <w:t>COM(2023) 166 final du 22.3.2023.</w:t>
      </w:r>
    </w:p>
  </w:footnote>
  <w:footnote w:id="17">
    <w:p w14:paraId="4FBB026B" w14:textId="56E65974" w:rsidR="00A00AAB" w:rsidRPr="00A00AAB" w:rsidRDefault="00A00AAB">
      <w:pPr>
        <w:pStyle w:val="FootnoteText"/>
      </w:pPr>
      <w:r>
        <w:rPr>
          <w:rStyle w:val="FootnoteReference"/>
        </w:rPr>
        <w:footnoteRef/>
      </w:r>
      <w:r>
        <w:t xml:space="preserve"> </w:t>
      </w:r>
      <w:r>
        <w:tab/>
        <w:t>COM(2023) 728 final du 22.11.2023.</w:t>
      </w:r>
    </w:p>
  </w:footnote>
  <w:footnote w:id="18">
    <w:p w14:paraId="69626BC0" w14:textId="7C2AE325" w:rsidR="00C26C5A" w:rsidRPr="00C26C5A" w:rsidRDefault="00C26C5A">
      <w:pPr>
        <w:pStyle w:val="FootnoteText"/>
      </w:pPr>
      <w:r>
        <w:rPr>
          <w:rStyle w:val="FootnoteReference"/>
        </w:rPr>
        <w:footnoteRef/>
      </w:r>
      <w:r>
        <w:t xml:space="preserve"> </w:t>
      </w:r>
      <w:r>
        <w:tab/>
        <w:t>COM(2025) 870 final du 21.10.2025.</w:t>
      </w:r>
    </w:p>
  </w:footnote>
  <w:footnote w:id="19">
    <w:p w14:paraId="5924FF94" w14:textId="44117660" w:rsidR="00373254" w:rsidRPr="00373254" w:rsidRDefault="00373254">
      <w:pPr>
        <w:pStyle w:val="FootnoteText"/>
      </w:pPr>
      <w:r>
        <w:rPr>
          <w:rStyle w:val="FootnoteReference"/>
        </w:rPr>
        <w:footnoteRef/>
      </w:r>
      <w:r>
        <w:t xml:space="preserve"> </w:t>
      </w:r>
      <w:r>
        <w:tab/>
        <w:t>Règlement (UE) 2025/2005 du Parlement européen et du Conseil du 16 décembre 2025 modifiant les règlements (UE) 2015/1017, (UE) 2021/523, (UE) 2021/695 et (UE) 2021/1153 en ce qui concerne l’accroissement de l’efficacité de la garantie de l’Union au titre du règlement (UE) 2021/523 et la simplification des obligations en matière de rapports (JO L, 2025/2005, 23.12.2025, ELI: http://data.europa.eu/eli/reg/2025/2005/oj).</w:t>
      </w:r>
    </w:p>
  </w:footnote>
  <w:footnote w:id="20">
    <w:p w14:paraId="643E35B4" w14:textId="77777777" w:rsidR="007B04F7" w:rsidRPr="00C06354" w:rsidRDefault="007B04F7" w:rsidP="007B04F7">
      <w:pPr>
        <w:pStyle w:val="FootnoteText"/>
      </w:pPr>
      <w:r>
        <w:rPr>
          <w:rStyle w:val="FootnoteReference"/>
        </w:rPr>
        <w:footnoteRef/>
      </w:r>
      <w:r>
        <w:t xml:space="preserve"> </w:t>
      </w:r>
      <w:r>
        <w:tab/>
      </w:r>
      <w:r>
        <w:rPr>
          <w:rStyle w:val="normaltextrun"/>
          <w:color w:val="000000"/>
          <w:shd w:val="clear" w:color="auto" w:fill="FFFFFF"/>
        </w:rPr>
        <w:t>Règlement (UE, Euratom) 2020/2093 du Conseil du 17 décembre 2020 fixant le cadre financier pluriannuel pour les années 2021 à 2027 (JO L 433 I du 22.12.2020, p. 11, ELI: http://data.europa.eu/eli/reg/2020/2093/oj).</w:t>
      </w:r>
    </w:p>
  </w:footnote>
  <w:footnote w:id="21">
    <w:p w14:paraId="14752C72" w14:textId="1FC3BCF3" w:rsidR="007B04F7" w:rsidRPr="00C06354" w:rsidRDefault="007B04F7" w:rsidP="007B04F7">
      <w:pPr>
        <w:pStyle w:val="FootnoteText"/>
      </w:pPr>
      <w:r>
        <w:rPr>
          <w:rStyle w:val="FootnoteReference"/>
        </w:rPr>
        <w:footnoteRef/>
      </w:r>
      <w:r>
        <w:t xml:space="preserve"> </w:t>
      </w:r>
      <w:r>
        <w:tab/>
      </w:r>
      <w:r>
        <w:rPr>
          <w:rStyle w:val="normaltextrun"/>
          <w:i/>
          <w:color w:val="000000"/>
          <w:shd w:val="clear" w:color="auto" w:fill="FFFFFF"/>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AB264" w14:textId="77777777" w:rsidR="00615A0C" w:rsidRPr="00615A0C" w:rsidRDefault="00615A0C" w:rsidP="00615A0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E502C" w14:textId="77777777" w:rsidR="00615A0C" w:rsidRPr="00615A0C" w:rsidRDefault="00615A0C" w:rsidP="00615A0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A919E" w14:textId="77777777" w:rsidR="00615A0C" w:rsidRPr="00615A0C" w:rsidRDefault="00615A0C" w:rsidP="00615A0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2DD33" w14:textId="77777777" w:rsidR="0038470B" w:rsidRDefault="003847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6083B" w14:textId="77777777" w:rsidR="0038470B" w:rsidRDefault="0038470B">
    <w:pPr>
      <w:pStyle w:val="Header"/>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2653E" w14:textId="77777777" w:rsidR="0038470B" w:rsidRDefault="0038470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F6D42" w14:textId="77777777" w:rsidR="0038470B" w:rsidRDefault="0038470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B075C" w14:textId="77777777" w:rsidR="0038470B" w:rsidRDefault="0038470B">
    <w:pPr>
      <w:pStyle w:val="Header"/>
      <w:rPr>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1F7E4" w14:textId="77777777" w:rsidR="0038470B" w:rsidRDefault="003847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4E49F88"/>
    <w:lvl w:ilvl="0">
      <w:start w:val="1"/>
      <w:numFmt w:val="decimal"/>
      <w:pStyle w:val="ListNumber5"/>
      <w:lvlText w:val="%1."/>
      <w:lvlJc w:val="left"/>
      <w:pPr>
        <w:tabs>
          <w:tab w:val="num" w:pos="1492"/>
        </w:tabs>
        <w:ind w:left="1492" w:hanging="360"/>
      </w:pPr>
    </w:lvl>
  </w:abstractNum>
  <w:abstractNum w:abstractNumId="1" w15:restartNumberingAfterBreak="0">
    <w:nsid w:val="FFFFFF82"/>
    <w:multiLevelType w:val="singleLevel"/>
    <w:tmpl w:val="338AC50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000003E8"/>
    <w:multiLevelType w:val="multilevel"/>
    <w:tmpl w:val="3B9ACA00"/>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700"/>
        </w:tabs>
        <w:ind w:left="1700" w:hanging="1700"/>
      </w:pPr>
    </w:lvl>
    <w:lvl w:ilvl="5">
      <w:start w:val="1"/>
      <w:numFmt w:val="decimal"/>
      <w:lvlText w:val="%1.%2.%3.%4.%5.%6."/>
      <w:lvlJc w:val="left"/>
      <w:pPr>
        <w:tabs>
          <w:tab w:val="num" w:pos="1700"/>
        </w:tabs>
        <w:ind w:left="1700" w:hanging="1700"/>
      </w:pPr>
    </w:lvl>
    <w:lvl w:ilvl="6">
      <w:start w:val="1"/>
      <w:numFmt w:val="decimal"/>
      <w:lvlText w:val="%1.%2.%3.%4.%5.%6.%7."/>
      <w:lvlJc w:val="left"/>
      <w:pPr>
        <w:tabs>
          <w:tab w:val="num" w:pos="1700"/>
        </w:tabs>
        <w:ind w:left="1700" w:hanging="1700"/>
      </w:pPr>
    </w:lvl>
    <w:lvl w:ilvl="7">
      <w:start w:val="1"/>
      <w:numFmt w:val="decimal"/>
      <w:lvlText w:val="%1.%2.%3.%4.%5.%6.%7.%8."/>
      <w:lvlJc w:val="left"/>
      <w:pPr>
        <w:tabs>
          <w:tab w:val="num" w:pos="1700"/>
        </w:tabs>
        <w:ind w:left="1700" w:hanging="1700"/>
      </w:pPr>
    </w:lvl>
    <w:lvl w:ilvl="8">
      <w:start w:val="1"/>
      <w:numFmt w:val="decimal"/>
      <w:lvlText w:val="%1.%2.%3.%4.%5.%6.%7.%8.%9."/>
      <w:lvlJc w:val="left"/>
      <w:pPr>
        <w:tabs>
          <w:tab w:val="num" w:pos="1700"/>
        </w:tabs>
        <w:ind w:left="1700" w:hanging="1700"/>
      </w:pPr>
    </w:lvl>
  </w:abstractNum>
  <w:abstractNum w:abstractNumId="3" w15:restartNumberingAfterBreak="0">
    <w:nsid w:val="023B526D"/>
    <w:multiLevelType w:val="hybridMultilevel"/>
    <w:tmpl w:val="FEA8151C"/>
    <w:lvl w:ilvl="0" w:tplc="CF92CE76">
      <w:start w:val="10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5F06948"/>
    <w:multiLevelType w:val="hybridMultilevel"/>
    <w:tmpl w:val="8382AADC"/>
    <w:lvl w:ilvl="0" w:tplc="86C0FFBC">
      <w:start w:val="8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74E58E9"/>
    <w:multiLevelType w:val="hybridMultilevel"/>
    <w:tmpl w:val="5654669C"/>
    <w:lvl w:ilvl="0" w:tplc="FFFFFFFF">
      <w:start w:val="1"/>
      <w:numFmt w:val="lowerLetter"/>
      <w:lvlText w:val="a)"/>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0B4E765C"/>
    <w:multiLevelType w:val="hybridMultilevel"/>
    <w:tmpl w:val="BF84B2AE"/>
    <w:lvl w:ilvl="0" w:tplc="6E541A92">
      <w:start w:val="1"/>
      <w:numFmt w:val="bullet"/>
      <w:lvlText w:val="–"/>
      <w:lvlJc w:val="left"/>
      <w:pPr>
        <w:ind w:left="720" w:hanging="360"/>
      </w:pPr>
      <w:rPr>
        <w:rFonts w:ascii="Symbol" w:hAnsi="Symbol" w:hint="default"/>
      </w:rPr>
    </w:lvl>
    <w:lvl w:ilvl="1" w:tplc="9B522AD6">
      <w:start w:val="1"/>
      <w:numFmt w:val="bullet"/>
      <w:lvlText w:val="o"/>
      <w:lvlJc w:val="left"/>
      <w:pPr>
        <w:ind w:left="1440" w:hanging="360"/>
      </w:pPr>
      <w:rPr>
        <w:rFonts w:ascii="Courier New" w:hAnsi="Courier New" w:hint="default"/>
      </w:rPr>
    </w:lvl>
    <w:lvl w:ilvl="2" w:tplc="D8BA0860">
      <w:start w:val="1"/>
      <w:numFmt w:val="bullet"/>
      <w:lvlText w:val=""/>
      <w:lvlJc w:val="left"/>
      <w:pPr>
        <w:ind w:left="2160" w:hanging="360"/>
      </w:pPr>
      <w:rPr>
        <w:rFonts w:ascii="Wingdings" w:hAnsi="Wingdings" w:hint="default"/>
      </w:rPr>
    </w:lvl>
    <w:lvl w:ilvl="3" w:tplc="88DE18B2">
      <w:start w:val="1"/>
      <w:numFmt w:val="bullet"/>
      <w:lvlText w:val=""/>
      <w:lvlJc w:val="left"/>
      <w:pPr>
        <w:ind w:left="2880" w:hanging="360"/>
      </w:pPr>
      <w:rPr>
        <w:rFonts w:ascii="Symbol" w:hAnsi="Symbol" w:hint="default"/>
      </w:rPr>
    </w:lvl>
    <w:lvl w:ilvl="4" w:tplc="B8FE5C86">
      <w:start w:val="1"/>
      <w:numFmt w:val="bullet"/>
      <w:lvlText w:val="o"/>
      <w:lvlJc w:val="left"/>
      <w:pPr>
        <w:ind w:left="3600" w:hanging="360"/>
      </w:pPr>
      <w:rPr>
        <w:rFonts w:ascii="Courier New" w:hAnsi="Courier New" w:hint="default"/>
      </w:rPr>
    </w:lvl>
    <w:lvl w:ilvl="5" w:tplc="1D7ED18C">
      <w:start w:val="1"/>
      <w:numFmt w:val="bullet"/>
      <w:lvlText w:val=""/>
      <w:lvlJc w:val="left"/>
      <w:pPr>
        <w:ind w:left="4320" w:hanging="360"/>
      </w:pPr>
      <w:rPr>
        <w:rFonts w:ascii="Wingdings" w:hAnsi="Wingdings" w:hint="default"/>
      </w:rPr>
    </w:lvl>
    <w:lvl w:ilvl="6" w:tplc="9946A96C">
      <w:start w:val="1"/>
      <w:numFmt w:val="bullet"/>
      <w:lvlText w:val=""/>
      <w:lvlJc w:val="left"/>
      <w:pPr>
        <w:ind w:left="5040" w:hanging="360"/>
      </w:pPr>
      <w:rPr>
        <w:rFonts w:ascii="Symbol" w:hAnsi="Symbol" w:hint="default"/>
      </w:rPr>
    </w:lvl>
    <w:lvl w:ilvl="7" w:tplc="097C384C">
      <w:start w:val="1"/>
      <w:numFmt w:val="bullet"/>
      <w:lvlText w:val="o"/>
      <w:lvlJc w:val="left"/>
      <w:pPr>
        <w:ind w:left="5760" w:hanging="360"/>
      </w:pPr>
      <w:rPr>
        <w:rFonts w:ascii="Courier New" w:hAnsi="Courier New" w:hint="default"/>
      </w:rPr>
    </w:lvl>
    <w:lvl w:ilvl="8" w:tplc="2A72A630">
      <w:start w:val="1"/>
      <w:numFmt w:val="bullet"/>
      <w:lvlText w:val=""/>
      <w:lvlJc w:val="left"/>
      <w:pPr>
        <w:ind w:left="6480" w:hanging="360"/>
      </w:pPr>
      <w:rPr>
        <w:rFonts w:ascii="Wingdings" w:hAnsi="Wingdings" w:hint="default"/>
      </w:rPr>
    </w:lvl>
  </w:abstractNum>
  <w:abstractNum w:abstractNumId="7" w15:restartNumberingAfterBreak="0">
    <w:nsid w:val="0C1B3542"/>
    <w:multiLevelType w:val="hybridMultilevel"/>
    <w:tmpl w:val="4DE6FC9C"/>
    <w:lvl w:ilvl="0" w:tplc="A912B29E">
      <w:start w:val="1"/>
      <w:numFmt w:val="bullet"/>
      <w:lvlText w:val="–"/>
      <w:lvlJc w:val="left"/>
      <w:pPr>
        <w:ind w:left="720" w:hanging="360"/>
      </w:pPr>
      <w:rPr>
        <w:rFonts w:ascii="Symbol" w:hAnsi="Symbol" w:hint="default"/>
      </w:rPr>
    </w:lvl>
    <w:lvl w:ilvl="1" w:tplc="C5A86FA6">
      <w:start w:val="1"/>
      <w:numFmt w:val="bullet"/>
      <w:lvlText w:val="o"/>
      <w:lvlJc w:val="left"/>
      <w:pPr>
        <w:ind w:left="1440" w:hanging="360"/>
      </w:pPr>
      <w:rPr>
        <w:rFonts w:ascii="Courier New" w:hAnsi="Courier New" w:hint="default"/>
      </w:rPr>
    </w:lvl>
    <w:lvl w:ilvl="2" w:tplc="A352F61A">
      <w:start w:val="1"/>
      <w:numFmt w:val="bullet"/>
      <w:lvlText w:val=""/>
      <w:lvlJc w:val="left"/>
      <w:pPr>
        <w:ind w:left="2160" w:hanging="360"/>
      </w:pPr>
      <w:rPr>
        <w:rFonts w:ascii="Wingdings" w:hAnsi="Wingdings" w:hint="default"/>
      </w:rPr>
    </w:lvl>
    <w:lvl w:ilvl="3" w:tplc="ED94DACE">
      <w:start w:val="1"/>
      <w:numFmt w:val="bullet"/>
      <w:lvlText w:val=""/>
      <w:lvlJc w:val="left"/>
      <w:pPr>
        <w:ind w:left="2880" w:hanging="360"/>
      </w:pPr>
      <w:rPr>
        <w:rFonts w:ascii="Symbol" w:hAnsi="Symbol" w:hint="default"/>
      </w:rPr>
    </w:lvl>
    <w:lvl w:ilvl="4" w:tplc="8B629AD6">
      <w:start w:val="1"/>
      <w:numFmt w:val="bullet"/>
      <w:lvlText w:val="o"/>
      <w:lvlJc w:val="left"/>
      <w:pPr>
        <w:ind w:left="3600" w:hanging="360"/>
      </w:pPr>
      <w:rPr>
        <w:rFonts w:ascii="Courier New" w:hAnsi="Courier New" w:hint="default"/>
      </w:rPr>
    </w:lvl>
    <w:lvl w:ilvl="5" w:tplc="A91C0214">
      <w:start w:val="1"/>
      <w:numFmt w:val="bullet"/>
      <w:lvlText w:val=""/>
      <w:lvlJc w:val="left"/>
      <w:pPr>
        <w:ind w:left="4320" w:hanging="360"/>
      </w:pPr>
      <w:rPr>
        <w:rFonts w:ascii="Wingdings" w:hAnsi="Wingdings" w:hint="default"/>
      </w:rPr>
    </w:lvl>
    <w:lvl w:ilvl="6" w:tplc="0FF21D2A">
      <w:start w:val="1"/>
      <w:numFmt w:val="bullet"/>
      <w:lvlText w:val=""/>
      <w:lvlJc w:val="left"/>
      <w:pPr>
        <w:ind w:left="5040" w:hanging="360"/>
      </w:pPr>
      <w:rPr>
        <w:rFonts w:ascii="Symbol" w:hAnsi="Symbol" w:hint="default"/>
      </w:rPr>
    </w:lvl>
    <w:lvl w:ilvl="7" w:tplc="310ACDCC">
      <w:start w:val="1"/>
      <w:numFmt w:val="bullet"/>
      <w:lvlText w:val="o"/>
      <w:lvlJc w:val="left"/>
      <w:pPr>
        <w:ind w:left="5760" w:hanging="360"/>
      </w:pPr>
      <w:rPr>
        <w:rFonts w:ascii="Courier New" w:hAnsi="Courier New" w:hint="default"/>
      </w:rPr>
    </w:lvl>
    <w:lvl w:ilvl="8" w:tplc="8AC649A6">
      <w:start w:val="1"/>
      <w:numFmt w:val="bullet"/>
      <w:lvlText w:val=""/>
      <w:lvlJc w:val="left"/>
      <w:pPr>
        <w:ind w:left="6480" w:hanging="360"/>
      </w:pPr>
      <w:rPr>
        <w:rFonts w:ascii="Wingdings" w:hAnsi="Wingdings" w:hint="default"/>
      </w:rPr>
    </w:lvl>
  </w:abstractNum>
  <w:abstractNum w:abstractNumId="8" w15:restartNumberingAfterBreak="0">
    <w:nsid w:val="0E835770"/>
    <w:multiLevelType w:val="hybridMultilevel"/>
    <w:tmpl w:val="365E0218"/>
    <w:lvl w:ilvl="0" w:tplc="8264D7DC">
      <w:start w:val="1"/>
      <w:numFmt w:val="bullet"/>
      <w:pStyle w:val="agbullets"/>
      <w:lvlText w:val=""/>
      <w:lvlJc w:val="left"/>
      <w:pPr>
        <w:ind w:left="720" w:hanging="360"/>
      </w:pPr>
      <w:rPr>
        <w:rFonts w:ascii="Symbol" w:hAnsi="Symbol" w:hint="default"/>
      </w:rPr>
    </w:lvl>
    <w:lvl w:ilvl="1" w:tplc="B8AE865E">
      <w:numFmt w:val="decimal"/>
      <w:lvlText w:val=""/>
      <w:lvlJc w:val="left"/>
    </w:lvl>
    <w:lvl w:ilvl="2" w:tplc="581813B8">
      <w:numFmt w:val="decimal"/>
      <w:lvlText w:val=""/>
      <w:lvlJc w:val="left"/>
    </w:lvl>
    <w:lvl w:ilvl="3" w:tplc="B7C81A1E">
      <w:numFmt w:val="decimal"/>
      <w:lvlText w:val=""/>
      <w:lvlJc w:val="left"/>
    </w:lvl>
    <w:lvl w:ilvl="4" w:tplc="5030D16A">
      <w:numFmt w:val="decimal"/>
      <w:lvlText w:val=""/>
      <w:lvlJc w:val="left"/>
    </w:lvl>
    <w:lvl w:ilvl="5" w:tplc="7A1E383C">
      <w:numFmt w:val="decimal"/>
      <w:lvlText w:val=""/>
      <w:lvlJc w:val="left"/>
    </w:lvl>
    <w:lvl w:ilvl="6" w:tplc="CE08976E">
      <w:numFmt w:val="decimal"/>
      <w:lvlText w:val=""/>
      <w:lvlJc w:val="left"/>
    </w:lvl>
    <w:lvl w:ilvl="7" w:tplc="D5D01BC0">
      <w:numFmt w:val="decimal"/>
      <w:lvlText w:val=""/>
      <w:lvlJc w:val="left"/>
    </w:lvl>
    <w:lvl w:ilvl="8" w:tplc="05920FDA">
      <w:numFmt w:val="decimal"/>
      <w:lvlText w:val=""/>
      <w:lvlJc w:val="left"/>
    </w:lvl>
  </w:abstractNum>
  <w:abstractNum w:abstractNumId="9"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10" w15:restartNumberingAfterBreak="0">
    <w:nsid w:val="1CB96A93"/>
    <w:multiLevelType w:val="hybridMultilevel"/>
    <w:tmpl w:val="32EE40B4"/>
    <w:lvl w:ilvl="0" w:tplc="BD6A1E9E">
      <w:start w:val="1"/>
      <w:numFmt w:val="bullet"/>
      <w:lvlText w:val="-"/>
      <w:lvlJc w:val="left"/>
      <w:pPr>
        <w:ind w:left="720" w:hanging="360"/>
      </w:pPr>
      <w:rPr>
        <w:rFonts w:ascii="Aptos" w:hAnsi="Aptos" w:hint="default"/>
      </w:rPr>
    </w:lvl>
    <w:lvl w:ilvl="1" w:tplc="F5161578">
      <w:start w:val="1"/>
      <w:numFmt w:val="bullet"/>
      <w:lvlText w:val="o"/>
      <w:lvlJc w:val="left"/>
      <w:pPr>
        <w:ind w:left="1440" w:hanging="360"/>
      </w:pPr>
      <w:rPr>
        <w:rFonts w:ascii="Courier New" w:hAnsi="Courier New" w:hint="default"/>
      </w:rPr>
    </w:lvl>
    <w:lvl w:ilvl="2" w:tplc="15387E10">
      <w:start w:val="1"/>
      <w:numFmt w:val="bullet"/>
      <w:lvlText w:val=""/>
      <w:lvlJc w:val="left"/>
      <w:pPr>
        <w:ind w:left="2160" w:hanging="360"/>
      </w:pPr>
      <w:rPr>
        <w:rFonts w:ascii="Wingdings" w:hAnsi="Wingdings" w:hint="default"/>
      </w:rPr>
    </w:lvl>
    <w:lvl w:ilvl="3" w:tplc="9C888542">
      <w:start w:val="1"/>
      <w:numFmt w:val="bullet"/>
      <w:lvlText w:val=""/>
      <w:lvlJc w:val="left"/>
      <w:pPr>
        <w:ind w:left="2880" w:hanging="360"/>
      </w:pPr>
      <w:rPr>
        <w:rFonts w:ascii="Symbol" w:hAnsi="Symbol" w:hint="default"/>
      </w:rPr>
    </w:lvl>
    <w:lvl w:ilvl="4" w:tplc="CA4431E6">
      <w:start w:val="1"/>
      <w:numFmt w:val="bullet"/>
      <w:lvlText w:val="o"/>
      <w:lvlJc w:val="left"/>
      <w:pPr>
        <w:ind w:left="3600" w:hanging="360"/>
      </w:pPr>
      <w:rPr>
        <w:rFonts w:ascii="Courier New" w:hAnsi="Courier New" w:hint="default"/>
      </w:rPr>
    </w:lvl>
    <w:lvl w:ilvl="5" w:tplc="B2060B94">
      <w:start w:val="1"/>
      <w:numFmt w:val="bullet"/>
      <w:lvlText w:val=""/>
      <w:lvlJc w:val="left"/>
      <w:pPr>
        <w:ind w:left="4320" w:hanging="360"/>
      </w:pPr>
      <w:rPr>
        <w:rFonts w:ascii="Wingdings" w:hAnsi="Wingdings" w:hint="default"/>
      </w:rPr>
    </w:lvl>
    <w:lvl w:ilvl="6" w:tplc="96A84098">
      <w:start w:val="1"/>
      <w:numFmt w:val="bullet"/>
      <w:lvlText w:val=""/>
      <w:lvlJc w:val="left"/>
      <w:pPr>
        <w:ind w:left="5040" w:hanging="360"/>
      </w:pPr>
      <w:rPr>
        <w:rFonts w:ascii="Symbol" w:hAnsi="Symbol" w:hint="default"/>
      </w:rPr>
    </w:lvl>
    <w:lvl w:ilvl="7" w:tplc="5796A86E">
      <w:start w:val="1"/>
      <w:numFmt w:val="bullet"/>
      <w:lvlText w:val="o"/>
      <w:lvlJc w:val="left"/>
      <w:pPr>
        <w:ind w:left="5760" w:hanging="360"/>
      </w:pPr>
      <w:rPr>
        <w:rFonts w:ascii="Courier New" w:hAnsi="Courier New" w:hint="default"/>
      </w:rPr>
    </w:lvl>
    <w:lvl w:ilvl="8" w:tplc="051A29B8">
      <w:start w:val="1"/>
      <w:numFmt w:val="bullet"/>
      <w:lvlText w:val=""/>
      <w:lvlJc w:val="left"/>
      <w:pPr>
        <w:ind w:left="6480" w:hanging="360"/>
      </w:pPr>
      <w:rPr>
        <w:rFonts w:ascii="Wingdings" w:hAnsi="Wingdings" w:hint="default"/>
      </w:rPr>
    </w:lvl>
  </w:abstractNum>
  <w:abstractNum w:abstractNumId="11" w15:restartNumberingAfterBreak="0">
    <w:nsid w:val="1E305A62"/>
    <w:multiLevelType w:val="hybridMultilevel"/>
    <w:tmpl w:val="569865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F4D0AC4"/>
    <w:multiLevelType w:val="multilevel"/>
    <w:tmpl w:val="844E1206"/>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1F6C26C4"/>
    <w:multiLevelType w:val="hybridMultilevel"/>
    <w:tmpl w:val="E2520B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09D5380"/>
    <w:multiLevelType w:val="hybridMultilevel"/>
    <w:tmpl w:val="C4EAEAB4"/>
    <w:lvl w:ilvl="0" w:tplc="3774D3AA">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BC301BD"/>
    <w:multiLevelType w:val="hybridMultilevel"/>
    <w:tmpl w:val="9C0294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7" w15:restartNumberingAfterBreak="0">
    <w:nsid w:val="2DC47FBE"/>
    <w:multiLevelType w:val="hybridMultilevel"/>
    <w:tmpl w:val="DD103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1D17BB"/>
    <w:multiLevelType w:val="hybridMultilevel"/>
    <w:tmpl w:val="1B26E152"/>
    <w:lvl w:ilvl="0" w:tplc="5FBC4CDE">
      <w:start w:val="1"/>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153AE42"/>
    <w:multiLevelType w:val="hybridMultilevel"/>
    <w:tmpl w:val="4BEAA22C"/>
    <w:lvl w:ilvl="0" w:tplc="DD30382E">
      <w:start w:val="1"/>
      <w:numFmt w:val="bullet"/>
      <w:lvlText w:val="–"/>
      <w:lvlJc w:val="left"/>
      <w:pPr>
        <w:ind w:left="720" w:hanging="360"/>
      </w:pPr>
      <w:rPr>
        <w:rFonts w:ascii="Symbol" w:hAnsi="Symbol" w:hint="default"/>
      </w:rPr>
    </w:lvl>
    <w:lvl w:ilvl="1" w:tplc="83CA7BFC">
      <w:start w:val="1"/>
      <w:numFmt w:val="bullet"/>
      <w:lvlText w:val="o"/>
      <w:lvlJc w:val="left"/>
      <w:pPr>
        <w:ind w:left="1440" w:hanging="360"/>
      </w:pPr>
      <w:rPr>
        <w:rFonts w:ascii="Courier New" w:hAnsi="Courier New" w:hint="default"/>
      </w:rPr>
    </w:lvl>
    <w:lvl w:ilvl="2" w:tplc="DAA45D4C">
      <w:start w:val="1"/>
      <w:numFmt w:val="bullet"/>
      <w:lvlText w:val=""/>
      <w:lvlJc w:val="left"/>
      <w:pPr>
        <w:ind w:left="2160" w:hanging="360"/>
      </w:pPr>
      <w:rPr>
        <w:rFonts w:ascii="Wingdings" w:hAnsi="Wingdings" w:hint="default"/>
      </w:rPr>
    </w:lvl>
    <w:lvl w:ilvl="3" w:tplc="8AD20BC6">
      <w:start w:val="1"/>
      <w:numFmt w:val="bullet"/>
      <w:lvlText w:val=""/>
      <w:lvlJc w:val="left"/>
      <w:pPr>
        <w:ind w:left="2880" w:hanging="360"/>
      </w:pPr>
      <w:rPr>
        <w:rFonts w:ascii="Symbol" w:hAnsi="Symbol" w:hint="default"/>
      </w:rPr>
    </w:lvl>
    <w:lvl w:ilvl="4" w:tplc="08B2F55A">
      <w:start w:val="1"/>
      <w:numFmt w:val="bullet"/>
      <w:lvlText w:val="o"/>
      <w:lvlJc w:val="left"/>
      <w:pPr>
        <w:ind w:left="3600" w:hanging="360"/>
      </w:pPr>
      <w:rPr>
        <w:rFonts w:ascii="Courier New" w:hAnsi="Courier New" w:hint="default"/>
      </w:rPr>
    </w:lvl>
    <w:lvl w:ilvl="5" w:tplc="028E4FE6">
      <w:start w:val="1"/>
      <w:numFmt w:val="bullet"/>
      <w:lvlText w:val=""/>
      <w:lvlJc w:val="left"/>
      <w:pPr>
        <w:ind w:left="4320" w:hanging="360"/>
      </w:pPr>
      <w:rPr>
        <w:rFonts w:ascii="Wingdings" w:hAnsi="Wingdings" w:hint="default"/>
      </w:rPr>
    </w:lvl>
    <w:lvl w:ilvl="6" w:tplc="C520DEEA">
      <w:start w:val="1"/>
      <w:numFmt w:val="bullet"/>
      <w:lvlText w:val=""/>
      <w:lvlJc w:val="left"/>
      <w:pPr>
        <w:ind w:left="5040" w:hanging="360"/>
      </w:pPr>
      <w:rPr>
        <w:rFonts w:ascii="Symbol" w:hAnsi="Symbol" w:hint="default"/>
      </w:rPr>
    </w:lvl>
    <w:lvl w:ilvl="7" w:tplc="74D22FB2">
      <w:start w:val="1"/>
      <w:numFmt w:val="bullet"/>
      <w:lvlText w:val="o"/>
      <w:lvlJc w:val="left"/>
      <w:pPr>
        <w:ind w:left="5760" w:hanging="360"/>
      </w:pPr>
      <w:rPr>
        <w:rFonts w:ascii="Courier New" w:hAnsi="Courier New" w:hint="default"/>
      </w:rPr>
    </w:lvl>
    <w:lvl w:ilvl="8" w:tplc="25A8F872">
      <w:start w:val="1"/>
      <w:numFmt w:val="bullet"/>
      <w:lvlText w:val=""/>
      <w:lvlJc w:val="left"/>
      <w:pPr>
        <w:ind w:left="6480" w:hanging="360"/>
      </w:pPr>
      <w:rPr>
        <w:rFonts w:ascii="Wingdings" w:hAnsi="Wingdings" w:hint="default"/>
      </w:rPr>
    </w:lvl>
  </w:abstractNum>
  <w:abstractNum w:abstractNumId="20" w15:restartNumberingAfterBreak="0">
    <w:nsid w:val="32A52C4F"/>
    <w:multiLevelType w:val="singleLevel"/>
    <w:tmpl w:val="CEFC5A24"/>
    <w:lvl w:ilvl="0">
      <w:start w:val="1"/>
      <w:numFmt w:val="bullet"/>
      <w:lvlRestart w:val="0"/>
      <w:pStyle w:val="Tiret0"/>
      <w:lvlText w:val="–"/>
      <w:lvlJc w:val="left"/>
      <w:pPr>
        <w:tabs>
          <w:tab w:val="num" w:pos="850"/>
        </w:tabs>
        <w:ind w:left="850" w:hanging="850"/>
      </w:pPr>
    </w:lvl>
  </w:abstractNum>
  <w:abstractNum w:abstractNumId="21" w15:restartNumberingAfterBreak="0">
    <w:nsid w:val="35247675"/>
    <w:multiLevelType w:val="hybridMultilevel"/>
    <w:tmpl w:val="7A36C7A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90F25DB"/>
    <w:multiLevelType w:val="hybridMultilevel"/>
    <w:tmpl w:val="E7265104"/>
    <w:lvl w:ilvl="0" w:tplc="B0DC89EA">
      <w:start w:val="1"/>
      <w:numFmt w:val="bullet"/>
      <w:pStyle w:val="agtabbullets"/>
      <w:lvlText w:val=""/>
      <w:lvlJc w:val="left"/>
      <w:pPr>
        <w:ind w:left="1080" w:hanging="360"/>
      </w:pPr>
      <w:rPr>
        <w:rFonts w:ascii="Symbol" w:hAnsi="Symbol" w:hint="default"/>
      </w:rPr>
    </w:lvl>
    <w:lvl w:ilvl="1" w:tplc="510EFC82">
      <w:numFmt w:val="decimal"/>
      <w:lvlText w:val=""/>
      <w:lvlJc w:val="left"/>
    </w:lvl>
    <w:lvl w:ilvl="2" w:tplc="98DA8758">
      <w:numFmt w:val="decimal"/>
      <w:lvlText w:val=""/>
      <w:lvlJc w:val="left"/>
    </w:lvl>
    <w:lvl w:ilvl="3" w:tplc="A8DA21E8">
      <w:numFmt w:val="decimal"/>
      <w:lvlText w:val=""/>
      <w:lvlJc w:val="left"/>
    </w:lvl>
    <w:lvl w:ilvl="4" w:tplc="4C5E1946">
      <w:numFmt w:val="decimal"/>
      <w:lvlText w:val=""/>
      <w:lvlJc w:val="left"/>
    </w:lvl>
    <w:lvl w:ilvl="5" w:tplc="DC50A908">
      <w:numFmt w:val="decimal"/>
      <w:lvlText w:val=""/>
      <w:lvlJc w:val="left"/>
    </w:lvl>
    <w:lvl w:ilvl="6" w:tplc="277AF326">
      <w:numFmt w:val="decimal"/>
      <w:lvlText w:val=""/>
      <w:lvlJc w:val="left"/>
    </w:lvl>
    <w:lvl w:ilvl="7" w:tplc="96EC6C5E">
      <w:numFmt w:val="decimal"/>
      <w:lvlText w:val=""/>
      <w:lvlJc w:val="left"/>
    </w:lvl>
    <w:lvl w:ilvl="8" w:tplc="CF347B90">
      <w:numFmt w:val="decimal"/>
      <w:lvlText w:val=""/>
      <w:lvlJc w:val="left"/>
    </w:lvl>
  </w:abstractNum>
  <w:abstractNum w:abstractNumId="23"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4" w15:restartNumberingAfterBreak="0">
    <w:nsid w:val="3B4B760A"/>
    <w:multiLevelType w:val="hybridMultilevel"/>
    <w:tmpl w:val="A580B5C8"/>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E3A7BAF"/>
    <w:multiLevelType w:val="hybridMultilevel"/>
    <w:tmpl w:val="8F9A7C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7" w15:restartNumberingAfterBreak="0">
    <w:nsid w:val="46F31CCD"/>
    <w:multiLevelType w:val="hybridMultilevel"/>
    <w:tmpl w:val="6F9AF87E"/>
    <w:lvl w:ilvl="0" w:tplc="B9DA5D6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7C921C1"/>
    <w:multiLevelType w:val="hybridMultilevel"/>
    <w:tmpl w:val="5002F4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62E5DB9"/>
    <w:multiLevelType w:val="hybridMultilevel"/>
    <w:tmpl w:val="93D616E6"/>
    <w:lvl w:ilvl="0" w:tplc="2F18FF44">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31" w15:restartNumberingAfterBreak="0">
    <w:nsid w:val="5F8C3B69"/>
    <w:multiLevelType w:val="multilevel"/>
    <w:tmpl w:val="9B14DAA8"/>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2902986"/>
    <w:multiLevelType w:val="hybridMultilevel"/>
    <w:tmpl w:val="FFFFFFFF"/>
    <w:lvl w:ilvl="0" w:tplc="44B8D8D2">
      <w:start w:val="1"/>
      <w:numFmt w:val="decimal"/>
      <w:lvlText w:val="%1."/>
      <w:lvlJc w:val="left"/>
      <w:pPr>
        <w:ind w:left="720" w:hanging="360"/>
      </w:pPr>
    </w:lvl>
    <w:lvl w:ilvl="1" w:tplc="7B8E659E">
      <w:start w:val="1"/>
      <w:numFmt w:val="lowerLetter"/>
      <w:lvlText w:val="%2."/>
      <w:lvlJc w:val="left"/>
      <w:pPr>
        <w:ind w:left="1440" w:hanging="360"/>
      </w:pPr>
    </w:lvl>
    <w:lvl w:ilvl="2" w:tplc="C4FEFC54">
      <w:start w:val="1"/>
      <w:numFmt w:val="lowerRoman"/>
      <w:lvlText w:val="%3."/>
      <w:lvlJc w:val="right"/>
      <w:pPr>
        <w:ind w:left="2160" w:hanging="180"/>
      </w:pPr>
    </w:lvl>
    <w:lvl w:ilvl="3" w:tplc="D068A5AE">
      <w:start w:val="1"/>
      <w:numFmt w:val="decimal"/>
      <w:lvlText w:val="%4."/>
      <w:lvlJc w:val="left"/>
      <w:pPr>
        <w:ind w:left="2880" w:hanging="360"/>
      </w:pPr>
    </w:lvl>
    <w:lvl w:ilvl="4" w:tplc="91E20590">
      <w:start w:val="1"/>
      <w:numFmt w:val="lowerLetter"/>
      <w:lvlText w:val="%5."/>
      <w:lvlJc w:val="left"/>
      <w:pPr>
        <w:ind w:left="3600" w:hanging="360"/>
      </w:pPr>
    </w:lvl>
    <w:lvl w:ilvl="5" w:tplc="E98C2DE4">
      <w:start w:val="1"/>
      <w:numFmt w:val="lowerRoman"/>
      <w:lvlText w:val="%6."/>
      <w:lvlJc w:val="right"/>
      <w:pPr>
        <w:ind w:left="4320" w:hanging="180"/>
      </w:pPr>
    </w:lvl>
    <w:lvl w:ilvl="6" w:tplc="D34A6B44">
      <w:start w:val="1"/>
      <w:numFmt w:val="decimal"/>
      <w:lvlText w:val="%7."/>
      <w:lvlJc w:val="left"/>
      <w:pPr>
        <w:ind w:left="5040" w:hanging="360"/>
      </w:pPr>
    </w:lvl>
    <w:lvl w:ilvl="7" w:tplc="9A16EE7A">
      <w:start w:val="1"/>
      <w:numFmt w:val="lowerLetter"/>
      <w:lvlText w:val="%8."/>
      <w:lvlJc w:val="left"/>
      <w:pPr>
        <w:ind w:left="5760" w:hanging="360"/>
      </w:pPr>
    </w:lvl>
    <w:lvl w:ilvl="8" w:tplc="59DCBBBC">
      <w:start w:val="1"/>
      <w:numFmt w:val="lowerRoman"/>
      <w:lvlText w:val="%9."/>
      <w:lvlJc w:val="right"/>
      <w:pPr>
        <w:ind w:left="6480" w:hanging="180"/>
      </w:pPr>
    </w:lvl>
  </w:abstractNum>
  <w:abstractNum w:abstractNumId="33" w15:restartNumberingAfterBreak="0">
    <w:nsid w:val="650457B8"/>
    <w:multiLevelType w:val="hybridMultilevel"/>
    <w:tmpl w:val="FFFFFFFF"/>
    <w:lvl w:ilvl="0" w:tplc="7556E0EA">
      <w:start w:val="1"/>
      <w:numFmt w:val="decimal"/>
      <w:lvlText w:val="%1."/>
      <w:lvlJc w:val="left"/>
      <w:pPr>
        <w:ind w:left="720" w:hanging="360"/>
      </w:pPr>
    </w:lvl>
    <w:lvl w:ilvl="1" w:tplc="FE50FE4A">
      <w:start w:val="1"/>
      <w:numFmt w:val="lowerLetter"/>
      <w:lvlText w:val="%2."/>
      <w:lvlJc w:val="left"/>
      <w:pPr>
        <w:ind w:left="1440" w:hanging="360"/>
      </w:pPr>
    </w:lvl>
    <w:lvl w:ilvl="2" w:tplc="142C2504">
      <w:start w:val="1"/>
      <w:numFmt w:val="lowerRoman"/>
      <w:lvlText w:val="%3."/>
      <w:lvlJc w:val="right"/>
      <w:pPr>
        <w:ind w:left="2160" w:hanging="180"/>
      </w:pPr>
    </w:lvl>
    <w:lvl w:ilvl="3" w:tplc="9724C8E6">
      <w:start w:val="1"/>
      <w:numFmt w:val="decimal"/>
      <w:lvlText w:val="%4."/>
      <w:lvlJc w:val="left"/>
      <w:pPr>
        <w:ind w:left="2880" w:hanging="360"/>
      </w:pPr>
    </w:lvl>
    <w:lvl w:ilvl="4" w:tplc="D5D60060">
      <w:start w:val="1"/>
      <w:numFmt w:val="lowerLetter"/>
      <w:lvlText w:val="%5."/>
      <w:lvlJc w:val="left"/>
      <w:pPr>
        <w:ind w:left="3600" w:hanging="360"/>
      </w:pPr>
    </w:lvl>
    <w:lvl w:ilvl="5" w:tplc="A1B07BCC">
      <w:start w:val="1"/>
      <w:numFmt w:val="lowerRoman"/>
      <w:lvlText w:val="%6."/>
      <w:lvlJc w:val="right"/>
      <w:pPr>
        <w:ind w:left="4320" w:hanging="180"/>
      </w:pPr>
    </w:lvl>
    <w:lvl w:ilvl="6" w:tplc="D8BEABBE">
      <w:start w:val="1"/>
      <w:numFmt w:val="decimal"/>
      <w:lvlText w:val="%7."/>
      <w:lvlJc w:val="left"/>
      <w:pPr>
        <w:ind w:left="5040" w:hanging="360"/>
      </w:pPr>
    </w:lvl>
    <w:lvl w:ilvl="7" w:tplc="455679CA">
      <w:start w:val="1"/>
      <w:numFmt w:val="lowerLetter"/>
      <w:lvlText w:val="%8."/>
      <w:lvlJc w:val="left"/>
      <w:pPr>
        <w:ind w:left="5760" w:hanging="360"/>
      </w:pPr>
    </w:lvl>
    <w:lvl w:ilvl="8" w:tplc="B2B2E14C">
      <w:start w:val="1"/>
      <w:numFmt w:val="lowerRoman"/>
      <w:lvlText w:val="%9."/>
      <w:lvlJc w:val="right"/>
      <w:pPr>
        <w:ind w:left="6480" w:hanging="180"/>
      </w:pPr>
    </w:lvl>
  </w:abstractNum>
  <w:abstractNum w:abstractNumId="3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5" w15:restartNumberingAfterBreak="0">
    <w:nsid w:val="6D2B5511"/>
    <w:multiLevelType w:val="singleLevel"/>
    <w:tmpl w:val="74A09970"/>
    <w:name w:val="Heading__2"/>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36" w15:restartNumberingAfterBreak="0">
    <w:nsid w:val="77BD6154"/>
    <w:multiLevelType w:val="hybridMultilevel"/>
    <w:tmpl w:val="125219AE"/>
    <w:lvl w:ilvl="0" w:tplc="1B46BBFA">
      <w:start w:val="30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BE95D7F"/>
    <w:multiLevelType w:val="multilevel"/>
    <w:tmpl w:val="F126F78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8" w15:restartNumberingAfterBreak="0">
    <w:nsid w:val="7C966381"/>
    <w:multiLevelType w:val="multilevel"/>
    <w:tmpl w:val="DCC88062"/>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CAB6DC6"/>
    <w:multiLevelType w:val="hybridMultilevel"/>
    <w:tmpl w:val="5F28F8CA"/>
    <w:lvl w:ilvl="0" w:tplc="F2DEBE36">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E374843"/>
    <w:multiLevelType w:val="hybridMultilevel"/>
    <w:tmpl w:val="BB44A994"/>
    <w:lvl w:ilvl="0" w:tplc="2F9A8084">
      <w:start w:val="100"/>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6"/>
  </w:num>
  <w:num w:numId="2">
    <w:abstractNumId w:val="19"/>
  </w:num>
  <w:num w:numId="3">
    <w:abstractNumId w:val="7"/>
  </w:num>
  <w:num w:numId="4">
    <w:abstractNumId w:val="10"/>
  </w:num>
  <w:num w:numId="5">
    <w:abstractNumId w:val="20"/>
  </w:num>
  <w:num w:numId="6">
    <w:abstractNumId w:val="26"/>
  </w:num>
  <w:num w:numId="7">
    <w:abstractNumId w:val="35"/>
  </w:num>
  <w:num w:numId="8">
    <w:abstractNumId w:val="23"/>
  </w:num>
  <w:num w:numId="9">
    <w:abstractNumId w:val="16"/>
  </w:num>
  <w:num w:numId="10">
    <w:abstractNumId w:val="37"/>
  </w:num>
  <w:num w:numId="11">
    <w:abstractNumId w:val="31"/>
  </w:num>
  <w:num w:numId="12">
    <w:abstractNumId w:val="38"/>
  </w:num>
  <w:num w:numId="13">
    <w:abstractNumId w:val="34"/>
  </w:num>
  <w:num w:numId="14">
    <w:abstractNumId w:val="0"/>
  </w:num>
  <w:num w:numId="15">
    <w:abstractNumId w:val="1"/>
  </w:num>
  <w:num w:numId="16">
    <w:abstractNumId w:val="8"/>
  </w:num>
  <w:num w:numId="17">
    <w:abstractNumId w:val="22"/>
  </w:num>
  <w:num w:numId="18">
    <w:abstractNumId w:val="12"/>
  </w:num>
  <w:num w:numId="19">
    <w:abstractNumId w:val="24"/>
  </w:num>
  <w:num w:numId="20">
    <w:abstractNumId w:val="9"/>
  </w:num>
  <w:num w:numId="21">
    <w:abstractNumId w:val="17"/>
  </w:num>
  <w:num w:numId="22">
    <w:abstractNumId w:val="21"/>
  </w:num>
  <w:num w:numId="23">
    <w:abstractNumId w:val="20"/>
  </w:num>
  <w:num w:numId="24">
    <w:abstractNumId w:val="20"/>
  </w:num>
  <w:num w:numId="25">
    <w:abstractNumId w:val="15"/>
  </w:num>
  <w:num w:numId="26">
    <w:abstractNumId w:val="25"/>
  </w:num>
  <w:num w:numId="27">
    <w:abstractNumId w:val="11"/>
  </w:num>
  <w:num w:numId="28">
    <w:abstractNumId w:val="5"/>
  </w:num>
  <w:num w:numId="29">
    <w:abstractNumId w:val="28"/>
  </w:num>
  <w:num w:numId="30">
    <w:abstractNumId w:val="39"/>
  </w:num>
  <w:num w:numId="31">
    <w:abstractNumId w:val="36"/>
  </w:num>
  <w:num w:numId="32">
    <w:abstractNumId w:val="13"/>
  </w:num>
  <w:num w:numId="33">
    <w:abstractNumId w:val="18"/>
  </w:num>
  <w:num w:numId="34">
    <w:abstractNumId w:val="29"/>
  </w:num>
  <w:num w:numId="35">
    <w:abstractNumId w:val="4"/>
  </w:num>
  <w:num w:numId="36">
    <w:abstractNumId w:val="14"/>
  </w:num>
  <w:num w:numId="37">
    <w:abstractNumId w:val="3"/>
  </w:num>
  <w:num w:numId="38">
    <w:abstractNumId w:val="40"/>
  </w:num>
  <w:num w:numId="39">
    <w:abstractNumId w:val="27"/>
  </w:num>
  <w:num w:numId="40">
    <w:abstractNumId w:val="20"/>
  </w:num>
  <w:num w:numId="41">
    <w:abstractNumId w:val="20"/>
  </w:num>
  <w:num w:numId="42">
    <w:abstractNumId w:val="20"/>
  </w:num>
  <w:num w:numId="43">
    <w:abstractNumId w:val="33"/>
  </w:num>
  <w:num w:numId="44">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s-ES" w:vendorID="64" w:dllVersion="0"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IE" w:vendorID="64" w:dllVersion="0" w:nlCheck="1" w:checkStyle="0"/>
  <w:activeWritingStyle w:appName="MSWord" w:lang="nl-NL" w:vendorID="64" w:dllVersion="0" w:nlCheck="1" w:checkStyle="0"/>
  <w:activeWritingStyle w:appName="MSWord" w:lang="fr-FR"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3205E3B-E5B9-435D-AE5A-F8A0C105130B"/>
    <w:docVar w:name="LW_COVERPAGE_TYPE" w:val="1"/>
    <w:docVar w:name="LW_CROSSREFERENCE" w:val="&lt;UNUSED&gt;"/>
    <w:docVar w:name="LW_DocType" w:val="NORMAL"/>
    <w:docVar w:name="LW_EMISSION" w:val="9.6.2026"/>
    <w:docVar w:name="LW_EMISSION_ISODATE" w:val="2026-06-09"/>
    <w:docVar w:name="LW_EMISSION_LOCATION" w:val="BRX"/>
    <w:docVar w:name="LW_EMISSION_PREFIX" w:val="Bruxelles, le "/>
    <w:docVar w:name="LW_EMISSION_SUFFIX" w:val=" "/>
    <w:docVar w:name="LW_ID_DOCTYPE_NONLW" w:val="CP-032"/>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BUD"/>
    <w:docVar w:name="LW_REF.II.NEW.CP_NUMBER" w:val="0144"/>
    <w:docVar w:name="LW_REF.II.NEW.CP_YEAR" w:val="2026"/>
    <w:docVar w:name="LW_REF.INST.NEW" w:val="COM"/>
    <w:docVar w:name="LW_REF.INST.NEW_ADOPTED" w:val="final"/>
    <w:docVar w:name="LW_REF.INST.NEW_TEXT" w:val="(2026) 4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 "/>
    <w:docVar w:name="LW_STATUT.CP" w:val=" "/>
    <w:docVar w:name="LW_SUPERTITRE" w:val="&lt;UNUSED&gt;"/>
    <w:docVar w:name="LW_TITRE.OBJ.CP" w:val="Mise à jour des recettes (ressources propres) et ajustements relatifs aux dépenses"/>
    <w:docVar w:name="LW_TYPE.DOC.CP" w:val="PROJET DE BUDGET RECTIFICATIF N° 2_x000b_AU BUDGET GÉNÉRAL 2026_x000b__x000b_"/>
    <w:docVar w:name="LwApiVersions" w:val="LW4CoDe 1.24.5.0; LW 9.2, Build 20251112"/>
  </w:docVars>
  <w:rsids>
    <w:rsidRoot w:val="004319B6"/>
    <w:rsid w:val="00000737"/>
    <w:rsid w:val="00000EBC"/>
    <w:rsid w:val="000010F1"/>
    <w:rsid w:val="000015CD"/>
    <w:rsid w:val="00001742"/>
    <w:rsid w:val="00001A95"/>
    <w:rsid w:val="00001B05"/>
    <w:rsid w:val="00001E09"/>
    <w:rsid w:val="00001E81"/>
    <w:rsid w:val="00001EDD"/>
    <w:rsid w:val="00002526"/>
    <w:rsid w:val="00002664"/>
    <w:rsid w:val="00002715"/>
    <w:rsid w:val="00002EFB"/>
    <w:rsid w:val="0000357A"/>
    <w:rsid w:val="00003A76"/>
    <w:rsid w:val="00003CDC"/>
    <w:rsid w:val="00003D84"/>
    <w:rsid w:val="00003E8F"/>
    <w:rsid w:val="0000480A"/>
    <w:rsid w:val="0000495D"/>
    <w:rsid w:val="00005341"/>
    <w:rsid w:val="00005D33"/>
    <w:rsid w:val="0000620C"/>
    <w:rsid w:val="000069D2"/>
    <w:rsid w:val="0000736E"/>
    <w:rsid w:val="00007460"/>
    <w:rsid w:val="000107AA"/>
    <w:rsid w:val="0001081C"/>
    <w:rsid w:val="00010964"/>
    <w:rsid w:val="00010B71"/>
    <w:rsid w:val="00010CE1"/>
    <w:rsid w:val="00011A37"/>
    <w:rsid w:val="00011DDE"/>
    <w:rsid w:val="00011EC1"/>
    <w:rsid w:val="0001205D"/>
    <w:rsid w:val="0001279F"/>
    <w:rsid w:val="00012BB0"/>
    <w:rsid w:val="00012E4F"/>
    <w:rsid w:val="0001316C"/>
    <w:rsid w:val="00013663"/>
    <w:rsid w:val="0001384D"/>
    <w:rsid w:val="00013B20"/>
    <w:rsid w:val="00013E12"/>
    <w:rsid w:val="00013FE3"/>
    <w:rsid w:val="0001425F"/>
    <w:rsid w:val="000148E8"/>
    <w:rsid w:val="00014A4B"/>
    <w:rsid w:val="00014CB1"/>
    <w:rsid w:val="00014F6C"/>
    <w:rsid w:val="00015BC0"/>
    <w:rsid w:val="00015E0B"/>
    <w:rsid w:val="00016453"/>
    <w:rsid w:val="00016C12"/>
    <w:rsid w:val="000172E6"/>
    <w:rsid w:val="000173DF"/>
    <w:rsid w:val="0001F1DF"/>
    <w:rsid w:val="00021545"/>
    <w:rsid w:val="00021B4B"/>
    <w:rsid w:val="00022442"/>
    <w:rsid w:val="00022482"/>
    <w:rsid w:val="0002264B"/>
    <w:rsid w:val="00023077"/>
    <w:rsid w:val="000231F7"/>
    <w:rsid w:val="00023244"/>
    <w:rsid w:val="0002342A"/>
    <w:rsid w:val="000238AC"/>
    <w:rsid w:val="00023E78"/>
    <w:rsid w:val="000240F7"/>
    <w:rsid w:val="000244F9"/>
    <w:rsid w:val="00024C5C"/>
    <w:rsid w:val="0002536B"/>
    <w:rsid w:val="00025526"/>
    <w:rsid w:val="00025DC7"/>
    <w:rsid w:val="00025EF8"/>
    <w:rsid w:val="0002603F"/>
    <w:rsid w:val="00026097"/>
    <w:rsid w:val="000260F9"/>
    <w:rsid w:val="000269A2"/>
    <w:rsid w:val="00026A4E"/>
    <w:rsid w:val="00027761"/>
    <w:rsid w:val="00027969"/>
    <w:rsid w:val="00027C11"/>
    <w:rsid w:val="000300B5"/>
    <w:rsid w:val="000302BD"/>
    <w:rsid w:val="00030536"/>
    <w:rsid w:val="000305B2"/>
    <w:rsid w:val="00030647"/>
    <w:rsid w:val="0003085B"/>
    <w:rsid w:val="000308B8"/>
    <w:rsid w:val="00030946"/>
    <w:rsid w:val="00030AD1"/>
    <w:rsid w:val="0003139D"/>
    <w:rsid w:val="000317F0"/>
    <w:rsid w:val="00031879"/>
    <w:rsid w:val="00031920"/>
    <w:rsid w:val="00031D7B"/>
    <w:rsid w:val="00031F69"/>
    <w:rsid w:val="00031FC4"/>
    <w:rsid w:val="00032069"/>
    <w:rsid w:val="000329FE"/>
    <w:rsid w:val="00032BE5"/>
    <w:rsid w:val="00032E01"/>
    <w:rsid w:val="00033139"/>
    <w:rsid w:val="000331D7"/>
    <w:rsid w:val="00033510"/>
    <w:rsid w:val="000339AB"/>
    <w:rsid w:val="00033D6E"/>
    <w:rsid w:val="00033EBF"/>
    <w:rsid w:val="000341CF"/>
    <w:rsid w:val="00034D14"/>
    <w:rsid w:val="00034F25"/>
    <w:rsid w:val="00035077"/>
    <w:rsid w:val="0003549D"/>
    <w:rsid w:val="00035AE6"/>
    <w:rsid w:val="000365F3"/>
    <w:rsid w:val="00036604"/>
    <w:rsid w:val="00036769"/>
    <w:rsid w:val="00036AC0"/>
    <w:rsid w:val="00037144"/>
    <w:rsid w:val="00037449"/>
    <w:rsid w:val="000376E9"/>
    <w:rsid w:val="000403A5"/>
    <w:rsid w:val="00040651"/>
    <w:rsid w:val="00040B5D"/>
    <w:rsid w:val="00040DBB"/>
    <w:rsid w:val="00041374"/>
    <w:rsid w:val="0004187B"/>
    <w:rsid w:val="00042101"/>
    <w:rsid w:val="000423D8"/>
    <w:rsid w:val="00042578"/>
    <w:rsid w:val="000425D4"/>
    <w:rsid w:val="000428AC"/>
    <w:rsid w:val="00042C30"/>
    <w:rsid w:val="00043286"/>
    <w:rsid w:val="00043402"/>
    <w:rsid w:val="00044FA8"/>
    <w:rsid w:val="0004535E"/>
    <w:rsid w:val="00045A1E"/>
    <w:rsid w:val="00045B04"/>
    <w:rsid w:val="00045B3F"/>
    <w:rsid w:val="00046063"/>
    <w:rsid w:val="00046816"/>
    <w:rsid w:val="000469B5"/>
    <w:rsid w:val="00046C0C"/>
    <w:rsid w:val="00047127"/>
    <w:rsid w:val="0004737D"/>
    <w:rsid w:val="00050555"/>
    <w:rsid w:val="0005056E"/>
    <w:rsid w:val="0005085E"/>
    <w:rsid w:val="00051561"/>
    <w:rsid w:val="00051C19"/>
    <w:rsid w:val="00051EE2"/>
    <w:rsid w:val="0005213F"/>
    <w:rsid w:val="0005296A"/>
    <w:rsid w:val="00053389"/>
    <w:rsid w:val="00053633"/>
    <w:rsid w:val="00053D66"/>
    <w:rsid w:val="00053F5C"/>
    <w:rsid w:val="00054624"/>
    <w:rsid w:val="000547EB"/>
    <w:rsid w:val="00054B6B"/>
    <w:rsid w:val="00054EE3"/>
    <w:rsid w:val="00054F06"/>
    <w:rsid w:val="0005506B"/>
    <w:rsid w:val="00055495"/>
    <w:rsid w:val="00055C3A"/>
    <w:rsid w:val="00055E26"/>
    <w:rsid w:val="00055E34"/>
    <w:rsid w:val="00056800"/>
    <w:rsid w:val="000570DC"/>
    <w:rsid w:val="0006081C"/>
    <w:rsid w:val="00061064"/>
    <w:rsid w:val="00061A07"/>
    <w:rsid w:val="00061E4A"/>
    <w:rsid w:val="00061F4B"/>
    <w:rsid w:val="00062420"/>
    <w:rsid w:val="00062455"/>
    <w:rsid w:val="000628FB"/>
    <w:rsid w:val="00062F6E"/>
    <w:rsid w:val="0006302A"/>
    <w:rsid w:val="00063103"/>
    <w:rsid w:val="000634E4"/>
    <w:rsid w:val="000635B9"/>
    <w:rsid w:val="000636E8"/>
    <w:rsid w:val="0006377F"/>
    <w:rsid w:val="00064719"/>
    <w:rsid w:val="00064931"/>
    <w:rsid w:val="00065749"/>
    <w:rsid w:val="00065AD4"/>
    <w:rsid w:val="00065C56"/>
    <w:rsid w:val="00065EAD"/>
    <w:rsid w:val="00066149"/>
    <w:rsid w:val="00066890"/>
    <w:rsid w:val="00066A1B"/>
    <w:rsid w:val="00066F1E"/>
    <w:rsid w:val="00066FE9"/>
    <w:rsid w:val="000673CE"/>
    <w:rsid w:val="00067581"/>
    <w:rsid w:val="000675CE"/>
    <w:rsid w:val="000675D4"/>
    <w:rsid w:val="000676A7"/>
    <w:rsid w:val="00067824"/>
    <w:rsid w:val="00067E20"/>
    <w:rsid w:val="00067F6C"/>
    <w:rsid w:val="000701B6"/>
    <w:rsid w:val="00070727"/>
    <w:rsid w:val="0007086B"/>
    <w:rsid w:val="00071122"/>
    <w:rsid w:val="00071421"/>
    <w:rsid w:val="000716F6"/>
    <w:rsid w:val="000717F0"/>
    <w:rsid w:val="00071D32"/>
    <w:rsid w:val="000727CC"/>
    <w:rsid w:val="0007297F"/>
    <w:rsid w:val="00072DA0"/>
    <w:rsid w:val="00073308"/>
    <w:rsid w:val="00073871"/>
    <w:rsid w:val="0007402E"/>
    <w:rsid w:val="00074046"/>
    <w:rsid w:val="00074345"/>
    <w:rsid w:val="000750B0"/>
    <w:rsid w:val="0007526F"/>
    <w:rsid w:val="0007580C"/>
    <w:rsid w:val="000758BC"/>
    <w:rsid w:val="00075FC5"/>
    <w:rsid w:val="0007638C"/>
    <w:rsid w:val="000763DF"/>
    <w:rsid w:val="00076971"/>
    <w:rsid w:val="00076BDB"/>
    <w:rsid w:val="00076D02"/>
    <w:rsid w:val="000775A5"/>
    <w:rsid w:val="00077F7F"/>
    <w:rsid w:val="00080699"/>
    <w:rsid w:val="0008076E"/>
    <w:rsid w:val="000820BC"/>
    <w:rsid w:val="0008266F"/>
    <w:rsid w:val="00082CF9"/>
    <w:rsid w:val="000830EF"/>
    <w:rsid w:val="0008343B"/>
    <w:rsid w:val="00083ACA"/>
    <w:rsid w:val="00083BD5"/>
    <w:rsid w:val="00085142"/>
    <w:rsid w:val="000852D2"/>
    <w:rsid w:val="00085929"/>
    <w:rsid w:val="00085F4B"/>
    <w:rsid w:val="00086770"/>
    <w:rsid w:val="000869C6"/>
    <w:rsid w:val="00086BC1"/>
    <w:rsid w:val="0008709F"/>
    <w:rsid w:val="000870AB"/>
    <w:rsid w:val="00087480"/>
    <w:rsid w:val="00087846"/>
    <w:rsid w:val="00087D9B"/>
    <w:rsid w:val="000903A8"/>
    <w:rsid w:val="0009063A"/>
    <w:rsid w:val="0009085E"/>
    <w:rsid w:val="00090AA1"/>
    <w:rsid w:val="000919A3"/>
    <w:rsid w:val="00091E4F"/>
    <w:rsid w:val="000921ED"/>
    <w:rsid w:val="00092477"/>
    <w:rsid w:val="0009247C"/>
    <w:rsid w:val="000930F2"/>
    <w:rsid w:val="00093154"/>
    <w:rsid w:val="00093172"/>
    <w:rsid w:val="0009331B"/>
    <w:rsid w:val="00093333"/>
    <w:rsid w:val="000944DA"/>
    <w:rsid w:val="00094981"/>
    <w:rsid w:val="00094CFA"/>
    <w:rsid w:val="000950C0"/>
    <w:rsid w:val="00095CF6"/>
    <w:rsid w:val="0009626E"/>
    <w:rsid w:val="00096458"/>
    <w:rsid w:val="000968B9"/>
    <w:rsid w:val="00096952"/>
    <w:rsid w:val="0009696D"/>
    <w:rsid w:val="00096C9A"/>
    <w:rsid w:val="0009711A"/>
    <w:rsid w:val="0009769B"/>
    <w:rsid w:val="00097826"/>
    <w:rsid w:val="000978C8"/>
    <w:rsid w:val="00097974"/>
    <w:rsid w:val="000A07D7"/>
    <w:rsid w:val="000A0B84"/>
    <w:rsid w:val="000A0D80"/>
    <w:rsid w:val="000A0F81"/>
    <w:rsid w:val="000A153A"/>
    <w:rsid w:val="000A20AC"/>
    <w:rsid w:val="000A21C2"/>
    <w:rsid w:val="000A2A1E"/>
    <w:rsid w:val="000A2C3C"/>
    <w:rsid w:val="000A2E5C"/>
    <w:rsid w:val="000A2E74"/>
    <w:rsid w:val="000A3400"/>
    <w:rsid w:val="000A371A"/>
    <w:rsid w:val="000A37A4"/>
    <w:rsid w:val="000A3A9E"/>
    <w:rsid w:val="000A3ADC"/>
    <w:rsid w:val="000A3B31"/>
    <w:rsid w:val="000A3B5B"/>
    <w:rsid w:val="000A3DD2"/>
    <w:rsid w:val="000A4548"/>
    <w:rsid w:val="000A4810"/>
    <w:rsid w:val="000A49BC"/>
    <w:rsid w:val="000A4D67"/>
    <w:rsid w:val="000A4F2A"/>
    <w:rsid w:val="000A505A"/>
    <w:rsid w:val="000A512E"/>
    <w:rsid w:val="000A5624"/>
    <w:rsid w:val="000A5BE5"/>
    <w:rsid w:val="000A5C4A"/>
    <w:rsid w:val="000A6545"/>
    <w:rsid w:val="000A6AC6"/>
    <w:rsid w:val="000A6EC8"/>
    <w:rsid w:val="000A72DC"/>
    <w:rsid w:val="000A738F"/>
    <w:rsid w:val="000A75D4"/>
    <w:rsid w:val="000A768F"/>
    <w:rsid w:val="000A76FF"/>
    <w:rsid w:val="000B07FB"/>
    <w:rsid w:val="000B0A7C"/>
    <w:rsid w:val="000B10A8"/>
    <w:rsid w:val="000B1382"/>
    <w:rsid w:val="000B17EA"/>
    <w:rsid w:val="000B1BE5"/>
    <w:rsid w:val="000B1CAD"/>
    <w:rsid w:val="000B37A6"/>
    <w:rsid w:val="000B3B79"/>
    <w:rsid w:val="000B47FD"/>
    <w:rsid w:val="000B4948"/>
    <w:rsid w:val="000B4BF1"/>
    <w:rsid w:val="000B4FB6"/>
    <w:rsid w:val="000B53B2"/>
    <w:rsid w:val="000B55EC"/>
    <w:rsid w:val="000B6589"/>
    <w:rsid w:val="000B65D9"/>
    <w:rsid w:val="000B6884"/>
    <w:rsid w:val="000B6C27"/>
    <w:rsid w:val="000B76CD"/>
    <w:rsid w:val="000B7D88"/>
    <w:rsid w:val="000C0085"/>
    <w:rsid w:val="000C026C"/>
    <w:rsid w:val="000C035E"/>
    <w:rsid w:val="000C0D76"/>
    <w:rsid w:val="000C1790"/>
    <w:rsid w:val="000C1A00"/>
    <w:rsid w:val="000C20D4"/>
    <w:rsid w:val="000C270F"/>
    <w:rsid w:val="000C29BE"/>
    <w:rsid w:val="000C2ABA"/>
    <w:rsid w:val="000C2B3D"/>
    <w:rsid w:val="000C2E62"/>
    <w:rsid w:val="000C2F68"/>
    <w:rsid w:val="000C30E6"/>
    <w:rsid w:val="000C310C"/>
    <w:rsid w:val="000C45B6"/>
    <w:rsid w:val="000C474B"/>
    <w:rsid w:val="000C4757"/>
    <w:rsid w:val="000C4895"/>
    <w:rsid w:val="000C48AD"/>
    <w:rsid w:val="000C4CE9"/>
    <w:rsid w:val="000C50F1"/>
    <w:rsid w:val="000C55F8"/>
    <w:rsid w:val="000C5E69"/>
    <w:rsid w:val="000C6399"/>
    <w:rsid w:val="000C66A1"/>
    <w:rsid w:val="000C67C5"/>
    <w:rsid w:val="000C709B"/>
    <w:rsid w:val="000C7193"/>
    <w:rsid w:val="000D163B"/>
    <w:rsid w:val="000D1A53"/>
    <w:rsid w:val="000D1E89"/>
    <w:rsid w:val="000D25E8"/>
    <w:rsid w:val="000D2D0E"/>
    <w:rsid w:val="000D2E33"/>
    <w:rsid w:val="000D3860"/>
    <w:rsid w:val="000D39B3"/>
    <w:rsid w:val="000D3A97"/>
    <w:rsid w:val="000D46D6"/>
    <w:rsid w:val="000D4C08"/>
    <w:rsid w:val="000D4DED"/>
    <w:rsid w:val="000D5567"/>
    <w:rsid w:val="000D5B98"/>
    <w:rsid w:val="000D697C"/>
    <w:rsid w:val="000D6DD1"/>
    <w:rsid w:val="000D6DFB"/>
    <w:rsid w:val="000D6E9C"/>
    <w:rsid w:val="000D708A"/>
    <w:rsid w:val="000D7DF9"/>
    <w:rsid w:val="000E0087"/>
    <w:rsid w:val="000E013D"/>
    <w:rsid w:val="000E05D0"/>
    <w:rsid w:val="000E0972"/>
    <w:rsid w:val="000E0A94"/>
    <w:rsid w:val="000E0F20"/>
    <w:rsid w:val="000E1684"/>
    <w:rsid w:val="000E20AA"/>
    <w:rsid w:val="000E2942"/>
    <w:rsid w:val="000E30DF"/>
    <w:rsid w:val="000E32A4"/>
    <w:rsid w:val="000E3338"/>
    <w:rsid w:val="000E33A2"/>
    <w:rsid w:val="000E46F4"/>
    <w:rsid w:val="000E4982"/>
    <w:rsid w:val="000E4F64"/>
    <w:rsid w:val="000E51D8"/>
    <w:rsid w:val="000E526B"/>
    <w:rsid w:val="000E542B"/>
    <w:rsid w:val="000E559F"/>
    <w:rsid w:val="000E57CA"/>
    <w:rsid w:val="000E5C1D"/>
    <w:rsid w:val="000E629D"/>
    <w:rsid w:val="000E6613"/>
    <w:rsid w:val="000E6865"/>
    <w:rsid w:val="000E74AD"/>
    <w:rsid w:val="000E783E"/>
    <w:rsid w:val="000F0838"/>
    <w:rsid w:val="000F1124"/>
    <w:rsid w:val="000F13A6"/>
    <w:rsid w:val="000F1862"/>
    <w:rsid w:val="000F1A43"/>
    <w:rsid w:val="000F1F31"/>
    <w:rsid w:val="000F21C7"/>
    <w:rsid w:val="000F2251"/>
    <w:rsid w:val="000F22A9"/>
    <w:rsid w:val="000F2450"/>
    <w:rsid w:val="000F26C8"/>
    <w:rsid w:val="000F2DAF"/>
    <w:rsid w:val="000F39EA"/>
    <w:rsid w:val="000F4258"/>
    <w:rsid w:val="000F47BA"/>
    <w:rsid w:val="000F601E"/>
    <w:rsid w:val="000F6220"/>
    <w:rsid w:val="000F68DD"/>
    <w:rsid w:val="000F6D2B"/>
    <w:rsid w:val="000F6D7A"/>
    <w:rsid w:val="000F7E0D"/>
    <w:rsid w:val="0010019F"/>
    <w:rsid w:val="00100566"/>
    <w:rsid w:val="00100AEC"/>
    <w:rsid w:val="00100C43"/>
    <w:rsid w:val="00100F98"/>
    <w:rsid w:val="00100FDD"/>
    <w:rsid w:val="001021B5"/>
    <w:rsid w:val="00102249"/>
    <w:rsid w:val="00102CFA"/>
    <w:rsid w:val="00102F03"/>
    <w:rsid w:val="001033CB"/>
    <w:rsid w:val="001038F7"/>
    <w:rsid w:val="00103CE7"/>
    <w:rsid w:val="00103D17"/>
    <w:rsid w:val="00103D57"/>
    <w:rsid w:val="00103FBA"/>
    <w:rsid w:val="00104448"/>
    <w:rsid w:val="00104948"/>
    <w:rsid w:val="00104EFE"/>
    <w:rsid w:val="00104FAA"/>
    <w:rsid w:val="001053B5"/>
    <w:rsid w:val="00105609"/>
    <w:rsid w:val="00105647"/>
    <w:rsid w:val="0010566D"/>
    <w:rsid w:val="00105880"/>
    <w:rsid w:val="00105CD9"/>
    <w:rsid w:val="0010652E"/>
    <w:rsid w:val="001069F0"/>
    <w:rsid w:val="00106BD9"/>
    <w:rsid w:val="00107443"/>
    <w:rsid w:val="001076C1"/>
    <w:rsid w:val="001076E3"/>
    <w:rsid w:val="00107CAA"/>
    <w:rsid w:val="001106CF"/>
    <w:rsid w:val="00110C97"/>
    <w:rsid w:val="0011105D"/>
    <w:rsid w:val="001110BB"/>
    <w:rsid w:val="0011111F"/>
    <w:rsid w:val="0011192A"/>
    <w:rsid w:val="00112412"/>
    <w:rsid w:val="00112415"/>
    <w:rsid w:val="001129E6"/>
    <w:rsid w:val="00112AA9"/>
    <w:rsid w:val="00112BEA"/>
    <w:rsid w:val="00112DC9"/>
    <w:rsid w:val="00113DF1"/>
    <w:rsid w:val="0011442A"/>
    <w:rsid w:val="00114500"/>
    <w:rsid w:val="001147AB"/>
    <w:rsid w:val="0011499F"/>
    <w:rsid w:val="00114FDE"/>
    <w:rsid w:val="001150EC"/>
    <w:rsid w:val="0011534D"/>
    <w:rsid w:val="00115472"/>
    <w:rsid w:val="001159B0"/>
    <w:rsid w:val="00115ACC"/>
    <w:rsid w:val="00116FAD"/>
    <w:rsid w:val="001173CB"/>
    <w:rsid w:val="00117B08"/>
    <w:rsid w:val="0012006A"/>
    <w:rsid w:val="00120979"/>
    <w:rsid w:val="00120B45"/>
    <w:rsid w:val="00120C9B"/>
    <w:rsid w:val="00120D0C"/>
    <w:rsid w:val="00121781"/>
    <w:rsid w:val="001229C6"/>
    <w:rsid w:val="00122DD3"/>
    <w:rsid w:val="001230BB"/>
    <w:rsid w:val="00123DB9"/>
    <w:rsid w:val="00124083"/>
    <w:rsid w:val="00124DCC"/>
    <w:rsid w:val="00125389"/>
    <w:rsid w:val="00125B2D"/>
    <w:rsid w:val="00126318"/>
    <w:rsid w:val="001269EC"/>
    <w:rsid w:val="00126B85"/>
    <w:rsid w:val="00126F1D"/>
    <w:rsid w:val="00127113"/>
    <w:rsid w:val="0012781C"/>
    <w:rsid w:val="00127832"/>
    <w:rsid w:val="001279CF"/>
    <w:rsid w:val="00127A6C"/>
    <w:rsid w:val="00127D01"/>
    <w:rsid w:val="00127E34"/>
    <w:rsid w:val="00130492"/>
    <w:rsid w:val="001307CC"/>
    <w:rsid w:val="001311F3"/>
    <w:rsid w:val="00131244"/>
    <w:rsid w:val="00131259"/>
    <w:rsid w:val="001312DD"/>
    <w:rsid w:val="00131EDC"/>
    <w:rsid w:val="00131F20"/>
    <w:rsid w:val="001324F7"/>
    <w:rsid w:val="0013258D"/>
    <w:rsid w:val="001329DF"/>
    <w:rsid w:val="00133969"/>
    <w:rsid w:val="00133D35"/>
    <w:rsid w:val="00134A86"/>
    <w:rsid w:val="00136427"/>
    <w:rsid w:val="00136615"/>
    <w:rsid w:val="00136A77"/>
    <w:rsid w:val="00136F3A"/>
    <w:rsid w:val="00136FFA"/>
    <w:rsid w:val="001372BF"/>
    <w:rsid w:val="001378F8"/>
    <w:rsid w:val="00137902"/>
    <w:rsid w:val="00137AE7"/>
    <w:rsid w:val="00137BF7"/>
    <w:rsid w:val="00141755"/>
    <w:rsid w:val="00141867"/>
    <w:rsid w:val="001421E7"/>
    <w:rsid w:val="00142201"/>
    <w:rsid w:val="001427DD"/>
    <w:rsid w:val="00143323"/>
    <w:rsid w:val="00143671"/>
    <w:rsid w:val="0014371D"/>
    <w:rsid w:val="0014395B"/>
    <w:rsid w:val="0014396B"/>
    <w:rsid w:val="00143A72"/>
    <w:rsid w:val="00143B08"/>
    <w:rsid w:val="001440BA"/>
    <w:rsid w:val="001448DA"/>
    <w:rsid w:val="00144989"/>
    <w:rsid w:val="0014507E"/>
    <w:rsid w:val="001455D3"/>
    <w:rsid w:val="0014562B"/>
    <w:rsid w:val="00145B7A"/>
    <w:rsid w:val="001460B9"/>
    <w:rsid w:val="0014632B"/>
    <w:rsid w:val="00146742"/>
    <w:rsid w:val="00146ACD"/>
    <w:rsid w:val="00146B08"/>
    <w:rsid w:val="00146EB4"/>
    <w:rsid w:val="001472B3"/>
    <w:rsid w:val="00147B71"/>
    <w:rsid w:val="001496F9"/>
    <w:rsid w:val="00150883"/>
    <w:rsid w:val="00150B89"/>
    <w:rsid w:val="001512A4"/>
    <w:rsid w:val="001515A9"/>
    <w:rsid w:val="001517BF"/>
    <w:rsid w:val="00151BD6"/>
    <w:rsid w:val="00152168"/>
    <w:rsid w:val="0015287A"/>
    <w:rsid w:val="00152AC5"/>
    <w:rsid w:val="00152DAC"/>
    <w:rsid w:val="0015317C"/>
    <w:rsid w:val="001535A9"/>
    <w:rsid w:val="00153926"/>
    <w:rsid w:val="00153D99"/>
    <w:rsid w:val="001547B0"/>
    <w:rsid w:val="00154BE0"/>
    <w:rsid w:val="00154CB3"/>
    <w:rsid w:val="00154E1E"/>
    <w:rsid w:val="00154E61"/>
    <w:rsid w:val="00155796"/>
    <w:rsid w:val="00155A35"/>
    <w:rsid w:val="001564C9"/>
    <w:rsid w:val="00156A0E"/>
    <w:rsid w:val="001571D7"/>
    <w:rsid w:val="00157C6D"/>
    <w:rsid w:val="0016081F"/>
    <w:rsid w:val="00160A8C"/>
    <w:rsid w:val="00160A95"/>
    <w:rsid w:val="00160EA4"/>
    <w:rsid w:val="00160EF9"/>
    <w:rsid w:val="0016137F"/>
    <w:rsid w:val="001620E9"/>
    <w:rsid w:val="001621DF"/>
    <w:rsid w:val="0016284E"/>
    <w:rsid w:val="00162C5D"/>
    <w:rsid w:val="00162C99"/>
    <w:rsid w:val="00162CFD"/>
    <w:rsid w:val="00162F08"/>
    <w:rsid w:val="00163877"/>
    <w:rsid w:val="0016398D"/>
    <w:rsid w:val="00163D87"/>
    <w:rsid w:val="001642C6"/>
    <w:rsid w:val="00164527"/>
    <w:rsid w:val="00164A12"/>
    <w:rsid w:val="00164D35"/>
    <w:rsid w:val="00165868"/>
    <w:rsid w:val="0016596C"/>
    <w:rsid w:val="00165FFB"/>
    <w:rsid w:val="0016626A"/>
    <w:rsid w:val="00166BF5"/>
    <w:rsid w:val="00166FC4"/>
    <w:rsid w:val="00167063"/>
    <w:rsid w:val="00167137"/>
    <w:rsid w:val="001673A0"/>
    <w:rsid w:val="00167562"/>
    <w:rsid w:val="00167588"/>
    <w:rsid w:val="00167673"/>
    <w:rsid w:val="0017037D"/>
    <w:rsid w:val="00170567"/>
    <w:rsid w:val="0017074C"/>
    <w:rsid w:val="00170D75"/>
    <w:rsid w:val="0017112D"/>
    <w:rsid w:val="001713EE"/>
    <w:rsid w:val="00171632"/>
    <w:rsid w:val="0017188B"/>
    <w:rsid w:val="00171BAB"/>
    <w:rsid w:val="00171BE9"/>
    <w:rsid w:val="00171CB0"/>
    <w:rsid w:val="00171E07"/>
    <w:rsid w:val="00171FF2"/>
    <w:rsid w:val="00172263"/>
    <w:rsid w:val="0017259E"/>
    <w:rsid w:val="001728E6"/>
    <w:rsid w:val="00172D1F"/>
    <w:rsid w:val="001734A3"/>
    <w:rsid w:val="0017381C"/>
    <w:rsid w:val="00173A7F"/>
    <w:rsid w:val="0017443C"/>
    <w:rsid w:val="0017460C"/>
    <w:rsid w:val="00174898"/>
    <w:rsid w:val="001752CF"/>
    <w:rsid w:val="001752DE"/>
    <w:rsid w:val="0017543F"/>
    <w:rsid w:val="0017572D"/>
    <w:rsid w:val="00176146"/>
    <w:rsid w:val="00176D81"/>
    <w:rsid w:val="00177435"/>
    <w:rsid w:val="0017785C"/>
    <w:rsid w:val="00177A03"/>
    <w:rsid w:val="0017D093"/>
    <w:rsid w:val="0018024E"/>
    <w:rsid w:val="0018047B"/>
    <w:rsid w:val="001804AF"/>
    <w:rsid w:val="001805FF"/>
    <w:rsid w:val="00180F96"/>
    <w:rsid w:val="0018143D"/>
    <w:rsid w:val="00181A50"/>
    <w:rsid w:val="00181AC7"/>
    <w:rsid w:val="00181ED3"/>
    <w:rsid w:val="00182675"/>
    <w:rsid w:val="001828B5"/>
    <w:rsid w:val="00182AA9"/>
    <w:rsid w:val="001830F7"/>
    <w:rsid w:val="00183493"/>
    <w:rsid w:val="00183573"/>
    <w:rsid w:val="0018372E"/>
    <w:rsid w:val="00183B85"/>
    <w:rsid w:val="001840B2"/>
    <w:rsid w:val="001844F0"/>
    <w:rsid w:val="00184C67"/>
    <w:rsid w:val="00185200"/>
    <w:rsid w:val="00185659"/>
    <w:rsid w:val="00185B6D"/>
    <w:rsid w:val="001864CF"/>
    <w:rsid w:val="001905DC"/>
    <w:rsid w:val="00190AF9"/>
    <w:rsid w:val="00190D3D"/>
    <w:rsid w:val="00190F09"/>
    <w:rsid w:val="00191002"/>
    <w:rsid w:val="001912DA"/>
    <w:rsid w:val="0019148C"/>
    <w:rsid w:val="0019199A"/>
    <w:rsid w:val="001924AB"/>
    <w:rsid w:val="00192D30"/>
    <w:rsid w:val="00192EE8"/>
    <w:rsid w:val="001931AA"/>
    <w:rsid w:val="0019320C"/>
    <w:rsid w:val="0019321F"/>
    <w:rsid w:val="0019377B"/>
    <w:rsid w:val="00193C3B"/>
    <w:rsid w:val="00193EB9"/>
    <w:rsid w:val="00193EC9"/>
    <w:rsid w:val="00194071"/>
    <w:rsid w:val="001943E9"/>
    <w:rsid w:val="00194490"/>
    <w:rsid w:val="00194872"/>
    <w:rsid w:val="001949E3"/>
    <w:rsid w:val="00195311"/>
    <w:rsid w:val="0019531E"/>
    <w:rsid w:val="0019575C"/>
    <w:rsid w:val="001962E4"/>
    <w:rsid w:val="001967F4"/>
    <w:rsid w:val="00196E99"/>
    <w:rsid w:val="00197049"/>
    <w:rsid w:val="00197188"/>
    <w:rsid w:val="00197826"/>
    <w:rsid w:val="001979EC"/>
    <w:rsid w:val="00197F1F"/>
    <w:rsid w:val="00197FCB"/>
    <w:rsid w:val="001A05F0"/>
    <w:rsid w:val="001A0602"/>
    <w:rsid w:val="001A07CD"/>
    <w:rsid w:val="001A0917"/>
    <w:rsid w:val="001A0D2E"/>
    <w:rsid w:val="001A1198"/>
    <w:rsid w:val="001A11DD"/>
    <w:rsid w:val="001A11E4"/>
    <w:rsid w:val="001A137F"/>
    <w:rsid w:val="001A1685"/>
    <w:rsid w:val="001A1728"/>
    <w:rsid w:val="001A1792"/>
    <w:rsid w:val="001A1970"/>
    <w:rsid w:val="001A1B64"/>
    <w:rsid w:val="001A2275"/>
    <w:rsid w:val="001A23DC"/>
    <w:rsid w:val="001A2BE0"/>
    <w:rsid w:val="001A336D"/>
    <w:rsid w:val="001A374E"/>
    <w:rsid w:val="001A376F"/>
    <w:rsid w:val="001A37E0"/>
    <w:rsid w:val="001A3A0F"/>
    <w:rsid w:val="001A3F03"/>
    <w:rsid w:val="001A41B5"/>
    <w:rsid w:val="001A46CD"/>
    <w:rsid w:val="001A48E6"/>
    <w:rsid w:val="001A4B4B"/>
    <w:rsid w:val="001A4E2A"/>
    <w:rsid w:val="001A4EDD"/>
    <w:rsid w:val="001A5195"/>
    <w:rsid w:val="001A51E0"/>
    <w:rsid w:val="001A5263"/>
    <w:rsid w:val="001A5E5E"/>
    <w:rsid w:val="001A61D4"/>
    <w:rsid w:val="001A6BC4"/>
    <w:rsid w:val="001A7442"/>
    <w:rsid w:val="001A7C2E"/>
    <w:rsid w:val="001A7E5B"/>
    <w:rsid w:val="001B0130"/>
    <w:rsid w:val="001B0434"/>
    <w:rsid w:val="001B096B"/>
    <w:rsid w:val="001B1972"/>
    <w:rsid w:val="001B1BB4"/>
    <w:rsid w:val="001B1CC1"/>
    <w:rsid w:val="001B24FC"/>
    <w:rsid w:val="001B2DA2"/>
    <w:rsid w:val="001B2F2E"/>
    <w:rsid w:val="001B2FE9"/>
    <w:rsid w:val="001B3039"/>
    <w:rsid w:val="001B30D7"/>
    <w:rsid w:val="001B35DE"/>
    <w:rsid w:val="001B35EE"/>
    <w:rsid w:val="001B3875"/>
    <w:rsid w:val="001B3D84"/>
    <w:rsid w:val="001B45F4"/>
    <w:rsid w:val="001B4A81"/>
    <w:rsid w:val="001B57EE"/>
    <w:rsid w:val="001B5BDB"/>
    <w:rsid w:val="001B64E4"/>
    <w:rsid w:val="001B6A1D"/>
    <w:rsid w:val="001C0177"/>
    <w:rsid w:val="001C01BE"/>
    <w:rsid w:val="001C0A11"/>
    <w:rsid w:val="001C0A38"/>
    <w:rsid w:val="001C12A0"/>
    <w:rsid w:val="001C197F"/>
    <w:rsid w:val="001C1F62"/>
    <w:rsid w:val="001C2301"/>
    <w:rsid w:val="001C2881"/>
    <w:rsid w:val="001C2AE0"/>
    <w:rsid w:val="001C2E4B"/>
    <w:rsid w:val="001C3057"/>
    <w:rsid w:val="001C3237"/>
    <w:rsid w:val="001C3284"/>
    <w:rsid w:val="001C353D"/>
    <w:rsid w:val="001C38F1"/>
    <w:rsid w:val="001C40AB"/>
    <w:rsid w:val="001C433E"/>
    <w:rsid w:val="001C46DA"/>
    <w:rsid w:val="001C47C8"/>
    <w:rsid w:val="001C4AC4"/>
    <w:rsid w:val="001C54B3"/>
    <w:rsid w:val="001C5733"/>
    <w:rsid w:val="001C5F5C"/>
    <w:rsid w:val="001C700B"/>
    <w:rsid w:val="001C711D"/>
    <w:rsid w:val="001C73B8"/>
    <w:rsid w:val="001C7F64"/>
    <w:rsid w:val="001D0CE8"/>
    <w:rsid w:val="001D0E45"/>
    <w:rsid w:val="001D11AF"/>
    <w:rsid w:val="001D155F"/>
    <w:rsid w:val="001D15CE"/>
    <w:rsid w:val="001D1AED"/>
    <w:rsid w:val="001D1B6F"/>
    <w:rsid w:val="001D234D"/>
    <w:rsid w:val="001D283D"/>
    <w:rsid w:val="001D2BEE"/>
    <w:rsid w:val="001D2F75"/>
    <w:rsid w:val="001D33F1"/>
    <w:rsid w:val="001D3529"/>
    <w:rsid w:val="001D375B"/>
    <w:rsid w:val="001D3B61"/>
    <w:rsid w:val="001D3BB5"/>
    <w:rsid w:val="001D4155"/>
    <w:rsid w:val="001D4239"/>
    <w:rsid w:val="001D4593"/>
    <w:rsid w:val="001D45C2"/>
    <w:rsid w:val="001D47AD"/>
    <w:rsid w:val="001D50E0"/>
    <w:rsid w:val="001D51C1"/>
    <w:rsid w:val="001D594D"/>
    <w:rsid w:val="001D5CF9"/>
    <w:rsid w:val="001D5E09"/>
    <w:rsid w:val="001D5E61"/>
    <w:rsid w:val="001D60CC"/>
    <w:rsid w:val="001D6212"/>
    <w:rsid w:val="001D641D"/>
    <w:rsid w:val="001D65CC"/>
    <w:rsid w:val="001D679B"/>
    <w:rsid w:val="001D6EBC"/>
    <w:rsid w:val="001D7532"/>
    <w:rsid w:val="001E025F"/>
    <w:rsid w:val="001E1310"/>
    <w:rsid w:val="001E1B6B"/>
    <w:rsid w:val="001E1F1D"/>
    <w:rsid w:val="001E2119"/>
    <w:rsid w:val="001E21FB"/>
    <w:rsid w:val="001E2573"/>
    <w:rsid w:val="001E28B2"/>
    <w:rsid w:val="001E2F2D"/>
    <w:rsid w:val="001E3334"/>
    <w:rsid w:val="001E335A"/>
    <w:rsid w:val="001E3DEE"/>
    <w:rsid w:val="001E40D5"/>
    <w:rsid w:val="001E41A2"/>
    <w:rsid w:val="001E4354"/>
    <w:rsid w:val="001E47DC"/>
    <w:rsid w:val="001E4A14"/>
    <w:rsid w:val="001E514B"/>
    <w:rsid w:val="001E53DF"/>
    <w:rsid w:val="001E5A81"/>
    <w:rsid w:val="001E5D91"/>
    <w:rsid w:val="001E5F70"/>
    <w:rsid w:val="001E62D5"/>
    <w:rsid w:val="001E698B"/>
    <w:rsid w:val="001E6C54"/>
    <w:rsid w:val="001E6CF7"/>
    <w:rsid w:val="001E6FE8"/>
    <w:rsid w:val="001E7518"/>
    <w:rsid w:val="001F016C"/>
    <w:rsid w:val="001F0366"/>
    <w:rsid w:val="001F0C88"/>
    <w:rsid w:val="001F0FC8"/>
    <w:rsid w:val="001F146E"/>
    <w:rsid w:val="001F20B6"/>
    <w:rsid w:val="001F2485"/>
    <w:rsid w:val="001F39E8"/>
    <w:rsid w:val="001F3A70"/>
    <w:rsid w:val="001F3D84"/>
    <w:rsid w:val="001F423E"/>
    <w:rsid w:val="001F4820"/>
    <w:rsid w:val="001F497F"/>
    <w:rsid w:val="001F4D37"/>
    <w:rsid w:val="001F4DE4"/>
    <w:rsid w:val="001F5863"/>
    <w:rsid w:val="001F5B63"/>
    <w:rsid w:val="001F5EDC"/>
    <w:rsid w:val="001F6153"/>
    <w:rsid w:val="001F6BE4"/>
    <w:rsid w:val="001F6D39"/>
    <w:rsid w:val="001F718F"/>
    <w:rsid w:val="001F7195"/>
    <w:rsid w:val="001F7601"/>
    <w:rsid w:val="001F76EE"/>
    <w:rsid w:val="001F7A63"/>
    <w:rsid w:val="001F7CFC"/>
    <w:rsid w:val="001F7F36"/>
    <w:rsid w:val="00200FB9"/>
    <w:rsid w:val="002010BD"/>
    <w:rsid w:val="00201661"/>
    <w:rsid w:val="00201845"/>
    <w:rsid w:val="002019E7"/>
    <w:rsid w:val="00203858"/>
    <w:rsid w:val="00203BC9"/>
    <w:rsid w:val="00203C61"/>
    <w:rsid w:val="00203CF7"/>
    <w:rsid w:val="002040E6"/>
    <w:rsid w:val="0020442C"/>
    <w:rsid w:val="002049FC"/>
    <w:rsid w:val="002050B2"/>
    <w:rsid w:val="00205150"/>
    <w:rsid w:val="002064C3"/>
    <w:rsid w:val="002069D0"/>
    <w:rsid w:val="00206B7B"/>
    <w:rsid w:val="002079ED"/>
    <w:rsid w:val="00207A77"/>
    <w:rsid w:val="00207BEA"/>
    <w:rsid w:val="00210270"/>
    <w:rsid w:val="00210320"/>
    <w:rsid w:val="0021058B"/>
    <w:rsid w:val="0021074E"/>
    <w:rsid w:val="00211128"/>
    <w:rsid w:val="002113B2"/>
    <w:rsid w:val="0021144C"/>
    <w:rsid w:val="00211747"/>
    <w:rsid w:val="002118DC"/>
    <w:rsid w:val="00211FB4"/>
    <w:rsid w:val="00212147"/>
    <w:rsid w:val="00212F63"/>
    <w:rsid w:val="002139DD"/>
    <w:rsid w:val="002144A4"/>
    <w:rsid w:val="00214978"/>
    <w:rsid w:val="00215694"/>
    <w:rsid w:val="00215798"/>
    <w:rsid w:val="00216147"/>
    <w:rsid w:val="002163A8"/>
    <w:rsid w:val="002166AA"/>
    <w:rsid w:val="00217536"/>
    <w:rsid w:val="0022059E"/>
    <w:rsid w:val="00220E26"/>
    <w:rsid w:val="002211E4"/>
    <w:rsid w:val="002212BF"/>
    <w:rsid w:val="00221BA4"/>
    <w:rsid w:val="00221EEE"/>
    <w:rsid w:val="00222AAA"/>
    <w:rsid w:val="00223AF7"/>
    <w:rsid w:val="00224185"/>
    <w:rsid w:val="0022453C"/>
    <w:rsid w:val="00224825"/>
    <w:rsid w:val="00224D04"/>
    <w:rsid w:val="00224FFF"/>
    <w:rsid w:val="0022589A"/>
    <w:rsid w:val="00226713"/>
    <w:rsid w:val="00226C7A"/>
    <w:rsid w:val="00230375"/>
    <w:rsid w:val="0023091D"/>
    <w:rsid w:val="00230E2E"/>
    <w:rsid w:val="002311EF"/>
    <w:rsid w:val="00231270"/>
    <w:rsid w:val="002318C5"/>
    <w:rsid w:val="00231E5F"/>
    <w:rsid w:val="00232481"/>
    <w:rsid w:val="0023265C"/>
    <w:rsid w:val="00233075"/>
    <w:rsid w:val="002337A6"/>
    <w:rsid w:val="00233D86"/>
    <w:rsid w:val="002342D2"/>
    <w:rsid w:val="00234576"/>
    <w:rsid w:val="00234627"/>
    <w:rsid w:val="002346C2"/>
    <w:rsid w:val="00234D0E"/>
    <w:rsid w:val="00235810"/>
    <w:rsid w:val="00235E8B"/>
    <w:rsid w:val="0023682F"/>
    <w:rsid w:val="0023792F"/>
    <w:rsid w:val="00237ABB"/>
    <w:rsid w:val="00237EC2"/>
    <w:rsid w:val="00240387"/>
    <w:rsid w:val="00240B0B"/>
    <w:rsid w:val="00241522"/>
    <w:rsid w:val="002418D4"/>
    <w:rsid w:val="00241B01"/>
    <w:rsid w:val="00241CAE"/>
    <w:rsid w:val="00241D1E"/>
    <w:rsid w:val="00241D52"/>
    <w:rsid w:val="00243213"/>
    <w:rsid w:val="0024342A"/>
    <w:rsid w:val="0024347D"/>
    <w:rsid w:val="00243BEC"/>
    <w:rsid w:val="002442BD"/>
    <w:rsid w:val="002447D5"/>
    <w:rsid w:val="0024480F"/>
    <w:rsid w:val="00244D81"/>
    <w:rsid w:val="00245DF7"/>
    <w:rsid w:val="002460A7"/>
    <w:rsid w:val="00246B5D"/>
    <w:rsid w:val="00246CDD"/>
    <w:rsid w:val="00247092"/>
    <w:rsid w:val="002470FC"/>
    <w:rsid w:val="00247283"/>
    <w:rsid w:val="002477CD"/>
    <w:rsid w:val="00247CDE"/>
    <w:rsid w:val="00247D5C"/>
    <w:rsid w:val="00247FDE"/>
    <w:rsid w:val="002501C2"/>
    <w:rsid w:val="002505DC"/>
    <w:rsid w:val="002506C8"/>
    <w:rsid w:val="0025090B"/>
    <w:rsid w:val="00250D13"/>
    <w:rsid w:val="0025146E"/>
    <w:rsid w:val="00251600"/>
    <w:rsid w:val="00251CAE"/>
    <w:rsid w:val="00251F44"/>
    <w:rsid w:val="002528B5"/>
    <w:rsid w:val="00252C48"/>
    <w:rsid w:val="0025312D"/>
    <w:rsid w:val="0025374C"/>
    <w:rsid w:val="00253DA2"/>
    <w:rsid w:val="00253F2C"/>
    <w:rsid w:val="0025443F"/>
    <w:rsid w:val="00254473"/>
    <w:rsid w:val="0025482A"/>
    <w:rsid w:val="00255A05"/>
    <w:rsid w:val="00256257"/>
    <w:rsid w:val="002564DF"/>
    <w:rsid w:val="002567EC"/>
    <w:rsid w:val="002568D5"/>
    <w:rsid w:val="002568F3"/>
    <w:rsid w:val="00256ADA"/>
    <w:rsid w:val="00256B5B"/>
    <w:rsid w:val="00256EB5"/>
    <w:rsid w:val="002576E9"/>
    <w:rsid w:val="002579E0"/>
    <w:rsid w:val="00257A54"/>
    <w:rsid w:val="00257B29"/>
    <w:rsid w:val="00257D96"/>
    <w:rsid w:val="00257EFB"/>
    <w:rsid w:val="002600F4"/>
    <w:rsid w:val="00260179"/>
    <w:rsid w:val="00260684"/>
    <w:rsid w:val="00260C1E"/>
    <w:rsid w:val="00260D42"/>
    <w:rsid w:val="00260FF4"/>
    <w:rsid w:val="002610F0"/>
    <w:rsid w:val="00261537"/>
    <w:rsid w:val="002619F6"/>
    <w:rsid w:val="00261D54"/>
    <w:rsid w:val="002628B1"/>
    <w:rsid w:val="00262B6D"/>
    <w:rsid w:val="00263558"/>
    <w:rsid w:val="00263575"/>
    <w:rsid w:val="002636AC"/>
    <w:rsid w:val="00263901"/>
    <w:rsid w:val="00264840"/>
    <w:rsid w:val="00264D97"/>
    <w:rsid w:val="0026547F"/>
    <w:rsid w:val="00265542"/>
    <w:rsid w:val="002661B8"/>
    <w:rsid w:val="00266329"/>
    <w:rsid w:val="0026675C"/>
    <w:rsid w:val="00266B37"/>
    <w:rsid w:val="00266BB6"/>
    <w:rsid w:val="00267173"/>
    <w:rsid w:val="002671DA"/>
    <w:rsid w:val="00267997"/>
    <w:rsid w:val="00267B55"/>
    <w:rsid w:val="00270033"/>
    <w:rsid w:val="0027018D"/>
    <w:rsid w:val="00270270"/>
    <w:rsid w:val="00270369"/>
    <w:rsid w:val="002703B7"/>
    <w:rsid w:val="002706AF"/>
    <w:rsid w:val="0027077E"/>
    <w:rsid w:val="00270C17"/>
    <w:rsid w:val="00270CAE"/>
    <w:rsid w:val="00270DA8"/>
    <w:rsid w:val="002711AB"/>
    <w:rsid w:val="00271908"/>
    <w:rsid w:val="00271A30"/>
    <w:rsid w:val="00273456"/>
    <w:rsid w:val="00273AC9"/>
    <w:rsid w:val="00274032"/>
    <w:rsid w:val="00274526"/>
    <w:rsid w:val="00274DEB"/>
    <w:rsid w:val="00275483"/>
    <w:rsid w:val="00275B5F"/>
    <w:rsid w:val="0027656E"/>
    <w:rsid w:val="00276637"/>
    <w:rsid w:val="00276AA3"/>
    <w:rsid w:val="002773C2"/>
    <w:rsid w:val="00277AF1"/>
    <w:rsid w:val="002802DE"/>
    <w:rsid w:val="002803FB"/>
    <w:rsid w:val="0028098B"/>
    <w:rsid w:val="00280B0F"/>
    <w:rsid w:val="002812D2"/>
    <w:rsid w:val="00281FC1"/>
    <w:rsid w:val="002820C4"/>
    <w:rsid w:val="00282219"/>
    <w:rsid w:val="00282A37"/>
    <w:rsid w:val="00282AF0"/>
    <w:rsid w:val="00282BEA"/>
    <w:rsid w:val="002834B6"/>
    <w:rsid w:val="00284124"/>
    <w:rsid w:val="002849F1"/>
    <w:rsid w:val="00284AA3"/>
    <w:rsid w:val="002853A1"/>
    <w:rsid w:val="002856CB"/>
    <w:rsid w:val="002856FC"/>
    <w:rsid w:val="00285F51"/>
    <w:rsid w:val="002866E1"/>
    <w:rsid w:val="00286B76"/>
    <w:rsid w:val="00286D09"/>
    <w:rsid w:val="00286F58"/>
    <w:rsid w:val="00287666"/>
    <w:rsid w:val="00287D00"/>
    <w:rsid w:val="00290086"/>
    <w:rsid w:val="00290326"/>
    <w:rsid w:val="00290567"/>
    <w:rsid w:val="002907C1"/>
    <w:rsid w:val="0029088C"/>
    <w:rsid w:val="00290BB5"/>
    <w:rsid w:val="00290E5B"/>
    <w:rsid w:val="00291850"/>
    <w:rsid w:val="00291CAE"/>
    <w:rsid w:val="002927D1"/>
    <w:rsid w:val="0029316C"/>
    <w:rsid w:val="00293BF0"/>
    <w:rsid w:val="00294562"/>
    <w:rsid w:val="002947E6"/>
    <w:rsid w:val="002950C8"/>
    <w:rsid w:val="002953CF"/>
    <w:rsid w:val="00295B8A"/>
    <w:rsid w:val="00295CBC"/>
    <w:rsid w:val="00295CDB"/>
    <w:rsid w:val="00297444"/>
    <w:rsid w:val="002A0AD6"/>
    <w:rsid w:val="002A12CC"/>
    <w:rsid w:val="002A1873"/>
    <w:rsid w:val="002A19B3"/>
    <w:rsid w:val="002A2059"/>
    <w:rsid w:val="002A2180"/>
    <w:rsid w:val="002A23FA"/>
    <w:rsid w:val="002A2987"/>
    <w:rsid w:val="002A3549"/>
    <w:rsid w:val="002A3671"/>
    <w:rsid w:val="002A3879"/>
    <w:rsid w:val="002A42EE"/>
    <w:rsid w:val="002A4711"/>
    <w:rsid w:val="002A486F"/>
    <w:rsid w:val="002A48E6"/>
    <w:rsid w:val="002A4ACC"/>
    <w:rsid w:val="002A4BC1"/>
    <w:rsid w:val="002A4C25"/>
    <w:rsid w:val="002A4FC0"/>
    <w:rsid w:val="002A553E"/>
    <w:rsid w:val="002A61AE"/>
    <w:rsid w:val="002A6397"/>
    <w:rsid w:val="002A63F7"/>
    <w:rsid w:val="002A670A"/>
    <w:rsid w:val="002A695F"/>
    <w:rsid w:val="002A6A9D"/>
    <w:rsid w:val="002A717F"/>
    <w:rsid w:val="002A71AF"/>
    <w:rsid w:val="002A7203"/>
    <w:rsid w:val="002A786E"/>
    <w:rsid w:val="002A7BD3"/>
    <w:rsid w:val="002B00D0"/>
    <w:rsid w:val="002B03FC"/>
    <w:rsid w:val="002B0462"/>
    <w:rsid w:val="002B0729"/>
    <w:rsid w:val="002B1322"/>
    <w:rsid w:val="002B1797"/>
    <w:rsid w:val="002B1AA6"/>
    <w:rsid w:val="002B1E65"/>
    <w:rsid w:val="002B210D"/>
    <w:rsid w:val="002B2149"/>
    <w:rsid w:val="002B2230"/>
    <w:rsid w:val="002B2544"/>
    <w:rsid w:val="002B2B64"/>
    <w:rsid w:val="002B2FDB"/>
    <w:rsid w:val="002B38A0"/>
    <w:rsid w:val="002B3BE6"/>
    <w:rsid w:val="002B3DAF"/>
    <w:rsid w:val="002B3EB5"/>
    <w:rsid w:val="002B40BF"/>
    <w:rsid w:val="002B40F7"/>
    <w:rsid w:val="002B4133"/>
    <w:rsid w:val="002B4270"/>
    <w:rsid w:val="002B4B24"/>
    <w:rsid w:val="002B4EF8"/>
    <w:rsid w:val="002B5723"/>
    <w:rsid w:val="002B5E8A"/>
    <w:rsid w:val="002B69C9"/>
    <w:rsid w:val="002B6BA4"/>
    <w:rsid w:val="002B6D7E"/>
    <w:rsid w:val="002B77EC"/>
    <w:rsid w:val="002B791A"/>
    <w:rsid w:val="002B7953"/>
    <w:rsid w:val="002C0302"/>
    <w:rsid w:val="002C05CB"/>
    <w:rsid w:val="002C0A1F"/>
    <w:rsid w:val="002C0A8A"/>
    <w:rsid w:val="002C1308"/>
    <w:rsid w:val="002C1575"/>
    <w:rsid w:val="002C1BEF"/>
    <w:rsid w:val="002C29F1"/>
    <w:rsid w:val="002C2C80"/>
    <w:rsid w:val="002C2DC1"/>
    <w:rsid w:val="002C2E4E"/>
    <w:rsid w:val="002C313C"/>
    <w:rsid w:val="002C3146"/>
    <w:rsid w:val="002C31CC"/>
    <w:rsid w:val="002C3288"/>
    <w:rsid w:val="002C43EA"/>
    <w:rsid w:val="002C57A6"/>
    <w:rsid w:val="002C6235"/>
    <w:rsid w:val="002C68B4"/>
    <w:rsid w:val="002C749A"/>
    <w:rsid w:val="002C7A95"/>
    <w:rsid w:val="002C7E0F"/>
    <w:rsid w:val="002C7EE6"/>
    <w:rsid w:val="002D0173"/>
    <w:rsid w:val="002D0361"/>
    <w:rsid w:val="002D0B41"/>
    <w:rsid w:val="002D19BC"/>
    <w:rsid w:val="002D1AB0"/>
    <w:rsid w:val="002D1E68"/>
    <w:rsid w:val="002D24B5"/>
    <w:rsid w:val="002D27CF"/>
    <w:rsid w:val="002D2D60"/>
    <w:rsid w:val="002D2DB1"/>
    <w:rsid w:val="002D2EE4"/>
    <w:rsid w:val="002D3A17"/>
    <w:rsid w:val="002D4911"/>
    <w:rsid w:val="002D4EC7"/>
    <w:rsid w:val="002D5590"/>
    <w:rsid w:val="002D56F1"/>
    <w:rsid w:val="002D5BAA"/>
    <w:rsid w:val="002D5D88"/>
    <w:rsid w:val="002D5E6A"/>
    <w:rsid w:val="002D6115"/>
    <w:rsid w:val="002D621A"/>
    <w:rsid w:val="002D6DE9"/>
    <w:rsid w:val="002D7243"/>
    <w:rsid w:val="002D725A"/>
    <w:rsid w:val="002D74FC"/>
    <w:rsid w:val="002D78A8"/>
    <w:rsid w:val="002D7C71"/>
    <w:rsid w:val="002D7DC7"/>
    <w:rsid w:val="002E058B"/>
    <w:rsid w:val="002E090C"/>
    <w:rsid w:val="002E0C79"/>
    <w:rsid w:val="002E0CD0"/>
    <w:rsid w:val="002E1CC7"/>
    <w:rsid w:val="002E1F7B"/>
    <w:rsid w:val="002E22A5"/>
    <w:rsid w:val="002E2CF4"/>
    <w:rsid w:val="002E3197"/>
    <w:rsid w:val="002E334A"/>
    <w:rsid w:val="002E40C9"/>
    <w:rsid w:val="002E41C2"/>
    <w:rsid w:val="002E49CC"/>
    <w:rsid w:val="002E4D58"/>
    <w:rsid w:val="002E4FE8"/>
    <w:rsid w:val="002E57DF"/>
    <w:rsid w:val="002E59F2"/>
    <w:rsid w:val="002E5A5D"/>
    <w:rsid w:val="002E5F00"/>
    <w:rsid w:val="002E6360"/>
    <w:rsid w:val="002E638B"/>
    <w:rsid w:val="002E6560"/>
    <w:rsid w:val="002E6A62"/>
    <w:rsid w:val="002E7172"/>
    <w:rsid w:val="002E78DC"/>
    <w:rsid w:val="002E7908"/>
    <w:rsid w:val="002F0635"/>
    <w:rsid w:val="002F0B34"/>
    <w:rsid w:val="002F0C65"/>
    <w:rsid w:val="002F0D31"/>
    <w:rsid w:val="002F11F2"/>
    <w:rsid w:val="002F1295"/>
    <w:rsid w:val="002F1381"/>
    <w:rsid w:val="002F15AD"/>
    <w:rsid w:val="002F1796"/>
    <w:rsid w:val="002F180F"/>
    <w:rsid w:val="002F1A19"/>
    <w:rsid w:val="002F256F"/>
    <w:rsid w:val="002F275E"/>
    <w:rsid w:val="002F2B0A"/>
    <w:rsid w:val="002F2E2F"/>
    <w:rsid w:val="002F3138"/>
    <w:rsid w:val="002F38EA"/>
    <w:rsid w:val="002F3FF4"/>
    <w:rsid w:val="002F44DC"/>
    <w:rsid w:val="002F513C"/>
    <w:rsid w:val="002F557D"/>
    <w:rsid w:val="002F57A4"/>
    <w:rsid w:val="002F59C1"/>
    <w:rsid w:val="002F5DBC"/>
    <w:rsid w:val="002F6154"/>
    <w:rsid w:val="002F66A5"/>
    <w:rsid w:val="002F6C73"/>
    <w:rsid w:val="002F6CB6"/>
    <w:rsid w:val="002F76D0"/>
    <w:rsid w:val="002F7BAE"/>
    <w:rsid w:val="002F7E38"/>
    <w:rsid w:val="003001F1"/>
    <w:rsid w:val="00300531"/>
    <w:rsid w:val="00300A33"/>
    <w:rsid w:val="00300E4F"/>
    <w:rsid w:val="00300F8F"/>
    <w:rsid w:val="003012DB"/>
    <w:rsid w:val="003012F0"/>
    <w:rsid w:val="00301C5B"/>
    <w:rsid w:val="00302159"/>
    <w:rsid w:val="00302641"/>
    <w:rsid w:val="003028A5"/>
    <w:rsid w:val="003029B8"/>
    <w:rsid w:val="0030352A"/>
    <w:rsid w:val="00303888"/>
    <w:rsid w:val="00304A5E"/>
    <w:rsid w:val="00305209"/>
    <w:rsid w:val="003052D4"/>
    <w:rsid w:val="00305577"/>
    <w:rsid w:val="00305D4C"/>
    <w:rsid w:val="0030636C"/>
    <w:rsid w:val="00306519"/>
    <w:rsid w:val="00306FAF"/>
    <w:rsid w:val="003072B5"/>
    <w:rsid w:val="00307681"/>
    <w:rsid w:val="00307777"/>
    <w:rsid w:val="00307E1C"/>
    <w:rsid w:val="00307EFD"/>
    <w:rsid w:val="0031025B"/>
    <w:rsid w:val="003104F2"/>
    <w:rsid w:val="00310ED0"/>
    <w:rsid w:val="00311054"/>
    <w:rsid w:val="00311C9F"/>
    <w:rsid w:val="00312844"/>
    <w:rsid w:val="00312856"/>
    <w:rsid w:val="0031304D"/>
    <w:rsid w:val="0031311D"/>
    <w:rsid w:val="00313997"/>
    <w:rsid w:val="00313C90"/>
    <w:rsid w:val="003143F4"/>
    <w:rsid w:val="00314E32"/>
    <w:rsid w:val="003151A2"/>
    <w:rsid w:val="00315875"/>
    <w:rsid w:val="003159CE"/>
    <w:rsid w:val="00315DD4"/>
    <w:rsid w:val="00315DD7"/>
    <w:rsid w:val="0031731A"/>
    <w:rsid w:val="00317AC0"/>
    <w:rsid w:val="003200E9"/>
    <w:rsid w:val="003201BC"/>
    <w:rsid w:val="003211FD"/>
    <w:rsid w:val="00321CD7"/>
    <w:rsid w:val="00321DE6"/>
    <w:rsid w:val="00322B8B"/>
    <w:rsid w:val="00323599"/>
    <w:rsid w:val="003235A2"/>
    <w:rsid w:val="00323673"/>
    <w:rsid w:val="003245DD"/>
    <w:rsid w:val="00324689"/>
    <w:rsid w:val="00324C84"/>
    <w:rsid w:val="0032507F"/>
    <w:rsid w:val="00325886"/>
    <w:rsid w:val="003258A7"/>
    <w:rsid w:val="00325BEF"/>
    <w:rsid w:val="00325C22"/>
    <w:rsid w:val="00325F31"/>
    <w:rsid w:val="00326014"/>
    <w:rsid w:val="00326B57"/>
    <w:rsid w:val="00326E30"/>
    <w:rsid w:val="00327844"/>
    <w:rsid w:val="00327A48"/>
    <w:rsid w:val="00327BBD"/>
    <w:rsid w:val="0033079C"/>
    <w:rsid w:val="00330BFA"/>
    <w:rsid w:val="00330CC1"/>
    <w:rsid w:val="00330F2A"/>
    <w:rsid w:val="003317EB"/>
    <w:rsid w:val="00331C0A"/>
    <w:rsid w:val="00331EBE"/>
    <w:rsid w:val="00332567"/>
    <w:rsid w:val="00332AF9"/>
    <w:rsid w:val="0033343A"/>
    <w:rsid w:val="00333963"/>
    <w:rsid w:val="00333F28"/>
    <w:rsid w:val="00334055"/>
    <w:rsid w:val="00334C25"/>
    <w:rsid w:val="00334C61"/>
    <w:rsid w:val="003351A1"/>
    <w:rsid w:val="00336097"/>
    <w:rsid w:val="00336299"/>
    <w:rsid w:val="003368FF"/>
    <w:rsid w:val="003371EF"/>
    <w:rsid w:val="00337AE7"/>
    <w:rsid w:val="00337C2A"/>
    <w:rsid w:val="00337D52"/>
    <w:rsid w:val="00340121"/>
    <w:rsid w:val="00340458"/>
    <w:rsid w:val="00340EB3"/>
    <w:rsid w:val="00341014"/>
    <w:rsid w:val="00341450"/>
    <w:rsid w:val="00341BAC"/>
    <w:rsid w:val="00341F1E"/>
    <w:rsid w:val="0034211E"/>
    <w:rsid w:val="0034221C"/>
    <w:rsid w:val="00342562"/>
    <w:rsid w:val="00342C5A"/>
    <w:rsid w:val="00343017"/>
    <w:rsid w:val="003433FB"/>
    <w:rsid w:val="003434B8"/>
    <w:rsid w:val="003439E5"/>
    <w:rsid w:val="00343A56"/>
    <w:rsid w:val="0034402E"/>
    <w:rsid w:val="0034498B"/>
    <w:rsid w:val="00345E1E"/>
    <w:rsid w:val="00346360"/>
    <w:rsid w:val="00346472"/>
    <w:rsid w:val="00346AF8"/>
    <w:rsid w:val="00346B0C"/>
    <w:rsid w:val="00346B87"/>
    <w:rsid w:val="00347997"/>
    <w:rsid w:val="00347D18"/>
    <w:rsid w:val="003501C0"/>
    <w:rsid w:val="00350255"/>
    <w:rsid w:val="0035058E"/>
    <w:rsid w:val="0035193B"/>
    <w:rsid w:val="003527A6"/>
    <w:rsid w:val="00352A5C"/>
    <w:rsid w:val="00352B0B"/>
    <w:rsid w:val="00352B68"/>
    <w:rsid w:val="00352BF7"/>
    <w:rsid w:val="00352E03"/>
    <w:rsid w:val="00353065"/>
    <w:rsid w:val="00353142"/>
    <w:rsid w:val="003536ED"/>
    <w:rsid w:val="00353C49"/>
    <w:rsid w:val="00353CDF"/>
    <w:rsid w:val="003547C4"/>
    <w:rsid w:val="00354AC0"/>
    <w:rsid w:val="00354D63"/>
    <w:rsid w:val="00354EC3"/>
    <w:rsid w:val="00354EFD"/>
    <w:rsid w:val="00355403"/>
    <w:rsid w:val="0035586E"/>
    <w:rsid w:val="003559ED"/>
    <w:rsid w:val="00355C40"/>
    <w:rsid w:val="00355CFF"/>
    <w:rsid w:val="003560A6"/>
    <w:rsid w:val="00356327"/>
    <w:rsid w:val="00356511"/>
    <w:rsid w:val="00356DDC"/>
    <w:rsid w:val="0035727C"/>
    <w:rsid w:val="00357751"/>
    <w:rsid w:val="00357C4D"/>
    <w:rsid w:val="00357CF5"/>
    <w:rsid w:val="0036031D"/>
    <w:rsid w:val="0036054C"/>
    <w:rsid w:val="0036167C"/>
    <w:rsid w:val="00361C12"/>
    <w:rsid w:val="00361C24"/>
    <w:rsid w:val="00361FF2"/>
    <w:rsid w:val="00362064"/>
    <w:rsid w:val="003630F9"/>
    <w:rsid w:val="003636A6"/>
    <w:rsid w:val="003637A5"/>
    <w:rsid w:val="00363D52"/>
    <w:rsid w:val="00363DD6"/>
    <w:rsid w:val="00363FA5"/>
    <w:rsid w:val="003642D6"/>
    <w:rsid w:val="00364488"/>
    <w:rsid w:val="00364B4C"/>
    <w:rsid w:val="00365BA0"/>
    <w:rsid w:val="00365D3A"/>
    <w:rsid w:val="00365E71"/>
    <w:rsid w:val="00366790"/>
    <w:rsid w:val="003667A7"/>
    <w:rsid w:val="00366CDD"/>
    <w:rsid w:val="00366EE6"/>
    <w:rsid w:val="00367486"/>
    <w:rsid w:val="0036756C"/>
    <w:rsid w:val="00367FC4"/>
    <w:rsid w:val="00370C49"/>
    <w:rsid w:val="0037114C"/>
    <w:rsid w:val="003713B6"/>
    <w:rsid w:val="00371444"/>
    <w:rsid w:val="00371595"/>
    <w:rsid w:val="0037224C"/>
    <w:rsid w:val="00372471"/>
    <w:rsid w:val="00372552"/>
    <w:rsid w:val="00373120"/>
    <w:rsid w:val="00373158"/>
    <w:rsid w:val="00373254"/>
    <w:rsid w:val="00373E29"/>
    <w:rsid w:val="003741C0"/>
    <w:rsid w:val="00374641"/>
    <w:rsid w:val="003747D8"/>
    <w:rsid w:val="003749F6"/>
    <w:rsid w:val="00374CF2"/>
    <w:rsid w:val="00374E97"/>
    <w:rsid w:val="0037521D"/>
    <w:rsid w:val="003752F3"/>
    <w:rsid w:val="003753E3"/>
    <w:rsid w:val="00375942"/>
    <w:rsid w:val="00376156"/>
    <w:rsid w:val="003761D1"/>
    <w:rsid w:val="0037654F"/>
    <w:rsid w:val="003768DD"/>
    <w:rsid w:val="00376A74"/>
    <w:rsid w:val="00376DED"/>
    <w:rsid w:val="00376FEE"/>
    <w:rsid w:val="003771EB"/>
    <w:rsid w:val="00377ACB"/>
    <w:rsid w:val="00377FD9"/>
    <w:rsid w:val="0038083E"/>
    <w:rsid w:val="003808F7"/>
    <w:rsid w:val="00380DBB"/>
    <w:rsid w:val="00381241"/>
    <w:rsid w:val="00381BD7"/>
    <w:rsid w:val="00381EDE"/>
    <w:rsid w:val="00382008"/>
    <w:rsid w:val="003822E3"/>
    <w:rsid w:val="00382698"/>
    <w:rsid w:val="00382B75"/>
    <w:rsid w:val="00382EF7"/>
    <w:rsid w:val="00383A1D"/>
    <w:rsid w:val="00383D8A"/>
    <w:rsid w:val="00383E8A"/>
    <w:rsid w:val="0038445E"/>
    <w:rsid w:val="00384590"/>
    <w:rsid w:val="00384673"/>
    <w:rsid w:val="0038470B"/>
    <w:rsid w:val="0038495B"/>
    <w:rsid w:val="00384D83"/>
    <w:rsid w:val="00385625"/>
    <w:rsid w:val="00386210"/>
    <w:rsid w:val="003865B8"/>
    <w:rsid w:val="00386A90"/>
    <w:rsid w:val="00386D14"/>
    <w:rsid w:val="00386FDA"/>
    <w:rsid w:val="00386FEF"/>
    <w:rsid w:val="0038776C"/>
    <w:rsid w:val="003877D4"/>
    <w:rsid w:val="00387927"/>
    <w:rsid w:val="00387DF5"/>
    <w:rsid w:val="00387FE9"/>
    <w:rsid w:val="00390529"/>
    <w:rsid w:val="0039072C"/>
    <w:rsid w:val="00390F22"/>
    <w:rsid w:val="003918D5"/>
    <w:rsid w:val="00392680"/>
    <w:rsid w:val="00392741"/>
    <w:rsid w:val="00392A79"/>
    <w:rsid w:val="0039339C"/>
    <w:rsid w:val="00393842"/>
    <w:rsid w:val="00393DA2"/>
    <w:rsid w:val="00393E81"/>
    <w:rsid w:val="00393F4F"/>
    <w:rsid w:val="003942FC"/>
    <w:rsid w:val="00394613"/>
    <w:rsid w:val="0039496D"/>
    <w:rsid w:val="00394AC1"/>
    <w:rsid w:val="0039500F"/>
    <w:rsid w:val="00395012"/>
    <w:rsid w:val="003950F4"/>
    <w:rsid w:val="00395D0A"/>
    <w:rsid w:val="0039688E"/>
    <w:rsid w:val="00396A8D"/>
    <w:rsid w:val="00396DDB"/>
    <w:rsid w:val="00397359"/>
    <w:rsid w:val="00397916"/>
    <w:rsid w:val="00397ED2"/>
    <w:rsid w:val="003A010E"/>
    <w:rsid w:val="003A095B"/>
    <w:rsid w:val="003A0E40"/>
    <w:rsid w:val="003A1155"/>
    <w:rsid w:val="003A1419"/>
    <w:rsid w:val="003A14E3"/>
    <w:rsid w:val="003A17EF"/>
    <w:rsid w:val="003A22B4"/>
    <w:rsid w:val="003A2C03"/>
    <w:rsid w:val="003A2D71"/>
    <w:rsid w:val="003A2FB3"/>
    <w:rsid w:val="003A34FA"/>
    <w:rsid w:val="003A3A0D"/>
    <w:rsid w:val="003A3A3E"/>
    <w:rsid w:val="003A3DFC"/>
    <w:rsid w:val="003A4334"/>
    <w:rsid w:val="003A4AE1"/>
    <w:rsid w:val="003A5453"/>
    <w:rsid w:val="003A5660"/>
    <w:rsid w:val="003A6226"/>
    <w:rsid w:val="003A63AC"/>
    <w:rsid w:val="003A6627"/>
    <w:rsid w:val="003A683A"/>
    <w:rsid w:val="003A6D0D"/>
    <w:rsid w:val="003A7056"/>
    <w:rsid w:val="003A7141"/>
    <w:rsid w:val="003A9775"/>
    <w:rsid w:val="003B16D2"/>
    <w:rsid w:val="003B1921"/>
    <w:rsid w:val="003B1EBB"/>
    <w:rsid w:val="003B3176"/>
    <w:rsid w:val="003B31B7"/>
    <w:rsid w:val="003B3377"/>
    <w:rsid w:val="003B36EC"/>
    <w:rsid w:val="003B3BDE"/>
    <w:rsid w:val="003B3CFC"/>
    <w:rsid w:val="003B3E52"/>
    <w:rsid w:val="003B4380"/>
    <w:rsid w:val="003B4E19"/>
    <w:rsid w:val="003B4FF7"/>
    <w:rsid w:val="003B5894"/>
    <w:rsid w:val="003B6322"/>
    <w:rsid w:val="003B6C30"/>
    <w:rsid w:val="003B7126"/>
    <w:rsid w:val="003B736A"/>
    <w:rsid w:val="003B7B7C"/>
    <w:rsid w:val="003B7C45"/>
    <w:rsid w:val="003C107F"/>
    <w:rsid w:val="003C108B"/>
    <w:rsid w:val="003C121B"/>
    <w:rsid w:val="003C13AF"/>
    <w:rsid w:val="003C1954"/>
    <w:rsid w:val="003C19C9"/>
    <w:rsid w:val="003C2243"/>
    <w:rsid w:val="003C24A7"/>
    <w:rsid w:val="003C2A6D"/>
    <w:rsid w:val="003C2D23"/>
    <w:rsid w:val="003C2DCE"/>
    <w:rsid w:val="003C2FA5"/>
    <w:rsid w:val="003C3115"/>
    <w:rsid w:val="003C35E1"/>
    <w:rsid w:val="003C3701"/>
    <w:rsid w:val="003C378B"/>
    <w:rsid w:val="003C446F"/>
    <w:rsid w:val="003C46D4"/>
    <w:rsid w:val="003C4742"/>
    <w:rsid w:val="003C4993"/>
    <w:rsid w:val="003C4F2E"/>
    <w:rsid w:val="003C53FD"/>
    <w:rsid w:val="003C56BF"/>
    <w:rsid w:val="003C5975"/>
    <w:rsid w:val="003C60F9"/>
    <w:rsid w:val="003C6901"/>
    <w:rsid w:val="003C6BF6"/>
    <w:rsid w:val="003C6D4C"/>
    <w:rsid w:val="003C7054"/>
    <w:rsid w:val="003C7A1F"/>
    <w:rsid w:val="003C7AEE"/>
    <w:rsid w:val="003D019D"/>
    <w:rsid w:val="003D0508"/>
    <w:rsid w:val="003D0753"/>
    <w:rsid w:val="003D1734"/>
    <w:rsid w:val="003D175F"/>
    <w:rsid w:val="003D1ACC"/>
    <w:rsid w:val="003D1B8E"/>
    <w:rsid w:val="003D1D25"/>
    <w:rsid w:val="003D2075"/>
    <w:rsid w:val="003D29B1"/>
    <w:rsid w:val="003D2F34"/>
    <w:rsid w:val="003D319C"/>
    <w:rsid w:val="003D3268"/>
    <w:rsid w:val="003D3610"/>
    <w:rsid w:val="003D3B77"/>
    <w:rsid w:val="003D3FF4"/>
    <w:rsid w:val="003D4349"/>
    <w:rsid w:val="003D43A0"/>
    <w:rsid w:val="003D48E4"/>
    <w:rsid w:val="003D48E8"/>
    <w:rsid w:val="003D4A08"/>
    <w:rsid w:val="003D4BD9"/>
    <w:rsid w:val="003D55A8"/>
    <w:rsid w:val="003D5E0A"/>
    <w:rsid w:val="003D6483"/>
    <w:rsid w:val="003D6991"/>
    <w:rsid w:val="003D6AE8"/>
    <w:rsid w:val="003D6F41"/>
    <w:rsid w:val="003D7144"/>
    <w:rsid w:val="003D7311"/>
    <w:rsid w:val="003D7759"/>
    <w:rsid w:val="003D77D1"/>
    <w:rsid w:val="003D78AE"/>
    <w:rsid w:val="003D7C9F"/>
    <w:rsid w:val="003E02FD"/>
    <w:rsid w:val="003E0422"/>
    <w:rsid w:val="003E0551"/>
    <w:rsid w:val="003E091D"/>
    <w:rsid w:val="003E11A6"/>
    <w:rsid w:val="003E12A4"/>
    <w:rsid w:val="003E1369"/>
    <w:rsid w:val="003E153A"/>
    <w:rsid w:val="003E1B6A"/>
    <w:rsid w:val="003E1C12"/>
    <w:rsid w:val="003E2475"/>
    <w:rsid w:val="003E26ED"/>
    <w:rsid w:val="003E28FC"/>
    <w:rsid w:val="003E2E3C"/>
    <w:rsid w:val="003E2F47"/>
    <w:rsid w:val="003E4800"/>
    <w:rsid w:val="003E48DE"/>
    <w:rsid w:val="003E492B"/>
    <w:rsid w:val="003E4C2B"/>
    <w:rsid w:val="003E4F3C"/>
    <w:rsid w:val="003E5418"/>
    <w:rsid w:val="003E562C"/>
    <w:rsid w:val="003E5832"/>
    <w:rsid w:val="003E5E78"/>
    <w:rsid w:val="003E6A48"/>
    <w:rsid w:val="003E6FA5"/>
    <w:rsid w:val="003E7AE7"/>
    <w:rsid w:val="003E7CE3"/>
    <w:rsid w:val="003E7F40"/>
    <w:rsid w:val="003EEBF5"/>
    <w:rsid w:val="003F1462"/>
    <w:rsid w:val="003F158A"/>
    <w:rsid w:val="003F16C6"/>
    <w:rsid w:val="003F1710"/>
    <w:rsid w:val="003F1FB9"/>
    <w:rsid w:val="003F2322"/>
    <w:rsid w:val="003F2E9E"/>
    <w:rsid w:val="003F2F2F"/>
    <w:rsid w:val="003F33EF"/>
    <w:rsid w:val="003F3514"/>
    <w:rsid w:val="003F3D3F"/>
    <w:rsid w:val="003F3D98"/>
    <w:rsid w:val="003F43BE"/>
    <w:rsid w:val="003F4463"/>
    <w:rsid w:val="003F4F5C"/>
    <w:rsid w:val="003F5999"/>
    <w:rsid w:val="003F6407"/>
    <w:rsid w:val="003F7499"/>
    <w:rsid w:val="003F7F04"/>
    <w:rsid w:val="0040074D"/>
    <w:rsid w:val="004007FB"/>
    <w:rsid w:val="00400CD8"/>
    <w:rsid w:val="00400D0F"/>
    <w:rsid w:val="00401201"/>
    <w:rsid w:val="0040137A"/>
    <w:rsid w:val="004013B6"/>
    <w:rsid w:val="0040162D"/>
    <w:rsid w:val="0040175A"/>
    <w:rsid w:val="00401D98"/>
    <w:rsid w:val="00401FD4"/>
    <w:rsid w:val="00402274"/>
    <w:rsid w:val="00402C86"/>
    <w:rsid w:val="00403472"/>
    <w:rsid w:val="00403EF7"/>
    <w:rsid w:val="00404639"/>
    <w:rsid w:val="00404737"/>
    <w:rsid w:val="00404813"/>
    <w:rsid w:val="00404D4E"/>
    <w:rsid w:val="00404DA6"/>
    <w:rsid w:val="0040565B"/>
    <w:rsid w:val="0040595B"/>
    <w:rsid w:val="00405C39"/>
    <w:rsid w:val="00405C89"/>
    <w:rsid w:val="00407419"/>
    <w:rsid w:val="00407ABC"/>
    <w:rsid w:val="00407D3E"/>
    <w:rsid w:val="00410AEC"/>
    <w:rsid w:val="00410B04"/>
    <w:rsid w:val="004111A5"/>
    <w:rsid w:val="004111CB"/>
    <w:rsid w:val="00411922"/>
    <w:rsid w:val="00411B98"/>
    <w:rsid w:val="00411C2D"/>
    <w:rsid w:val="00411EB5"/>
    <w:rsid w:val="00411EFD"/>
    <w:rsid w:val="00412009"/>
    <w:rsid w:val="00412102"/>
    <w:rsid w:val="00412B3F"/>
    <w:rsid w:val="00413155"/>
    <w:rsid w:val="004132AB"/>
    <w:rsid w:val="00414196"/>
    <w:rsid w:val="004148B9"/>
    <w:rsid w:val="00414B0A"/>
    <w:rsid w:val="00414BDA"/>
    <w:rsid w:val="00414BF9"/>
    <w:rsid w:val="00415001"/>
    <w:rsid w:val="004152F6"/>
    <w:rsid w:val="004153CE"/>
    <w:rsid w:val="00415937"/>
    <w:rsid w:val="004161EF"/>
    <w:rsid w:val="00416A94"/>
    <w:rsid w:val="00416E59"/>
    <w:rsid w:val="00417315"/>
    <w:rsid w:val="004175D4"/>
    <w:rsid w:val="004176F3"/>
    <w:rsid w:val="00417C90"/>
    <w:rsid w:val="00417CEB"/>
    <w:rsid w:val="00417F80"/>
    <w:rsid w:val="00420B85"/>
    <w:rsid w:val="00421808"/>
    <w:rsid w:val="004219A1"/>
    <w:rsid w:val="004221C4"/>
    <w:rsid w:val="00422482"/>
    <w:rsid w:val="004228B5"/>
    <w:rsid w:val="00422A22"/>
    <w:rsid w:val="00422E34"/>
    <w:rsid w:val="00422F40"/>
    <w:rsid w:val="00423028"/>
    <w:rsid w:val="00423B98"/>
    <w:rsid w:val="0042415B"/>
    <w:rsid w:val="004243F9"/>
    <w:rsid w:val="0042462C"/>
    <w:rsid w:val="004249DC"/>
    <w:rsid w:val="00424F24"/>
    <w:rsid w:val="00424FDD"/>
    <w:rsid w:val="00425E99"/>
    <w:rsid w:val="00426060"/>
    <w:rsid w:val="0042620A"/>
    <w:rsid w:val="0042655A"/>
    <w:rsid w:val="004266C3"/>
    <w:rsid w:val="00426770"/>
    <w:rsid w:val="00426B27"/>
    <w:rsid w:val="00426DC4"/>
    <w:rsid w:val="00426FEB"/>
    <w:rsid w:val="00427781"/>
    <w:rsid w:val="00431348"/>
    <w:rsid w:val="00431795"/>
    <w:rsid w:val="0043184A"/>
    <w:rsid w:val="004319B6"/>
    <w:rsid w:val="00431A54"/>
    <w:rsid w:val="00431F49"/>
    <w:rsid w:val="00432B5F"/>
    <w:rsid w:val="00433350"/>
    <w:rsid w:val="00433B12"/>
    <w:rsid w:val="00433DB2"/>
    <w:rsid w:val="00433E92"/>
    <w:rsid w:val="00433EE5"/>
    <w:rsid w:val="00434301"/>
    <w:rsid w:val="004345B7"/>
    <w:rsid w:val="00434865"/>
    <w:rsid w:val="0043566D"/>
    <w:rsid w:val="00435856"/>
    <w:rsid w:val="00435865"/>
    <w:rsid w:val="00435B20"/>
    <w:rsid w:val="00435D38"/>
    <w:rsid w:val="00435E1A"/>
    <w:rsid w:val="004360C9"/>
    <w:rsid w:val="00436273"/>
    <w:rsid w:val="00436895"/>
    <w:rsid w:val="00436E91"/>
    <w:rsid w:val="004379BA"/>
    <w:rsid w:val="0044013C"/>
    <w:rsid w:val="00440787"/>
    <w:rsid w:val="00440867"/>
    <w:rsid w:val="004408A3"/>
    <w:rsid w:val="004408C2"/>
    <w:rsid w:val="00440A32"/>
    <w:rsid w:val="00440AAD"/>
    <w:rsid w:val="0044119F"/>
    <w:rsid w:val="00441691"/>
    <w:rsid w:val="004419EF"/>
    <w:rsid w:val="00442760"/>
    <w:rsid w:val="00443059"/>
    <w:rsid w:val="004433B6"/>
    <w:rsid w:val="004434A4"/>
    <w:rsid w:val="004436A7"/>
    <w:rsid w:val="00443A0E"/>
    <w:rsid w:val="004442D9"/>
    <w:rsid w:val="00444490"/>
    <w:rsid w:val="004446B7"/>
    <w:rsid w:val="00444965"/>
    <w:rsid w:val="004449E6"/>
    <w:rsid w:val="00444E1C"/>
    <w:rsid w:val="00445118"/>
    <w:rsid w:val="0044577F"/>
    <w:rsid w:val="00445861"/>
    <w:rsid w:val="004458F6"/>
    <w:rsid w:val="0044610B"/>
    <w:rsid w:val="004462D4"/>
    <w:rsid w:val="00446457"/>
    <w:rsid w:val="00447054"/>
    <w:rsid w:val="00447328"/>
    <w:rsid w:val="00447E23"/>
    <w:rsid w:val="004503C9"/>
    <w:rsid w:val="00450D3A"/>
    <w:rsid w:val="004511B8"/>
    <w:rsid w:val="004514F8"/>
    <w:rsid w:val="00451B0A"/>
    <w:rsid w:val="004520A0"/>
    <w:rsid w:val="004520C3"/>
    <w:rsid w:val="0045214A"/>
    <w:rsid w:val="00452D45"/>
    <w:rsid w:val="00453100"/>
    <w:rsid w:val="00454B63"/>
    <w:rsid w:val="00454BE4"/>
    <w:rsid w:val="00454CBC"/>
    <w:rsid w:val="00454CC6"/>
    <w:rsid w:val="00455185"/>
    <w:rsid w:val="004552C2"/>
    <w:rsid w:val="00455406"/>
    <w:rsid w:val="00455AF8"/>
    <w:rsid w:val="00455CFA"/>
    <w:rsid w:val="00456C1C"/>
    <w:rsid w:val="00457D4C"/>
    <w:rsid w:val="00457DD7"/>
    <w:rsid w:val="00460105"/>
    <w:rsid w:val="0046058F"/>
    <w:rsid w:val="004607DF"/>
    <w:rsid w:val="004607F9"/>
    <w:rsid w:val="00460A67"/>
    <w:rsid w:val="004612A4"/>
    <w:rsid w:val="0046143A"/>
    <w:rsid w:val="00461F9C"/>
    <w:rsid w:val="004621F8"/>
    <w:rsid w:val="004622A8"/>
    <w:rsid w:val="0046283F"/>
    <w:rsid w:val="0046284A"/>
    <w:rsid w:val="0046298C"/>
    <w:rsid w:val="00462DF3"/>
    <w:rsid w:val="00463763"/>
    <w:rsid w:val="0046384A"/>
    <w:rsid w:val="00463D43"/>
    <w:rsid w:val="00463D8A"/>
    <w:rsid w:val="0046455C"/>
    <w:rsid w:val="00464A24"/>
    <w:rsid w:val="00464A89"/>
    <w:rsid w:val="00464B8F"/>
    <w:rsid w:val="00465062"/>
    <w:rsid w:val="00465412"/>
    <w:rsid w:val="00465A3B"/>
    <w:rsid w:val="0046627B"/>
    <w:rsid w:val="00466827"/>
    <w:rsid w:val="00470290"/>
    <w:rsid w:val="00471265"/>
    <w:rsid w:val="004720AE"/>
    <w:rsid w:val="004720C6"/>
    <w:rsid w:val="00472A02"/>
    <w:rsid w:val="00472A45"/>
    <w:rsid w:val="00472BB8"/>
    <w:rsid w:val="00472E84"/>
    <w:rsid w:val="004732B6"/>
    <w:rsid w:val="004735B9"/>
    <w:rsid w:val="00473B4A"/>
    <w:rsid w:val="00473BC4"/>
    <w:rsid w:val="004747C6"/>
    <w:rsid w:val="0047533A"/>
    <w:rsid w:val="004753A0"/>
    <w:rsid w:val="00475F41"/>
    <w:rsid w:val="00475FB2"/>
    <w:rsid w:val="004764FE"/>
    <w:rsid w:val="004770CD"/>
    <w:rsid w:val="004770E6"/>
    <w:rsid w:val="00477220"/>
    <w:rsid w:val="00477429"/>
    <w:rsid w:val="0047758B"/>
    <w:rsid w:val="00477B96"/>
    <w:rsid w:val="00477BFA"/>
    <w:rsid w:val="004800A7"/>
    <w:rsid w:val="004807DD"/>
    <w:rsid w:val="0048085F"/>
    <w:rsid w:val="00480DED"/>
    <w:rsid w:val="00481AE4"/>
    <w:rsid w:val="00482A77"/>
    <w:rsid w:val="0048338C"/>
    <w:rsid w:val="004834C2"/>
    <w:rsid w:val="004835C0"/>
    <w:rsid w:val="00483651"/>
    <w:rsid w:val="004836CD"/>
    <w:rsid w:val="0048388E"/>
    <w:rsid w:val="00484352"/>
    <w:rsid w:val="0048452C"/>
    <w:rsid w:val="004847F0"/>
    <w:rsid w:val="00484E4F"/>
    <w:rsid w:val="00485434"/>
    <w:rsid w:val="00485618"/>
    <w:rsid w:val="004858E4"/>
    <w:rsid w:val="00485D3A"/>
    <w:rsid w:val="00485DE6"/>
    <w:rsid w:val="004860E5"/>
    <w:rsid w:val="004876A5"/>
    <w:rsid w:val="004877CC"/>
    <w:rsid w:val="00487B0D"/>
    <w:rsid w:val="00487EA8"/>
    <w:rsid w:val="00490045"/>
    <w:rsid w:val="00490B75"/>
    <w:rsid w:val="00490CF9"/>
    <w:rsid w:val="0049148D"/>
    <w:rsid w:val="00491665"/>
    <w:rsid w:val="00491F96"/>
    <w:rsid w:val="00491FC1"/>
    <w:rsid w:val="004920C6"/>
    <w:rsid w:val="00492C9D"/>
    <w:rsid w:val="00492F45"/>
    <w:rsid w:val="00492F7A"/>
    <w:rsid w:val="00493534"/>
    <w:rsid w:val="004935B6"/>
    <w:rsid w:val="0049380E"/>
    <w:rsid w:val="004938A0"/>
    <w:rsid w:val="00493A0E"/>
    <w:rsid w:val="00493E4D"/>
    <w:rsid w:val="004942D0"/>
    <w:rsid w:val="0049454B"/>
    <w:rsid w:val="00495428"/>
    <w:rsid w:val="004957D6"/>
    <w:rsid w:val="00495E74"/>
    <w:rsid w:val="004968CC"/>
    <w:rsid w:val="00496BD2"/>
    <w:rsid w:val="00496E43"/>
    <w:rsid w:val="004A004A"/>
    <w:rsid w:val="004A0346"/>
    <w:rsid w:val="004A0FF8"/>
    <w:rsid w:val="004A16DF"/>
    <w:rsid w:val="004A1801"/>
    <w:rsid w:val="004A1ECF"/>
    <w:rsid w:val="004A1F5E"/>
    <w:rsid w:val="004A2035"/>
    <w:rsid w:val="004A21F0"/>
    <w:rsid w:val="004A231F"/>
    <w:rsid w:val="004A2603"/>
    <w:rsid w:val="004A2820"/>
    <w:rsid w:val="004A3BA3"/>
    <w:rsid w:val="004A3BEC"/>
    <w:rsid w:val="004A6251"/>
    <w:rsid w:val="004A6335"/>
    <w:rsid w:val="004A6EEE"/>
    <w:rsid w:val="004A6FD5"/>
    <w:rsid w:val="004A7BBF"/>
    <w:rsid w:val="004A7E0A"/>
    <w:rsid w:val="004B004D"/>
    <w:rsid w:val="004B00A4"/>
    <w:rsid w:val="004B01B9"/>
    <w:rsid w:val="004B0396"/>
    <w:rsid w:val="004B0503"/>
    <w:rsid w:val="004B0926"/>
    <w:rsid w:val="004B0945"/>
    <w:rsid w:val="004B09DD"/>
    <w:rsid w:val="004B0A11"/>
    <w:rsid w:val="004B0CD5"/>
    <w:rsid w:val="004B1203"/>
    <w:rsid w:val="004B1B67"/>
    <w:rsid w:val="004B27C3"/>
    <w:rsid w:val="004B2C8E"/>
    <w:rsid w:val="004B311A"/>
    <w:rsid w:val="004B3583"/>
    <w:rsid w:val="004B3888"/>
    <w:rsid w:val="004B39EB"/>
    <w:rsid w:val="004B3AA5"/>
    <w:rsid w:val="004B41D2"/>
    <w:rsid w:val="004B4454"/>
    <w:rsid w:val="004B4919"/>
    <w:rsid w:val="004B4B1F"/>
    <w:rsid w:val="004B4BB0"/>
    <w:rsid w:val="004B522F"/>
    <w:rsid w:val="004B57E9"/>
    <w:rsid w:val="004B5A01"/>
    <w:rsid w:val="004B5E5C"/>
    <w:rsid w:val="004B6FE8"/>
    <w:rsid w:val="004B7740"/>
    <w:rsid w:val="004B7885"/>
    <w:rsid w:val="004C0516"/>
    <w:rsid w:val="004C0A11"/>
    <w:rsid w:val="004C0F96"/>
    <w:rsid w:val="004C1442"/>
    <w:rsid w:val="004C16BA"/>
    <w:rsid w:val="004C1FBC"/>
    <w:rsid w:val="004C21FA"/>
    <w:rsid w:val="004C2B7B"/>
    <w:rsid w:val="004C2ED7"/>
    <w:rsid w:val="004C2F4D"/>
    <w:rsid w:val="004C31B4"/>
    <w:rsid w:val="004C333C"/>
    <w:rsid w:val="004C351A"/>
    <w:rsid w:val="004C42B6"/>
    <w:rsid w:val="004C511F"/>
    <w:rsid w:val="004C52DB"/>
    <w:rsid w:val="004C5845"/>
    <w:rsid w:val="004C5E81"/>
    <w:rsid w:val="004C5ECE"/>
    <w:rsid w:val="004C60B6"/>
    <w:rsid w:val="004C6722"/>
    <w:rsid w:val="004C6966"/>
    <w:rsid w:val="004C6AD2"/>
    <w:rsid w:val="004C6F8A"/>
    <w:rsid w:val="004C73EE"/>
    <w:rsid w:val="004C74B1"/>
    <w:rsid w:val="004D09E4"/>
    <w:rsid w:val="004D1313"/>
    <w:rsid w:val="004D1B4D"/>
    <w:rsid w:val="004D260A"/>
    <w:rsid w:val="004D2A08"/>
    <w:rsid w:val="004D2E5F"/>
    <w:rsid w:val="004D3697"/>
    <w:rsid w:val="004D3C4A"/>
    <w:rsid w:val="004D3E96"/>
    <w:rsid w:val="004D4C08"/>
    <w:rsid w:val="004D4D1C"/>
    <w:rsid w:val="004D5339"/>
    <w:rsid w:val="004D5D11"/>
    <w:rsid w:val="004D5D5F"/>
    <w:rsid w:val="004D680E"/>
    <w:rsid w:val="004D6922"/>
    <w:rsid w:val="004D697E"/>
    <w:rsid w:val="004D6A82"/>
    <w:rsid w:val="004D6BE2"/>
    <w:rsid w:val="004D6FB5"/>
    <w:rsid w:val="004D6FD1"/>
    <w:rsid w:val="004D7772"/>
    <w:rsid w:val="004D7DF3"/>
    <w:rsid w:val="004E00D1"/>
    <w:rsid w:val="004E08F9"/>
    <w:rsid w:val="004E0E9D"/>
    <w:rsid w:val="004E116E"/>
    <w:rsid w:val="004E118B"/>
    <w:rsid w:val="004E1299"/>
    <w:rsid w:val="004E12C2"/>
    <w:rsid w:val="004E1811"/>
    <w:rsid w:val="004E19B0"/>
    <w:rsid w:val="004E2097"/>
    <w:rsid w:val="004E26C3"/>
    <w:rsid w:val="004E2D8C"/>
    <w:rsid w:val="004E2D99"/>
    <w:rsid w:val="004E30A5"/>
    <w:rsid w:val="004E3455"/>
    <w:rsid w:val="004E3B15"/>
    <w:rsid w:val="004E4DFD"/>
    <w:rsid w:val="004E5931"/>
    <w:rsid w:val="004E5990"/>
    <w:rsid w:val="004E6018"/>
    <w:rsid w:val="004E6784"/>
    <w:rsid w:val="004E6BB5"/>
    <w:rsid w:val="004E7C46"/>
    <w:rsid w:val="004E7C6C"/>
    <w:rsid w:val="004E7DDA"/>
    <w:rsid w:val="004E7E50"/>
    <w:rsid w:val="004F00CA"/>
    <w:rsid w:val="004F02B3"/>
    <w:rsid w:val="004F08B6"/>
    <w:rsid w:val="004F0EB1"/>
    <w:rsid w:val="004F1226"/>
    <w:rsid w:val="004F13C1"/>
    <w:rsid w:val="004F16C5"/>
    <w:rsid w:val="004F16F7"/>
    <w:rsid w:val="004F1B88"/>
    <w:rsid w:val="004F2004"/>
    <w:rsid w:val="004F22F4"/>
    <w:rsid w:val="004F250F"/>
    <w:rsid w:val="004F2EA2"/>
    <w:rsid w:val="004F2EB5"/>
    <w:rsid w:val="004F3066"/>
    <w:rsid w:val="004F3857"/>
    <w:rsid w:val="004F42C7"/>
    <w:rsid w:val="004F50F5"/>
    <w:rsid w:val="004F5380"/>
    <w:rsid w:val="004F53F0"/>
    <w:rsid w:val="004F5B40"/>
    <w:rsid w:val="004F5E64"/>
    <w:rsid w:val="004F62DD"/>
    <w:rsid w:val="004F63E2"/>
    <w:rsid w:val="004F720D"/>
    <w:rsid w:val="004F7FC6"/>
    <w:rsid w:val="005002E2"/>
    <w:rsid w:val="005008B1"/>
    <w:rsid w:val="00500D24"/>
    <w:rsid w:val="00501300"/>
    <w:rsid w:val="0050152A"/>
    <w:rsid w:val="00501EC1"/>
    <w:rsid w:val="00502379"/>
    <w:rsid w:val="00502546"/>
    <w:rsid w:val="00502E0D"/>
    <w:rsid w:val="00502FAE"/>
    <w:rsid w:val="00503161"/>
    <w:rsid w:val="0050382E"/>
    <w:rsid w:val="0050390F"/>
    <w:rsid w:val="00503F63"/>
    <w:rsid w:val="00504134"/>
    <w:rsid w:val="0050425D"/>
    <w:rsid w:val="005048B1"/>
    <w:rsid w:val="00505AD8"/>
    <w:rsid w:val="00506564"/>
    <w:rsid w:val="005066B5"/>
    <w:rsid w:val="00506E47"/>
    <w:rsid w:val="005077F1"/>
    <w:rsid w:val="005079F5"/>
    <w:rsid w:val="00507B9C"/>
    <w:rsid w:val="00507EC8"/>
    <w:rsid w:val="0051037E"/>
    <w:rsid w:val="0051064E"/>
    <w:rsid w:val="00511300"/>
    <w:rsid w:val="005114F6"/>
    <w:rsid w:val="00512632"/>
    <w:rsid w:val="00512BC8"/>
    <w:rsid w:val="00512E42"/>
    <w:rsid w:val="00512F8C"/>
    <w:rsid w:val="005137FA"/>
    <w:rsid w:val="00514471"/>
    <w:rsid w:val="0051487A"/>
    <w:rsid w:val="00515415"/>
    <w:rsid w:val="005157C2"/>
    <w:rsid w:val="00515920"/>
    <w:rsid w:val="00516885"/>
    <w:rsid w:val="00516D07"/>
    <w:rsid w:val="00516F90"/>
    <w:rsid w:val="005173DB"/>
    <w:rsid w:val="00517949"/>
    <w:rsid w:val="00517AB5"/>
    <w:rsid w:val="00517B5A"/>
    <w:rsid w:val="00517DA7"/>
    <w:rsid w:val="00517DAB"/>
    <w:rsid w:val="00517E03"/>
    <w:rsid w:val="0052002E"/>
    <w:rsid w:val="005201C0"/>
    <w:rsid w:val="0052037D"/>
    <w:rsid w:val="00520ABA"/>
    <w:rsid w:val="005213B3"/>
    <w:rsid w:val="0052199F"/>
    <w:rsid w:val="0052204F"/>
    <w:rsid w:val="00522108"/>
    <w:rsid w:val="0052234D"/>
    <w:rsid w:val="00522439"/>
    <w:rsid w:val="0052257E"/>
    <w:rsid w:val="005231B1"/>
    <w:rsid w:val="0052325E"/>
    <w:rsid w:val="00523823"/>
    <w:rsid w:val="00523D63"/>
    <w:rsid w:val="00523D93"/>
    <w:rsid w:val="00523FDA"/>
    <w:rsid w:val="005258A9"/>
    <w:rsid w:val="00525EF8"/>
    <w:rsid w:val="00526550"/>
    <w:rsid w:val="00526708"/>
    <w:rsid w:val="00526775"/>
    <w:rsid w:val="00526849"/>
    <w:rsid w:val="00526F4A"/>
    <w:rsid w:val="005273CF"/>
    <w:rsid w:val="00527CB9"/>
    <w:rsid w:val="0053056A"/>
    <w:rsid w:val="005307EA"/>
    <w:rsid w:val="00530B4B"/>
    <w:rsid w:val="00530F0E"/>
    <w:rsid w:val="00531740"/>
    <w:rsid w:val="00531777"/>
    <w:rsid w:val="00533068"/>
    <w:rsid w:val="0053321A"/>
    <w:rsid w:val="00533705"/>
    <w:rsid w:val="00533BE3"/>
    <w:rsid w:val="00533CB7"/>
    <w:rsid w:val="00533FB8"/>
    <w:rsid w:val="0053464B"/>
    <w:rsid w:val="00534A95"/>
    <w:rsid w:val="00534BD2"/>
    <w:rsid w:val="00534DAA"/>
    <w:rsid w:val="00534DD4"/>
    <w:rsid w:val="00534F80"/>
    <w:rsid w:val="005352A3"/>
    <w:rsid w:val="0053599F"/>
    <w:rsid w:val="00535FA0"/>
    <w:rsid w:val="00535FAA"/>
    <w:rsid w:val="00536B3E"/>
    <w:rsid w:val="00536CD0"/>
    <w:rsid w:val="00536CDF"/>
    <w:rsid w:val="005375C8"/>
    <w:rsid w:val="005378E7"/>
    <w:rsid w:val="00537AB7"/>
    <w:rsid w:val="00537B8A"/>
    <w:rsid w:val="00537C6C"/>
    <w:rsid w:val="00537E32"/>
    <w:rsid w:val="00537EFA"/>
    <w:rsid w:val="005400D4"/>
    <w:rsid w:val="00540251"/>
    <w:rsid w:val="005403F3"/>
    <w:rsid w:val="00541273"/>
    <w:rsid w:val="00541642"/>
    <w:rsid w:val="005416E0"/>
    <w:rsid w:val="0054188B"/>
    <w:rsid w:val="00541CD1"/>
    <w:rsid w:val="00542238"/>
    <w:rsid w:val="0054250C"/>
    <w:rsid w:val="0054342A"/>
    <w:rsid w:val="00543661"/>
    <w:rsid w:val="00543966"/>
    <w:rsid w:val="00543B4B"/>
    <w:rsid w:val="00543FC0"/>
    <w:rsid w:val="00544356"/>
    <w:rsid w:val="0054448A"/>
    <w:rsid w:val="005447D1"/>
    <w:rsid w:val="00544840"/>
    <w:rsid w:val="00544B94"/>
    <w:rsid w:val="00545013"/>
    <w:rsid w:val="005452DF"/>
    <w:rsid w:val="00545491"/>
    <w:rsid w:val="00545C1F"/>
    <w:rsid w:val="00545D64"/>
    <w:rsid w:val="00545EB2"/>
    <w:rsid w:val="00545F8E"/>
    <w:rsid w:val="005464A1"/>
    <w:rsid w:val="0054659A"/>
    <w:rsid w:val="005468AA"/>
    <w:rsid w:val="00546EE0"/>
    <w:rsid w:val="00546F56"/>
    <w:rsid w:val="005470BB"/>
    <w:rsid w:val="0054738C"/>
    <w:rsid w:val="005475E7"/>
    <w:rsid w:val="00547716"/>
    <w:rsid w:val="00547783"/>
    <w:rsid w:val="005479F6"/>
    <w:rsid w:val="00547B94"/>
    <w:rsid w:val="005513D5"/>
    <w:rsid w:val="00551981"/>
    <w:rsid w:val="00551AE5"/>
    <w:rsid w:val="0055273A"/>
    <w:rsid w:val="00552E6E"/>
    <w:rsid w:val="00553892"/>
    <w:rsid w:val="00554AC6"/>
    <w:rsid w:val="00554ED3"/>
    <w:rsid w:val="00555910"/>
    <w:rsid w:val="00555A5B"/>
    <w:rsid w:val="00555F57"/>
    <w:rsid w:val="005563EF"/>
    <w:rsid w:val="005565C1"/>
    <w:rsid w:val="00556BAE"/>
    <w:rsid w:val="00556C06"/>
    <w:rsid w:val="00557328"/>
    <w:rsid w:val="005573CA"/>
    <w:rsid w:val="00557627"/>
    <w:rsid w:val="0056009F"/>
    <w:rsid w:val="005601CC"/>
    <w:rsid w:val="005607E1"/>
    <w:rsid w:val="00561094"/>
    <w:rsid w:val="005614C7"/>
    <w:rsid w:val="00561D8E"/>
    <w:rsid w:val="00562015"/>
    <w:rsid w:val="00563616"/>
    <w:rsid w:val="0056384C"/>
    <w:rsid w:val="005638C6"/>
    <w:rsid w:val="0056434A"/>
    <w:rsid w:val="00564373"/>
    <w:rsid w:val="00564781"/>
    <w:rsid w:val="0056501E"/>
    <w:rsid w:val="00565581"/>
    <w:rsid w:val="00565634"/>
    <w:rsid w:val="00565A1E"/>
    <w:rsid w:val="00565D37"/>
    <w:rsid w:val="00566F48"/>
    <w:rsid w:val="00567E42"/>
    <w:rsid w:val="00567EB7"/>
    <w:rsid w:val="0057027E"/>
    <w:rsid w:val="005707A4"/>
    <w:rsid w:val="00570B72"/>
    <w:rsid w:val="00570D54"/>
    <w:rsid w:val="00570EFD"/>
    <w:rsid w:val="00571590"/>
    <w:rsid w:val="0057193E"/>
    <w:rsid w:val="0057193F"/>
    <w:rsid w:val="0057198B"/>
    <w:rsid w:val="00572128"/>
    <w:rsid w:val="005725AE"/>
    <w:rsid w:val="00572DB7"/>
    <w:rsid w:val="005735D2"/>
    <w:rsid w:val="00573713"/>
    <w:rsid w:val="005742DA"/>
    <w:rsid w:val="005743D4"/>
    <w:rsid w:val="00574F61"/>
    <w:rsid w:val="00575139"/>
    <w:rsid w:val="005751F0"/>
    <w:rsid w:val="005752DC"/>
    <w:rsid w:val="005757A0"/>
    <w:rsid w:val="005761A1"/>
    <w:rsid w:val="00576D09"/>
    <w:rsid w:val="00577573"/>
    <w:rsid w:val="00577A3C"/>
    <w:rsid w:val="00577D15"/>
    <w:rsid w:val="00577D89"/>
    <w:rsid w:val="00580008"/>
    <w:rsid w:val="00580F6D"/>
    <w:rsid w:val="00581027"/>
    <w:rsid w:val="00581B64"/>
    <w:rsid w:val="00581F54"/>
    <w:rsid w:val="005820B8"/>
    <w:rsid w:val="005820E8"/>
    <w:rsid w:val="00582777"/>
    <w:rsid w:val="00582AD6"/>
    <w:rsid w:val="00582C2F"/>
    <w:rsid w:val="00582C76"/>
    <w:rsid w:val="00583455"/>
    <w:rsid w:val="00583E65"/>
    <w:rsid w:val="00584744"/>
    <w:rsid w:val="00584DEA"/>
    <w:rsid w:val="005851A5"/>
    <w:rsid w:val="005853A6"/>
    <w:rsid w:val="0058579F"/>
    <w:rsid w:val="00585886"/>
    <w:rsid w:val="00585F0C"/>
    <w:rsid w:val="005864CC"/>
    <w:rsid w:val="0058694C"/>
    <w:rsid w:val="00586A0F"/>
    <w:rsid w:val="00586AA8"/>
    <w:rsid w:val="0058713C"/>
    <w:rsid w:val="005875FB"/>
    <w:rsid w:val="00587C24"/>
    <w:rsid w:val="0058C85F"/>
    <w:rsid w:val="0059009F"/>
    <w:rsid w:val="005902A7"/>
    <w:rsid w:val="00590626"/>
    <w:rsid w:val="00590B8E"/>
    <w:rsid w:val="00591263"/>
    <w:rsid w:val="005916C6"/>
    <w:rsid w:val="00591A16"/>
    <w:rsid w:val="00591ABF"/>
    <w:rsid w:val="005920AE"/>
    <w:rsid w:val="0059215D"/>
    <w:rsid w:val="00592391"/>
    <w:rsid w:val="00592626"/>
    <w:rsid w:val="00593239"/>
    <w:rsid w:val="005936B1"/>
    <w:rsid w:val="00593836"/>
    <w:rsid w:val="005938BB"/>
    <w:rsid w:val="005944D3"/>
    <w:rsid w:val="00594E2A"/>
    <w:rsid w:val="00594FBE"/>
    <w:rsid w:val="0059501A"/>
    <w:rsid w:val="0059556F"/>
    <w:rsid w:val="005958FB"/>
    <w:rsid w:val="00596CD1"/>
    <w:rsid w:val="00597073"/>
    <w:rsid w:val="0059731E"/>
    <w:rsid w:val="005A06ED"/>
    <w:rsid w:val="005A0A03"/>
    <w:rsid w:val="005A0D53"/>
    <w:rsid w:val="005A0E76"/>
    <w:rsid w:val="005A10B0"/>
    <w:rsid w:val="005A11BE"/>
    <w:rsid w:val="005A333F"/>
    <w:rsid w:val="005A4146"/>
    <w:rsid w:val="005A4364"/>
    <w:rsid w:val="005A44BD"/>
    <w:rsid w:val="005A547B"/>
    <w:rsid w:val="005A5569"/>
    <w:rsid w:val="005A5882"/>
    <w:rsid w:val="005A5A97"/>
    <w:rsid w:val="005A5BF8"/>
    <w:rsid w:val="005A5C41"/>
    <w:rsid w:val="005A6657"/>
    <w:rsid w:val="005A7530"/>
    <w:rsid w:val="005A7599"/>
    <w:rsid w:val="005A7E89"/>
    <w:rsid w:val="005A7F3D"/>
    <w:rsid w:val="005ACF73"/>
    <w:rsid w:val="005B1331"/>
    <w:rsid w:val="005B13BF"/>
    <w:rsid w:val="005B1AE6"/>
    <w:rsid w:val="005B1FD8"/>
    <w:rsid w:val="005B2006"/>
    <w:rsid w:val="005B2535"/>
    <w:rsid w:val="005B270A"/>
    <w:rsid w:val="005B2788"/>
    <w:rsid w:val="005B296A"/>
    <w:rsid w:val="005B36F2"/>
    <w:rsid w:val="005B3BB1"/>
    <w:rsid w:val="005B4314"/>
    <w:rsid w:val="005B4A76"/>
    <w:rsid w:val="005B547E"/>
    <w:rsid w:val="005B560F"/>
    <w:rsid w:val="005B5611"/>
    <w:rsid w:val="005B5BC0"/>
    <w:rsid w:val="005B5F8A"/>
    <w:rsid w:val="005B60A3"/>
    <w:rsid w:val="005B6964"/>
    <w:rsid w:val="005C09F3"/>
    <w:rsid w:val="005C0A9B"/>
    <w:rsid w:val="005C0BC7"/>
    <w:rsid w:val="005C147E"/>
    <w:rsid w:val="005C31E7"/>
    <w:rsid w:val="005C3480"/>
    <w:rsid w:val="005C4279"/>
    <w:rsid w:val="005C51A1"/>
    <w:rsid w:val="005C547E"/>
    <w:rsid w:val="005C54F1"/>
    <w:rsid w:val="005C5530"/>
    <w:rsid w:val="005C5599"/>
    <w:rsid w:val="005C5C29"/>
    <w:rsid w:val="005C67FB"/>
    <w:rsid w:val="005C6B31"/>
    <w:rsid w:val="005C6EF7"/>
    <w:rsid w:val="005C7176"/>
    <w:rsid w:val="005C7336"/>
    <w:rsid w:val="005C733B"/>
    <w:rsid w:val="005C7E8C"/>
    <w:rsid w:val="005CD112"/>
    <w:rsid w:val="005D0009"/>
    <w:rsid w:val="005D007A"/>
    <w:rsid w:val="005D00FD"/>
    <w:rsid w:val="005D0375"/>
    <w:rsid w:val="005D0376"/>
    <w:rsid w:val="005D07E9"/>
    <w:rsid w:val="005D0B2B"/>
    <w:rsid w:val="005D166C"/>
    <w:rsid w:val="005D1FF5"/>
    <w:rsid w:val="005D22C9"/>
    <w:rsid w:val="005D2377"/>
    <w:rsid w:val="005D25B8"/>
    <w:rsid w:val="005D2930"/>
    <w:rsid w:val="005D34AD"/>
    <w:rsid w:val="005D3657"/>
    <w:rsid w:val="005D36C7"/>
    <w:rsid w:val="005D3C5A"/>
    <w:rsid w:val="005D3E3A"/>
    <w:rsid w:val="005D418A"/>
    <w:rsid w:val="005D43CF"/>
    <w:rsid w:val="005D4813"/>
    <w:rsid w:val="005D494D"/>
    <w:rsid w:val="005D4A14"/>
    <w:rsid w:val="005D51CC"/>
    <w:rsid w:val="005D52AA"/>
    <w:rsid w:val="005D5432"/>
    <w:rsid w:val="005D5739"/>
    <w:rsid w:val="005D59E7"/>
    <w:rsid w:val="005D5D10"/>
    <w:rsid w:val="005D609C"/>
    <w:rsid w:val="005D6CFE"/>
    <w:rsid w:val="005D737D"/>
    <w:rsid w:val="005D7781"/>
    <w:rsid w:val="005E0A8F"/>
    <w:rsid w:val="005E0EFF"/>
    <w:rsid w:val="005E1665"/>
    <w:rsid w:val="005E1668"/>
    <w:rsid w:val="005E1EFF"/>
    <w:rsid w:val="005E1FA9"/>
    <w:rsid w:val="005E2CA8"/>
    <w:rsid w:val="005E35DD"/>
    <w:rsid w:val="005E361A"/>
    <w:rsid w:val="005E3922"/>
    <w:rsid w:val="005E44D9"/>
    <w:rsid w:val="005E4733"/>
    <w:rsid w:val="005E4BAE"/>
    <w:rsid w:val="005E4F20"/>
    <w:rsid w:val="005E54E7"/>
    <w:rsid w:val="005E582C"/>
    <w:rsid w:val="005E5F27"/>
    <w:rsid w:val="005E641C"/>
    <w:rsid w:val="005E68DD"/>
    <w:rsid w:val="005E68E3"/>
    <w:rsid w:val="005E6EAE"/>
    <w:rsid w:val="005E6EAF"/>
    <w:rsid w:val="005E7736"/>
    <w:rsid w:val="005E77CB"/>
    <w:rsid w:val="005E796D"/>
    <w:rsid w:val="005F0235"/>
    <w:rsid w:val="005F0633"/>
    <w:rsid w:val="005F09BF"/>
    <w:rsid w:val="005F1C70"/>
    <w:rsid w:val="005F1CD4"/>
    <w:rsid w:val="005F2688"/>
    <w:rsid w:val="005F2800"/>
    <w:rsid w:val="005F2EFA"/>
    <w:rsid w:val="005F2FBC"/>
    <w:rsid w:val="005F31F8"/>
    <w:rsid w:val="005F3AE9"/>
    <w:rsid w:val="005F3CB8"/>
    <w:rsid w:val="005F3F49"/>
    <w:rsid w:val="005F49C2"/>
    <w:rsid w:val="005F4A71"/>
    <w:rsid w:val="005F4DD2"/>
    <w:rsid w:val="005F5428"/>
    <w:rsid w:val="005F59C9"/>
    <w:rsid w:val="005F5B0A"/>
    <w:rsid w:val="005F5BD1"/>
    <w:rsid w:val="005F5DD0"/>
    <w:rsid w:val="005F65B4"/>
    <w:rsid w:val="005F7510"/>
    <w:rsid w:val="005F7799"/>
    <w:rsid w:val="005F7A3B"/>
    <w:rsid w:val="005F7B5C"/>
    <w:rsid w:val="005F7C4E"/>
    <w:rsid w:val="005F7E83"/>
    <w:rsid w:val="0060012E"/>
    <w:rsid w:val="00600F94"/>
    <w:rsid w:val="00601081"/>
    <w:rsid w:val="00601262"/>
    <w:rsid w:val="0060261C"/>
    <w:rsid w:val="0060271A"/>
    <w:rsid w:val="00602728"/>
    <w:rsid w:val="00602B75"/>
    <w:rsid w:val="0060358E"/>
    <w:rsid w:val="00603B5B"/>
    <w:rsid w:val="006048C6"/>
    <w:rsid w:val="00604F94"/>
    <w:rsid w:val="00604FC6"/>
    <w:rsid w:val="006057B8"/>
    <w:rsid w:val="0060585E"/>
    <w:rsid w:val="00605B8E"/>
    <w:rsid w:val="00605DE4"/>
    <w:rsid w:val="00606240"/>
    <w:rsid w:val="00606338"/>
    <w:rsid w:val="00606B27"/>
    <w:rsid w:val="00607402"/>
    <w:rsid w:val="00610D6F"/>
    <w:rsid w:val="00610EAC"/>
    <w:rsid w:val="00610EF8"/>
    <w:rsid w:val="006118B3"/>
    <w:rsid w:val="00611D66"/>
    <w:rsid w:val="0061235A"/>
    <w:rsid w:val="006129BB"/>
    <w:rsid w:val="00612B29"/>
    <w:rsid w:val="006130C2"/>
    <w:rsid w:val="006132CB"/>
    <w:rsid w:val="00613583"/>
    <w:rsid w:val="00613F64"/>
    <w:rsid w:val="006141DC"/>
    <w:rsid w:val="00614758"/>
    <w:rsid w:val="00614DF3"/>
    <w:rsid w:val="00614EA4"/>
    <w:rsid w:val="00615A0C"/>
    <w:rsid w:val="00616175"/>
    <w:rsid w:val="0061631C"/>
    <w:rsid w:val="00616C1A"/>
    <w:rsid w:val="00616CB4"/>
    <w:rsid w:val="00616D57"/>
    <w:rsid w:val="00616F23"/>
    <w:rsid w:val="0061772E"/>
    <w:rsid w:val="00617799"/>
    <w:rsid w:val="00617DA4"/>
    <w:rsid w:val="0061F166"/>
    <w:rsid w:val="00620301"/>
    <w:rsid w:val="00620542"/>
    <w:rsid w:val="00620A1E"/>
    <w:rsid w:val="00621097"/>
    <w:rsid w:val="00621656"/>
    <w:rsid w:val="006218DD"/>
    <w:rsid w:val="006222A9"/>
    <w:rsid w:val="00622543"/>
    <w:rsid w:val="00622785"/>
    <w:rsid w:val="00622945"/>
    <w:rsid w:val="00622970"/>
    <w:rsid w:val="00622ACA"/>
    <w:rsid w:val="0062312A"/>
    <w:rsid w:val="006240FF"/>
    <w:rsid w:val="00624123"/>
    <w:rsid w:val="00624C37"/>
    <w:rsid w:val="00624E75"/>
    <w:rsid w:val="00625016"/>
    <w:rsid w:val="00625288"/>
    <w:rsid w:val="0062583D"/>
    <w:rsid w:val="00625B7E"/>
    <w:rsid w:val="006260EB"/>
    <w:rsid w:val="006267BE"/>
    <w:rsid w:val="00626825"/>
    <w:rsid w:val="00626C04"/>
    <w:rsid w:val="00626E9E"/>
    <w:rsid w:val="006276DA"/>
    <w:rsid w:val="0062775B"/>
    <w:rsid w:val="0062799B"/>
    <w:rsid w:val="00627C78"/>
    <w:rsid w:val="00627F5E"/>
    <w:rsid w:val="00630698"/>
    <w:rsid w:val="00630A51"/>
    <w:rsid w:val="0063169D"/>
    <w:rsid w:val="00631C5B"/>
    <w:rsid w:val="00631E31"/>
    <w:rsid w:val="0063203B"/>
    <w:rsid w:val="0063218C"/>
    <w:rsid w:val="006321ED"/>
    <w:rsid w:val="00632329"/>
    <w:rsid w:val="006323CD"/>
    <w:rsid w:val="0063290F"/>
    <w:rsid w:val="006331AB"/>
    <w:rsid w:val="0063362B"/>
    <w:rsid w:val="00633EA7"/>
    <w:rsid w:val="00634465"/>
    <w:rsid w:val="00634490"/>
    <w:rsid w:val="0063469E"/>
    <w:rsid w:val="00634774"/>
    <w:rsid w:val="006349AD"/>
    <w:rsid w:val="00634B3A"/>
    <w:rsid w:val="00634DB3"/>
    <w:rsid w:val="00635789"/>
    <w:rsid w:val="00635A2B"/>
    <w:rsid w:val="00635D2F"/>
    <w:rsid w:val="00636254"/>
    <w:rsid w:val="006364C6"/>
    <w:rsid w:val="00636589"/>
    <w:rsid w:val="0063683A"/>
    <w:rsid w:val="00636D59"/>
    <w:rsid w:val="0063763F"/>
    <w:rsid w:val="00637A58"/>
    <w:rsid w:val="00637E77"/>
    <w:rsid w:val="0064034B"/>
    <w:rsid w:val="00640544"/>
    <w:rsid w:val="00640968"/>
    <w:rsid w:val="00640ACD"/>
    <w:rsid w:val="00641297"/>
    <w:rsid w:val="00641A53"/>
    <w:rsid w:val="00641F91"/>
    <w:rsid w:val="00642880"/>
    <w:rsid w:val="006429A9"/>
    <w:rsid w:val="0064359A"/>
    <w:rsid w:val="00643605"/>
    <w:rsid w:val="00644BC1"/>
    <w:rsid w:val="0064519D"/>
    <w:rsid w:val="00645616"/>
    <w:rsid w:val="00645960"/>
    <w:rsid w:val="00645B78"/>
    <w:rsid w:val="00645FE3"/>
    <w:rsid w:val="006460DD"/>
    <w:rsid w:val="006464BA"/>
    <w:rsid w:val="00646CF7"/>
    <w:rsid w:val="00646F62"/>
    <w:rsid w:val="00647387"/>
    <w:rsid w:val="00647CF4"/>
    <w:rsid w:val="00647F3F"/>
    <w:rsid w:val="00647FC8"/>
    <w:rsid w:val="00650D72"/>
    <w:rsid w:val="00650EEA"/>
    <w:rsid w:val="00651864"/>
    <w:rsid w:val="0065196C"/>
    <w:rsid w:val="00652235"/>
    <w:rsid w:val="00652344"/>
    <w:rsid w:val="00652541"/>
    <w:rsid w:val="00652BB0"/>
    <w:rsid w:val="00653085"/>
    <w:rsid w:val="00653388"/>
    <w:rsid w:val="006544F9"/>
    <w:rsid w:val="00654832"/>
    <w:rsid w:val="00654A20"/>
    <w:rsid w:val="00654AF8"/>
    <w:rsid w:val="00654CD9"/>
    <w:rsid w:val="00655701"/>
    <w:rsid w:val="00655CA3"/>
    <w:rsid w:val="006562F0"/>
    <w:rsid w:val="00656DC4"/>
    <w:rsid w:val="00657535"/>
    <w:rsid w:val="00657AF9"/>
    <w:rsid w:val="00657C4C"/>
    <w:rsid w:val="00657CAF"/>
    <w:rsid w:val="0066043F"/>
    <w:rsid w:val="0066092D"/>
    <w:rsid w:val="006609C1"/>
    <w:rsid w:val="00660BED"/>
    <w:rsid w:val="00660DC0"/>
    <w:rsid w:val="00660F79"/>
    <w:rsid w:val="00661086"/>
    <w:rsid w:val="0066124E"/>
    <w:rsid w:val="006612F3"/>
    <w:rsid w:val="00661407"/>
    <w:rsid w:val="00661A21"/>
    <w:rsid w:val="00662FC2"/>
    <w:rsid w:val="00663704"/>
    <w:rsid w:val="00663A3B"/>
    <w:rsid w:val="00663AC2"/>
    <w:rsid w:val="00663DBB"/>
    <w:rsid w:val="00663ECF"/>
    <w:rsid w:val="00664468"/>
    <w:rsid w:val="006656B9"/>
    <w:rsid w:val="00665C2D"/>
    <w:rsid w:val="0066627D"/>
    <w:rsid w:val="006666C0"/>
    <w:rsid w:val="00666FC6"/>
    <w:rsid w:val="00667351"/>
    <w:rsid w:val="00667441"/>
    <w:rsid w:val="0066755C"/>
    <w:rsid w:val="0067067B"/>
    <w:rsid w:val="00670904"/>
    <w:rsid w:val="00671434"/>
    <w:rsid w:val="006720BB"/>
    <w:rsid w:val="00672205"/>
    <w:rsid w:val="006722F1"/>
    <w:rsid w:val="00672594"/>
    <w:rsid w:val="006727F1"/>
    <w:rsid w:val="00672DC9"/>
    <w:rsid w:val="00673411"/>
    <w:rsid w:val="006734A8"/>
    <w:rsid w:val="006736F6"/>
    <w:rsid w:val="006739CC"/>
    <w:rsid w:val="00673D80"/>
    <w:rsid w:val="00674C15"/>
    <w:rsid w:val="00675615"/>
    <w:rsid w:val="0067619B"/>
    <w:rsid w:val="006763DE"/>
    <w:rsid w:val="00676B51"/>
    <w:rsid w:val="0067763D"/>
    <w:rsid w:val="006778BE"/>
    <w:rsid w:val="00677AFC"/>
    <w:rsid w:val="00680121"/>
    <w:rsid w:val="00680834"/>
    <w:rsid w:val="00680AE5"/>
    <w:rsid w:val="00681389"/>
    <w:rsid w:val="006814F2"/>
    <w:rsid w:val="00681556"/>
    <w:rsid w:val="00681568"/>
    <w:rsid w:val="006815FB"/>
    <w:rsid w:val="006823FA"/>
    <w:rsid w:val="006825BE"/>
    <w:rsid w:val="006826F5"/>
    <w:rsid w:val="00682B2D"/>
    <w:rsid w:val="00682C29"/>
    <w:rsid w:val="00682E51"/>
    <w:rsid w:val="0068359D"/>
    <w:rsid w:val="006846B2"/>
    <w:rsid w:val="00684DA0"/>
    <w:rsid w:val="00684DCE"/>
    <w:rsid w:val="00684E0D"/>
    <w:rsid w:val="006850B9"/>
    <w:rsid w:val="006860D2"/>
    <w:rsid w:val="006863DA"/>
    <w:rsid w:val="0068698E"/>
    <w:rsid w:val="006869D0"/>
    <w:rsid w:val="00686AAE"/>
    <w:rsid w:val="006870E1"/>
    <w:rsid w:val="00687C08"/>
    <w:rsid w:val="00687EB3"/>
    <w:rsid w:val="006901A4"/>
    <w:rsid w:val="00690B7F"/>
    <w:rsid w:val="00691533"/>
    <w:rsid w:val="00691B21"/>
    <w:rsid w:val="00691F81"/>
    <w:rsid w:val="00692176"/>
    <w:rsid w:val="006926C5"/>
    <w:rsid w:val="00692884"/>
    <w:rsid w:val="00692A8A"/>
    <w:rsid w:val="00692C14"/>
    <w:rsid w:val="00692DED"/>
    <w:rsid w:val="0069355E"/>
    <w:rsid w:val="00693F07"/>
    <w:rsid w:val="00694F6B"/>
    <w:rsid w:val="00695910"/>
    <w:rsid w:val="006965A3"/>
    <w:rsid w:val="006965D0"/>
    <w:rsid w:val="006967E7"/>
    <w:rsid w:val="00696D82"/>
    <w:rsid w:val="0069704E"/>
    <w:rsid w:val="006970A6"/>
    <w:rsid w:val="00697F45"/>
    <w:rsid w:val="006A0AB7"/>
    <w:rsid w:val="006A1EB5"/>
    <w:rsid w:val="006A208B"/>
    <w:rsid w:val="006A231E"/>
    <w:rsid w:val="006A27C0"/>
    <w:rsid w:val="006A28AC"/>
    <w:rsid w:val="006A2BC4"/>
    <w:rsid w:val="006A34BE"/>
    <w:rsid w:val="006A3E5C"/>
    <w:rsid w:val="006A445E"/>
    <w:rsid w:val="006A48BA"/>
    <w:rsid w:val="006A48EB"/>
    <w:rsid w:val="006A58F2"/>
    <w:rsid w:val="006A5E32"/>
    <w:rsid w:val="006A60A6"/>
    <w:rsid w:val="006A632F"/>
    <w:rsid w:val="006A6461"/>
    <w:rsid w:val="006A65B8"/>
    <w:rsid w:val="006A68B0"/>
    <w:rsid w:val="006A6BEF"/>
    <w:rsid w:val="006A6DA9"/>
    <w:rsid w:val="006A7187"/>
    <w:rsid w:val="006A7956"/>
    <w:rsid w:val="006A7A16"/>
    <w:rsid w:val="006A7AA5"/>
    <w:rsid w:val="006A7E14"/>
    <w:rsid w:val="006B0218"/>
    <w:rsid w:val="006B0701"/>
    <w:rsid w:val="006B095B"/>
    <w:rsid w:val="006B0983"/>
    <w:rsid w:val="006B1285"/>
    <w:rsid w:val="006B1545"/>
    <w:rsid w:val="006B1C0C"/>
    <w:rsid w:val="006B1FFB"/>
    <w:rsid w:val="006B215D"/>
    <w:rsid w:val="006B33F2"/>
    <w:rsid w:val="006B35DC"/>
    <w:rsid w:val="006B36AC"/>
    <w:rsid w:val="006B3BF9"/>
    <w:rsid w:val="006B3C8A"/>
    <w:rsid w:val="006B3F3E"/>
    <w:rsid w:val="006B4C45"/>
    <w:rsid w:val="006B4D4E"/>
    <w:rsid w:val="006B521F"/>
    <w:rsid w:val="006B5B17"/>
    <w:rsid w:val="006B6489"/>
    <w:rsid w:val="006B6E26"/>
    <w:rsid w:val="006B71C6"/>
    <w:rsid w:val="006B7AE5"/>
    <w:rsid w:val="006B7E8C"/>
    <w:rsid w:val="006B7F4E"/>
    <w:rsid w:val="006C02F7"/>
    <w:rsid w:val="006C0996"/>
    <w:rsid w:val="006C09D7"/>
    <w:rsid w:val="006C0A00"/>
    <w:rsid w:val="006C0DA1"/>
    <w:rsid w:val="006C1A98"/>
    <w:rsid w:val="006C2366"/>
    <w:rsid w:val="006C2D1B"/>
    <w:rsid w:val="006C337A"/>
    <w:rsid w:val="006C3671"/>
    <w:rsid w:val="006C369E"/>
    <w:rsid w:val="006C3967"/>
    <w:rsid w:val="006C3D54"/>
    <w:rsid w:val="006C4092"/>
    <w:rsid w:val="006C4256"/>
    <w:rsid w:val="006C4BBF"/>
    <w:rsid w:val="006C4C8E"/>
    <w:rsid w:val="006C5119"/>
    <w:rsid w:val="006C5536"/>
    <w:rsid w:val="006C5869"/>
    <w:rsid w:val="006C5BD6"/>
    <w:rsid w:val="006C600F"/>
    <w:rsid w:val="006C6057"/>
    <w:rsid w:val="006C606B"/>
    <w:rsid w:val="006C6480"/>
    <w:rsid w:val="006C68B3"/>
    <w:rsid w:val="006C6C02"/>
    <w:rsid w:val="006C6CB5"/>
    <w:rsid w:val="006C6D2E"/>
    <w:rsid w:val="006C6DEF"/>
    <w:rsid w:val="006C79B8"/>
    <w:rsid w:val="006C7CEB"/>
    <w:rsid w:val="006C7DAE"/>
    <w:rsid w:val="006D043F"/>
    <w:rsid w:val="006D0CA2"/>
    <w:rsid w:val="006D115F"/>
    <w:rsid w:val="006D11C1"/>
    <w:rsid w:val="006D1C43"/>
    <w:rsid w:val="006D1FA6"/>
    <w:rsid w:val="006D26B7"/>
    <w:rsid w:val="006D2745"/>
    <w:rsid w:val="006D3620"/>
    <w:rsid w:val="006D3E56"/>
    <w:rsid w:val="006D4084"/>
    <w:rsid w:val="006D42CE"/>
    <w:rsid w:val="006D4985"/>
    <w:rsid w:val="006D4998"/>
    <w:rsid w:val="006D511B"/>
    <w:rsid w:val="006D51C7"/>
    <w:rsid w:val="006D548D"/>
    <w:rsid w:val="006D58A4"/>
    <w:rsid w:val="006D5A4F"/>
    <w:rsid w:val="006D633C"/>
    <w:rsid w:val="006D6654"/>
    <w:rsid w:val="006D680D"/>
    <w:rsid w:val="006D712A"/>
    <w:rsid w:val="006D7198"/>
    <w:rsid w:val="006D7454"/>
    <w:rsid w:val="006D78A3"/>
    <w:rsid w:val="006E0028"/>
    <w:rsid w:val="006E0132"/>
    <w:rsid w:val="006E02C3"/>
    <w:rsid w:val="006E04CB"/>
    <w:rsid w:val="006E055C"/>
    <w:rsid w:val="006E0689"/>
    <w:rsid w:val="006E086D"/>
    <w:rsid w:val="006E121C"/>
    <w:rsid w:val="006E141A"/>
    <w:rsid w:val="006E1A6C"/>
    <w:rsid w:val="006E1A78"/>
    <w:rsid w:val="006E1E91"/>
    <w:rsid w:val="006E2660"/>
    <w:rsid w:val="006E2A17"/>
    <w:rsid w:val="006E33A0"/>
    <w:rsid w:val="006E3430"/>
    <w:rsid w:val="006E35AF"/>
    <w:rsid w:val="006E3BE2"/>
    <w:rsid w:val="006E3CC9"/>
    <w:rsid w:val="006E3D06"/>
    <w:rsid w:val="006E3EBA"/>
    <w:rsid w:val="006E493E"/>
    <w:rsid w:val="006E4A6B"/>
    <w:rsid w:val="006E5F80"/>
    <w:rsid w:val="006E60F3"/>
    <w:rsid w:val="006E635D"/>
    <w:rsid w:val="006E7A94"/>
    <w:rsid w:val="006EB6D8"/>
    <w:rsid w:val="006F11E9"/>
    <w:rsid w:val="006F15A3"/>
    <w:rsid w:val="006F171A"/>
    <w:rsid w:val="006F2882"/>
    <w:rsid w:val="006F2B0E"/>
    <w:rsid w:val="006F33C0"/>
    <w:rsid w:val="006F38B4"/>
    <w:rsid w:val="006F39F0"/>
    <w:rsid w:val="006F4575"/>
    <w:rsid w:val="006F4B32"/>
    <w:rsid w:val="006F50B8"/>
    <w:rsid w:val="006F5385"/>
    <w:rsid w:val="006F554C"/>
    <w:rsid w:val="006F5B2A"/>
    <w:rsid w:val="006F62EB"/>
    <w:rsid w:val="006F6E40"/>
    <w:rsid w:val="006F7281"/>
    <w:rsid w:val="006F730B"/>
    <w:rsid w:val="006F7325"/>
    <w:rsid w:val="006F776E"/>
    <w:rsid w:val="006F7B88"/>
    <w:rsid w:val="00700644"/>
    <w:rsid w:val="00700BB5"/>
    <w:rsid w:val="00701042"/>
    <w:rsid w:val="007014CE"/>
    <w:rsid w:val="00701E7B"/>
    <w:rsid w:val="00701F76"/>
    <w:rsid w:val="0070264D"/>
    <w:rsid w:val="0070288D"/>
    <w:rsid w:val="00703072"/>
    <w:rsid w:val="007036F9"/>
    <w:rsid w:val="00703771"/>
    <w:rsid w:val="00703AA6"/>
    <w:rsid w:val="00704014"/>
    <w:rsid w:val="00704F81"/>
    <w:rsid w:val="00705251"/>
    <w:rsid w:val="00705D31"/>
    <w:rsid w:val="00705F52"/>
    <w:rsid w:val="00706982"/>
    <w:rsid w:val="00706C19"/>
    <w:rsid w:val="00707100"/>
    <w:rsid w:val="00707149"/>
    <w:rsid w:val="007076C3"/>
    <w:rsid w:val="00707796"/>
    <w:rsid w:val="007078C0"/>
    <w:rsid w:val="00707B00"/>
    <w:rsid w:val="0071086E"/>
    <w:rsid w:val="00710A8C"/>
    <w:rsid w:val="007111F0"/>
    <w:rsid w:val="0071121D"/>
    <w:rsid w:val="00711422"/>
    <w:rsid w:val="0071163B"/>
    <w:rsid w:val="0071181C"/>
    <w:rsid w:val="00711B20"/>
    <w:rsid w:val="00711DE0"/>
    <w:rsid w:val="0071214C"/>
    <w:rsid w:val="0071228D"/>
    <w:rsid w:val="007140CB"/>
    <w:rsid w:val="00714360"/>
    <w:rsid w:val="007146B1"/>
    <w:rsid w:val="00714743"/>
    <w:rsid w:val="00714902"/>
    <w:rsid w:val="00714F8D"/>
    <w:rsid w:val="007151D9"/>
    <w:rsid w:val="007153A3"/>
    <w:rsid w:val="00715A11"/>
    <w:rsid w:val="00715CC0"/>
    <w:rsid w:val="00715DE3"/>
    <w:rsid w:val="007162AA"/>
    <w:rsid w:val="00716607"/>
    <w:rsid w:val="00716968"/>
    <w:rsid w:val="00716F51"/>
    <w:rsid w:val="0071723F"/>
    <w:rsid w:val="0071783A"/>
    <w:rsid w:val="00717858"/>
    <w:rsid w:val="00717986"/>
    <w:rsid w:val="00717A35"/>
    <w:rsid w:val="00717A4D"/>
    <w:rsid w:val="00717B68"/>
    <w:rsid w:val="00720A92"/>
    <w:rsid w:val="0072159A"/>
    <w:rsid w:val="00721674"/>
    <w:rsid w:val="00721854"/>
    <w:rsid w:val="00721DC5"/>
    <w:rsid w:val="00721F3A"/>
    <w:rsid w:val="007222C0"/>
    <w:rsid w:val="0072240E"/>
    <w:rsid w:val="00722F15"/>
    <w:rsid w:val="00722FFE"/>
    <w:rsid w:val="00723058"/>
    <w:rsid w:val="007234B2"/>
    <w:rsid w:val="0072380F"/>
    <w:rsid w:val="00723939"/>
    <w:rsid w:val="007239D8"/>
    <w:rsid w:val="00724B4E"/>
    <w:rsid w:val="00724C0C"/>
    <w:rsid w:val="00725E9E"/>
    <w:rsid w:val="00726645"/>
    <w:rsid w:val="00726D74"/>
    <w:rsid w:val="00727316"/>
    <w:rsid w:val="00727B9D"/>
    <w:rsid w:val="00727BFF"/>
    <w:rsid w:val="00727CE6"/>
    <w:rsid w:val="0073044C"/>
    <w:rsid w:val="0073080D"/>
    <w:rsid w:val="00730C89"/>
    <w:rsid w:val="00730DB2"/>
    <w:rsid w:val="00730F2F"/>
    <w:rsid w:val="00732494"/>
    <w:rsid w:val="007327BE"/>
    <w:rsid w:val="00732834"/>
    <w:rsid w:val="007328EE"/>
    <w:rsid w:val="007332D2"/>
    <w:rsid w:val="00733968"/>
    <w:rsid w:val="00733A6F"/>
    <w:rsid w:val="00733B3A"/>
    <w:rsid w:val="00733BEC"/>
    <w:rsid w:val="007345AA"/>
    <w:rsid w:val="00734E92"/>
    <w:rsid w:val="007352EE"/>
    <w:rsid w:val="0073530C"/>
    <w:rsid w:val="0073532C"/>
    <w:rsid w:val="00735715"/>
    <w:rsid w:val="00735995"/>
    <w:rsid w:val="007362CF"/>
    <w:rsid w:val="0073682F"/>
    <w:rsid w:val="00736AFE"/>
    <w:rsid w:val="00737BC9"/>
    <w:rsid w:val="00737CEE"/>
    <w:rsid w:val="0074045E"/>
    <w:rsid w:val="007408BC"/>
    <w:rsid w:val="00740BAC"/>
    <w:rsid w:val="0074111B"/>
    <w:rsid w:val="007411F1"/>
    <w:rsid w:val="00741684"/>
    <w:rsid w:val="007423B7"/>
    <w:rsid w:val="0074243D"/>
    <w:rsid w:val="0074281D"/>
    <w:rsid w:val="00742CFB"/>
    <w:rsid w:val="00744138"/>
    <w:rsid w:val="00744362"/>
    <w:rsid w:val="00744F98"/>
    <w:rsid w:val="00744FDB"/>
    <w:rsid w:val="007453E2"/>
    <w:rsid w:val="00745E05"/>
    <w:rsid w:val="00745F03"/>
    <w:rsid w:val="00746F18"/>
    <w:rsid w:val="0074726E"/>
    <w:rsid w:val="007500C2"/>
    <w:rsid w:val="007500EE"/>
    <w:rsid w:val="0075096C"/>
    <w:rsid w:val="00750E5F"/>
    <w:rsid w:val="00750FA5"/>
    <w:rsid w:val="00751164"/>
    <w:rsid w:val="00751B4F"/>
    <w:rsid w:val="00751CDE"/>
    <w:rsid w:val="0075218D"/>
    <w:rsid w:val="0075326A"/>
    <w:rsid w:val="007534DB"/>
    <w:rsid w:val="00753977"/>
    <w:rsid w:val="007546E4"/>
    <w:rsid w:val="00754CCD"/>
    <w:rsid w:val="00754F7A"/>
    <w:rsid w:val="0075579D"/>
    <w:rsid w:val="007558D4"/>
    <w:rsid w:val="007563B6"/>
    <w:rsid w:val="0075667C"/>
    <w:rsid w:val="00756A64"/>
    <w:rsid w:val="00757225"/>
    <w:rsid w:val="007572B2"/>
    <w:rsid w:val="007573D3"/>
    <w:rsid w:val="007576C5"/>
    <w:rsid w:val="007601E8"/>
    <w:rsid w:val="00760306"/>
    <w:rsid w:val="00760590"/>
    <w:rsid w:val="00760FD2"/>
    <w:rsid w:val="00761756"/>
    <w:rsid w:val="007618B9"/>
    <w:rsid w:val="007627AE"/>
    <w:rsid w:val="007627EC"/>
    <w:rsid w:val="007637BE"/>
    <w:rsid w:val="00763C32"/>
    <w:rsid w:val="0076459A"/>
    <w:rsid w:val="00764881"/>
    <w:rsid w:val="007651A9"/>
    <w:rsid w:val="007651D6"/>
    <w:rsid w:val="00766122"/>
    <w:rsid w:val="0076635B"/>
    <w:rsid w:val="00766416"/>
    <w:rsid w:val="007664F9"/>
    <w:rsid w:val="007665D9"/>
    <w:rsid w:val="007667AC"/>
    <w:rsid w:val="00766C52"/>
    <w:rsid w:val="007674D5"/>
    <w:rsid w:val="007679D0"/>
    <w:rsid w:val="00767A5C"/>
    <w:rsid w:val="0077006B"/>
    <w:rsid w:val="00770201"/>
    <w:rsid w:val="00770463"/>
    <w:rsid w:val="007704C7"/>
    <w:rsid w:val="00770583"/>
    <w:rsid w:val="00770C4E"/>
    <w:rsid w:val="00770D04"/>
    <w:rsid w:val="007714DB"/>
    <w:rsid w:val="007714F5"/>
    <w:rsid w:val="00771C38"/>
    <w:rsid w:val="00771F33"/>
    <w:rsid w:val="0077211C"/>
    <w:rsid w:val="007726DD"/>
    <w:rsid w:val="0077301E"/>
    <w:rsid w:val="007731F1"/>
    <w:rsid w:val="0077380C"/>
    <w:rsid w:val="00774358"/>
    <w:rsid w:val="007743CE"/>
    <w:rsid w:val="0077447C"/>
    <w:rsid w:val="00774793"/>
    <w:rsid w:val="00774AD1"/>
    <w:rsid w:val="007752E8"/>
    <w:rsid w:val="0077551A"/>
    <w:rsid w:val="007759D8"/>
    <w:rsid w:val="00775E68"/>
    <w:rsid w:val="0077622F"/>
    <w:rsid w:val="007763CC"/>
    <w:rsid w:val="007765E6"/>
    <w:rsid w:val="0077661B"/>
    <w:rsid w:val="00776B10"/>
    <w:rsid w:val="00776BE8"/>
    <w:rsid w:val="00776DA9"/>
    <w:rsid w:val="0077714A"/>
    <w:rsid w:val="0077733C"/>
    <w:rsid w:val="00777589"/>
    <w:rsid w:val="007776F2"/>
    <w:rsid w:val="00777CEE"/>
    <w:rsid w:val="007801AC"/>
    <w:rsid w:val="00780A58"/>
    <w:rsid w:val="00780F12"/>
    <w:rsid w:val="0078168A"/>
    <w:rsid w:val="007816DC"/>
    <w:rsid w:val="00781C0C"/>
    <w:rsid w:val="00781C4D"/>
    <w:rsid w:val="00781F96"/>
    <w:rsid w:val="00781FDE"/>
    <w:rsid w:val="00782344"/>
    <w:rsid w:val="00782D08"/>
    <w:rsid w:val="00782DAC"/>
    <w:rsid w:val="00783188"/>
    <w:rsid w:val="00783304"/>
    <w:rsid w:val="007834CD"/>
    <w:rsid w:val="007836EE"/>
    <w:rsid w:val="007848ED"/>
    <w:rsid w:val="00784FA0"/>
    <w:rsid w:val="00785872"/>
    <w:rsid w:val="00785B09"/>
    <w:rsid w:val="00785B8A"/>
    <w:rsid w:val="00785D25"/>
    <w:rsid w:val="00785E15"/>
    <w:rsid w:val="007861CB"/>
    <w:rsid w:val="007864BD"/>
    <w:rsid w:val="007865DB"/>
    <w:rsid w:val="00786E3E"/>
    <w:rsid w:val="00787496"/>
    <w:rsid w:val="007900A5"/>
    <w:rsid w:val="007902E6"/>
    <w:rsid w:val="007903E8"/>
    <w:rsid w:val="007905B2"/>
    <w:rsid w:val="007905B4"/>
    <w:rsid w:val="00790938"/>
    <w:rsid w:val="00790C0E"/>
    <w:rsid w:val="007910C1"/>
    <w:rsid w:val="00791322"/>
    <w:rsid w:val="00791DF2"/>
    <w:rsid w:val="0079228A"/>
    <w:rsid w:val="00792A3E"/>
    <w:rsid w:val="00792CF0"/>
    <w:rsid w:val="007948F2"/>
    <w:rsid w:val="00794F88"/>
    <w:rsid w:val="00794F9C"/>
    <w:rsid w:val="00795BA1"/>
    <w:rsid w:val="00796077"/>
    <w:rsid w:val="0079650E"/>
    <w:rsid w:val="007966DA"/>
    <w:rsid w:val="007967E6"/>
    <w:rsid w:val="00797531"/>
    <w:rsid w:val="00797AF0"/>
    <w:rsid w:val="00797EEE"/>
    <w:rsid w:val="00797F61"/>
    <w:rsid w:val="007A0D69"/>
    <w:rsid w:val="007A151A"/>
    <w:rsid w:val="007A152B"/>
    <w:rsid w:val="007A2B40"/>
    <w:rsid w:val="007A31D4"/>
    <w:rsid w:val="007A3D67"/>
    <w:rsid w:val="007A4281"/>
    <w:rsid w:val="007A4316"/>
    <w:rsid w:val="007A4C2C"/>
    <w:rsid w:val="007A4C3C"/>
    <w:rsid w:val="007A5C84"/>
    <w:rsid w:val="007A61E2"/>
    <w:rsid w:val="007A6787"/>
    <w:rsid w:val="007A72FC"/>
    <w:rsid w:val="007A740E"/>
    <w:rsid w:val="007A75F8"/>
    <w:rsid w:val="007A7601"/>
    <w:rsid w:val="007A7D41"/>
    <w:rsid w:val="007A7E1F"/>
    <w:rsid w:val="007A7E93"/>
    <w:rsid w:val="007B04F7"/>
    <w:rsid w:val="007B072C"/>
    <w:rsid w:val="007B0B1E"/>
    <w:rsid w:val="007B0DE6"/>
    <w:rsid w:val="007B1051"/>
    <w:rsid w:val="007B1332"/>
    <w:rsid w:val="007B13F0"/>
    <w:rsid w:val="007B1691"/>
    <w:rsid w:val="007B1747"/>
    <w:rsid w:val="007B1AB4"/>
    <w:rsid w:val="007B1B63"/>
    <w:rsid w:val="007B1E83"/>
    <w:rsid w:val="007B2B7F"/>
    <w:rsid w:val="007B3512"/>
    <w:rsid w:val="007B36A5"/>
    <w:rsid w:val="007B3F73"/>
    <w:rsid w:val="007B4066"/>
    <w:rsid w:val="007B41B7"/>
    <w:rsid w:val="007B43A2"/>
    <w:rsid w:val="007B4AAD"/>
    <w:rsid w:val="007B4ECE"/>
    <w:rsid w:val="007B5303"/>
    <w:rsid w:val="007B59C2"/>
    <w:rsid w:val="007B6183"/>
    <w:rsid w:val="007B698B"/>
    <w:rsid w:val="007B6DDE"/>
    <w:rsid w:val="007B77EC"/>
    <w:rsid w:val="007B792A"/>
    <w:rsid w:val="007B7B72"/>
    <w:rsid w:val="007C0358"/>
    <w:rsid w:val="007C037F"/>
    <w:rsid w:val="007C05FD"/>
    <w:rsid w:val="007C0663"/>
    <w:rsid w:val="007C17FA"/>
    <w:rsid w:val="007C225F"/>
    <w:rsid w:val="007C23BD"/>
    <w:rsid w:val="007C2677"/>
    <w:rsid w:val="007C295D"/>
    <w:rsid w:val="007C2BDA"/>
    <w:rsid w:val="007C2C97"/>
    <w:rsid w:val="007C2EC4"/>
    <w:rsid w:val="007C3834"/>
    <w:rsid w:val="007C3D01"/>
    <w:rsid w:val="007C3FA2"/>
    <w:rsid w:val="007C4F80"/>
    <w:rsid w:val="007C5153"/>
    <w:rsid w:val="007C5A9B"/>
    <w:rsid w:val="007C6611"/>
    <w:rsid w:val="007C6D6A"/>
    <w:rsid w:val="007C7EFF"/>
    <w:rsid w:val="007D0378"/>
    <w:rsid w:val="007D089C"/>
    <w:rsid w:val="007D15F5"/>
    <w:rsid w:val="007D22C8"/>
    <w:rsid w:val="007D2D33"/>
    <w:rsid w:val="007D2FB2"/>
    <w:rsid w:val="007D33F2"/>
    <w:rsid w:val="007D3718"/>
    <w:rsid w:val="007D3C00"/>
    <w:rsid w:val="007D3D61"/>
    <w:rsid w:val="007D3DA1"/>
    <w:rsid w:val="007D3EA8"/>
    <w:rsid w:val="007D409A"/>
    <w:rsid w:val="007D41BA"/>
    <w:rsid w:val="007D42BE"/>
    <w:rsid w:val="007D4971"/>
    <w:rsid w:val="007D6426"/>
    <w:rsid w:val="007D64AF"/>
    <w:rsid w:val="007D6E53"/>
    <w:rsid w:val="007D739C"/>
    <w:rsid w:val="007D7666"/>
    <w:rsid w:val="007D7816"/>
    <w:rsid w:val="007D7D13"/>
    <w:rsid w:val="007E01AB"/>
    <w:rsid w:val="007E050E"/>
    <w:rsid w:val="007E088F"/>
    <w:rsid w:val="007E10E6"/>
    <w:rsid w:val="007E116B"/>
    <w:rsid w:val="007E16C1"/>
    <w:rsid w:val="007E1EA9"/>
    <w:rsid w:val="007E1F62"/>
    <w:rsid w:val="007E2A02"/>
    <w:rsid w:val="007E2A39"/>
    <w:rsid w:val="007E31CB"/>
    <w:rsid w:val="007E326A"/>
    <w:rsid w:val="007E3585"/>
    <w:rsid w:val="007E4B18"/>
    <w:rsid w:val="007E4BE0"/>
    <w:rsid w:val="007E5176"/>
    <w:rsid w:val="007E51A1"/>
    <w:rsid w:val="007E5517"/>
    <w:rsid w:val="007E5A2D"/>
    <w:rsid w:val="007E5E1F"/>
    <w:rsid w:val="007E603B"/>
    <w:rsid w:val="007E63AA"/>
    <w:rsid w:val="007E666F"/>
    <w:rsid w:val="007E687E"/>
    <w:rsid w:val="007E6BE9"/>
    <w:rsid w:val="007E6EBD"/>
    <w:rsid w:val="007E75BD"/>
    <w:rsid w:val="007F01BF"/>
    <w:rsid w:val="007F0364"/>
    <w:rsid w:val="007F0A07"/>
    <w:rsid w:val="007F0CDF"/>
    <w:rsid w:val="007F0E4F"/>
    <w:rsid w:val="007F1FC3"/>
    <w:rsid w:val="007F2006"/>
    <w:rsid w:val="007F2021"/>
    <w:rsid w:val="007F254C"/>
    <w:rsid w:val="007F2581"/>
    <w:rsid w:val="007F3510"/>
    <w:rsid w:val="007F3B27"/>
    <w:rsid w:val="007F3BDD"/>
    <w:rsid w:val="007F4928"/>
    <w:rsid w:val="007F52F3"/>
    <w:rsid w:val="007F553A"/>
    <w:rsid w:val="007F56CE"/>
    <w:rsid w:val="007F5996"/>
    <w:rsid w:val="007F5EF5"/>
    <w:rsid w:val="007F5F47"/>
    <w:rsid w:val="007F6D7F"/>
    <w:rsid w:val="007F722F"/>
    <w:rsid w:val="007F72C2"/>
    <w:rsid w:val="007F7493"/>
    <w:rsid w:val="007F75AC"/>
    <w:rsid w:val="007F7E5D"/>
    <w:rsid w:val="00800B53"/>
    <w:rsid w:val="00801CE6"/>
    <w:rsid w:val="00801E10"/>
    <w:rsid w:val="00801EE2"/>
    <w:rsid w:val="008023DB"/>
    <w:rsid w:val="008029FF"/>
    <w:rsid w:val="00802C48"/>
    <w:rsid w:val="00802CE9"/>
    <w:rsid w:val="00803008"/>
    <w:rsid w:val="0080309D"/>
    <w:rsid w:val="00803624"/>
    <w:rsid w:val="00803840"/>
    <w:rsid w:val="00803A67"/>
    <w:rsid w:val="00803CA4"/>
    <w:rsid w:val="008040BD"/>
    <w:rsid w:val="00804977"/>
    <w:rsid w:val="00804A45"/>
    <w:rsid w:val="00804B6F"/>
    <w:rsid w:val="008055DD"/>
    <w:rsid w:val="008058C8"/>
    <w:rsid w:val="00806344"/>
    <w:rsid w:val="00806B65"/>
    <w:rsid w:val="00806C0E"/>
    <w:rsid w:val="00806F8C"/>
    <w:rsid w:val="00807380"/>
    <w:rsid w:val="0080766C"/>
    <w:rsid w:val="00810041"/>
    <w:rsid w:val="00810083"/>
    <w:rsid w:val="008103B4"/>
    <w:rsid w:val="0081119B"/>
    <w:rsid w:val="00811CF5"/>
    <w:rsid w:val="00812068"/>
    <w:rsid w:val="00812EF8"/>
    <w:rsid w:val="00813083"/>
    <w:rsid w:val="00813382"/>
    <w:rsid w:val="00813CE1"/>
    <w:rsid w:val="00813F01"/>
    <w:rsid w:val="008152AD"/>
    <w:rsid w:val="0081604B"/>
    <w:rsid w:val="008160D9"/>
    <w:rsid w:val="0081664F"/>
    <w:rsid w:val="00816A9C"/>
    <w:rsid w:val="00816DB5"/>
    <w:rsid w:val="00817B7A"/>
    <w:rsid w:val="00817C88"/>
    <w:rsid w:val="00817CFA"/>
    <w:rsid w:val="00817F52"/>
    <w:rsid w:val="00820623"/>
    <w:rsid w:val="00820947"/>
    <w:rsid w:val="008209A5"/>
    <w:rsid w:val="00820C3F"/>
    <w:rsid w:val="0082100B"/>
    <w:rsid w:val="0082125F"/>
    <w:rsid w:val="008229AA"/>
    <w:rsid w:val="00822B30"/>
    <w:rsid w:val="00822CDA"/>
    <w:rsid w:val="008234F4"/>
    <w:rsid w:val="00823A04"/>
    <w:rsid w:val="00823F3E"/>
    <w:rsid w:val="00824720"/>
    <w:rsid w:val="00824B61"/>
    <w:rsid w:val="00824B69"/>
    <w:rsid w:val="00824F57"/>
    <w:rsid w:val="00825164"/>
    <w:rsid w:val="00825F85"/>
    <w:rsid w:val="0082611F"/>
    <w:rsid w:val="00826293"/>
    <w:rsid w:val="008265D1"/>
    <w:rsid w:val="008266FA"/>
    <w:rsid w:val="00826EB0"/>
    <w:rsid w:val="00826EE3"/>
    <w:rsid w:val="008279A5"/>
    <w:rsid w:val="008279E1"/>
    <w:rsid w:val="008300BC"/>
    <w:rsid w:val="00830413"/>
    <w:rsid w:val="0083053A"/>
    <w:rsid w:val="00830656"/>
    <w:rsid w:val="00830A3C"/>
    <w:rsid w:val="00830C1E"/>
    <w:rsid w:val="00830C6C"/>
    <w:rsid w:val="00830CBF"/>
    <w:rsid w:val="008310E4"/>
    <w:rsid w:val="00831531"/>
    <w:rsid w:val="00832058"/>
    <w:rsid w:val="00832205"/>
    <w:rsid w:val="008329A1"/>
    <w:rsid w:val="00833039"/>
    <w:rsid w:val="008332C4"/>
    <w:rsid w:val="008348CF"/>
    <w:rsid w:val="00834BED"/>
    <w:rsid w:val="00834CD0"/>
    <w:rsid w:val="008351D1"/>
    <w:rsid w:val="00835A6E"/>
    <w:rsid w:val="00835A73"/>
    <w:rsid w:val="0083607F"/>
    <w:rsid w:val="0083623C"/>
    <w:rsid w:val="00836713"/>
    <w:rsid w:val="008369C1"/>
    <w:rsid w:val="00836E47"/>
    <w:rsid w:val="0083791F"/>
    <w:rsid w:val="00837AD7"/>
    <w:rsid w:val="00837B68"/>
    <w:rsid w:val="0084088A"/>
    <w:rsid w:val="00840999"/>
    <w:rsid w:val="00840A8D"/>
    <w:rsid w:val="00840B8D"/>
    <w:rsid w:val="0084112F"/>
    <w:rsid w:val="00841290"/>
    <w:rsid w:val="00841404"/>
    <w:rsid w:val="008415E4"/>
    <w:rsid w:val="0084162A"/>
    <w:rsid w:val="00841817"/>
    <w:rsid w:val="00841ADA"/>
    <w:rsid w:val="00841D07"/>
    <w:rsid w:val="00841F2F"/>
    <w:rsid w:val="00842761"/>
    <w:rsid w:val="0084299D"/>
    <w:rsid w:val="00842A3E"/>
    <w:rsid w:val="00842BC8"/>
    <w:rsid w:val="0084326A"/>
    <w:rsid w:val="008433CF"/>
    <w:rsid w:val="0084371F"/>
    <w:rsid w:val="00843767"/>
    <w:rsid w:val="00843BD4"/>
    <w:rsid w:val="008440BD"/>
    <w:rsid w:val="00844443"/>
    <w:rsid w:val="00844AFB"/>
    <w:rsid w:val="00844F47"/>
    <w:rsid w:val="00845180"/>
    <w:rsid w:val="008459A7"/>
    <w:rsid w:val="00845A01"/>
    <w:rsid w:val="00846200"/>
    <w:rsid w:val="0084624D"/>
    <w:rsid w:val="00846743"/>
    <w:rsid w:val="008467B3"/>
    <w:rsid w:val="00846A48"/>
    <w:rsid w:val="00846C9B"/>
    <w:rsid w:val="00846D17"/>
    <w:rsid w:val="00846E8D"/>
    <w:rsid w:val="008473EF"/>
    <w:rsid w:val="00847A05"/>
    <w:rsid w:val="0084E1E1"/>
    <w:rsid w:val="0085058A"/>
    <w:rsid w:val="00850642"/>
    <w:rsid w:val="0085094C"/>
    <w:rsid w:val="00850D77"/>
    <w:rsid w:val="00850EEA"/>
    <w:rsid w:val="0085128D"/>
    <w:rsid w:val="00851486"/>
    <w:rsid w:val="0085232B"/>
    <w:rsid w:val="0085273C"/>
    <w:rsid w:val="00852B1C"/>
    <w:rsid w:val="00852BD5"/>
    <w:rsid w:val="00853379"/>
    <w:rsid w:val="00853579"/>
    <w:rsid w:val="0085420B"/>
    <w:rsid w:val="0085425C"/>
    <w:rsid w:val="00854A3D"/>
    <w:rsid w:val="008566F2"/>
    <w:rsid w:val="00856EB7"/>
    <w:rsid w:val="00857395"/>
    <w:rsid w:val="008577F9"/>
    <w:rsid w:val="00857D6B"/>
    <w:rsid w:val="00857F24"/>
    <w:rsid w:val="008602F0"/>
    <w:rsid w:val="008602FC"/>
    <w:rsid w:val="0086040E"/>
    <w:rsid w:val="008609A1"/>
    <w:rsid w:val="00860D6D"/>
    <w:rsid w:val="008618A2"/>
    <w:rsid w:val="00862238"/>
    <w:rsid w:val="00862304"/>
    <w:rsid w:val="00862358"/>
    <w:rsid w:val="0086375E"/>
    <w:rsid w:val="008638EB"/>
    <w:rsid w:val="00863AEB"/>
    <w:rsid w:val="00863CD3"/>
    <w:rsid w:val="00863F0E"/>
    <w:rsid w:val="0086565D"/>
    <w:rsid w:val="00865794"/>
    <w:rsid w:val="00865A91"/>
    <w:rsid w:val="00866A0A"/>
    <w:rsid w:val="00866C95"/>
    <w:rsid w:val="00867120"/>
    <w:rsid w:val="008673AC"/>
    <w:rsid w:val="00867682"/>
    <w:rsid w:val="00867A4E"/>
    <w:rsid w:val="00867C49"/>
    <w:rsid w:val="0087003B"/>
    <w:rsid w:val="0087033D"/>
    <w:rsid w:val="00870A7D"/>
    <w:rsid w:val="00870C8F"/>
    <w:rsid w:val="00870E92"/>
    <w:rsid w:val="00871C7B"/>
    <w:rsid w:val="00873170"/>
    <w:rsid w:val="008731A5"/>
    <w:rsid w:val="00873318"/>
    <w:rsid w:val="008733E8"/>
    <w:rsid w:val="00873423"/>
    <w:rsid w:val="008734D1"/>
    <w:rsid w:val="0087393D"/>
    <w:rsid w:val="00873EB8"/>
    <w:rsid w:val="008741B2"/>
    <w:rsid w:val="00874CB0"/>
    <w:rsid w:val="00874EC4"/>
    <w:rsid w:val="008753ED"/>
    <w:rsid w:val="008755FB"/>
    <w:rsid w:val="00875D97"/>
    <w:rsid w:val="008761F4"/>
    <w:rsid w:val="0087650D"/>
    <w:rsid w:val="00876A26"/>
    <w:rsid w:val="00876CD0"/>
    <w:rsid w:val="00876EB5"/>
    <w:rsid w:val="0087780B"/>
    <w:rsid w:val="008801D0"/>
    <w:rsid w:val="00880369"/>
    <w:rsid w:val="00880E70"/>
    <w:rsid w:val="00881482"/>
    <w:rsid w:val="00881550"/>
    <w:rsid w:val="00881A4F"/>
    <w:rsid w:val="00882221"/>
    <w:rsid w:val="0088264F"/>
    <w:rsid w:val="00882755"/>
    <w:rsid w:val="00882F17"/>
    <w:rsid w:val="00882FA0"/>
    <w:rsid w:val="00882FBC"/>
    <w:rsid w:val="00883730"/>
    <w:rsid w:val="00883C4B"/>
    <w:rsid w:val="00884447"/>
    <w:rsid w:val="00884649"/>
    <w:rsid w:val="00884FC6"/>
    <w:rsid w:val="0088520B"/>
    <w:rsid w:val="00886830"/>
    <w:rsid w:val="00886879"/>
    <w:rsid w:val="0088687E"/>
    <w:rsid w:val="00886B2E"/>
    <w:rsid w:val="00887255"/>
    <w:rsid w:val="00887363"/>
    <w:rsid w:val="00887CC9"/>
    <w:rsid w:val="008909DD"/>
    <w:rsid w:val="00890B14"/>
    <w:rsid w:val="00891B67"/>
    <w:rsid w:val="0089275D"/>
    <w:rsid w:val="008929E5"/>
    <w:rsid w:val="00892AFB"/>
    <w:rsid w:val="00892CBC"/>
    <w:rsid w:val="00892E3B"/>
    <w:rsid w:val="00892FC6"/>
    <w:rsid w:val="00893211"/>
    <w:rsid w:val="00893267"/>
    <w:rsid w:val="008933F0"/>
    <w:rsid w:val="00893C70"/>
    <w:rsid w:val="008940CA"/>
    <w:rsid w:val="0089460D"/>
    <w:rsid w:val="00894BC7"/>
    <w:rsid w:val="00894C3B"/>
    <w:rsid w:val="00894F85"/>
    <w:rsid w:val="008952DB"/>
    <w:rsid w:val="008952F0"/>
    <w:rsid w:val="00895AE1"/>
    <w:rsid w:val="008961B8"/>
    <w:rsid w:val="008962ED"/>
    <w:rsid w:val="00896312"/>
    <w:rsid w:val="0089685B"/>
    <w:rsid w:val="00896BCC"/>
    <w:rsid w:val="00896DD2"/>
    <w:rsid w:val="0089702F"/>
    <w:rsid w:val="0089714D"/>
    <w:rsid w:val="00897443"/>
    <w:rsid w:val="00897775"/>
    <w:rsid w:val="008A1683"/>
    <w:rsid w:val="008A16F0"/>
    <w:rsid w:val="008A1B6C"/>
    <w:rsid w:val="008A2076"/>
    <w:rsid w:val="008A230F"/>
    <w:rsid w:val="008A301B"/>
    <w:rsid w:val="008A366B"/>
    <w:rsid w:val="008A3759"/>
    <w:rsid w:val="008A37C9"/>
    <w:rsid w:val="008A44C3"/>
    <w:rsid w:val="008A57F7"/>
    <w:rsid w:val="008A5927"/>
    <w:rsid w:val="008A64FA"/>
    <w:rsid w:val="008A67EA"/>
    <w:rsid w:val="008A6830"/>
    <w:rsid w:val="008A6B66"/>
    <w:rsid w:val="008A7106"/>
    <w:rsid w:val="008A764A"/>
    <w:rsid w:val="008B003C"/>
    <w:rsid w:val="008B028A"/>
    <w:rsid w:val="008B12AC"/>
    <w:rsid w:val="008B17CD"/>
    <w:rsid w:val="008B1CE8"/>
    <w:rsid w:val="008B1E16"/>
    <w:rsid w:val="008B20B9"/>
    <w:rsid w:val="008B2A56"/>
    <w:rsid w:val="008B3600"/>
    <w:rsid w:val="008B36DC"/>
    <w:rsid w:val="008B391D"/>
    <w:rsid w:val="008B3A43"/>
    <w:rsid w:val="008B3DD7"/>
    <w:rsid w:val="008B438E"/>
    <w:rsid w:val="008B4395"/>
    <w:rsid w:val="008B4846"/>
    <w:rsid w:val="008B507A"/>
    <w:rsid w:val="008B6153"/>
    <w:rsid w:val="008B64C9"/>
    <w:rsid w:val="008B6EA9"/>
    <w:rsid w:val="008B73C0"/>
    <w:rsid w:val="008B749B"/>
    <w:rsid w:val="008C08DF"/>
    <w:rsid w:val="008C0B88"/>
    <w:rsid w:val="008C0C76"/>
    <w:rsid w:val="008C0E63"/>
    <w:rsid w:val="008C1427"/>
    <w:rsid w:val="008C1537"/>
    <w:rsid w:val="008C16E7"/>
    <w:rsid w:val="008C1A11"/>
    <w:rsid w:val="008C1B14"/>
    <w:rsid w:val="008C25D8"/>
    <w:rsid w:val="008C2B3A"/>
    <w:rsid w:val="008C2F38"/>
    <w:rsid w:val="008C36DA"/>
    <w:rsid w:val="008C3CE8"/>
    <w:rsid w:val="008C44BD"/>
    <w:rsid w:val="008C44F9"/>
    <w:rsid w:val="008C4BE9"/>
    <w:rsid w:val="008C4D04"/>
    <w:rsid w:val="008C4DC7"/>
    <w:rsid w:val="008C5840"/>
    <w:rsid w:val="008C6615"/>
    <w:rsid w:val="008C6A1F"/>
    <w:rsid w:val="008C6BEC"/>
    <w:rsid w:val="008C716D"/>
    <w:rsid w:val="008C73CB"/>
    <w:rsid w:val="008C75ED"/>
    <w:rsid w:val="008C7B20"/>
    <w:rsid w:val="008C7D9D"/>
    <w:rsid w:val="008D02F2"/>
    <w:rsid w:val="008D07CF"/>
    <w:rsid w:val="008D0BB1"/>
    <w:rsid w:val="008D0ED3"/>
    <w:rsid w:val="008D11F0"/>
    <w:rsid w:val="008D129A"/>
    <w:rsid w:val="008D130D"/>
    <w:rsid w:val="008D14D9"/>
    <w:rsid w:val="008D1742"/>
    <w:rsid w:val="008D1894"/>
    <w:rsid w:val="008D18CE"/>
    <w:rsid w:val="008D199C"/>
    <w:rsid w:val="008D19C9"/>
    <w:rsid w:val="008D19E0"/>
    <w:rsid w:val="008D1D2F"/>
    <w:rsid w:val="008D2593"/>
    <w:rsid w:val="008D38E3"/>
    <w:rsid w:val="008D4A70"/>
    <w:rsid w:val="008D4B27"/>
    <w:rsid w:val="008D4BBE"/>
    <w:rsid w:val="008D4CBD"/>
    <w:rsid w:val="008D4D24"/>
    <w:rsid w:val="008D5228"/>
    <w:rsid w:val="008D55F1"/>
    <w:rsid w:val="008D5769"/>
    <w:rsid w:val="008D57B1"/>
    <w:rsid w:val="008D59B3"/>
    <w:rsid w:val="008D5ABA"/>
    <w:rsid w:val="008D5AD1"/>
    <w:rsid w:val="008D5DE4"/>
    <w:rsid w:val="008D5F0B"/>
    <w:rsid w:val="008D6244"/>
    <w:rsid w:val="008D6E7D"/>
    <w:rsid w:val="008D73A0"/>
    <w:rsid w:val="008D7584"/>
    <w:rsid w:val="008D7682"/>
    <w:rsid w:val="008D7C14"/>
    <w:rsid w:val="008D7C27"/>
    <w:rsid w:val="008D7D1A"/>
    <w:rsid w:val="008E0D00"/>
    <w:rsid w:val="008E0D53"/>
    <w:rsid w:val="008E0D64"/>
    <w:rsid w:val="008E10E2"/>
    <w:rsid w:val="008E189A"/>
    <w:rsid w:val="008E1BFF"/>
    <w:rsid w:val="008E1C96"/>
    <w:rsid w:val="008E1D92"/>
    <w:rsid w:val="008E1E67"/>
    <w:rsid w:val="008E2676"/>
    <w:rsid w:val="008E2C9B"/>
    <w:rsid w:val="008E2D1E"/>
    <w:rsid w:val="008E2EB5"/>
    <w:rsid w:val="008E3338"/>
    <w:rsid w:val="008E35F3"/>
    <w:rsid w:val="008E3821"/>
    <w:rsid w:val="008E38AA"/>
    <w:rsid w:val="008E3FFE"/>
    <w:rsid w:val="008E431A"/>
    <w:rsid w:val="008E43C5"/>
    <w:rsid w:val="008E44FF"/>
    <w:rsid w:val="008E464A"/>
    <w:rsid w:val="008E4D83"/>
    <w:rsid w:val="008E5370"/>
    <w:rsid w:val="008E53B9"/>
    <w:rsid w:val="008E5D1E"/>
    <w:rsid w:val="008E5EB0"/>
    <w:rsid w:val="008E786E"/>
    <w:rsid w:val="008E7C62"/>
    <w:rsid w:val="008E7C80"/>
    <w:rsid w:val="008F0202"/>
    <w:rsid w:val="008F0298"/>
    <w:rsid w:val="008F0EB3"/>
    <w:rsid w:val="008F1862"/>
    <w:rsid w:val="008F1B90"/>
    <w:rsid w:val="008F1EA6"/>
    <w:rsid w:val="008F2C25"/>
    <w:rsid w:val="008F2EC5"/>
    <w:rsid w:val="008F3014"/>
    <w:rsid w:val="008F3211"/>
    <w:rsid w:val="008F43A3"/>
    <w:rsid w:val="008F471F"/>
    <w:rsid w:val="008F47CF"/>
    <w:rsid w:val="008F4DBF"/>
    <w:rsid w:val="008F54F4"/>
    <w:rsid w:val="008F5A7A"/>
    <w:rsid w:val="008F5BA8"/>
    <w:rsid w:val="008F5FE8"/>
    <w:rsid w:val="008F626F"/>
    <w:rsid w:val="008F6427"/>
    <w:rsid w:val="008F6608"/>
    <w:rsid w:val="008F7177"/>
    <w:rsid w:val="008F7505"/>
    <w:rsid w:val="009003FA"/>
    <w:rsid w:val="00900527"/>
    <w:rsid w:val="00900942"/>
    <w:rsid w:val="00900A49"/>
    <w:rsid w:val="00900BB7"/>
    <w:rsid w:val="00900D56"/>
    <w:rsid w:val="0090182A"/>
    <w:rsid w:val="00901835"/>
    <w:rsid w:val="00902855"/>
    <w:rsid w:val="00902C68"/>
    <w:rsid w:val="009030CF"/>
    <w:rsid w:val="009033FC"/>
    <w:rsid w:val="0090351B"/>
    <w:rsid w:val="0090380F"/>
    <w:rsid w:val="0090387D"/>
    <w:rsid w:val="00903C39"/>
    <w:rsid w:val="00903EBC"/>
    <w:rsid w:val="00904490"/>
    <w:rsid w:val="0090467A"/>
    <w:rsid w:val="00904FAE"/>
    <w:rsid w:val="00905194"/>
    <w:rsid w:val="009057D3"/>
    <w:rsid w:val="00905B32"/>
    <w:rsid w:val="009061AE"/>
    <w:rsid w:val="009063E5"/>
    <w:rsid w:val="009068AE"/>
    <w:rsid w:val="00906F29"/>
    <w:rsid w:val="00906F45"/>
    <w:rsid w:val="00907014"/>
    <w:rsid w:val="009071CB"/>
    <w:rsid w:val="009076A6"/>
    <w:rsid w:val="009077C4"/>
    <w:rsid w:val="00907BE8"/>
    <w:rsid w:val="00907CBF"/>
    <w:rsid w:val="00907CDD"/>
    <w:rsid w:val="00907FF9"/>
    <w:rsid w:val="00911897"/>
    <w:rsid w:val="00911A39"/>
    <w:rsid w:val="00912027"/>
    <w:rsid w:val="0091204E"/>
    <w:rsid w:val="00912105"/>
    <w:rsid w:val="00912560"/>
    <w:rsid w:val="00912729"/>
    <w:rsid w:val="009128F1"/>
    <w:rsid w:val="00912EE9"/>
    <w:rsid w:val="00913993"/>
    <w:rsid w:val="0091483E"/>
    <w:rsid w:val="009148E2"/>
    <w:rsid w:val="00914F79"/>
    <w:rsid w:val="00915411"/>
    <w:rsid w:val="00916038"/>
    <w:rsid w:val="00916248"/>
    <w:rsid w:val="00916EC0"/>
    <w:rsid w:val="009173BE"/>
    <w:rsid w:val="00917557"/>
    <w:rsid w:val="009177C1"/>
    <w:rsid w:val="009200A1"/>
    <w:rsid w:val="0092020F"/>
    <w:rsid w:val="00920CDF"/>
    <w:rsid w:val="009220F4"/>
    <w:rsid w:val="0092270D"/>
    <w:rsid w:val="00922831"/>
    <w:rsid w:val="0092296B"/>
    <w:rsid w:val="00923AEA"/>
    <w:rsid w:val="00923EDB"/>
    <w:rsid w:val="0092420F"/>
    <w:rsid w:val="00924559"/>
    <w:rsid w:val="00924D5F"/>
    <w:rsid w:val="0092522D"/>
    <w:rsid w:val="0092536D"/>
    <w:rsid w:val="00926056"/>
    <w:rsid w:val="0092616F"/>
    <w:rsid w:val="00926F9C"/>
    <w:rsid w:val="0092775F"/>
    <w:rsid w:val="00927C33"/>
    <w:rsid w:val="00927EEE"/>
    <w:rsid w:val="00930AD3"/>
    <w:rsid w:val="00930D43"/>
    <w:rsid w:val="00932115"/>
    <w:rsid w:val="009322E1"/>
    <w:rsid w:val="009323BC"/>
    <w:rsid w:val="0093264A"/>
    <w:rsid w:val="009328E6"/>
    <w:rsid w:val="00932912"/>
    <w:rsid w:val="00933A21"/>
    <w:rsid w:val="00933AEF"/>
    <w:rsid w:val="00933C09"/>
    <w:rsid w:val="00933C49"/>
    <w:rsid w:val="00934068"/>
    <w:rsid w:val="0093432F"/>
    <w:rsid w:val="009349E8"/>
    <w:rsid w:val="00934EA8"/>
    <w:rsid w:val="0093529A"/>
    <w:rsid w:val="0093567B"/>
    <w:rsid w:val="00935755"/>
    <w:rsid w:val="00935C95"/>
    <w:rsid w:val="009361C0"/>
    <w:rsid w:val="0093691F"/>
    <w:rsid w:val="00936C4B"/>
    <w:rsid w:val="00936C73"/>
    <w:rsid w:val="00937054"/>
    <w:rsid w:val="00937EAB"/>
    <w:rsid w:val="0094017D"/>
    <w:rsid w:val="0094068C"/>
    <w:rsid w:val="00940B3F"/>
    <w:rsid w:val="0094130F"/>
    <w:rsid w:val="00941377"/>
    <w:rsid w:val="009417DD"/>
    <w:rsid w:val="009420BA"/>
    <w:rsid w:val="009420D0"/>
    <w:rsid w:val="00942BDB"/>
    <w:rsid w:val="00943016"/>
    <w:rsid w:val="00943588"/>
    <w:rsid w:val="009435F9"/>
    <w:rsid w:val="009439D2"/>
    <w:rsid w:val="00943FC3"/>
    <w:rsid w:val="00944355"/>
    <w:rsid w:val="009445E1"/>
    <w:rsid w:val="009447EE"/>
    <w:rsid w:val="00945347"/>
    <w:rsid w:val="0094546E"/>
    <w:rsid w:val="00945A24"/>
    <w:rsid w:val="00945D14"/>
    <w:rsid w:val="00945E0D"/>
    <w:rsid w:val="00945EBC"/>
    <w:rsid w:val="0094621D"/>
    <w:rsid w:val="009466F3"/>
    <w:rsid w:val="00946F92"/>
    <w:rsid w:val="009470A4"/>
    <w:rsid w:val="009470EC"/>
    <w:rsid w:val="00947381"/>
    <w:rsid w:val="0094751B"/>
    <w:rsid w:val="00947763"/>
    <w:rsid w:val="00947939"/>
    <w:rsid w:val="00947A9D"/>
    <w:rsid w:val="009501C8"/>
    <w:rsid w:val="0095032B"/>
    <w:rsid w:val="00950AAF"/>
    <w:rsid w:val="0095133B"/>
    <w:rsid w:val="009525BA"/>
    <w:rsid w:val="00952B25"/>
    <w:rsid w:val="00953065"/>
    <w:rsid w:val="00953527"/>
    <w:rsid w:val="00953550"/>
    <w:rsid w:val="009535D7"/>
    <w:rsid w:val="009536D7"/>
    <w:rsid w:val="00953837"/>
    <w:rsid w:val="00953CA9"/>
    <w:rsid w:val="0095467A"/>
    <w:rsid w:val="009551EC"/>
    <w:rsid w:val="00955212"/>
    <w:rsid w:val="0095522D"/>
    <w:rsid w:val="0095548E"/>
    <w:rsid w:val="00955C58"/>
    <w:rsid w:val="00955D72"/>
    <w:rsid w:val="00956240"/>
    <w:rsid w:val="009564B4"/>
    <w:rsid w:val="00956739"/>
    <w:rsid w:val="00956CC9"/>
    <w:rsid w:val="00956D36"/>
    <w:rsid w:val="00957BB8"/>
    <w:rsid w:val="00957F87"/>
    <w:rsid w:val="009603DF"/>
    <w:rsid w:val="009612E4"/>
    <w:rsid w:val="00961E13"/>
    <w:rsid w:val="00961EE2"/>
    <w:rsid w:val="00961FCD"/>
    <w:rsid w:val="0096231F"/>
    <w:rsid w:val="00962352"/>
    <w:rsid w:val="0096283D"/>
    <w:rsid w:val="00962841"/>
    <w:rsid w:val="009629E7"/>
    <w:rsid w:val="0096330E"/>
    <w:rsid w:val="009636E5"/>
    <w:rsid w:val="00963873"/>
    <w:rsid w:val="0096389E"/>
    <w:rsid w:val="00964371"/>
    <w:rsid w:val="00965912"/>
    <w:rsid w:val="00965AFC"/>
    <w:rsid w:val="00965DE1"/>
    <w:rsid w:val="00966969"/>
    <w:rsid w:val="00966CDF"/>
    <w:rsid w:val="00966F5F"/>
    <w:rsid w:val="0096708C"/>
    <w:rsid w:val="00967293"/>
    <w:rsid w:val="0097016D"/>
    <w:rsid w:val="00970B26"/>
    <w:rsid w:val="0097267E"/>
    <w:rsid w:val="009726F1"/>
    <w:rsid w:val="00973CDC"/>
    <w:rsid w:val="0097452C"/>
    <w:rsid w:val="00974B33"/>
    <w:rsid w:val="00974B61"/>
    <w:rsid w:val="00974EDC"/>
    <w:rsid w:val="009753FC"/>
    <w:rsid w:val="00975646"/>
    <w:rsid w:val="00975685"/>
    <w:rsid w:val="00975CDB"/>
    <w:rsid w:val="00975E7C"/>
    <w:rsid w:val="0097634B"/>
    <w:rsid w:val="009765EA"/>
    <w:rsid w:val="00977CD6"/>
    <w:rsid w:val="00977DF3"/>
    <w:rsid w:val="0098019C"/>
    <w:rsid w:val="009805C1"/>
    <w:rsid w:val="00980754"/>
    <w:rsid w:val="0098077A"/>
    <w:rsid w:val="009808D2"/>
    <w:rsid w:val="00980CFC"/>
    <w:rsid w:val="009811C0"/>
    <w:rsid w:val="0098135A"/>
    <w:rsid w:val="00982B86"/>
    <w:rsid w:val="00983D8A"/>
    <w:rsid w:val="0098407A"/>
    <w:rsid w:val="0098444C"/>
    <w:rsid w:val="00984538"/>
    <w:rsid w:val="00984B46"/>
    <w:rsid w:val="00984CD2"/>
    <w:rsid w:val="00985A56"/>
    <w:rsid w:val="00985D96"/>
    <w:rsid w:val="00985E0C"/>
    <w:rsid w:val="009866D9"/>
    <w:rsid w:val="0098688D"/>
    <w:rsid w:val="0098749F"/>
    <w:rsid w:val="00987B36"/>
    <w:rsid w:val="00987E3B"/>
    <w:rsid w:val="00990433"/>
    <w:rsid w:val="00990446"/>
    <w:rsid w:val="0099084C"/>
    <w:rsid w:val="00991047"/>
    <w:rsid w:val="00991227"/>
    <w:rsid w:val="009914F6"/>
    <w:rsid w:val="00991AD8"/>
    <w:rsid w:val="00992756"/>
    <w:rsid w:val="00992C51"/>
    <w:rsid w:val="00992FE3"/>
    <w:rsid w:val="009935A3"/>
    <w:rsid w:val="00993DE6"/>
    <w:rsid w:val="00993F66"/>
    <w:rsid w:val="00993FC1"/>
    <w:rsid w:val="0099440E"/>
    <w:rsid w:val="00994493"/>
    <w:rsid w:val="00995293"/>
    <w:rsid w:val="0099569C"/>
    <w:rsid w:val="009959CA"/>
    <w:rsid w:val="00995AF2"/>
    <w:rsid w:val="00995E8A"/>
    <w:rsid w:val="00995F62"/>
    <w:rsid w:val="009964E3"/>
    <w:rsid w:val="00996DE1"/>
    <w:rsid w:val="00997081"/>
    <w:rsid w:val="009A00C2"/>
    <w:rsid w:val="009A0CDC"/>
    <w:rsid w:val="009A15AF"/>
    <w:rsid w:val="009A192B"/>
    <w:rsid w:val="009A1FE1"/>
    <w:rsid w:val="009A252B"/>
    <w:rsid w:val="009A25DD"/>
    <w:rsid w:val="009A305F"/>
    <w:rsid w:val="009A3087"/>
    <w:rsid w:val="009A3242"/>
    <w:rsid w:val="009A32FB"/>
    <w:rsid w:val="009A3A22"/>
    <w:rsid w:val="009A3B72"/>
    <w:rsid w:val="009A3D87"/>
    <w:rsid w:val="009A419E"/>
    <w:rsid w:val="009A41E2"/>
    <w:rsid w:val="009A4D83"/>
    <w:rsid w:val="009A54E4"/>
    <w:rsid w:val="009A5576"/>
    <w:rsid w:val="009A5B59"/>
    <w:rsid w:val="009A6000"/>
    <w:rsid w:val="009A6583"/>
    <w:rsid w:val="009A6F0C"/>
    <w:rsid w:val="009A75CF"/>
    <w:rsid w:val="009A7973"/>
    <w:rsid w:val="009A7BD9"/>
    <w:rsid w:val="009B0625"/>
    <w:rsid w:val="009B067C"/>
    <w:rsid w:val="009B097A"/>
    <w:rsid w:val="009B0B9F"/>
    <w:rsid w:val="009B13BD"/>
    <w:rsid w:val="009B149B"/>
    <w:rsid w:val="009B1A0E"/>
    <w:rsid w:val="009B2E19"/>
    <w:rsid w:val="009B3553"/>
    <w:rsid w:val="009B364D"/>
    <w:rsid w:val="009B3F9B"/>
    <w:rsid w:val="009B4035"/>
    <w:rsid w:val="009B40C4"/>
    <w:rsid w:val="009B4373"/>
    <w:rsid w:val="009B4B4D"/>
    <w:rsid w:val="009B5196"/>
    <w:rsid w:val="009B533E"/>
    <w:rsid w:val="009B6020"/>
    <w:rsid w:val="009B614F"/>
    <w:rsid w:val="009B6896"/>
    <w:rsid w:val="009B6A78"/>
    <w:rsid w:val="009B6EFF"/>
    <w:rsid w:val="009B759B"/>
    <w:rsid w:val="009B79D7"/>
    <w:rsid w:val="009B7AE2"/>
    <w:rsid w:val="009B7E80"/>
    <w:rsid w:val="009C042F"/>
    <w:rsid w:val="009C0623"/>
    <w:rsid w:val="009C0C5B"/>
    <w:rsid w:val="009C0F1E"/>
    <w:rsid w:val="009C2327"/>
    <w:rsid w:val="009C3136"/>
    <w:rsid w:val="009C3182"/>
    <w:rsid w:val="009C3428"/>
    <w:rsid w:val="009C3438"/>
    <w:rsid w:val="009C3628"/>
    <w:rsid w:val="009C3FB0"/>
    <w:rsid w:val="009C4086"/>
    <w:rsid w:val="009C46BD"/>
    <w:rsid w:val="009C48FB"/>
    <w:rsid w:val="009C492D"/>
    <w:rsid w:val="009C52D7"/>
    <w:rsid w:val="009C5799"/>
    <w:rsid w:val="009C5E1C"/>
    <w:rsid w:val="009C6073"/>
    <w:rsid w:val="009C688F"/>
    <w:rsid w:val="009C68F3"/>
    <w:rsid w:val="009C6A2A"/>
    <w:rsid w:val="009C6DA0"/>
    <w:rsid w:val="009C6E0E"/>
    <w:rsid w:val="009C73F2"/>
    <w:rsid w:val="009C793B"/>
    <w:rsid w:val="009D01FB"/>
    <w:rsid w:val="009D0624"/>
    <w:rsid w:val="009D0FAA"/>
    <w:rsid w:val="009D1202"/>
    <w:rsid w:val="009D1209"/>
    <w:rsid w:val="009D2219"/>
    <w:rsid w:val="009D237E"/>
    <w:rsid w:val="009D24E8"/>
    <w:rsid w:val="009D2ECD"/>
    <w:rsid w:val="009D39F6"/>
    <w:rsid w:val="009D3F89"/>
    <w:rsid w:val="009D4928"/>
    <w:rsid w:val="009D528B"/>
    <w:rsid w:val="009D5371"/>
    <w:rsid w:val="009D5482"/>
    <w:rsid w:val="009D57CF"/>
    <w:rsid w:val="009D5872"/>
    <w:rsid w:val="009D5D91"/>
    <w:rsid w:val="009D6360"/>
    <w:rsid w:val="009D676D"/>
    <w:rsid w:val="009D6A5C"/>
    <w:rsid w:val="009D6CC1"/>
    <w:rsid w:val="009D6FFF"/>
    <w:rsid w:val="009D71BA"/>
    <w:rsid w:val="009D7B18"/>
    <w:rsid w:val="009E0024"/>
    <w:rsid w:val="009E0091"/>
    <w:rsid w:val="009E0C09"/>
    <w:rsid w:val="009E0DE1"/>
    <w:rsid w:val="009E0FF8"/>
    <w:rsid w:val="009E104F"/>
    <w:rsid w:val="009E1234"/>
    <w:rsid w:val="009E12DD"/>
    <w:rsid w:val="009E1676"/>
    <w:rsid w:val="009E1790"/>
    <w:rsid w:val="009E1F65"/>
    <w:rsid w:val="009E23B2"/>
    <w:rsid w:val="009E260F"/>
    <w:rsid w:val="009E2B1A"/>
    <w:rsid w:val="009E3195"/>
    <w:rsid w:val="009E3215"/>
    <w:rsid w:val="009E391C"/>
    <w:rsid w:val="009E3D3D"/>
    <w:rsid w:val="009E3D8B"/>
    <w:rsid w:val="009E3DE6"/>
    <w:rsid w:val="009E3E9B"/>
    <w:rsid w:val="009E4168"/>
    <w:rsid w:val="009E4379"/>
    <w:rsid w:val="009E46B8"/>
    <w:rsid w:val="009E518E"/>
    <w:rsid w:val="009E5932"/>
    <w:rsid w:val="009E5EFB"/>
    <w:rsid w:val="009E6153"/>
    <w:rsid w:val="009E6444"/>
    <w:rsid w:val="009E7138"/>
    <w:rsid w:val="009E7659"/>
    <w:rsid w:val="009F0344"/>
    <w:rsid w:val="009F043C"/>
    <w:rsid w:val="009F083A"/>
    <w:rsid w:val="009F1E18"/>
    <w:rsid w:val="009F2086"/>
    <w:rsid w:val="009F20B3"/>
    <w:rsid w:val="009F2876"/>
    <w:rsid w:val="009F2CBA"/>
    <w:rsid w:val="009F2DA6"/>
    <w:rsid w:val="009F2DD8"/>
    <w:rsid w:val="009F2F49"/>
    <w:rsid w:val="009F3591"/>
    <w:rsid w:val="009F3876"/>
    <w:rsid w:val="009F444C"/>
    <w:rsid w:val="009F458A"/>
    <w:rsid w:val="009F4710"/>
    <w:rsid w:val="009F479F"/>
    <w:rsid w:val="009F47CD"/>
    <w:rsid w:val="009F4E6A"/>
    <w:rsid w:val="009F5314"/>
    <w:rsid w:val="009F537C"/>
    <w:rsid w:val="009F56AD"/>
    <w:rsid w:val="009F5A3B"/>
    <w:rsid w:val="009F61EF"/>
    <w:rsid w:val="009F6656"/>
    <w:rsid w:val="009F7268"/>
    <w:rsid w:val="009F7382"/>
    <w:rsid w:val="009F7797"/>
    <w:rsid w:val="009F7ABD"/>
    <w:rsid w:val="00A00AAB"/>
    <w:rsid w:val="00A00AB9"/>
    <w:rsid w:val="00A00D38"/>
    <w:rsid w:val="00A0122C"/>
    <w:rsid w:val="00A0132E"/>
    <w:rsid w:val="00A01D50"/>
    <w:rsid w:val="00A02455"/>
    <w:rsid w:val="00A02799"/>
    <w:rsid w:val="00A029B5"/>
    <w:rsid w:val="00A02A51"/>
    <w:rsid w:val="00A03302"/>
    <w:rsid w:val="00A03990"/>
    <w:rsid w:val="00A03DE1"/>
    <w:rsid w:val="00A03E78"/>
    <w:rsid w:val="00A04C38"/>
    <w:rsid w:val="00A04CAD"/>
    <w:rsid w:val="00A04F1F"/>
    <w:rsid w:val="00A05751"/>
    <w:rsid w:val="00A05A19"/>
    <w:rsid w:val="00A05D5B"/>
    <w:rsid w:val="00A06A3C"/>
    <w:rsid w:val="00A06DBF"/>
    <w:rsid w:val="00A06F55"/>
    <w:rsid w:val="00A06F6C"/>
    <w:rsid w:val="00A07430"/>
    <w:rsid w:val="00A103A8"/>
    <w:rsid w:val="00A1046E"/>
    <w:rsid w:val="00A10A34"/>
    <w:rsid w:val="00A10B6A"/>
    <w:rsid w:val="00A10FBC"/>
    <w:rsid w:val="00A112E7"/>
    <w:rsid w:val="00A115BE"/>
    <w:rsid w:val="00A116AB"/>
    <w:rsid w:val="00A116E6"/>
    <w:rsid w:val="00A12A32"/>
    <w:rsid w:val="00A12E00"/>
    <w:rsid w:val="00A133DB"/>
    <w:rsid w:val="00A134EE"/>
    <w:rsid w:val="00A135BD"/>
    <w:rsid w:val="00A136BF"/>
    <w:rsid w:val="00A138F1"/>
    <w:rsid w:val="00A13C34"/>
    <w:rsid w:val="00A13CA8"/>
    <w:rsid w:val="00A14046"/>
    <w:rsid w:val="00A1412C"/>
    <w:rsid w:val="00A14392"/>
    <w:rsid w:val="00A145E4"/>
    <w:rsid w:val="00A15BD2"/>
    <w:rsid w:val="00A15DAC"/>
    <w:rsid w:val="00A16188"/>
    <w:rsid w:val="00A16353"/>
    <w:rsid w:val="00A16D10"/>
    <w:rsid w:val="00A170A0"/>
    <w:rsid w:val="00A2043C"/>
    <w:rsid w:val="00A20ADA"/>
    <w:rsid w:val="00A20DC0"/>
    <w:rsid w:val="00A210D1"/>
    <w:rsid w:val="00A21865"/>
    <w:rsid w:val="00A2222B"/>
    <w:rsid w:val="00A22608"/>
    <w:rsid w:val="00A2267E"/>
    <w:rsid w:val="00A22B36"/>
    <w:rsid w:val="00A23282"/>
    <w:rsid w:val="00A232FA"/>
    <w:rsid w:val="00A2361F"/>
    <w:rsid w:val="00A2379B"/>
    <w:rsid w:val="00A23841"/>
    <w:rsid w:val="00A23ACE"/>
    <w:rsid w:val="00A245CF"/>
    <w:rsid w:val="00A24660"/>
    <w:rsid w:val="00A247EC"/>
    <w:rsid w:val="00A24960"/>
    <w:rsid w:val="00A24A13"/>
    <w:rsid w:val="00A257DD"/>
    <w:rsid w:val="00A259E5"/>
    <w:rsid w:val="00A25A3A"/>
    <w:rsid w:val="00A25D44"/>
    <w:rsid w:val="00A25EBC"/>
    <w:rsid w:val="00A261BD"/>
    <w:rsid w:val="00A2645A"/>
    <w:rsid w:val="00A26D04"/>
    <w:rsid w:val="00A26F43"/>
    <w:rsid w:val="00A27648"/>
    <w:rsid w:val="00A27FEE"/>
    <w:rsid w:val="00A301F2"/>
    <w:rsid w:val="00A30210"/>
    <w:rsid w:val="00A30464"/>
    <w:rsid w:val="00A307E0"/>
    <w:rsid w:val="00A30AAA"/>
    <w:rsid w:val="00A30C23"/>
    <w:rsid w:val="00A313E0"/>
    <w:rsid w:val="00A3162F"/>
    <w:rsid w:val="00A32263"/>
    <w:rsid w:val="00A3296A"/>
    <w:rsid w:val="00A32E5C"/>
    <w:rsid w:val="00A33054"/>
    <w:rsid w:val="00A332D3"/>
    <w:rsid w:val="00A33362"/>
    <w:rsid w:val="00A338F0"/>
    <w:rsid w:val="00A339E7"/>
    <w:rsid w:val="00A33BA5"/>
    <w:rsid w:val="00A33EBE"/>
    <w:rsid w:val="00A3449E"/>
    <w:rsid w:val="00A345E4"/>
    <w:rsid w:val="00A34876"/>
    <w:rsid w:val="00A34940"/>
    <w:rsid w:val="00A34D44"/>
    <w:rsid w:val="00A34D68"/>
    <w:rsid w:val="00A35385"/>
    <w:rsid w:val="00A35414"/>
    <w:rsid w:val="00A35515"/>
    <w:rsid w:val="00A35C74"/>
    <w:rsid w:val="00A360F3"/>
    <w:rsid w:val="00A36136"/>
    <w:rsid w:val="00A36346"/>
    <w:rsid w:val="00A36590"/>
    <w:rsid w:val="00A36753"/>
    <w:rsid w:val="00A37A2D"/>
    <w:rsid w:val="00A409D3"/>
    <w:rsid w:val="00A40D56"/>
    <w:rsid w:val="00A40DDF"/>
    <w:rsid w:val="00A40F27"/>
    <w:rsid w:val="00A41595"/>
    <w:rsid w:val="00A4181A"/>
    <w:rsid w:val="00A421CF"/>
    <w:rsid w:val="00A42C42"/>
    <w:rsid w:val="00A42F39"/>
    <w:rsid w:val="00A43088"/>
    <w:rsid w:val="00A437C2"/>
    <w:rsid w:val="00A43B9C"/>
    <w:rsid w:val="00A440C5"/>
    <w:rsid w:val="00A4464A"/>
    <w:rsid w:val="00A44BE3"/>
    <w:rsid w:val="00A44D89"/>
    <w:rsid w:val="00A44EB1"/>
    <w:rsid w:val="00A45029"/>
    <w:rsid w:val="00A45421"/>
    <w:rsid w:val="00A45A91"/>
    <w:rsid w:val="00A45ADA"/>
    <w:rsid w:val="00A46673"/>
    <w:rsid w:val="00A50A82"/>
    <w:rsid w:val="00A50B67"/>
    <w:rsid w:val="00A50BAE"/>
    <w:rsid w:val="00A511C0"/>
    <w:rsid w:val="00A5154A"/>
    <w:rsid w:val="00A51685"/>
    <w:rsid w:val="00A51C5F"/>
    <w:rsid w:val="00A527EA"/>
    <w:rsid w:val="00A528B7"/>
    <w:rsid w:val="00A52E9C"/>
    <w:rsid w:val="00A52ED4"/>
    <w:rsid w:val="00A5314D"/>
    <w:rsid w:val="00A53AC2"/>
    <w:rsid w:val="00A54148"/>
    <w:rsid w:val="00A54440"/>
    <w:rsid w:val="00A54874"/>
    <w:rsid w:val="00A54B8A"/>
    <w:rsid w:val="00A55463"/>
    <w:rsid w:val="00A5601B"/>
    <w:rsid w:val="00A56288"/>
    <w:rsid w:val="00A5691B"/>
    <w:rsid w:val="00A570F3"/>
    <w:rsid w:val="00A574CF"/>
    <w:rsid w:val="00A57548"/>
    <w:rsid w:val="00A57603"/>
    <w:rsid w:val="00A5767B"/>
    <w:rsid w:val="00A578F8"/>
    <w:rsid w:val="00A60649"/>
    <w:rsid w:val="00A60717"/>
    <w:rsid w:val="00A60719"/>
    <w:rsid w:val="00A60AFA"/>
    <w:rsid w:val="00A6263D"/>
    <w:rsid w:val="00A6271D"/>
    <w:rsid w:val="00A62750"/>
    <w:rsid w:val="00A62C6D"/>
    <w:rsid w:val="00A63175"/>
    <w:rsid w:val="00A63D30"/>
    <w:rsid w:val="00A64301"/>
    <w:rsid w:val="00A643DE"/>
    <w:rsid w:val="00A65750"/>
    <w:rsid w:val="00A65877"/>
    <w:rsid w:val="00A65C41"/>
    <w:rsid w:val="00A65F85"/>
    <w:rsid w:val="00A66616"/>
    <w:rsid w:val="00A66FBF"/>
    <w:rsid w:val="00A67A2C"/>
    <w:rsid w:val="00A67DE5"/>
    <w:rsid w:val="00A70227"/>
    <w:rsid w:val="00A713EA"/>
    <w:rsid w:val="00A7157E"/>
    <w:rsid w:val="00A71B7E"/>
    <w:rsid w:val="00A72A1C"/>
    <w:rsid w:val="00A72C1D"/>
    <w:rsid w:val="00A72D86"/>
    <w:rsid w:val="00A73434"/>
    <w:rsid w:val="00A737A2"/>
    <w:rsid w:val="00A73964"/>
    <w:rsid w:val="00A73BBD"/>
    <w:rsid w:val="00A73CA9"/>
    <w:rsid w:val="00A7450A"/>
    <w:rsid w:val="00A74ABA"/>
    <w:rsid w:val="00A74BAB"/>
    <w:rsid w:val="00A755AC"/>
    <w:rsid w:val="00A75FFC"/>
    <w:rsid w:val="00A76207"/>
    <w:rsid w:val="00A7641F"/>
    <w:rsid w:val="00A767DD"/>
    <w:rsid w:val="00A76E84"/>
    <w:rsid w:val="00A775C7"/>
    <w:rsid w:val="00A8005A"/>
    <w:rsid w:val="00A8027A"/>
    <w:rsid w:val="00A8153D"/>
    <w:rsid w:val="00A81732"/>
    <w:rsid w:val="00A81D0F"/>
    <w:rsid w:val="00A828D0"/>
    <w:rsid w:val="00A82BA1"/>
    <w:rsid w:val="00A832B3"/>
    <w:rsid w:val="00A83ADF"/>
    <w:rsid w:val="00A83E4A"/>
    <w:rsid w:val="00A84721"/>
    <w:rsid w:val="00A84B0E"/>
    <w:rsid w:val="00A84D68"/>
    <w:rsid w:val="00A85367"/>
    <w:rsid w:val="00A85475"/>
    <w:rsid w:val="00A8583F"/>
    <w:rsid w:val="00A85C49"/>
    <w:rsid w:val="00A85CA1"/>
    <w:rsid w:val="00A85F42"/>
    <w:rsid w:val="00A85FA3"/>
    <w:rsid w:val="00A860BF"/>
    <w:rsid w:val="00A861F4"/>
    <w:rsid w:val="00A86EE2"/>
    <w:rsid w:val="00A8701E"/>
    <w:rsid w:val="00A8711C"/>
    <w:rsid w:val="00A90474"/>
    <w:rsid w:val="00A90519"/>
    <w:rsid w:val="00A91A20"/>
    <w:rsid w:val="00A91A59"/>
    <w:rsid w:val="00A91A72"/>
    <w:rsid w:val="00A91FB4"/>
    <w:rsid w:val="00A929D7"/>
    <w:rsid w:val="00A92A59"/>
    <w:rsid w:val="00A92C4F"/>
    <w:rsid w:val="00A92E59"/>
    <w:rsid w:val="00A92F9D"/>
    <w:rsid w:val="00A931F3"/>
    <w:rsid w:val="00A93303"/>
    <w:rsid w:val="00A9347A"/>
    <w:rsid w:val="00A93BB0"/>
    <w:rsid w:val="00A93E1E"/>
    <w:rsid w:val="00A9661E"/>
    <w:rsid w:val="00A96FD1"/>
    <w:rsid w:val="00A97746"/>
    <w:rsid w:val="00A97EF7"/>
    <w:rsid w:val="00AA0322"/>
    <w:rsid w:val="00AA0454"/>
    <w:rsid w:val="00AA0FAC"/>
    <w:rsid w:val="00AA143D"/>
    <w:rsid w:val="00AA16F3"/>
    <w:rsid w:val="00AA1B1E"/>
    <w:rsid w:val="00AA1BCA"/>
    <w:rsid w:val="00AA2104"/>
    <w:rsid w:val="00AA286D"/>
    <w:rsid w:val="00AA293E"/>
    <w:rsid w:val="00AA2EBC"/>
    <w:rsid w:val="00AA2FC5"/>
    <w:rsid w:val="00AA2FD1"/>
    <w:rsid w:val="00AA322A"/>
    <w:rsid w:val="00AA3DD9"/>
    <w:rsid w:val="00AA41F1"/>
    <w:rsid w:val="00AA4AF1"/>
    <w:rsid w:val="00AA4FFC"/>
    <w:rsid w:val="00AA507E"/>
    <w:rsid w:val="00AA53F1"/>
    <w:rsid w:val="00AA54F2"/>
    <w:rsid w:val="00AA5892"/>
    <w:rsid w:val="00AA5ACF"/>
    <w:rsid w:val="00AA5F64"/>
    <w:rsid w:val="00AA6C4B"/>
    <w:rsid w:val="00AA73FA"/>
    <w:rsid w:val="00AA7827"/>
    <w:rsid w:val="00AA789B"/>
    <w:rsid w:val="00AA79FD"/>
    <w:rsid w:val="00AA7AC2"/>
    <w:rsid w:val="00AA7E87"/>
    <w:rsid w:val="00AB01B5"/>
    <w:rsid w:val="00AB0B7D"/>
    <w:rsid w:val="00AB0C49"/>
    <w:rsid w:val="00AB108B"/>
    <w:rsid w:val="00AB14BE"/>
    <w:rsid w:val="00AB1636"/>
    <w:rsid w:val="00AB17C7"/>
    <w:rsid w:val="00AB1B8E"/>
    <w:rsid w:val="00AB2468"/>
    <w:rsid w:val="00AB2502"/>
    <w:rsid w:val="00AB25E4"/>
    <w:rsid w:val="00AB2C01"/>
    <w:rsid w:val="00AB4081"/>
    <w:rsid w:val="00AB46C0"/>
    <w:rsid w:val="00AB527E"/>
    <w:rsid w:val="00AB5A5B"/>
    <w:rsid w:val="00AB5BF7"/>
    <w:rsid w:val="00AB5D44"/>
    <w:rsid w:val="00AB5FEE"/>
    <w:rsid w:val="00AB615F"/>
    <w:rsid w:val="00AB6660"/>
    <w:rsid w:val="00AB6FAD"/>
    <w:rsid w:val="00AB7326"/>
    <w:rsid w:val="00AC056A"/>
    <w:rsid w:val="00AC094C"/>
    <w:rsid w:val="00AC14C3"/>
    <w:rsid w:val="00AC1B5D"/>
    <w:rsid w:val="00AC1E69"/>
    <w:rsid w:val="00AC2098"/>
    <w:rsid w:val="00AC2AF0"/>
    <w:rsid w:val="00AC3065"/>
    <w:rsid w:val="00AC366D"/>
    <w:rsid w:val="00AC3CA1"/>
    <w:rsid w:val="00AC3E18"/>
    <w:rsid w:val="00AC40F0"/>
    <w:rsid w:val="00AC4469"/>
    <w:rsid w:val="00AC46C4"/>
    <w:rsid w:val="00AC47F8"/>
    <w:rsid w:val="00AC487A"/>
    <w:rsid w:val="00AC4C26"/>
    <w:rsid w:val="00AC4C51"/>
    <w:rsid w:val="00AC5248"/>
    <w:rsid w:val="00AC5770"/>
    <w:rsid w:val="00AC608E"/>
    <w:rsid w:val="00AC7459"/>
    <w:rsid w:val="00AC773F"/>
    <w:rsid w:val="00AC7DD1"/>
    <w:rsid w:val="00AC7FAC"/>
    <w:rsid w:val="00AD0168"/>
    <w:rsid w:val="00AD0261"/>
    <w:rsid w:val="00AD08F0"/>
    <w:rsid w:val="00AD0F08"/>
    <w:rsid w:val="00AD12BE"/>
    <w:rsid w:val="00AD15A5"/>
    <w:rsid w:val="00AD15B7"/>
    <w:rsid w:val="00AD178A"/>
    <w:rsid w:val="00AD1DFA"/>
    <w:rsid w:val="00AD1FED"/>
    <w:rsid w:val="00AD2587"/>
    <w:rsid w:val="00AD3B24"/>
    <w:rsid w:val="00AD5535"/>
    <w:rsid w:val="00AD5855"/>
    <w:rsid w:val="00AD5A07"/>
    <w:rsid w:val="00AD62AD"/>
    <w:rsid w:val="00AD62AE"/>
    <w:rsid w:val="00AD6353"/>
    <w:rsid w:val="00AD65D4"/>
    <w:rsid w:val="00AD6CB9"/>
    <w:rsid w:val="00AD6CFF"/>
    <w:rsid w:val="00AD6F98"/>
    <w:rsid w:val="00AD70BE"/>
    <w:rsid w:val="00AD75B7"/>
    <w:rsid w:val="00AE06D9"/>
    <w:rsid w:val="00AE0B7A"/>
    <w:rsid w:val="00AE136B"/>
    <w:rsid w:val="00AE1499"/>
    <w:rsid w:val="00AE188D"/>
    <w:rsid w:val="00AE1F87"/>
    <w:rsid w:val="00AE2324"/>
    <w:rsid w:val="00AE262F"/>
    <w:rsid w:val="00AE2E70"/>
    <w:rsid w:val="00AE35B6"/>
    <w:rsid w:val="00AE3BD6"/>
    <w:rsid w:val="00AE42C4"/>
    <w:rsid w:val="00AE44FF"/>
    <w:rsid w:val="00AE4521"/>
    <w:rsid w:val="00AE4CBB"/>
    <w:rsid w:val="00AE52DF"/>
    <w:rsid w:val="00AE5762"/>
    <w:rsid w:val="00AE5B20"/>
    <w:rsid w:val="00AE718E"/>
    <w:rsid w:val="00AE7199"/>
    <w:rsid w:val="00AE7E6B"/>
    <w:rsid w:val="00AF0719"/>
    <w:rsid w:val="00AF0CA4"/>
    <w:rsid w:val="00AF0E02"/>
    <w:rsid w:val="00AF11ED"/>
    <w:rsid w:val="00AF14D5"/>
    <w:rsid w:val="00AF1D83"/>
    <w:rsid w:val="00AF1E5D"/>
    <w:rsid w:val="00AF1F72"/>
    <w:rsid w:val="00AF2475"/>
    <w:rsid w:val="00AF2AC0"/>
    <w:rsid w:val="00AF3089"/>
    <w:rsid w:val="00AF3352"/>
    <w:rsid w:val="00AF4025"/>
    <w:rsid w:val="00AF44E2"/>
    <w:rsid w:val="00AF4A4D"/>
    <w:rsid w:val="00AF4DD0"/>
    <w:rsid w:val="00AF5277"/>
    <w:rsid w:val="00AF5306"/>
    <w:rsid w:val="00AF56DE"/>
    <w:rsid w:val="00AF5720"/>
    <w:rsid w:val="00AF5FAB"/>
    <w:rsid w:val="00AF61B0"/>
    <w:rsid w:val="00AF6A87"/>
    <w:rsid w:val="00B00210"/>
    <w:rsid w:val="00B0025E"/>
    <w:rsid w:val="00B00377"/>
    <w:rsid w:val="00B004F8"/>
    <w:rsid w:val="00B0062A"/>
    <w:rsid w:val="00B00C4B"/>
    <w:rsid w:val="00B014C0"/>
    <w:rsid w:val="00B01D06"/>
    <w:rsid w:val="00B0211A"/>
    <w:rsid w:val="00B02210"/>
    <w:rsid w:val="00B025EF"/>
    <w:rsid w:val="00B02CF8"/>
    <w:rsid w:val="00B02E76"/>
    <w:rsid w:val="00B03451"/>
    <w:rsid w:val="00B03AC3"/>
    <w:rsid w:val="00B04F2D"/>
    <w:rsid w:val="00B059F8"/>
    <w:rsid w:val="00B05C7A"/>
    <w:rsid w:val="00B05E2E"/>
    <w:rsid w:val="00B071B6"/>
    <w:rsid w:val="00B0742B"/>
    <w:rsid w:val="00B07900"/>
    <w:rsid w:val="00B07B05"/>
    <w:rsid w:val="00B1085A"/>
    <w:rsid w:val="00B10A00"/>
    <w:rsid w:val="00B126B4"/>
    <w:rsid w:val="00B12A62"/>
    <w:rsid w:val="00B13223"/>
    <w:rsid w:val="00B13AF4"/>
    <w:rsid w:val="00B13E65"/>
    <w:rsid w:val="00B13F0E"/>
    <w:rsid w:val="00B13FF7"/>
    <w:rsid w:val="00B1401F"/>
    <w:rsid w:val="00B141DB"/>
    <w:rsid w:val="00B14624"/>
    <w:rsid w:val="00B1472D"/>
    <w:rsid w:val="00B14923"/>
    <w:rsid w:val="00B14BC3"/>
    <w:rsid w:val="00B14E8E"/>
    <w:rsid w:val="00B1509C"/>
    <w:rsid w:val="00B1576E"/>
    <w:rsid w:val="00B15BD6"/>
    <w:rsid w:val="00B15D16"/>
    <w:rsid w:val="00B15E74"/>
    <w:rsid w:val="00B162F4"/>
    <w:rsid w:val="00B1647C"/>
    <w:rsid w:val="00B16C70"/>
    <w:rsid w:val="00B17078"/>
    <w:rsid w:val="00B177E9"/>
    <w:rsid w:val="00B17FF8"/>
    <w:rsid w:val="00B2077C"/>
    <w:rsid w:val="00B2083B"/>
    <w:rsid w:val="00B20DF4"/>
    <w:rsid w:val="00B21730"/>
    <w:rsid w:val="00B21F5E"/>
    <w:rsid w:val="00B22495"/>
    <w:rsid w:val="00B22818"/>
    <w:rsid w:val="00B22BA5"/>
    <w:rsid w:val="00B23585"/>
    <w:rsid w:val="00B237EF"/>
    <w:rsid w:val="00B23F16"/>
    <w:rsid w:val="00B23F22"/>
    <w:rsid w:val="00B24139"/>
    <w:rsid w:val="00B24A76"/>
    <w:rsid w:val="00B251BC"/>
    <w:rsid w:val="00B25404"/>
    <w:rsid w:val="00B255C1"/>
    <w:rsid w:val="00B25670"/>
    <w:rsid w:val="00B25878"/>
    <w:rsid w:val="00B25E71"/>
    <w:rsid w:val="00B26003"/>
    <w:rsid w:val="00B272AB"/>
    <w:rsid w:val="00B27C1B"/>
    <w:rsid w:val="00B29A57"/>
    <w:rsid w:val="00B304E7"/>
    <w:rsid w:val="00B30819"/>
    <w:rsid w:val="00B30AAB"/>
    <w:rsid w:val="00B30B1A"/>
    <w:rsid w:val="00B31192"/>
    <w:rsid w:val="00B31778"/>
    <w:rsid w:val="00B317C5"/>
    <w:rsid w:val="00B31B32"/>
    <w:rsid w:val="00B31B7D"/>
    <w:rsid w:val="00B325BE"/>
    <w:rsid w:val="00B329C3"/>
    <w:rsid w:val="00B32F2C"/>
    <w:rsid w:val="00B33756"/>
    <w:rsid w:val="00B33AF5"/>
    <w:rsid w:val="00B33C79"/>
    <w:rsid w:val="00B342CC"/>
    <w:rsid w:val="00B34F43"/>
    <w:rsid w:val="00B35470"/>
    <w:rsid w:val="00B3576F"/>
    <w:rsid w:val="00B35E49"/>
    <w:rsid w:val="00B36453"/>
    <w:rsid w:val="00B36592"/>
    <w:rsid w:val="00B367E8"/>
    <w:rsid w:val="00B3687D"/>
    <w:rsid w:val="00B368A0"/>
    <w:rsid w:val="00B37790"/>
    <w:rsid w:val="00B404A0"/>
    <w:rsid w:val="00B404FA"/>
    <w:rsid w:val="00B409A1"/>
    <w:rsid w:val="00B40AF1"/>
    <w:rsid w:val="00B40AFE"/>
    <w:rsid w:val="00B41268"/>
    <w:rsid w:val="00B41556"/>
    <w:rsid w:val="00B420C2"/>
    <w:rsid w:val="00B4213F"/>
    <w:rsid w:val="00B42340"/>
    <w:rsid w:val="00B428AF"/>
    <w:rsid w:val="00B430C6"/>
    <w:rsid w:val="00B4310F"/>
    <w:rsid w:val="00B43331"/>
    <w:rsid w:val="00B43490"/>
    <w:rsid w:val="00B440A0"/>
    <w:rsid w:val="00B446EA"/>
    <w:rsid w:val="00B4523F"/>
    <w:rsid w:val="00B45831"/>
    <w:rsid w:val="00B4591B"/>
    <w:rsid w:val="00B45C85"/>
    <w:rsid w:val="00B45DEF"/>
    <w:rsid w:val="00B45F35"/>
    <w:rsid w:val="00B45FC1"/>
    <w:rsid w:val="00B4609F"/>
    <w:rsid w:val="00B463A4"/>
    <w:rsid w:val="00B469E3"/>
    <w:rsid w:val="00B46CCA"/>
    <w:rsid w:val="00B47B19"/>
    <w:rsid w:val="00B47E1F"/>
    <w:rsid w:val="00B501D0"/>
    <w:rsid w:val="00B50523"/>
    <w:rsid w:val="00B50CEE"/>
    <w:rsid w:val="00B50DC6"/>
    <w:rsid w:val="00B51769"/>
    <w:rsid w:val="00B5190A"/>
    <w:rsid w:val="00B51D81"/>
    <w:rsid w:val="00B51DA5"/>
    <w:rsid w:val="00B5218E"/>
    <w:rsid w:val="00B52D5D"/>
    <w:rsid w:val="00B53AE9"/>
    <w:rsid w:val="00B53C6F"/>
    <w:rsid w:val="00B53ECD"/>
    <w:rsid w:val="00B541A8"/>
    <w:rsid w:val="00B5456F"/>
    <w:rsid w:val="00B54CFF"/>
    <w:rsid w:val="00B54FB8"/>
    <w:rsid w:val="00B556FD"/>
    <w:rsid w:val="00B55CC9"/>
    <w:rsid w:val="00B55D4E"/>
    <w:rsid w:val="00B560A4"/>
    <w:rsid w:val="00B560CB"/>
    <w:rsid w:val="00B561D3"/>
    <w:rsid w:val="00B5644E"/>
    <w:rsid w:val="00B56A70"/>
    <w:rsid w:val="00B56E18"/>
    <w:rsid w:val="00B571AA"/>
    <w:rsid w:val="00B573CD"/>
    <w:rsid w:val="00B57C2B"/>
    <w:rsid w:val="00B6037C"/>
    <w:rsid w:val="00B6056B"/>
    <w:rsid w:val="00B606CF"/>
    <w:rsid w:val="00B60B96"/>
    <w:rsid w:val="00B61B79"/>
    <w:rsid w:val="00B61F79"/>
    <w:rsid w:val="00B61F90"/>
    <w:rsid w:val="00B6260B"/>
    <w:rsid w:val="00B62EC1"/>
    <w:rsid w:val="00B63125"/>
    <w:rsid w:val="00B634D8"/>
    <w:rsid w:val="00B6378E"/>
    <w:rsid w:val="00B63BA1"/>
    <w:rsid w:val="00B63D82"/>
    <w:rsid w:val="00B64063"/>
    <w:rsid w:val="00B642AF"/>
    <w:rsid w:val="00B64468"/>
    <w:rsid w:val="00B646E5"/>
    <w:rsid w:val="00B64C04"/>
    <w:rsid w:val="00B64EC4"/>
    <w:rsid w:val="00B65168"/>
    <w:rsid w:val="00B65390"/>
    <w:rsid w:val="00B655C7"/>
    <w:rsid w:val="00B65E62"/>
    <w:rsid w:val="00B65F50"/>
    <w:rsid w:val="00B6675D"/>
    <w:rsid w:val="00B66DBD"/>
    <w:rsid w:val="00B66E16"/>
    <w:rsid w:val="00B67244"/>
    <w:rsid w:val="00B678E5"/>
    <w:rsid w:val="00B6794B"/>
    <w:rsid w:val="00B70313"/>
    <w:rsid w:val="00B709E1"/>
    <w:rsid w:val="00B709FD"/>
    <w:rsid w:val="00B70CF1"/>
    <w:rsid w:val="00B70D03"/>
    <w:rsid w:val="00B70F66"/>
    <w:rsid w:val="00B71D2B"/>
    <w:rsid w:val="00B71EA0"/>
    <w:rsid w:val="00B720A3"/>
    <w:rsid w:val="00B72F24"/>
    <w:rsid w:val="00B730F7"/>
    <w:rsid w:val="00B732CB"/>
    <w:rsid w:val="00B7375D"/>
    <w:rsid w:val="00B738B0"/>
    <w:rsid w:val="00B73C03"/>
    <w:rsid w:val="00B73D91"/>
    <w:rsid w:val="00B73EF0"/>
    <w:rsid w:val="00B742A2"/>
    <w:rsid w:val="00B744E2"/>
    <w:rsid w:val="00B74548"/>
    <w:rsid w:val="00B74794"/>
    <w:rsid w:val="00B757C1"/>
    <w:rsid w:val="00B758EB"/>
    <w:rsid w:val="00B75A5C"/>
    <w:rsid w:val="00B75D88"/>
    <w:rsid w:val="00B75E0E"/>
    <w:rsid w:val="00B75E8E"/>
    <w:rsid w:val="00B76017"/>
    <w:rsid w:val="00B763C5"/>
    <w:rsid w:val="00B76B3C"/>
    <w:rsid w:val="00B7701F"/>
    <w:rsid w:val="00B77048"/>
    <w:rsid w:val="00B774A4"/>
    <w:rsid w:val="00B774DD"/>
    <w:rsid w:val="00B778B7"/>
    <w:rsid w:val="00B77C00"/>
    <w:rsid w:val="00B800CD"/>
    <w:rsid w:val="00B80A07"/>
    <w:rsid w:val="00B8174A"/>
    <w:rsid w:val="00B81BAE"/>
    <w:rsid w:val="00B81E42"/>
    <w:rsid w:val="00B82014"/>
    <w:rsid w:val="00B8214D"/>
    <w:rsid w:val="00B84A86"/>
    <w:rsid w:val="00B850E1"/>
    <w:rsid w:val="00B85419"/>
    <w:rsid w:val="00B855C6"/>
    <w:rsid w:val="00B855DA"/>
    <w:rsid w:val="00B856FA"/>
    <w:rsid w:val="00B8597B"/>
    <w:rsid w:val="00B8601D"/>
    <w:rsid w:val="00B860FD"/>
    <w:rsid w:val="00B86411"/>
    <w:rsid w:val="00B86748"/>
    <w:rsid w:val="00B869F2"/>
    <w:rsid w:val="00B86F4F"/>
    <w:rsid w:val="00B8715F"/>
    <w:rsid w:val="00B87318"/>
    <w:rsid w:val="00B87B95"/>
    <w:rsid w:val="00B87D09"/>
    <w:rsid w:val="00B900B8"/>
    <w:rsid w:val="00B90113"/>
    <w:rsid w:val="00B90FC9"/>
    <w:rsid w:val="00B912DE"/>
    <w:rsid w:val="00B91351"/>
    <w:rsid w:val="00B9173B"/>
    <w:rsid w:val="00B917E0"/>
    <w:rsid w:val="00B939B6"/>
    <w:rsid w:val="00B94047"/>
    <w:rsid w:val="00B94126"/>
    <w:rsid w:val="00B943BA"/>
    <w:rsid w:val="00B946AF"/>
    <w:rsid w:val="00B95B44"/>
    <w:rsid w:val="00B95EFB"/>
    <w:rsid w:val="00B9603B"/>
    <w:rsid w:val="00B96427"/>
    <w:rsid w:val="00B96C40"/>
    <w:rsid w:val="00B97782"/>
    <w:rsid w:val="00BA0070"/>
    <w:rsid w:val="00BA0182"/>
    <w:rsid w:val="00BA0741"/>
    <w:rsid w:val="00BA0AF0"/>
    <w:rsid w:val="00BA0CF7"/>
    <w:rsid w:val="00BA0D02"/>
    <w:rsid w:val="00BA0F68"/>
    <w:rsid w:val="00BA1237"/>
    <w:rsid w:val="00BA1462"/>
    <w:rsid w:val="00BA171A"/>
    <w:rsid w:val="00BA17A5"/>
    <w:rsid w:val="00BA1AFE"/>
    <w:rsid w:val="00BA2133"/>
    <w:rsid w:val="00BA2C58"/>
    <w:rsid w:val="00BA2F28"/>
    <w:rsid w:val="00BA322B"/>
    <w:rsid w:val="00BA32D1"/>
    <w:rsid w:val="00BA3900"/>
    <w:rsid w:val="00BA3AF2"/>
    <w:rsid w:val="00BA3CDC"/>
    <w:rsid w:val="00BA3FC5"/>
    <w:rsid w:val="00BA4036"/>
    <w:rsid w:val="00BA4176"/>
    <w:rsid w:val="00BA43A8"/>
    <w:rsid w:val="00BA57F9"/>
    <w:rsid w:val="00BA601A"/>
    <w:rsid w:val="00BA60C3"/>
    <w:rsid w:val="00BA68D0"/>
    <w:rsid w:val="00BA6C73"/>
    <w:rsid w:val="00BA6DDD"/>
    <w:rsid w:val="00BA6F6A"/>
    <w:rsid w:val="00BA6FE4"/>
    <w:rsid w:val="00BA746D"/>
    <w:rsid w:val="00BA7743"/>
    <w:rsid w:val="00BA79AE"/>
    <w:rsid w:val="00BAEC82"/>
    <w:rsid w:val="00BB00D1"/>
    <w:rsid w:val="00BB019A"/>
    <w:rsid w:val="00BB037F"/>
    <w:rsid w:val="00BB0D1D"/>
    <w:rsid w:val="00BB11D6"/>
    <w:rsid w:val="00BB1320"/>
    <w:rsid w:val="00BB1335"/>
    <w:rsid w:val="00BB1467"/>
    <w:rsid w:val="00BB1694"/>
    <w:rsid w:val="00BB22F1"/>
    <w:rsid w:val="00BB2372"/>
    <w:rsid w:val="00BB25B8"/>
    <w:rsid w:val="00BB2D81"/>
    <w:rsid w:val="00BB2FDD"/>
    <w:rsid w:val="00BB38DD"/>
    <w:rsid w:val="00BB4045"/>
    <w:rsid w:val="00BB4252"/>
    <w:rsid w:val="00BB4674"/>
    <w:rsid w:val="00BB4831"/>
    <w:rsid w:val="00BB5040"/>
    <w:rsid w:val="00BB51D4"/>
    <w:rsid w:val="00BB5376"/>
    <w:rsid w:val="00BB5784"/>
    <w:rsid w:val="00BB57AD"/>
    <w:rsid w:val="00BB5DDE"/>
    <w:rsid w:val="00BB6F8F"/>
    <w:rsid w:val="00BB70BD"/>
    <w:rsid w:val="00BB795C"/>
    <w:rsid w:val="00BC0083"/>
    <w:rsid w:val="00BC0338"/>
    <w:rsid w:val="00BC03F3"/>
    <w:rsid w:val="00BC0433"/>
    <w:rsid w:val="00BC09B6"/>
    <w:rsid w:val="00BC0C02"/>
    <w:rsid w:val="00BC18EB"/>
    <w:rsid w:val="00BC1B37"/>
    <w:rsid w:val="00BC1B5D"/>
    <w:rsid w:val="00BC1CDD"/>
    <w:rsid w:val="00BC1E80"/>
    <w:rsid w:val="00BC2299"/>
    <w:rsid w:val="00BC2358"/>
    <w:rsid w:val="00BC235B"/>
    <w:rsid w:val="00BC2AC1"/>
    <w:rsid w:val="00BC2F5C"/>
    <w:rsid w:val="00BC31F1"/>
    <w:rsid w:val="00BC38A6"/>
    <w:rsid w:val="00BC3BA0"/>
    <w:rsid w:val="00BC3F09"/>
    <w:rsid w:val="00BC430E"/>
    <w:rsid w:val="00BC4AD2"/>
    <w:rsid w:val="00BC5065"/>
    <w:rsid w:val="00BC5AF2"/>
    <w:rsid w:val="00BC5B3B"/>
    <w:rsid w:val="00BC6399"/>
    <w:rsid w:val="00BC64FF"/>
    <w:rsid w:val="00BC6FB0"/>
    <w:rsid w:val="00BC789F"/>
    <w:rsid w:val="00BC79DB"/>
    <w:rsid w:val="00BC7BD6"/>
    <w:rsid w:val="00BD16F3"/>
    <w:rsid w:val="00BD1B76"/>
    <w:rsid w:val="00BD1EB5"/>
    <w:rsid w:val="00BD214D"/>
    <w:rsid w:val="00BD2470"/>
    <w:rsid w:val="00BD2533"/>
    <w:rsid w:val="00BD2A30"/>
    <w:rsid w:val="00BD2C3F"/>
    <w:rsid w:val="00BD317D"/>
    <w:rsid w:val="00BD318D"/>
    <w:rsid w:val="00BD31A7"/>
    <w:rsid w:val="00BD32BC"/>
    <w:rsid w:val="00BD3707"/>
    <w:rsid w:val="00BD3985"/>
    <w:rsid w:val="00BD4544"/>
    <w:rsid w:val="00BD47BF"/>
    <w:rsid w:val="00BD525C"/>
    <w:rsid w:val="00BD52C2"/>
    <w:rsid w:val="00BD52E1"/>
    <w:rsid w:val="00BD52FF"/>
    <w:rsid w:val="00BD5372"/>
    <w:rsid w:val="00BD5871"/>
    <w:rsid w:val="00BD5D66"/>
    <w:rsid w:val="00BD5D9A"/>
    <w:rsid w:val="00BD6EFC"/>
    <w:rsid w:val="00BD7EFB"/>
    <w:rsid w:val="00BD7F86"/>
    <w:rsid w:val="00BE06B1"/>
    <w:rsid w:val="00BE0D32"/>
    <w:rsid w:val="00BE1078"/>
    <w:rsid w:val="00BE15AB"/>
    <w:rsid w:val="00BE1A5C"/>
    <w:rsid w:val="00BE1A5E"/>
    <w:rsid w:val="00BE1E4C"/>
    <w:rsid w:val="00BE1E53"/>
    <w:rsid w:val="00BE2209"/>
    <w:rsid w:val="00BE293A"/>
    <w:rsid w:val="00BE2FDD"/>
    <w:rsid w:val="00BE3291"/>
    <w:rsid w:val="00BE346E"/>
    <w:rsid w:val="00BE35CE"/>
    <w:rsid w:val="00BE3C8C"/>
    <w:rsid w:val="00BE4379"/>
    <w:rsid w:val="00BE465C"/>
    <w:rsid w:val="00BE4A23"/>
    <w:rsid w:val="00BE4A4E"/>
    <w:rsid w:val="00BE4D61"/>
    <w:rsid w:val="00BE4D83"/>
    <w:rsid w:val="00BE5DB7"/>
    <w:rsid w:val="00BE6491"/>
    <w:rsid w:val="00BE6D91"/>
    <w:rsid w:val="00BE6DBE"/>
    <w:rsid w:val="00BE7E43"/>
    <w:rsid w:val="00BF0041"/>
    <w:rsid w:val="00BF078B"/>
    <w:rsid w:val="00BF106D"/>
    <w:rsid w:val="00BF11AD"/>
    <w:rsid w:val="00BF127E"/>
    <w:rsid w:val="00BF1643"/>
    <w:rsid w:val="00BF16AC"/>
    <w:rsid w:val="00BF184E"/>
    <w:rsid w:val="00BF251A"/>
    <w:rsid w:val="00BF25B8"/>
    <w:rsid w:val="00BF2730"/>
    <w:rsid w:val="00BF2E0F"/>
    <w:rsid w:val="00BF30C3"/>
    <w:rsid w:val="00BF3642"/>
    <w:rsid w:val="00BF3E18"/>
    <w:rsid w:val="00BF474F"/>
    <w:rsid w:val="00BF47B1"/>
    <w:rsid w:val="00BF483C"/>
    <w:rsid w:val="00BF4874"/>
    <w:rsid w:val="00BF544E"/>
    <w:rsid w:val="00BF545F"/>
    <w:rsid w:val="00BF5896"/>
    <w:rsid w:val="00BF66FF"/>
    <w:rsid w:val="00BF6E7D"/>
    <w:rsid w:val="00BF7307"/>
    <w:rsid w:val="00BF77F1"/>
    <w:rsid w:val="00BF7EAA"/>
    <w:rsid w:val="00BF7FE1"/>
    <w:rsid w:val="00C002A9"/>
    <w:rsid w:val="00C00592"/>
    <w:rsid w:val="00C0065A"/>
    <w:rsid w:val="00C00F5C"/>
    <w:rsid w:val="00C014B3"/>
    <w:rsid w:val="00C0171C"/>
    <w:rsid w:val="00C01F1F"/>
    <w:rsid w:val="00C024D1"/>
    <w:rsid w:val="00C0268F"/>
    <w:rsid w:val="00C02763"/>
    <w:rsid w:val="00C02DC4"/>
    <w:rsid w:val="00C0302E"/>
    <w:rsid w:val="00C0303F"/>
    <w:rsid w:val="00C0309C"/>
    <w:rsid w:val="00C031BA"/>
    <w:rsid w:val="00C037D5"/>
    <w:rsid w:val="00C03BD1"/>
    <w:rsid w:val="00C03C09"/>
    <w:rsid w:val="00C0432B"/>
    <w:rsid w:val="00C045D4"/>
    <w:rsid w:val="00C06354"/>
    <w:rsid w:val="00C065B6"/>
    <w:rsid w:val="00C07161"/>
    <w:rsid w:val="00C0746A"/>
    <w:rsid w:val="00C074F8"/>
    <w:rsid w:val="00C0759C"/>
    <w:rsid w:val="00C0761F"/>
    <w:rsid w:val="00C077B6"/>
    <w:rsid w:val="00C0782F"/>
    <w:rsid w:val="00C078F2"/>
    <w:rsid w:val="00C0791C"/>
    <w:rsid w:val="00C10D84"/>
    <w:rsid w:val="00C10FBB"/>
    <w:rsid w:val="00C110D6"/>
    <w:rsid w:val="00C1192D"/>
    <w:rsid w:val="00C122CB"/>
    <w:rsid w:val="00C12780"/>
    <w:rsid w:val="00C12A12"/>
    <w:rsid w:val="00C12C0A"/>
    <w:rsid w:val="00C12F2F"/>
    <w:rsid w:val="00C12FAA"/>
    <w:rsid w:val="00C1318F"/>
    <w:rsid w:val="00C1361E"/>
    <w:rsid w:val="00C13941"/>
    <w:rsid w:val="00C13BE0"/>
    <w:rsid w:val="00C14204"/>
    <w:rsid w:val="00C142AF"/>
    <w:rsid w:val="00C14AE1"/>
    <w:rsid w:val="00C154BF"/>
    <w:rsid w:val="00C154D4"/>
    <w:rsid w:val="00C15633"/>
    <w:rsid w:val="00C15EC1"/>
    <w:rsid w:val="00C16235"/>
    <w:rsid w:val="00C1658C"/>
    <w:rsid w:val="00C167EB"/>
    <w:rsid w:val="00C1717A"/>
    <w:rsid w:val="00C17455"/>
    <w:rsid w:val="00C17913"/>
    <w:rsid w:val="00C17D96"/>
    <w:rsid w:val="00C20A88"/>
    <w:rsid w:val="00C21784"/>
    <w:rsid w:val="00C21DBB"/>
    <w:rsid w:val="00C22420"/>
    <w:rsid w:val="00C22EBB"/>
    <w:rsid w:val="00C231C9"/>
    <w:rsid w:val="00C23209"/>
    <w:rsid w:val="00C2460A"/>
    <w:rsid w:val="00C2468E"/>
    <w:rsid w:val="00C24719"/>
    <w:rsid w:val="00C247D0"/>
    <w:rsid w:val="00C2507E"/>
    <w:rsid w:val="00C25209"/>
    <w:rsid w:val="00C25872"/>
    <w:rsid w:val="00C2595F"/>
    <w:rsid w:val="00C25B19"/>
    <w:rsid w:val="00C260E5"/>
    <w:rsid w:val="00C26414"/>
    <w:rsid w:val="00C26B37"/>
    <w:rsid w:val="00C26C50"/>
    <w:rsid w:val="00C26C5A"/>
    <w:rsid w:val="00C275B2"/>
    <w:rsid w:val="00C27811"/>
    <w:rsid w:val="00C27BF4"/>
    <w:rsid w:val="00C27DDB"/>
    <w:rsid w:val="00C27F19"/>
    <w:rsid w:val="00C3020B"/>
    <w:rsid w:val="00C30D42"/>
    <w:rsid w:val="00C30D85"/>
    <w:rsid w:val="00C30FB4"/>
    <w:rsid w:val="00C316EA"/>
    <w:rsid w:val="00C31E8E"/>
    <w:rsid w:val="00C32611"/>
    <w:rsid w:val="00C32FF5"/>
    <w:rsid w:val="00C333F8"/>
    <w:rsid w:val="00C337C7"/>
    <w:rsid w:val="00C3411F"/>
    <w:rsid w:val="00C34578"/>
    <w:rsid w:val="00C348D4"/>
    <w:rsid w:val="00C35361"/>
    <w:rsid w:val="00C35A4E"/>
    <w:rsid w:val="00C35FC6"/>
    <w:rsid w:val="00C36296"/>
    <w:rsid w:val="00C36565"/>
    <w:rsid w:val="00C36743"/>
    <w:rsid w:val="00C36959"/>
    <w:rsid w:val="00C37457"/>
    <w:rsid w:val="00C37669"/>
    <w:rsid w:val="00C37D84"/>
    <w:rsid w:val="00C407AC"/>
    <w:rsid w:val="00C41980"/>
    <w:rsid w:val="00C41AE1"/>
    <w:rsid w:val="00C41B8E"/>
    <w:rsid w:val="00C41BE6"/>
    <w:rsid w:val="00C42181"/>
    <w:rsid w:val="00C4290B"/>
    <w:rsid w:val="00C438E6"/>
    <w:rsid w:val="00C43AB9"/>
    <w:rsid w:val="00C43C2D"/>
    <w:rsid w:val="00C444E4"/>
    <w:rsid w:val="00C44942"/>
    <w:rsid w:val="00C45287"/>
    <w:rsid w:val="00C45FB5"/>
    <w:rsid w:val="00C45FCA"/>
    <w:rsid w:val="00C46279"/>
    <w:rsid w:val="00C465DF"/>
    <w:rsid w:val="00C4665B"/>
    <w:rsid w:val="00C46C4E"/>
    <w:rsid w:val="00C4710B"/>
    <w:rsid w:val="00C471AE"/>
    <w:rsid w:val="00C477FC"/>
    <w:rsid w:val="00C47B5F"/>
    <w:rsid w:val="00C47D96"/>
    <w:rsid w:val="00C50233"/>
    <w:rsid w:val="00C50851"/>
    <w:rsid w:val="00C50962"/>
    <w:rsid w:val="00C50B5D"/>
    <w:rsid w:val="00C51D3F"/>
    <w:rsid w:val="00C5285F"/>
    <w:rsid w:val="00C53341"/>
    <w:rsid w:val="00C5337F"/>
    <w:rsid w:val="00C53CB4"/>
    <w:rsid w:val="00C53CFB"/>
    <w:rsid w:val="00C53E95"/>
    <w:rsid w:val="00C54103"/>
    <w:rsid w:val="00C544A8"/>
    <w:rsid w:val="00C5456C"/>
    <w:rsid w:val="00C545E3"/>
    <w:rsid w:val="00C5461A"/>
    <w:rsid w:val="00C54633"/>
    <w:rsid w:val="00C55AA6"/>
    <w:rsid w:val="00C56003"/>
    <w:rsid w:val="00C564BB"/>
    <w:rsid w:val="00C56503"/>
    <w:rsid w:val="00C56ACD"/>
    <w:rsid w:val="00C56AF5"/>
    <w:rsid w:val="00C573A4"/>
    <w:rsid w:val="00C57C8E"/>
    <w:rsid w:val="00C60397"/>
    <w:rsid w:val="00C6049E"/>
    <w:rsid w:val="00C6090A"/>
    <w:rsid w:val="00C61106"/>
    <w:rsid w:val="00C61533"/>
    <w:rsid w:val="00C6158C"/>
    <w:rsid w:val="00C6172C"/>
    <w:rsid w:val="00C618FB"/>
    <w:rsid w:val="00C62654"/>
    <w:rsid w:val="00C6398A"/>
    <w:rsid w:val="00C64212"/>
    <w:rsid w:val="00C642C9"/>
    <w:rsid w:val="00C64377"/>
    <w:rsid w:val="00C64396"/>
    <w:rsid w:val="00C645EA"/>
    <w:rsid w:val="00C64A7A"/>
    <w:rsid w:val="00C64CAE"/>
    <w:rsid w:val="00C65C41"/>
    <w:rsid w:val="00C65E57"/>
    <w:rsid w:val="00C6602C"/>
    <w:rsid w:val="00C66349"/>
    <w:rsid w:val="00C66784"/>
    <w:rsid w:val="00C67768"/>
    <w:rsid w:val="00C67DD2"/>
    <w:rsid w:val="00C7010F"/>
    <w:rsid w:val="00C702B3"/>
    <w:rsid w:val="00C7054D"/>
    <w:rsid w:val="00C70B2B"/>
    <w:rsid w:val="00C70DB9"/>
    <w:rsid w:val="00C712F8"/>
    <w:rsid w:val="00C71974"/>
    <w:rsid w:val="00C719AE"/>
    <w:rsid w:val="00C71AF3"/>
    <w:rsid w:val="00C72A0D"/>
    <w:rsid w:val="00C72D10"/>
    <w:rsid w:val="00C72DC4"/>
    <w:rsid w:val="00C7317E"/>
    <w:rsid w:val="00C73465"/>
    <w:rsid w:val="00C73805"/>
    <w:rsid w:val="00C73E81"/>
    <w:rsid w:val="00C73FF2"/>
    <w:rsid w:val="00C742B8"/>
    <w:rsid w:val="00C74B0C"/>
    <w:rsid w:val="00C74B8E"/>
    <w:rsid w:val="00C74EF2"/>
    <w:rsid w:val="00C74FA5"/>
    <w:rsid w:val="00C75287"/>
    <w:rsid w:val="00C7551A"/>
    <w:rsid w:val="00C75791"/>
    <w:rsid w:val="00C76277"/>
    <w:rsid w:val="00C76BD9"/>
    <w:rsid w:val="00C774F5"/>
    <w:rsid w:val="00C77A2D"/>
    <w:rsid w:val="00C77CA8"/>
    <w:rsid w:val="00C77CC2"/>
    <w:rsid w:val="00C77F9D"/>
    <w:rsid w:val="00C80B0E"/>
    <w:rsid w:val="00C8104C"/>
    <w:rsid w:val="00C81462"/>
    <w:rsid w:val="00C81524"/>
    <w:rsid w:val="00C81B78"/>
    <w:rsid w:val="00C81E4C"/>
    <w:rsid w:val="00C81E5A"/>
    <w:rsid w:val="00C826BF"/>
    <w:rsid w:val="00C827A4"/>
    <w:rsid w:val="00C830FD"/>
    <w:rsid w:val="00C8354A"/>
    <w:rsid w:val="00C836BB"/>
    <w:rsid w:val="00C8391A"/>
    <w:rsid w:val="00C839FE"/>
    <w:rsid w:val="00C8401C"/>
    <w:rsid w:val="00C84431"/>
    <w:rsid w:val="00C8498A"/>
    <w:rsid w:val="00C84D29"/>
    <w:rsid w:val="00C851FE"/>
    <w:rsid w:val="00C85377"/>
    <w:rsid w:val="00C858AC"/>
    <w:rsid w:val="00C860DE"/>
    <w:rsid w:val="00C8754F"/>
    <w:rsid w:val="00C87595"/>
    <w:rsid w:val="00C87E11"/>
    <w:rsid w:val="00C90012"/>
    <w:rsid w:val="00C900EB"/>
    <w:rsid w:val="00C908A7"/>
    <w:rsid w:val="00C90935"/>
    <w:rsid w:val="00C90C57"/>
    <w:rsid w:val="00C90CA1"/>
    <w:rsid w:val="00C90FAD"/>
    <w:rsid w:val="00C91F2A"/>
    <w:rsid w:val="00C91F9B"/>
    <w:rsid w:val="00C92191"/>
    <w:rsid w:val="00C92A0D"/>
    <w:rsid w:val="00C92A25"/>
    <w:rsid w:val="00C92C4B"/>
    <w:rsid w:val="00C932FF"/>
    <w:rsid w:val="00C933D2"/>
    <w:rsid w:val="00C93804"/>
    <w:rsid w:val="00C93CF5"/>
    <w:rsid w:val="00C941C8"/>
    <w:rsid w:val="00C94230"/>
    <w:rsid w:val="00C94872"/>
    <w:rsid w:val="00C94D23"/>
    <w:rsid w:val="00C94ECC"/>
    <w:rsid w:val="00C95205"/>
    <w:rsid w:val="00C9535A"/>
    <w:rsid w:val="00C9569B"/>
    <w:rsid w:val="00C95944"/>
    <w:rsid w:val="00C95E25"/>
    <w:rsid w:val="00C96211"/>
    <w:rsid w:val="00C9671E"/>
    <w:rsid w:val="00C975B3"/>
    <w:rsid w:val="00C979DA"/>
    <w:rsid w:val="00C97B00"/>
    <w:rsid w:val="00C97C33"/>
    <w:rsid w:val="00CA0077"/>
    <w:rsid w:val="00CA0647"/>
    <w:rsid w:val="00CA0793"/>
    <w:rsid w:val="00CA08EC"/>
    <w:rsid w:val="00CA0B91"/>
    <w:rsid w:val="00CA148A"/>
    <w:rsid w:val="00CA2149"/>
    <w:rsid w:val="00CA25C0"/>
    <w:rsid w:val="00CA2779"/>
    <w:rsid w:val="00CA27D2"/>
    <w:rsid w:val="00CA3A08"/>
    <w:rsid w:val="00CA3B2C"/>
    <w:rsid w:val="00CA3E75"/>
    <w:rsid w:val="00CA41D3"/>
    <w:rsid w:val="00CA422E"/>
    <w:rsid w:val="00CA473B"/>
    <w:rsid w:val="00CA4EB8"/>
    <w:rsid w:val="00CA50BC"/>
    <w:rsid w:val="00CA55D4"/>
    <w:rsid w:val="00CA566C"/>
    <w:rsid w:val="00CA5C8E"/>
    <w:rsid w:val="00CA5EFD"/>
    <w:rsid w:val="00CA750B"/>
    <w:rsid w:val="00CA77A3"/>
    <w:rsid w:val="00CA77F9"/>
    <w:rsid w:val="00CA7A9C"/>
    <w:rsid w:val="00CB0085"/>
    <w:rsid w:val="00CB028B"/>
    <w:rsid w:val="00CB0D11"/>
    <w:rsid w:val="00CB0D73"/>
    <w:rsid w:val="00CB1587"/>
    <w:rsid w:val="00CB17B5"/>
    <w:rsid w:val="00CB1B8B"/>
    <w:rsid w:val="00CB1C5B"/>
    <w:rsid w:val="00CB1CE4"/>
    <w:rsid w:val="00CB21C9"/>
    <w:rsid w:val="00CB2369"/>
    <w:rsid w:val="00CB2D99"/>
    <w:rsid w:val="00CB30DC"/>
    <w:rsid w:val="00CB31B6"/>
    <w:rsid w:val="00CB327D"/>
    <w:rsid w:val="00CB3B2E"/>
    <w:rsid w:val="00CB3FE3"/>
    <w:rsid w:val="00CB4038"/>
    <w:rsid w:val="00CB40ED"/>
    <w:rsid w:val="00CB4B1A"/>
    <w:rsid w:val="00CB6183"/>
    <w:rsid w:val="00CB6791"/>
    <w:rsid w:val="00CB6F69"/>
    <w:rsid w:val="00CB745C"/>
    <w:rsid w:val="00CB7F12"/>
    <w:rsid w:val="00CC0A50"/>
    <w:rsid w:val="00CC107E"/>
    <w:rsid w:val="00CC122E"/>
    <w:rsid w:val="00CC1258"/>
    <w:rsid w:val="00CC1496"/>
    <w:rsid w:val="00CC1694"/>
    <w:rsid w:val="00CC1808"/>
    <w:rsid w:val="00CC1C88"/>
    <w:rsid w:val="00CC1ECA"/>
    <w:rsid w:val="00CC1EF9"/>
    <w:rsid w:val="00CC2398"/>
    <w:rsid w:val="00CC2767"/>
    <w:rsid w:val="00CC47D7"/>
    <w:rsid w:val="00CC4CD5"/>
    <w:rsid w:val="00CC526D"/>
    <w:rsid w:val="00CC57C2"/>
    <w:rsid w:val="00CC59BC"/>
    <w:rsid w:val="00CC623B"/>
    <w:rsid w:val="00CC660A"/>
    <w:rsid w:val="00CC761E"/>
    <w:rsid w:val="00CC7C3A"/>
    <w:rsid w:val="00CD00F3"/>
    <w:rsid w:val="00CD01F6"/>
    <w:rsid w:val="00CD033A"/>
    <w:rsid w:val="00CD068A"/>
    <w:rsid w:val="00CD0FED"/>
    <w:rsid w:val="00CD1137"/>
    <w:rsid w:val="00CD16FD"/>
    <w:rsid w:val="00CD19AB"/>
    <w:rsid w:val="00CD1A62"/>
    <w:rsid w:val="00CD3061"/>
    <w:rsid w:val="00CD3297"/>
    <w:rsid w:val="00CD3933"/>
    <w:rsid w:val="00CD3C26"/>
    <w:rsid w:val="00CD3CFE"/>
    <w:rsid w:val="00CD401D"/>
    <w:rsid w:val="00CD40EE"/>
    <w:rsid w:val="00CD46C3"/>
    <w:rsid w:val="00CD49CE"/>
    <w:rsid w:val="00CD4A9C"/>
    <w:rsid w:val="00CD4D0F"/>
    <w:rsid w:val="00CD538C"/>
    <w:rsid w:val="00CD598D"/>
    <w:rsid w:val="00CD5E4B"/>
    <w:rsid w:val="00CD5F86"/>
    <w:rsid w:val="00CD6192"/>
    <w:rsid w:val="00CD621B"/>
    <w:rsid w:val="00CD6744"/>
    <w:rsid w:val="00CD67ED"/>
    <w:rsid w:val="00CD6E4E"/>
    <w:rsid w:val="00CD70CA"/>
    <w:rsid w:val="00CD7120"/>
    <w:rsid w:val="00CD7452"/>
    <w:rsid w:val="00CD746B"/>
    <w:rsid w:val="00CD7594"/>
    <w:rsid w:val="00CD7B47"/>
    <w:rsid w:val="00CE076F"/>
    <w:rsid w:val="00CE08BD"/>
    <w:rsid w:val="00CE0DFF"/>
    <w:rsid w:val="00CE1742"/>
    <w:rsid w:val="00CE1FF0"/>
    <w:rsid w:val="00CE2CB8"/>
    <w:rsid w:val="00CE2FDC"/>
    <w:rsid w:val="00CE308F"/>
    <w:rsid w:val="00CE356B"/>
    <w:rsid w:val="00CE374B"/>
    <w:rsid w:val="00CE3805"/>
    <w:rsid w:val="00CE3910"/>
    <w:rsid w:val="00CE3FEC"/>
    <w:rsid w:val="00CE4364"/>
    <w:rsid w:val="00CE44F2"/>
    <w:rsid w:val="00CE45C2"/>
    <w:rsid w:val="00CE4947"/>
    <w:rsid w:val="00CE49A9"/>
    <w:rsid w:val="00CE4CD8"/>
    <w:rsid w:val="00CE4DFF"/>
    <w:rsid w:val="00CE5982"/>
    <w:rsid w:val="00CE59AB"/>
    <w:rsid w:val="00CE6183"/>
    <w:rsid w:val="00CE6359"/>
    <w:rsid w:val="00CE6868"/>
    <w:rsid w:val="00CE6C7E"/>
    <w:rsid w:val="00CE7384"/>
    <w:rsid w:val="00CF01B0"/>
    <w:rsid w:val="00CF0776"/>
    <w:rsid w:val="00CF08F1"/>
    <w:rsid w:val="00CF1CA0"/>
    <w:rsid w:val="00CF21DC"/>
    <w:rsid w:val="00CF23DA"/>
    <w:rsid w:val="00CF2530"/>
    <w:rsid w:val="00CF28CF"/>
    <w:rsid w:val="00CF295E"/>
    <w:rsid w:val="00CF2B4F"/>
    <w:rsid w:val="00CF2DAE"/>
    <w:rsid w:val="00CF2DC2"/>
    <w:rsid w:val="00CF31DB"/>
    <w:rsid w:val="00CF34C0"/>
    <w:rsid w:val="00CF3790"/>
    <w:rsid w:val="00CF3896"/>
    <w:rsid w:val="00CF3964"/>
    <w:rsid w:val="00CF3AF2"/>
    <w:rsid w:val="00CF4093"/>
    <w:rsid w:val="00CF4851"/>
    <w:rsid w:val="00CF4C1F"/>
    <w:rsid w:val="00CF4D95"/>
    <w:rsid w:val="00CF4FB5"/>
    <w:rsid w:val="00CF624B"/>
    <w:rsid w:val="00CF652A"/>
    <w:rsid w:val="00CF6F3A"/>
    <w:rsid w:val="00CF7006"/>
    <w:rsid w:val="00CF70CC"/>
    <w:rsid w:val="00CF78F8"/>
    <w:rsid w:val="00D00002"/>
    <w:rsid w:val="00D00EA8"/>
    <w:rsid w:val="00D01572"/>
    <w:rsid w:val="00D02676"/>
    <w:rsid w:val="00D0334E"/>
    <w:rsid w:val="00D03737"/>
    <w:rsid w:val="00D03762"/>
    <w:rsid w:val="00D03C51"/>
    <w:rsid w:val="00D04B16"/>
    <w:rsid w:val="00D04F21"/>
    <w:rsid w:val="00D050A9"/>
    <w:rsid w:val="00D051A9"/>
    <w:rsid w:val="00D05B1D"/>
    <w:rsid w:val="00D05F1C"/>
    <w:rsid w:val="00D0626C"/>
    <w:rsid w:val="00D073BB"/>
    <w:rsid w:val="00D07547"/>
    <w:rsid w:val="00D07746"/>
    <w:rsid w:val="00D07930"/>
    <w:rsid w:val="00D07A03"/>
    <w:rsid w:val="00D10BBA"/>
    <w:rsid w:val="00D110AA"/>
    <w:rsid w:val="00D11441"/>
    <w:rsid w:val="00D11539"/>
    <w:rsid w:val="00D1196C"/>
    <w:rsid w:val="00D1281F"/>
    <w:rsid w:val="00D12915"/>
    <w:rsid w:val="00D1304D"/>
    <w:rsid w:val="00D133D7"/>
    <w:rsid w:val="00D143E3"/>
    <w:rsid w:val="00D146E1"/>
    <w:rsid w:val="00D15584"/>
    <w:rsid w:val="00D15886"/>
    <w:rsid w:val="00D15A7B"/>
    <w:rsid w:val="00D15F09"/>
    <w:rsid w:val="00D1676B"/>
    <w:rsid w:val="00D16CEB"/>
    <w:rsid w:val="00D17AFC"/>
    <w:rsid w:val="00D20424"/>
    <w:rsid w:val="00D2085B"/>
    <w:rsid w:val="00D20B26"/>
    <w:rsid w:val="00D20D5B"/>
    <w:rsid w:val="00D20FB6"/>
    <w:rsid w:val="00D2101E"/>
    <w:rsid w:val="00D211A5"/>
    <w:rsid w:val="00D21767"/>
    <w:rsid w:val="00D22A73"/>
    <w:rsid w:val="00D22BB7"/>
    <w:rsid w:val="00D22CD4"/>
    <w:rsid w:val="00D23A77"/>
    <w:rsid w:val="00D23B50"/>
    <w:rsid w:val="00D23F37"/>
    <w:rsid w:val="00D24399"/>
    <w:rsid w:val="00D245AC"/>
    <w:rsid w:val="00D2504F"/>
    <w:rsid w:val="00D252D0"/>
    <w:rsid w:val="00D255C9"/>
    <w:rsid w:val="00D2590D"/>
    <w:rsid w:val="00D26CA2"/>
    <w:rsid w:val="00D26D22"/>
    <w:rsid w:val="00D27472"/>
    <w:rsid w:val="00D27492"/>
    <w:rsid w:val="00D27659"/>
    <w:rsid w:val="00D27CF6"/>
    <w:rsid w:val="00D27D66"/>
    <w:rsid w:val="00D30484"/>
    <w:rsid w:val="00D304A4"/>
    <w:rsid w:val="00D30D8A"/>
    <w:rsid w:val="00D30DF1"/>
    <w:rsid w:val="00D31243"/>
    <w:rsid w:val="00D312BA"/>
    <w:rsid w:val="00D312EF"/>
    <w:rsid w:val="00D3147A"/>
    <w:rsid w:val="00D315FD"/>
    <w:rsid w:val="00D31879"/>
    <w:rsid w:val="00D31B57"/>
    <w:rsid w:val="00D32112"/>
    <w:rsid w:val="00D321B4"/>
    <w:rsid w:val="00D32796"/>
    <w:rsid w:val="00D3284B"/>
    <w:rsid w:val="00D32A3D"/>
    <w:rsid w:val="00D33231"/>
    <w:rsid w:val="00D33B23"/>
    <w:rsid w:val="00D3430B"/>
    <w:rsid w:val="00D3498E"/>
    <w:rsid w:val="00D34B66"/>
    <w:rsid w:val="00D352CC"/>
    <w:rsid w:val="00D35523"/>
    <w:rsid w:val="00D357A6"/>
    <w:rsid w:val="00D35A83"/>
    <w:rsid w:val="00D3620F"/>
    <w:rsid w:val="00D363A6"/>
    <w:rsid w:val="00D36EB4"/>
    <w:rsid w:val="00D37030"/>
    <w:rsid w:val="00D37273"/>
    <w:rsid w:val="00D37392"/>
    <w:rsid w:val="00D37540"/>
    <w:rsid w:val="00D3788E"/>
    <w:rsid w:val="00D4066E"/>
    <w:rsid w:val="00D406A8"/>
    <w:rsid w:val="00D407A6"/>
    <w:rsid w:val="00D408E0"/>
    <w:rsid w:val="00D40F58"/>
    <w:rsid w:val="00D41CC5"/>
    <w:rsid w:val="00D41D24"/>
    <w:rsid w:val="00D41E3E"/>
    <w:rsid w:val="00D428E8"/>
    <w:rsid w:val="00D42D6E"/>
    <w:rsid w:val="00D42E11"/>
    <w:rsid w:val="00D430F8"/>
    <w:rsid w:val="00D4317F"/>
    <w:rsid w:val="00D433C7"/>
    <w:rsid w:val="00D439D5"/>
    <w:rsid w:val="00D43E52"/>
    <w:rsid w:val="00D4464B"/>
    <w:rsid w:val="00D4483D"/>
    <w:rsid w:val="00D44DD8"/>
    <w:rsid w:val="00D44DFA"/>
    <w:rsid w:val="00D457A5"/>
    <w:rsid w:val="00D458A2"/>
    <w:rsid w:val="00D46D0F"/>
    <w:rsid w:val="00D471FE"/>
    <w:rsid w:val="00D47653"/>
    <w:rsid w:val="00D47ECA"/>
    <w:rsid w:val="00D506FD"/>
    <w:rsid w:val="00D514B6"/>
    <w:rsid w:val="00D517B1"/>
    <w:rsid w:val="00D51C08"/>
    <w:rsid w:val="00D5236E"/>
    <w:rsid w:val="00D52F81"/>
    <w:rsid w:val="00D5317E"/>
    <w:rsid w:val="00D53762"/>
    <w:rsid w:val="00D53B04"/>
    <w:rsid w:val="00D53DED"/>
    <w:rsid w:val="00D540A9"/>
    <w:rsid w:val="00D5416D"/>
    <w:rsid w:val="00D5473C"/>
    <w:rsid w:val="00D54C0F"/>
    <w:rsid w:val="00D54E27"/>
    <w:rsid w:val="00D54E59"/>
    <w:rsid w:val="00D54F74"/>
    <w:rsid w:val="00D55210"/>
    <w:rsid w:val="00D55459"/>
    <w:rsid w:val="00D55629"/>
    <w:rsid w:val="00D56704"/>
    <w:rsid w:val="00D56951"/>
    <w:rsid w:val="00D569B1"/>
    <w:rsid w:val="00D56A08"/>
    <w:rsid w:val="00D57022"/>
    <w:rsid w:val="00D57754"/>
    <w:rsid w:val="00D57B74"/>
    <w:rsid w:val="00D57E45"/>
    <w:rsid w:val="00D57FCC"/>
    <w:rsid w:val="00D58AC7"/>
    <w:rsid w:val="00D60451"/>
    <w:rsid w:val="00D605D3"/>
    <w:rsid w:val="00D60A81"/>
    <w:rsid w:val="00D60DD5"/>
    <w:rsid w:val="00D61432"/>
    <w:rsid w:val="00D61644"/>
    <w:rsid w:val="00D61A88"/>
    <w:rsid w:val="00D6216A"/>
    <w:rsid w:val="00D63074"/>
    <w:rsid w:val="00D635FC"/>
    <w:rsid w:val="00D638D5"/>
    <w:rsid w:val="00D645F0"/>
    <w:rsid w:val="00D6491E"/>
    <w:rsid w:val="00D64A7C"/>
    <w:rsid w:val="00D64B9A"/>
    <w:rsid w:val="00D652F1"/>
    <w:rsid w:val="00D65322"/>
    <w:rsid w:val="00D65DF7"/>
    <w:rsid w:val="00D65F8F"/>
    <w:rsid w:val="00D66871"/>
    <w:rsid w:val="00D67A62"/>
    <w:rsid w:val="00D67A6C"/>
    <w:rsid w:val="00D702B0"/>
    <w:rsid w:val="00D702C2"/>
    <w:rsid w:val="00D7133B"/>
    <w:rsid w:val="00D71ACC"/>
    <w:rsid w:val="00D71CA0"/>
    <w:rsid w:val="00D72122"/>
    <w:rsid w:val="00D72254"/>
    <w:rsid w:val="00D72880"/>
    <w:rsid w:val="00D729E8"/>
    <w:rsid w:val="00D73029"/>
    <w:rsid w:val="00D73129"/>
    <w:rsid w:val="00D733A0"/>
    <w:rsid w:val="00D73828"/>
    <w:rsid w:val="00D738F2"/>
    <w:rsid w:val="00D73C83"/>
    <w:rsid w:val="00D74238"/>
    <w:rsid w:val="00D7440F"/>
    <w:rsid w:val="00D74920"/>
    <w:rsid w:val="00D750C1"/>
    <w:rsid w:val="00D75654"/>
    <w:rsid w:val="00D75B7D"/>
    <w:rsid w:val="00D75D58"/>
    <w:rsid w:val="00D762C2"/>
    <w:rsid w:val="00D7651C"/>
    <w:rsid w:val="00D76697"/>
    <w:rsid w:val="00D76766"/>
    <w:rsid w:val="00D76B34"/>
    <w:rsid w:val="00D76DAA"/>
    <w:rsid w:val="00D76F19"/>
    <w:rsid w:val="00D77389"/>
    <w:rsid w:val="00D80430"/>
    <w:rsid w:val="00D80557"/>
    <w:rsid w:val="00D809DA"/>
    <w:rsid w:val="00D8162C"/>
    <w:rsid w:val="00D81E8D"/>
    <w:rsid w:val="00D827F7"/>
    <w:rsid w:val="00D82AB1"/>
    <w:rsid w:val="00D830AC"/>
    <w:rsid w:val="00D830B1"/>
    <w:rsid w:val="00D8342D"/>
    <w:rsid w:val="00D83688"/>
    <w:rsid w:val="00D84278"/>
    <w:rsid w:val="00D842C8"/>
    <w:rsid w:val="00D84FE1"/>
    <w:rsid w:val="00D85E03"/>
    <w:rsid w:val="00D8602B"/>
    <w:rsid w:val="00D8610F"/>
    <w:rsid w:val="00D86C02"/>
    <w:rsid w:val="00D86F3A"/>
    <w:rsid w:val="00D8707B"/>
    <w:rsid w:val="00D87254"/>
    <w:rsid w:val="00D87407"/>
    <w:rsid w:val="00D87550"/>
    <w:rsid w:val="00D87688"/>
    <w:rsid w:val="00D8AF9A"/>
    <w:rsid w:val="00D9045F"/>
    <w:rsid w:val="00D90505"/>
    <w:rsid w:val="00D91039"/>
    <w:rsid w:val="00D9145C"/>
    <w:rsid w:val="00D919F9"/>
    <w:rsid w:val="00D92026"/>
    <w:rsid w:val="00D924AB"/>
    <w:rsid w:val="00D92526"/>
    <w:rsid w:val="00D929C9"/>
    <w:rsid w:val="00D92A27"/>
    <w:rsid w:val="00D93317"/>
    <w:rsid w:val="00D93917"/>
    <w:rsid w:val="00D93C59"/>
    <w:rsid w:val="00D94584"/>
    <w:rsid w:val="00D94620"/>
    <w:rsid w:val="00D950DD"/>
    <w:rsid w:val="00D95613"/>
    <w:rsid w:val="00D95803"/>
    <w:rsid w:val="00D95BB1"/>
    <w:rsid w:val="00D95F74"/>
    <w:rsid w:val="00D9653D"/>
    <w:rsid w:val="00D965B3"/>
    <w:rsid w:val="00D96926"/>
    <w:rsid w:val="00D97364"/>
    <w:rsid w:val="00D97715"/>
    <w:rsid w:val="00D97AF5"/>
    <w:rsid w:val="00D97E55"/>
    <w:rsid w:val="00DA01B0"/>
    <w:rsid w:val="00DA03FF"/>
    <w:rsid w:val="00DA0C7D"/>
    <w:rsid w:val="00DA0CCE"/>
    <w:rsid w:val="00DA234D"/>
    <w:rsid w:val="00DA2632"/>
    <w:rsid w:val="00DA2BF0"/>
    <w:rsid w:val="00DA32DB"/>
    <w:rsid w:val="00DA49BF"/>
    <w:rsid w:val="00DA62A4"/>
    <w:rsid w:val="00DA69C1"/>
    <w:rsid w:val="00DA6F3A"/>
    <w:rsid w:val="00DA6F56"/>
    <w:rsid w:val="00DA75F3"/>
    <w:rsid w:val="00DA76CB"/>
    <w:rsid w:val="00DA7EE2"/>
    <w:rsid w:val="00DB0023"/>
    <w:rsid w:val="00DB0296"/>
    <w:rsid w:val="00DB0921"/>
    <w:rsid w:val="00DB0BDA"/>
    <w:rsid w:val="00DB185B"/>
    <w:rsid w:val="00DB18E1"/>
    <w:rsid w:val="00DB1B04"/>
    <w:rsid w:val="00DB1C98"/>
    <w:rsid w:val="00DB1D60"/>
    <w:rsid w:val="00DB1F78"/>
    <w:rsid w:val="00DB20FC"/>
    <w:rsid w:val="00DB2277"/>
    <w:rsid w:val="00DB246B"/>
    <w:rsid w:val="00DB247F"/>
    <w:rsid w:val="00DB2CB5"/>
    <w:rsid w:val="00DB38DA"/>
    <w:rsid w:val="00DB3E3F"/>
    <w:rsid w:val="00DB43BB"/>
    <w:rsid w:val="00DB4C5E"/>
    <w:rsid w:val="00DB5634"/>
    <w:rsid w:val="00DB5C91"/>
    <w:rsid w:val="00DB5D44"/>
    <w:rsid w:val="00DB650B"/>
    <w:rsid w:val="00DB6621"/>
    <w:rsid w:val="00DB6844"/>
    <w:rsid w:val="00DB6CD1"/>
    <w:rsid w:val="00DB70B7"/>
    <w:rsid w:val="00DB7440"/>
    <w:rsid w:val="00DB75F5"/>
    <w:rsid w:val="00DB7601"/>
    <w:rsid w:val="00DC0A1E"/>
    <w:rsid w:val="00DC1B3D"/>
    <w:rsid w:val="00DC26A8"/>
    <w:rsid w:val="00DC294B"/>
    <w:rsid w:val="00DC2A18"/>
    <w:rsid w:val="00DC2AD3"/>
    <w:rsid w:val="00DC2ECD"/>
    <w:rsid w:val="00DC2F50"/>
    <w:rsid w:val="00DC3324"/>
    <w:rsid w:val="00DC3463"/>
    <w:rsid w:val="00DC3483"/>
    <w:rsid w:val="00DC3D08"/>
    <w:rsid w:val="00DC41B1"/>
    <w:rsid w:val="00DC4437"/>
    <w:rsid w:val="00DC469F"/>
    <w:rsid w:val="00DC4C9A"/>
    <w:rsid w:val="00DC4CF0"/>
    <w:rsid w:val="00DC6261"/>
    <w:rsid w:val="00DC667A"/>
    <w:rsid w:val="00DC68D3"/>
    <w:rsid w:val="00DC68FE"/>
    <w:rsid w:val="00DC6955"/>
    <w:rsid w:val="00DC750E"/>
    <w:rsid w:val="00DC7F71"/>
    <w:rsid w:val="00DD000A"/>
    <w:rsid w:val="00DD07C0"/>
    <w:rsid w:val="00DD0D7B"/>
    <w:rsid w:val="00DD0E03"/>
    <w:rsid w:val="00DD1AFF"/>
    <w:rsid w:val="00DD2217"/>
    <w:rsid w:val="00DD261F"/>
    <w:rsid w:val="00DD27A4"/>
    <w:rsid w:val="00DD3AC7"/>
    <w:rsid w:val="00DD3DB2"/>
    <w:rsid w:val="00DD401B"/>
    <w:rsid w:val="00DD4A21"/>
    <w:rsid w:val="00DD4AB2"/>
    <w:rsid w:val="00DD4CE2"/>
    <w:rsid w:val="00DD50BF"/>
    <w:rsid w:val="00DD57FD"/>
    <w:rsid w:val="00DD5970"/>
    <w:rsid w:val="00DD5D8E"/>
    <w:rsid w:val="00DD5E1E"/>
    <w:rsid w:val="00DD5E2A"/>
    <w:rsid w:val="00DD7009"/>
    <w:rsid w:val="00DD72BD"/>
    <w:rsid w:val="00DD73F8"/>
    <w:rsid w:val="00DD7489"/>
    <w:rsid w:val="00DD7797"/>
    <w:rsid w:val="00DD795D"/>
    <w:rsid w:val="00DD7A74"/>
    <w:rsid w:val="00DD7E5B"/>
    <w:rsid w:val="00DE05AF"/>
    <w:rsid w:val="00DE0E18"/>
    <w:rsid w:val="00DE10C9"/>
    <w:rsid w:val="00DE110A"/>
    <w:rsid w:val="00DE1C7E"/>
    <w:rsid w:val="00DE1F33"/>
    <w:rsid w:val="00DE2232"/>
    <w:rsid w:val="00DE2325"/>
    <w:rsid w:val="00DE2718"/>
    <w:rsid w:val="00DE2FF0"/>
    <w:rsid w:val="00DE317A"/>
    <w:rsid w:val="00DE37D5"/>
    <w:rsid w:val="00DE394A"/>
    <w:rsid w:val="00DE48D5"/>
    <w:rsid w:val="00DE4BC6"/>
    <w:rsid w:val="00DE4C04"/>
    <w:rsid w:val="00DE4FA5"/>
    <w:rsid w:val="00DE569F"/>
    <w:rsid w:val="00DE5778"/>
    <w:rsid w:val="00DE59D3"/>
    <w:rsid w:val="00DE6318"/>
    <w:rsid w:val="00DE6647"/>
    <w:rsid w:val="00DE6AEE"/>
    <w:rsid w:val="00DE6AFA"/>
    <w:rsid w:val="00DE6D6E"/>
    <w:rsid w:val="00DE72EF"/>
    <w:rsid w:val="00DE786B"/>
    <w:rsid w:val="00DF0770"/>
    <w:rsid w:val="00DF0846"/>
    <w:rsid w:val="00DF0DFF"/>
    <w:rsid w:val="00DF10AB"/>
    <w:rsid w:val="00DF1709"/>
    <w:rsid w:val="00DF1C16"/>
    <w:rsid w:val="00DF24C8"/>
    <w:rsid w:val="00DF298C"/>
    <w:rsid w:val="00DF2D38"/>
    <w:rsid w:val="00DF2E39"/>
    <w:rsid w:val="00DF4940"/>
    <w:rsid w:val="00DF5FEB"/>
    <w:rsid w:val="00DF6065"/>
    <w:rsid w:val="00DF612B"/>
    <w:rsid w:val="00DF6384"/>
    <w:rsid w:val="00DF652E"/>
    <w:rsid w:val="00DF660F"/>
    <w:rsid w:val="00DF6660"/>
    <w:rsid w:val="00DF68C7"/>
    <w:rsid w:val="00DF7CFB"/>
    <w:rsid w:val="00DF7DBC"/>
    <w:rsid w:val="00E0016F"/>
    <w:rsid w:val="00E001B0"/>
    <w:rsid w:val="00E00706"/>
    <w:rsid w:val="00E00745"/>
    <w:rsid w:val="00E0099B"/>
    <w:rsid w:val="00E00EB7"/>
    <w:rsid w:val="00E0103F"/>
    <w:rsid w:val="00E01385"/>
    <w:rsid w:val="00E01A87"/>
    <w:rsid w:val="00E0263F"/>
    <w:rsid w:val="00E02C5C"/>
    <w:rsid w:val="00E0307B"/>
    <w:rsid w:val="00E03834"/>
    <w:rsid w:val="00E03892"/>
    <w:rsid w:val="00E0410E"/>
    <w:rsid w:val="00E044FC"/>
    <w:rsid w:val="00E04791"/>
    <w:rsid w:val="00E04960"/>
    <w:rsid w:val="00E04DAB"/>
    <w:rsid w:val="00E05325"/>
    <w:rsid w:val="00E05751"/>
    <w:rsid w:val="00E05778"/>
    <w:rsid w:val="00E06B06"/>
    <w:rsid w:val="00E07186"/>
    <w:rsid w:val="00E072A9"/>
    <w:rsid w:val="00E07401"/>
    <w:rsid w:val="00E0780F"/>
    <w:rsid w:val="00E07E5C"/>
    <w:rsid w:val="00E106E3"/>
    <w:rsid w:val="00E10DAD"/>
    <w:rsid w:val="00E11456"/>
    <w:rsid w:val="00E11602"/>
    <w:rsid w:val="00E11659"/>
    <w:rsid w:val="00E11F3B"/>
    <w:rsid w:val="00E121BF"/>
    <w:rsid w:val="00E12299"/>
    <w:rsid w:val="00E1238A"/>
    <w:rsid w:val="00E126F5"/>
    <w:rsid w:val="00E12725"/>
    <w:rsid w:val="00E1283C"/>
    <w:rsid w:val="00E12A41"/>
    <w:rsid w:val="00E12E76"/>
    <w:rsid w:val="00E133E1"/>
    <w:rsid w:val="00E13405"/>
    <w:rsid w:val="00E13CB7"/>
    <w:rsid w:val="00E146E8"/>
    <w:rsid w:val="00E15859"/>
    <w:rsid w:val="00E16E68"/>
    <w:rsid w:val="00E170EB"/>
    <w:rsid w:val="00E1790C"/>
    <w:rsid w:val="00E20034"/>
    <w:rsid w:val="00E20270"/>
    <w:rsid w:val="00E20400"/>
    <w:rsid w:val="00E204E8"/>
    <w:rsid w:val="00E206C6"/>
    <w:rsid w:val="00E218DC"/>
    <w:rsid w:val="00E21A02"/>
    <w:rsid w:val="00E220AD"/>
    <w:rsid w:val="00E224C7"/>
    <w:rsid w:val="00E227FD"/>
    <w:rsid w:val="00E22BAA"/>
    <w:rsid w:val="00E22FF1"/>
    <w:rsid w:val="00E23099"/>
    <w:rsid w:val="00E231B9"/>
    <w:rsid w:val="00E231CE"/>
    <w:rsid w:val="00E2337C"/>
    <w:rsid w:val="00E23554"/>
    <w:rsid w:val="00E23F5F"/>
    <w:rsid w:val="00E2432F"/>
    <w:rsid w:val="00E248A3"/>
    <w:rsid w:val="00E24D12"/>
    <w:rsid w:val="00E250C6"/>
    <w:rsid w:val="00E252CB"/>
    <w:rsid w:val="00E25797"/>
    <w:rsid w:val="00E25B64"/>
    <w:rsid w:val="00E269A7"/>
    <w:rsid w:val="00E26D5A"/>
    <w:rsid w:val="00E26F6B"/>
    <w:rsid w:val="00E26FFC"/>
    <w:rsid w:val="00E2702F"/>
    <w:rsid w:val="00E2781A"/>
    <w:rsid w:val="00E27AED"/>
    <w:rsid w:val="00E27D2D"/>
    <w:rsid w:val="00E30257"/>
    <w:rsid w:val="00E30636"/>
    <w:rsid w:val="00E3076A"/>
    <w:rsid w:val="00E30FB0"/>
    <w:rsid w:val="00E3199A"/>
    <w:rsid w:val="00E31C9C"/>
    <w:rsid w:val="00E31CCF"/>
    <w:rsid w:val="00E32147"/>
    <w:rsid w:val="00E33386"/>
    <w:rsid w:val="00E337EF"/>
    <w:rsid w:val="00E33B70"/>
    <w:rsid w:val="00E340A2"/>
    <w:rsid w:val="00E34509"/>
    <w:rsid w:val="00E345DD"/>
    <w:rsid w:val="00E34D07"/>
    <w:rsid w:val="00E34EE8"/>
    <w:rsid w:val="00E34F8D"/>
    <w:rsid w:val="00E3512D"/>
    <w:rsid w:val="00E357CC"/>
    <w:rsid w:val="00E35A01"/>
    <w:rsid w:val="00E35F05"/>
    <w:rsid w:val="00E361B3"/>
    <w:rsid w:val="00E36A75"/>
    <w:rsid w:val="00E37D3A"/>
    <w:rsid w:val="00E40097"/>
    <w:rsid w:val="00E402BE"/>
    <w:rsid w:val="00E4032D"/>
    <w:rsid w:val="00E403C5"/>
    <w:rsid w:val="00E40443"/>
    <w:rsid w:val="00E408D1"/>
    <w:rsid w:val="00E40924"/>
    <w:rsid w:val="00E40EE9"/>
    <w:rsid w:val="00E41315"/>
    <w:rsid w:val="00E41747"/>
    <w:rsid w:val="00E4182D"/>
    <w:rsid w:val="00E41ABC"/>
    <w:rsid w:val="00E41C22"/>
    <w:rsid w:val="00E420D8"/>
    <w:rsid w:val="00E422D1"/>
    <w:rsid w:val="00E423FD"/>
    <w:rsid w:val="00E438F4"/>
    <w:rsid w:val="00E43B22"/>
    <w:rsid w:val="00E43CC6"/>
    <w:rsid w:val="00E43CCA"/>
    <w:rsid w:val="00E43D06"/>
    <w:rsid w:val="00E43FA0"/>
    <w:rsid w:val="00E4439A"/>
    <w:rsid w:val="00E4475E"/>
    <w:rsid w:val="00E44812"/>
    <w:rsid w:val="00E45043"/>
    <w:rsid w:val="00E4524F"/>
    <w:rsid w:val="00E45D00"/>
    <w:rsid w:val="00E45F83"/>
    <w:rsid w:val="00E466DA"/>
    <w:rsid w:val="00E46AB8"/>
    <w:rsid w:val="00E46D05"/>
    <w:rsid w:val="00E470DA"/>
    <w:rsid w:val="00E47493"/>
    <w:rsid w:val="00E47686"/>
    <w:rsid w:val="00E500D7"/>
    <w:rsid w:val="00E50A95"/>
    <w:rsid w:val="00E50DED"/>
    <w:rsid w:val="00E51037"/>
    <w:rsid w:val="00E513AA"/>
    <w:rsid w:val="00E5157E"/>
    <w:rsid w:val="00E51611"/>
    <w:rsid w:val="00E52CCC"/>
    <w:rsid w:val="00E5322C"/>
    <w:rsid w:val="00E5383E"/>
    <w:rsid w:val="00E53A06"/>
    <w:rsid w:val="00E53D3A"/>
    <w:rsid w:val="00E53DCF"/>
    <w:rsid w:val="00E541C4"/>
    <w:rsid w:val="00E54369"/>
    <w:rsid w:val="00E54BD5"/>
    <w:rsid w:val="00E5509C"/>
    <w:rsid w:val="00E55282"/>
    <w:rsid w:val="00E55BE7"/>
    <w:rsid w:val="00E55E83"/>
    <w:rsid w:val="00E57951"/>
    <w:rsid w:val="00E606A3"/>
    <w:rsid w:val="00E60765"/>
    <w:rsid w:val="00E6087D"/>
    <w:rsid w:val="00E60B93"/>
    <w:rsid w:val="00E61A5B"/>
    <w:rsid w:val="00E62944"/>
    <w:rsid w:val="00E629F6"/>
    <w:rsid w:val="00E62C21"/>
    <w:rsid w:val="00E62D5C"/>
    <w:rsid w:val="00E6369C"/>
    <w:rsid w:val="00E63805"/>
    <w:rsid w:val="00E6438F"/>
    <w:rsid w:val="00E64464"/>
    <w:rsid w:val="00E64848"/>
    <w:rsid w:val="00E64F2F"/>
    <w:rsid w:val="00E65C13"/>
    <w:rsid w:val="00E65CD4"/>
    <w:rsid w:val="00E66610"/>
    <w:rsid w:val="00E6673E"/>
    <w:rsid w:val="00E66D03"/>
    <w:rsid w:val="00E67044"/>
    <w:rsid w:val="00E6724C"/>
    <w:rsid w:val="00E67712"/>
    <w:rsid w:val="00E67719"/>
    <w:rsid w:val="00E67DB3"/>
    <w:rsid w:val="00E70114"/>
    <w:rsid w:val="00E7095E"/>
    <w:rsid w:val="00E710E1"/>
    <w:rsid w:val="00E7162C"/>
    <w:rsid w:val="00E71B3B"/>
    <w:rsid w:val="00E71BF7"/>
    <w:rsid w:val="00E72372"/>
    <w:rsid w:val="00E725AF"/>
    <w:rsid w:val="00E72669"/>
    <w:rsid w:val="00E72CC8"/>
    <w:rsid w:val="00E72E1A"/>
    <w:rsid w:val="00E7344A"/>
    <w:rsid w:val="00E73452"/>
    <w:rsid w:val="00E738CA"/>
    <w:rsid w:val="00E73F1A"/>
    <w:rsid w:val="00E73F4F"/>
    <w:rsid w:val="00E7401C"/>
    <w:rsid w:val="00E7430E"/>
    <w:rsid w:val="00E745E5"/>
    <w:rsid w:val="00E7480C"/>
    <w:rsid w:val="00E74935"/>
    <w:rsid w:val="00E74B4C"/>
    <w:rsid w:val="00E74CAA"/>
    <w:rsid w:val="00E74F2C"/>
    <w:rsid w:val="00E75329"/>
    <w:rsid w:val="00E75B20"/>
    <w:rsid w:val="00E75BE3"/>
    <w:rsid w:val="00E75D31"/>
    <w:rsid w:val="00E75EB9"/>
    <w:rsid w:val="00E76480"/>
    <w:rsid w:val="00E7656B"/>
    <w:rsid w:val="00E76603"/>
    <w:rsid w:val="00E76853"/>
    <w:rsid w:val="00E769B2"/>
    <w:rsid w:val="00E76B14"/>
    <w:rsid w:val="00E76ED2"/>
    <w:rsid w:val="00E771A4"/>
    <w:rsid w:val="00E7768F"/>
    <w:rsid w:val="00E777B0"/>
    <w:rsid w:val="00E80641"/>
    <w:rsid w:val="00E806F5"/>
    <w:rsid w:val="00E80965"/>
    <w:rsid w:val="00E81305"/>
    <w:rsid w:val="00E81FD4"/>
    <w:rsid w:val="00E82308"/>
    <w:rsid w:val="00E823F6"/>
    <w:rsid w:val="00E82934"/>
    <w:rsid w:val="00E82949"/>
    <w:rsid w:val="00E82AB7"/>
    <w:rsid w:val="00E82E72"/>
    <w:rsid w:val="00E830B0"/>
    <w:rsid w:val="00E8351C"/>
    <w:rsid w:val="00E836F9"/>
    <w:rsid w:val="00E838E2"/>
    <w:rsid w:val="00E840DC"/>
    <w:rsid w:val="00E84292"/>
    <w:rsid w:val="00E84562"/>
    <w:rsid w:val="00E847C0"/>
    <w:rsid w:val="00E847CA"/>
    <w:rsid w:val="00E848BC"/>
    <w:rsid w:val="00E85884"/>
    <w:rsid w:val="00E85B1B"/>
    <w:rsid w:val="00E85EBE"/>
    <w:rsid w:val="00E86243"/>
    <w:rsid w:val="00E86F5F"/>
    <w:rsid w:val="00E871E6"/>
    <w:rsid w:val="00E872D1"/>
    <w:rsid w:val="00E877DF"/>
    <w:rsid w:val="00E902B7"/>
    <w:rsid w:val="00E905A9"/>
    <w:rsid w:val="00E90C3E"/>
    <w:rsid w:val="00E90E4C"/>
    <w:rsid w:val="00E90FAF"/>
    <w:rsid w:val="00E91297"/>
    <w:rsid w:val="00E91DBA"/>
    <w:rsid w:val="00E9293F"/>
    <w:rsid w:val="00E92D0C"/>
    <w:rsid w:val="00E92D36"/>
    <w:rsid w:val="00E9377B"/>
    <w:rsid w:val="00E937DF"/>
    <w:rsid w:val="00E938DC"/>
    <w:rsid w:val="00E93987"/>
    <w:rsid w:val="00E93CF1"/>
    <w:rsid w:val="00E93D4F"/>
    <w:rsid w:val="00E94139"/>
    <w:rsid w:val="00E94769"/>
    <w:rsid w:val="00E95119"/>
    <w:rsid w:val="00E95152"/>
    <w:rsid w:val="00E9519D"/>
    <w:rsid w:val="00E96041"/>
    <w:rsid w:val="00E96235"/>
    <w:rsid w:val="00E96FA5"/>
    <w:rsid w:val="00E979E5"/>
    <w:rsid w:val="00E97AA6"/>
    <w:rsid w:val="00E97F4D"/>
    <w:rsid w:val="00EA03BA"/>
    <w:rsid w:val="00EA04AA"/>
    <w:rsid w:val="00EA117E"/>
    <w:rsid w:val="00EA13BD"/>
    <w:rsid w:val="00EA178F"/>
    <w:rsid w:val="00EA1F5B"/>
    <w:rsid w:val="00EA1FC2"/>
    <w:rsid w:val="00EA20AE"/>
    <w:rsid w:val="00EA3600"/>
    <w:rsid w:val="00EA3757"/>
    <w:rsid w:val="00EA3F0E"/>
    <w:rsid w:val="00EA4139"/>
    <w:rsid w:val="00EA4444"/>
    <w:rsid w:val="00EA4C7A"/>
    <w:rsid w:val="00EA4C9B"/>
    <w:rsid w:val="00EA5075"/>
    <w:rsid w:val="00EA5342"/>
    <w:rsid w:val="00EA56BE"/>
    <w:rsid w:val="00EA57AA"/>
    <w:rsid w:val="00EA5896"/>
    <w:rsid w:val="00EA58B9"/>
    <w:rsid w:val="00EA6053"/>
    <w:rsid w:val="00EA6748"/>
    <w:rsid w:val="00EA688C"/>
    <w:rsid w:val="00EA75A8"/>
    <w:rsid w:val="00EA76A9"/>
    <w:rsid w:val="00EA790D"/>
    <w:rsid w:val="00EA7B14"/>
    <w:rsid w:val="00EB0531"/>
    <w:rsid w:val="00EB0657"/>
    <w:rsid w:val="00EB0A0E"/>
    <w:rsid w:val="00EB0A4C"/>
    <w:rsid w:val="00EB0B77"/>
    <w:rsid w:val="00EB1D45"/>
    <w:rsid w:val="00EB2058"/>
    <w:rsid w:val="00EB2694"/>
    <w:rsid w:val="00EB28BD"/>
    <w:rsid w:val="00EB3B1E"/>
    <w:rsid w:val="00EB3B33"/>
    <w:rsid w:val="00EB3C39"/>
    <w:rsid w:val="00EB3CCE"/>
    <w:rsid w:val="00EB3EB9"/>
    <w:rsid w:val="00EB40BF"/>
    <w:rsid w:val="00EB4DD0"/>
    <w:rsid w:val="00EB4E15"/>
    <w:rsid w:val="00EB56F8"/>
    <w:rsid w:val="00EB5D67"/>
    <w:rsid w:val="00EB6783"/>
    <w:rsid w:val="00EB6C3B"/>
    <w:rsid w:val="00EB729A"/>
    <w:rsid w:val="00EB7EAB"/>
    <w:rsid w:val="00EC0A1B"/>
    <w:rsid w:val="00EC0A77"/>
    <w:rsid w:val="00EC1227"/>
    <w:rsid w:val="00EC1593"/>
    <w:rsid w:val="00EC16F2"/>
    <w:rsid w:val="00EC1DA1"/>
    <w:rsid w:val="00EC2FF2"/>
    <w:rsid w:val="00EC331F"/>
    <w:rsid w:val="00EC3569"/>
    <w:rsid w:val="00EC362B"/>
    <w:rsid w:val="00EC3E16"/>
    <w:rsid w:val="00EC42DC"/>
    <w:rsid w:val="00EC43B6"/>
    <w:rsid w:val="00EC44CD"/>
    <w:rsid w:val="00EC4D6A"/>
    <w:rsid w:val="00EC5068"/>
    <w:rsid w:val="00EC50BD"/>
    <w:rsid w:val="00EC5618"/>
    <w:rsid w:val="00EC56D7"/>
    <w:rsid w:val="00EC6870"/>
    <w:rsid w:val="00EC6CDD"/>
    <w:rsid w:val="00EC7151"/>
    <w:rsid w:val="00EC77EC"/>
    <w:rsid w:val="00EC7938"/>
    <w:rsid w:val="00EC7B00"/>
    <w:rsid w:val="00ED02F1"/>
    <w:rsid w:val="00ED08BC"/>
    <w:rsid w:val="00ED1157"/>
    <w:rsid w:val="00ED128D"/>
    <w:rsid w:val="00ED1457"/>
    <w:rsid w:val="00ED1695"/>
    <w:rsid w:val="00ED19F5"/>
    <w:rsid w:val="00ED1E03"/>
    <w:rsid w:val="00ED1E96"/>
    <w:rsid w:val="00ED26FC"/>
    <w:rsid w:val="00ED2A7F"/>
    <w:rsid w:val="00ED2B06"/>
    <w:rsid w:val="00ED2CA1"/>
    <w:rsid w:val="00ED3568"/>
    <w:rsid w:val="00ED3763"/>
    <w:rsid w:val="00ED37EE"/>
    <w:rsid w:val="00ED4CFA"/>
    <w:rsid w:val="00ED51A3"/>
    <w:rsid w:val="00ED52F6"/>
    <w:rsid w:val="00ED5999"/>
    <w:rsid w:val="00ED5F89"/>
    <w:rsid w:val="00ED6021"/>
    <w:rsid w:val="00ED61B0"/>
    <w:rsid w:val="00ED630B"/>
    <w:rsid w:val="00ED6E85"/>
    <w:rsid w:val="00ED7237"/>
    <w:rsid w:val="00ED7D0D"/>
    <w:rsid w:val="00ED7D4E"/>
    <w:rsid w:val="00EE02F4"/>
    <w:rsid w:val="00EE083D"/>
    <w:rsid w:val="00EE0986"/>
    <w:rsid w:val="00EE0996"/>
    <w:rsid w:val="00EE1001"/>
    <w:rsid w:val="00EE16A2"/>
    <w:rsid w:val="00EE1EBA"/>
    <w:rsid w:val="00EE240D"/>
    <w:rsid w:val="00EE2BB9"/>
    <w:rsid w:val="00EE2C86"/>
    <w:rsid w:val="00EE33BB"/>
    <w:rsid w:val="00EE3671"/>
    <w:rsid w:val="00EE3F6F"/>
    <w:rsid w:val="00EE4630"/>
    <w:rsid w:val="00EE4681"/>
    <w:rsid w:val="00EE51C8"/>
    <w:rsid w:val="00EE51CB"/>
    <w:rsid w:val="00EE556C"/>
    <w:rsid w:val="00EE5B5D"/>
    <w:rsid w:val="00EE5BE1"/>
    <w:rsid w:val="00EE6E77"/>
    <w:rsid w:val="00EE6F55"/>
    <w:rsid w:val="00EE7032"/>
    <w:rsid w:val="00EE7635"/>
    <w:rsid w:val="00EE7A18"/>
    <w:rsid w:val="00EE7BE7"/>
    <w:rsid w:val="00EF07D7"/>
    <w:rsid w:val="00EF0A74"/>
    <w:rsid w:val="00EF0BA8"/>
    <w:rsid w:val="00EF0D7C"/>
    <w:rsid w:val="00EF17E5"/>
    <w:rsid w:val="00EF1BF4"/>
    <w:rsid w:val="00EF1FB1"/>
    <w:rsid w:val="00EF269D"/>
    <w:rsid w:val="00EF31B6"/>
    <w:rsid w:val="00EF3288"/>
    <w:rsid w:val="00EF32B9"/>
    <w:rsid w:val="00EF34B5"/>
    <w:rsid w:val="00EF354E"/>
    <w:rsid w:val="00EF3562"/>
    <w:rsid w:val="00EF3D2D"/>
    <w:rsid w:val="00EF3F7A"/>
    <w:rsid w:val="00EF3FC8"/>
    <w:rsid w:val="00EF4562"/>
    <w:rsid w:val="00EF4E51"/>
    <w:rsid w:val="00EF503B"/>
    <w:rsid w:val="00EF5234"/>
    <w:rsid w:val="00EF540D"/>
    <w:rsid w:val="00EF543E"/>
    <w:rsid w:val="00EF5B68"/>
    <w:rsid w:val="00EF600A"/>
    <w:rsid w:val="00EF6144"/>
    <w:rsid w:val="00EF6488"/>
    <w:rsid w:val="00EF648F"/>
    <w:rsid w:val="00EF6700"/>
    <w:rsid w:val="00EF6D0F"/>
    <w:rsid w:val="00EF733F"/>
    <w:rsid w:val="00EF7805"/>
    <w:rsid w:val="00EF7A17"/>
    <w:rsid w:val="00EF7E32"/>
    <w:rsid w:val="00F0065C"/>
    <w:rsid w:val="00F00C6F"/>
    <w:rsid w:val="00F00D0C"/>
    <w:rsid w:val="00F01D04"/>
    <w:rsid w:val="00F01F07"/>
    <w:rsid w:val="00F027A4"/>
    <w:rsid w:val="00F030FD"/>
    <w:rsid w:val="00F03129"/>
    <w:rsid w:val="00F03612"/>
    <w:rsid w:val="00F03964"/>
    <w:rsid w:val="00F03C80"/>
    <w:rsid w:val="00F045FC"/>
    <w:rsid w:val="00F046D3"/>
    <w:rsid w:val="00F04ABB"/>
    <w:rsid w:val="00F04CB0"/>
    <w:rsid w:val="00F04D74"/>
    <w:rsid w:val="00F051DF"/>
    <w:rsid w:val="00F05A85"/>
    <w:rsid w:val="00F05E5E"/>
    <w:rsid w:val="00F05E6B"/>
    <w:rsid w:val="00F06134"/>
    <w:rsid w:val="00F061E9"/>
    <w:rsid w:val="00F06279"/>
    <w:rsid w:val="00F069E2"/>
    <w:rsid w:val="00F06B6B"/>
    <w:rsid w:val="00F0748B"/>
    <w:rsid w:val="00F07914"/>
    <w:rsid w:val="00F07FC3"/>
    <w:rsid w:val="00F10845"/>
    <w:rsid w:val="00F10ACE"/>
    <w:rsid w:val="00F11283"/>
    <w:rsid w:val="00F11552"/>
    <w:rsid w:val="00F11C02"/>
    <w:rsid w:val="00F11CE2"/>
    <w:rsid w:val="00F11D70"/>
    <w:rsid w:val="00F12298"/>
    <w:rsid w:val="00F12CB6"/>
    <w:rsid w:val="00F13498"/>
    <w:rsid w:val="00F14189"/>
    <w:rsid w:val="00F14197"/>
    <w:rsid w:val="00F151E7"/>
    <w:rsid w:val="00F1525F"/>
    <w:rsid w:val="00F15571"/>
    <w:rsid w:val="00F15754"/>
    <w:rsid w:val="00F15FC6"/>
    <w:rsid w:val="00F1659D"/>
    <w:rsid w:val="00F16BC3"/>
    <w:rsid w:val="00F20588"/>
    <w:rsid w:val="00F205FB"/>
    <w:rsid w:val="00F212EF"/>
    <w:rsid w:val="00F215BA"/>
    <w:rsid w:val="00F216BD"/>
    <w:rsid w:val="00F2172E"/>
    <w:rsid w:val="00F21824"/>
    <w:rsid w:val="00F21CBB"/>
    <w:rsid w:val="00F21E82"/>
    <w:rsid w:val="00F22C81"/>
    <w:rsid w:val="00F23743"/>
    <w:rsid w:val="00F239F8"/>
    <w:rsid w:val="00F23C1F"/>
    <w:rsid w:val="00F23FA5"/>
    <w:rsid w:val="00F240C2"/>
    <w:rsid w:val="00F241A3"/>
    <w:rsid w:val="00F25014"/>
    <w:rsid w:val="00F2592F"/>
    <w:rsid w:val="00F25AAD"/>
    <w:rsid w:val="00F25AE7"/>
    <w:rsid w:val="00F26053"/>
    <w:rsid w:val="00F2618C"/>
    <w:rsid w:val="00F26832"/>
    <w:rsid w:val="00F26B06"/>
    <w:rsid w:val="00F26DDC"/>
    <w:rsid w:val="00F278C2"/>
    <w:rsid w:val="00F27C93"/>
    <w:rsid w:val="00F27E08"/>
    <w:rsid w:val="00F27FF8"/>
    <w:rsid w:val="00F30207"/>
    <w:rsid w:val="00F30759"/>
    <w:rsid w:val="00F311B0"/>
    <w:rsid w:val="00F3121B"/>
    <w:rsid w:val="00F314D9"/>
    <w:rsid w:val="00F3166B"/>
    <w:rsid w:val="00F317C8"/>
    <w:rsid w:val="00F31E43"/>
    <w:rsid w:val="00F34071"/>
    <w:rsid w:val="00F34549"/>
    <w:rsid w:val="00F3481E"/>
    <w:rsid w:val="00F34834"/>
    <w:rsid w:val="00F3530C"/>
    <w:rsid w:val="00F354E9"/>
    <w:rsid w:val="00F357D5"/>
    <w:rsid w:val="00F35AC1"/>
    <w:rsid w:val="00F36429"/>
    <w:rsid w:val="00F36579"/>
    <w:rsid w:val="00F36E06"/>
    <w:rsid w:val="00F36E70"/>
    <w:rsid w:val="00F37A72"/>
    <w:rsid w:val="00F37AB2"/>
    <w:rsid w:val="00F3ADC0"/>
    <w:rsid w:val="00F404B4"/>
    <w:rsid w:val="00F40D3C"/>
    <w:rsid w:val="00F41A59"/>
    <w:rsid w:val="00F41FE9"/>
    <w:rsid w:val="00F422FE"/>
    <w:rsid w:val="00F42311"/>
    <w:rsid w:val="00F42BD5"/>
    <w:rsid w:val="00F42C0F"/>
    <w:rsid w:val="00F42DB3"/>
    <w:rsid w:val="00F43174"/>
    <w:rsid w:val="00F4317B"/>
    <w:rsid w:val="00F44858"/>
    <w:rsid w:val="00F44C41"/>
    <w:rsid w:val="00F458E4"/>
    <w:rsid w:val="00F45BD3"/>
    <w:rsid w:val="00F45DB8"/>
    <w:rsid w:val="00F45FDB"/>
    <w:rsid w:val="00F4605B"/>
    <w:rsid w:val="00F4642D"/>
    <w:rsid w:val="00F46FC9"/>
    <w:rsid w:val="00F47942"/>
    <w:rsid w:val="00F508C4"/>
    <w:rsid w:val="00F516AE"/>
    <w:rsid w:val="00F517C8"/>
    <w:rsid w:val="00F51943"/>
    <w:rsid w:val="00F51B32"/>
    <w:rsid w:val="00F51F88"/>
    <w:rsid w:val="00F51FE0"/>
    <w:rsid w:val="00F52495"/>
    <w:rsid w:val="00F528A3"/>
    <w:rsid w:val="00F52ADF"/>
    <w:rsid w:val="00F52BB5"/>
    <w:rsid w:val="00F53855"/>
    <w:rsid w:val="00F544AA"/>
    <w:rsid w:val="00F553C1"/>
    <w:rsid w:val="00F554BD"/>
    <w:rsid w:val="00F554CD"/>
    <w:rsid w:val="00F5551E"/>
    <w:rsid w:val="00F55660"/>
    <w:rsid w:val="00F56037"/>
    <w:rsid w:val="00F5659E"/>
    <w:rsid w:val="00F567FB"/>
    <w:rsid w:val="00F568F6"/>
    <w:rsid w:val="00F569A1"/>
    <w:rsid w:val="00F5701E"/>
    <w:rsid w:val="00F572A5"/>
    <w:rsid w:val="00F573E8"/>
    <w:rsid w:val="00F57579"/>
    <w:rsid w:val="00F579E5"/>
    <w:rsid w:val="00F57F6C"/>
    <w:rsid w:val="00F6068D"/>
    <w:rsid w:val="00F60C60"/>
    <w:rsid w:val="00F613E3"/>
    <w:rsid w:val="00F622C1"/>
    <w:rsid w:val="00F62B0E"/>
    <w:rsid w:val="00F63331"/>
    <w:rsid w:val="00F63E7A"/>
    <w:rsid w:val="00F641AD"/>
    <w:rsid w:val="00F647F2"/>
    <w:rsid w:val="00F64C00"/>
    <w:rsid w:val="00F64C60"/>
    <w:rsid w:val="00F65577"/>
    <w:rsid w:val="00F65AB7"/>
    <w:rsid w:val="00F65C4A"/>
    <w:rsid w:val="00F66336"/>
    <w:rsid w:val="00F663CD"/>
    <w:rsid w:val="00F66984"/>
    <w:rsid w:val="00F66B2A"/>
    <w:rsid w:val="00F66C00"/>
    <w:rsid w:val="00F66FFC"/>
    <w:rsid w:val="00F67550"/>
    <w:rsid w:val="00F678C4"/>
    <w:rsid w:val="00F67E5A"/>
    <w:rsid w:val="00F690C1"/>
    <w:rsid w:val="00F7012D"/>
    <w:rsid w:val="00F70176"/>
    <w:rsid w:val="00F701A6"/>
    <w:rsid w:val="00F71240"/>
    <w:rsid w:val="00F712FC"/>
    <w:rsid w:val="00F71824"/>
    <w:rsid w:val="00F71F2A"/>
    <w:rsid w:val="00F72167"/>
    <w:rsid w:val="00F723D6"/>
    <w:rsid w:val="00F7276E"/>
    <w:rsid w:val="00F72892"/>
    <w:rsid w:val="00F72C33"/>
    <w:rsid w:val="00F72E25"/>
    <w:rsid w:val="00F72E78"/>
    <w:rsid w:val="00F73143"/>
    <w:rsid w:val="00F731CE"/>
    <w:rsid w:val="00F73326"/>
    <w:rsid w:val="00F73976"/>
    <w:rsid w:val="00F73D1B"/>
    <w:rsid w:val="00F73DDC"/>
    <w:rsid w:val="00F745D4"/>
    <w:rsid w:val="00F746A5"/>
    <w:rsid w:val="00F74AC3"/>
    <w:rsid w:val="00F75F17"/>
    <w:rsid w:val="00F76AAF"/>
    <w:rsid w:val="00F76FE1"/>
    <w:rsid w:val="00F777CF"/>
    <w:rsid w:val="00F81904"/>
    <w:rsid w:val="00F822B5"/>
    <w:rsid w:val="00F82A97"/>
    <w:rsid w:val="00F82C07"/>
    <w:rsid w:val="00F82C71"/>
    <w:rsid w:val="00F83075"/>
    <w:rsid w:val="00F83633"/>
    <w:rsid w:val="00F83A13"/>
    <w:rsid w:val="00F8415B"/>
    <w:rsid w:val="00F84217"/>
    <w:rsid w:val="00F846AE"/>
    <w:rsid w:val="00F85006"/>
    <w:rsid w:val="00F85851"/>
    <w:rsid w:val="00F85F4F"/>
    <w:rsid w:val="00F863F1"/>
    <w:rsid w:val="00F86CB8"/>
    <w:rsid w:val="00F87BDE"/>
    <w:rsid w:val="00F900F7"/>
    <w:rsid w:val="00F901F5"/>
    <w:rsid w:val="00F908B2"/>
    <w:rsid w:val="00F90CA3"/>
    <w:rsid w:val="00F90FA9"/>
    <w:rsid w:val="00F915EF"/>
    <w:rsid w:val="00F9194B"/>
    <w:rsid w:val="00F91EDA"/>
    <w:rsid w:val="00F91FB5"/>
    <w:rsid w:val="00F9253D"/>
    <w:rsid w:val="00F92F08"/>
    <w:rsid w:val="00F9342B"/>
    <w:rsid w:val="00F9348A"/>
    <w:rsid w:val="00F935A8"/>
    <w:rsid w:val="00F93752"/>
    <w:rsid w:val="00F9393D"/>
    <w:rsid w:val="00F93A22"/>
    <w:rsid w:val="00F93BA7"/>
    <w:rsid w:val="00F93ED2"/>
    <w:rsid w:val="00F94105"/>
    <w:rsid w:val="00F943BD"/>
    <w:rsid w:val="00F94506"/>
    <w:rsid w:val="00F95543"/>
    <w:rsid w:val="00F95686"/>
    <w:rsid w:val="00F95B8A"/>
    <w:rsid w:val="00F95C2F"/>
    <w:rsid w:val="00F95FB0"/>
    <w:rsid w:val="00F961B6"/>
    <w:rsid w:val="00F969D3"/>
    <w:rsid w:val="00F96D47"/>
    <w:rsid w:val="00F96E4B"/>
    <w:rsid w:val="00F97F9D"/>
    <w:rsid w:val="00FA03E8"/>
    <w:rsid w:val="00FA0CE7"/>
    <w:rsid w:val="00FA1BAF"/>
    <w:rsid w:val="00FA2F06"/>
    <w:rsid w:val="00FA329D"/>
    <w:rsid w:val="00FA3440"/>
    <w:rsid w:val="00FA3B31"/>
    <w:rsid w:val="00FA422F"/>
    <w:rsid w:val="00FA432D"/>
    <w:rsid w:val="00FA46EC"/>
    <w:rsid w:val="00FA54F4"/>
    <w:rsid w:val="00FA5963"/>
    <w:rsid w:val="00FA5B57"/>
    <w:rsid w:val="00FA67B1"/>
    <w:rsid w:val="00FA6F86"/>
    <w:rsid w:val="00FA72F3"/>
    <w:rsid w:val="00FA73F9"/>
    <w:rsid w:val="00FA7AD2"/>
    <w:rsid w:val="00FA7B96"/>
    <w:rsid w:val="00FA7C78"/>
    <w:rsid w:val="00FB0107"/>
    <w:rsid w:val="00FB0573"/>
    <w:rsid w:val="00FB0A48"/>
    <w:rsid w:val="00FB0F9B"/>
    <w:rsid w:val="00FB13D1"/>
    <w:rsid w:val="00FB1523"/>
    <w:rsid w:val="00FB244F"/>
    <w:rsid w:val="00FB2931"/>
    <w:rsid w:val="00FB29E4"/>
    <w:rsid w:val="00FB2A72"/>
    <w:rsid w:val="00FB2A9F"/>
    <w:rsid w:val="00FB2B6E"/>
    <w:rsid w:val="00FB2E52"/>
    <w:rsid w:val="00FB363C"/>
    <w:rsid w:val="00FB45D1"/>
    <w:rsid w:val="00FB4B89"/>
    <w:rsid w:val="00FB4C6E"/>
    <w:rsid w:val="00FB4ECF"/>
    <w:rsid w:val="00FB54D2"/>
    <w:rsid w:val="00FB5C28"/>
    <w:rsid w:val="00FB6BC4"/>
    <w:rsid w:val="00FB6BCB"/>
    <w:rsid w:val="00FB7985"/>
    <w:rsid w:val="00FB7A55"/>
    <w:rsid w:val="00FC0642"/>
    <w:rsid w:val="00FC0AFE"/>
    <w:rsid w:val="00FC0CD0"/>
    <w:rsid w:val="00FC106D"/>
    <w:rsid w:val="00FC1192"/>
    <w:rsid w:val="00FC1509"/>
    <w:rsid w:val="00FC165C"/>
    <w:rsid w:val="00FC18B4"/>
    <w:rsid w:val="00FC1B63"/>
    <w:rsid w:val="00FC1EB7"/>
    <w:rsid w:val="00FC213F"/>
    <w:rsid w:val="00FC222D"/>
    <w:rsid w:val="00FC25DA"/>
    <w:rsid w:val="00FC295D"/>
    <w:rsid w:val="00FC36EA"/>
    <w:rsid w:val="00FC3987"/>
    <w:rsid w:val="00FC3A6B"/>
    <w:rsid w:val="00FC47CA"/>
    <w:rsid w:val="00FC4C4C"/>
    <w:rsid w:val="00FC55E7"/>
    <w:rsid w:val="00FC626C"/>
    <w:rsid w:val="00FC65D2"/>
    <w:rsid w:val="00FC7096"/>
    <w:rsid w:val="00FC7251"/>
    <w:rsid w:val="00FC751A"/>
    <w:rsid w:val="00FC795E"/>
    <w:rsid w:val="00FC7C5A"/>
    <w:rsid w:val="00FD11BC"/>
    <w:rsid w:val="00FD1545"/>
    <w:rsid w:val="00FD1B67"/>
    <w:rsid w:val="00FD1F5F"/>
    <w:rsid w:val="00FD2127"/>
    <w:rsid w:val="00FD2259"/>
    <w:rsid w:val="00FD38EB"/>
    <w:rsid w:val="00FD3999"/>
    <w:rsid w:val="00FD3B8C"/>
    <w:rsid w:val="00FD44CB"/>
    <w:rsid w:val="00FD468A"/>
    <w:rsid w:val="00FD47D9"/>
    <w:rsid w:val="00FD4F15"/>
    <w:rsid w:val="00FD5838"/>
    <w:rsid w:val="00FD5B72"/>
    <w:rsid w:val="00FD7012"/>
    <w:rsid w:val="00FD7058"/>
    <w:rsid w:val="00FD75A3"/>
    <w:rsid w:val="00FD7B0C"/>
    <w:rsid w:val="00FD7ED4"/>
    <w:rsid w:val="00FD7FB3"/>
    <w:rsid w:val="00FE0401"/>
    <w:rsid w:val="00FE0B52"/>
    <w:rsid w:val="00FE0C13"/>
    <w:rsid w:val="00FE0E52"/>
    <w:rsid w:val="00FE1051"/>
    <w:rsid w:val="00FE10D6"/>
    <w:rsid w:val="00FE126B"/>
    <w:rsid w:val="00FE1897"/>
    <w:rsid w:val="00FE1947"/>
    <w:rsid w:val="00FE205D"/>
    <w:rsid w:val="00FE2895"/>
    <w:rsid w:val="00FE2A3F"/>
    <w:rsid w:val="00FE300F"/>
    <w:rsid w:val="00FE3122"/>
    <w:rsid w:val="00FE321D"/>
    <w:rsid w:val="00FE3E58"/>
    <w:rsid w:val="00FE42A7"/>
    <w:rsid w:val="00FE4578"/>
    <w:rsid w:val="00FE46D5"/>
    <w:rsid w:val="00FE47C7"/>
    <w:rsid w:val="00FE4FE2"/>
    <w:rsid w:val="00FE634C"/>
    <w:rsid w:val="00FE643E"/>
    <w:rsid w:val="00FE6E98"/>
    <w:rsid w:val="00FE6EFF"/>
    <w:rsid w:val="00FE784D"/>
    <w:rsid w:val="00FF0265"/>
    <w:rsid w:val="00FF03F8"/>
    <w:rsid w:val="00FF15E6"/>
    <w:rsid w:val="00FF1B44"/>
    <w:rsid w:val="00FF1E6E"/>
    <w:rsid w:val="00FF1FA3"/>
    <w:rsid w:val="00FF27A6"/>
    <w:rsid w:val="00FF2C1F"/>
    <w:rsid w:val="00FF30BA"/>
    <w:rsid w:val="00FF3559"/>
    <w:rsid w:val="00FF35FB"/>
    <w:rsid w:val="00FF3671"/>
    <w:rsid w:val="00FF3B10"/>
    <w:rsid w:val="00FF3E91"/>
    <w:rsid w:val="00FF3F3D"/>
    <w:rsid w:val="00FF45F0"/>
    <w:rsid w:val="00FF4BBE"/>
    <w:rsid w:val="00FF5089"/>
    <w:rsid w:val="00FF51CC"/>
    <w:rsid w:val="00FF5701"/>
    <w:rsid w:val="00FF5E03"/>
    <w:rsid w:val="00FF69A7"/>
    <w:rsid w:val="00FF6A91"/>
    <w:rsid w:val="00FF6F0B"/>
    <w:rsid w:val="00FF7205"/>
    <w:rsid w:val="00FF7A2F"/>
    <w:rsid w:val="00FF7DB4"/>
    <w:rsid w:val="010D6973"/>
    <w:rsid w:val="011101B2"/>
    <w:rsid w:val="01145E33"/>
    <w:rsid w:val="01288D33"/>
    <w:rsid w:val="0132D8E1"/>
    <w:rsid w:val="0135BC75"/>
    <w:rsid w:val="013869BF"/>
    <w:rsid w:val="0141BFFF"/>
    <w:rsid w:val="014C415E"/>
    <w:rsid w:val="015A90BA"/>
    <w:rsid w:val="01659DAB"/>
    <w:rsid w:val="0170C09E"/>
    <w:rsid w:val="0174650B"/>
    <w:rsid w:val="017631F9"/>
    <w:rsid w:val="017B71B2"/>
    <w:rsid w:val="017F2254"/>
    <w:rsid w:val="0184C6EE"/>
    <w:rsid w:val="018FD0AF"/>
    <w:rsid w:val="0190945F"/>
    <w:rsid w:val="01988A9E"/>
    <w:rsid w:val="0198EA68"/>
    <w:rsid w:val="019BA016"/>
    <w:rsid w:val="019C6658"/>
    <w:rsid w:val="019FEC5A"/>
    <w:rsid w:val="01A71C89"/>
    <w:rsid w:val="01B69C44"/>
    <w:rsid w:val="01CB409E"/>
    <w:rsid w:val="01CF9C20"/>
    <w:rsid w:val="01D1FDB9"/>
    <w:rsid w:val="01E1F61D"/>
    <w:rsid w:val="01F1EFD5"/>
    <w:rsid w:val="01F453EE"/>
    <w:rsid w:val="02166AF2"/>
    <w:rsid w:val="0222E13A"/>
    <w:rsid w:val="0229DDD7"/>
    <w:rsid w:val="02300C7F"/>
    <w:rsid w:val="02350F9B"/>
    <w:rsid w:val="023B0899"/>
    <w:rsid w:val="02493DA4"/>
    <w:rsid w:val="025B8BB0"/>
    <w:rsid w:val="025D53F1"/>
    <w:rsid w:val="026E60FB"/>
    <w:rsid w:val="0271BF63"/>
    <w:rsid w:val="027FD710"/>
    <w:rsid w:val="028AE0AE"/>
    <w:rsid w:val="029D2071"/>
    <w:rsid w:val="02AB18FA"/>
    <w:rsid w:val="02AD38FF"/>
    <w:rsid w:val="02AFD3C8"/>
    <w:rsid w:val="02BD3979"/>
    <w:rsid w:val="02CBB29A"/>
    <w:rsid w:val="02D5D84A"/>
    <w:rsid w:val="02DBF06E"/>
    <w:rsid w:val="02DCA022"/>
    <w:rsid w:val="02EDAA1D"/>
    <w:rsid w:val="02FC6BE0"/>
    <w:rsid w:val="0300B248"/>
    <w:rsid w:val="0302394B"/>
    <w:rsid w:val="03075DCC"/>
    <w:rsid w:val="0317ACDE"/>
    <w:rsid w:val="03310256"/>
    <w:rsid w:val="033742BD"/>
    <w:rsid w:val="033D4E79"/>
    <w:rsid w:val="0347C333"/>
    <w:rsid w:val="034CC978"/>
    <w:rsid w:val="037AFBEA"/>
    <w:rsid w:val="038C5C0C"/>
    <w:rsid w:val="038D01FA"/>
    <w:rsid w:val="039BBD71"/>
    <w:rsid w:val="03A81E24"/>
    <w:rsid w:val="03B14AB7"/>
    <w:rsid w:val="03BE7B8A"/>
    <w:rsid w:val="03CE2CD5"/>
    <w:rsid w:val="03D49D6B"/>
    <w:rsid w:val="03DA3A0A"/>
    <w:rsid w:val="03EB4DF8"/>
    <w:rsid w:val="03F279D1"/>
    <w:rsid w:val="040CE8B1"/>
    <w:rsid w:val="040F78FF"/>
    <w:rsid w:val="041BF983"/>
    <w:rsid w:val="0422D43E"/>
    <w:rsid w:val="0424E0D9"/>
    <w:rsid w:val="043DAF22"/>
    <w:rsid w:val="04466D0C"/>
    <w:rsid w:val="0447B2E1"/>
    <w:rsid w:val="044BB9AF"/>
    <w:rsid w:val="0452BE16"/>
    <w:rsid w:val="0453D20A"/>
    <w:rsid w:val="04580A73"/>
    <w:rsid w:val="04644C6F"/>
    <w:rsid w:val="04696148"/>
    <w:rsid w:val="046965AD"/>
    <w:rsid w:val="046BB075"/>
    <w:rsid w:val="046CBACE"/>
    <w:rsid w:val="046E25E6"/>
    <w:rsid w:val="0478112F"/>
    <w:rsid w:val="04874C86"/>
    <w:rsid w:val="048B5EBF"/>
    <w:rsid w:val="0492BE77"/>
    <w:rsid w:val="04A3AADD"/>
    <w:rsid w:val="04A61C86"/>
    <w:rsid w:val="04A77551"/>
    <w:rsid w:val="04B228B4"/>
    <w:rsid w:val="04B9675C"/>
    <w:rsid w:val="04BF7640"/>
    <w:rsid w:val="04C66536"/>
    <w:rsid w:val="04C6AA98"/>
    <w:rsid w:val="04D96F5E"/>
    <w:rsid w:val="04EA82D1"/>
    <w:rsid w:val="04F08116"/>
    <w:rsid w:val="04F12710"/>
    <w:rsid w:val="04F7898C"/>
    <w:rsid w:val="04F9738E"/>
    <w:rsid w:val="04FA944E"/>
    <w:rsid w:val="04FE1906"/>
    <w:rsid w:val="050CE77F"/>
    <w:rsid w:val="050F8628"/>
    <w:rsid w:val="051237AC"/>
    <w:rsid w:val="05212362"/>
    <w:rsid w:val="05225236"/>
    <w:rsid w:val="0525AE43"/>
    <w:rsid w:val="0531AD6B"/>
    <w:rsid w:val="053248C0"/>
    <w:rsid w:val="05343C2D"/>
    <w:rsid w:val="05376F6C"/>
    <w:rsid w:val="053D29BB"/>
    <w:rsid w:val="053D6E51"/>
    <w:rsid w:val="053E7C95"/>
    <w:rsid w:val="0556A2B9"/>
    <w:rsid w:val="05855611"/>
    <w:rsid w:val="05891060"/>
    <w:rsid w:val="058BA579"/>
    <w:rsid w:val="058DBFFC"/>
    <w:rsid w:val="058FE7A8"/>
    <w:rsid w:val="059285FA"/>
    <w:rsid w:val="059603F0"/>
    <w:rsid w:val="059A5955"/>
    <w:rsid w:val="05AF4873"/>
    <w:rsid w:val="05B032B4"/>
    <w:rsid w:val="05B30568"/>
    <w:rsid w:val="05BA5387"/>
    <w:rsid w:val="05D22C41"/>
    <w:rsid w:val="05DA25D7"/>
    <w:rsid w:val="05DEC477"/>
    <w:rsid w:val="05F14DC2"/>
    <w:rsid w:val="05F4B4C8"/>
    <w:rsid w:val="05FBCDDB"/>
    <w:rsid w:val="0616582D"/>
    <w:rsid w:val="061ED2EA"/>
    <w:rsid w:val="06241BAD"/>
    <w:rsid w:val="063F35BA"/>
    <w:rsid w:val="064CA1D8"/>
    <w:rsid w:val="064EE939"/>
    <w:rsid w:val="0652DBF8"/>
    <w:rsid w:val="066A1A32"/>
    <w:rsid w:val="066CA985"/>
    <w:rsid w:val="068D4E78"/>
    <w:rsid w:val="0691A343"/>
    <w:rsid w:val="069B37BE"/>
    <w:rsid w:val="06A9FE9E"/>
    <w:rsid w:val="06AB824A"/>
    <w:rsid w:val="06ACE872"/>
    <w:rsid w:val="06B750C7"/>
    <w:rsid w:val="06C0CB05"/>
    <w:rsid w:val="06C240B8"/>
    <w:rsid w:val="06C45950"/>
    <w:rsid w:val="06C9CED3"/>
    <w:rsid w:val="06D539EE"/>
    <w:rsid w:val="06E6D2C1"/>
    <w:rsid w:val="06EC5E03"/>
    <w:rsid w:val="06ED97A2"/>
    <w:rsid w:val="06F11E82"/>
    <w:rsid w:val="06F6F966"/>
    <w:rsid w:val="06F71F6F"/>
    <w:rsid w:val="07130C34"/>
    <w:rsid w:val="07131914"/>
    <w:rsid w:val="071CAD98"/>
    <w:rsid w:val="071E71F2"/>
    <w:rsid w:val="0720218A"/>
    <w:rsid w:val="072305B3"/>
    <w:rsid w:val="0741E505"/>
    <w:rsid w:val="074BA8E5"/>
    <w:rsid w:val="076B4CEE"/>
    <w:rsid w:val="076FB8F2"/>
    <w:rsid w:val="0774F0AF"/>
    <w:rsid w:val="07803556"/>
    <w:rsid w:val="07828B22"/>
    <w:rsid w:val="07985A66"/>
    <w:rsid w:val="079C18DD"/>
    <w:rsid w:val="07AB8B9D"/>
    <w:rsid w:val="07AFED15"/>
    <w:rsid w:val="07B1315B"/>
    <w:rsid w:val="07BCC510"/>
    <w:rsid w:val="07BD7A0F"/>
    <w:rsid w:val="07C730E7"/>
    <w:rsid w:val="07D0D295"/>
    <w:rsid w:val="07D156DD"/>
    <w:rsid w:val="07D1EAA6"/>
    <w:rsid w:val="07D4ABDD"/>
    <w:rsid w:val="07D527E0"/>
    <w:rsid w:val="07E0ACD2"/>
    <w:rsid w:val="08058A87"/>
    <w:rsid w:val="0808B2B6"/>
    <w:rsid w:val="080FC0FB"/>
    <w:rsid w:val="081C11C8"/>
    <w:rsid w:val="081F78DF"/>
    <w:rsid w:val="082EB52B"/>
    <w:rsid w:val="08327E86"/>
    <w:rsid w:val="08329B15"/>
    <w:rsid w:val="083659A0"/>
    <w:rsid w:val="08415636"/>
    <w:rsid w:val="08504D94"/>
    <w:rsid w:val="087340CC"/>
    <w:rsid w:val="087973B1"/>
    <w:rsid w:val="08807090"/>
    <w:rsid w:val="08866BA8"/>
    <w:rsid w:val="088B1B7F"/>
    <w:rsid w:val="08945BE7"/>
    <w:rsid w:val="08AC54EB"/>
    <w:rsid w:val="08B04C4B"/>
    <w:rsid w:val="08B13581"/>
    <w:rsid w:val="08BF189B"/>
    <w:rsid w:val="08E19978"/>
    <w:rsid w:val="08E2B8ED"/>
    <w:rsid w:val="08E34FB2"/>
    <w:rsid w:val="08FF7B36"/>
    <w:rsid w:val="09067283"/>
    <w:rsid w:val="090D176A"/>
    <w:rsid w:val="0919527A"/>
    <w:rsid w:val="09275FAF"/>
    <w:rsid w:val="0930156F"/>
    <w:rsid w:val="093364BC"/>
    <w:rsid w:val="09371DF9"/>
    <w:rsid w:val="094A754F"/>
    <w:rsid w:val="095432A3"/>
    <w:rsid w:val="0963E9FB"/>
    <w:rsid w:val="09659620"/>
    <w:rsid w:val="096898D4"/>
    <w:rsid w:val="096EC859"/>
    <w:rsid w:val="0976ECE0"/>
    <w:rsid w:val="09785D67"/>
    <w:rsid w:val="097E0D3D"/>
    <w:rsid w:val="0980895A"/>
    <w:rsid w:val="0991361B"/>
    <w:rsid w:val="099CD821"/>
    <w:rsid w:val="09A2A939"/>
    <w:rsid w:val="09ABCAA1"/>
    <w:rsid w:val="09CA77E4"/>
    <w:rsid w:val="09CBEC4A"/>
    <w:rsid w:val="09DA3FD2"/>
    <w:rsid w:val="09E6C82B"/>
    <w:rsid w:val="09ED2BEF"/>
    <w:rsid w:val="09EEE5DD"/>
    <w:rsid w:val="09F2B4BD"/>
    <w:rsid w:val="0A07ADBF"/>
    <w:rsid w:val="0A080D08"/>
    <w:rsid w:val="0A0D925C"/>
    <w:rsid w:val="0A2C4C36"/>
    <w:rsid w:val="0A321326"/>
    <w:rsid w:val="0A3832DA"/>
    <w:rsid w:val="0A399A5C"/>
    <w:rsid w:val="0A3DFA73"/>
    <w:rsid w:val="0A3F0E5C"/>
    <w:rsid w:val="0A5166E2"/>
    <w:rsid w:val="0A53E679"/>
    <w:rsid w:val="0A5A8000"/>
    <w:rsid w:val="0A5D924A"/>
    <w:rsid w:val="0A6349EA"/>
    <w:rsid w:val="0A693230"/>
    <w:rsid w:val="0A6D7AD7"/>
    <w:rsid w:val="0A74A03C"/>
    <w:rsid w:val="0A7BCA3B"/>
    <w:rsid w:val="0A86F2EA"/>
    <w:rsid w:val="0A937B3F"/>
    <w:rsid w:val="0A95FC71"/>
    <w:rsid w:val="0A9E1C87"/>
    <w:rsid w:val="0AC52DEB"/>
    <w:rsid w:val="0AE146EA"/>
    <w:rsid w:val="0AE8D02F"/>
    <w:rsid w:val="0B00FA9C"/>
    <w:rsid w:val="0B032F81"/>
    <w:rsid w:val="0B07291F"/>
    <w:rsid w:val="0B0AA973"/>
    <w:rsid w:val="0B171E23"/>
    <w:rsid w:val="0B1E4FA5"/>
    <w:rsid w:val="0B2748D9"/>
    <w:rsid w:val="0B2D74AB"/>
    <w:rsid w:val="0B41D6BC"/>
    <w:rsid w:val="0B5A5FAB"/>
    <w:rsid w:val="0B61B3E7"/>
    <w:rsid w:val="0B61C80C"/>
    <w:rsid w:val="0B6310DC"/>
    <w:rsid w:val="0B68BBC1"/>
    <w:rsid w:val="0B8295D9"/>
    <w:rsid w:val="0B87B8E0"/>
    <w:rsid w:val="0B88A3BF"/>
    <w:rsid w:val="0B993A52"/>
    <w:rsid w:val="0BA377EA"/>
    <w:rsid w:val="0BA4A8C9"/>
    <w:rsid w:val="0BA6485C"/>
    <w:rsid w:val="0BAA2EC1"/>
    <w:rsid w:val="0BB252D4"/>
    <w:rsid w:val="0BB68B73"/>
    <w:rsid w:val="0BBF778B"/>
    <w:rsid w:val="0BC4F67E"/>
    <w:rsid w:val="0BE60456"/>
    <w:rsid w:val="0BEA8192"/>
    <w:rsid w:val="0BF38BF2"/>
    <w:rsid w:val="0BF850C5"/>
    <w:rsid w:val="0C022EAD"/>
    <w:rsid w:val="0C06474F"/>
    <w:rsid w:val="0C1D0BFF"/>
    <w:rsid w:val="0C21EDE4"/>
    <w:rsid w:val="0C3FD0A7"/>
    <w:rsid w:val="0C46C5F0"/>
    <w:rsid w:val="0C46FD66"/>
    <w:rsid w:val="0C47FE11"/>
    <w:rsid w:val="0C4C1195"/>
    <w:rsid w:val="0C4D9048"/>
    <w:rsid w:val="0C4EC5E1"/>
    <w:rsid w:val="0C649FA5"/>
    <w:rsid w:val="0C6D47D1"/>
    <w:rsid w:val="0C8AFDAF"/>
    <w:rsid w:val="0C8CDE99"/>
    <w:rsid w:val="0C940D98"/>
    <w:rsid w:val="0C9468DD"/>
    <w:rsid w:val="0C99A095"/>
    <w:rsid w:val="0C9C8550"/>
    <w:rsid w:val="0CA2993C"/>
    <w:rsid w:val="0CA4ABDD"/>
    <w:rsid w:val="0CB258EC"/>
    <w:rsid w:val="0CC02507"/>
    <w:rsid w:val="0CC2F61E"/>
    <w:rsid w:val="0CC6BFF2"/>
    <w:rsid w:val="0CD6CAD6"/>
    <w:rsid w:val="0CE282A4"/>
    <w:rsid w:val="0CE5A0CE"/>
    <w:rsid w:val="0CE95B82"/>
    <w:rsid w:val="0D1998C1"/>
    <w:rsid w:val="0D1C5F57"/>
    <w:rsid w:val="0D2C6C51"/>
    <w:rsid w:val="0D328F5B"/>
    <w:rsid w:val="0D3DD30E"/>
    <w:rsid w:val="0D405D7D"/>
    <w:rsid w:val="0D5C27B5"/>
    <w:rsid w:val="0D6CDBAB"/>
    <w:rsid w:val="0D726ED2"/>
    <w:rsid w:val="0D77AAF1"/>
    <w:rsid w:val="0D81202D"/>
    <w:rsid w:val="0D8DEA4D"/>
    <w:rsid w:val="0D94D8B1"/>
    <w:rsid w:val="0D9542AD"/>
    <w:rsid w:val="0D9973C4"/>
    <w:rsid w:val="0DA15DB5"/>
    <w:rsid w:val="0DA413AB"/>
    <w:rsid w:val="0DA670CE"/>
    <w:rsid w:val="0DB0092C"/>
    <w:rsid w:val="0DC04D0B"/>
    <w:rsid w:val="0DC23283"/>
    <w:rsid w:val="0DEE97BF"/>
    <w:rsid w:val="0DF465DB"/>
    <w:rsid w:val="0DFD5A47"/>
    <w:rsid w:val="0DFFC4FD"/>
    <w:rsid w:val="0E019EE1"/>
    <w:rsid w:val="0E1C768F"/>
    <w:rsid w:val="0E202673"/>
    <w:rsid w:val="0E245263"/>
    <w:rsid w:val="0E25603B"/>
    <w:rsid w:val="0E304911"/>
    <w:rsid w:val="0E417015"/>
    <w:rsid w:val="0E4DEEBC"/>
    <w:rsid w:val="0E4ED9D8"/>
    <w:rsid w:val="0E5ACCE9"/>
    <w:rsid w:val="0E5C4D3B"/>
    <w:rsid w:val="0E67506F"/>
    <w:rsid w:val="0E6CC6FD"/>
    <w:rsid w:val="0E73B8F2"/>
    <w:rsid w:val="0E73CC81"/>
    <w:rsid w:val="0E7D3761"/>
    <w:rsid w:val="0E913DCA"/>
    <w:rsid w:val="0EAB13AB"/>
    <w:rsid w:val="0ED2C375"/>
    <w:rsid w:val="0EDEADEB"/>
    <w:rsid w:val="0EECC391"/>
    <w:rsid w:val="0F002969"/>
    <w:rsid w:val="0F183241"/>
    <w:rsid w:val="0F1A520D"/>
    <w:rsid w:val="0F2780C5"/>
    <w:rsid w:val="0F307D8E"/>
    <w:rsid w:val="0F31366A"/>
    <w:rsid w:val="0F38BFC1"/>
    <w:rsid w:val="0F4D8D05"/>
    <w:rsid w:val="0F4DE678"/>
    <w:rsid w:val="0F561F51"/>
    <w:rsid w:val="0F60C902"/>
    <w:rsid w:val="0F620131"/>
    <w:rsid w:val="0F64E3E5"/>
    <w:rsid w:val="0F64FA53"/>
    <w:rsid w:val="0F7325B2"/>
    <w:rsid w:val="0F7F86D1"/>
    <w:rsid w:val="0F80B193"/>
    <w:rsid w:val="0F82C66F"/>
    <w:rsid w:val="0F83F07D"/>
    <w:rsid w:val="0F97B0FA"/>
    <w:rsid w:val="0FA58DD2"/>
    <w:rsid w:val="0FAD8A82"/>
    <w:rsid w:val="0FADB5E2"/>
    <w:rsid w:val="0FB5664D"/>
    <w:rsid w:val="0FB570CA"/>
    <w:rsid w:val="0FBB2F5A"/>
    <w:rsid w:val="0FC2CA91"/>
    <w:rsid w:val="0FC78FEA"/>
    <w:rsid w:val="0FD11DD1"/>
    <w:rsid w:val="0FD48522"/>
    <w:rsid w:val="0FE161E5"/>
    <w:rsid w:val="0FE2306C"/>
    <w:rsid w:val="0FECBC72"/>
    <w:rsid w:val="0FEF2F86"/>
    <w:rsid w:val="0FF5E07E"/>
    <w:rsid w:val="0FF8D127"/>
    <w:rsid w:val="0FFD75C5"/>
    <w:rsid w:val="100E3ADB"/>
    <w:rsid w:val="101A0AC9"/>
    <w:rsid w:val="101ECDCE"/>
    <w:rsid w:val="1028D0F3"/>
    <w:rsid w:val="1032978E"/>
    <w:rsid w:val="1046AE77"/>
    <w:rsid w:val="10771236"/>
    <w:rsid w:val="10790154"/>
    <w:rsid w:val="10A1C92E"/>
    <w:rsid w:val="10A72445"/>
    <w:rsid w:val="10CB3A07"/>
    <w:rsid w:val="10CBFAF3"/>
    <w:rsid w:val="10DE6E30"/>
    <w:rsid w:val="10EF8756"/>
    <w:rsid w:val="110A750E"/>
    <w:rsid w:val="11192E62"/>
    <w:rsid w:val="1121599F"/>
    <w:rsid w:val="11241D16"/>
    <w:rsid w:val="11244D4E"/>
    <w:rsid w:val="112EFE48"/>
    <w:rsid w:val="1130262A"/>
    <w:rsid w:val="1138AE2F"/>
    <w:rsid w:val="113A0816"/>
    <w:rsid w:val="113C5A56"/>
    <w:rsid w:val="113EE4CC"/>
    <w:rsid w:val="113FAC6F"/>
    <w:rsid w:val="1146D6E2"/>
    <w:rsid w:val="114DEAAC"/>
    <w:rsid w:val="115268A8"/>
    <w:rsid w:val="115462CB"/>
    <w:rsid w:val="115B3E9B"/>
    <w:rsid w:val="115F95BD"/>
    <w:rsid w:val="1169C6B8"/>
    <w:rsid w:val="116DE9D2"/>
    <w:rsid w:val="11809A20"/>
    <w:rsid w:val="11820BCE"/>
    <w:rsid w:val="118B0B55"/>
    <w:rsid w:val="118D0B10"/>
    <w:rsid w:val="1193F631"/>
    <w:rsid w:val="11947254"/>
    <w:rsid w:val="1199D1C5"/>
    <w:rsid w:val="119DF358"/>
    <w:rsid w:val="11A54B81"/>
    <w:rsid w:val="11C6D28B"/>
    <w:rsid w:val="11D26269"/>
    <w:rsid w:val="11DDCBF0"/>
    <w:rsid w:val="11DE88E8"/>
    <w:rsid w:val="11E26CC5"/>
    <w:rsid w:val="11E3DED0"/>
    <w:rsid w:val="11F1509E"/>
    <w:rsid w:val="11F57F8F"/>
    <w:rsid w:val="11FCE19E"/>
    <w:rsid w:val="11FD9DCD"/>
    <w:rsid w:val="12109B37"/>
    <w:rsid w:val="121180C4"/>
    <w:rsid w:val="121BE78C"/>
    <w:rsid w:val="12324766"/>
    <w:rsid w:val="123EE645"/>
    <w:rsid w:val="1241521A"/>
    <w:rsid w:val="125D6F55"/>
    <w:rsid w:val="125EC270"/>
    <w:rsid w:val="1278B4F3"/>
    <w:rsid w:val="127A5DF0"/>
    <w:rsid w:val="129C5811"/>
    <w:rsid w:val="129E72E1"/>
    <w:rsid w:val="12B5D71A"/>
    <w:rsid w:val="12BA94EF"/>
    <w:rsid w:val="12BE01BF"/>
    <w:rsid w:val="12C01225"/>
    <w:rsid w:val="12ECFB30"/>
    <w:rsid w:val="12F26C97"/>
    <w:rsid w:val="13015C9F"/>
    <w:rsid w:val="1308E142"/>
    <w:rsid w:val="1309CE96"/>
    <w:rsid w:val="13184B98"/>
    <w:rsid w:val="131D64A1"/>
    <w:rsid w:val="1326BDE0"/>
    <w:rsid w:val="1332034A"/>
    <w:rsid w:val="13340CC8"/>
    <w:rsid w:val="13460C5A"/>
    <w:rsid w:val="134AF0D3"/>
    <w:rsid w:val="135581C7"/>
    <w:rsid w:val="135B1AD8"/>
    <w:rsid w:val="1361D2B1"/>
    <w:rsid w:val="1370DA91"/>
    <w:rsid w:val="1370EE2D"/>
    <w:rsid w:val="137A5E4B"/>
    <w:rsid w:val="137BBF54"/>
    <w:rsid w:val="13802169"/>
    <w:rsid w:val="1385C5EC"/>
    <w:rsid w:val="1385D02E"/>
    <w:rsid w:val="138C99DB"/>
    <w:rsid w:val="139949C6"/>
    <w:rsid w:val="139B121C"/>
    <w:rsid w:val="13A7E5A2"/>
    <w:rsid w:val="13A85503"/>
    <w:rsid w:val="13BAFB22"/>
    <w:rsid w:val="13BD4444"/>
    <w:rsid w:val="13C7649B"/>
    <w:rsid w:val="13E4F86E"/>
    <w:rsid w:val="13E5A85C"/>
    <w:rsid w:val="13ECA255"/>
    <w:rsid w:val="13F3E765"/>
    <w:rsid w:val="13F45CA5"/>
    <w:rsid w:val="1402877A"/>
    <w:rsid w:val="140ECC0D"/>
    <w:rsid w:val="14163AB7"/>
    <w:rsid w:val="14198DDC"/>
    <w:rsid w:val="141B8A75"/>
    <w:rsid w:val="1444F93B"/>
    <w:rsid w:val="146D8C88"/>
    <w:rsid w:val="147B34D6"/>
    <w:rsid w:val="14823F17"/>
    <w:rsid w:val="148ED9FC"/>
    <w:rsid w:val="148F5BC0"/>
    <w:rsid w:val="14984923"/>
    <w:rsid w:val="149892F4"/>
    <w:rsid w:val="14A2F082"/>
    <w:rsid w:val="14A48F7B"/>
    <w:rsid w:val="14BDCEE8"/>
    <w:rsid w:val="14C90B0B"/>
    <w:rsid w:val="14CA5964"/>
    <w:rsid w:val="14DD5325"/>
    <w:rsid w:val="14DDC1FB"/>
    <w:rsid w:val="14F0D490"/>
    <w:rsid w:val="14F50604"/>
    <w:rsid w:val="14F7B3E2"/>
    <w:rsid w:val="14FAA3EC"/>
    <w:rsid w:val="1503993E"/>
    <w:rsid w:val="151566F7"/>
    <w:rsid w:val="1535E96D"/>
    <w:rsid w:val="1538300D"/>
    <w:rsid w:val="1539348D"/>
    <w:rsid w:val="154A2523"/>
    <w:rsid w:val="15503EC3"/>
    <w:rsid w:val="1556FFE1"/>
    <w:rsid w:val="155993B8"/>
    <w:rsid w:val="155A843E"/>
    <w:rsid w:val="15762BB7"/>
    <w:rsid w:val="157CE73F"/>
    <w:rsid w:val="15821268"/>
    <w:rsid w:val="158430C8"/>
    <w:rsid w:val="158CF4F4"/>
    <w:rsid w:val="15A34385"/>
    <w:rsid w:val="15C18A06"/>
    <w:rsid w:val="15CC0239"/>
    <w:rsid w:val="15D61D1F"/>
    <w:rsid w:val="15EDDE7C"/>
    <w:rsid w:val="15F1B458"/>
    <w:rsid w:val="15FF9BDE"/>
    <w:rsid w:val="16121051"/>
    <w:rsid w:val="161AD530"/>
    <w:rsid w:val="161DEF42"/>
    <w:rsid w:val="1624823E"/>
    <w:rsid w:val="16466177"/>
    <w:rsid w:val="1648041C"/>
    <w:rsid w:val="16551FDC"/>
    <w:rsid w:val="16599A30"/>
    <w:rsid w:val="16703DE5"/>
    <w:rsid w:val="167D45BA"/>
    <w:rsid w:val="167ECBDF"/>
    <w:rsid w:val="1699802E"/>
    <w:rsid w:val="169A5683"/>
    <w:rsid w:val="169F8434"/>
    <w:rsid w:val="16B29AA1"/>
    <w:rsid w:val="16B37109"/>
    <w:rsid w:val="16B937E3"/>
    <w:rsid w:val="16BA2ECB"/>
    <w:rsid w:val="16C06C40"/>
    <w:rsid w:val="16C998F3"/>
    <w:rsid w:val="16D0EA88"/>
    <w:rsid w:val="16D42C30"/>
    <w:rsid w:val="16D49297"/>
    <w:rsid w:val="16D8E7CE"/>
    <w:rsid w:val="16E60417"/>
    <w:rsid w:val="16E76CE4"/>
    <w:rsid w:val="16EA1B30"/>
    <w:rsid w:val="16EC096A"/>
    <w:rsid w:val="16F40077"/>
    <w:rsid w:val="16FD7361"/>
    <w:rsid w:val="1711EF1B"/>
    <w:rsid w:val="171E54BC"/>
    <w:rsid w:val="1721DE64"/>
    <w:rsid w:val="1721E11C"/>
    <w:rsid w:val="1722070A"/>
    <w:rsid w:val="172B8936"/>
    <w:rsid w:val="1740D91F"/>
    <w:rsid w:val="1742ABAE"/>
    <w:rsid w:val="174A1CB4"/>
    <w:rsid w:val="174C1576"/>
    <w:rsid w:val="175EE9F0"/>
    <w:rsid w:val="176171A2"/>
    <w:rsid w:val="176490F0"/>
    <w:rsid w:val="176F34EE"/>
    <w:rsid w:val="17703298"/>
    <w:rsid w:val="1774EBA3"/>
    <w:rsid w:val="177CA258"/>
    <w:rsid w:val="17826400"/>
    <w:rsid w:val="1795DD2F"/>
    <w:rsid w:val="17A26197"/>
    <w:rsid w:val="17A2FA38"/>
    <w:rsid w:val="17AEC908"/>
    <w:rsid w:val="17B4661F"/>
    <w:rsid w:val="17B5242D"/>
    <w:rsid w:val="17BE25C0"/>
    <w:rsid w:val="17DC2E86"/>
    <w:rsid w:val="17ED98AE"/>
    <w:rsid w:val="17F88816"/>
    <w:rsid w:val="1802EC95"/>
    <w:rsid w:val="1804C033"/>
    <w:rsid w:val="18062B80"/>
    <w:rsid w:val="180B0FF7"/>
    <w:rsid w:val="18246E89"/>
    <w:rsid w:val="18249231"/>
    <w:rsid w:val="1825FDA3"/>
    <w:rsid w:val="1847E88B"/>
    <w:rsid w:val="18493AC9"/>
    <w:rsid w:val="18544CE6"/>
    <w:rsid w:val="186D5A78"/>
    <w:rsid w:val="1876D819"/>
    <w:rsid w:val="187922C1"/>
    <w:rsid w:val="187D7146"/>
    <w:rsid w:val="18859901"/>
    <w:rsid w:val="188CFD82"/>
    <w:rsid w:val="18924840"/>
    <w:rsid w:val="189804DD"/>
    <w:rsid w:val="18A5997C"/>
    <w:rsid w:val="18BFA4BF"/>
    <w:rsid w:val="18C57899"/>
    <w:rsid w:val="18C931EB"/>
    <w:rsid w:val="18D5D14A"/>
    <w:rsid w:val="18ECF047"/>
    <w:rsid w:val="18EDAA28"/>
    <w:rsid w:val="18F8B902"/>
    <w:rsid w:val="18FED8FA"/>
    <w:rsid w:val="1900986D"/>
    <w:rsid w:val="19158D95"/>
    <w:rsid w:val="19172E5C"/>
    <w:rsid w:val="192311BE"/>
    <w:rsid w:val="1929CFF9"/>
    <w:rsid w:val="192BACE1"/>
    <w:rsid w:val="19300B3B"/>
    <w:rsid w:val="19367A73"/>
    <w:rsid w:val="1941D0E0"/>
    <w:rsid w:val="195FBC59"/>
    <w:rsid w:val="19613B18"/>
    <w:rsid w:val="196A5E32"/>
    <w:rsid w:val="196EB9C4"/>
    <w:rsid w:val="1972E64D"/>
    <w:rsid w:val="198F1457"/>
    <w:rsid w:val="198F71B1"/>
    <w:rsid w:val="19A1375A"/>
    <w:rsid w:val="19AECD9C"/>
    <w:rsid w:val="19AF8B59"/>
    <w:rsid w:val="19B3BA08"/>
    <w:rsid w:val="19B3EAC7"/>
    <w:rsid w:val="19B4BE68"/>
    <w:rsid w:val="19B5FC9F"/>
    <w:rsid w:val="19C56E6C"/>
    <w:rsid w:val="19D2EC52"/>
    <w:rsid w:val="19F5D670"/>
    <w:rsid w:val="1A0CD66A"/>
    <w:rsid w:val="1A0DDEB6"/>
    <w:rsid w:val="1A15F78F"/>
    <w:rsid w:val="1A219BF7"/>
    <w:rsid w:val="1A2DDC19"/>
    <w:rsid w:val="1A45DA5A"/>
    <w:rsid w:val="1A4F2F27"/>
    <w:rsid w:val="1A524853"/>
    <w:rsid w:val="1A55E600"/>
    <w:rsid w:val="1A777555"/>
    <w:rsid w:val="1A88ED3F"/>
    <w:rsid w:val="1A8D5678"/>
    <w:rsid w:val="1A93A0B1"/>
    <w:rsid w:val="1A94E858"/>
    <w:rsid w:val="1A9D6FC6"/>
    <w:rsid w:val="1AA0968F"/>
    <w:rsid w:val="1AA2380B"/>
    <w:rsid w:val="1ACE5B62"/>
    <w:rsid w:val="1ACEB302"/>
    <w:rsid w:val="1ACF07D7"/>
    <w:rsid w:val="1AD39A7B"/>
    <w:rsid w:val="1ADBE280"/>
    <w:rsid w:val="1ADF66F9"/>
    <w:rsid w:val="1AE5D807"/>
    <w:rsid w:val="1AFC4250"/>
    <w:rsid w:val="1AFFB757"/>
    <w:rsid w:val="1B2A7ACE"/>
    <w:rsid w:val="1B3A841A"/>
    <w:rsid w:val="1B43CABB"/>
    <w:rsid w:val="1B462FD8"/>
    <w:rsid w:val="1B4C83CF"/>
    <w:rsid w:val="1B50AEFC"/>
    <w:rsid w:val="1B56CCBF"/>
    <w:rsid w:val="1B665EF7"/>
    <w:rsid w:val="1B7C8D9C"/>
    <w:rsid w:val="1B8375DF"/>
    <w:rsid w:val="1B9331FD"/>
    <w:rsid w:val="1B9E733D"/>
    <w:rsid w:val="1BA74162"/>
    <w:rsid w:val="1BA88ADD"/>
    <w:rsid w:val="1BAFE5B2"/>
    <w:rsid w:val="1BB05F53"/>
    <w:rsid w:val="1BB8EA33"/>
    <w:rsid w:val="1BC17AF2"/>
    <w:rsid w:val="1BC8E8A2"/>
    <w:rsid w:val="1BD6F05D"/>
    <w:rsid w:val="1BDA4B8F"/>
    <w:rsid w:val="1BDF1544"/>
    <w:rsid w:val="1BE20406"/>
    <w:rsid w:val="1BEA4156"/>
    <w:rsid w:val="1BF1C4B1"/>
    <w:rsid w:val="1C08F99D"/>
    <w:rsid w:val="1C0A7E65"/>
    <w:rsid w:val="1C0BEF6E"/>
    <w:rsid w:val="1C13B086"/>
    <w:rsid w:val="1C1A8C3F"/>
    <w:rsid w:val="1C1E809A"/>
    <w:rsid w:val="1C2CAB9D"/>
    <w:rsid w:val="1C2E55E3"/>
    <w:rsid w:val="1C4A0F5C"/>
    <w:rsid w:val="1C56BD93"/>
    <w:rsid w:val="1C5BCF43"/>
    <w:rsid w:val="1C684967"/>
    <w:rsid w:val="1C73A171"/>
    <w:rsid w:val="1C7A9A7D"/>
    <w:rsid w:val="1C840161"/>
    <w:rsid w:val="1C8E0AEA"/>
    <w:rsid w:val="1C9B2B24"/>
    <w:rsid w:val="1CA3F164"/>
    <w:rsid w:val="1CAAAEFB"/>
    <w:rsid w:val="1CB6D1E8"/>
    <w:rsid w:val="1CB781E3"/>
    <w:rsid w:val="1CD571A9"/>
    <w:rsid w:val="1CDCB637"/>
    <w:rsid w:val="1CEE9402"/>
    <w:rsid w:val="1CF7D16A"/>
    <w:rsid w:val="1D1431C8"/>
    <w:rsid w:val="1D217B2B"/>
    <w:rsid w:val="1D22AFBC"/>
    <w:rsid w:val="1D2A5AFD"/>
    <w:rsid w:val="1D2FB466"/>
    <w:rsid w:val="1D30B818"/>
    <w:rsid w:val="1D324CAA"/>
    <w:rsid w:val="1D541BE9"/>
    <w:rsid w:val="1D67E2D9"/>
    <w:rsid w:val="1D6BD944"/>
    <w:rsid w:val="1D706D60"/>
    <w:rsid w:val="1D74D1A2"/>
    <w:rsid w:val="1D7FC969"/>
    <w:rsid w:val="1D983F9C"/>
    <w:rsid w:val="1D9DB15C"/>
    <w:rsid w:val="1DAEBE5E"/>
    <w:rsid w:val="1DC0D8AC"/>
    <w:rsid w:val="1DD0B221"/>
    <w:rsid w:val="1DE054DF"/>
    <w:rsid w:val="1DE33678"/>
    <w:rsid w:val="1DF5C70B"/>
    <w:rsid w:val="1E13258B"/>
    <w:rsid w:val="1E27D89D"/>
    <w:rsid w:val="1E308C23"/>
    <w:rsid w:val="1E3F8329"/>
    <w:rsid w:val="1E49E37D"/>
    <w:rsid w:val="1E4AFC88"/>
    <w:rsid w:val="1E5072E2"/>
    <w:rsid w:val="1E66082D"/>
    <w:rsid w:val="1E69BBD6"/>
    <w:rsid w:val="1E7401B7"/>
    <w:rsid w:val="1E7C2B1B"/>
    <w:rsid w:val="1E90AC87"/>
    <w:rsid w:val="1E990290"/>
    <w:rsid w:val="1EBFB07E"/>
    <w:rsid w:val="1EE04984"/>
    <w:rsid w:val="1EE37D9E"/>
    <w:rsid w:val="1EEC7093"/>
    <w:rsid w:val="1EED11F6"/>
    <w:rsid w:val="1EF1F0E2"/>
    <w:rsid w:val="1EF3A27D"/>
    <w:rsid w:val="1EF951D4"/>
    <w:rsid w:val="1EFA3409"/>
    <w:rsid w:val="1EFB8B69"/>
    <w:rsid w:val="1EFD079D"/>
    <w:rsid w:val="1EFFF806"/>
    <w:rsid w:val="1F0B2994"/>
    <w:rsid w:val="1F0C89C8"/>
    <w:rsid w:val="1F1CF75C"/>
    <w:rsid w:val="1F24C0EA"/>
    <w:rsid w:val="1F2AA037"/>
    <w:rsid w:val="1F2AB902"/>
    <w:rsid w:val="1F2E8C5E"/>
    <w:rsid w:val="1F3AC64E"/>
    <w:rsid w:val="1F3EB848"/>
    <w:rsid w:val="1F579BAA"/>
    <w:rsid w:val="1F72CF04"/>
    <w:rsid w:val="1F9A589E"/>
    <w:rsid w:val="1F9F3345"/>
    <w:rsid w:val="1FA204C8"/>
    <w:rsid w:val="1FA2D544"/>
    <w:rsid w:val="1FA4E7F1"/>
    <w:rsid w:val="1FA87640"/>
    <w:rsid w:val="1FAD498A"/>
    <w:rsid w:val="1FB0360A"/>
    <w:rsid w:val="1FB0D512"/>
    <w:rsid w:val="1FC76006"/>
    <w:rsid w:val="1FD0935C"/>
    <w:rsid w:val="1FD4E2C0"/>
    <w:rsid w:val="1FDAF37E"/>
    <w:rsid w:val="1FE068FA"/>
    <w:rsid w:val="1FEE22CD"/>
    <w:rsid w:val="1FF2907C"/>
    <w:rsid w:val="1FF4D059"/>
    <w:rsid w:val="1FF8AB3B"/>
    <w:rsid w:val="1FFEDF01"/>
    <w:rsid w:val="200C462E"/>
    <w:rsid w:val="200ED3D5"/>
    <w:rsid w:val="20152662"/>
    <w:rsid w:val="2019DE27"/>
    <w:rsid w:val="20248F62"/>
    <w:rsid w:val="202ADA66"/>
    <w:rsid w:val="2037DF3D"/>
    <w:rsid w:val="203AE651"/>
    <w:rsid w:val="20415B34"/>
    <w:rsid w:val="204601E0"/>
    <w:rsid w:val="204612A5"/>
    <w:rsid w:val="2051C243"/>
    <w:rsid w:val="2066D988"/>
    <w:rsid w:val="206C1D56"/>
    <w:rsid w:val="2073BA90"/>
    <w:rsid w:val="20880E25"/>
    <w:rsid w:val="20949427"/>
    <w:rsid w:val="209F35DD"/>
    <w:rsid w:val="20A40E72"/>
    <w:rsid w:val="20A52942"/>
    <w:rsid w:val="20A75542"/>
    <w:rsid w:val="20D15441"/>
    <w:rsid w:val="20D843F4"/>
    <w:rsid w:val="20DECE29"/>
    <w:rsid w:val="20E22501"/>
    <w:rsid w:val="20F936F9"/>
    <w:rsid w:val="20FEA641"/>
    <w:rsid w:val="2110104B"/>
    <w:rsid w:val="2128AED4"/>
    <w:rsid w:val="2133853D"/>
    <w:rsid w:val="2143EF5F"/>
    <w:rsid w:val="215049FC"/>
    <w:rsid w:val="2153759C"/>
    <w:rsid w:val="215981BB"/>
    <w:rsid w:val="217DF9C7"/>
    <w:rsid w:val="217F429C"/>
    <w:rsid w:val="218322FF"/>
    <w:rsid w:val="218A0782"/>
    <w:rsid w:val="218CF5A7"/>
    <w:rsid w:val="21999E7D"/>
    <w:rsid w:val="21A05BC5"/>
    <w:rsid w:val="21A518B7"/>
    <w:rsid w:val="21A7564E"/>
    <w:rsid w:val="21B80F15"/>
    <w:rsid w:val="21C3B362"/>
    <w:rsid w:val="21E3FA42"/>
    <w:rsid w:val="21EA7955"/>
    <w:rsid w:val="21F389E8"/>
    <w:rsid w:val="21F7CA20"/>
    <w:rsid w:val="22026258"/>
    <w:rsid w:val="220B667A"/>
    <w:rsid w:val="220EDD05"/>
    <w:rsid w:val="2212533D"/>
    <w:rsid w:val="2216341C"/>
    <w:rsid w:val="22166EE4"/>
    <w:rsid w:val="2222F5B6"/>
    <w:rsid w:val="22286F61"/>
    <w:rsid w:val="222B8EBB"/>
    <w:rsid w:val="22318781"/>
    <w:rsid w:val="223A9E4B"/>
    <w:rsid w:val="224D6926"/>
    <w:rsid w:val="2252ED5F"/>
    <w:rsid w:val="22572EE6"/>
    <w:rsid w:val="22678DFB"/>
    <w:rsid w:val="227DD295"/>
    <w:rsid w:val="22AA6FC6"/>
    <w:rsid w:val="22BD759B"/>
    <w:rsid w:val="22C27BF4"/>
    <w:rsid w:val="22C38884"/>
    <w:rsid w:val="22CB1DDC"/>
    <w:rsid w:val="22D30ACC"/>
    <w:rsid w:val="22D65425"/>
    <w:rsid w:val="22D80727"/>
    <w:rsid w:val="22E197AD"/>
    <w:rsid w:val="22E3DDE7"/>
    <w:rsid w:val="22E886EC"/>
    <w:rsid w:val="22EB392C"/>
    <w:rsid w:val="22EBB01F"/>
    <w:rsid w:val="22EDD64D"/>
    <w:rsid w:val="22FA3B4A"/>
    <w:rsid w:val="23025DFA"/>
    <w:rsid w:val="2309914E"/>
    <w:rsid w:val="230F0A3B"/>
    <w:rsid w:val="2316A289"/>
    <w:rsid w:val="231A72F7"/>
    <w:rsid w:val="231FCB72"/>
    <w:rsid w:val="23287530"/>
    <w:rsid w:val="232C7D7A"/>
    <w:rsid w:val="2333D6B2"/>
    <w:rsid w:val="2341D988"/>
    <w:rsid w:val="2349D642"/>
    <w:rsid w:val="23514A7E"/>
    <w:rsid w:val="2363D512"/>
    <w:rsid w:val="236BB7B0"/>
    <w:rsid w:val="23756127"/>
    <w:rsid w:val="237B5157"/>
    <w:rsid w:val="2392FF3B"/>
    <w:rsid w:val="2394019D"/>
    <w:rsid w:val="23AB22A3"/>
    <w:rsid w:val="23C0E523"/>
    <w:rsid w:val="23C4DC6D"/>
    <w:rsid w:val="23C7ACFE"/>
    <w:rsid w:val="23D03FD2"/>
    <w:rsid w:val="2403E242"/>
    <w:rsid w:val="240CEE8D"/>
    <w:rsid w:val="242B8FBB"/>
    <w:rsid w:val="24318798"/>
    <w:rsid w:val="24363DF6"/>
    <w:rsid w:val="2436BC05"/>
    <w:rsid w:val="2441B6E7"/>
    <w:rsid w:val="244390AB"/>
    <w:rsid w:val="2443E5C1"/>
    <w:rsid w:val="24598D0D"/>
    <w:rsid w:val="245E026E"/>
    <w:rsid w:val="245E4C55"/>
    <w:rsid w:val="246E0B99"/>
    <w:rsid w:val="2475DD3B"/>
    <w:rsid w:val="247794CE"/>
    <w:rsid w:val="248B2F74"/>
    <w:rsid w:val="24935690"/>
    <w:rsid w:val="24962C0E"/>
    <w:rsid w:val="249F9685"/>
    <w:rsid w:val="24A57A65"/>
    <w:rsid w:val="24AE4205"/>
    <w:rsid w:val="24B0AD8D"/>
    <w:rsid w:val="24C6256E"/>
    <w:rsid w:val="24CB8B94"/>
    <w:rsid w:val="24D51583"/>
    <w:rsid w:val="24D92360"/>
    <w:rsid w:val="24E4E039"/>
    <w:rsid w:val="24EB21AD"/>
    <w:rsid w:val="24ED7A8C"/>
    <w:rsid w:val="2504A9BC"/>
    <w:rsid w:val="25068AB2"/>
    <w:rsid w:val="251B583C"/>
    <w:rsid w:val="251E9093"/>
    <w:rsid w:val="251F857A"/>
    <w:rsid w:val="2528861E"/>
    <w:rsid w:val="2529B603"/>
    <w:rsid w:val="252C4FD1"/>
    <w:rsid w:val="2530C0CE"/>
    <w:rsid w:val="25316652"/>
    <w:rsid w:val="25372FBC"/>
    <w:rsid w:val="253A26F2"/>
    <w:rsid w:val="25414A8E"/>
    <w:rsid w:val="254B5E29"/>
    <w:rsid w:val="2550574D"/>
    <w:rsid w:val="25516F52"/>
    <w:rsid w:val="2556F195"/>
    <w:rsid w:val="256BF7A1"/>
    <w:rsid w:val="256DC833"/>
    <w:rsid w:val="257919B3"/>
    <w:rsid w:val="257CB903"/>
    <w:rsid w:val="258A3549"/>
    <w:rsid w:val="258D10C2"/>
    <w:rsid w:val="259066D3"/>
    <w:rsid w:val="2594AEE5"/>
    <w:rsid w:val="25A4C989"/>
    <w:rsid w:val="25A7061B"/>
    <w:rsid w:val="25A97E4E"/>
    <w:rsid w:val="25B90929"/>
    <w:rsid w:val="25C6A0E9"/>
    <w:rsid w:val="25CE47F5"/>
    <w:rsid w:val="25D837A4"/>
    <w:rsid w:val="25D8573D"/>
    <w:rsid w:val="25DABFAF"/>
    <w:rsid w:val="25DCD8D6"/>
    <w:rsid w:val="25F4AEE6"/>
    <w:rsid w:val="25FA1CB6"/>
    <w:rsid w:val="25FA570F"/>
    <w:rsid w:val="25FAA907"/>
    <w:rsid w:val="25FE6265"/>
    <w:rsid w:val="26318EFF"/>
    <w:rsid w:val="26388B04"/>
    <w:rsid w:val="264700BA"/>
    <w:rsid w:val="2685585E"/>
    <w:rsid w:val="26901A70"/>
    <w:rsid w:val="26915C2E"/>
    <w:rsid w:val="269F9CA7"/>
    <w:rsid w:val="26A33E9C"/>
    <w:rsid w:val="26A916BE"/>
    <w:rsid w:val="26AE0B8B"/>
    <w:rsid w:val="26C595D1"/>
    <w:rsid w:val="26C6D807"/>
    <w:rsid w:val="26D312E4"/>
    <w:rsid w:val="26D75CFE"/>
    <w:rsid w:val="26DA5D0E"/>
    <w:rsid w:val="26EE40B3"/>
    <w:rsid w:val="26F18DEC"/>
    <w:rsid w:val="26F68D2B"/>
    <w:rsid w:val="26F7D156"/>
    <w:rsid w:val="26F895D6"/>
    <w:rsid w:val="2700A169"/>
    <w:rsid w:val="270B6971"/>
    <w:rsid w:val="2717A9D8"/>
    <w:rsid w:val="2734D5D8"/>
    <w:rsid w:val="27455D50"/>
    <w:rsid w:val="27556842"/>
    <w:rsid w:val="276C5BF7"/>
    <w:rsid w:val="2772A825"/>
    <w:rsid w:val="27808DFB"/>
    <w:rsid w:val="2782C6C0"/>
    <w:rsid w:val="27942446"/>
    <w:rsid w:val="2794B2CF"/>
    <w:rsid w:val="2798ABDE"/>
    <w:rsid w:val="27A96D2E"/>
    <w:rsid w:val="27CA692D"/>
    <w:rsid w:val="27D79719"/>
    <w:rsid w:val="27D82BE5"/>
    <w:rsid w:val="27E83C8E"/>
    <w:rsid w:val="27F4FD0E"/>
    <w:rsid w:val="28190907"/>
    <w:rsid w:val="2819E804"/>
    <w:rsid w:val="281BF4B8"/>
    <w:rsid w:val="28295982"/>
    <w:rsid w:val="282B1F74"/>
    <w:rsid w:val="28330763"/>
    <w:rsid w:val="283615A1"/>
    <w:rsid w:val="2837B15C"/>
    <w:rsid w:val="283C9F20"/>
    <w:rsid w:val="2842468A"/>
    <w:rsid w:val="28544C2B"/>
    <w:rsid w:val="2861F912"/>
    <w:rsid w:val="286D7AEB"/>
    <w:rsid w:val="2887D765"/>
    <w:rsid w:val="288D1DA7"/>
    <w:rsid w:val="28915AB7"/>
    <w:rsid w:val="28BC2EA7"/>
    <w:rsid w:val="28BF72C2"/>
    <w:rsid w:val="28C6C7C1"/>
    <w:rsid w:val="28C76566"/>
    <w:rsid w:val="28D91C36"/>
    <w:rsid w:val="28E4FF9B"/>
    <w:rsid w:val="28F89FF4"/>
    <w:rsid w:val="28FC8DBA"/>
    <w:rsid w:val="2916FE27"/>
    <w:rsid w:val="29172F2B"/>
    <w:rsid w:val="2924098E"/>
    <w:rsid w:val="292A3EEB"/>
    <w:rsid w:val="292FD09A"/>
    <w:rsid w:val="293F1C78"/>
    <w:rsid w:val="29537F22"/>
    <w:rsid w:val="29553E9C"/>
    <w:rsid w:val="296B1F5D"/>
    <w:rsid w:val="296CA602"/>
    <w:rsid w:val="2973AAEA"/>
    <w:rsid w:val="29813678"/>
    <w:rsid w:val="2983B47D"/>
    <w:rsid w:val="2986919F"/>
    <w:rsid w:val="298A89D3"/>
    <w:rsid w:val="298C52C2"/>
    <w:rsid w:val="29974D06"/>
    <w:rsid w:val="29A2506A"/>
    <w:rsid w:val="29B1EA24"/>
    <w:rsid w:val="29C0F80D"/>
    <w:rsid w:val="29D09628"/>
    <w:rsid w:val="29D24436"/>
    <w:rsid w:val="29D59F4E"/>
    <w:rsid w:val="29DC30DF"/>
    <w:rsid w:val="29EB69A6"/>
    <w:rsid w:val="29F1A740"/>
    <w:rsid w:val="2A01A59A"/>
    <w:rsid w:val="2A044F63"/>
    <w:rsid w:val="2A089E35"/>
    <w:rsid w:val="2A09A985"/>
    <w:rsid w:val="2A1A8A58"/>
    <w:rsid w:val="2A2DF165"/>
    <w:rsid w:val="2A2E5D23"/>
    <w:rsid w:val="2A36B7E0"/>
    <w:rsid w:val="2A486CBE"/>
    <w:rsid w:val="2A4C311E"/>
    <w:rsid w:val="2A4D8FC1"/>
    <w:rsid w:val="2A4F561F"/>
    <w:rsid w:val="2A52BBD0"/>
    <w:rsid w:val="2A57AA8B"/>
    <w:rsid w:val="2A590BC9"/>
    <w:rsid w:val="2A61F890"/>
    <w:rsid w:val="2A71AFD5"/>
    <w:rsid w:val="2A73E0B7"/>
    <w:rsid w:val="2A7AAAF1"/>
    <w:rsid w:val="2A974AF9"/>
    <w:rsid w:val="2A97CB69"/>
    <w:rsid w:val="2A98FB0E"/>
    <w:rsid w:val="2AA8C2FA"/>
    <w:rsid w:val="2AB12575"/>
    <w:rsid w:val="2AB503C8"/>
    <w:rsid w:val="2AB57786"/>
    <w:rsid w:val="2ABBE9C8"/>
    <w:rsid w:val="2AC10886"/>
    <w:rsid w:val="2AC7D6C2"/>
    <w:rsid w:val="2ADAB59F"/>
    <w:rsid w:val="2ADB91FF"/>
    <w:rsid w:val="2AE3DC42"/>
    <w:rsid w:val="2AED6E06"/>
    <w:rsid w:val="2AFC97BA"/>
    <w:rsid w:val="2AFF5B9F"/>
    <w:rsid w:val="2AFFBFA1"/>
    <w:rsid w:val="2B168AC8"/>
    <w:rsid w:val="2B17DCF0"/>
    <w:rsid w:val="2B19E93E"/>
    <w:rsid w:val="2B1B12C0"/>
    <w:rsid w:val="2B2F039E"/>
    <w:rsid w:val="2B3E492C"/>
    <w:rsid w:val="2B46F0E9"/>
    <w:rsid w:val="2B4B2E59"/>
    <w:rsid w:val="2B4DB25D"/>
    <w:rsid w:val="2B560732"/>
    <w:rsid w:val="2B6A98A5"/>
    <w:rsid w:val="2B6CE569"/>
    <w:rsid w:val="2B77E8F1"/>
    <w:rsid w:val="2B896A53"/>
    <w:rsid w:val="2B901578"/>
    <w:rsid w:val="2B9EF6ED"/>
    <w:rsid w:val="2BABEDEC"/>
    <w:rsid w:val="2BAF3D4F"/>
    <w:rsid w:val="2BB153CE"/>
    <w:rsid w:val="2BBF8770"/>
    <w:rsid w:val="2BC2F4EA"/>
    <w:rsid w:val="2BD04C7C"/>
    <w:rsid w:val="2BDC7EFE"/>
    <w:rsid w:val="2BE1D9B8"/>
    <w:rsid w:val="2BE291E3"/>
    <w:rsid w:val="2BE53D08"/>
    <w:rsid w:val="2BE53E2A"/>
    <w:rsid w:val="2BF023C3"/>
    <w:rsid w:val="2C069EAD"/>
    <w:rsid w:val="2C220854"/>
    <w:rsid w:val="2C2C53C4"/>
    <w:rsid w:val="2C3F8E98"/>
    <w:rsid w:val="2C44144E"/>
    <w:rsid w:val="2C446986"/>
    <w:rsid w:val="2C578A58"/>
    <w:rsid w:val="2C6E26E1"/>
    <w:rsid w:val="2C72D8A9"/>
    <w:rsid w:val="2C7375EE"/>
    <w:rsid w:val="2C78918B"/>
    <w:rsid w:val="2C832C77"/>
    <w:rsid w:val="2C8E2981"/>
    <w:rsid w:val="2C955025"/>
    <w:rsid w:val="2CA47A16"/>
    <w:rsid w:val="2CA649D6"/>
    <w:rsid w:val="2CC97457"/>
    <w:rsid w:val="2CDCF40E"/>
    <w:rsid w:val="2CDDC3C3"/>
    <w:rsid w:val="2CE1F7D0"/>
    <w:rsid w:val="2CFC1B69"/>
    <w:rsid w:val="2CFD8B5B"/>
    <w:rsid w:val="2CFF3CE2"/>
    <w:rsid w:val="2D0B0B3A"/>
    <w:rsid w:val="2D0D75BF"/>
    <w:rsid w:val="2D0DD3E5"/>
    <w:rsid w:val="2D2030D4"/>
    <w:rsid w:val="2D275654"/>
    <w:rsid w:val="2D3FA43D"/>
    <w:rsid w:val="2D3FFCDA"/>
    <w:rsid w:val="2D4E1723"/>
    <w:rsid w:val="2D51BFEA"/>
    <w:rsid w:val="2D5FD3F6"/>
    <w:rsid w:val="2D681F7E"/>
    <w:rsid w:val="2D70679A"/>
    <w:rsid w:val="2D799C18"/>
    <w:rsid w:val="2D7CE4E0"/>
    <w:rsid w:val="2D86FAF6"/>
    <w:rsid w:val="2D8DEE7B"/>
    <w:rsid w:val="2D951954"/>
    <w:rsid w:val="2DA17AD9"/>
    <w:rsid w:val="2DB22C20"/>
    <w:rsid w:val="2DB239AB"/>
    <w:rsid w:val="2DB2C28A"/>
    <w:rsid w:val="2DBA1906"/>
    <w:rsid w:val="2E0F6C0E"/>
    <w:rsid w:val="2E21A95E"/>
    <w:rsid w:val="2E281C34"/>
    <w:rsid w:val="2E2D9386"/>
    <w:rsid w:val="2E3827C8"/>
    <w:rsid w:val="2E3A366F"/>
    <w:rsid w:val="2E3B8DED"/>
    <w:rsid w:val="2E3DE244"/>
    <w:rsid w:val="2E428DE0"/>
    <w:rsid w:val="2E549E1B"/>
    <w:rsid w:val="2E66AC18"/>
    <w:rsid w:val="2E6AC3FA"/>
    <w:rsid w:val="2E6AC76B"/>
    <w:rsid w:val="2E8DA7F4"/>
    <w:rsid w:val="2E8EB6A5"/>
    <w:rsid w:val="2E95013E"/>
    <w:rsid w:val="2E9B5796"/>
    <w:rsid w:val="2EA5C3A5"/>
    <w:rsid w:val="2EAAA894"/>
    <w:rsid w:val="2ED274F8"/>
    <w:rsid w:val="2EE0E560"/>
    <w:rsid w:val="2EE571CF"/>
    <w:rsid w:val="2EE5AA75"/>
    <w:rsid w:val="2EFD9AFA"/>
    <w:rsid w:val="2F0FA38E"/>
    <w:rsid w:val="2F181E62"/>
    <w:rsid w:val="2F2049CF"/>
    <w:rsid w:val="2F2800D1"/>
    <w:rsid w:val="2F2AA102"/>
    <w:rsid w:val="2F47FEE2"/>
    <w:rsid w:val="2F483B59"/>
    <w:rsid w:val="2F53BE62"/>
    <w:rsid w:val="2F54453F"/>
    <w:rsid w:val="2F612170"/>
    <w:rsid w:val="2F674FEA"/>
    <w:rsid w:val="2F6B7063"/>
    <w:rsid w:val="2F6DDCCD"/>
    <w:rsid w:val="2F716796"/>
    <w:rsid w:val="2F850259"/>
    <w:rsid w:val="2F95291B"/>
    <w:rsid w:val="2F97302E"/>
    <w:rsid w:val="2F9DAEED"/>
    <w:rsid w:val="2FA8ECB4"/>
    <w:rsid w:val="2FAB8926"/>
    <w:rsid w:val="2FABB828"/>
    <w:rsid w:val="2FAF2281"/>
    <w:rsid w:val="2FB268D6"/>
    <w:rsid w:val="2FB30CEB"/>
    <w:rsid w:val="2FB41657"/>
    <w:rsid w:val="2FBE5CB5"/>
    <w:rsid w:val="2FCD8831"/>
    <w:rsid w:val="2FEDAFD8"/>
    <w:rsid w:val="2FFC1B00"/>
    <w:rsid w:val="30026DFB"/>
    <w:rsid w:val="300BA63C"/>
    <w:rsid w:val="300CED7B"/>
    <w:rsid w:val="300DCCB1"/>
    <w:rsid w:val="30162760"/>
    <w:rsid w:val="3022373D"/>
    <w:rsid w:val="303D80FD"/>
    <w:rsid w:val="30445A26"/>
    <w:rsid w:val="304E922E"/>
    <w:rsid w:val="305048C4"/>
    <w:rsid w:val="30505CB3"/>
    <w:rsid w:val="3050B0E6"/>
    <w:rsid w:val="3060A8A4"/>
    <w:rsid w:val="3062D03B"/>
    <w:rsid w:val="3073A248"/>
    <w:rsid w:val="30808BA5"/>
    <w:rsid w:val="30B7DD88"/>
    <w:rsid w:val="30BF8F71"/>
    <w:rsid w:val="30C0758E"/>
    <w:rsid w:val="30E0B28E"/>
    <w:rsid w:val="30E6B22E"/>
    <w:rsid w:val="30E84BF8"/>
    <w:rsid w:val="30EC98D1"/>
    <w:rsid w:val="30F8316C"/>
    <w:rsid w:val="310FFF08"/>
    <w:rsid w:val="3114C838"/>
    <w:rsid w:val="31183353"/>
    <w:rsid w:val="31206C6B"/>
    <w:rsid w:val="312688AB"/>
    <w:rsid w:val="3128C87B"/>
    <w:rsid w:val="312926FC"/>
    <w:rsid w:val="312C234B"/>
    <w:rsid w:val="31467B93"/>
    <w:rsid w:val="314B9D37"/>
    <w:rsid w:val="314E3666"/>
    <w:rsid w:val="314F468E"/>
    <w:rsid w:val="315AF97D"/>
    <w:rsid w:val="3160F77D"/>
    <w:rsid w:val="316FD665"/>
    <w:rsid w:val="317B2A8D"/>
    <w:rsid w:val="31814EB7"/>
    <w:rsid w:val="3184C9F7"/>
    <w:rsid w:val="318504F2"/>
    <w:rsid w:val="31986FBD"/>
    <w:rsid w:val="319D6E0D"/>
    <w:rsid w:val="319E2E5D"/>
    <w:rsid w:val="31BC17E4"/>
    <w:rsid w:val="31C3F718"/>
    <w:rsid w:val="31CAE82E"/>
    <w:rsid w:val="31D38695"/>
    <w:rsid w:val="31D4719A"/>
    <w:rsid w:val="31D675C2"/>
    <w:rsid w:val="31DF63D8"/>
    <w:rsid w:val="31E52B04"/>
    <w:rsid w:val="31F1F05F"/>
    <w:rsid w:val="31F47147"/>
    <w:rsid w:val="31FBD6D7"/>
    <w:rsid w:val="31FC62F9"/>
    <w:rsid w:val="320123E7"/>
    <w:rsid w:val="3214850B"/>
    <w:rsid w:val="32177CC6"/>
    <w:rsid w:val="32197F29"/>
    <w:rsid w:val="321E6532"/>
    <w:rsid w:val="321F43FF"/>
    <w:rsid w:val="321F807F"/>
    <w:rsid w:val="3233C509"/>
    <w:rsid w:val="3234EE56"/>
    <w:rsid w:val="32413113"/>
    <w:rsid w:val="325242DB"/>
    <w:rsid w:val="325331AA"/>
    <w:rsid w:val="325C94E9"/>
    <w:rsid w:val="326BE302"/>
    <w:rsid w:val="326C9FC9"/>
    <w:rsid w:val="3276CBE2"/>
    <w:rsid w:val="328560C1"/>
    <w:rsid w:val="32A25492"/>
    <w:rsid w:val="32A77C9A"/>
    <w:rsid w:val="32BF3E98"/>
    <w:rsid w:val="32C2643E"/>
    <w:rsid w:val="32D9F08E"/>
    <w:rsid w:val="32E07200"/>
    <w:rsid w:val="32EF1F77"/>
    <w:rsid w:val="32F71396"/>
    <w:rsid w:val="3306BE7D"/>
    <w:rsid w:val="331CFC7B"/>
    <w:rsid w:val="33216A20"/>
    <w:rsid w:val="33219190"/>
    <w:rsid w:val="332D8807"/>
    <w:rsid w:val="3334305D"/>
    <w:rsid w:val="333FA50A"/>
    <w:rsid w:val="3359B5C0"/>
    <w:rsid w:val="335A52C9"/>
    <w:rsid w:val="3361B3B9"/>
    <w:rsid w:val="33755022"/>
    <w:rsid w:val="33790759"/>
    <w:rsid w:val="337A4174"/>
    <w:rsid w:val="337FF45C"/>
    <w:rsid w:val="338038EE"/>
    <w:rsid w:val="3395583B"/>
    <w:rsid w:val="339A7493"/>
    <w:rsid w:val="33A008C6"/>
    <w:rsid w:val="33B12434"/>
    <w:rsid w:val="33B960B5"/>
    <w:rsid w:val="33BC9E61"/>
    <w:rsid w:val="33C3F8CE"/>
    <w:rsid w:val="33C41AEE"/>
    <w:rsid w:val="33C472ED"/>
    <w:rsid w:val="33FD1D37"/>
    <w:rsid w:val="340945D5"/>
    <w:rsid w:val="340ED547"/>
    <w:rsid w:val="3414FE46"/>
    <w:rsid w:val="343338F1"/>
    <w:rsid w:val="344F50FF"/>
    <w:rsid w:val="345A72FA"/>
    <w:rsid w:val="3466E9E3"/>
    <w:rsid w:val="34730C11"/>
    <w:rsid w:val="34769838"/>
    <w:rsid w:val="3478139D"/>
    <w:rsid w:val="347A553C"/>
    <w:rsid w:val="34837E5A"/>
    <w:rsid w:val="348A38CB"/>
    <w:rsid w:val="34E9C31D"/>
    <w:rsid w:val="34EAA21D"/>
    <w:rsid w:val="34F687D8"/>
    <w:rsid w:val="34FE254E"/>
    <w:rsid w:val="3502E5C1"/>
    <w:rsid w:val="350444E2"/>
    <w:rsid w:val="35266DC6"/>
    <w:rsid w:val="352F5802"/>
    <w:rsid w:val="354B35FE"/>
    <w:rsid w:val="3556E74D"/>
    <w:rsid w:val="355B43FB"/>
    <w:rsid w:val="35672F03"/>
    <w:rsid w:val="356ED16C"/>
    <w:rsid w:val="35854A14"/>
    <w:rsid w:val="358A184F"/>
    <w:rsid w:val="3590337E"/>
    <w:rsid w:val="35908886"/>
    <w:rsid w:val="3597C98D"/>
    <w:rsid w:val="35BA19B1"/>
    <w:rsid w:val="35C8CEEC"/>
    <w:rsid w:val="35D1DC08"/>
    <w:rsid w:val="35E187D3"/>
    <w:rsid w:val="3609D1A4"/>
    <w:rsid w:val="360ECFAF"/>
    <w:rsid w:val="36154DB6"/>
    <w:rsid w:val="361E9272"/>
    <w:rsid w:val="3646331E"/>
    <w:rsid w:val="36470F48"/>
    <w:rsid w:val="36505604"/>
    <w:rsid w:val="36684AA7"/>
    <w:rsid w:val="366C8283"/>
    <w:rsid w:val="368F51E5"/>
    <w:rsid w:val="369E94F8"/>
    <w:rsid w:val="36A98133"/>
    <w:rsid w:val="36BDA570"/>
    <w:rsid w:val="36C3C90D"/>
    <w:rsid w:val="36C67782"/>
    <w:rsid w:val="36CCDFC7"/>
    <w:rsid w:val="36D19D80"/>
    <w:rsid w:val="36D4D076"/>
    <w:rsid w:val="36DB6B1F"/>
    <w:rsid w:val="36DC3777"/>
    <w:rsid w:val="36DF5CE7"/>
    <w:rsid w:val="36E47EB9"/>
    <w:rsid w:val="36ECD81A"/>
    <w:rsid w:val="37261065"/>
    <w:rsid w:val="37335DA1"/>
    <w:rsid w:val="375FD2C8"/>
    <w:rsid w:val="37635B89"/>
    <w:rsid w:val="376408E3"/>
    <w:rsid w:val="3766DE7D"/>
    <w:rsid w:val="376F8C69"/>
    <w:rsid w:val="37754D04"/>
    <w:rsid w:val="377CE338"/>
    <w:rsid w:val="377D8968"/>
    <w:rsid w:val="377EBEE3"/>
    <w:rsid w:val="3793A51E"/>
    <w:rsid w:val="37962E8C"/>
    <w:rsid w:val="37967E46"/>
    <w:rsid w:val="37A54595"/>
    <w:rsid w:val="37AB3EBE"/>
    <w:rsid w:val="37AD3299"/>
    <w:rsid w:val="37ADFF7C"/>
    <w:rsid w:val="37C3CA4C"/>
    <w:rsid w:val="37C6EF74"/>
    <w:rsid w:val="37DBF1D0"/>
    <w:rsid w:val="37DFDF2B"/>
    <w:rsid w:val="37F38DA2"/>
    <w:rsid w:val="37FC7371"/>
    <w:rsid w:val="38003B2D"/>
    <w:rsid w:val="3800FA61"/>
    <w:rsid w:val="380DB70D"/>
    <w:rsid w:val="381EDC64"/>
    <w:rsid w:val="38216C45"/>
    <w:rsid w:val="382967D1"/>
    <w:rsid w:val="3834860F"/>
    <w:rsid w:val="38439293"/>
    <w:rsid w:val="38446130"/>
    <w:rsid w:val="384AFCA3"/>
    <w:rsid w:val="384B00F6"/>
    <w:rsid w:val="3856F035"/>
    <w:rsid w:val="386067CE"/>
    <w:rsid w:val="386446B7"/>
    <w:rsid w:val="38651038"/>
    <w:rsid w:val="3865A24F"/>
    <w:rsid w:val="3865BCAF"/>
    <w:rsid w:val="386D44C0"/>
    <w:rsid w:val="38826A8E"/>
    <w:rsid w:val="38905CC9"/>
    <w:rsid w:val="38A41F9F"/>
    <w:rsid w:val="38BB18F4"/>
    <w:rsid w:val="38BCEB46"/>
    <w:rsid w:val="38C54929"/>
    <w:rsid w:val="38C7AC18"/>
    <w:rsid w:val="38DC9A5A"/>
    <w:rsid w:val="38DCE1A4"/>
    <w:rsid w:val="38DEB880"/>
    <w:rsid w:val="38EC511C"/>
    <w:rsid w:val="3903FB75"/>
    <w:rsid w:val="3942B790"/>
    <w:rsid w:val="3943F873"/>
    <w:rsid w:val="3948B148"/>
    <w:rsid w:val="39543986"/>
    <w:rsid w:val="39551374"/>
    <w:rsid w:val="395DCECF"/>
    <w:rsid w:val="396059B1"/>
    <w:rsid w:val="396DD13D"/>
    <w:rsid w:val="39740E00"/>
    <w:rsid w:val="3974158B"/>
    <w:rsid w:val="3982E54B"/>
    <w:rsid w:val="3983114F"/>
    <w:rsid w:val="39A1A2FA"/>
    <w:rsid w:val="39A4B86D"/>
    <w:rsid w:val="39A5E5FA"/>
    <w:rsid w:val="39ABCB09"/>
    <w:rsid w:val="39AF0025"/>
    <w:rsid w:val="39B940CC"/>
    <w:rsid w:val="39BB58FE"/>
    <w:rsid w:val="39C286EF"/>
    <w:rsid w:val="39C3FE47"/>
    <w:rsid w:val="39C8685B"/>
    <w:rsid w:val="39ED32B9"/>
    <w:rsid w:val="39FFC089"/>
    <w:rsid w:val="3A01866B"/>
    <w:rsid w:val="3A044E86"/>
    <w:rsid w:val="3A0AC256"/>
    <w:rsid w:val="3A0B92BB"/>
    <w:rsid w:val="3A0FA7FB"/>
    <w:rsid w:val="3A20BF9A"/>
    <w:rsid w:val="3A2907AC"/>
    <w:rsid w:val="3A2E5744"/>
    <w:rsid w:val="3A3553A3"/>
    <w:rsid w:val="3A383969"/>
    <w:rsid w:val="3A5A607D"/>
    <w:rsid w:val="3A5DF16A"/>
    <w:rsid w:val="3A62A973"/>
    <w:rsid w:val="3A6ACAB0"/>
    <w:rsid w:val="3A6E5419"/>
    <w:rsid w:val="3A789405"/>
    <w:rsid w:val="3A8D09AB"/>
    <w:rsid w:val="3A922C64"/>
    <w:rsid w:val="3A92752F"/>
    <w:rsid w:val="3A995626"/>
    <w:rsid w:val="3AA88329"/>
    <w:rsid w:val="3AB81D4E"/>
    <w:rsid w:val="3AC28ECE"/>
    <w:rsid w:val="3AC51347"/>
    <w:rsid w:val="3AD0C922"/>
    <w:rsid w:val="3AD53BBF"/>
    <w:rsid w:val="3ADC2FC4"/>
    <w:rsid w:val="3AF0D3F5"/>
    <w:rsid w:val="3AFF5B45"/>
    <w:rsid w:val="3AFFC8CC"/>
    <w:rsid w:val="3B03F6DB"/>
    <w:rsid w:val="3B0ED5C4"/>
    <w:rsid w:val="3B154368"/>
    <w:rsid w:val="3B330DC7"/>
    <w:rsid w:val="3B33F856"/>
    <w:rsid w:val="3B486652"/>
    <w:rsid w:val="3B60FD5E"/>
    <w:rsid w:val="3B6C2AFC"/>
    <w:rsid w:val="3B743BFB"/>
    <w:rsid w:val="3B7550D4"/>
    <w:rsid w:val="3B797577"/>
    <w:rsid w:val="3B7A3E1E"/>
    <w:rsid w:val="3B7E5C36"/>
    <w:rsid w:val="3B82C4F6"/>
    <w:rsid w:val="3B85F9D9"/>
    <w:rsid w:val="3B8B7C16"/>
    <w:rsid w:val="3B9C7267"/>
    <w:rsid w:val="3B9E5B8A"/>
    <w:rsid w:val="3BA11CB7"/>
    <w:rsid w:val="3BBF6868"/>
    <w:rsid w:val="3BC1609B"/>
    <w:rsid w:val="3BC29B3B"/>
    <w:rsid w:val="3BC8B299"/>
    <w:rsid w:val="3BCF7C81"/>
    <w:rsid w:val="3BD65F62"/>
    <w:rsid w:val="3BE89E02"/>
    <w:rsid w:val="3BEC3F02"/>
    <w:rsid w:val="3BEEB983"/>
    <w:rsid w:val="3BF0285A"/>
    <w:rsid w:val="3BF9C081"/>
    <w:rsid w:val="3C217DA6"/>
    <w:rsid w:val="3C23FC19"/>
    <w:rsid w:val="3C2783B6"/>
    <w:rsid w:val="3C2B0FD2"/>
    <w:rsid w:val="3C2B8E46"/>
    <w:rsid w:val="3C30E96A"/>
    <w:rsid w:val="3C32AB40"/>
    <w:rsid w:val="3C41F58A"/>
    <w:rsid w:val="3C498FC9"/>
    <w:rsid w:val="3C569F4C"/>
    <w:rsid w:val="3C585D24"/>
    <w:rsid w:val="3C5D11AD"/>
    <w:rsid w:val="3C6432A9"/>
    <w:rsid w:val="3C645E96"/>
    <w:rsid w:val="3C832EDF"/>
    <w:rsid w:val="3C8C8856"/>
    <w:rsid w:val="3C8CD25C"/>
    <w:rsid w:val="3C90A219"/>
    <w:rsid w:val="3C99B355"/>
    <w:rsid w:val="3CB1204B"/>
    <w:rsid w:val="3CB2610F"/>
    <w:rsid w:val="3CB3A732"/>
    <w:rsid w:val="3CBD9D02"/>
    <w:rsid w:val="3CCB7E4C"/>
    <w:rsid w:val="3CDB0B5F"/>
    <w:rsid w:val="3CDF1F4E"/>
    <w:rsid w:val="3CDF8161"/>
    <w:rsid w:val="3CEAB129"/>
    <w:rsid w:val="3CEFCDA0"/>
    <w:rsid w:val="3CF4AEC9"/>
    <w:rsid w:val="3CF6FAAA"/>
    <w:rsid w:val="3CF8054D"/>
    <w:rsid w:val="3CFB06F0"/>
    <w:rsid w:val="3CFD7110"/>
    <w:rsid w:val="3D17D710"/>
    <w:rsid w:val="3D29BCF0"/>
    <w:rsid w:val="3D2BF6ED"/>
    <w:rsid w:val="3D370612"/>
    <w:rsid w:val="3D3A4CFA"/>
    <w:rsid w:val="3D4A8510"/>
    <w:rsid w:val="3D50A578"/>
    <w:rsid w:val="3D5BCAFC"/>
    <w:rsid w:val="3D6C6D96"/>
    <w:rsid w:val="3D9031F2"/>
    <w:rsid w:val="3D94461A"/>
    <w:rsid w:val="3D997403"/>
    <w:rsid w:val="3DB178EC"/>
    <w:rsid w:val="3DBC1F89"/>
    <w:rsid w:val="3DCC5D66"/>
    <w:rsid w:val="3DF50CD4"/>
    <w:rsid w:val="3E078EAC"/>
    <w:rsid w:val="3E11B7CF"/>
    <w:rsid w:val="3E22A239"/>
    <w:rsid w:val="3E3308AD"/>
    <w:rsid w:val="3E37293F"/>
    <w:rsid w:val="3E3E372A"/>
    <w:rsid w:val="3E41746E"/>
    <w:rsid w:val="3E48A999"/>
    <w:rsid w:val="3E51C0AD"/>
    <w:rsid w:val="3E53E77D"/>
    <w:rsid w:val="3E59EC85"/>
    <w:rsid w:val="3E636939"/>
    <w:rsid w:val="3E72942A"/>
    <w:rsid w:val="3E74DDB1"/>
    <w:rsid w:val="3E768D06"/>
    <w:rsid w:val="3E8D4D8B"/>
    <w:rsid w:val="3E9731C8"/>
    <w:rsid w:val="3EA26010"/>
    <w:rsid w:val="3EA5CB1A"/>
    <w:rsid w:val="3EAC6632"/>
    <w:rsid w:val="3EBD0678"/>
    <w:rsid w:val="3EC3EFBE"/>
    <w:rsid w:val="3EE42D33"/>
    <w:rsid w:val="3EEBFC8D"/>
    <w:rsid w:val="3EF23B0F"/>
    <w:rsid w:val="3EFCA03F"/>
    <w:rsid w:val="3F0FF10C"/>
    <w:rsid w:val="3F13A1AF"/>
    <w:rsid w:val="3F1EC677"/>
    <w:rsid w:val="3F23AC25"/>
    <w:rsid w:val="3F27319D"/>
    <w:rsid w:val="3F2AC371"/>
    <w:rsid w:val="3F2B0F1E"/>
    <w:rsid w:val="3F420F07"/>
    <w:rsid w:val="3F4D7691"/>
    <w:rsid w:val="3F4FD8F7"/>
    <w:rsid w:val="3F62FABA"/>
    <w:rsid w:val="3F669C00"/>
    <w:rsid w:val="3F6A6F11"/>
    <w:rsid w:val="3F7CF3EB"/>
    <w:rsid w:val="3F8116B9"/>
    <w:rsid w:val="3F8984E3"/>
    <w:rsid w:val="3FA2C50E"/>
    <w:rsid w:val="3FBB2AC8"/>
    <w:rsid w:val="3FD89A82"/>
    <w:rsid w:val="3FD8E15F"/>
    <w:rsid w:val="3FDBA5A6"/>
    <w:rsid w:val="3FE7D875"/>
    <w:rsid w:val="4000419C"/>
    <w:rsid w:val="40016CFE"/>
    <w:rsid w:val="400184B9"/>
    <w:rsid w:val="400A89D6"/>
    <w:rsid w:val="401F9578"/>
    <w:rsid w:val="40217BD9"/>
    <w:rsid w:val="4028D051"/>
    <w:rsid w:val="402BBE8D"/>
    <w:rsid w:val="402F21D6"/>
    <w:rsid w:val="402F4CE1"/>
    <w:rsid w:val="403B35C5"/>
    <w:rsid w:val="403B8EB3"/>
    <w:rsid w:val="404255F9"/>
    <w:rsid w:val="4045F543"/>
    <w:rsid w:val="404762BE"/>
    <w:rsid w:val="404A1D9E"/>
    <w:rsid w:val="406B1AF2"/>
    <w:rsid w:val="407E0145"/>
    <w:rsid w:val="40AA53BC"/>
    <w:rsid w:val="40B455B1"/>
    <w:rsid w:val="40BF4F12"/>
    <w:rsid w:val="40C0A2FA"/>
    <w:rsid w:val="40D9FE6F"/>
    <w:rsid w:val="40F07A6D"/>
    <w:rsid w:val="40F668FA"/>
    <w:rsid w:val="4104440F"/>
    <w:rsid w:val="41060C3A"/>
    <w:rsid w:val="410ABC8C"/>
    <w:rsid w:val="410D6990"/>
    <w:rsid w:val="4123AC9B"/>
    <w:rsid w:val="412B4A97"/>
    <w:rsid w:val="413584B6"/>
    <w:rsid w:val="415503B8"/>
    <w:rsid w:val="41706A4B"/>
    <w:rsid w:val="417B34EF"/>
    <w:rsid w:val="418D05E6"/>
    <w:rsid w:val="419140DA"/>
    <w:rsid w:val="419D4F79"/>
    <w:rsid w:val="41B90312"/>
    <w:rsid w:val="41BB520F"/>
    <w:rsid w:val="41BF4A10"/>
    <w:rsid w:val="41C0C443"/>
    <w:rsid w:val="41CED7A7"/>
    <w:rsid w:val="41DB5578"/>
    <w:rsid w:val="41DDD850"/>
    <w:rsid w:val="41EB4FDC"/>
    <w:rsid w:val="41F3C280"/>
    <w:rsid w:val="42140D59"/>
    <w:rsid w:val="4214DCCA"/>
    <w:rsid w:val="4215D204"/>
    <w:rsid w:val="4226AFD2"/>
    <w:rsid w:val="422A439B"/>
    <w:rsid w:val="422BB16E"/>
    <w:rsid w:val="4231810D"/>
    <w:rsid w:val="423620DF"/>
    <w:rsid w:val="424AF7D0"/>
    <w:rsid w:val="4259D4FE"/>
    <w:rsid w:val="42672470"/>
    <w:rsid w:val="426BB948"/>
    <w:rsid w:val="4273F704"/>
    <w:rsid w:val="4274CA0B"/>
    <w:rsid w:val="42842FFB"/>
    <w:rsid w:val="4284DB2C"/>
    <w:rsid w:val="42872430"/>
    <w:rsid w:val="428BAAAD"/>
    <w:rsid w:val="42983F66"/>
    <w:rsid w:val="42ADB571"/>
    <w:rsid w:val="42B96977"/>
    <w:rsid w:val="42BA00A3"/>
    <w:rsid w:val="42BEE9ED"/>
    <w:rsid w:val="42CD75FE"/>
    <w:rsid w:val="42CDDC44"/>
    <w:rsid w:val="42D0A8B1"/>
    <w:rsid w:val="42D5F9A4"/>
    <w:rsid w:val="42D8E2AC"/>
    <w:rsid w:val="42DC74F8"/>
    <w:rsid w:val="42E8842D"/>
    <w:rsid w:val="42EA3E42"/>
    <w:rsid w:val="42EAA4F3"/>
    <w:rsid w:val="42ED63E9"/>
    <w:rsid w:val="42F990EC"/>
    <w:rsid w:val="42FB0589"/>
    <w:rsid w:val="430295C0"/>
    <w:rsid w:val="43044B1C"/>
    <w:rsid w:val="4310A92A"/>
    <w:rsid w:val="431AB2E2"/>
    <w:rsid w:val="431EC12F"/>
    <w:rsid w:val="432C257D"/>
    <w:rsid w:val="433FB368"/>
    <w:rsid w:val="434B5BC2"/>
    <w:rsid w:val="435BA2C6"/>
    <w:rsid w:val="438757FD"/>
    <w:rsid w:val="438BA7A5"/>
    <w:rsid w:val="439AAFCB"/>
    <w:rsid w:val="439C7BBB"/>
    <w:rsid w:val="43AD0F36"/>
    <w:rsid w:val="43AF3875"/>
    <w:rsid w:val="43E07100"/>
    <w:rsid w:val="43EE26FA"/>
    <w:rsid w:val="43FA18FF"/>
    <w:rsid w:val="440DAF10"/>
    <w:rsid w:val="4428D1A9"/>
    <w:rsid w:val="4432CD67"/>
    <w:rsid w:val="443B098D"/>
    <w:rsid w:val="443BFCAA"/>
    <w:rsid w:val="443E95EB"/>
    <w:rsid w:val="4467197A"/>
    <w:rsid w:val="4467220B"/>
    <w:rsid w:val="4476AA8A"/>
    <w:rsid w:val="448F63C1"/>
    <w:rsid w:val="449B06FA"/>
    <w:rsid w:val="449B801B"/>
    <w:rsid w:val="449F61E8"/>
    <w:rsid w:val="44A81FA6"/>
    <w:rsid w:val="44ADEDF5"/>
    <w:rsid w:val="44AF1CC8"/>
    <w:rsid w:val="44BDD444"/>
    <w:rsid w:val="44C2D9E9"/>
    <w:rsid w:val="44C6B563"/>
    <w:rsid w:val="44CC1CB7"/>
    <w:rsid w:val="44D9AA4D"/>
    <w:rsid w:val="44E394B3"/>
    <w:rsid w:val="44EF176F"/>
    <w:rsid w:val="44F94725"/>
    <w:rsid w:val="44FBA51B"/>
    <w:rsid w:val="44FF8819"/>
    <w:rsid w:val="4509196F"/>
    <w:rsid w:val="451C1090"/>
    <w:rsid w:val="4529ED19"/>
    <w:rsid w:val="452C639A"/>
    <w:rsid w:val="453968E4"/>
    <w:rsid w:val="453D667F"/>
    <w:rsid w:val="4541E55B"/>
    <w:rsid w:val="454E75E5"/>
    <w:rsid w:val="45541668"/>
    <w:rsid w:val="45550FD7"/>
    <w:rsid w:val="45578F5E"/>
    <w:rsid w:val="456A885E"/>
    <w:rsid w:val="459C30FA"/>
    <w:rsid w:val="459C8837"/>
    <w:rsid w:val="45AB2D50"/>
    <w:rsid w:val="45BDB9BB"/>
    <w:rsid w:val="45C00494"/>
    <w:rsid w:val="45CB7F4C"/>
    <w:rsid w:val="45CC2330"/>
    <w:rsid w:val="45D730FC"/>
    <w:rsid w:val="45DD4F82"/>
    <w:rsid w:val="45DE66F4"/>
    <w:rsid w:val="45EE1F37"/>
    <w:rsid w:val="45F093C5"/>
    <w:rsid w:val="45FBDDF4"/>
    <w:rsid w:val="45FE9599"/>
    <w:rsid w:val="46014A3F"/>
    <w:rsid w:val="46187BAE"/>
    <w:rsid w:val="46224831"/>
    <w:rsid w:val="463993AF"/>
    <w:rsid w:val="4648E490"/>
    <w:rsid w:val="4665D542"/>
    <w:rsid w:val="466E930A"/>
    <w:rsid w:val="46703761"/>
    <w:rsid w:val="468226EC"/>
    <w:rsid w:val="4685288C"/>
    <w:rsid w:val="468B0491"/>
    <w:rsid w:val="46976F01"/>
    <w:rsid w:val="46AD87D5"/>
    <w:rsid w:val="46B6CB29"/>
    <w:rsid w:val="46BE80C2"/>
    <w:rsid w:val="46C6D719"/>
    <w:rsid w:val="46EFC217"/>
    <w:rsid w:val="46F1BCD2"/>
    <w:rsid w:val="46F2D6BF"/>
    <w:rsid w:val="46F9F500"/>
    <w:rsid w:val="46FA8519"/>
    <w:rsid w:val="4701255A"/>
    <w:rsid w:val="47140751"/>
    <w:rsid w:val="47159EE0"/>
    <w:rsid w:val="4716AC9B"/>
    <w:rsid w:val="4723225A"/>
    <w:rsid w:val="473E1D4C"/>
    <w:rsid w:val="474EBAA5"/>
    <w:rsid w:val="47546E4E"/>
    <w:rsid w:val="47556B1B"/>
    <w:rsid w:val="475C2ED6"/>
    <w:rsid w:val="4761BD27"/>
    <w:rsid w:val="4770A57A"/>
    <w:rsid w:val="47775025"/>
    <w:rsid w:val="477C166A"/>
    <w:rsid w:val="47819E1C"/>
    <w:rsid w:val="478517F0"/>
    <w:rsid w:val="479C7B90"/>
    <w:rsid w:val="47A18B0A"/>
    <w:rsid w:val="47B2FDCA"/>
    <w:rsid w:val="47B71E96"/>
    <w:rsid w:val="47C28303"/>
    <w:rsid w:val="47C993C1"/>
    <w:rsid w:val="47CFE6B4"/>
    <w:rsid w:val="47D26F4B"/>
    <w:rsid w:val="47D73115"/>
    <w:rsid w:val="47DB1CE8"/>
    <w:rsid w:val="47DCDEAD"/>
    <w:rsid w:val="47EA0549"/>
    <w:rsid w:val="47EE82CE"/>
    <w:rsid w:val="47F02A92"/>
    <w:rsid w:val="47F8782E"/>
    <w:rsid w:val="48086500"/>
    <w:rsid w:val="480F8F12"/>
    <w:rsid w:val="48248E5F"/>
    <w:rsid w:val="4837B6D4"/>
    <w:rsid w:val="4849843B"/>
    <w:rsid w:val="4850B921"/>
    <w:rsid w:val="4855A8FD"/>
    <w:rsid w:val="485863CF"/>
    <w:rsid w:val="485E934A"/>
    <w:rsid w:val="4863F0CE"/>
    <w:rsid w:val="48795B0F"/>
    <w:rsid w:val="4880814A"/>
    <w:rsid w:val="488CF091"/>
    <w:rsid w:val="488DC250"/>
    <w:rsid w:val="489083DF"/>
    <w:rsid w:val="48959208"/>
    <w:rsid w:val="48A1E590"/>
    <w:rsid w:val="48A27A47"/>
    <w:rsid w:val="48B2B217"/>
    <w:rsid w:val="48B5D555"/>
    <w:rsid w:val="48C0BAEC"/>
    <w:rsid w:val="48C4F54D"/>
    <w:rsid w:val="48D0E214"/>
    <w:rsid w:val="48D41679"/>
    <w:rsid w:val="48D9EF3E"/>
    <w:rsid w:val="48DF872D"/>
    <w:rsid w:val="48E33073"/>
    <w:rsid w:val="48F6845E"/>
    <w:rsid w:val="48F7AF6C"/>
    <w:rsid w:val="48F99461"/>
    <w:rsid w:val="490029E4"/>
    <w:rsid w:val="49025FB5"/>
    <w:rsid w:val="4902C049"/>
    <w:rsid w:val="49084FD9"/>
    <w:rsid w:val="49132FBC"/>
    <w:rsid w:val="49188801"/>
    <w:rsid w:val="491D0CF9"/>
    <w:rsid w:val="4933F372"/>
    <w:rsid w:val="494A3200"/>
    <w:rsid w:val="495AE073"/>
    <w:rsid w:val="495EFF8C"/>
    <w:rsid w:val="49779D5A"/>
    <w:rsid w:val="49787083"/>
    <w:rsid w:val="4983EBE3"/>
    <w:rsid w:val="498A837D"/>
    <w:rsid w:val="49960147"/>
    <w:rsid w:val="499D75D7"/>
    <w:rsid w:val="49AA4FD6"/>
    <w:rsid w:val="49AEFA91"/>
    <w:rsid w:val="49B45CA9"/>
    <w:rsid w:val="49C15F82"/>
    <w:rsid w:val="49C7DCF8"/>
    <w:rsid w:val="49D7C852"/>
    <w:rsid w:val="49D7CC52"/>
    <w:rsid w:val="49EE6BEB"/>
    <w:rsid w:val="49EEBC50"/>
    <w:rsid w:val="49F28510"/>
    <w:rsid w:val="49F928EB"/>
    <w:rsid w:val="4A03E201"/>
    <w:rsid w:val="4A09A8CC"/>
    <w:rsid w:val="4A0CBA56"/>
    <w:rsid w:val="4A17D1F6"/>
    <w:rsid w:val="4A20D50C"/>
    <w:rsid w:val="4A24D89E"/>
    <w:rsid w:val="4A29B1F8"/>
    <w:rsid w:val="4A2A2F5C"/>
    <w:rsid w:val="4A3DFF9A"/>
    <w:rsid w:val="4A40E4CB"/>
    <w:rsid w:val="4A45B926"/>
    <w:rsid w:val="4A5035A4"/>
    <w:rsid w:val="4A67DF44"/>
    <w:rsid w:val="4A6F5859"/>
    <w:rsid w:val="4A8E4466"/>
    <w:rsid w:val="4A9396AB"/>
    <w:rsid w:val="4A9990A2"/>
    <w:rsid w:val="4A9ABCFA"/>
    <w:rsid w:val="4A9CE25C"/>
    <w:rsid w:val="4AAC05E9"/>
    <w:rsid w:val="4AB2DA81"/>
    <w:rsid w:val="4AC240AE"/>
    <w:rsid w:val="4AEE4CAE"/>
    <w:rsid w:val="4AF62723"/>
    <w:rsid w:val="4B0A024C"/>
    <w:rsid w:val="4B0B909A"/>
    <w:rsid w:val="4B0C0660"/>
    <w:rsid w:val="4B0DD932"/>
    <w:rsid w:val="4B0DFE58"/>
    <w:rsid w:val="4B16A10B"/>
    <w:rsid w:val="4B379D95"/>
    <w:rsid w:val="4B3BB858"/>
    <w:rsid w:val="4B3C2639"/>
    <w:rsid w:val="4B454A0B"/>
    <w:rsid w:val="4B48EB43"/>
    <w:rsid w:val="4B589EF2"/>
    <w:rsid w:val="4B5DBE59"/>
    <w:rsid w:val="4B62A157"/>
    <w:rsid w:val="4B63F604"/>
    <w:rsid w:val="4B6BF32D"/>
    <w:rsid w:val="4B6F8980"/>
    <w:rsid w:val="4B700B28"/>
    <w:rsid w:val="4B7DE83F"/>
    <w:rsid w:val="4B806032"/>
    <w:rsid w:val="4B8A3C4C"/>
    <w:rsid w:val="4B96437C"/>
    <w:rsid w:val="4B9AB9EB"/>
    <w:rsid w:val="4BAFD5D4"/>
    <w:rsid w:val="4BC1010F"/>
    <w:rsid w:val="4BC27481"/>
    <w:rsid w:val="4BCFAA8A"/>
    <w:rsid w:val="4BDA9929"/>
    <w:rsid w:val="4BF920C8"/>
    <w:rsid w:val="4C035A7B"/>
    <w:rsid w:val="4C122FEB"/>
    <w:rsid w:val="4C14A0ED"/>
    <w:rsid w:val="4C1FB85B"/>
    <w:rsid w:val="4C22AD69"/>
    <w:rsid w:val="4C25D691"/>
    <w:rsid w:val="4C3268F3"/>
    <w:rsid w:val="4C37DAE9"/>
    <w:rsid w:val="4C3DF142"/>
    <w:rsid w:val="4C4A8208"/>
    <w:rsid w:val="4C4B0FC4"/>
    <w:rsid w:val="4C615DAB"/>
    <w:rsid w:val="4C6A67A7"/>
    <w:rsid w:val="4C719F06"/>
    <w:rsid w:val="4C72DBA4"/>
    <w:rsid w:val="4C7AF184"/>
    <w:rsid w:val="4C82DFDC"/>
    <w:rsid w:val="4C90156A"/>
    <w:rsid w:val="4C9810B8"/>
    <w:rsid w:val="4CA43194"/>
    <w:rsid w:val="4CB2D842"/>
    <w:rsid w:val="4CB8DC70"/>
    <w:rsid w:val="4CBF4E8B"/>
    <w:rsid w:val="4CBFA840"/>
    <w:rsid w:val="4CC70951"/>
    <w:rsid w:val="4D0019E3"/>
    <w:rsid w:val="4D06FCC8"/>
    <w:rsid w:val="4D0B7CF4"/>
    <w:rsid w:val="4D267195"/>
    <w:rsid w:val="4D27357E"/>
    <w:rsid w:val="4D29972A"/>
    <w:rsid w:val="4D2AD8AE"/>
    <w:rsid w:val="4D2BD67E"/>
    <w:rsid w:val="4D2BE52C"/>
    <w:rsid w:val="4D2CF0D7"/>
    <w:rsid w:val="4D34017F"/>
    <w:rsid w:val="4D36E576"/>
    <w:rsid w:val="4D3822B3"/>
    <w:rsid w:val="4D3F2EAA"/>
    <w:rsid w:val="4D55F1AF"/>
    <w:rsid w:val="4D58A19E"/>
    <w:rsid w:val="4D598499"/>
    <w:rsid w:val="4D6B1D9F"/>
    <w:rsid w:val="4D7183B9"/>
    <w:rsid w:val="4D749E8F"/>
    <w:rsid w:val="4D781480"/>
    <w:rsid w:val="4D85668B"/>
    <w:rsid w:val="4DA58682"/>
    <w:rsid w:val="4DABFB90"/>
    <w:rsid w:val="4DAEC61C"/>
    <w:rsid w:val="4DB70442"/>
    <w:rsid w:val="4DBCFE58"/>
    <w:rsid w:val="4DC1B765"/>
    <w:rsid w:val="4DC8EB25"/>
    <w:rsid w:val="4DD9A113"/>
    <w:rsid w:val="4DDC5525"/>
    <w:rsid w:val="4DE5A8BB"/>
    <w:rsid w:val="4DEEE30D"/>
    <w:rsid w:val="4DFBC20A"/>
    <w:rsid w:val="4DFD9DAB"/>
    <w:rsid w:val="4DFE0E41"/>
    <w:rsid w:val="4DFEF4F9"/>
    <w:rsid w:val="4E0889DA"/>
    <w:rsid w:val="4E1411BA"/>
    <w:rsid w:val="4E1E5345"/>
    <w:rsid w:val="4E1F4DAC"/>
    <w:rsid w:val="4E22455A"/>
    <w:rsid w:val="4E2FCA60"/>
    <w:rsid w:val="4E3E71C8"/>
    <w:rsid w:val="4E51A7BE"/>
    <w:rsid w:val="4E5B2058"/>
    <w:rsid w:val="4E6000B4"/>
    <w:rsid w:val="4E66823A"/>
    <w:rsid w:val="4E76F882"/>
    <w:rsid w:val="4E93C8CA"/>
    <w:rsid w:val="4EA43CFD"/>
    <w:rsid w:val="4EAF8C3A"/>
    <w:rsid w:val="4EB41303"/>
    <w:rsid w:val="4EB44E69"/>
    <w:rsid w:val="4EB7BEC7"/>
    <w:rsid w:val="4EB81731"/>
    <w:rsid w:val="4EC3B199"/>
    <w:rsid w:val="4EC3F9BF"/>
    <w:rsid w:val="4ECFD1E0"/>
    <w:rsid w:val="4ED1D154"/>
    <w:rsid w:val="4ED74507"/>
    <w:rsid w:val="4EDCEB8F"/>
    <w:rsid w:val="4EDCFE56"/>
    <w:rsid w:val="4EEA5AB1"/>
    <w:rsid w:val="4EF04085"/>
    <w:rsid w:val="4EFED890"/>
    <w:rsid w:val="4F03241A"/>
    <w:rsid w:val="4F0515D4"/>
    <w:rsid w:val="4F0F8737"/>
    <w:rsid w:val="4F312C84"/>
    <w:rsid w:val="4F34CD9E"/>
    <w:rsid w:val="4F4030AF"/>
    <w:rsid w:val="4F468EB0"/>
    <w:rsid w:val="4F4D824C"/>
    <w:rsid w:val="4F610885"/>
    <w:rsid w:val="4F655537"/>
    <w:rsid w:val="4F676A7D"/>
    <w:rsid w:val="4F68950C"/>
    <w:rsid w:val="4F7D68AD"/>
    <w:rsid w:val="4F7F95E7"/>
    <w:rsid w:val="4F823C00"/>
    <w:rsid w:val="4F98C27A"/>
    <w:rsid w:val="4FA19E2B"/>
    <w:rsid w:val="4FA19ED8"/>
    <w:rsid w:val="4FA9588E"/>
    <w:rsid w:val="4FBF5C60"/>
    <w:rsid w:val="4FD91C69"/>
    <w:rsid w:val="4FE7A691"/>
    <w:rsid w:val="4FEA28AB"/>
    <w:rsid w:val="4FF25831"/>
    <w:rsid w:val="4FFED839"/>
    <w:rsid w:val="5004FF34"/>
    <w:rsid w:val="500DB56E"/>
    <w:rsid w:val="501C17AC"/>
    <w:rsid w:val="501D5940"/>
    <w:rsid w:val="5021F987"/>
    <w:rsid w:val="502E69E2"/>
    <w:rsid w:val="5033C039"/>
    <w:rsid w:val="5036ACD8"/>
    <w:rsid w:val="503C7E8C"/>
    <w:rsid w:val="503F482B"/>
    <w:rsid w:val="5047C99A"/>
    <w:rsid w:val="504EC5ED"/>
    <w:rsid w:val="505A775A"/>
    <w:rsid w:val="505AA74D"/>
    <w:rsid w:val="5068C2CD"/>
    <w:rsid w:val="506D423A"/>
    <w:rsid w:val="5077327E"/>
    <w:rsid w:val="507A643B"/>
    <w:rsid w:val="50891D0E"/>
    <w:rsid w:val="50B68895"/>
    <w:rsid w:val="50B8BD60"/>
    <w:rsid w:val="50BB3388"/>
    <w:rsid w:val="50BF0108"/>
    <w:rsid w:val="50C0F06D"/>
    <w:rsid w:val="50DE0119"/>
    <w:rsid w:val="50E73578"/>
    <w:rsid w:val="50EFAD4E"/>
    <w:rsid w:val="50F43188"/>
    <w:rsid w:val="50F81335"/>
    <w:rsid w:val="50FB7392"/>
    <w:rsid w:val="50FB7713"/>
    <w:rsid w:val="510A07C4"/>
    <w:rsid w:val="510E7C97"/>
    <w:rsid w:val="5112EED7"/>
    <w:rsid w:val="5114DDB0"/>
    <w:rsid w:val="5127DA6B"/>
    <w:rsid w:val="51354DD7"/>
    <w:rsid w:val="5135AA02"/>
    <w:rsid w:val="5139BDD7"/>
    <w:rsid w:val="513FD640"/>
    <w:rsid w:val="514F1554"/>
    <w:rsid w:val="515428C6"/>
    <w:rsid w:val="5155C847"/>
    <w:rsid w:val="515A28B9"/>
    <w:rsid w:val="517E6FD6"/>
    <w:rsid w:val="5196FEE9"/>
    <w:rsid w:val="51A04670"/>
    <w:rsid w:val="51A8B4E3"/>
    <w:rsid w:val="51AA4153"/>
    <w:rsid w:val="51AE2531"/>
    <w:rsid w:val="51D4C292"/>
    <w:rsid w:val="51D50BB3"/>
    <w:rsid w:val="51F7A26F"/>
    <w:rsid w:val="520E7CB6"/>
    <w:rsid w:val="520EFD06"/>
    <w:rsid w:val="521C2C99"/>
    <w:rsid w:val="521C7A43"/>
    <w:rsid w:val="521EB7E7"/>
    <w:rsid w:val="521F28FD"/>
    <w:rsid w:val="52330511"/>
    <w:rsid w:val="5235CB84"/>
    <w:rsid w:val="5236ECB5"/>
    <w:rsid w:val="523E752C"/>
    <w:rsid w:val="52538FF7"/>
    <w:rsid w:val="525A70FD"/>
    <w:rsid w:val="525C73C3"/>
    <w:rsid w:val="526888E9"/>
    <w:rsid w:val="5289EE5A"/>
    <w:rsid w:val="528B7345"/>
    <w:rsid w:val="528E7A19"/>
    <w:rsid w:val="529546D4"/>
    <w:rsid w:val="52974323"/>
    <w:rsid w:val="529874EB"/>
    <w:rsid w:val="52A708CD"/>
    <w:rsid w:val="52B48BC7"/>
    <w:rsid w:val="52B6B094"/>
    <w:rsid w:val="52CC2AE0"/>
    <w:rsid w:val="52CD6CD9"/>
    <w:rsid w:val="52D23C81"/>
    <w:rsid w:val="52E1A0C1"/>
    <w:rsid w:val="52ED3036"/>
    <w:rsid w:val="52EE2FC9"/>
    <w:rsid w:val="52F2F805"/>
    <w:rsid w:val="52F5929B"/>
    <w:rsid w:val="52F7B701"/>
    <w:rsid w:val="5310AFAD"/>
    <w:rsid w:val="53145580"/>
    <w:rsid w:val="5318ADB7"/>
    <w:rsid w:val="531B1B57"/>
    <w:rsid w:val="531E4C1D"/>
    <w:rsid w:val="532FBD24"/>
    <w:rsid w:val="53383AC7"/>
    <w:rsid w:val="53409780"/>
    <w:rsid w:val="534B94CE"/>
    <w:rsid w:val="535B6AB5"/>
    <w:rsid w:val="53742CA7"/>
    <w:rsid w:val="5376AC8B"/>
    <w:rsid w:val="538351EA"/>
    <w:rsid w:val="5384A167"/>
    <w:rsid w:val="5394DF96"/>
    <w:rsid w:val="53A11FBA"/>
    <w:rsid w:val="53A9A2E1"/>
    <w:rsid w:val="53B7D635"/>
    <w:rsid w:val="53CA61B2"/>
    <w:rsid w:val="53DC2D23"/>
    <w:rsid w:val="53F581C6"/>
    <w:rsid w:val="5403C806"/>
    <w:rsid w:val="5432808F"/>
    <w:rsid w:val="543414B1"/>
    <w:rsid w:val="5441E1B1"/>
    <w:rsid w:val="544C6C61"/>
    <w:rsid w:val="54847452"/>
    <w:rsid w:val="54883CBA"/>
    <w:rsid w:val="548E5EA7"/>
    <w:rsid w:val="5495E9C8"/>
    <w:rsid w:val="54B3AEB2"/>
    <w:rsid w:val="54BDDC26"/>
    <w:rsid w:val="54CB1703"/>
    <w:rsid w:val="54CD6BE4"/>
    <w:rsid w:val="54CFB14B"/>
    <w:rsid w:val="54DEE406"/>
    <w:rsid w:val="54E35372"/>
    <w:rsid w:val="54EC96C3"/>
    <w:rsid w:val="54FD6B4F"/>
    <w:rsid w:val="54FD96A4"/>
    <w:rsid w:val="55079034"/>
    <w:rsid w:val="550AC01E"/>
    <w:rsid w:val="550D2741"/>
    <w:rsid w:val="550E81A3"/>
    <w:rsid w:val="551486E6"/>
    <w:rsid w:val="551E0DA5"/>
    <w:rsid w:val="551F9B2C"/>
    <w:rsid w:val="552DE87D"/>
    <w:rsid w:val="5556CAE3"/>
    <w:rsid w:val="5569FF6C"/>
    <w:rsid w:val="557E2F46"/>
    <w:rsid w:val="558352DD"/>
    <w:rsid w:val="558B9C7E"/>
    <w:rsid w:val="5591EEDE"/>
    <w:rsid w:val="55A1CC10"/>
    <w:rsid w:val="55B54A11"/>
    <w:rsid w:val="55E4FA21"/>
    <w:rsid w:val="55E51AE0"/>
    <w:rsid w:val="55E67B10"/>
    <w:rsid w:val="55F4DA99"/>
    <w:rsid w:val="55FE6D7B"/>
    <w:rsid w:val="5603B860"/>
    <w:rsid w:val="561F274A"/>
    <w:rsid w:val="5620729A"/>
    <w:rsid w:val="5620C31C"/>
    <w:rsid w:val="5620F543"/>
    <w:rsid w:val="565BADAE"/>
    <w:rsid w:val="566948E7"/>
    <w:rsid w:val="566BEAB8"/>
    <w:rsid w:val="568A9AE5"/>
    <w:rsid w:val="568EAEF2"/>
    <w:rsid w:val="5690BFA2"/>
    <w:rsid w:val="56972A16"/>
    <w:rsid w:val="569ECEBC"/>
    <w:rsid w:val="56A0CA61"/>
    <w:rsid w:val="56A2F289"/>
    <w:rsid w:val="56A92F75"/>
    <w:rsid w:val="56BDF8DA"/>
    <w:rsid w:val="56CCEEF3"/>
    <w:rsid w:val="56D4A4F0"/>
    <w:rsid w:val="56D4FF8F"/>
    <w:rsid w:val="56EB23CA"/>
    <w:rsid w:val="56FC8A28"/>
    <w:rsid w:val="57018426"/>
    <w:rsid w:val="571EDC14"/>
    <w:rsid w:val="57288C59"/>
    <w:rsid w:val="572D7717"/>
    <w:rsid w:val="57362CD2"/>
    <w:rsid w:val="5739895D"/>
    <w:rsid w:val="5743DAF4"/>
    <w:rsid w:val="57470318"/>
    <w:rsid w:val="574EE760"/>
    <w:rsid w:val="575A132F"/>
    <w:rsid w:val="5783D206"/>
    <w:rsid w:val="57840109"/>
    <w:rsid w:val="579E51B4"/>
    <w:rsid w:val="57A05D24"/>
    <w:rsid w:val="57A73890"/>
    <w:rsid w:val="57BDB979"/>
    <w:rsid w:val="57C65E05"/>
    <w:rsid w:val="57C8AEFC"/>
    <w:rsid w:val="57C9BFA1"/>
    <w:rsid w:val="57EA0DCA"/>
    <w:rsid w:val="57EA8BEF"/>
    <w:rsid w:val="57F99D8B"/>
    <w:rsid w:val="57FAC006"/>
    <w:rsid w:val="58022540"/>
    <w:rsid w:val="5803E291"/>
    <w:rsid w:val="58115AEB"/>
    <w:rsid w:val="58265AE3"/>
    <w:rsid w:val="5833955E"/>
    <w:rsid w:val="583867FB"/>
    <w:rsid w:val="5839093E"/>
    <w:rsid w:val="583BCAF1"/>
    <w:rsid w:val="58427FF8"/>
    <w:rsid w:val="5845FC4D"/>
    <w:rsid w:val="587BF2C9"/>
    <w:rsid w:val="587C644C"/>
    <w:rsid w:val="5897E485"/>
    <w:rsid w:val="589C61E8"/>
    <w:rsid w:val="58A24D18"/>
    <w:rsid w:val="58BE0B1D"/>
    <w:rsid w:val="58C11AB6"/>
    <w:rsid w:val="58C3A592"/>
    <w:rsid w:val="58C4C83E"/>
    <w:rsid w:val="58DE024B"/>
    <w:rsid w:val="58FF606E"/>
    <w:rsid w:val="59015DA1"/>
    <w:rsid w:val="590472E5"/>
    <w:rsid w:val="5914C691"/>
    <w:rsid w:val="592B34F5"/>
    <w:rsid w:val="59383EDD"/>
    <w:rsid w:val="59449924"/>
    <w:rsid w:val="5957585D"/>
    <w:rsid w:val="59595725"/>
    <w:rsid w:val="59657D9B"/>
    <w:rsid w:val="596F13B7"/>
    <w:rsid w:val="5978E3E2"/>
    <w:rsid w:val="597D6EF9"/>
    <w:rsid w:val="598292F3"/>
    <w:rsid w:val="5986DB4C"/>
    <w:rsid w:val="5991B935"/>
    <w:rsid w:val="59C3E660"/>
    <w:rsid w:val="59D724B4"/>
    <w:rsid w:val="59DAD2B8"/>
    <w:rsid w:val="59DD67A3"/>
    <w:rsid w:val="59EFEAFA"/>
    <w:rsid w:val="59F7B518"/>
    <w:rsid w:val="5A040D00"/>
    <w:rsid w:val="5A042755"/>
    <w:rsid w:val="5A06D91E"/>
    <w:rsid w:val="5A111DDD"/>
    <w:rsid w:val="5A1ADFD8"/>
    <w:rsid w:val="5A220EB6"/>
    <w:rsid w:val="5A2B25ED"/>
    <w:rsid w:val="5A365D31"/>
    <w:rsid w:val="5A38B5F5"/>
    <w:rsid w:val="5A3A5476"/>
    <w:rsid w:val="5A4EFB7D"/>
    <w:rsid w:val="5A548D94"/>
    <w:rsid w:val="5A57F6CA"/>
    <w:rsid w:val="5A69A6A8"/>
    <w:rsid w:val="5A6F2934"/>
    <w:rsid w:val="5A6FFD9D"/>
    <w:rsid w:val="5A760D2E"/>
    <w:rsid w:val="5A802213"/>
    <w:rsid w:val="5A80C142"/>
    <w:rsid w:val="5A856011"/>
    <w:rsid w:val="5A8AE8DC"/>
    <w:rsid w:val="5A8BE600"/>
    <w:rsid w:val="5A92EB83"/>
    <w:rsid w:val="5A96EB51"/>
    <w:rsid w:val="5AA66CF7"/>
    <w:rsid w:val="5AA87815"/>
    <w:rsid w:val="5AABA489"/>
    <w:rsid w:val="5AB11B68"/>
    <w:rsid w:val="5AB70810"/>
    <w:rsid w:val="5ABAA09A"/>
    <w:rsid w:val="5ABB32CA"/>
    <w:rsid w:val="5ACF387F"/>
    <w:rsid w:val="5AD6D49F"/>
    <w:rsid w:val="5ADAF763"/>
    <w:rsid w:val="5AE06DD9"/>
    <w:rsid w:val="5AE0B119"/>
    <w:rsid w:val="5AE7D99B"/>
    <w:rsid w:val="5AEBA3BC"/>
    <w:rsid w:val="5AF953A9"/>
    <w:rsid w:val="5B081242"/>
    <w:rsid w:val="5B130F83"/>
    <w:rsid w:val="5B15FEC4"/>
    <w:rsid w:val="5B1A7B2B"/>
    <w:rsid w:val="5B1EBCD0"/>
    <w:rsid w:val="5B20EB5F"/>
    <w:rsid w:val="5B2E0AD3"/>
    <w:rsid w:val="5B4DF6DC"/>
    <w:rsid w:val="5B519842"/>
    <w:rsid w:val="5B536193"/>
    <w:rsid w:val="5B5EAD31"/>
    <w:rsid w:val="5B6864EC"/>
    <w:rsid w:val="5B69EA1F"/>
    <w:rsid w:val="5B74EAF6"/>
    <w:rsid w:val="5B788E49"/>
    <w:rsid w:val="5B7A03CA"/>
    <w:rsid w:val="5B9BA347"/>
    <w:rsid w:val="5B9C7977"/>
    <w:rsid w:val="5BB2E579"/>
    <w:rsid w:val="5BCB7F5F"/>
    <w:rsid w:val="5BCD25E6"/>
    <w:rsid w:val="5BD032F2"/>
    <w:rsid w:val="5BD213D4"/>
    <w:rsid w:val="5BDA1C90"/>
    <w:rsid w:val="5BDEB145"/>
    <w:rsid w:val="5BFA8C61"/>
    <w:rsid w:val="5BFCAE5E"/>
    <w:rsid w:val="5C11452D"/>
    <w:rsid w:val="5C13F512"/>
    <w:rsid w:val="5C1B4C82"/>
    <w:rsid w:val="5C275B98"/>
    <w:rsid w:val="5C410361"/>
    <w:rsid w:val="5C46CD82"/>
    <w:rsid w:val="5C4D4BB2"/>
    <w:rsid w:val="5C59C18D"/>
    <w:rsid w:val="5C5D7875"/>
    <w:rsid w:val="5C727C25"/>
    <w:rsid w:val="5C819282"/>
    <w:rsid w:val="5C86915C"/>
    <w:rsid w:val="5C9C6554"/>
    <w:rsid w:val="5C9DCB2E"/>
    <w:rsid w:val="5C9FC54E"/>
    <w:rsid w:val="5CA10F7F"/>
    <w:rsid w:val="5CA84793"/>
    <w:rsid w:val="5CA9ADDD"/>
    <w:rsid w:val="5CC94080"/>
    <w:rsid w:val="5CCCAE52"/>
    <w:rsid w:val="5CD5995D"/>
    <w:rsid w:val="5CFC22AE"/>
    <w:rsid w:val="5CFE67D1"/>
    <w:rsid w:val="5CFF5B6E"/>
    <w:rsid w:val="5D0A84D9"/>
    <w:rsid w:val="5D141382"/>
    <w:rsid w:val="5D162A4F"/>
    <w:rsid w:val="5D176A2A"/>
    <w:rsid w:val="5D1C6EAE"/>
    <w:rsid w:val="5D1FD205"/>
    <w:rsid w:val="5D258CB5"/>
    <w:rsid w:val="5D32674F"/>
    <w:rsid w:val="5D39B4BB"/>
    <w:rsid w:val="5D3D7219"/>
    <w:rsid w:val="5D43C8B4"/>
    <w:rsid w:val="5D4A72E5"/>
    <w:rsid w:val="5D4CB929"/>
    <w:rsid w:val="5D59E4FD"/>
    <w:rsid w:val="5D670A3C"/>
    <w:rsid w:val="5D74649A"/>
    <w:rsid w:val="5D7A3375"/>
    <w:rsid w:val="5D7BA6D4"/>
    <w:rsid w:val="5D7CA52B"/>
    <w:rsid w:val="5D7CBC78"/>
    <w:rsid w:val="5D822ABF"/>
    <w:rsid w:val="5D84B8C6"/>
    <w:rsid w:val="5DA0772D"/>
    <w:rsid w:val="5DC03E08"/>
    <w:rsid w:val="5DC2C7ED"/>
    <w:rsid w:val="5DD1CC9E"/>
    <w:rsid w:val="5DD5BE3E"/>
    <w:rsid w:val="5DDBE99D"/>
    <w:rsid w:val="5DE77443"/>
    <w:rsid w:val="5DF26889"/>
    <w:rsid w:val="5E028251"/>
    <w:rsid w:val="5E063494"/>
    <w:rsid w:val="5E0FECE3"/>
    <w:rsid w:val="5E16CB0D"/>
    <w:rsid w:val="5E189D46"/>
    <w:rsid w:val="5E25A89E"/>
    <w:rsid w:val="5E35FAA3"/>
    <w:rsid w:val="5E400BDA"/>
    <w:rsid w:val="5E411854"/>
    <w:rsid w:val="5E4B11DF"/>
    <w:rsid w:val="5E4C37B3"/>
    <w:rsid w:val="5E50D621"/>
    <w:rsid w:val="5E5B1E93"/>
    <w:rsid w:val="5E5CEF5F"/>
    <w:rsid w:val="5E62B6E4"/>
    <w:rsid w:val="5E70BEFF"/>
    <w:rsid w:val="5E79DBC1"/>
    <w:rsid w:val="5E88C476"/>
    <w:rsid w:val="5E8A776F"/>
    <w:rsid w:val="5E9AA65A"/>
    <w:rsid w:val="5EBC5C22"/>
    <w:rsid w:val="5EC66CA0"/>
    <w:rsid w:val="5ECDC415"/>
    <w:rsid w:val="5ED9987C"/>
    <w:rsid w:val="5EE468EE"/>
    <w:rsid w:val="5EEA3DAC"/>
    <w:rsid w:val="5EF1F7EC"/>
    <w:rsid w:val="5F0A76C9"/>
    <w:rsid w:val="5F0A7B77"/>
    <w:rsid w:val="5F0C6FF5"/>
    <w:rsid w:val="5F0F79C5"/>
    <w:rsid w:val="5F1BCB84"/>
    <w:rsid w:val="5F21EBBB"/>
    <w:rsid w:val="5F23F714"/>
    <w:rsid w:val="5F2AE93C"/>
    <w:rsid w:val="5F41E2BE"/>
    <w:rsid w:val="5F474AB7"/>
    <w:rsid w:val="5F4AD295"/>
    <w:rsid w:val="5F55555F"/>
    <w:rsid w:val="5F7DFC06"/>
    <w:rsid w:val="5F842F00"/>
    <w:rsid w:val="5FA0A5D9"/>
    <w:rsid w:val="5FA4FEF6"/>
    <w:rsid w:val="5FA6D8DF"/>
    <w:rsid w:val="5FC1E7E2"/>
    <w:rsid w:val="6006DB84"/>
    <w:rsid w:val="6008951A"/>
    <w:rsid w:val="60160368"/>
    <w:rsid w:val="60193421"/>
    <w:rsid w:val="601B58D7"/>
    <w:rsid w:val="6021A194"/>
    <w:rsid w:val="6028EDF7"/>
    <w:rsid w:val="602E16C2"/>
    <w:rsid w:val="602EE3AD"/>
    <w:rsid w:val="6037F5F2"/>
    <w:rsid w:val="6041D703"/>
    <w:rsid w:val="605EB7A2"/>
    <w:rsid w:val="605F6454"/>
    <w:rsid w:val="60675A11"/>
    <w:rsid w:val="60686BAE"/>
    <w:rsid w:val="607AF500"/>
    <w:rsid w:val="6087B51A"/>
    <w:rsid w:val="608A8F94"/>
    <w:rsid w:val="608D1374"/>
    <w:rsid w:val="60906A22"/>
    <w:rsid w:val="6093C191"/>
    <w:rsid w:val="6096BC6F"/>
    <w:rsid w:val="60A1ECDC"/>
    <w:rsid w:val="60A2A9B0"/>
    <w:rsid w:val="60A34A21"/>
    <w:rsid w:val="60A79D74"/>
    <w:rsid w:val="60B4C7F9"/>
    <w:rsid w:val="60C14999"/>
    <w:rsid w:val="60D957F8"/>
    <w:rsid w:val="60EF3D8D"/>
    <w:rsid w:val="60F6C667"/>
    <w:rsid w:val="611EFD54"/>
    <w:rsid w:val="612A6A20"/>
    <w:rsid w:val="612F626E"/>
    <w:rsid w:val="61417BA6"/>
    <w:rsid w:val="614AC3B2"/>
    <w:rsid w:val="614E0701"/>
    <w:rsid w:val="6168DC17"/>
    <w:rsid w:val="616F812B"/>
    <w:rsid w:val="617ABE6D"/>
    <w:rsid w:val="61804377"/>
    <w:rsid w:val="6183EFD0"/>
    <w:rsid w:val="6183F241"/>
    <w:rsid w:val="61946CC7"/>
    <w:rsid w:val="619A3880"/>
    <w:rsid w:val="61B55475"/>
    <w:rsid w:val="61B89BB1"/>
    <w:rsid w:val="61B8A37C"/>
    <w:rsid w:val="61E2C879"/>
    <w:rsid w:val="61E9FC4C"/>
    <w:rsid w:val="620A3C4D"/>
    <w:rsid w:val="6210E542"/>
    <w:rsid w:val="62143D29"/>
    <w:rsid w:val="62286FC1"/>
    <w:rsid w:val="6229A0B1"/>
    <w:rsid w:val="622F26F1"/>
    <w:rsid w:val="623E435F"/>
    <w:rsid w:val="62435B3F"/>
    <w:rsid w:val="62488493"/>
    <w:rsid w:val="625DFDC0"/>
    <w:rsid w:val="628198D9"/>
    <w:rsid w:val="62AE3BF9"/>
    <w:rsid w:val="62B0F7F3"/>
    <w:rsid w:val="62BD281D"/>
    <w:rsid w:val="62BF4E05"/>
    <w:rsid w:val="62D6D4D2"/>
    <w:rsid w:val="62F5F01C"/>
    <w:rsid w:val="63047249"/>
    <w:rsid w:val="630BF813"/>
    <w:rsid w:val="6315AFE2"/>
    <w:rsid w:val="6334E383"/>
    <w:rsid w:val="6336F85E"/>
    <w:rsid w:val="633AE094"/>
    <w:rsid w:val="63401EDF"/>
    <w:rsid w:val="63403F3B"/>
    <w:rsid w:val="634BBACE"/>
    <w:rsid w:val="634E7F69"/>
    <w:rsid w:val="63574494"/>
    <w:rsid w:val="635B317A"/>
    <w:rsid w:val="635DE156"/>
    <w:rsid w:val="635F387D"/>
    <w:rsid w:val="636D7CA7"/>
    <w:rsid w:val="6374A6E2"/>
    <w:rsid w:val="63757DDA"/>
    <w:rsid w:val="637C600C"/>
    <w:rsid w:val="637D586D"/>
    <w:rsid w:val="6381F7D4"/>
    <w:rsid w:val="6384379C"/>
    <w:rsid w:val="63851568"/>
    <w:rsid w:val="63875B8D"/>
    <w:rsid w:val="638F4A82"/>
    <w:rsid w:val="63981E12"/>
    <w:rsid w:val="639FFD08"/>
    <w:rsid w:val="63A0D988"/>
    <w:rsid w:val="63AD672B"/>
    <w:rsid w:val="63B4AF5F"/>
    <w:rsid w:val="63C4254B"/>
    <w:rsid w:val="63C98D1B"/>
    <w:rsid w:val="63CD568E"/>
    <w:rsid w:val="63E2C043"/>
    <w:rsid w:val="63EC8357"/>
    <w:rsid w:val="63EDE830"/>
    <w:rsid w:val="63F5FB09"/>
    <w:rsid w:val="63F99795"/>
    <w:rsid w:val="63FAB8A5"/>
    <w:rsid w:val="640B2606"/>
    <w:rsid w:val="640C689C"/>
    <w:rsid w:val="640FE2D6"/>
    <w:rsid w:val="6417B871"/>
    <w:rsid w:val="642067CF"/>
    <w:rsid w:val="64230515"/>
    <w:rsid w:val="64256B82"/>
    <w:rsid w:val="6430DFEA"/>
    <w:rsid w:val="6433A8FC"/>
    <w:rsid w:val="6437AB4D"/>
    <w:rsid w:val="64469296"/>
    <w:rsid w:val="644AA264"/>
    <w:rsid w:val="64568006"/>
    <w:rsid w:val="6468D3B4"/>
    <w:rsid w:val="647FE277"/>
    <w:rsid w:val="6483BEFC"/>
    <w:rsid w:val="649C54FC"/>
    <w:rsid w:val="64A869B6"/>
    <w:rsid w:val="64B1F4E8"/>
    <w:rsid w:val="64BF8C67"/>
    <w:rsid w:val="64C606C7"/>
    <w:rsid w:val="64CF08F6"/>
    <w:rsid w:val="64D1F64E"/>
    <w:rsid w:val="64E01102"/>
    <w:rsid w:val="64E02F39"/>
    <w:rsid w:val="64E29144"/>
    <w:rsid w:val="64E498A3"/>
    <w:rsid w:val="64EB4D43"/>
    <w:rsid w:val="64ED58C4"/>
    <w:rsid w:val="64F09A35"/>
    <w:rsid w:val="64F12D37"/>
    <w:rsid w:val="64F1C3CF"/>
    <w:rsid w:val="6505F4A7"/>
    <w:rsid w:val="6522F9B8"/>
    <w:rsid w:val="653942EC"/>
    <w:rsid w:val="653A3701"/>
    <w:rsid w:val="653ACC52"/>
    <w:rsid w:val="653CA7CA"/>
    <w:rsid w:val="6541EBFB"/>
    <w:rsid w:val="654A7FCA"/>
    <w:rsid w:val="654AFE93"/>
    <w:rsid w:val="654EAE28"/>
    <w:rsid w:val="65524112"/>
    <w:rsid w:val="655C62AC"/>
    <w:rsid w:val="655CB694"/>
    <w:rsid w:val="656983D1"/>
    <w:rsid w:val="6570B866"/>
    <w:rsid w:val="6583CB7A"/>
    <w:rsid w:val="6589F4CD"/>
    <w:rsid w:val="659A3C32"/>
    <w:rsid w:val="659E66CC"/>
    <w:rsid w:val="65A1C76D"/>
    <w:rsid w:val="65C2DDFB"/>
    <w:rsid w:val="65DF9CBC"/>
    <w:rsid w:val="65E256CA"/>
    <w:rsid w:val="65EC371F"/>
    <w:rsid w:val="65F106F0"/>
    <w:rsid w:val="65FAE24F"/>
    <w:rsid w:val="65FE4213"/>
    <w:rsid w:val="6607826A"/>
    <w:rsid w:val="661813ED"/>
    <w:rsid w:val="661BD737"/>
    <w:rsid w:val="661E61D5"/>
    <w:rsid w:val="6637D5CA"/>
    <w:rsid w:val="663DF89F"/>
    <w:rsid w:val="6651B263"/>
    <w:rsid w:val="6655F82E"/>
    <w:rsid w:val="6669CF1F"/>
    <w:rsid w:val="66769AE9"/>
    <w:rsid w:val="66841AF4"/>
    <w:rsid w:val="6698686B"/>
    <w:rsid w:val="669F6207"/>
    <w:rsid w:val="66A13B1E"/>
    <w:rsid w:val="66A6546A"/>
    <w:rsid w:val="66AA1BD4"/>
    <w:rsid w:val="66ABA1B8"/>
    <w:rsid w:val="66C44D63"/>
    <w:rsid w:val="66C6C2DB"/>
    <w:rsid w:val="66C8ADD1"/>
    <w:rsid w:val="66D7EBA1"/>
    <w:rsid w:val="66DF2DA4"/>
    <w:rsid w:val="66EE04F4"/>
    <w:rsid w:val="66EF25A0"/>
    <w:rsid w:val="66F9913C"/>
    <w:rsid w:val="670C64A0"/>
    <w:rsid w:val="6731E30B"/>
    <w:rsid w:val="6732DBE5"/>
    <w:rsid w:val="673D144D"/>
    <w:rsid w:val="6741A8BC"/>
    <w:rsid w:val="67461D6C"/>
    <w:rsid w:val="6746E6CE"/>
    <w:rsid w:val="674F2DD3"/>
    <w:rsid w:val="67532855"/>
    <w:rsid w:val="67564844"/>
    <w:rsid w:val="67579C21"/>
    <w:rsid w:val="675E6964"/>
    <w:rsid w:val="6766A899"/>
    <w:rsid w:val="6788E960"/>
    <w:rsid w:val="678A7FD1"/>
    <w:rsid w:val="678BDA4A"/>
    <w:rsid w:val="678EFC85"/>
    <w:rsid w:val="67A2A5D6"/>
    <w:rsid w:val="67B41052"/>
    <w:rsid w:val="67BCBC7C"/>
    <w:rsid w:val="67BE8A19"/>
    <w:rsid w:val="67C64A1A"/>
    <w:rsid w:val="67D81010"/>
    <w:rsid w:val="67F1DB95"/>
    <w:rsid w:val="67F813E2"/>
    <w:rsid w:val="67FE5239"/>
    <w:rsid w:val="6816487B"/>
    <w:rsid w:val="681BD198"/>
    <w:rsid w:val="68256812"/>
    <w:rsid w:val="68265F70"/>
    <w:rsid w:val="682C0B1F"/>
    <w:rsid w:val="68358EFA"/>
    <w:rsid w:val="685D932F"/>
    <w:rsid w:val="686C7515"/>
    <w:rsid w:val="6883A787"/>
    <w:rsid w:val="688A8437"/>
    <w:rsid w:val="68982573"/>
    <w:rsid w:val="68B2ABF6"/>
    <w:rsid w:val="68B6DCBA"/>
    <w:rsid w:val="68BC9F0A"/>
    <w:rsid w:val="68DBFFB4"/>
    <w:rsid w:val="68FDDF8D"/>
    <w:rsid w:val="69060E9F"/>
    <w:rsid w:val="690BC2AE"/>
    <w:rsid w:val="69164EAA"/>
    <w:rsid w:val="6921DC59"/>
    <w:rsid w:val="69237636"/>
    <w:rsid w:val="69307B8F"/>
    <w:rsid w:val="6955B9CA"/>
    <w:rsid w:val="695ADEC6"/>
    <w:rsid w:val="696A4653"/>
    <w:rsid w:val="696A94D9"/>
    <w:rsid w:val="696AF3E1"/>
    <w:rsid w:val="696FA2FD"/>
    <w:rsid w:val="6975B107"/>
    <w:rsid w:val="697FFF22"/>
    <w:rsid w:val="69A1A404"/>
    <w:rsid w:val="69A58AF1"/>
    <w:rsid w:val="69B2D992"/>
    <w:rsid w:val="69BE3265"/>
    <w:rsid w:val="69C1FA6E"/>
    <w:rsid w:val="69D86A1F"/>
    <w:rsid w:val="69DC30AA"/>
    <w:rsid w:val="69DE6A56"/>
    <w:rsid w:val="69DF6645"/>
    <w:rsid w:val="69E0EDDD"/>
    <w:rsid w:val="69E3F633"/>
    <w:rsid w:val="69EAC457"/>
    <w:rsid w:val="69F249C5"/>
    <w:rsid w:val="69FB2D2C"/>
    <w:rsid w:val="6A007104"/>
    <w:rsid w:val="6A064C08"/>
    <w:rsid w:val="6A08770E"/>
    <w:rsid w:val="6A0B3606"/>
    <w:rsid w:val="6A0B3849"/>
    <w:rsid w:val="6A0B4142"/>
    <w:rsid w:val="6A0E8DB3"/>
    <w:rsid w:val="6A0F00A1"/>
    <w:rsid w:val="6A128672"/>
    <w:rsid w:val="6A18DE30"/>
    <w:rsid w:val="6A272AA6"/>
    <w:rsid w:val="6A3C5F43"/>
    <w:rsid w:val="6A41017F"/>
    <w:rsid w:val="6A470954"/>
    <w:rsid w:val="6A4AA6F4"/>
    <w:rsid w:val="6A4CF75B"/>
    <w:rsid w:val="6A5249DC"/>
    <w:rsid w:val="6A530109"/>
    <w:rsid w:val="6A57857D"/>
    <w:rsid w:val="6A5E1589"/>
    <w:rsid w:val="6A81E61C"/>
    <w:rsid w:val="6A8559B9"/>
    <w:rsid w:val="6A95F478"/>
    <w:rsid w:val="6AA93D75"/>
    <w:rsid w:val="6AC859DA"/>
    <w:rsid w:val="6AD722C9"/>
    <w:rsid w:val="6ADBB1A2"/>
    <w:rsid w:val="6AE11AA1"/>
    <w:rsid w:val="6AE2BB86"/>
    <w:rsid w:val="6AF54E15"/>
    <w:rsid w:val="6AFB11AC"/>
    <w:rsid w:val="6B02E737"/>
    <w:rsid w:val="6B1669CC"/>
    <w:rsid w:val="6B2CECBE"/>
    <w:rsid w:val="6B2F6324"/>
    <w:rsid w:val="6B300307"/>
    <w:rsid w:val="6B475579"/>
    <w:rsid w:val="6B5184D0"/>
    <w:rsid w:val="6B5D1DB3"/>
    <w:rsid w:val="6B6469A2"/>
    <w:rsid w:val="6B68915B"/>
    <w:rsid w:val="6B7417CC"/>
    <w:rsid w:val="6B75EDFC"/>
    <w:rsid w:val="6B7FFEEC"/>
    <w:rsid w:val="6B803C7E"/>
    <w:rsid w:val="6B821A29"/>
    <w:rsid w:val="6BAA0B36"/>
    <w:rsid w:val="6BAE4DC5"/>
    <w:rsid w:val="6BB33DDB"/>
    <w:rsid w:val="6BCD5F18"/>
    <w:rsid w:val="6BD44926"/>
    <w:rsid w:val="6BD784D8"/>
    <w:rsid w:val="6BDC247E"/>
    <w:rsid w:val="6BE8D43C"/>
    <w:rsid w:val="6BF196B0"/>
    <w:rsid w:val="6BF5E747"/>
    <w:rsid w:val="6BFB8B88"/>
    <w:rsid w:val="6BFFE69B"/>
    <w:rsid w:val="6C13985A"/>
    <w:rsid w:val="6C16757F"/>
    <w:rsid w:val="6C1A25A7"/>
    <w:rsid w:val="6C2C1AB0"/>
    <w:rsid w:val="6C3B8428"/>
    <w:rsid w:val="6C490096"/>
    <w:rsid w:val="6C6003CC"/>
    <w:rsid w:val="6C60A919"/>
    <w:rsid w:val="6C66D032"/>
    <w:rsid w:val="6C68A8A2"/>
    <w:rsid w:val="6C6CCA2D"/>
    <w:rsid w:val="6C7B6AEA"/>
    <w:rsid w:val="6C8F2048"/>
    <w:rsid w:val="6C937699"/>
    <w:rsid w:val="6C996057"/>
    <w:rsid w:val="6CA79DF7"/>
    <w:rsid w:val="6CADEF9A"/>
    <w:rsid w:val="6CB3C394"/>
    <w:rsid w:val="6CB647C4"/>
    <w:rsid w:val="6CBDD5C6"/>
    <w:rsid w:val="6CC0F1E3"/>
    <w:rsid w:val="6CEA7D61"/>
    <w:rsid w:val="6CFA7FFD"/>
    <w:rsid w:val="6CFF1A80"/>
    <w:rsid w:val="6D08589D"/>
    <w:rsid w:val="6D18EF8E"/>
    <w:rsid w:val="6D339A04"/>
    <w:rsid w:val="6D33D73D"/>
    <w:rsid w:val="6D42D629"/>
    <w:rsid w:val="6D5BBD7D"/>
    <w:rsid w:val="6D6308D3"/>
    <w:rsid w:val="6D81671F"/>
    <w:rsid w:val="6D911098"/>
    <w:rsid w:val="6D96B7C1"/>
    <w:rsid w:val="6DA349F2"/>
    <w:rsid w:val="6DB95FD8"/>
    <w:rsid w:val="6DBCE087"/>
    <w:rsid w:val="6DCBDBB8"/>
    <w:rsid w:val="6DCE3215"/>
    <w:rsid w:val="6DE1591D"/>
    <w:rsid w:val="6DECA4A7"/>
    <w:rsid w:val="6DF44BBB"/>
    <w:rsid w:val="6DF475B8"/>
    <w:rsid w:val="6E10AB59"/>
    <w:rsid w:val="6E1B4FB9"/>
    <w:rsid w:val="6E260885"/>
    <w:rsid w:val="6E271E74"/>
    <w:rsid w:val="6E28AA80"/>
    <w:rsid w:val="6E3C5585"/>
    <w:rsid w:val="6E4FA81B"/>
    <w:rsid w:val="6E538603"/>
    <w:rsid w:val="6E638C48"/>
    <w:rsid w:val="6E6703E6"/>
    <w:rsid w:val="6E67DF93"/>
    <w:rsid w:val="6E76F436"/>
    <w:rsid w:val="6E880AF3"/>
    <w:rsid w:val="6E938290"/>
    <w:rsid w:val="6E953EFE"/>
    <w:rsid w:val="6E9931B7"/>
    <w:rsid w:val="6E9DB247"/>
    <w:rsid w:val="6EA4C85F"/>
    <w:rsid w:val="6EB18FAA"/>
    <w:rsid w:val="6EB8C5C1"/>
    <w:rsid w:val="6EBD5F16"/>
    <w:rsid w:val="6ECACD9B"/>
    <w:rsid w:val="6ECEADEC"/>
    <w:rsid w:val="6ECF7FD3"/>
    <w:rsid w:val="6EDBFC7B"/>
    <w:rsid w:val="6EE84258"/>
    <w:rsid w:val="6EF00823"/>
    <w:rsid w:val="6EFECDCD"/>
    <w:rsid w:val="6F0571C8"/>
    <w:rsid w:val="6F06D086"/>
    <w:rsid w:val="6F139DB3"/>
    <w:rsid w:val="6F2DA768"/>
    <w:rsid w:val="6F3B597F"/>
    <w:rsid w:val="6F3DF3CF"/>
    <w:rsid w:val="6F41DBCA"/>
    <w:rsid w:val="6F44AFEF"/>
    <w:rsid w:val="6F4A0994"/>
    <w:rsid w:val="6F6FAADE"/>
    <w:rsid w:val="6F71287D"/>
    <w:rsid w:val="6F7259FD"/>
    <w:rsid w:val="6F88A7F7"/>
    <w:rsid w:val="6F88D015"/>
    <w:rsid w:val="6F9F6554"/>
    <w:rsid w:val="6FA478DC"/>
    <w:rsid w:val="6FCC0D33"/>
    <w:rsid w:val="6FD2BF43"/>
    <w:rsid w:val="6FD3E3D4"/>
    <w:rsid w:val="6FEC4DA3"/>
    <w:rsid w:val="6FFE0D5B"/>
    <w:rsid w:val="6FFE227A"/>
    <w:rsid w:val="700D3FDE"/>
    <w:rsid w:val="701C6289"/>
    <w:rsid w:val="702220C8"/>
    <w:rsid w:val="7037005E"/>
    <w:rsid w:val="70388938"/>
    <w:rsid w:val="70545648"/>
    <w:rsid w:val="705BDBC1"/>
    <w:rsid w:val="705F1706"/>
    <w:rsid w:val="7063AD6A"/>
    <w:rsid w:val="70672285"/>
    <w:rsid w:val="7068D30B"/>
    <w:rsid w:val="70767307"/>
    <w:rsid w:val="70891089"/>
    <w:rsid w:val="709C05B7"/>
    <w:rsid w:val="70BF4858"/>
    <w:rsid w:val="70C4122D"/>
    <w:rsid w:val="70C9D1AE"/>
    <w:rsid w:val="70D372EF"/>
    <w:rsid w:val="70D5FE51"/>
    <w:rsid w:val="70E197EC"/>
    <w:rsid w:val="70E9C734"/>
    <w:rsid w:val="70EF45A5"/>
    <w:rsid w:val="70F8EF6E"/>
    <w:rsid w:val="710CB014"/>
    <w:rsid w:val="7118A46F"/>
    <w:rsid w:val="711AC3FD"/>
    <w:rsid w:val="71328F35"/>
    <w:rsid w:val="714B673C"/>
    <w:rsid w:val="714B9C51"/>
    <w:rsid w:val="717BF2CC"/>
    <w:rsid w:val="71829434"/>
    <w:rsid w:val="718D6C53"/>
    <w:rsid w:val="71A6A55B"/>
    <w:rsid w:val="71AE95DA"/>
    <w:rsid w:val="71B2743C"/>
    <w:rsid w:val="71B6902B"/>
    <w:rsid w:val="71BFC168"/>
    <w:rsid w:val="71C9444A"/>
    <w:rsid w:val="71CC753E"/>
    <w:rsid w:val="71D88683"/>
    <w:rsid w:val="71DA3BFA"/>
    <w:rsid w:val="71E27F4C"/>
    <w:rsid w:val="71E8A43B"/>
    <w:rsid w:val="71F5F4E4"/>
    <w:rsid w:val="7207B1C2"/>
    <w:rsid w:val="72086DCC"/>
    <w:rsid w:val="720D374D"/>
    <w:rsid w:val="720E8CE4"/>
    <w:rsid w:val="720F28AC"/>
    <w:rsid w:val="7221FBDE"/>
    <w:rsid w:val="722B4C93"/>
    <w:rsid w:val="72489EC1"/>
    <w:rsid w:val="725602DF"/>
    <w:rsid w:val="725A0CC1"/>
    <w:rsid w:val="7273CC8A"/>
    <w:rsid w:val="72740566"/>
    <w:rsid w:val="72799B17"/>
    <w:rsid w:val="7283DC01"/>
    <w:rsid w:val="72988DC9"/>
    <w:rsid w:val="729C12B9"/>
    <w:rsid w:val="729D0CB6"/>
    <w:rsid w:val="72A4789D"/>
    <w:rsid w:val="72B8203D"/>
    <w:rsid w:val="72C11043"/>
    <w:rsid w:val="72C883F7"/>
    <w:rsid w:val="72D1D85A"/>
    <w:rsid w:val="72DE4315"/>
    <w:rsid w:val="72E2160B"/>
    <w:rsid w:val="72E4C8DD"/>
    <w:rsid w:val="72E8B58B"/>
    <w:rsid w:val="72FB3006"/>
    <w:rsid w:val="72FFBE13"/>
    <w:rsid w:val="7313FC54"/>
    <w:rsid w:val="7315F9AC"/>
    <w:rsid w:val="73167EF6"/>
    <w:rsid w:val="7329B828"/>
    <w:rsid w:val="732C4B05"/>
    <w:rsid w:val="732C71CB"/>
    <w:rsid w:val="73336193"/>
    <w:rsid w:val="733B31D8"/>
    <w:rsid w:val="73456F0A"/>
    <w:rsid w:val="73558A32"/>
    <w:rsid w:val="7356F236"/>
    <w:rsid w:val="736741CF"/>
    <w:rsid w:val="7375362B"/>
    <w:rsid w:val="73786C63"/>
    <w:rsid w:val="73801248"/>
    <w:rsid w:val="7393F2DC"/>
    <w:rsid w:val="739D1169"/>
    <w:rsid w:val="739E009A"/>
    <w:rsid w:val="73A0338F"/>
    <w:rsid w:val="73A22833"/>
    <w:rsid w:val="73B30081"/>
    <w:rsid w:val="73B91928"/>
    <w:rsid w:val="73BA19EE"/>
    <w:rsid w:val="73BD9B62"/>
    <w:rsid w:val="73BF45F1"/>
    <w:rsid w:val="73CC0D91"/>
    <w:rsid w:val="73DE3954"/>
    <w:rsid w:val="73E3DCD7"/>
    <w:rsid w:val="73F8C62C"/>
    <w:rsid w:val="7400E10C"/>
    <w:rsid w:val="74012187"/>
    <w:rsid w:val="7422079B"/>
    <w:rsid w:val="74417EFF"/>
    <w:rsid w:val="7456E18E"/>
    <w:rsid w:val="74573E67"/>
    <w:rsid w:val="746A3FEB"/>
    <w:rsid w:val="746E4AFF"/>
    <w:rsid w:val="746FBB6A"/>
    <w:rsid w:val="7479E940"/>
    <w:rsid w:val="74804DE4"/>
    <w:rsid w:val="748C8EA6"/>
    <w:rsid w:val="74949F48"/>
    <w:rsid w:val="7497FD03"/>
    <w:rsid w:val="749826AB"/>
    <w:rsid w:val="749F6BFB"/>
    <w:rsid w:val="74AA4240"/>
    <w:rsid w:val="74B9EBD4"/>
    <w:rsid w:val="74D39C4E"/>
    <w:rsid w:val="74DFFFED"/>
    <w:rsid w:val="74F33125"/>
    <w:rsid w:val="74FD0B9E"/>
    <w:rsid w:val="74FF1677"/>
    <w:rsid w:val="7517959C"/>
    <w:rsid w:val="751BA6BA"/>
    <w:rsid w:val="751D3EA1"/>
    <w:rsid w:val="752FD1D4"/>
    <w:rsid w:val="75410195"/>
    <w:rsid w:val="754ECF05"/>
    <w:rsid w:val="7550E524"/>
    <w:rsid w:val="7551F3AC"/>
    <w:rsid w:val="756781E0"/>
    <w:rsid w:val="7570B97F"/>
    <w:rsid w:val="758D2DFB"/>
    <w:rsid w:val="759FF6E9"/>
    <w:rsid w:val="75B15245"/>
    <w:rsid w:val="75C1EB39"/>
    <w:rsid w:val="75C726C5"/>
    <w:rsid w:val="75D3C09B"/>
    <w:rsid w:val="75D91BA4"/>
    <w:rsid w:val="75EFF699"/>
    <w:rsid w:val="75F0A2FE"/>
    <w:rsid w:val="75F4CD47"/>
    <w:rsid w:val="75F552BE"/>
    <w:rsid w:val="763D1923"/>
    <w:rsid w:val="763F9A3F"/>
    <w:rsid w:val="76516A32"/>
    <w:rsid w:val="765A5012"/>
    <w:rsid w:val="766319AD"/>
    <w:rsid w:val="76794F7A"/>
    <w:rsid w:val="769505D8"/>
    <w:rsid w:val="76A6976F"/>
    <w:rsid w:val="76A74ED1"/>
    <w:rsid w:val="76ADE3A4"/>
    <w:rsid w:val="76AF68FD"/>
    <w:rsid w:val="76CC0A9D"/>
    <w:rsid w:val="76DC8B29"/>
    <w:rsid w:val="76E4C59B"/>
    <w:rsid w:val="76E55CC5"/>
    <w:rsid w:val="76F79496"/>
    <w:rsid w:val="76FE5556"/>
    <w:rsid w:val="77078E75"/>
    <w:rsid w:val="770B13B8"/>
    <w:rsid w:val="770F51AD"/>
    <w:rsid w:val="7728DAE2"/>
    <w:rsid w:val="7728EF72"/>
    <w:rsid w:val="772AFBD1"/>
    <w:rsid w:val="772BD2E9"/>
    <w:rsid w:val="772CF781"/>
    <w:rsid w:val="7755E840"/>
    <w:rsid w:val="77598201"/>
    <w:rsid w:val="7765F78E"/>
    <w:rsid w:val="777F4E66"/>
    <w:rsid w:val="779D96D6"/>
    <w:rsid w:val="77A27AD7"/>
    <w:rsid w:val="77AF0BBB"/>
    <w:rsid w:val="77B1F436"/>
    <w:rsid w:val="77B516E1"/>
    <w:rsid w:val="77BE2EE9"/>
    <w:rsid w:val="77CEC276"/>
    <w:rsid w:val="77F0AAE8"/>
    <w:rsid w:val="77F1A33D"/>
    <w:rsid w:val="77FAB173"/>
    <w:rsid w:val="78031741"/>
    <w:rsid w:val="780D2EA4"/>
    <w:rsid w:val="781705FE"/>
    <w:rsid w:val="78175B47"/>
    <w:rsid w:val="781A64A9"/>
    <w:rsid w:val="781E296B"/>
    <w:rsid w:val="78305265"/>
    <w:rsid w:val="78411246"/>
    <w:rsid w:val="785041D7"/>
    <w:rsid w:val="78506778"/>
    <w:rsid w:val="78634666"/>
    <w:rsid w:val="7877A218"/>
    <w:rsid w:val="787E265B"/>
    <w:rsid w:val="7880192F"/>
    <w:rsid w:val="7889035E"/>
    <w:rsid w:val="7889E3CC"/>
    <w:rsid w:val="788FD6F3"/>
    <w:rsid w:val="7892246F"/>
    <w:rsid w:val="78938BF4"/>
    <w:rsid w:val="789A96FF"/>
    <w:rsid w:val="78B5803B"/>
    <w:rsid w:val="78B763FF"/>
    <w:rsid w:val="78BE29F1"/>
    <w:rsid w:val="78C2D284"/>
    <w:rsid w:val="78C9D144"/>
    <w:rsid w:val="78CA9305"/>
    <w:rsid w:val="78CC4211"/>
    <w:rsid w:val="78F01164"/>
    <w:rsid w:val="78F2784E"/>
    <w:rsid w:val="790627C3"/>
    <w:rsid w:val="7915967C"/>
    <w:rsid w:val="791721A0"/>
    <w:rsid w:val="793FCE42"/>
    <w:rsid w:val="79432C8D"/>
    <w:rsid w:val="79441572"/>
    <w:rsid w:val="794CDBC8"/>
    <w:rsid w:val="7957A801"/>
    <w:rsid w:val="796285D9"/>
    <w:rsid w:val="79685052"/>
    <w:rsid w:val="797177C4"/>
    <w:rsid w:val="79734699"/>
    <w:rsid w:val="7980D82D"/>
    <w:rsid w:val="7981C530"/>
    <w:rsid w:val="7988BA59"/>
    <w:rsid w:val="798B93F7"/>
    <w:rsid w:val="798FAE3B"/>
    <w:rsid w:val="799252C7"/>
    <w:rsid w:val="799BAD9D"/>
    <w:rsid w:val="79A8BBA4"/>
    <w:rsid w:val="79AC191C"/>
    <w:rsid w:val="79BF97F3"/>
    <w:rsid w:val="79E37FD1"/>
    <w:rsid w:val="79E70B2C"/>
    <w:rsid w:val="79EDF8CF"/>
    <w:rsid w:val="79F20EF0"/>
    <w:rsid w:val="79F2A4DF"/>
    <w:rsid w:val="79F492D5"/>
    <w:rsid w:val="7A01598A"/>
    <w:rsid w:val="7A11DD87"/>
    <w:rsid w:val="7A15D25C"/>
    <w:rsid w:val="7A1DAA7B"/>
    <w:rsid w:val="7A203B66"/>
    <w:rsid w:val="7A3C4FC0"/>
    <w:rsid w:val="7A3F4787"/>
    <w:rsid w:val="7A47CA9D"/>
    <w:rsid w:val="7A60FDEA"/>
    <w:rsid w:val="7A79DEBE"/>
    <w:rsid w:val="7A83614E"/>
    <w:rsid w:val="7A8EBD2F"/>
    <w:rsid w:val="7A9FCCCE"/>
    <w:rsid w:val="7AA18F92"/>
    <w:rsid w:val="7AA8567A"/>
    <w:rsid w:val="7AAD63DA"/>
    <w:rsid w:val="7AB50747"/>
    <w:rsid w:val="7ABB3551"/>
    <w:rsid w:val="7ABB747F"/>
    <w:rsid w:val="7ABD14F7"/>
    <w:rsid w:val="7AC3F593"/>
    <w:rsid w:val="7AC9CE9E"/>
    <w:rsid w:val="7ACFF6CB"/>
    <w:rsid w:val="7AD4F86F"/>
    <w:rsid w:val="7AED5A4F"/>
    <w:rsid w:val="7AEFE6A1"/>
    <w:rsid w:val="7AFBB6A4"/>
    <w:rsid w:val="7B030E79"/>
    <w:rsid w:val="7B044858"/>
    <w:rsid w:val="7B05DFD8"/>
    <w:rsid w:val="7B1109E2"/>
    <w:rsid w:val="7B19F84C"/>
    <w:rsid w:val="7B36128E"/>
    <w:rsid w:val="7B4807BD"/>
    <w:rsid w:val="7B4964F4"/>
    <w:rsid w:val="7B5E6206"/>
    <w:rsid w:val="7B8A9853"/>
    <w:rsid w:val="7B9AADFC"/>
    <w:rsid w:val="7B9B3A8B"/>
    <w:rsid w:val="7BA76C2C"/>
    <w:rsid w:val="7BA8F37D"/>
    <w:rsid w:val="7BADC830"/>
    <w:rsid w:val="7BB3D682"/>
    <w:rsid w:val="7BB49F5B"/>
    <w:rsid w:val="7BCA412A"/>
    <w:rsid w:val="7BCC964C"/>
    <w:rsid w:val="7BD0E341"/>
    <w:rsid w:val="7BD30740"/>
    <w:rsid w:val="7BF3072F"/>
    <w:rsid w:val="7C04C37D"/>
    <w:rsid w:val="7C05F7D4"/>
    <w:rsid w:val="7C0FF473"/>
    <w:rsid w:val="7C124073"/>
    <w:rsid w:val="7C1C7EC4"/>
    <w:rsid w:val="7C358477"/>
    <w:rsid w:val="7C37C18B"/>
    <w:rsid w:val="7C4120E0"/>
    <w:rsid w:val="7C60DF8A"/>
    <w:rsid w:val="7C62D4CB"/>
    <w:rsid w:val="7C6C1FBF"/>
    <w:rsid w:val="7C8B142E"/>
    <w:rsid w:val="7C93763E"/>
    <w:rsid w:val="7CA9B4A3"/>
    <w:rsid w:val="7CC69BB6"/>
    <w:rsid w:val="7CC81A37"/>
    <w:rsid w:val="7CD7E4A0"/>
    <w:rsid w:val="7CE1D123"/>
    <w:rsid w:val="7CE7AC54"/>
    <w:rsid w:val="7CF98788"/>
    <w:rsid w:val="7CFCAA8A"/>
    <w:rsid w:val="7D01FAD5"/>
    <w:rsid w:val="7D081FA3"/>
    <w:rsid w:val="7D0AEDB7"/>
    <w:rsid w:val="7D22AF36"/>
    <w:rsid w:val="7D2E0A4F"/>
    <w:rsid w:val="7D3156C4"/>
    <w:rsid w:val="7D36C232"/>
    <w:rsid w:val="7D38321E"/>
    <w:rsid w:val="7D3B0BDD"/>
    <w:rsid w:val="7D525097"/>
    <w:rsid w:val="7D6DC199"/>
    <w:rsid w:val="7D6E9042"/>
    <w:rsid w:val="7D7AFD19"/>
    <w:rsid w:val="7D8B43BB"/>
    <w:rsid w:val="7D8C1A08"/>
    <w:rsid w:val="7D9040F3"/>
    <w:rsid w:val="7D989AFE"/>
    <w:rsid w:val="7D994DD4"/>
    <w:rsid w:val="7D9B49F8"/>
    <w:rsid w:val="7DBEA46B"/>
    <w:rsid w:val="7DCAD667"/>
    <w:rsid w:val="7DCC183E"/>
    <w:rsid w:val="7DCEF4D6"/>
    <w:rsid w:val="7DCFBD41"/>
    <w:rsid w:val="7DDCD451"/>
    <w:rsid w:val="7DE7A324"/>
    <w:rsid w:val="7DEA863A"/>
    <w:rsid w:val="7DEB0821"/>
    <w:rsid w:val="7DF37E3E"/>
    <w:rsid w:val="7DFB6CA1"/>
    <w:rsid w:val="7E079852"/>
    <w:rsid w:val="7E0848BF"/>
    <w:rsid w:val="7E0B62D8"/>
    <w:rsid w:val="7E1317D8"/>
    <w:rsid w:val="7E17E0EE"/>
    <w:rsid w:val="7E19BCAE"/>
    <w:rsid w:val="7E29706A"/>
    <w:rsid w:val="7E2EC130"/>
    <w:rsid w:val="7E35730C"/>
    <w:rsid w:val="7E35B01A"/>
    <w:rsid w:val="7E4039EC"/>
    <w:rsid w:val="7E45BC72"/>
    <w:rsid w:val="7E55AC66"/>
    <w:rsid w:val="7E58829E"/>
    <w:rsid w:val="7E654542"/>
    <w:rsid w:val="7E6D0B09"/>
    <w:rsid w:val="7E7B9FF9"/>
    <w:rsid w:val="7E7CFE22"/>
    <w:rsid w:val="7E7FD86A"/>
    <w:rsid w:val="7E861B1A"/>
    <w:rsid w:val="7E914946"/>
    <w:rsid w:val="7E980E19"/>
    <w:rsid w:val="7E9925A0"/>
    <w:rsid w:val="7EAEF554"/>
    <w:rsid w:val="7EB871C6"/>
    <w:rsid w:val="7ED68AEF"/>
    <w:rsid w:val="7EE126BB"/>
    <w:rsid w:val="7EE3ECBE"/>
    <w:rsid w:val="7EF35E29"/>
    <w:rsid w:val="7EF36AE9"/>
    <w:rsid w:val="7EFF8271"/>
    <w:rsid w:val="7F110820"/>
    <w:rsid w:val="7F1E699A"/>
    <w:rsid w:val="7F2761BF"/>
    <w:rsid w:val="7F2B1A9C"/>
    <w:rsid w:val="7F324798"/>
    <w:rsid w:val="7F46026E"/>
    <w:rsid w:val="7F4A110F"/>
    <w:rsid w:val="7F568C19"/>
    <w:rsid w:val="7F5DA38E"/>
    <w:rsid w:val="7F5E37D2"/>
    <w:rsid w:val="7F5F33BC"/>
    <w:rsid w:val="7F62CE07"/>
    <w:rsid w:val="7F6535E1"/>
    <w:rsid w:val="7F7028F1"/>
    <w:rsid w:val="7F73A35F"/>
    <w:rsid w:val="7F78FC7C"/>
    <w:rsid w:val="7F8C9553"/>
    <w:rsid w:val="7F913B09"/>
    <w:rsid w:val="7F9420F1"/>
    <w:rsid w:val="7FAE1366"/>
    <w:rsid w:val="7FC4AD45"/>
    <w:rsid w:val="7FD3F886"/>
    <w:rsid w:val="7FE0CAF8"/>
    <w:rsid w:val="7FF33D55"/>
    <w:rsid w:val="7FF408D6"/>
    <w:rsid w:val="7FF56C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9908B6D"/>
  <w15:docId w15:val="{8A5B3867-4264-4AB9-AB9B-74D92C23B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391C"/>
  </w:style>
  <w:style w:type="paragraph" w:styleId="Heading1">
    <w:name w:val="heading 1"/>
    <w:basedOn w:val="Normal"/>
    <w:next w:val="Normal"/>
    <w:link w:val="Heading1Char"/>
    <w:autoRedefine/>
    <w:qFormat/>
    <w:rsid w:val="00D75B7D"/>
    <w:pPr>
      <w:keepNext/>
      <w:spacing w:before="240" w:after="120" w:line="240" w:lineRule="auto"/>
      <w:outlineLvl w:val="0"/>
    </w:pPr>
    <w:rPr>
      <w:rFonts w:ascii="Arial" w:eastAsia="Times New Roman" w:hAnsi="Arial" w:cs="Arial"/>
      <w:b/>
      <w:bCs/>
      <w:kern w:val="32"/>
      <w:sz w:val="32"/>
      <w:szCs w:val="32"/>
      <w:lang w:eastAsia="en-GB"/>
    </w:rPr>
  </w:style>
  <w:style w:type="paragraph" w:styleId="Heading2">
    <w:name w:val="heading 2"/>
    <w:aliases w:val="Char, Char,Abschnitt"/>
    <w:basedOn w:val="Normal"/>
    <w:next w:val="Normal"/>
    <w:link w:val="Heading2Char"/>
    <w:autoRedefine/>
    <w:qFormat/>
    <w:pPr>
      <w:keepNext/>
      <w:spacing w:before="240" w:after="120" w:line="240" w:lineRule="auto"/>
      <w:ind w:left="720" w:hanging="720"/>
      <w:outlineLvl w:val="1"/>
    </w:pPr>
    <w:rPr>
      <w:rFonts w:ascii="Arial" w:eastAsia="Times New Roman" w:hAnsi="Arial" w:cs="Arial"/>
      <w:b/>
      <w:bCs/>
      <w:i/>
      <w:iCs/>
      <w:sz w:val="28"/>
      <w:szCs w:val="28"/>
      <w:lang w:eastAsia="en-GB"/>
    </w:rPr>
  </w:style>
  <w:style w:type="paragraph" w:styleId="Heading3">
    <w:name w:val="heading 3"/>
    <w:aliases w:val="Heading 3 Auto"/>
    <w:basedOn w:val="Normal"/>
    <w:next w:val="Normal"/>
    <w:link w:val="Heading3Char"/>
    <w:autoRedefine/>
    <w:qFormat/>
    <w:pPr>
      <w:keepNext/>
      <w:numPr>
        <w:ilvl w:val="2"/>
      </w:numPr>
      <w:tabs>
        <w:tab w:val="num" w:pos="850"/>
      </w:tabs>
      <w:spacing w:before="120" w:after="120" w:line="240" w:lineRule="auto"/>
      <w:ind w:left="850" w:hanging="850"/>
      <w:jc w:val="both"/>
      <w:outlineLvl w:val="2"/>
    </w:pPr>
    <w:rPr>
      <w:rFonts w:ascii="Arial" w:eastAsia="Times New Roman" w:hAnsi="Arial" w:cs="Arial"/>
      <w:b/>
      <w:bCs/>
      <w:i/>
      <w:sz w:val="26"/>
      <w:szCs w:val="26"/>
      <w:lang w:eastAsia="en-GB"/>
    </w:rPr>
  </w:style>
  <w:style w:type="paragraph" w:styleId="Heading4">
    <w:name w:val="heading 4"/>
    <w:basedOn w:val="Normal"/>
    <w:next w:val="Normal"/>
    <w:link w:val="Heading4Char"/>
    <w:qFormat/>
    <w:pPr>
      <w:keepNext/>
      <w:numPr>
        <w:ilvl w:val="3"/>
      </w:numPr>
      <w:tabs>
        <w:tab w:val="num" w:pos="1030"/>
      </w:tabs>
      <w:spacing w:before="120" w:after="120" w:line="240" w:lineRule="auto"/>
      <w:ind w:left="1030" w:hanging="850"/>
      <w:jc w:val="both"/>
      <w:outlineLvl w:val="3"/>
    </w:pPr>
    <w:rPr>
      <w:rFonts w:ascii="Times New Roman" w:eastAsia="Times New Roman" w:hAnsi="Times New Roman" w:cs="Times New Roman"/>
      <w:b/>
      <w:bCs/>
      <w:sz w:val="24"/>
      <w:szCs w:val="28"/>
      <w:lang w:eastAsia="de-DE"/>
    </w:rPr>
  </w:style>
  <w:style w:type="paragraph" w:styleId="Heading5">
    <w:name w:val="heading 5"/>
    <w:basedOn w:val="Normal"/>
    <w:next w:val="Normal"/>
    <w:link w:val="Heading5Char"/>
    <w:uiPriority w:val="99"/>
    <w:qFormat/>
    <w:pPr>
      <w:spacing w:before="240" w:after="60" w:line="240" w:lineRule="auto"/>
      <w:jc w:val="both"/>
      <w:outlineLvl w:val="4"/>
    </w:pPr>
    <w:rPr>
      <w:rFonts w:ascii="Arial" w:eastAsiaTheme="majorEastAsia" w:hAnsi="Arial" w:cs="Arial"/>
    </w:rPr>
  </w:style>
  <w:style w:type="paragraph" w:styleId="Heading6">
    <w:name w:val="heading 6"/>
    <w:basedOn w:val="Normal"/>
    <w:next w:val="Normal"/>
    <w:link w:val="Heading6Char"/>
    <w:uiPriority w:val="99"/>
    <w:qFormat/>
    <w:pPr>
      <w:spacing w:before="240" w:after="60" w:line="240" w:lineRule="auto"/>
      <w:jc w:val="both"/>
      <w:outlineLvl w:val="5"/>
    </w:pPr>
    <w:rPr>
      <w:rFonts w:ascii="Arial" w:eastAsiaTheme="majorEastAsia" w:hAnsi="Arial" w:cs="Arial"/>
      <w:i/>
      <w:iCs/>
    </w:rPr>
  </w:style>
  <w:style w:type="paragraph" w:styleId="Heading7">
    <w:name w:val="heading 7"/>
    <w:basedOn w:val="Normal"/>
    <w:next w:val="Normal"/>
    <w:link w:val="Heading7Char"/>
    <w:uiPriority w:val="99"/>
    <w:qFormat/>
    <w:pPr>
      <w:spacing w:before="240" w:after="60" w:line="240" w:lineRule="auto"/>
      <w:jc w:val="both"/>
      <w:outlineLvl w:val="6"/>
    </w:pPr>
    <w:rPr>
      <w:rFonts w:ascii="Arial" w:eastAsiaTheme="majorEastAsia" w:hAnsi="Arial" w:cs="Arial"/>
      <w:szCs w:val="20"/>
    </w:rPr>
  </w:style>
  <w:style w:type="paragraph" w:styleId="Heading8">
    <w:name w:val="heading 8"/>
    <w:basedOn w:val="Normal"/>
    <w:next w:val="Normal"/>
    <w:link w:val="Heading8Char"/>
    <w:uiPriority w:val="99"/>
    <w:qFormat/>
    <w:pPr>
      <w:spacing w:before="240" w:after="60" w:line="240" w:lineRule="auto"/>
      <w:jc w:val="both"/>
      <w:outlineLvl w:val="7"/>
    </w:pPr>
    <w:rPr>
      <w:rFonts w:ascii="Arial" w:eastAsiaTheme="majorEastAsia" w:hAnsi="Arial" w:cs="Arial"/>
      <w:i/>
      <w:iCs/>
      <w:szCs w:val="20"/>
    </w:rPr>
  </w:style>
  <w:style w:type="paragraph" w:styleId="Heading9">
    <w:name w:val="heading 9"/>
    <w:basedOn w:val="Normal"/>
    <w:next w:val="Normal"/>
    <w:link w:val="Heading9Char"/>
    <w:uiPriority w:val="99"/>
    <w:qFormat/>
    <w:pPr>
      <w:spacing w:before="240" w:after="60" w:line="240" w:lineRule="auto"/>
      <w:jc w:val="both"/>
      <w:outlineLvl w:val="8"/>
    </w:pPr>
    <w:rPr>
      <w:rFonts w:ascii="Arial" w:eastAsiaTheme="majorEastAsia" w:hAnsi="Arial" w:cs="Arial"/>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aliases w:val="Footnote Text Char1 Char,Footnote Text Char Char Char,Footnote Text Char1 Char Char Char,Footnote Text Char Char Char Char Char,Footnote Text Char1 Char1 Char,Footnote Text Char Char Char1 Char,Char Char Char Char Char Char,Char Char Char"/>
    <w:basedOn w:val="Normal"/>
    <w:link w:val="FootnoteTextChar"/>
    <w:uiPriority w:val="99"/>
    <w:qFormat/>
    <w:pPr>
      <w:spacing w:after="0" w:line="240" w:lineRule="auto"/>
      <w:ind w:left="720" w:hanging="720"/>
      <w:jc w:val="both"/>
    </w:pPr>
    <w:rPr>
      <w:rFonts w:ascii="Times New Roman" w:eastAsia="Times New Roman" w:hAnsi="Times New Roman" w:cs="Times New Roman"/>
      <w:sz w:val="20"/>
      <w:szCs w:val="20"/>
      <w:lang w:eastAsia="de-DE"/>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1 Char Char,Footnote Text Char Char Char1 Char Char"/>
    <w:basedOn w:val="DefaultParagraphFont"/>
    <w:link w:val="FootnoteText"/>
    <w:uiPriority w:val="99"/>
    <w:qFormat/>
    <w:rPr>
      <w:rFonts w:ascii="Times New Roman" w:eastAsia="Times New Roman" w:hAnsi="Times New Roman" w:cs="Times New Roman"/>
      <w:sz w:val="20"/>
      <w:szCs w:val="20"/>
      <w:lang w:eastAsia="de-DE"/>
    </w:rPr>
  </w:style>
  <w:style w:type="character" w:styleId="FootnoteReference">
    <w:name w:val="footnote reference"/>
    <w:aliases w:val="stylish,Footnote Reference Superscript,BVI fnr,Footnote symbol,Footnote symboFußnotenzeichen,Footnote sign,Footnote Reference Number,E FNZ,-E Fußnotenzeichen,Footnote#,Footnote,Times 10 Point,Exposant 3 Point,Ref,de nota al pie,SUPER"/>
    <w:link w:val="Nota"/>
    <w:uiPriority w:val="99"/>
    <w:qFormat/>
    <w:rPr>
      <w:vertAlign w:val="superscript"/>
    </w:rPr>
  </w:style>
  <w:style w:type="paragraph" w:customStyle="1" w:styleId="Tiret0">
    <w:name w:val="Tiret 0"/>
    <w:basedOn w:val="Normal"/>
    <w:pPr>
      <w:numPr>
        <w:numId w:val="5"/>
      </w:numPr>
      <w:spacing w:before="120" w:after="120" w:line="240" w:lineRule="auto"/>
      <w:jc w:val="both"/>
    </w:pPr>
    <w:rPr>
      <w:rFonts w:ascii="Times New Roman" w:eastAsia="Times New Roman" w:hAnsi="Times New Roman" w:cs="Times New Roman"/>
      <w:sz w:val="24"/>
      <w:szCs w:val="24"/>
      <w:lang w:eastAsia="de-DE"/>
    </w:rPr>
  </w:style>
  <w:style w:type="character" w:styleId="Hyperlink">
    <w:name w:val="Hyperlink"/>
    <w:uiPriority w:val="99"/>
    <w:rPr>
      <w:color w:val="0000FF"/>
      <w:u w:val="single"/>
    </w:rPr>
  </w:style>
  <w:style w:type="paragraph" w:customStyle="1" w:styleId="Text1">
    <w:name w:val="Text 1"/>
    <w:basedOn w:val="Normal"/>
    <w:qFormat/>
    <w:pPr>
      <w:spacing w:before="120" w:after="120" w:line="240" w:lineRule="auto"/>
      <w:ind w:left="850"/>
      <w:jc w:val="both"/>
    </w:pPr>
    <w:rPr>
      <w:rFonts w:ascii="Times New Roman" w:eastAsia="Times New Roman" w:hAnsi="Times New Roman" w:cs="Times New Roman"/>
      <w:sz w:val="24"/>
      <w:szCs w:val="24"/>
      <w:lang w:eastAsia="de-DE"/>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lang w:eastAsia="de-DE"/>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cs="Times New Roman"/>
      <w:b/>
      <w:sz w:val="24"/>
      <w:szCs w:val="24"/>
      <w:u w:val="single"/>
      <w:lang w:eastAsia="de-DE"/>
    </w:rPr>
  </w:style>
  <w:style w:type="paragraph" w:styleId="NormalWeb">
    <w:name w:val="Normal (Web)"/>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
    <w:basedOn w:val="Normal"/>
    <w:link w:val="ListParagraphChar"/>
    <w:uiPriority w:val="34"/>
    <w:qFormat/>
    <w:pPr>
      <w:spacing w:after="0" w:line="240" w:lineRule="auto"/>
      <w:ind w:left="720"/>
      <w:contextualSpacing/>
    </w:pPr>
    <w:rPr>
      <w:rFonts w:ascii="Times New Roman" w:eastAsia="Times New Roman" w:hAnsi="Times New Roman" w:cs="Times New Roman"/>
      <w:sz w:val="24"/>
      <w:szCs w:val="24"/>
      <w:lang w:eastAsia="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rsid w:val="00D75B7D"/>
    <w:rPr>
      <w:rFonts w:ascii="Arial" w:eastAsia="Times New Roman" w:hAnsi="Arial" w:cs="Arial"/>
      <w:b/>
      <w:bCs/>
      <w:kern w:val="32"/>
      <w:sz w:val="32"/>
      <w:szCs w:val="32"/>
      <w:lang w:eastAsia="en-GB"/>
    </w:rPr>
  </w:style>
  <w:style w:type="character" w:customStyle="1" w:styleId="Heading2Char">
    <w:name w:val="Heading 2 Char"/>
    <w:aliases w:val="Char Char, Char Char,Abschnitt Char"/>
    <w:basedOn w:val="DefaultParagraphFont"/>
    <w:link w:val="Heading2"/>
    <w:rPr>
      <w:rFonts w:ascii="Arial" w:eastAsia="Times New Roman" w:hAnsi="Arial" w:cs="Arial"/>
      <w:b/>
      <w:bCs/>
      <w:i/>
      <w:iCs/>
      <w:sz w:val="28"/>
      <w:szCs w:val="28"/>
      <w:lang w:eastAsia="en-GB"/>
    </w:rPr>
  </w:style>
  <w:style w:type="character" w:customStyle="1" w:styleId="Heading3Char">
    <w:name w:val="Heading 3 Char"/>
    <w:aliases w:val="Heading 3 Auto Char"/>
    <w:basedOn w:val="DefaultParagraphFont"/>
    <w:link w:val="Heading3"/>
    <w:rPr>
      <w:rFonts w:ascii="Arial" w:eastAsia="Times New Roman" w:hAnsi="Arial" w:cs="Arial"/>
      <w:b/>
      <w:bCs/>
      <w:i/>
      <w:sz w:val="26"/>
      <w:szCs w:val="26"/>
      <w:lang w:eastAsia="en-GB"/>
    </w:rPr>
  </w:style>
  <w:style w:type="character" w:customStyle="1" w:styleId="Heading4Char">
    <w:name w:val="Heading 4 Char"/>
    <w:basedOn w:val="DefaultParagraphFont"/>
    <w:link w:val="Heading4"/>
    <w:rPr>
      <w:rFonts w:ascii="Times New Roman" w:eastAsia="Times New Roman" w:hAnsi="Times New Roman" w:cs="Times New Roman"/>
      <w:b/>
      <w:bCs/>
      <w:sz w:val="24"/>
      <w:szCs w:val="28"/>
      <w:lang w:eastAsia="de-DE"/>
    </w:rPr>
  </w:style>
  <w:style w:type="character" w:customStyle="1" w:styleId="Heading5Char">
    <w:name w:val="Heading 5 Char"/>
    <w:basedOn w:val="DefaultParagraphFont"/>
    <w:link w:val="Heading5"/>
    <w:uiPriority w:val="99"/>
    <w:rPr>
      <w:rFonts w:ascii="Arial" w:eastAsiaTheme="majorEastAsia" w:hAnsi="Arial" w:cs="Arial"/>
    </w:rPr>
  </w:style>
  <w:style w:type="character" w:customStyle="1" w:styleId="Heading6Char">
    <w:name w:val="Heading 6 Char"/>
    <w:basedOn w:val="DefaultParagraphFont"/>
    <w:link w:val="Heading6"/>
    <w:uiPriority w:val="99"/>
    <w:rPr>
      <w:rFonts w:ascii="Arial" w:eastAsiaTheme="majorEastAsia" w:hAnsi="Arial" w:cs="Arial"/>
      <w:i/>
      <w:iCs/>
    </w:rPr>
  </w:style>
  <w:style w:type="character" w:customStyle="1" w:styleId="Heading7Char">
    <w:name w:val="Heading 7 Char"/>
    <w:basedOn w:val="DefaultParagraphFont"/>
    <w:link w:val="Heading7"/>
    <w:uiPriority w:val="99"/>
    <w:rPr>
      <w:rFonts w:ascii="Arial" w:eastAsiaTheme="majorEastAsia" w:hAnsi="Arial" w:cs="Arial"/>
      <w:szCs w:val="20"/>
    </w:rPr>
  </w:style>
  <w:style w:type="character" w:customStyle="1" w:styleId="Heading8Char">
    <w:name w:val="Heading 8 Char"/>
    <w:basedOn w:val="DefaultParagraphFont"/>
    <w:link w:val="Heading8"/>
    <w:uiPriority w:val="99"/>
    <w:rPr>
      <w:rFonts w:ascii="Arial" w:eastAsiaTheme="majorEastAsia" w:hAnsi="Arial" w:cs="Arial"/>
      <w:i/>
      <w:iCs/>
      <w:szCs w:val="20"/>
    </w:rPr>
  </w:style>
  <w:style w:type="character" w:customStyle="1" w:styleId="Heading9Char">
    <w:name w:val="Heading 9 Char"/>
    <w:basedOn w:val="DefaultParagraphFont"/>
    <w:link w:val="Heading9"/>
    <w:uiPriority w:val="99"/>
    <w:rPr>
      <w:rFonts w:ascii="Arial" w:eastAsiaTheme="majorEastAsia" w:hAnsi="Arial" w:cs="Arial"/>
      <w:i/>
      <w:iCs/>
      <w:sz w:val="18"/>
      <w:szCs w:val="18"/>
    </w:rPr>
  </w:style>
  <w:style w:type="paragraph" w:styleId="TOC1">
    <w:name w:val="toc 1"/>
    <w:basedOn w:val="Normal"/>
    <w:next w:val="Normal"/>
    <w:uiPriority w:val="39"/>
    <w:qFormat/>
    <w:pPr>
      <w:spacing w:before="120" w:after="120" w:line="240" w:lineRule="auto"/>
    </w:pPr>
    <w:rPr>
      <w:rFonts w:ascii="Times New Roman" w:eastAsia="Times New Roman" w:hAnsi="Times New Roman" w:cs="Times New Roman"/>
      <w:b/>
      <w:bCs/>
      <w:caps/>
      <w:sz w:val="20"/>
      <w:szCs w:val="20"/>
      <w:lang w:eastAsia="en-GB"/>
    </w:rPr>
  </w:style>
  <w:style w:type="paragraph" w:customStyle="1" w:styleId="ManualHeading2">
    <w:name w:val="Manual Heading 2"/>
    <w:basedOn w:val="Normal"/>
    <w:next w:val="Normal"/>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lang w:eastAsia="de-DE"/>
    </w:rPr>
  </w:style>
  <w:style w:type="paragraph" w:customStyle="1" w:styleId="ListDash">
    <w:name w:val="List Dash"/>
    <w:basedOn w:val="Normal"/>
    <w:link w:val="ListDashChar"/>
    <w:pPr>
      <w:numPr>
        <w:numId w:val="6"/>
      </w:numPr>
      <w:spacing w:before="120" w:after="120" w:line="240" w:lineRule="auto"/>
      <w:jc w:val="both"/>
    </w:pPr>
    <w:rPr>
      <w:rFonts w:ascii="Times New Roman" w:eastAsia="Times New Roman" w:hAnsi="Times New Roman" w:cs="Times New Roman"/>
      <w:sz w:val="24"/>
      <w:szCs w:val="24"/>
      <w:lang w:eastAsia="de-DE"/>
    </w:rPr>
  </w:style>
  <w:style w:type="paragraph" w:styleId="TOCHeading">
    <w:name w:val="TOC Heading"/>
    <w:basedOn w:val="Normal"/>
    <w:next w:val="Normal"/>
    <w:uiPriority w:val="39"/>
    <w:qFormat/>
    <w:pPr>
      <w:spacing w:before="120" w:after="240" w:line="240" w:lineRule="auto"/>
      <w:jc w:val="center"/>
    </w:pPr>
    <w:rPr>
      <w:rFonts w:ascii="Times New Roman" w:eastAsia="Times New Roman" w:hAnsi="Times New Roman" w:cs="Times New Roman"/>
      <w:b/>
      <w:sz w:val="28"/>
      <w:szCs w:val="24"/>
      <w:lang w:eastAsia="de-DE"/>
    </w:rPr>
  </w:style>
  <w:style w:type="paragraph" w:customStyle="1" w:styleId="Prliminairetitre">
    <w:name w:val="Préliminaire titre"/>
    <w:basedOn w:val="Normal"/>
    <w:next w:val="Normal"/>
    <w:pPr>
      <w:spacing w:before="360" w:after="360" w:line="240" w:lineRule="auto"/>
      <w:jc w:val="center"/>
    </w:pPr>
    <w:rPr>
      <w:rFonts w:ascii="Times New Roman" w:eastAsia="Times New Roman" w:hAnsi="Times New Roman" w:cs="Times New Roman"/>
      <w:b/>
      <w:sz w:val="24"/>
      <w:szCs w:val="24"/>
      <w:lang w:eastAsia="de-DE"/>
    </w:rPr>
  </w:style>
  <w:style w:type="paragraph" w:customStyle="1" w:styleId="Prliminairetype">
    <w:name w:val="Préliminaire type"/>
    <w:basedOn w:val="Normal"/>
    <w:next w:val="Normal"/>
    <w:pPr>
      <w:spacing w:before="360" w:after="0" w:line="240" w:lineRule="auto"/>
      <w:jc w:val="center"/>
    </w:pPr>
    <w:rPr>
      <w:rFonts w:ascii="Times New Roman" w:eastAsia="Times New Roman" w:hAnsi="Times New Roman" w:cs="Times New Roman"/>
      <w:b/>
      <w:sz w:val="24"/>
      <w:szCs w:val="24"/>
      <w:lang w:eastAsia="de-DE"/>
    </w:rPr>
  </w:style>
  <w:style w:type="paragraph" w:styleId="TOC2">
    <w:name w:val="toc 2"/>
    <w:basedOn w:val="Normal"/>
    <w:next w:val="Normal"/>
    <w:autoRedefine/>
    <w:uiPriority w:val="39"/>
    <w:qFormat/>
    <w:rsid w:val="003A17EF"/>
    <w:pPr>
      <w:tabs>
        <w:tab w:val="left" w:pos="720"/>
        <w:tab w:val="right" w:leader="dot" w:pos="9855"/>
      </w:tabs>
      <w:spacing w:after="0" w:line="240" w:lineRule="auto"/>
      <w:ind w:left="240"/>
    </w:pPr>
    <w:rPr>
      <w:rFonts w:ascii="Times New Roman" w:eastAsia="Times New Roman" w:hAnsi="Times New Roman" w:cs="Times New Roman"/>
      <w:smallCaps/>
      <w:sz w:val="20"/>
      <w:szCs w:val="20"/>
      <w:lang w:eastAsia="en-GB"/>
    </w:rPr>
  </w:style>
  <w:style w:type="paragraph" w:styleId="TOC3">
    <w:name w:val="toc 3"/>
    <w:basedOn w:val="Normal"/>
    <w:next w:val="Normal"/>
    <w:autoRedefine/>
    <w:qFormat/>
    <w:pPr>
      <w:spacing w:after="0" w:line="240" w:lineRule="auto"/>
      <w:ind w:left="480"/>
    </w:pPr>
    <w:rPr>
      <w:rFonts w:ascii="Times New Roman" w:eastAsia="Times New Roman" w:hAnsi="Times New Roman" w:cs="Times New Roman"/>
      <w:i/>
      <w:iCs/>
      <w:sz w:val="20"/>
      <w:szCs w:val="20"/>
      <w:lang w:eastAsia="en-GB"/>
    </w:rPr>
  </w:style>
  <w:style w:type="paragraph" w:styleId="TOC4">
    <w:name w:val="toc 4"/>
    <w:basedOn w:val="Normal"/>
    <w:next w:val="Normal"/>
    <w:autoRedefine/>
    <w:semiHidden/>
    <w:pPr>
      <w:spacing w:after="0" w:line="240" w:lineRule="auto"/>
      <w:ind w:left="720"/>
    </w:pPr>
    <w:rPr>
      <w:rFonts w:ascii="Times New Roman" w:eastAsia="Times New Roman" w:hAnsi="Times New Roman" w:cs="Times New Roman"/>
      <w:sz w:val="18"/>
      <w:szCs w:val="18"/>
      <w:lang w:eastAsia="en-GB"/>
    </w:rPr>
  </w:style>
  <w:style w:type="paragraph" w:styleId="TOC5">
    <w:name w:val="toc 5"/>
    <w:basedOn w:val="Normal"/>
    <w:next w:val="Normal"/>
    <w:autoRedefine/>
    <w:semiHidden/>
    <w:pPr>
      <w:spacing w:after="0" w:line="240" w:lineRule="auto"/>
      <w:ind w:left="960"/>
    </w:pPr>
    <w:rPr>
      <w:rFonts w:ascii="Times New Roman" w:eastAsia="Times New Roman" w:hAnsi="Times New Roman" w:cs="Times New Roman"/>
      <w:sz w:val="18"/>
      <w:szCs w:val="18"/>
      <w:lang w:eastAsia="en-GB"/>
    </w:rPr>
  </w:style>
  <w:style w:type="paragraph" w:styleId="TOC6">
    <w:name w:val="toc 6"/>
    <w:basedOn w:val="Normal"/>
    <w:next w:val="Normal"/>
    <w:autoRedefine/>
    <w:semiHidden/>
    <w:pPr>
      <w:spacing w:after="0" w:line="240" w:lineRule="auto"/>
      <w:ind w:left="1200"/>
    </w:pPr>
    <w:rPr>
      <w:rFonts w:ascii="Times New Roman" w:eastAsia="Times New Roman" w:hAnsi="Times New Roman" w:cs="Times New Roman"/>
      <w:sz w:val="18"/>
      <w:szCs w:val="18"/>
      <w:lang w:eastAsia="en-GB"/>
    </w:rPr>
  </w:style>
  <w:style w:type="paragraph" w:styleId="TOC7">
    <w:name w:val="toc 7"/>
    <w:basedOn w:val="Normal"/>
    <w:next w:val="Normal"/>
    <w:autoRedefine/>
    <w:semiHidden/>
    <w:pPr>
      <w:spacing w:after="0" w:line="240" w:lineRule="auto"/>
      <w:ind w:left="1440"/>
    </w:pPr>
    <w:rPr>
      <w:rFonts w:ascii="Times New Roman" w:eastAsia="Times New Roman" w:hAnsi="Times New Roman" w:cs="Times New Roman"/>
      <w:sz w:val="18"/>
      <w:szCs w:val="18"/>
      <w:lang w:eastAsia="en-GB"/>
    </w:rPr>
  </w:style>
  <w:style w:type="paragraph" w:styleId="TOC8">
    <w:name w:val="toc 8"/>
    <w:basedOn w:val="Normal"/>
    <w:next w:val="Normal"/>
    <w:autoRedefine/>
    <w:semiHidden/>
    <w:pPr>
      <w:spacing w:after="0" w:line="240" w:lineRule="auto"/>
      <w:ind w:left="1680"/>
    </w:pPr>
    <w:rPr>
      <w:rFonts w:ascii="Times New Roman" w:eastAsia="Times New Roman" w:hAnsi="Times New Roman" w:cs="Times New Roman"/>
      <w:sz w:val="18"/>
      <w:szCs w:val="18"/>
      <w:lang w:eastAsia="en-GB"/>
    </w:rPr>
  </w:style>
  <w:style w:type="paragraph" w:styleId="TOC9">
    <w:name w:val="toc 9"/>
    <w:basedOn w:val="Normal"/>
    <w:next w:val="Normal"/>
    <w:autoRedefine/>
    <w:semiHidden/>
    <w:pPr>
      <w:spacing w:after="0" w:line="240" w:lineRule="auto"/>
      <w:ind w:left="1920"/>
    </w:pPr>
    <w:rPr>
      <w:rFonts w:ascii="Times New Roman" w:eastAsia="Times New Roman" w:hAnsi="Times New Roman" w:cs="Times New Roman"/>
      <w:sz w:val="18"/>
      <w:szCs w:val="18"/>
      <w:lang w:eastAsia="en-GB"/>
    </w:rPr>
  </w:style>
  <w:style w:type="paragraph" w:styleId="ListBullet">
    <w:name w:val="List Bullet"/>
    <w:basedOn w:val="Normal"/>
    <w:pPr>
      <w:numPr>
        <w:numId w:val="7"/>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2">
    <w:name w:val="List Dash 2"/>
    <w:basedOn w:val="Normal"/>
    <w:pPr>
      <w:tabs>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customStyle="1" w:styleId="ListBullet1">
    <w:name w:val="List Bullet 1"/>
    <w:basedOn w:val="Text1"/>
    <w:pPr>
      <w:numPr>
        <w:numId w:val="8"/>
      </w:numPr>
      <w:spacing w:before="0" w:after="240"/>
    </w:pPr>
    <w:rPr>
      <w:szCs w:val="20"/>
      <w:lang w:eastAsia="en-US"/>
    </w:rPr>
  </w:style>
  <w:style w:type="paragraph" w:styleId="ListBullet2">
    <w:name w:val="List Bullet 2"/>
    <w:basedOn w:val="Normal"/>
    <w:pPr>
      <w:numPr>
        <w:numId w:val="9"/>
      </w:numPr>
      <w:spacing w:after="240" w:line="240" w:lineRule="auto"/>
      <w:jc w:val="both"/>
    </w:pPr>
    <w:rPr>
      <w:rFonts w:ascii="Times New Roman" w:eastAsia="Times New Roman" w:hAnsi="Times New Roman" w:cs="Times New Roman"/>
      <w:sz w:val="24"/>
      <w:szCs w:val="20"/>
    </w:rPr>
  </w:style>
  <w:style w:type="table" w:styleId="TableGrid">
    <w:name w:val="Table Grid"/>
    <w:basedOn w:val="TableNormal"/>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Pr>
      <w:color w:val="800080"/>
      <w:u w:val="single"/>
    </w:rPr>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Titreobjet">
    <w:name w:val="Titre objet"/>
    <w:basedOn w:val="Normal"/>
    <w:next w:val="Normal"/>
    <w:pPr>
      <w:spacing w:before="360" w:after="360" w:line="240" w:lineRule="auto"/>
      <w:jc w:val="center"/>
    </w:pPr>
    <w:rPr>
      <w:rFonts w:ascii="Times New Roman" w:eastAsia="Times New Roman" w:hAnsi="Times New Roman" w:cs="Times New Roman"/>
      <w:b/>
      <w:sz w:val="24"/>
      <w:szCs w:val="24"/>
    </w:rPr>
  </w:style>
  <w:style w:type="character" w:styleId="Emphasis">
    <w:name w:val="Emphasis"/>
    <w:uiPriority w:val="20"/>
    <w:qFormat/>
    <w:rPr>
      <w:i/>
      <w:iCs/>
    </w:rPr>
  </w:style>
  <w:style w:type="paragraph" w:customStyle="1" w:styleId="Text2">
    <w:name w:val="Text 2"/>
    <w:basedOn w:val="Normal"/>
    <w:pPr>
      <w:spacing w:before="120" w:after="120" w:line="240" w:lineRule="auto"/>
      <w:ind w:left="850"/>
      <w:jc w:val="both"/>
    </w:pPr>
    <w:rPr>
      <w:rFonts w:ascii="Times New Roman" w:eastAsia="Times New Roman" w:hAnsi="Times New Roman" w:cs="Times New Roman"/>
      <w:sz w:val="24"/>
      <w:szCs w:val="24"/>
    </w:rPr>
  </w:style>
  <w:style w:type="paragraph" w:styleId="BalloonText">
    <w:name w:val="Balloon Text"/>
    <w:basedOn w:val="Normal"/>
    <w:link w:val="BalloonTextChar"/>
    <w:semiHidden/>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Pr>
      <w:rFonts w:ascii="Tahoma" w:eastAsia="Times New Roman" w:hAnsi="Tahoma" w:cs="Tahoma"/>
      <w:sz w:val="16"/>
      <w:szCs w:val="16"/>
      <w:lang w:eastAsia="en-GB"/>
    </w:rPr>
  </w:style>
  <w:style w:type="paragraph" w:styleId="ListNumber">
    <w:name w:val="List Number"/>
    <w:basedOn w:val="Normal"/>
    <w:pPr>
      <w:numPr>
        <w:numId w:val="1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Level2">
    <w:name w:val="List Number (Level 2)"/>
    <w:basedOn w:val="Normal"/>
    <w:pPr>
      <w:numPr>
        <w:ilvl w:val="1"/>
        <w:numId w:val="1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Level3">
    <w:name w:val="List Number (Level 3)"/>
    <w:basedOn w:val="Normal"/>
    <w:pPr>
      <w:numPr>
        <w:ilvl w:val="2"/>
        <w:numId w:val="1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Level4">
    <w:name w:val="List Number (Level 4)"/>
    <w:basedOn w:val="Normal"/>
    <w:pPr>
      <w:numPr>
        <w:ilvl w:val="3"/>
        <w:numId w:val="11"/>
      </w:numPr>
      <w:spacing w:before="120" w:after="120" w:line="240" w:lineRule="auto"/>
      <w:jc w:val="both"/>
    </w:pPr>
    <w:rPr>
      <w:rFonts w:ascii="Times New Roman" w:eastAsia="Times New Roman" w:hAnsi="Times New Roman" w:cs="Times New Roman"/>
      <w:sz w:val="24"/>
      <w:szCs w:val="24"/>
      <w:lang w:eastAsia="de-DE"/>
    </w:rPr>
  </w:style>
  <w:style w:type="character" w:customStyle="1" w:styleId="ListDashChar">
    <w:name w:val="List Dash Char"/>
    <w:link w:val="ListDash"/>
    <w:rPr>
      <w:rFonts w:ascii="Times New Roman" w:eastAsia="Times New Roman" w:hAnsi="Times New Roman" w:cs="Times New Roman"/>
      <w:sz w:val="24"/>
      <w:szCs w:val="24"/>
      <w:lang w:eastAsia="de-DE"/>
    </w:rPr>
  </w:style>
  <w:style w:type="paragraph" w:customStyle="1" w:styleId="StyleManualHeading2Italic">
    <w:name w:val="Style Manual Heading 2 + Italic"/>
    <w:basedOn w:val="ManualHeading2"/>
    <w:autoRedefine/>
    <w:pPr>
      <w:spacing w:before="160" w:after="160"/>
      <w:ind w:left="851" w:hanging="851"/>
    </w:pPr>
    <w:rPr>
      <w:bCs/>
      <w:i/>
      <w:iCs/>
    </w:rPr>
  </w:style>
  <w:style w:type="paragraph" w:customStyle="1" w:styleId="NormalCentered">
    <w:name w:val="Normal Centered"/>
    <w:basedOn w:val="Normal"/>
    <w:uiPriority w:val="99"/>
    <w:pPr>
      <w:spacing w:before="120" w:after="120" w:line="240" w:lineRule="auto"/>
      <w:jc w:val="center"/>
    </w:pPr>
    <w:rPr>
      <w:rFonts w:ascii="Times New Roman" w:eastAsia="Times New Roman" w:hAnsi="Times New Roman" w:cs="Times New Roman"/>
      <w:sz w:val="24"/>
      <w:szCs w:val="24"/>
      <w:lang w:eastAsia="de-DE"/>
    </w:rPr>
  </w:style>
  <w:style w:type="paragraph" w:customStyle="1" w:styleId="NormalRight">
    <w:name w:val="Normal Right"/>
    <w:basedOn w:val="Normal"/>
    <w:uiPriority w:val="99"/>
    <w:pPr>
      <w:spacing w:before="120" w:after="120" w:line="240" w:lineRule="auto"/>
      <w:jc w:val="right"/>
    </w:pPr>
    <w:rPr>
      <w:rFonts w:ascii="Times New Roman" w:eastAsia="Times New Roman" w:hAnsi="Times New Roman" w:cs="Times New Roman"/>
      <w:sz w:val="24"/>
      <w:szCs w:val="24"/>
      <w:lang w:eastAsia="de-DE"/>
    </w:rPr>
  </w:style>
  <w:style w:type="paragraph" w:customStyle="1" w:styleId="NormalLeft">
    <w:name w:val="Normal Left"/>
    <w:basedOn w:val="Normal"/>
    <w:uiPriority w:val="99"/>
    <w:pPr>
      <w:spacing w:before="120" w:after="120" w:line="240" w:lineRule="auto"/>
    </w:pPr>
    <w:rPr>
      <w:rFonts w:ascii="Times New Roman" w:eastAsia="Times New Roman" w:hAnsi="Times New Roman" w:cs="Times New Roman"/>
      <w:sz w:val="24"/>
      <w:szCs w:val="24"/>
      <w:lang w:eastAsia="en-GB"/>
    </w:rPr>
  </w:style>
  <w:style w:type="paragraph" w:customStyle="1" w:styleId="Point0number">
    <w:name w:val="Point 0 (number)"/>
    <w:basedOn w:val="Normal"/>
    <w:pPr>
      <w:numPr>
        <w:numId w:val="10"/>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pPr>
      <w:numPr>
        <w:ilvl w:val="2"/>
        <w:numId w:val="10"/>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pPr>
      <w:numPr>
        <w:ilvl w:val="4"/>
        <w:numId w:val="10"/>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pPr>
      <w:numPr>
        <w:ilvl w:val="6"/>
        <w:numId w:val="10"/>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pPr>
      <w:numPr>
        <w:ilvl w:val="1"/>
        <w:numId w:val="10"/>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pPr>
      <w:numPr>
        <w:ilvl w:val="3"/>
        <w:numId w:val="10"/>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pPr>
      <w:numPr>
        <w:ilvl w:val="5"/>
        <w:numId w:val="10"/>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pPr>
      <w:numPr>
        <w:ilvl w:val="7"/>
        <w:numId w:val="10"/>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pPr>
      <w:numPr>
        <w:ilvl w:val="8"/>
        <w:numId w:val="10"/>
      </w:numPr>
      <w:spacing w:before="120" w:after="120" w:line="240" w:lineRule="auto"/>
      <w:jc w:val="both"/>
    </w:pPr>
    <w:rPr>
      <w:rFonts w:ascii="Times New Roman" w:eastAsia="Times New Roman" w:hAnsi="Times New Roman" w:cs="Times New Roman"/>
      <w:sz w:val="24"/>
      <w:szCs w:val="24"/>
    </w:rPr>
  </w:style>
  <w:style w:type="paragraph" w:customStyle="1" w:styleId="NumPar1">
    <w:name w:val="NumPar 1"/>
    <w:basedOn w:val="Normal"/>
    <w:next w:val="Text1"/>
    <w:pPr>
      <w:numPr>
        <w:numId w:val="12"/>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NumPar2">
    <w:name w:val="NumPar 2"/>
    <w:basedOn w:val="Normal"/>
    <w:next w:val="Normal"/>
    <w:pPr>
      <w:numPr>
        <w:ilvl w:val="1"/>
        <w:numId w:val="12"/>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NumPar3">
    <w:name w:val="NumPar 3"/>
    <w:basedOn w:val="Normal"/>
    <w:next w:val="Normal"/>
    <w:pPr>
      <w:numPr>
        <w:ilvl w:val="2"/>
        <w:numId w:val="12"/>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NumPar4">
    <w:name w:val="NumPar 4"/>
    <w:basedOn w:val="Normal"/>
    <w:next w:val="Normal"/>
    <w:pPr>
      <w:numPr>
        <w:ilvl w:val="3"/>
        <w:numId w:val="12"/>
      </w:numPr>
      <w:spacing w:before="120" w:after="120" w:line="240" w:lineRule="auto"/>
      <w:jc w:val="both"/>
    </w:pPr>
    <w:rPr>
      <w:rFonts w:ascii="Times New Roman" w:eastAsia="Times New Roman" w:hAnsi="Times New Roman" w:cs="Times New Roman"/>
      <w:sz w:val="24"/>
      <w:szCs w:val="24"/>
      <w:lang w:eastAsia="de-DE"/>
    </w:rPr>
  </w:style>
  <w:style w:type="character" w:styleId="CommentReference">
    <w:name w:val="annotation reference"/>
    <w:uiPriority w:val="99"/>
    <w:rPr>
      <w:sz w:val="16"/>
      <w:szCs w:val="16"/>
    </w:rPr>
  </w:style>
  <w:style w:type="paragraph" w:customStyle="1" w:styleId="Statut">
    <w:name w:val="Statut"/>
    <w:basedOn w:val="Normal"/>
    <w:next w:val="Typedudocument"/>
    <w:pPr>
      <w:spacing w:before="360" w:after="0" w:line="240" w:lineRule="auto"/>
      <w:jc w:val="center"/>
    </w:pPr>
    <w:rPr>
      <w:rFonts w:ascii="Times New Roman" w:eastAsia="Calibri" w:hAnsi="Times New Roman" w:cs="Times New Roman"/>
      <w:sz w:val="24"/>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CommentText">
    <w:name w:val="annotation text"/>
    <w:basedOn w:val="Normal"/>
    <w:link w:val="CommentTextChar"/>
    <w:uiPriority w:val="99"/>
    <w:unhideWhenUsed/>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eastAsia="en-GB"/>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lang w:eastAsia="en-GB"/>
    </w:rPr>
  </w:style>
  <w:style w:type="paragraph" w:customStyle="1" w:styleId="Footnoter">
    <w:name w:val="Footnote r"/>
    <w:basedOn w:val="Normal"/>
    <w:pPr>
      <w:shd w:val="clear" w:color="auto" w:fill="F2F8FB"/>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hps">
    <w:name w:val="hps"/>
  </w:style>
  <w:style w:type="paragraph" w:customStyle="1" w:styleId="Tiret2">
    <w:name w:val="Tiret 2"/>
    <w:basedOn w:val="Normal"/>
    <w:pPr>
      <w:numPr>
        <w:numId w:val="13"/>
      </w:numPr>
      <w:spacing w:before="120" w:after="120" w:line="240" w:lineRule="auto"/>
      <w:jc w:val="both"/>
    </w:pPr>
    <w:rPr>
      <w:rFonts w:ascii="Times New Roman" w:eastAsia="Times New Roman" w:hAnsi="Times New Roman" w:cs="Times New Roman"/>
      <w:sz w:val="24"/>
      <w:lang w:eastAsia="en-GB"/>
    </w:rPr>
  </w:style>
  <w:style w:type="paragraph" w:styleId="ListNumber5">
    <w:name w:val="List Number 5"/>
    <w:basedOn w:val="Normal"/>
    <w:pPr>
      <w:numPr>
        <w:numId w:val="14"/>
      </w:numPr>
      <w:spacing w:after="0" w:line="240" w:lineRule="auto"/>
      <w:contextualSpacing/>
    </w:pPr>
    <w:rPr>
      <w:rFonts w:ascii="Times New Roman" w:eastAsia="Times New Roman" w:hAnsi="Times New Roman" w:cs="Times New Roman"/>
      <w:sz w:val="24"/>
      <w:szCs w:val="24"/>
      <w:lang w:eastAsia="en-GB"/>
    </w:rPr>
  </w:style>
  <w:style w:type="character" w:styleId="Strong">
    <w:name w:val="Strong"/>
    <w:basedOn w:val="DefaultParagraphFont"/>
    <w:qFormat/>
    <w:rPr>
      <w:b/>
      <w:bCs/>
    </w:rPr>
  </w:style>
  <w:style w:type="paragraph" w:styleId="ListBullet3">
    <w:name w:val="List Bullet 3"/>
    <w:basedOn w:val="Normal"/>
    <w:uiPriority w:val="99"/>
    <w:unhideWhenUsed/>
    <w:pPr>
      <w:numPr>
        <w:numId w:val="15"/>
      </w:numPr>
      <w:spacing w:before="120" w:after="120" w:line="240" w:lineRule="auto"/>
      <w:contextualSpacing/>
      <w:jc w:val="both"/>
    </w:pPr>
    <w:rPr>
      <w:rFonts w:ascii="Times New Roman" w:eastAsia="Calibri" w:hAnsi="Times New Roman" w:cs="Times New Roman"/>
      <w:sz w:val="24"/>
      <w:lang w:eastAsia="en-GB"/>
    </w:rPr>
  </w:style>
  <w:style w:type="paragraph" w:customStyle="1" w:styleId="CM4">
    <w:name w:val="CM4"/>
    <w:basedOn w:val="Normal"/>
    <w:next w:val="Normal"/>
    <w:uiPriority w:val="99"/>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doc-ti">
    <w:name w:val="doc-ti"/>
    <w:basedOn w:val="Normal"/>
    <w:pPr>
      <w:spacing w:before="240" w:after="120" w:line="240" w:lineRule="auto"/>
      <w:jc w:val="center"/>
    </w:pPr>
    <w:rPr>
      <w:rFonts w:ascii="Times New Roman" w:eastAsia="Times New Roman" w:hAnsi="Times New Roman" w:cs="Times New Roman"/>
      <w:b/>
      <w:bCs/>
      <w:sz w:val="24"/>
      <w:szCs w:val="24"/>
      <w:lang w:eastAsia="en-GB"/>
    </w:rPr>
  </w:style>
  <w:style w:type="character" w:customStyle="1" w:styleId="SubtleEmphasis1">
    <w:name w:val="Subtle Emphasis1"/>
    <w:rPr>
      <w:i/>
      <w:iCs/>
      <w:color w:val="808080"/>
    </w:rPr>
  </w:style>
  <w:style w:type="character" w:customStyle="1" w:styleId="IntenseEmphasis1">
    <w:name w:val="Intense Emphasis1"/>
    <w:rPr>
      <w:b/>
      <w:bCs/>
      <w:i/>
      <w:iCs/>
      <w:color w:val="4F81BD"/>
    </w:rPr>
  </w:style>
  <w:style w:type="character" w:customStyle="1" w:styleId="SubtleReference1">
    <w:name w:val="Subtle Reference1"/>
    <w:rPr>
      <w:smallCaps/>
      <w:color w:val="C0504D"/>
      <w:u w:val="single"/>
    </w:rPr>
  </w:style>
  <w:style w:type="character" w:customStyle="1" w:styleId="IntenseReference1">
    <w:name w:val="Intense Reference1"/>
    <w:rPr>
      <w:b/>
      <w:bCs/>
      <w:smallCaps/>
      <w:color w:val="C0504D"/>
      <w:spacing w:val="5"/>
      <w:u w:val="single"/>
    </w:rPr>
  </w:style>
  <w:style w:type="character" w:customStyle="1" w:styleId="BookTitle1">
    <w:name w:val="Book Title1"/>
    <w:rPr>
      <w:b/>
      <w:bCs/>
      <w:smallCaps/>
      <w:spacing w:val="5"/>
    </w:rPr>
  </w:style>
  <w:style w:type="paragraph" w:customStyle="1" w:styleId="TOCHeading1">
    <w:name w:val="TOC Heading1"/>
    <w:basedOn w:val="Heading1"/>
    <w:next w:val="Normal"/>
    <w:uiPriority w:val="39"/>
    <w:pPr>
      <w:keepNext w:val="0"/>
      <w:keepLines/>
      <w:spacing w:before="480" w:after="0"/>
      <w:jc w:val="both"/>
      <w:outlineLvl w:val="9"/>
    </w:pPr>
    <w:rPr>
      <w:rFonts w:ascii="Cambria" w:hAnsi="Cambria" w:cs="Times New Roman"/>
      <w:color w:val="365F91"/>
      <w:kern w:val="0"/>
      <w:sz w:val="28"/>
      <w:szCs w:val="28"/>
      <w:lang w:eastAsia="en-US"/>
    </w:rPr>
  </w:style>
  <w:style w:type="character" w:customStyle="1" w:styleId="SubtleEmphasis2">
    <w:name w:val="Subtle Emphasis2"/>
    <w:rPr>
      <w:i/>
      <w:iCs/>
      <w:color w:val="808080"/>
    </w:rPr>
  </w:style>
  <w:style w:type="character" w:customStyle="1" w:styleId="IntenseEmphasis2">
    <w:name w:val="Intense Emphasis2"/>
    <w:rPr>
      <w:b/>
      <w:bCs/>
      <w:i/>
      <w:iCs/>
      <w:color w:val="4F81BD"/>
    </w:rPr>
  </w:style>
  <w:style w:type="character" w:customStyle="1" w:styleId="SubtleReference2">
    <w:name w:val="Subtle Reference2"/>
    <w:rPr>
      <w:smallCaps/>
      <w:color w:val="C0504D"/>
      <w:u w:val="single"/>
    </w:rPr>
  </w:style>
  <w:style w:type="character" w:customStyle="1" w:styleId="IntenseReference2">
    <w:name w:val="Intense Reference2"/>
    <w:rPr>
      <w:b/>
      <w:bCs/>
      <w:smallCaps/>
      <w:color w:val="C0504D"/>
      <w:spacing w:val="5"/>
      <w:u w:val="single"/>
    </w:rPr>
  </w:style>
  <w:style w:type="character" w:customStyle="1" w:styleId="BookTitle2">
    <w:name w:val="Book Title2"/>
    <w:rPr>
      <w:b/>
      <w:bCs/>
      <w:smallCaps/>
      <w:spacing w:val="5"/>
    </w:rPr>
  </w:style>
  <w:style w:type="paragraph" w:customStyle="1" w:styleId="TOCHeading2">
    <w:name w:val="TOC Heading2"/>
    <w:basedOn w:val="Heading1"/>
    <w:next w:val="Normal"/>
    <w:uiPriority w:val="39"/>
    <w:pPr>
      <w:keepNext w:val="0"/>
      <w:keepLines/>
      <w:spacing w:before="480" w:after="0"/>
      <w:jc w:val="both"/>
      <w:outlineLvl w:val="9"/>
    </w:pPr>
    <w:rPr>
      <w:rFonts w:ascii="Cambria" w:hAnsi="Cambria" w:cs="Times New Roman"/>
      <w:color w:val="365F91"/>
      <w:kern w:val="0"/>
      <w:sz w:val="28"/>
      <w:szCs w:val="28"/>
      <w:lang w:eastAsia="en-US"/>
    </w:rPr>
  </w:style>
  <w:style w:type="paragraph" w:styleId="Caption">
    <w:name w:val="caption"/>
    <w:basedOn w:val="Normal"/>
    <w:next w:val="Normal"/>
    <w:semiHidden/>
    <w:unhideWhenUsed/>
    <w:qFormat/>
    <w:pPr>
      <w:spacing w:after="200" w:line="240" w:lineRule="auto"/>
    </w:pPr>
    <w:rPr>
      <w:rFonts w:ascii="Times New Roman" w:eastAsia="Times New Roman" w:hAnsi="Times New Roman" w:cs="Times New Roman"/>
      <w:b/>
      <w:bCs/>
      <w:color w:val="5B9BD5" w:themeColor="accent1"/>
      <w:sz w:val="18"/>
      <w:szCs w:val="18"/>
    </w:rPr>
  </w:style>
  <w:style w:type="paragraph" w:styleId="Title">
    <w:name w:val="Title"/>
    <w:basedOn w:val="Normal"/>
    <w:link w:val="TitleChar"/>
    <w:qFormat/>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link w:val="SubtitleChar"/>
    <w:qFormat/>
    <w:pPr>
      <w:numPr>
        <w:ilvl w:val="1"/>
      </w:numPr>
      <w:spacing w:after="0" w:line="240" w:lineRule="auto"/>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rPr>
      <w:rFonts w:asciiTheme="majorHAnsi" w:eastAsiaTheme="majorEastAsia" w:hAnsiTheme="majorHAnsi" w:cstheme="majorBidi"/>
      <w:i/>
      <w:iCs/>
      <w:color w:val="5B9BD5" w:themeColor="accent1"/>
      <w:spacing w:val="15"/>
      <w:sz w:val="24"/>
      <w:szCs w:val="24"/>
    </w:rPr>
  </w:style>
  <w:style w:type="paragraph" w:customStyle="1" w:styleId="agbullets">
    <w:name w:val="ag_bullets"/>
    <w:basedOn w:val="Normal"/>
    <w:qFormat/>
    <w:pPr>
      <w:numPr>
        <w:numId w:val="16"/>
      </w:numPr>
      <w:spacing w:after="0" w:line="240" w:lineRule="auto"/>
    </w:pPr>
    <w:rPr>
      <w:rFonts w:ascii="Times New Roman" w:eastAsia="Times New Roman" w:hAnsi="Times New Roman" w:cs="Times New Roman"/>
      <w:szCs w:val="20"/>
    </w:rPr>
  </w:style>
  <w:style w:type="paragraph" w:customStyle="1" w:styleId="agtabbullets">
    <w:name w:val="ag_tab_bullets"/>
    <w:basedOn w:val="Normal"/>
    <w:qFormat/>
    <w:pPr>
      <w:numPr>
        <w:numId w:val="17"/>
      </w:numPr>
      <w:spacing w:after="0" w:line="240" w:lineRule="auto"/>
      <w:jc w:val="both"/>
    </w:pPr>
    <w:rPr>
      <w:rFonts w:ascii="Times New Roman" w:eastAsia="Times New Roman" w:hAnsi="Times New Roman" w:cs="Times New Roman"/>
      <w:sz w:val="18"/>
      <w:szCs w:val="20"/>
    </w:rPr>
  </w:style>
  <w:style w:type="paragraph" w:customStyle="1" w:styleId="agfootnote">
    <w:name w:val="ag_footnote"/>
    <w:basedOn w:val="Normal"/>
    <w:qFormat/>
    <w:pPr>
      <w:spacing w:after="120" w:line="240" w:lineRule="auto"/>
      <w:jc w:val="both"/>
    </w:pPr>
    <w:rPr>
      <w:rFonts w:ascii="Times New Roman" w:eastAsia="Times New Roman" w:hAnsi="Times New Roman" w:cs="Times New Roman"/>
      <w:sz w:val="16"/>
      <w:szCs w:val="20"/>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character" w:customStyle="1" w:styleId="s2">
    <w:name w:val="s2"/>
    <w:basedOn w:val="DefaultParagraphFont"/>
    <w:rsid w:val="009B6020"/>
  </w:style>
  <w:style w:type="paragraph" w:customStyle="1" w:styleId="Article">
    <w:name w:val="Article"/>
    <w:basedOn w:val="Normal"/>
    <w:next w:val="Normal"/>
    <w:uiPriority w:val="99"/>
    <w:rsid w:val="009B6020"/>
    <w:pPr>
      <w:keepNext/>
      <w:spacing w:before="480" w:after="120" w:line="240" w:lineRule="auto"/>
    </w:pPr>
    <w:rPr>
      <w:rFonts w:ascii="Times New Roman" w:eastAsia="Times New Roman" w:hAnsi="Times New Roman" w:cs="Times New Roman"/>
      <w:b/>
      <w:bCs/>
      <w:i/>
      <w:iCs/>
      <w:sz w:val="24"/>
      <w:szCs w:val="24"/>
      <w:lang w:eastAsia="en-GB"/>
    </w:rPr>
  </w:style>
  <w:style w:type="paragraph" w:customStyle="1" w:styleId="Figures">
    <w:name w:val="Figures"/>
    <w:basedOn w:val="Normal"/>
    <w:next w:val="Normal"/>
    <w:uiPriority w:val="99"/>
    <w:rsid w:val="009B6020"/>
    <w:pPr>
      <w:keepNext/>
      <w:spacing w:before="120" w:after="120" w:line="240" w:lineRule="auto"/>
    </w:pPr>
    <w:rPr>
      <w:rFonts w:ascii="Times New Roman" w:eastAsia="Times New Roman" w:hAnsi="Times New Roman" w:cs="Times New Roman"/>
      <w:i/>
      <w:iCs/>
      <w:sz w:val="20"/>
      <w:szCs w:val="20"/>
      <w:lang w:eastAsia="en-GB"/>
    </w:rPr>
  </w:style>
  <w:style w:type="paragraph" w:customStyle="1" w:styleId="Remarks">
    <w:name w:val="Remarks"/>
    <w:basedOn w:val="Normal"/>
    <w:next w:val="Normal"/>
    <w:uiPriority w:val="99"/>
    <w:rsid w:val="009B6020"/>
    <w:pPr>
      <w:keepNext/>
      <w:spacing w:before="120" w:after="120" w:line="240" w:lineRule="auto"/>
    </w:pPr>
    <w:rPr>
      <w:rFonts w:ascii="Times New Roman" w:eastAsia="Times New Roman" w:hAnsi="Times New Roman" w:cs="Times New Roman"/>
      <w:i/>
      <w:iCs/>
      <w:sz w:val="20"/>
      <w:szCs w:val="20"/>
      <w:lang w:eastAsia="en-GB"/>
    </w:rPr>
  </w:style>
  <w:style w:type="character" w:customStyle="1" w:styleId="ReusedInlineInfo">
    <w:name w:val="ReusedInlineInfo"/>
    <w:uiPriority w:val="99"/>
    <w:rsid w:val="009B6020"/>
    <w:rPr>
      <w:sz w:val="16"/>
      <w:szCs w:val="16"/>
      <w:u w:val="dash"/>
      <w:shd w:val="clear" w:color="auto" w:fill="FFFF00"/>
    </w:rPr>
  </w:style>
  <w:style w:type="paragraph" w:styleId="ListBullet4">
    <w:name w:val="List Bullet 4"/>
    <w:basedOn w:val="Normal"/>
    <w:uiPriority w:val="99"/>
    <w:rsid w:val="00D52F81"/>
    <w:pPr>
      <w:numPr>
        <w:numId w:val="20"/>
      </w:numPr>
      <w:spacing w:after="240" w:line="240" w:lineRule="auto"/>
      <w:jc w:val="both"/>
    </w:pPr>
    <w:rPr>
      <w:rFonts w:ascii="Times New Roman" w:eastAsia="Times New Roman" w:hAnsi="Times New Roman" w:cs="Times New Roman"/>
      <w:sz w:val="24"/>
      <w:szCs w:val="20"/>
    </w:rPr>
  </w:style>
  <w:style w:type="table" w:customStyle="1" w:styleId="TableGrid1">
    <w:name w:val="Table Grid1"/>
    <w:basedOn w:val="TableNormal"/>
    <w:next w:val="TableGrid"/>
    <w:rsid w:val="007A431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unhideWhenUsed/>
    <w:rsid w:val="00FD38EB"/>
    <w:rPr>
      <w:color w:val="605E5C"/>
      <w:shd w:val="clear" w:color="auto" w:fill="E1DFDD"/>
    </w:rPr>
  </w:style>
  <w:style w:type="character" w:customStyle="1" w:styleId="Mention">
    <w:name w:val="Mention"/>
    <w:basedOn w:val="DefaultParagraphFont"/>
    <w:uiPriority w:val="99"/>
    <w:unhideWhenUsed/>
    <w:rsid w:val="00FD38EB"/>
    <w:rPr>
      <w:color w:val="2B579A"/>
      <w:shd w:val="clear" w:color="auto" w:fill="E1DFDD"/>
    </w:rPr>
  </w:style>
  <w:style w:type="paragraph" w:customStyle="1" w:styleId="Nota">
    <w:name w:val="Nota"/>
    <w:aliases w:val="Char1,(NECG) Footnote Reference,Appel note de bas de p,o,Style 6,Signature Ch"/>
    <w:basedOn w:val="Normal"/>
    <w:link w:val="FootnoteReference"/>
    <w:rsid w:val="000308B8"/>
    <w:pPr>
      <w:spacing w:line="240" w:lineRule="exact"/>
    </w:pPr>
    <w:rPr>
      <w:vertAlign w:val="superscript"/>
    </w:rPr>
  </w:style>
  <w:style w:type="paragraph" w:customStyle="1" w:styleId="paragraph">
    <w:name w:val="paragraph"/>
    <w:basedOn w:val="Normal"/>
    <w:rsid w:val="009E3E9B"/>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9E3E9B"/>
  </w:style>
  <w:style w:type="character" w:customStyle="1" w:styleId="superscript">
    <w:name w:val="superscript"/>
    <w:basedOn w:val="DefaultParagraphFont"/>
    <w:rsid w:val="009E3E9B"/>
  </w:style>
  <w:style w:type="character" w:customStyle="1" w:styleId="eop">
    <w:name w:val="eop"/>
    <w:basedOn w:val="DefaultParagraphFont"/>
    <w:rsid w:val="009E3E9B"/>
  </w:style>
  <w:style w:type="paragraph" w:customStyle="1" w:styleId="title-bold">
    <w:name w:val="title-bold"/>
    <w:basedOn w:val="Normal"/>
    <w:rsid w:val="0017037D"/>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018529">
      <w:bodyDiv w:val="1"/>
      <w:marLeft w:val="0"/>
      <w:marRight w:val="0"/>
      <w:marTop w:val="0"/>
      <w:marBottom w:val="0"/>
      <w:divBdr>
        <w:top w:val="none" w:sz="0" w:space="0" w:color="auto"/>
        <w:left w:val="none" w:sz="0" w:space="0" w:color="auto"/>
        <w:bottom w:val="none" w:sz="0" w:space="0" w:color="auto"/>
        <w:right w:val="none" w:sz="0" w:space="0" w:color="auto"/>
      </w:divBdr>
    </w:div>
    <w:div w:id="153686581">
      <w:bodyDiv w:val="1"/>
      <w:marLeft w:val="0"/>
      <w:marRight w:val="0"/>
      <w:marTop w:val="0"/>
      <w:marBottom w:val="0"/>
      <w:divBdr>
        <w:top w:val="none" w:sz="0" w:space="0" w:color="auto"/>
        <w:left w:val="none" w:sz="0" w:space="0" w:color="auto"/>
        <w:bottom w:val="none" w:sz="0" w:space="0" w:color="auto"/>
        <w:right w:val="none" w:sz="0" w:space="0" w:color="auto"/>
      </w:divBdr>
    </w:div>
    <w:div w:id="232665939">
      <w:bodyDiv w:val="1"/>
      <w:marLeft w:val="0"/>
      <w:marRight w:val="0"/>
      <w:marTop w:val="0"/>
      <w:marBottom w:val="0"/>
      <w:divBdr>
        <w:top w:val="none" w:sz="0" w:space="0" w:color="auto"/>
        <w:left w:val="none" w:sz="0" w:space="0" w:color="auto"/>
        <w:bottom w:val="none" w:sz="0" w:space="0" w:color="auto"/>
        <w:right w:val="none" w:sz="0" w:space="0" w:color="auto"/>
      </w:divBdr>
    </w:div>
    <w:div w:id="241839112">
      <w:bodyDiv w:val="1"/>
      <w:marLeft w:val="0"/>
      <w:marRight w:val="0"/>
      <w:marTop w:val="0"/>
      <w:marBottom w:val="0"/>
      <w:divBdr>
        <w:top w:val="none" w:sz="0" w:space="0" w:color="auto"/>
        <w:left w:val="none" w:sz="0" w:space="0" w:color="auto"/>
        <w:bottom w:val="none" w:sz="0" w:space="0" w:color="auto"/>
        <w:right w:val="none" w:sz="0" w:space="0" w:color="auto"/>
      </w:divBdr>
    </w:div>
    <w:div w:id="281305610">
      <w:bodyDiv w:val="1"/>
      <w:marLeft w:val="0"/>
      <w:marRight w:val="0"/>
      <w:marTop w:val="0"/>
      <w:marBottom w:val="0"/>
      <w:divBdr>
        <w:top w:val="none" w:sz="0" w:space="0" w:color="auto"/>
        <w:left w:val="none" w:sz="0" w:space="0" w:color="auto"/>
        <w:bottom w:val="none" w:sz="0" w:space="0" w:color="auto"/>
        <w:right w:val="none" w:sz="0" w:space="0" w:color="auto"/>
      </w:divBdr>
    </w:div>
    <w:div w:id="283968262">
      <w:bodyDiv w:val="1"/>
      <w:marLeft w:val="0"/>
      <w:marRight w:val="0"/>
      <w:marTop w:val="0"/>
      <w:marBottom w:val="0"/>
      <w:divBdr>
        <w:top w:val="none" w:sz="0" w:space="0" w:color="auto"/>
        <w:left w:val="none" w:sz="0" w:space="0" w:color="auto"/>
        <w:bottom w:val="none" w:sz="0" w:space="0" w:color="auto"/>
        <w:right w:val="none" w:sz="0" w:space="0" w:color="auto"/>
      </w:divBdr>
    </w:div>
    <w:div w:id="312295518">
      <w:bodyDiv w:val="1"/>
      <w:marLeft w:val="0"/>
      <w:marRight w:val="0"/>
      <w:marTop w:val="0"/>
      <w:marBottom w:val="0"/>
      <w:divBdr>
        <w:top w:val="none" w:sz="0" w:space="0" w:color="auto"/>
        <w:left w:val="none" w:sz="0" w:space="0" w:color="auto"/>
        <w:bottom w:val="none" w:sz="0" w:space="0" w:color="auto"/>
        <w:right w:val="none" w:sz="0" w:space="0" w:color="auto"/>
      </w:divBdr>
    </w:div>
    <w:div w:id="327371309">
      <w:bodyDiv w:val="1"/>
      <w:marLeft w:val="0"/>
      <w:marRight w:val="0"/>
      <w:marTop w:val="0"/>
      <w:marBottom w:val="0"/>
      <w:divBdr>
        <w:top w:val="none" w:sz="0" w:space="0" w:color="auto"/>
        <w:left w:val="none" w:sz="0" w:space="0" w:color="auto"/>
        <w:bottom w:val="none" w:sz="0" w:space="0" w:color="auto"/>
        <w:right w:val="none" w:sz="0" w:space="0" w:color="auto"/>
      </w:divBdr>
    </w:div>
    <w:div w:id="345451314">
      <w:bodyDiv w:val="1"/>
      <w:marLeft w:val="0"/>
      <w:marRight w:val="0"/>
      <w:marTop w:val="0"/>
      <w:marBottom w:val="0"/>
      <w:divBdr>
        <w:top w:val="none" w:sz="0" w:space="0" w:color="auto"/>
        <w:left w:val="none" w:sz="0" w:space="0" w:color="auto"/>
        <w:bottom w:val="none" w:sz="0" w:space="0" w:color="auto"/>
        <w:right w:val="none" w:sz="0" w:space="0" w:color="auto"/>
      </w:divBdr>
    </w:div>
    <w:div w:id="346761550">
      <w:bodyDiv w:val="1"/>
      <w:marLeft w:val="0"/>
      <w:marRight w:val="0"/>
      <w:marTop w:val="0"/>
      <w:marBottom w:val="0"/>
      <w:divBdr>
        <w:top w:val="none" w:sz="0" w:space="0" w:color="auto"/>
        <w:left w:val="none" w:sz="0" w:space="0" w:color="auto"/>
        <w:bottom w:val="none" w:sz="0" w:space="0" w:color="auto"/>
        <w:right w:val="none" w:sz="0" w:space="0" w:color="auto"/>
      </w:divBdr>
    </w:div>
    <w:div w:id="357858846">
      <w:bodyDiv w:val="1"/>
      <w:marLeft w:val="0"/>
      <w:marRight w:val="0"/>
      <w:marTop w:val="0"/>
      <w:marBottom w:val="0"/>
      <w:divBdr>
        <w:top w:val="none" w:sz="0" w:space="0" w:color="auto"/>
        <w:left w:val="none" w:sz="0" w:space="0" w:color="auto"/>
        <w:bottom w:val="none" w:sz="0" w:space="0" w:color="auto"/>
        <w:right w:val="none" w:sz="0" w:space="0" w:color="auto"/>
      </w:divBdr>
    </w:div>
    <w:div w:id="390420772">
      <w:bodyDiv w:val="1"/>
      <w:marLeft w:val="0"/>
      <w:marRight w:val="0"/>
      <w:marTop w:val="0"/>
      <w:marBottom w:val="0"/>
      <w:divBdr>
        <w:top w:val="none" w:sz="0" w:space="0" w:color="auto"/>
        <w:left w:val="none" w:sz="0" w:space="0" w:color="auto"/>
        <w:bottom w:val="none" w:sz="0" w:space="0" w:color="auto"/>
        <w:right w:val="none" w:sz="0" w:space="0" w:color="auto"/>
      </w:divBdr>
    </w:div>
    <w:div w:id="430013802">
      <w:bodyDiv w:val="1"/>
      <w:marLeft w:val="0"/>
      <w:marRight w:val="0"/>
      <w:marTop w:val="0"/>
      <w:marBottom w:val="0"/>
      <w:divBdr>
        <w:top w:val="none" w:sz="0" w:space="0" w:color="auto"/>
        <w:left w:val="none" w:sz="0" w:space="0" w:color="auto"/>
        <w:bottom w:val="none" w:sz="0" w:space="0" w:color="auto"/>
        <w:right w:val="none" w:sz="0" w:space="0" w:color="auto"/>
      </w:divBdr>
      <w:divsChild>
        <w:div w:id="86923130">
          <w:marLeft w:val="0"/>
          <w:marRight w:val="0"/>
          <w:marTop w:val="0"/>
          <w:marBottom w:val="0"/>
          <w:divBdr>
            <w:top w:val="none" w:sz="0" w:space="0" w:color="auto"/>
            <w:left w:val="none" w:sz="0" w:space="0" w:color="auto"/>
            <w:bottom w:val="none" w:sz="0" w:space="0" w:color="auto"/>
            <w:right w:val="none" w:sz="0" w:space="0" w:color="auto"/>
          </w:divBdr>
        </w:div>
        <w:div w:id="1731922718">
          <w:marLeft w:val="0"/>
          <w:marRight w:val="0"/>
          <w:marTop w:val="0"/>
          <w:marBottom w:val="0"/>
          <w:divBdr>
            <w:top w:val="none" w:sz="0" w:space="0" w:color="auto"/>
            <w:left w:val="none" w:sz="0" w:space="0" w:color="auto"/>
            <w:bottom w:val="none" w:sz="0" w:space="0" w:color="auto"/>
            <w:right w:val="none" w:sz="0" w:space="0" w:color="auto"/>
          </w:divBdr>
        </w:div>
        <w:div w:id="1861236203">
          <w:marLeft w:val="0"/>
          <w:marRight w:val="0"/>
          <w:marTop w:val="0"/>
          <w:marBottom w:val="0"/>
          <w:divBdr>
            <w:top w:val="none" w:sz="0" w:space="0" w:color="auto"/>
            <w:left w:val="none" w:sz="0" w:space="0" w:color="auto"/>
            <w:bottom w:val="none" w:sz="0" w:space="0" w:color="auto"/>
            <w:right w:val="none" w:sz="0" w:space="0" w:color="auto"/>
          </w:divBdr>
          <w:divsChild>
            <w:div w:id="784932866">
              <w:marLeft w:val="0"/>
              <w:marRight w:val="0"/>
              <w:marTop w:val="30"/>
              <w:marBottom w:val="30"/>
              <w:divBdr>
                <w:top w:val="none" w:sz="0" w:space="0" w:color="auto"/>
                <w:left w:val="none" w:sz="0" w:space="0" w:color="auto"/>
                <w:bottom w:val="none" w:sz="0" w:space="0" w:color="auto"/>
                <w:right w:val="none" w:sz="0" w:space="0" w:color="auto"/>
              </w:divBdr>
              <w:divsChild>
                <w:div w:id="41947542">
                  <w:marLeft w:val="0"/>
                  <w:marRight w:val="0"/>
                  <w:marTop w:val="0"/>
                  <w:marBottom w:val="0"/>
                  <w:divBdr>
                    <w:top w:val="none" w:sz="0" w:space="0" w:color="auto"/>
                    <w:left w:val="none" w:sz="0" w:space="0" w:color="auto"/>
                    <w:bottom w:val="none" w:sz="0" w:space="0" w:color="auto"/>
                    <w:right w:val="none" w:sz="0" w:space="0" w:color="auto"/>
                  </w:divBdr>
                  <w:divsChild>
                    <w:div w:id="1929999558">
                      <w:marLeft w:val="0"/>
                      <w:marRight w:val="0"/>
                      <w:marTop w:val="0"/>
                      <w:marBottom w:val="0"/>
                      <w:divBdr>
                        <w:top w:val="none" w:sz="0" w:space="0" w:color="auto"/>
                        <w:left w:val="none" w:sz="0" w:space="0" w:color="auto"/>
                        <w:bottom w:val="none" w:sz="0" w:space="0" w:color="auto"/>
                        <w:right w:val="none" w:sz="0" w:space="0" w:color="auto"/>
                      </w:divBdr>
                    </w:div>
                  </w:divsChild>
                </w:div>
                <w:div w:id="58482369">
                  <w:marLeft w:val="0"/>
                  <w:marRight w:val="0"/>
                  <w:marTop w:val="0"/>
                  <w:marBottom w:val="0"/>
                  <w:divBdr>
                    <w:top w:val="none" w:sz="0" w:space="0" w:color="auto"/>
                    <w:left w:val="none" w:sz="0" w:space="0" w:color="auto"/>
                    <w:bottom w:val="none" w:sz="0" w:space="0" w:color="auto"/>
                    <w:right w:val="none" w:sz="0" w:space="0" w:color="auto"/>
                  </w:divBdr>
                  <w:divsChild>
                    <w:div w:id="1259562922">
                      <w:marLeft w:val="0"/>
                      <w:marRight w:val="0"/>
                      <w:marTop w:val="0"/>
                      <w:marBottom w:val="0"/>
                      <w:divBdr>
                        <w:top w:val="none" w:sz="0" w:space="0" w:color="auto"/>
                        <w:left w:val="none" w:sz="0" w:space="0" w:color="auto"/>
                        <w:bottom w:val="none" w:sz="0" w:space="0" w:color="auto"/>
                        <w:right w:val="none" w:sz="0" w:space="0" w:color="auto"/>
                      </w:divBdr>
                    </w:div>
                  </w:divsChild>
                </w:div>
                <w:div w:id="112286537">
                  <w:marLeft w:val="0"/>
                  <w:marRight w:val="0"/>
                  <w:marTop w:val="0"/>
                  <w:marBottom w:val="0"/>
                  <w:divBdr>
                    <w:top w:val="none" w:sz="0" w:space="0" w:color="auto"/>
                    <w:left w:val="none" w:sz="0" w:space="0" w:color="auto"/>
                    <w:bottom w:val="none" w:sz="0" w:space="0" w:color="auto"/>
                    <w:right w:val="none" w:sz="0" w:space="0" w:color="auto"/>
                  </w:divBdr>
                  <w:divsChild>
                    <w:div w:id="1664235390">
                      <w:marLeft w:val="0"/>
                      <w:marRight w:val="0"/>
                      <w:marTop w:val="0"/>
                      <w:marBottom w:val="0"/>
                      <w:divBdr>
                        <w:top w:val="none" w:sz="0" w:space="0" w:color="auto"/>
                        <w:left w:val="none" w:sz="0" w:space="0" w:color="auto"/>
                        <w:bottom w:val="none" w:sz="0" w:space="0" w:color="auto"/>
                        <w:right w:val="none" w:sz="0" w:space="0" w:color="auto"/>
                      </w:divBdr>
                    </w:div>
                  </w:divsChild>
                </w:div>
                <w:div w:id="128666972">
                  <w:marLeft w:val="0"/>
                  <w:marRight w:val="0"/>
                  <w:marTop w:val="0"/>
                  <w:marBottom w:val="0"/>
                  <w:divBdr>
                    <w:top w:val="none" w:sz="0" w:space="0" w:color="auto"/>
                    <w:left w:val="none" w:sz="0" w:space="0" w:color="auto"/>
                    <w:bottom w:val="none" w:sz="0" w:space="0" w:color="auto"/>
                    <w:right w:val="none" w:sz="0" w:space="0" w:color="auto"/>
                  </w:divBdr>
                  <w:divsChild>
                    <w:div w:id="1490487340">
                      <w:marLeft w:val="0"/>
                      <w:marRight w:val="0"/>
                      <w:marTop w:val="0"/>
                      <w:marBottom w:val="0"/>
                      <w:divBdr>
                        <w:top w:val="none" w:sz="0" w:space="0" w:color="auto"/>
                        <w:left w:val="none" w:sz="0" w:space="0" w:color="auto"/>
                        <w:bottom w:val="none" w:sz="0" w:space="0" w:color="auto"/>
                        <w:right w:val="none" w:sz="0" w:space="0" w:color="auto"/>
                      </w:divBdr>
                    </w:div>
                  </w:divsChild>
                </w:div>
                <w:div w:id="129177581">
                  <w:marLeft w:val="0"/>
                  <w:marRight w:val="0"/>
                  <w:marTop w:val="0"/>
                  <w:marBottom w:val="0"/>
                  <w:divBdr>
                    <w:top w:val="none" w:sz="0" w:space="0" w:color="auto"/>
                    <w:left w:val="none" w:sz="0" w:space="0" w:color="auto"/>
                    <w:bottom w:val="none" w:sz="0" w:space="0" w:color="auto"/>
                    <w:right w:val="none" w:sz="0" w:space="0" w:color="auto"/>
                  </w:divBdr>
                  <w:divsChild>
                    <w:div w:id="1984966159">
                      <w:marLeft w:val="0"/>
                      <w:marRight w:val="0"/>
                      <w:marTop w:val="0"/>
                      <w:marBottom w:val="0"/>
                      <w:divBdr>
                        <w:top w:val="none" w:sz="0" w:space="0" w:color="auto"/>
                        <w:left w:val="none" w:sz="0" w:space="0" w:color="auto"/>
                        <w:bottom w:val="none" w:sz="0" w:space="0" w:color="auto"/>
                        <w:right w:val="none" w:sz="0" w:space="0" w:color="auto"/>
                      </w:divBdr>
                    </w:div>
                  </w:divsChild>
                </w:div>
                <w:div w:id="146437958">
                  <w:marLeft w:val="0"/>
                  <w:marRight w:val="0"/>
                  <w:marTop w:val="0"/>
                  <w:marBottom w:val="0"/>
                  <w:divBdr>
                    <w:top w:val="none" w:sz="0" w:space="0" w:color="auto"/>
                    <w:left w:val="none" w:sz="0" w:space="0" w:color="auto"/>
                    <w:bottom w:val="none" w:sz="0" w:space="0" w:color="auto"/>
                    <w:right w:val="none" w:sz="0" w:space="0" w:color="auto"/>
                  </w:divBdr>
                  <w:divsChild>
                    <w:div w:id="1430467931">
                      <w:marLeft w:val="0"/>
                      <w:marRight w:val="0"/>
                      <w:marTop w:val="0"/>
                      <w:marBottom w:val="0"/>
                      <w:divBdr>
                        <w:top w:val="none" w:sz="0" w:space="0" w:color="auto"/>
                        <w:left w:val="none" w:sz="0" w:space="0" w:color="auto"/>
                        <w:bottom w:val="none" w:sz="0" w:space="0" w:color="auto"/>
                        <w:right w:val="none" w:sz="0" w:space="0" w:color="auto"/>
                      </w:divBdr>
                    </w:div>
                  </w:divsChild>
                </w:div>
                <w:div w:id="217790837">
                  <w:marLeft w:val="0"/>
                  <w:marRight w:val="0"/>
                  <w:marTop w:val="0"/>
                  <w:marBottom w:val="0"/>
                  <w:divBdr>
                    <w:top w:val="none" w:sz="0" w:space="0" w:color="auto"/>
                    <w:left w:val="none" w:sz="0" w:space="0" w:color="auto"/>
                    <w:bottom w:val="none" w:sz="0" w:space="0" w:color="auto"/>
                    <w:right w:val="none" w:sz="0" w:space="0" w:color="auto"/>
                  </w:divBdr>
                  <w:divsChild>
                    <w:div w:id="1528251457">
                      <w:marLeft w:val="0"/>
                      <w:marRight w:val="0"/>
                      <w:marTop w:val="0"/>
                      <w:marBottom w:val="0"/>
                      <w:divBdr>
                        <w:top w:val="none" w:sz="0" w:space="0" w:color="auto"/>
                        <w:left w:val="none" w:sz="0" w:space="0" w:color="auto"/>
                        <w:bottom w:val="none" w:sz="0" w:space="0" w:color="auto"/>
                        <w:right w:val="none" w:sz="0" w:space="0" w:color="auto"/>
                      </w:divBdr>
                    </w:div>
                  </w:divsChild>
                </w:div>
                <w:div w:id="223571405">
                  <w:marLeft w:val="0"/>
                  <w:marRight w:val="0"/>
                  <w:marTop w:val="0"/>
                  <w:marBottom w:val="0"/>
                  <w:divBdr>
                    <w:top w:val="none" w:sz="0" w:space="0" w:color="auto"/>
                    <w:left w:val="none" w:sz="0" w:space="0" w:color="auto"/>
                    <w:bottom w:val="none" w:sz="0" w:space="0" w:color="auto"/>
                    <w:right w:val="none" w:sz="0" w:space="0" w:color="auto"/>
                  </w:divBdr>
                  <w:divsChild>
                    <w:div w:id="1377703614">
                      <w:marLeft w:val="0"/>
                      <w:marRight w:val="0"/>
                      <w:marTop w:val="0"/>
                      <w:marBottom w:val="0"/>
                      <w:divBdr>
                        <w:top w:val="none" w:sz="0" w:space="0" w:color="auto"/>
                        <w:left w:val="none" w:sz="0" w:space="0" w:color="auto"/>
                        <w:bottom w:val="none" w:sz="0" w:space="0" w:color="auto"/>
                        <w:right w:val="none" w:sz="0" w:space="0" w:color="auto"/>
                      </w:divBdr>
                    </w:div>
                  </w:divsChild>
                </w:div>
                <w:div w:id="245263576">
                  <w:marLeft w:val="0"/>
                  <w:marRight w:val="0"/>
                  <w:marTop w:val="0"/>
                  <w:marBottom w:val="0"/>
                  <w:divBdr>
                    <w:top w:val="none" w:sz="0" w:space="0" w:color="auto"/>
                    <w:left w:val="none" w:sz="0" w:space="0" w:color="auto"/>
                    <w:bottom w:val="none" w:sz="0" w:space="0" w:color="auto"/>
                    <w:right w:val="none" w:sz="0" w:space="0" w:color="auto"/>
                  </w:divBdr>
                  <w:divsChild>
                    <w:div w:id="669259197">
                      <w:marLeft w:val="0"/>
                      <w:marRight w:val="0"/>
                      <w:marTop w:val="0"/>
                      <w:marBottom w:val="0"/>
                      <w:divBdr>
                        <w:top w:val="none" w:sz="0" w:space="0" w:color="auto"/>
                        <w:left w:val="none" w:sz="0" w:space="0" w:color="auto"/>
                        <w:bottom w:val="none" w:sz="0" w:space="0" w:color="auto"/>
                        <w:right w:val="none" w:sz="0" w:space="0" w:color="auto"/>
                      </w:divBdr>
                    </w:div>
                  </w:divsChild>
                </w:div>
                <w:div w:id="276451914">
                  <w:marLeft w:val="0"/>
                  <w:marRight w:val="0"/>
                  <w:marTop w:val="0"/>
                  <w:marBottom w:val="0"/>
                  <w:divBdr>
                    <w:top w:val="none" w:sz="0" w:space="0" w:color="auto"/>
                    <w:left w:val="none" w:sz="0" w:space="0" w:color="auto"/>
                    <w:bottom w:val="none" w:sz="0" w:space="0" w:color="auto"/>
                    <w:right w:val="none" w:sz="0" w:space="0" w:color="auto"/>
                  </w:divBdr>
                  <w:divsChild>
                    <w:div w:id="357898422">
                      <w:marLeft w:val="0"/>
                      <w:marRight w:val="0"/>
                      <w:marTop w:val="0"/>
                      <w:marBottom w:val="0"/>
                      <w:divBdr>
                        <w:top w:val="none" w:sz="0" w:space="0" w:color="auto"/>
                        <w:left w:val="none" w:sz="0" w:space="0" w:color="auto"/>
                        <w:bottom w:val="none" w:sz="0" w:space="0" w:color="auto"/>
                        <w:right w:val="none" w:sz="0" w:space="0" w:color="auto"/>
                      </w:divBdr>
                    </w:div>
                  </w:divsChild>
                </w:div>
                <w:div w:id="367606572">
                  <w:marLeft w:val="0"/>
                  <w:marRight w:val="0"/>
                  <w:marTop w:val="0"/>
                  <w:marBottom w:val="0"/>
                  <w:divBdr>
                    <w:top w:val="none" w:sz="0" w:space="0" w:color="auto"/>
                    <w:left w:val="none" w:sz="0" w:space="0" w:color="auto"/>
                    <w:bottom w:val="none" w:sz="0" w:space="0" w:color="auto"/>
                    <w:right w:val="none" w:sz="0" w:space="0" w:color="auto"/>
                  </w:divBdr>
                  <w:divsChild>
                    <w:div w:id="1328290405">
                      <w:marLeft w:val="0"/>
                      <w:marRight w:val="0"/>
                      <w:marTop w:val="0"/>
                      <w:marBottom w:val="0"/>
                      <w:divBdr>
                        <w:top w:val="none" w:sz="0" w:space="0" w:color="auto"/>
                        <w:left w:val="none" w:sz="0" w:space="0" w:color="auto"/>
                        <w:bottom w:val="none" w:sz="0" w:space="0" w:color="auto"/>
                        <w:right w:val="none" w:sz="0" w:space="0" w:color="auto"/>
                      </w:divBdr>
                    </w:div>
                  </w:divsChild>
                </w:div>
                <w:div w:id="492916759">
                  <w:marLeft w:val="0"/>
                  <w:marRight w:val="0"/>
                  <w:marTop w:val="0"/>
                  <w:marBottom w:val="0"/>
                  <w:divBdr>
                    <w:top w:val="none" w:sz="0" w:space="0" w:color="auto"/>
                    <w:left w:val="none" w:sz="0" w:space="0" w:color="auto"/>
                    <w:bottom w:val="none" w:sz="0" w:space="0" w:color="auto"/>
                    <w:right w:val="none" w:sz="0" w:space="0" w:color="auto"/>
                  </w:divBdr>
                  <w:divsChild>
                    <w:div w:id="1107701490">
                      <w:marLeft w:val="0"/>
                      <w:marRight w:val="0"/>
                      <w:marTop w:val="0"/>
                      <w:marBottom w:val="0"/>
                      <w:divBdr>
                        <w:top w:val="none" w:sz="0" w:space="0" w:color="auto"/>
                        <w:left w:val="none" w:sz="0" w:space="0" w:color="auto"/>
                        <w:bottom w:val="none" w:sz="0" w:space="0" w:color="auto"/>
                        <w:right w:val="none" w:sz="0" w:space="0" w:color="auto"/>
                      </w:divBdr>
                    </w:div>
                  </w:divsChild>
                </w:div>
                <w:div w:id="747576429">
                  <w:marLeft w:val="0"/>
                  <w:marRight w:val="0"/>
                  <w:marTop w:val="0"/>
                  <w:marBottom w:val="0"/>
                  <w:divBdr>
                    <w:top w:val="none" w:sz="0" w:space="0" w:color="auto"/>
                    <w:left w:val="none" w:sz="0" w:space="0" w:color="auto"/>
                    <w:bottom w:val="none" w:sz="0" w:space="0" w:color="auto"/>
                    <w:right w:val="none" w:sz="0" w:space="0" w:color="auto"/>
                  </w:divBdr>
                  <w:divsChild>
                    <w:div w:id="325287719">
                      <w:marLeft w:val="0"/>
                      <w:marRight w:val="0"/>
                      <w:marTop w:val="0"/>
                      <w:marBottom w:val="0"/>
                      <w:divBdr>
                        <w:top w:val="none" w:sz="0" w:space="0" w:color="auto"/>
                        <w:left w:val="none" w:sz="0" w:space="0" w:color="auto"/>
                        <w:bottom w:val="none" w:sz="0" w:space="0" w:color="auto"/>
                        <w:right w:val="none" w:sz="0" w:space="0" w:color="auto"/>
                      </w:divBdr>
                    </w:div>
                  </w:divsChild>
                </w:div>
                <w:div w:id="896630636">
                  <w:marLeft w:val="0"/>
                  <w:marRight w:val="0"/>
                  <w:marTop w:val="0"/>
                  <w:marBottom w:val="0"/>
                  <w:divBdr>
                    <w:top w:val="none" w:sz="0" w:space="0" w:color="auto"/>
                    <w:left w:val="none" w:sz="0" w:space="0" w:color="auto"/>
                    <w:bottom w:val="none" w:sz="0" w:space="0" w:color="auto"/>
                    <w:right w:val="none" w:sz="0" w:space="0" w:color="auto"/>
                  </w:divBdr>
                  <w:divsChild>
                    <w:div w:id="1958028215">
                      <w:marLeft w:val="0"/>
                      <w:marRight w:val="0"/>
                      <w:marTop w:val="0"/>
                      <w:marBottom w:val="0"/>
                      <w:divBdr>
                        <w:top w:val="none" w:sz="0" w:space="0" w:color="auto"/>
                        <w:left w:val="none" w:sz="0" w:space="0" w:color="auto"/>
                        <w:bottom w:val="none" w:sz="0" w:space="0" w:color="auto"/>
                        <w:right w:val="none" w:sz="0" w:space="0" w:color="auto"/>
                      </w:divBdr>
                    </w:div>
                  </w:divsChild>
                </w:div>
                <w:div w:id="923879642">
                  <w:marLeft w:val="0"/>
                  <w:marRight w:val="0"/>
                  <w:marTop w:val="0"/>
                  <w:marBottom w:val="0"/>
                  <w:divBdr>
                    <w:top w:val="none" w:sz="0" w:space="0" w:color="auto"/>
                    <w:left w:val="none" w:sz="0" w:space="0" w:color="auto"/>
                    <w:bottom w:val="none" w:sz="0" w:space="0" w:color="auto"/>
                    <w:right w:val="none" w:sz="0" w:space="0" w:color="auto"/>
                  </w:divBdr>
                  <w:divsChild>
                    <w:div w:id="1586262576">
                      <w:marLeft w:val="0"/>
                      <w:marRight w:val="0"/>
                      <w:marTop w:val="0"/>
                      <w:marBottom w:val="0"/>
                      <w:divBdr>
                        <w:top w:val="none" w:sz="0" w:space="0" w:color="auto"/>
                        <w:left w:val="none" w:sz="0" w:space="0" w:color="auto"/>
                        <w:bottom w:val="none" w:sz="0" w:space="0" w:color="auto"/>
                        <w:right w:val="none" w:sz="0" w:space="0" w:color="auto"/>
                      </w:divBdr>
                    </w:div>
                  </w:divsChild>
                </w:div>
                <w:div w:id="955864220">
                  <w:marLeft w:val="0"/>
                  <w:marRight w:val="0"/>
                  <w:marTop w:val="0"/>
                  <w:marBottom w:val="0"/>
                  <w:divBdr>
                    <w:top w:val="none" w:sz="0" w:space="0" w:color="auto"/>
                    <w:left w:val="none" w:sz="0" w:space="0" w:color="auto"/>
                    <w:bottom w:val="none" w:sz="0" w:space="0" w:color="auto"/>
                    <w:right w:val="none" w:sz="0" w:space="0" w:color="auto"/>
                  </w:divBdr>
                  <w:divsChild>
                    <w:div w:id="779227669">
                      <w:marLeft w:val="0"/>
                      <w:marRight w:val="0"/>
                      <w:marTop w:val="0"/>
                      <w:marBottom w:val="0"/>
                      <w:divBdr>
                        <w:top w:val="none" w:sz="0" w:space="0" w:color="auto"/>
                        <w:left w:val="none" w:sz="0" w:space="0" w:color="auto"/>
                        <w:bottom w:val="none" w:sz="0" w:space="0" w:color="auto"/>
                        <w:right w:val="none" w:sz="0" w:space="0" w:color="auto"/>
                      </w:divBdr>
                    </w:div>
                  </w:divsChild>
                </w:div>
                <w:div w:id="1037051484">
                  <w:marLeft w:val="0"/>
                  <w:marRight w:val="0"/>
                  <w:marTop w:val="0"/>
                  <w:marBottom w:val="0"/>
                  <w:divBdr>
                    <w:top w:val="none" w:sz="0" w:space="0" w:color="auto"/>
                    <w:left w:val="none" w:sz="0" w:space="0" w:color="auto"/>
                    <w:bottom w:val="none" w:sz="0" w:space="0" w:color="auto"/>
                    <w:right w:val="none" w:sz="0" w:space="0" w:color="auto"/>
                  </w:divBdr>
                  <w:divsChild>
                    <w:div w:id="101610596">
                      <w:marLeft w:val="0"/>
                      <w:marRight w:val="0"/>
                      <w:marTop w:val="0"/>
                      <w:marBottom w:val="0"/>
                      <w:divBdr>
                        <w:top w:val="none" w:sz="0" w:space="0" w:color="auto"/>
                        <w:left w:val="none" w:sz="0" w:space="0" w:color="auto"/>
                        <w:bottom w:val="none" w:sz="0" w:space="0" w:color="auto"/>
                        <w:right w:val="none" w:sz="0" w:space="0" w:color="auto"/>
                      </w:divBdr>
                    </w:div>
                  </w:divsChild>
                </w:div>
                <w:div w:id="1074203414">
                  <w:marLeft w:val="0"/>
                  <w:marRight w:val="0"/>
                  <w:marTop w:val="0"/>
                  <w:marBottom w:val="0"/>
                  <w:divBdr>
                    <w:top w:val="none" w:sz="0" w:space="0" w:color="auto"/>
                    <w:left w:val="none" w:sz="0" w:space="0" w:color="auto"/>
                    <w:bottom w:val="none" w:sz="0" w:space="0" w:color="auto"/>
                    <w:right w:val="none" w:sz="0" w:space="0" w:color="auto"/>
                  </w:divBdr>
                  <w:divsChild>
                    <w:div w:id="1642420792">
                      <w:marLeft w:val="0"/>
                      <w:marRight w:val="0"/>
                      <w:marTop w:val="0"/>
                      <w:marBottom w:val="0"/>
                      <w:divBdr>
                        <w:top w:val="none" w:sz="0" w:space="0" w:color="auto"/>
                        <w:left w:val="none" w:sz="0" w:space="0" w:color="auto"/>
                        <w:bottom w:val="none" w:sz="0" w:space="0" w:color="auto"/>
                        <w:right w:val="none" w:sz="0" w:space="0" w:color="auto"/>
                      </w:divBdr>
                    </w:div>
                  </w:divsChild>
                </w:div>
                <w:div w:id="1088769618">
                  <w:marLeft w:val="0"/>
                  <w:marRight w:val="0"/>
                  <w:marTop w:val="0"/>
                  <w:marBottom w:val="0"/>
                  <w:divBdr>
                    <w:top w:val="none" w:sz="0" w:space="0" w:color="auto"/>
                    <w:left w:val="none" w:sz="0" w:space="0" w:color="auto"/>
                    <w:bottom w:val="none" w:sz="0" w:space="0" w:color="auto"/>
                    <w:right w:val="none" w:sz="0" w:space="0" w:color="auto"/>
                  </w:divBdr>
                  <w:divsChild>
                    <w:div w:id="824396930">
                      <w:marLeft w:val="0"/>
                      <w:marRight w:val="0"/>
                      <w:marTop w:val="0"/>
                      <w:marBottom w:val="0"/>
                      <w:divBdr>
                        <w:top w:val="none" w:sz="0" w:space="0" w:color="auto"/>
                        <w:left w:val="none" w:sz="0" w:space="0" w:color="auto"/>
                        <w:bottom w:val="none" w:sz="0" w:space="0" w:color="auto"/>
                        <w:right w:val="none" w:sz="0" w:space="0" w:color="auto"/>
                      </w:divBdr>
                    </w:div>
                  </w:divsChild>
                </w:div>
                <w:div w:id="1166436577">
                  <w:marLeft w:val="0"/>
                  <w:marRight w:val="0"/>
                  <w:marTop w:val="0"/>
                  <w:marBottom w:val="0"/>
                  <w:divBdr>
                    <w:top w:val="none" w:sz="0" w:space="0" w:color="auto"/>
                    <w:left w:val="none" w:sz="0" w:space="0" w:color="auto"/>
                    <w:bottom w:val="none" w:sz="0" w:space="0" w:color="auto"/>
                    <w:right w:val="none" w:sz="0" w:space="0" w:color="auto"/>
                  </w:divBdr>
                  <w:divsChild>
                    <w:div w:id="803352474">
                      <w:marLeft w:val="0"/>
                      <w:marRight w:val="0"/>
                      <w:marTop w:val="0"/>
                      <w:marBottom w:val="0"/>
                      <w:divBdr>
                        <w:top w:val="none" w:sz="0" w:space="0" w:color="auto"/>
                        <w:left w:val="none" w:sz="0" w:space="0" w:color="auto"/>
                        <w:bottom w:val="none" w:sz="0" w:space="0" w:color="auto"/>
                        <w:right w:val="none" w:sz="0" w:space="0" w:color="auto"/>
                      </w:divBdr>
                    </w:div>
                  </w:divsChild>
                </w:div>
                <w:div w:id="1195995132">
                  <w:marLeft w:val="0"/>
                  <w:marRight w:val="0"/>
                  <w:marTop w:val="0"/>
                  <w:marBottom w:val="0"/>
                  <w:divBdr>
                    <w:top w:val="none" w:sz="0" w:space="0" w:color="auto"/>
                    <w:left w:val="none" w:sz="0" w:space="0" w:color="auto"/>
                    <w:bottom w:val="none" w:sz="0" w:space="0" w:color="auto"/>
                    <w:right w:val="none" w:sz="0" w:space="0" w:color="auto"/>
                  </w:divBdr>
                  <w:divsChild>
                    <w:div w:id="193154285">
                      <w:marLeft w:val="0"/>
                      <w:marRight w:val="0"/>
                      <w:marTop w:val="0"/>
                      <w:marBottom w:val="0"/>
                      <w:divBdr>
                        <w:top w:val="none" w:sz="0" w:space="0" w:color="auto"/>
                        <w:left w:val="none" w:sz="0" w:space="0" w:color="auto"/>
                        <w:bottom w:val="none" w:sz="0" w:space="0" w:color="auto"/>
                        <w:right w:val="none" w:sz="0" w:space="0" w:color="auto"/>
                      </w:divBdr>
                    </w:div>
                  </w:divsChild>
                </w:div>
                <w:div w:id="1231304980">
                  <w:marLeft w:val="0"/>
                  <w:marRight w:val="0"/>
                  <w:marTop w:val="0"/>
                  <w:marBottom w:val="0"/>
                  <w:divBdr>
                    <w:top w:val="none" w:sz="0" w:space="0" w:color="auto"/>
                    <w:left w:val="none" w:sz="0" w:space="0" w:color="auto"/>
                    <w:bottom w:val="none" w:sz="0" w:space="0" w:color="auto"/>
                    <w:right w:val="none" w:sz="0" w:space="0" w:color="auto"/>
                  </w:divBdr>
                  <w:divsChild>
                    <w:div w:id="563561252">
                      <w:marLeft w:val="0"/>
                      <w:marRight w:val="0"/>
                      <w:marTop w:val="0"/>
                      <w:marBottom w:val="0"/>
                      <w:divBdr>
                        <w:top w:val="none" w:sz="0" w:space="0" w:color="auto"/>
                        <w:left w:val="none" w:sz="0" w:space="0" w:color="auto"/>
                        <w:bottom w:val="none" w:sz="0" w:space="0" w:color="auto"/>
                        <w:right w:val="none" w:sz="0" w:space="0" w:color="auto"/>
                      </w:divBdr>
                    </w:div>
                  </w:divsChild>
                </w:div>
                <w:div w:id="1283146622">
                  <w:marLeft w:val="0"/>
                  <w:marRight w:val="0"/>
                  <w:marTop w:val="0"/>
                  <w:marBottom w:val="0"/>
                  <w:divBdr>
                    <w:top w:val="none" w:sz="0" w:space="0" w:color="auto"/>
                    <w:left w:val="none" w:sz="0" w:space="0" w:color="auto"/>
                    <w:bottom w:val="none" w:sz="0" w:space="0" w:color="auto"/>
                    <w:right w:val="none" w:sz="0" w:space="0" w:color="auto"/>
                  </w:divBdr>
                  <w:divsChild>
                    <w:div w:id="1374190246">
                      <w:marLeft w:val="0"/>
                      <w:marRight w:val="0"/>
                      <w:marTop w:val="0"/>
                      <w:marBottom w:val="0"/>
                      <w:divBdr>
                        <w:top w:val="none" w:sz="0" w:space="0" w:color="auto"/>
                        <w:left w:val="none" w:sz="0" w:space="0" w:color="auto"/>
                        <w:bottom w:val="none" w:sz="0" w:space="0" w:color="auto"/>
                        <w:right w:val="none" w:sz="0" w:space="0" w:color="auto"/>
                      </w:divBdr>
                    </w:div>
                  </w:divsChild>
                </w:div>
                <w:div w:id="1309943499">
                  <w:marLeft w:val="0"/>
                  <w:marRight w:val="0"/>
                  <w:marTop w:val="0"/>
                  <w:marBottom w:val="0"/>
                  <w:divBdr>
                    <w:top w:val="none" w:sz="0" w:space="0" w:color="auto"/>
                    <w:left w:val="none" w:sz="0" w:space="0" w:color="auto"/>
                    <w:bottom w:val="none" w:sz="0" w:space="0" w:color="auto"/>
                    <w:right w:val="none" w:sz="0" w:space="0" w:color="auto"/>
                  </w:divBdr>
                  <w:divsChild>
                    <w:div w:id="657151037">
                      <w:marLeft w:val="0"/>
                      <w:marRight w:val="0"/>
                      <w:marTop w:val="0"/>
                      <w:marBottom w:val="0"/>
                      <w:divBdr>
                        <w:top w:val="none" w:sz="0" w:space="0" w:color="auto"/>
                        <w:left w:val="none" w:sz="0" w:space="0" w:color="auto"/>
                        <w:bottom w:val="none" w:sz="0" w:space="0" w:color="auto"/>
                        <w:right w:val="none" w:sz="0" w:space="0" w:color="auto"/>
                      </w:divBdr>
                    </w:div>
                  </w:divsChild>
                </w:div>
                <w:div w:id="1321496388">
                  <w:marLeft w:val="0"/>
                  <w:marRight w:val="0"/>
                  <w:marTop w:val="0"/>
                  <w:marBottom w:val="0"/>
                  <w:divBdr>
                    <w:top w:val="none" w:sz="0" w:space="0" w:color="auto"/>
                    <w:left w:val="none" w:sz="0" w:space="0" w:color="auto"/>
                    <w:bottom w:val="none" w:sz="0" w:space="0" w:color="auto"/>
                    <w:right w:val="none" w:sz="0" w:space="0" w:color="auto"/>
                  </w:divBdr>
                  <w:divsChild>
                    <w:div w:id="854611532">
                      <w:marLeft w:val="0"/>
                      <w:marRight w:val="0"/>
                      <w:marTop w:val="0"/>
                      <w:marBottom w:val="0"/>
                      <w:divBdr>
                        <w:top w:val="none" w:sz="0" w:space="0" w:color="auto"/>
                        <w:left w:val="none" w:sz="0" w:space="0" w:color="auto"/>
                        <w:bottom w:val="none" w:sz="0" w:space="0" w:color="auto"/>
                        <w:right w:val="none" w:sz="0" w:space="0" w:color="auto"/>
                      </w:divBdr>
                    </w:div>
                  </w:divsChild>
                </w:div>
                <w:div w:id="1393456404">
                  <w:marLeft w:val="0"/>
                  <w:marRight w:val="0"/>
                  <w:marTop w:val="0"/>
                  <w:marBottom w:val="0"/>
                  <w:divBdr>
                    <w:top w:val="none" w:sz="0" w:space="0" w:color="auto"/>
                    <w:left w:val="none" w:sz="0" w:space="0" w:color="auto"/>
                    <w:bottom w:val="none" w:sz="0" w:space="0" w:color="auto"/>
                    <w:right w:val="none" w:sz="0" w:space="0" w:color="auto"/>
                  </w:divBdr>
                  <w:divsChild>
                    <w:div w:id="711880267">
                      <w:marLeft w:val="0"/>
                      <w:marRight w:val="0"/>
                      <w:marTop w:val="0"/>
                      <w:marBottom w:val="0"/>
                      <w:divBdr>
                        <w:top w:val="none" w:sz="0" w:space="0" w:color="auto"/>
                        <w:left w:val="none" w:sz="0" w:space="0" w:color="auto"/>
                        <w:bottom w:val="none" w:sz="0" w:space="0" w:color="auto"/>
                        <w:right w:val="none" w:sz="0" w:space="0" w:color="auto"/>
                      </w:divBdr>
                    </w:div>
                  </w:divsChild>
                </w:div>
                <w:div w:id="1413352404">
                  <w:marLeft w:val="0"/>
                  <w:marRight w:val="0"/>
                  <w:marTop w:val="0"/>
                  <w:marBottom w:val="0"/>
                  <w:divBdr>
                    <w:top w:val="none" w:sz="0" w:space="0" w:color="auto"/>
                    <w:left w:val="none" w:sz="0" w:space="0" w:color="auto"/>
                    <w:bottom w:val="none" w:sz="0" w:space="0" w:color="auto"/>
                    <w:right w:val="none" w:sz="0" w:space="0" w:color="auto"/>
                  </w:divBdr>
                  <w:divsChild>
                    <w:div w:id="1144617838">
                      <w:marLeft w:val="0"/>
                      <w:marRight w:val="0"/>
                      <w:marTop w:val="0"/>
                      <w:marBottom w:val="0"/>
                      <w:divBdr>
                        <w:top w:val="none" w:sz="0" w:space="0" w:color="auto"/>
                        <w:left w:val="none" w:sz="0" w:space="0" w:color="auto"/>
                        <w:bottom w:val="none" w:sz="0" w:space="0" w:color="auto"/>
                        <w:right w:val="none" w:sz="0" w:space="0" w:color="auto"/>
                      </w:divBdr>
                    </w:div>
                  </w:divsChild>
                </w:div>
                <w:div w:id="1416243022">
                  <w:marLeft w:val="0"/>
                  <w:marRight w:val="0"/>
                  <w:marTop w:val="0"/>
                  <w:marBottom w:val="0"/>
                  <w:divBdr>
                    <w:top w:val="none" w:sz="0" w:space="0" w:color="auto"/>
                    <w:left w:val="none" w:sz="0" w:space="0" w:color="auto"/>
                    <w:bottom w:val="none" w:sz="0" w:space="0" w:color="auto"/>
                    <w:right w:val="none" w:sz="0" w:space="0" w:color="auto"/>
                  </w:divBdr>
                  <w:divsChild>
                    <w:div w:id="1877424161">
                      <w:marLeft w:val="0"/>
                      <w:marRight w:val="0"/>
                      <w:marTop w:val="0"/>
                      <w:marBottom w:val="0"/>
                      <w:divBdr>
                        <w:top w:val="none" w:sz="0" w:space="0" w:color="auto"/>
                        <w:left w:val="none" w:sz="0" w:space="0" w:color="auto"/>
                        <w:bottom w:val="none" w:sz="0" w:space="0" w:color="auto"/>
                        <w:right w:val="none" w:sz="0" w:space="0" w:color="auto"/>
                      </w:divBdr>
                    </w:div>
                  </w:divsChild>
                </w:div>
                <w:div w:id="1560824934">
                  <w:marLeft w:val="0"/>
                  <w:marRight w:val="0"/>
                  <w:marTop w:val="0"/>
                  <w:marBottom w:val="0"/>
                  <w:divBdr>
                    <w:top w:val="none" w:sz="0" w:space="0" w:color="auto"/>
                    <w:left w:val="none" w:sz="0" w:space="0" w:color="auto"/>
                    <w:bottom w:val="none" w:sz="0" w:space="0" w:color="auto"/>
                    <w:right w:val="none" w:sz="0" w:space="0" w:color="auto"/>
                  </w:divBdr>
                  <w:divsChild>
                    <w:div w:id="1980065888">
                      <w:marLeft w:val="0"/>
                      <w:marRight w:val="0"/>
                      <w:marTop w:val="0"/>
                      <w:marBottom w:val="0"/>
                      <w:divBdr>
                        <w:top w:val="none" w:sz="0" w:space="0" w:color="auto"/>
                        <w:left w:val="none" w:sz="0" w:space="0" w:color="auto"/>
                        <w:bottom w:val="none" w:sz="0" w:space="0" w:color="auto"/>
                        <w:right w:val="none" w:sz="0" w:space="0" w:color="auto"/>
                      </w:divBdr>
                    </w:div>
                  </w:divsChild>
                </w:div>
                <w:div w:id="1562252830">
                  <w:marLeft w:val="0"/>
                  <w:marRight w:val="0"/>
                  <w:marTop w:val="0"/>
                  <w:marBottom w:val="0"/>
                  <w:divBdr>
                    <w:top w:val="none" w:sz="0" w:space="0" w:color="auto"/>
                    <w:left w:val="none" w:sz="0" w:space="0" w:color="auto"/>
                    <w:bottom w:val="none" w:sz="0" w:space="0" w:color="auto"/>
                    <w:right w:val="none" w:sz="0" w:space="0" w:color="auto"/>
                  </w:divBdr>
                  <w:divsChild>
                    <w:div w:id="865561613">
                      <w:marLeft w:val="0"/>
                      <w:marRight w:val="0"/>
                      <w:marTop w:val="0"/>
                      <w:marBottom w:val="0"/>
                      <w:divBdr>
                        <w:top w:val="none" w:sz="0" w:space="0" w:color="auto"/>
                        <w:left w:val="none" w:sz="0" w:space="0" w:color="auto"/>
                        <w:bottom w:val="none" w:sz="0" w:space="0" w:color="auto"/>
                        <w:right w:val="none" w:sz="0" w:space="0" w:color="auto"/>
                      </w:divBdr>
                    </w:div>
                  </w:divsChild>
                </w:div>
                <w:div w:id="1580167854">
                  <w:marLeft w:val="0"/>
                  <w:marRight w:val="0"/>
                  <w:marTop w:val="0"/>
                  <w:marBottom w:val="0"/>
                  <w:divBdr>
                    <w:top w:val="none" w:sz="0" w:space="0" w:color="auto"/>
                    <w:left w:val="none" w:sz="0" w:space="0" w:color="auto"/>
                    <w:bottom w:val="none" w:sz="0" w:space="0" w:color="auto"/>
                    <w:right w:val="none" w:sz="0" w:space="0" w:color="auto"/>
                  </w:divBdr>
                  <w:divsChild>
                    <w:div w:id="295914187">
                      <w:marLeft w:val="0"/>
                      <w:marRight w:val="0"/>
                      <w:marTop w:val="0"/>
                      <w:marBottom w:val="0"/>
                      <w:divBdr>
                        <w:top w:val="none" w:sz="0" w:space="0" w:color="auto"/>
                        <w:left w:val="none" w:sz="0" w:space="0" w:color="auto"/>
                        <w:bottom w:val="none" w:sz="0" w:space="0" w:color="auto"/>
                        <w:right w:val="none" w:sz="0" w:space="0" w:color="auto"/>
                      </w:divBdr>
                    </w:div>
                  </w:divsChild>
                </w:div>
                <w:div w:id="1622616149">
                  <w:marLeft w:val="0"/>
                  <w:marRight w:val="0"/>
                  <w:marTop w:val="0"/>
                  <w:marBottom w:val="0"/>
                  <w:divBdr>
                    <w:top w:val="none" w:sz="0" w:space="0" w:color="auto"/>
                    <w:left w:val="none" w:sz="0" w:space="0" w:color="auto"/>
                    <w:bottom w:val="none" w:sz="0" w:space="0" w:color="auto"/>
                    <w:right w:val="none" w:sz="0" w:space="0" w:color="auto"/>
                  </w:divBdr>
                  <w:divsChild>
                    <w:div w:id="160242976">
                      <w:marLeft w:val="0"/>
                      <w:marRight w:val="0"/>
                      <w:marTop w:val="0"/>
                      <w:marBottom w:val="0"/>
                      <w:divBdr>
                        <w:top w:val="none" w:sz="0" w:space="0" w:color="auto"/>
                        <w:left w:val="none" w:sz="0" w:space="0" w:color="auto"/>
                        <w:bottom w:val="none" w:sz="0" w:space="0" w:color="auto"/>
                        <w:right w:val="none" w:sz="0" w:space="0" w:color="auto"/>
                      </w:divBdr>
                    </w:div>
                  </w:divsChild>
                </w:div>
                <w:div w:id="1683125170">
                  <w:marLeft w:val="0"/>
                  <w:marRight w:val="0"/>
                  <w:marTop w:val="0"/>
                  <w:marBottom w:val="0"/>
                  <w:divBdr>
                    <w:top w:val="none" w:sz="0" w:space="0" w:color="auto"/>
                    <w:left w:val="none" w:sz="0" w:space="0" w:color="auto"/>
                    <w:bottom w:val="none" w:sz="0" w:space="0" w:color="auto"/>
                    <w:right w:val="none" w:sz="0" w:space="0" w:color="auto"/>
                  </w:divBdr>
                  <w:divsChild>
                    <w:div w:id="817186483">
                      <w:marLeft w:val="0"/>
                      <w:marRight w:val="0"/>
                      <w:marTop w:val="0"/>
                      <w:marBottom w:val="0"/>
                      <w:divBdr>
                        <w:top w:val="none" w:sz="0" w:space="0" w:color="auto"/>
                        <w:left w:val="none" w:sz="0" w:space="0" w:color="auto"/>
                        <w:bottom w:val="none" w:sz="0" w:space="0" w:color="auto"/>
                        <w:right w:val="none" w:sz="0" w:space="0" w:color="auto"/>
                      </w:divBdr>
                    </w:div>
                  </w:divsChild>
                </w:div>
                <w:div w:id="1744910644">
                  <w:marLeft w:val="0"/>
                  <w:marRight w:val="0"/>
                  <w:marTop w:val="0"/>
                  <w:marBottom w:val="0"/>
                  <w:divBdr>
                    <w:top w:val="none" w:sz="0" w:space="0" w:color="auto"/>
                    <w:left w:val="none" w:sz="0" w:space="0" w:color="auto"/>
                    <w:bottom w:val="none" w:sz="0" w:space="0" w:color="auto"/>
                    <w:right w:val="none" w:sz="0" w:space="0" w:color="auto"/>
                  </w:divBdr>
                  <w:divsChild>
                    <w:div w:id="1853913609">
                      <w:marLeft w:val="0"/>
                      <w:marRight w:val="0"/>
                      <w:marTop w:val="0"/>
                      <w:marBottom w:val="0"/>
                      <w:divBdr>
                        <w:top w:val="none" w:sz="0" w:space="0" w:color="auto"/>
                        <w:left w:val="none" w:sz="0" w:space="0" w:color="auto"/>
                        <w:bottom w:val="none" w:sz="0" w:space="0" w:color="auto"/>
                        <w:right w:val="none" w:sz="0" w:space="0" w:color="auto"/>
                      </w:divBdr>
                    </w:div>
                  </w:divsChild>
                </w:div>
                <w:div w:id="1751390043">
                  <w:marLeft w:val="0"/>
                  <w:marRight w:val="0"/>
                  <w:marTop w:val="0"/>
                  <w:marBottom w:val="0"/>
                  <w:divBdr>
                    <w:top w:val="none" w:sz="0" w:space="0" w:color="auto"/>
                    <w:left w:val="none" w:sz="0" w:space="0" w:color="auto"/>
                    <w:bottom w:val="none" w:sz="0" w:space="0" w:color="auto"/>
                    <w:right w:val="none" w:sz="0" w:space="0" w:color="auto"/>
                  </w:divBdr>
                  <w:divsChild>
                    <w:div w:id="2081753802">
                      <w:marLeft w:val="0"/>
                      <w:marRight w:val="0"/>
                      <w:marTop w:val="0"/>
                      <w:marBottom w:val="0"/>
                      <w:divBdr>
                        <w:top w:val="none" w:sz="0" w:space="0" w:color="auto"/>
                        <w:left w:val="none" w:sz="0" w:space="0" w:color="auto"/>
                        <w:bottom w:val="none" w:sz="0" w:space="0" w:color="auto"/>
                        <w:right w:val="none" w:sz="0" w:space="0" w:color="auto"/>
                      </w:divBdr>
                    </w:div>
                  </w:divsChild>
                </w:div>
                <w:div w:id="1752117659">
                  <w:marLeft w:val="0"/>
                  <w:marRight w:val="0"/>
                  <w:marTop w:val="0"/>
                  <w:marBottom w:val="0"/>
                  <w:divBdr>
                    <w:top w:val="none" w:sz="0" w:space="0" w:color="auto"/>
                    <w:left w:val="none" w:sz="0" w:space="0" w:color="auto"/>
                    <w:bottom w:val="none" w:sz="0" w:space="0" w:color="auto"/>
                    <w:right w:val="none" w:sz="0" w:space="0" w:color="auto"/>
                  </w:divBdr>
                  <w:divsChild>
                    <w:div w:id="1125346071">
                      <w:marLeft w:val="0"/>
                      <w:marRight w:val="0"/>
                      <w:marTop w:val="0"/>
                      <w:marBottom w:val="0"/>
                      <w:divBdr>
                        <w:top w:val="none" w:sz="0" w:space="0" w:color="auto"/>
                        <w:left w:val="none" w:sz="0" w:space="0" w:color="auto"/>
                        <w:bottom w:val="none" w:sz="0" w:space="0" w:color="auto"/>
                        <w:right w:val="none" w:sz="0" w:space="0" w:color="auto"/>
                      </w:divBdr>
                    </w:div>
                  </w:divsChild>
                </w:div>
                <w:div w:id="1759521795">
                  <w:marLeft w:val="0"/>
                  <w:marRight w:val="0"/>
                  <w:marTop w:val="0"/>
                  <w:marBottom w:val="0"/>
                  <w:divBdr>
                    <w:top w:val="none" w:sz="0" w:space="0" w:color="auto"/>
                    <w:left w:val="none" w:sz="0" w:space="0" w:color="auto"/>
                    <w:bottom w:val="none" w:sz="0" w:space="0" w:color="auto"/>
                    <w:right w:val="none" w:sz="0" w:space="0" w:color="auto"/>
                  </w:divBdr>
                  <w:divsChild>
                    <w:div w:id="1067876227">
                      <w:marLeft w:val="0"/>
                      <w:marRight w:val="0"/>
                      <w:marTop w:val="0"/>
                      <w:marBottom w:val="0"/>
                      <w:divBdr>
                        <w:top w:val="none" w:sz="0" w:space="0" w:color="auto"/>
                        <w:left w:val="none" w:sz="0" w:space="0" w:color="auto"/>
                        <w:bottom w:val="none" w:sz="0" w:space="0" w:color="auto"/>
                        <w:right w:val="none" w:sz="0" w:space="0" w:color="auto"/>
                      </w:divBdr>
                    </w:div>
                  </w:divsChild>
                </w:div>
                <w:div w:id="1818453201">
                  <w:marLeft w:val="0"/>
                  <w:marRight w:val="0"/>
                  <w:marTop w:val="0"/>
                  <w:marBottom w:val="0"/>
                  <w:divBdr>
                    <w:top w:val="none" w:sz="0" w:space="0" w:color="auto"/>
                    <w:left w:val="none" w:sz="0" w:space="0" w:color="auto"/>
                    <w:bottom w:val="none" w:sz="0" w:space="0" w:color="auto"/>
                    <w:right w:val="none" w:sz="0" w:space="0" w:color="auto"/>
                  </w:divBdr>
                  <w:divsChild>
                    <w:div w:id="288900200">
                      <w:marLeft w:val="0"/>
                      <w:marRight w:val="0"/>
                      <w:marTop w:val="0"/>
                      <w:marBottom w:val="0"/>
                      <w:divBdr>
                        <w:top w:val="none" w:sz="0" w:space="0" w:color="auto"/>
                        <w:left w:val="none" w:sz="0" w:space="0" w:color="auto"/>
                        <w:bottom w:val="none" w:sz="0" w:space="0" w:color="auto"/>
                        <w:right w:val="none" w:sz="0" w:space="0" w:color="auto"/>
                      </w:divBdr>
                    </w:div>
                  </w:divsChild>
                </w:div>
                <w:div w:id="1858813843">
                  <w:marLeft w:val="0"/>
                  <w:marRight w:val="0"/>
                  <w:marTop w:val="0"/>
                  <w:marBottom w:val="0"/>
                  <w:divBdr>
                    <w:top w:val="none" w:sz="0" w:space="0" w:color="auto"/>
                    <w:left w:val="none" w:sz="0" w:space="0" w:color="auto"/>
                    <w:bottom w:val="none" w:sz="0" w:space="0" w:color="auto"/>
                    <w:right w:val="none" w:sz="0" w:space="0" w:color="auto"/>
                  </w:divBdr>
                  <w:divsChild>
                    <w:div w:id="459224321">
                      <w:marLeft w:val="0"/>
                      <w:marRight w:val="0"/>
                      <w:marTop w:val="0"/>
                      <w:marBottom w:val="0"/>
                      <w:divBdr>
                        <w:top w:val="none" w:sz="0" w:space="0" w:color="auto"/>
                        <w:left w:val="none" w:sz="0" w:space="0" w:color="auto"/>
                        <w:bottom w:val="none" w:sz="0" w:space="0" w:color="auto"/>
                        <w:right w:val="none" w:sz="0" w:space="0" w:color="auto"/>
                      </w:divBdr>
                    </w:div>
                  </w:divsChild>
                </w:div>
                <w:div w:id="1942639555">
                  <w:marLeft w:val="0"/>
                  <w:marRight w:val="0"/>
                  <w:marTop w:val="0"/>
                  <w:marBottom w:val="0"/>
                  <w:divBdr>
                    <w:top w:val="none" w:sz="0" w:space="0" w:color="auto"/>
                    <w:left w:val="none" w:sz="0" w:space="0" w:color="auto"/>
                    <w:bottom w:val="none" w:sz="0" w:space="0" w:color="auto"/>
                    <w:right w:val="none" w:sz="0" w:space="0" w:color="auto"/>
                  </w:divBdr>
                  <w:divsChild>
                    <w:div w:id="82404">
                      <w:marLeft w:val="0"/>
                      <w:marRight w:val="0"/>
                      <w:marTop w:val="0"/>
                      <w:marBottom w:val="0"/>
                      <w:divBdr>
                        <w:top w:val="none" w:sz="0" w:space="0" w:color="auto"/>
                        <w:left w:val="none" w:sz="0" w:space="0" w:color="auto"/>
                        <w:bottom w:val="none" w:sz="0" w:space="0" w:color="auto"/>
                        <w:right w:val="none" w:sz="0" w:space="0" w:color="auto"/>
                      </w:divBdr>
                    </w:div>
                  </w:divsChild>
                </w:div>
                <w:div w:id="2026246830">
                  <w:marLeft w:val="0"/>
                  <w:marRight w:val="0"/>
                  <w:marTop w:val="0"/>
                  <w:marBottom w:val="0"/>
                  <w:divBdr>
                    <w:top w:val="none" w:sz="0" w:space="0" w:color="auto"/>
                    <w:left w:val="none" w:sz="0" w:space="0" w:color="auto"/>
                    <w:bottom w:val="none" w:sz="0" w:space="0" w:color="auto"/>
                    <w:right w:val="none" w:sz="0" w:space="0" w:color="auto"/>
                  </w:divBdr>
                  <w:divsChild>
                    <w:div w:id="85345561">
                      <w:marLeft w:val="0"/>
                      <w:marRight w:val="0"/>
                      <w:marTop w:val="0"/>
                      <w:marBottom w:val="0"/>
                      <w:divBdr>
                        <w:top w:val="none" w:sz="0" w:space="0" w:color="auto"/>
                        <w:left w:val="none" w:sz="0" w:space="0" w:color="auto"/>
                        <w:bottom w:val="none" w:sz="0" w:space="0" w:color="auto"/>
                        <w:right w:val="none" w:sz="0" w:space="0" w:color="auto"/>
                      </w:divBdr>
                    </w:div>
                  </w:divsChild>
                </w:div>
                <w:div w:id="2112434283">
                  <w:marLeft w:val="0"/>
                  <w:marRight w:val="0"/>
                  <w:marTop w:val="0"/>
                  <w:marBottom w:val="0"/>
                  <w:divBdr>
                    <w:top w:val="none" w:sz="0" w:space="0" w:color="auto"/>
                    <w:left w:val="none" w:sz="0" w:space="0" w:color="auto"/>
                    <w:bottom w:val="none" w:sz="0" w:space="0" w:color="auto"/>
                    <w:right w:val="none" w:sz="0" w:space="0" w:color="auto"/>
                  </w:divBdr>
                  <w:divsChild>
                    <w:div w:id="2103640114">
                      <w:marLeft w:val="0"/>
                      <w:marRight w:val="0"/>
                      <w:marTop w:val="0"/>
                      <w:marBottom w:val="0"/>
                      <w:divBdr>
                        <w:top w:val="none" w:sz="0" w:space="0" w:color="auto"/>
                        <w:left w:val="none" w:sz="0" w:space="0" w:color="auto"/>
                        <w:bottom w:val="none" w:sz="0" w:space="0" w:color="auto"/>
                        <w:right w:val="none" w:sz="0" w:space="0" w:color="auto"/>
                      </w:divBdr>
                    </w:div>
                  </w:divsChild>
                </w:div>
                <w:div w:id="2114740602">
                  <w:marLeft w:val="0"/>
                  <w:marRight w:val="0"/>
                  <w:marTop w:val="0"/>
                  <w:marBottom w:val="0"/>
                  <w:divBdr>
                    <w:top w:val="none" w:sz="0" w:space="0" w:color="auto"/>
                    <w:left w:val="none" w:sz="0" w:space="0" w:color="auto"/>
                    <w:bottom w:val="none" w:sz="0" w:space="0" w:color="auto"/>
                    <w:right w:val="none" w:sz="0" w:space="0" w:color="auto"/>
                  </w:divBdr>
                  <w:divsChild>
                    <w:div w:id="83410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680729">
          <w:marLeft w:val="0"/>
          <w:marRight w:val="0"/>
          <w:marTop w:val="0"/>
          <w:marBottom w:val="0"/>
          <w:divBdr>
            <w:top w:val="none" w:sz="0" w:space="0" w:color="auto"/>
            <w:left w:val="none" w:sz="0" w:space="0" w:color="auto"/>
            <w:bottom w:val="none" w:sz="0" w:space="0" w:color="auto"/>
            <w:right w:val="none" w:sz="0" w:space="0" w:color="auto"/>
          </w:divBdr>
        </w:div>
      </w:divsChild>
    </w:div>
    <w:div w:id="440686104">
      <w:bodyDiv w:val="1"/>
      <w:marLeft w:val="0"/>
      <w:marRight w:val="0"/>
      <w:marTop w:val="0"/>
      <w:marBottom w:val="0"/>
      <w:divBdr>
        <w:top w:val="none" w:sz="0" w:space="0" w:color="auto"/>
        <w:left w:val="none" w:sz="0" w:space="0" w:color="auto"/>
        <w:bottom w:val="none" w:sz="0" w:space="0" w:color="auto"/>
        <w:right w:val="none" w:sz="0" w:space="0" w:color="auto"/>
      </w:divBdr>
    </w:div>
    <w:div w:id="471216937">
      <w:bodyDiv w:val="1"/>
      <w:marLeft w:val="0"/>
      <w:marRight w:val="0"/>
      <w:marTop w:val="0"/>
      <w:marBottom w:val="0"/>
      <w:divBdr>
        <w:top w:val="none" w:sz="0" w:space="0" w:color="auto"/>
        <w:left w:val="none" w:sz="0" w:space="0" w:color="auto"/>
        <w:bottom w:val="none" w:sz="0" w:space="0" w:color="auto"/>
        <w:right w:val="none" w:sz="0" w:space="0" w:color="auto"/>
      </w:divBdr>
    </w:div>
    <w:div w:id="622728997">
      <w:bodyDiv w:val="1"/>
      <w:marLeft w:val="0"/>
      <w:marRight w:val="0"/>
      <w:marTop w:val="0"/>
      <w:marBottom w:val="0"/>
      <w:divBdr>
        <w:top w:val="none" w:sz="0" w:space="0" w:color="auto"/>
        <w:left w:val="none" w:sz="0" w:space="0" w:color="auto"/>
        <w:bottom w:val="none" w:sz="0" w:space="0" w:color="auto"/>
        <w:right w:val="none" w:sz="0" w:space="0" w:color="auto"/>
      </w:divBdr>
    </w:div>
    <w:div w:id="709498027">
      <w:bodyDiv w:val="1"/>
      <w:marLeft w:val="0"/>
      <w:marRight w:val="0"/>
      <w:marTop w:val="0"/>
      <w:marBottom w:val="0"/>
      <w:divBdr>
        <w:top w:val="none" w:sz="0" w:space="0" w:color="auto"/>
        <w:left w:val="none" w:sz="0" w:space="0" w:color="auto"/>
        <w:bottom w:val="none" w:sz="0" w:space="0" w:color="auto"/>
        <w:right w:val="none" w:sz="0" w:space="0" w:color="auto"/>
      </w:divBdr>
    </w:div>
    <w:div w:id="761225071">
      <w:bodyDiv w:val="1"/>
      <w:marLeft w:val="0"/>
      <w:marRight w:val="0"/>
      <w:marTop w:val="0"/>
      <w:marBottom w:val="0"/>
      <w:divBdr>
        <w:top w:val="none" w:sz="0" w:space="0" w:color="auto"/>
        <w:left w:val="none" w:sz="0" w:space="0" w:color="auto"/>
        <w:bottom w:val="none" w:sz="0" w:space="0" w:color="auto"/>
        <w:right w:val="none" w:sz="0" w:space="0" w:color="auto"/>
      </w:divBdr>
    </w:div>
    <w:div w:id="787431719">
      <w:bodyDiv w:val="1"/>
      <w:marLeft w:val="0"/>
      <w:marRight w:val="0"/>
      <w:marTop w:val="0"/>
      <w:marBottom w:val="0"/>
      <w:divBdr>
        <w:top w:val="none" w:sz="0" w:space="0" w:color="auto"/>
        <w:left w:val="none" w:sz="0" w:space="0" w:color="auto"/>
        <w:bottom w:val="none" w:sz="0" w:space="0" w:color="auto"/>
        <w:right w:val="none" w:sz="0" w:space="0" w:color="auto"/>
      </w:divBdr>
    </w:div>
    <w:div w:id="906384510">
      <w:bodyDiv w:val="1"/>
      <w:marLeft w:val="0"/>
      <w:marRight w:val="0"/>
      <w:marTop w:val="0"/>
      <w:marBottom w:val="0"/>
      <w:divBdr>
        <w:top w:val="none" w:sz="0" w:space="0" w:color="auto"/>
        <w:left w:val="none" w:sz="0" w:space="0" w:color="auto"/>
        <w:bottom w:val="none" w:sz="0" w:space="0" w:color="auto"/>
        <w:right w:val="none" w:sz="0" w:space="0" w:color="auto"/>
      </w:divBdr>
    </w:div>
    <w:div w:id="909120534">
      <w:bodyDiv w:val="1"/>
      <w:marLeft w:val="0"/>
      <w:marRight w:val="0"/>
      <w:marTop w:val="0"/>
      <w:marBottom w:val="0"/>
      <w:divBdr>
        <w:top w:val="none" w:sz="0" w:space="0" w:color="auto"/>
        <w:left w:val="none" w:sz="0" w:space="0" w:color="auto"/>
        <w:bottom w:val="none" w:sz="0" w:space="0" w:color="auto"/>
        <w:right w:val="none" w:sz="0" w:space="0" w:color="auto"/>
      </w:divBdr>
    </w:div>
    <w:div w:id="973681456">
      <w:bodyDiv w:val="1"/>
      <w:marLeft w:val="0"/>
      <w:marRight w:val="0"/>
      <w:marTop w:val="0"/>
      <w:marBottom w:val="0"/>
      <w:divBdr>
        <w:top w:val="none" w:sz="0" w:space="0" w:color="auto"/>
        <w:left w:val="none" w:sz="0" w:space="0" w:color="auto"/>
        <w:bottom w:val="none" w:sz="0" w:space="0" w:color="auto"/>
        <w:right w:val="none" w:sz="0" w:space="0" w:color="auto"/>
      </w:divBdr>
    </w:div>
    <w:div w:id="990910297">
      <w:bodyDiv w:val="1"/>
      <w:marLeft w:val="0"/>
      <w:marRight w:val="0"/>
      <w:marTop w:val="0"/>
      <w:marBottom w:val="0"/>
      <w:divBdr>
        <w:top w:val="none" w:sz="0" w:space="0" w:color="auto"/>
        <w:left w:val="none" w:sz="0" w:space="0" w:color="auto"/>
        <w:bottom w:val="none" w:sz="0" w:space="0" w:color="auto"/>
        <w:right w:val="none" w:sz="0" w:space="0" w:color="auto"/>
      </w:divBdr>
    </w:div>
    <w:div w:id="992947347">
      <w:bodyDiv w:val="1"/>
      <w:marLeft w:val="0"/>
      <w:marRight w:val="0"/>
      <w:marTop w:val="0"/>
      <w:marBottom w:val="0"/>
      <w:divBdr>
        <w:top w:val="none" w:sz="0" w:space="0" w:color="auto"/>
        <w:left w:val="none" w:sz="0" w:space="0" w:color="auto"/>
        <w:bottom w:val="none" w:sz="0" w:space="0" w:color="auto"/>
        <w:right w:val="none" w:sz="0" w:space="0" w:color="auto"/>
      </w:divBdr>
    </w:div>
    <w:div w:id="1028876713">
      <w:bodyDiv w:val="1"/>
      <w:marLeft w:val="0"/>
      <w:marRight w:val="0"/>
      <w:marTop w:val="0"/>
      <w:marBottom w:val="0"/>
      <w:divBdr>
        <w:top w:val="none" w:sz="0" w:space="0" w:color="auto"/>
        <w:left w:val="none" w:sz="0" w:space="0" w:color="auto"/>
        <w:bottom w:val="none" w:sz="0" w:space="0" w:color="auto"/>
        <w:right w:val="none" w:sz="0" w:space="0" w:color="auto"/>
      </w:divBdr>
    </w:div>
    <w:div w:id="1031951835">
      <w:bodyDiv w:val="1"/>
      <w:marLeft w:val="0"/>
      <w:marRight w:val="0"/>
      <w:marTop w:val="0"/>
      <w:marBottom w:val="0"/>
      <w:divBdr>
        <w:top w:val="none" w:sz="0" w:space="0" w:color="auto"/>
        <w:left w:val="none" w:sz="0" w:space="0" w:color="auto"/>
        <w:bottom w:val="none" w:sz="0" w:space="0" w:color="auto"/>
        <w:right w:val="none" w:sz="0" w:space="0" w:color="auto"/>
      </w:divBdr>
    </w:div>
    <w:div w:id="1048529592">
      <w:bodyDiv w:val="1"/>
      <w:marLeft w:val="0"/>
      <w:marRight w:val="0"/>
      <w:marTop w:val="0"/>
      <w:marBottom w:val="0"/>
      <w:divBdr>
        <w:top w:val="none" w:sz="0" w:space="0" w:color="auto"/>
        <w:left w:val="none" w:sz="0" w:space="0" w:color="auto"/>
        <w:bottom w:val="none" w:sz="0" w:space="0" w:color="auto"/>
        <w:right w:val="none" w:sz="0" w:space="0" w:color="auto"/>
      </w:divBdr>
    </w:div>
    <w:div w:id="1063602229">
      <w:bodyDiv w:val="1"/>
      <w:marLeft w:val="0"/>
      <w:marRight w:val="0"/>
      <w:marTop w:val="0"/>
      <w:marBottom w:val="0"/>
      <w:divBdr>
        <w:top w:val="none" w:sz="0" w:space="0" w:color="auto"/>
        <w:left w:val="none" w:sz="0" w:space="0" w:color="auto"/>
        <w:bottom w:val="none" w:sz="0" w:space="0" w:color="auto"/>
        <w:right w:val="none" w:sz="0" w:space="0" w:color="auto"/>
      </w:divBdr>
    </w:div>
    <w:div w:id="1093865223">
      <w:bodyDiv w:val="1"/>
      <w:marLeft w:val="0"/>
      <w:marRight w:val="0"/>
      <w:marTop w:val="0"/>
      <w:marBottom w:val="0"/>
      <w:divBdr>
        <w:top w:val="none" w:sz="0" w:space="0" w:color="auto"/>
        <w:left w:val="none" w:sz="0" w:space="0" w:color="auto"/>
        <w:bottom w:val="none" w:sz="0" w:space="0" w:color="auto"/>
        <w:right w:val="none" w:sz="0" w:space="0" w:color="auto"/>
      </w:divBdr>
    </w:div>
    <w:div w:id="1100569723">
      <w:bodyDiv w:val="1"/>
      <w:marLeft w:val="0"/>
      <w:marRight w:val="0"/>
      <w:marTop w:val="0"/>
      <w:marBottom w:val="0"/>
      <w:divBdr>
        <w:top w:val="none" w:sz="0" w:space="0" w:color="auto"/>
        <w:left w:val="none" w:sz="0" w:space="0" w:color="auto"/>
        <w:bottom w:val="none" w:sz="0" w:space="0" w:color="auto"/>
        <w:right w:val="none" w:sz="0" w:space="0" w:color="auto"/>
      </w:divBdr>
    </w:div>
    <w:div w:id="1217622189">
      <w:bodyDiv w:val="1"/>
      <w:marLeft w:val="0"/>
      <w:marRight w:val="0"/>
      <w:marTop w:val="0"/>
      <w:marBottom w:val="0"/>
      <w:divBdr>
        <w:top w:val="none" w:sz="0" w:space="0" w:color="auto"/>
        <w:left w:val="none" w:sz="0" w:space="0" w:color="auto"/>
        <w:bottom w:val="none" w:sz="0" w:space="0" w:color="auto"/>
        <w:right w:val="none" w:sz="0" w:space="0" w:color="auto"/>
      </w:divBdr>
    </w:div>
    <w:div w:id="1240795381">
      <w:bodyDiv w:val="1"/>
      <w:marLeft w:val="0"/>
      <w:marRight w:val="0"/>
      <w:marTop w:val="0"/>
      <w:marBottom w:val="0"/>
      <w:divBdr>
        <w:top w:val="none" w:sz="0" w:space="0" w:color="auto"/>
        <w:left w:val="none" w:sz="0" w:space="0" w:color="auto"/>
        <w:bottom w:val="none" w:sz="0" w:space="0" w:color="auto"/>
        <w:right w:val="none" w:sz="0" w:space="0" w:color="auto"/>
      </w:divBdr>
    </w:div>
    <w:div w:id="1245608302">
      <w:bodyDiv w:val="1"/>
      <w:marLeft w:val="0"/>
      <w:marRight w:val="0"/>
      <w:marTop w:val="0"/>
      <w:marBottom w:val="0"/>
      <w:divBdr>
        <w:top w:val="none" w:sz="0" w:space="0" w:color="auto"/>
        <w:left w:val="none" w:sz="0" w:space="0" w:color="auto"/>
        <w:bottom w:val="none" w:sz="0" w:space="0" w:color="auto"/>
        <w:right w:val="none" w:sz="0" w:space="0" w:color="auto"/>
      </w:divBdr>
    </w:div>
    <w:div w:id="1258634942">
      <w:bodyDiv w:val="1"/>
      <w:marLeft w:val="0"/>
      <w:marRight w:val="0"/>
      <w:marTop w:val="0"/>
      <w:marBottom w:val="0"/>
      <w:divBdr>
        <w:top w:val="none" w:sz="0" w:space="0" w:color="auto"/>
        <w:left w:val="none" w:sz="0" w:space="0" w:color="auto"/>
        <w:bottom w:val="none" w:sz="0" w:space="0" w:color="auto"/>
        <w:right w:val="none" w:sz="0" w:space="0" w:color="auto"/>
      </w:divBdr>
    </w:div>
    <w:div w:id="1295015434">
      <w:bodyDiv w:val="1"/>
      <w:marLeft w:val="0"/>
      <w:marRight w:val="0"/>
      <w:marTop w:val="0"/>
      <w:marBottom w:val="0"/>
      <w:divBdr>
        <w:top w:val="none" w:sz="0" w:space="0" w:color="auto"/>
        <w:left w:val="none" w:sz="0" w:space="0" w:color="auto"/>
        <w:bottom w:val="none" w:sz="0" w:space="0" w:color="auto"/>
        <w:right w:val="none" w:sz="0" w:space="0" w:color="auto"/>
      </w:divBdr>
    </w:div>
    <w:div w:id="1305350326">
      <w:bodyDiv w:val="1"/>
      <w:marLeft w:val="0"/>
      <w:marRight w:val="0"/>
      <w:marTop w:val="0"/>
      <w:marBottom w:val="0"/>
      <w:divBdr>
        <w:top w:val="none" w:sz="0" w:space="0" w:color="auto"/>
        <w:left w:val="none" w:sz="0" w:space="0" w:color="auto"/>
        <w:bottom w:val="none" w:sz="0" w:space="0" w:color="auto"/>
        <w:right w:val="none" w:sz="0" w:space="0" w:color="auto"/>
      </w:divBdr>
    </w:div>
    <w:div w:id="1402169971">
      <w:bodyDiv w:val="1"/>
      <w:marLeft w:val="0"/>
      <w:marRight w:val="0"/>
      <w:marTop w:val="0"/>
      <w:marBottom w:val="0"/>
      <w:divBdr>
        <w:top w:val="none" w:sz="0" w:space="0" w:color="auto"/>
        <w:left w:val="none" w:sz="0" w:space="0" w:color="auto"/>
        <w:bottom w:val="none" w:sz="0" w:space="0" w:color="auto"/>
        <w:right w:val="none" w:sz="0" w:space="0" w:color="auto"/>
      </w:divBdr>
    </w:div>
    <w:div w:id="1427464497">
      <w:bodyDiv w:val="1"/>
      <w:marLeft w:val="0"/>
      <w:marRight w:val="0"/>
      <w:marTop w:val="0"/>
      <w:marBottom w:val="0"/>
      <w:divBdr>
        <w:top w:val="none" w:sz="0" w:space="0" w:color="auto"/>
        <w:left w:val="none" w:sz="0" w:space="0" w:color="auto"/>
        <w:bottom w:val="none" w:sz="0" w:space="0" w:color="auto"/>
        <w:right w:val="none" w:sz="0" w:space="0" w:color="auto"/>
      </w:divBdr>
    </w:div>
    <w:div w:id="1502546623">
      <w:bodyDiv w:val="1"/>
      <w:marLeft w:val="0"/>
      <w:marRight w:val="0"/>
      <w:marTop w:val="0"/>
      <w:marBottom w:val="0"/>
      <w:divBdr>
        <w:top w:val="none" w:sz="0" w:space="0" w:color="auto"/>
        <w:left w:val="none" w:sz="0" w:space="0" w:color="auto"/>
        <w:bottom w:val="none" w:sz="0" w:space="0" w:color="auto"/>
        <w:right w:val="none" w:sz="0" w:space="0" w:color="auto"/>
      </w:divBdr>
    </w:div>
    <w:div w:id="1644189320">
      <w:bodyDiv w:val="1"/>
      <w:marLeft w:val="0"/>
      <w:marRight w:val="0"/>
      <w:marTop w:val="0"/>
      <w:marBottom w:val="0"/>
      <w:divBdr>
        <w:top w:val="none" w:sz="0" w:space="0" w:color="auto"/>
        <w:left w:val="none" w:sz="0" w:space="0" w:color="auto"/>
        <w:bottom w:val="none" w:sz="0" w:space="0" w:color="auto"/>
        <w:right w:val="none" w:sz="0" w:space="0" w:color="auto"/>
      </w:divBdr>
    </w:div>
    <w:div w:id="1671255423">
      <w:bodyDiv w:val="1"/>
      <w:marLeft w:val="0"/>
      <w:marRight w:val="0"/>
      <w:marTop w:val="0"/>
      <w:marBottom w:val="0"/>
      <w:divBdr>
        <w:top w:val="none" w:sz="0" w:space="0" w:color="auto"/>
        <w:left w:val="none" w:sz="0" w:space="0" w:color="auto"/>
        <w:bottom w:val="none" w:sz="0" w:space="0" w:color="auto"/>
        <w:right w:val="none" w:sz="0" w:space="0" w:color="auto"/>
      </w:divBdr>
    </w:div>
    <w:div w:id="1759209847">
      <w:bodyDiv w:val="1"/>
      <w:marLeft w:val="0"/>
      <w:marRight w:val="0"/>
      <w:marTop w:val="0"/>
      <w:marBottom w:val="0"/>
      <w:divBdr>
        <w:top w:val="none" w:sz="0" w:space="0" w:color="auto"/>
        <w:left w:val="none" w:sz="0" w:space="0" w:color="auto"/>
        <w:bottom w:val="none" w:sz="0" w:space="0" w:color="auto"/>
        <w:right w:val="none" w:sz="0" w:space="0" w:color="auto"/>
      </w:divBdr>
    </w:div>
    <w:div w:id="180041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ur-lex.europa.eu/budget/www/index-en.htm" TargetMode="Externa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ep xmlns="ed3db0c3-9325-49a3-a314-b2835b638b83" xsi:nil="true"/>
    <Year xmlns="ed3db0c3-9325-49a3-a314-b2835b638b83" xsi:nil="true"/>
    <Author0 xmlns="ed3db0c3-9325-49a3-a314-b2835b638b83">
      <UserInfo>
        <DisplayName/>
        <AccountId xsi:nil="true"/>
        <AccountType/>
      </UserInfo>
    </Author0>
    <FreeText xmlns="ed3db0c3-9325-49a3-a314-b2835b638b83" xsi:nil="true"/>
    <lcf76f155ced4ddcb4097134ff3c332f xmlns="ed3db0c3-9325-49a3-a314-b2835b638b83">
      <Terms xmlns="http://schemas.microsoft.com/office/infopath/2007/PartnerControls"/>
    </lcf76f155ced4ddcb4097134ff3c332f>
    <TaxCatchAll xmlns="013aa35d-30e5-41d1-9a7b-1c862c539650" xsi:nil="true"/>
    <Sensitive xmlns="ed3db0c3-9325-49a3-a314-b2835b638b83">false</Sensitive>
    <Accesslevel xmlns="ed3db0c3-9325-49a3-a314-b2835b638b83">A.1 only</Accesslevel>
    <Openpoints xmlns="ed3db0c3-9325-49a3-a314-b2835b638b83">false</Openpoints>
    <Date xmlns="ed3db0c3-9325-49a3-a314-b2835b638b8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F93C8C3BBABA488B15057D292843ED" ma:contentTypeVersion="20" ma:contentTypeDescription="Create a new document." ma:contentTypeScope="" ma:versionID="94c0ddc46370a5a687e48f411999fae3">
  <xsd:schema xmlns:xsd="http://www.w3.org/2001/XMLSchema" xmlns:xs="http://www.w3.org/2001/XMLSchema" xmlns:p="http://schemas.microsoft.com/office/2006/metadata/properties" xmlns:ns2="ed3db0c3-9325-49a3-a314-b2835b638b83" xmlns:ns3="013aa35d-30e5-41d1-9a7b-1c862c539650" targetNamespace="http://schemas.microsoft.com/office/2006/metadata/properties" ma:root="true" ma:fieldsID="61699b42c78fd24707e8ceaa82f3955b" ns2:_="" ns3:_="">
    <xsd:import namespace="ed3db0c3-9325-49a3-a314-b2835b638b83"/>
    <xsd:import namespace="013aa35d-30e5-41d1-9a7b-1c862c539650"/>
    <xsd:element name="properties">
      <xsd:complexType>
        <xsd:sequence>
          <xsd:element name="documentManagement">
            <xsd:complexType>
              <xsd:all>
                <xsd:element ref="ns2:Author0" minOccurs="0"/>
                <xsd:element ref="ns2:Year" minOccurs="0"/>
                <xsd:element ref="ns2:FreeText" minOccurs="0"/>
                <xsd:element ref="ns2:Accesslevel" minOccurs="0"/>
                <xsd:element ref="ns2:Step"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Sensitive" minOccurs="0"/>
                <xsd:element ref="ns2:Openpoints" minOccurs="0"/>
                <xsd:element ref="ns2:MediaServiceOCR"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db0c3-9325-49a3-a314-b2835b638b83" elementFormDefault="qualified">
    <xsd:import namespace="http://schemas.microsoft.com/office/2006/documentManagement/types"/>
    <xsd:import namespace="http://schemas.microsoft.com/office/infopath/2007/PartnerControls"/>
    <xsd:element name="Author0" ma:index="8" nillable="true" ma:displayName="Author" ma:description="Select the lead author of this file"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9" nillable="true" ma:displayName="Year" ma:description="Add the year in which the file was created" ma:format="Dropdown" ma:internalName="Year">
      <xsd:simpleType>
        <xsd:restriction base="dms:Choice">
          <xsd:enumeration value="2023"/>
          <xsd:enumeration value="2024"/>
          <xsd:enumeration value="2025"/>
          <xsd:enumeration value="2026"/>
        </xsd:restriction>
      </xsd:simpleType>
    </xsd:element>
    <xsd:element name="FreeText" ma:index="10" nillable="true" ma:displayName="DG/programe" ma:description="Use this for a comment on the file" ma:format="Dropdown" ma:internalName="FreeText">
      <xsd:simpleType>
        <xsd:restriction base="dms:Text">
          <xsd:maxLength value="255"/>
        </xsd:restriction>
      </xsd:simpleType>
    </xsd:element>
    <xsd:element name="Accesslevel" ma:index="11" nillable="true" ma:displayName="Access level Information" ma:default="A.1 only" ma:description="indicate which level of access has been granted to this file/folder" ma:format="Dropdown" ma:internalName="Accesslevel">
      <xsd:simpleType>
        <xsd:restriction base="dms:Choice">
          <xsd:enumeration value="A.1 only"/>
          <xsd:enumeration value="Ax"/>
          <xsd:enumeration value="BUDG"/>
          <xsd:enumeration value="COM"/>
          <xsd:enumeration value="External"/>
        </xsd:restriction>
      </xsd:simpleType>
    </xsd:element>
    <xsd:element name="Step" ma:index="12" nillable="true" ma:displayName="Step" ma:description="Step in the annual budgetary procedure" ma:format="Dropdown" ma:internalName="Step">
      <xsd:simpleType>
        <xsd:restriction base="dms:Choice">
          <xsd:enumeration value="dab_01"/>
          <xsd:enumeration value="dab_02"/>
          <xsd:enumeration value="dab_03"/>
          <xsd:enumeration value="dab_04"/>
          <xsd:enumeration value="dab_05"/>
          <xsd:enumeration value="dab_06"/>
          <xsd:enumeration value="dab_07"/>
          <xsd:enumeration value="dab_08"/>
          <xsd:enumeration value="dab_09"/>
          <xsd:enumeration value="dab_10"/>
          <xsd:enumeration value="hearings"/>
          <xsd:enumeration value="draft_budget_1"/>
          <xsd:enumeration value="parliament_1"/>
          <xsd:enumeration value="council_1"/>
          <xsd:enumeration value="amending_letter_1"/>
          <xsd:enumeration value="amending_letter_2"/>
          <xsd:enumeration value="draft_budget_2"/>
          <xsd:enumeration value="parliament_2"/>
          <xsd:enumeration value="council_2"/>
          <xsd:enumeration value="budget"/>
          <xsd:enumeration value="tufp"/>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Sensitive" ma:index="24" nillable="true" ma:displayName="Sensitive " ma:default="0" ma:format="Dropdown" ma:internalName="Sensitive">
      <xsd:simpleType>
        <xsd:restriction base="dms:Boolean"/>
      </xsd:simpleType>
    </xsd:element>
    <xsd:element name="Openpoints" ma:index="25" nillable="true" ma:displayName="Open points" ma:default="0" ma:format="Dropdown" ma:internalName="Openpoints">
      <xsd:simpleType>
        <xsd:restriction base="dms:Boolean"/>
      </xsd:simpleType>
    </xsd:element>
    <xsd:element name="MediaServiceOCR" ma:index="26" nillable="true" ma:displayName="Extracted Text" ma:internalName="MediaServiceOCR" ma:readOnly="true">
      <xsd:simpleType>
        <xsd:restriction base="dms:Note">
          <xsd:maxLength value="255"/>
        </xsd:restriction>
      </xsd:simpleType>
    </xsd:element>
    <xsd:element name="Date" ma:index="27" nillable="true" ma:displayName="Date" ma:format="DateOnly" ma:indexed="tru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89c4d62-6c3e-41b7-a1c5-852ed6395684}" ma:internalName="TaxCatchAll" ma:showField="CatchAllData" ma:web="013aa35d-30e5-41d1-9a7b-1c862c5396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91C56-61AA-461D-8BE8-16A408D4B66D}">
  <ds:schemaRefs>
    <ds:schemaRef ds:uri="http://schemas.microsoft.com/office/2006/metadata/properties"/>
    <ds:schemaRef ds:uri="http://schemas.microsoft.com/office/infopath/2007/PartnerControls"/>
    <ds:schemaRef ds:uri="ed3db0c3-9325-49a3-a314-b2835b638b83"/>
    <ds:schemaRef ds:uri="013aa35d-30e5-41d1-9a7b-1c862c539650"/>
  </ds:schemaRefs>
</ds:datastoreItem>
</file>

<file path=customXml/itemProps2.xml><?xml version="1.0" encoding="utf-8"?>
<ds:datastoreItem xmlns:ds="http://schemas.openxmlformats.org/officeDocument/2006/customXml" ds:itemID="{79EF4EAB-2398-40A3-BC92-0FF5030E8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3db0c3-9325-49a3-a314-b2835b638b83"/>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D83718-9649-4E23-9605-CD92EB8A5544}">
  <ds:schemaRefs>
    <ds:schemaRef ds:uri="http://schemas.microsoft.com/sharepoint/v3/contenttype/forms"/>
  </ds:schemaRefs>
</ds:datastoreItem>
</file>

<file path=customXml/itemProps4.xml><?xml version="1.0" encoding="utf-8"?>
<ds:datastoreItem xmlns:ds="http://schemas.openxmlformats.org/officeDocument/2006/customXml" ds:itemID="{EF8D07C9-3ABF-4BF8-B140-ADADC37DD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7</Pages>
  <Words>7005</Words>
  <Characters>39930</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46842</CharactersWithSpaces>
  <SharedDoc>false</SharedDoc>
  <HLinks>
    <vt:vector size="96" baseType="variant">
      <vt:variant>
        <vt:i4>1245233</vt:i4>
      </vt:variant>
      <vt:variant>
        <vt:i4>89</vt:i4>
      </vt:variant>
      <vt:variant>
        <vt:i4>0</vt:i4>
      </vt:variant>
      <vt:variant>
        <vt:i4>5</vt:i4>
      </vt:variant>
      <vt:variant>
        <vt:lpwstr/>
      </vt:variant>
      <vt:variant>
        <vt:lpwstr>_Toc231311352</vt:lpwstr>
      </vt:variant>
      <vt:variant>
        <vt:i4>1245233</vt:i4>
      </vt:variant>
      <vt:variant>
        <vt:i4>83</vt:i4>
      </vt:variant>
      <vt:variant>
        <vt:i4>0</vt:i4>
      </vt:variant>
      <vt:variant>
        <vt:i4>5</vt:i4>
      </vt:variant>
      <vt:variant>
        <vt:lpwstr/>
      </vt:variant>
      <vt:variant>
        <vt:lpwstr>_Toc231311351</vt:lpwstr>
      </vt:variant>
      <vt:variant>
        <vt:i4>1245233</vt:i4>
      </vt:variant>
      <vt:variant>
        <vt:i4>77</vt:i4>
      </vt:variant>
      <vt:variant>
        <vt:i4>0</vt:i4>
      </vt:variant>
      <vt:variant>
        <vt:i4>5</vt:i4>
      </vt:variant>
      <vt:variant>
        <vt:lpwstr/>
      </vt:variant>
      <vt:variant>
        <vt:lpwstr>_Toc231311350</vt:lpwstr>
      </vt:variant>
      <vt:variant>
        <vt:i4>1179697</vt:i4>
      </vt:variant>
      <vt:variant>
        <vt:i4>71</vt:i4>
      </vt:variant>
      <vt:variant>
        <vt:i4>0</vt:i4>
      </vt:variant>
      <vt:variant>
        <vt:i4>5</vt:i4>
      </vt:variant>
      <vt:variant>
        <vt:lpwstr/>
      </vt:variant>
      <vt:variant>
        <vt:lpwstr>_Toc231311349</vt:lpwstr>
      </vt:variant>
      <vt:variant>
        <vt:i4>1179697</vt:i4>
      </vt:variant>
      <vt:variant>
        <vt:i4>65</vt:i4>
      </vt:variant>
      <vt:variant>
        <vt:i4>0</vt:i4>
      </vt:variant>
      <vt:variant>
        <vt:i4>5</vt:i4>
      </vt:variant>
      <vt:variant>
        <vt:lpwstr/>
      </vt:variant>
      <vt:variant>
        <vt:lpwstr>_Toc231311348</vt:lpwstr>
      </vt:variant>
      <vt:variant>
        <vt:i4>1179697</vt:i4>
      </vt:variant>
      <vt:variant>
        <vt:i4>59</vt:i4>
      </vt:variant>
      <vt:variant>
        <vt:i4>0</vt:i4>
      </vt:variant>
      <vt:variant>
        <vt:i4>5</vt:i4>
      </vt:variant>
      <vt:variant>
        <vt:lpwstr/>
      </vt:variant>
      <vt:variant>
        <vt:lpwstr>_Toc231311347</vt:lpwstr>
      </vt:variant>
      <vt:variant>
        <vt:i4>1179697</vt:i4>
      </vt:variant>
      <vt:variant>
        <vt:i4>53</vt:i4>
      </vt:variant>
      <vt:variant>
        <vt:i4>0</vt:i4>
      </vt:variant>
      <vt:variant>
        <vt:i4>5</vt:i4>
      </vt:variant>
      <vt:variant>
        <vt:lpwstr/>
      </vt:variant>
      <vt:variant>
        <vt:lpwstr>_Toc231311346</vt:lpwstr>
      </vt:variant>
      <vt:variant>
        <vt:i4>1179697</vt:i4>
      </vt:variant>
      <vt:variant>
        <vt:i4>47</vt:i4>
      </vt:variant>
      <vt:variant>
        <vt:i4>0</vt:i4>
      </vt:variant>
      <vt:variant>
        <vt:i4>5</vt:i4>
      </vt:variant>
      <vt:variant>
        <vt:lpwstr/>
      </vt:variant>
      <vt:variant>
        <vt:lpwstr>_Toc231311345</vt:lpwstr>
      </vt:variant>
      <vt:variant>
        <vt:i4>1179697</vt:i4>
      </vt:variant>
      <vt:variant>
        <vt:i4>41</vt:i4>
      </vt:variant>
      <vt:variant>
        <vt:i4>0</vt:i4>
      </vt:variant>
      <vt:variant>
        <vt:i4>5</vt:i4>
      </vt:variant>
      <vt:variant>
        <vt:lpwstr/>
      </vt:variant>
      <vt:variant>
        <vt:lpwstr>_Toc231311344</vt:lpwstr>
      </vt:variant>
      <vt:variant>
        <vt:i4>1179697</vt:i4>
      </vt:variant>
      <vt:variant>
        <vt:i4>35</vt:i4>
      </vt:variant>
      <vt:variant>
        <vt:i4>0</vt:i4>
      </vt:variant>
      <vt:variant>
        <vt:i4>5</vt:i4>
      </vt:variant>
      <vt:variant>
        <vt:lpwstr/>
      </vt:variant>
      <vt:variant>
        <vt:lpwstr>_Toc231311343</vt:lpwstr>
      </vt:variant>
      <vt:variant>
        <vt:i4>1179697</vt:i4>
      </vt:variant>
      <vt:variant>
        <vt:i4>29</vt:i4>
      </vt:variant>
      <vt:variant>
        <vt:i4>0</vt:i4>
      </vt:variant>
      <vt:variant>
        <vt:i4>5</vt:i4>
      </vt:variant>
      <vt:variant>
        <vt:lpwstr/>
      </vt:variant>
      <vt:variant>
        <vt:lpwstr>_Toc231311342</vt:lpwstr>
      </vt:variant>
      <vt:variant>
        <vt:i4>1179697</vt:i4>
      </vt:variant>
      <vt:variant>
        <vt:i4>23</vt:i4>
      </vt:variant>
      <vt:variant>
        <vt:i4>0</vt:i4>
      </vt:variant>
      <vt:variant>
        <vt:i4>5</vt:i4>
      </vt:variant>
      <vt:variant>
        <vt:lpwstr/>
      </vt:variant>
      <vt:variant>
        <vt:lpwstr>_Toc231311341</vt:lpwstr>
      </vt:variant>
      <vt:variant>
        <vt:i4>1179697</vt:i4>
      </vt:variant>
      <vt:variant>
        <vt:i4>17</vt:i4>
      </vt:variant>
      <vt:variant>
        <vt:i4>0</vt:i4>
      </vt:variant>
      <vt:variant>
        <vt:i4>5</vt:i4>
      </vt:variant>
      <vt:variant>
        <vt:lpwstr/>
      </vt:variant>
      <vt:variant>
        <vt:lpwstr>_Toc231311340</vt:lpwstr>
      </vt:variant>
      <vt:variant>
        <vt:i4>1376305</vt:i4>
      </vt:variant>
      <vt:variant>
        <vt:i4>11</vt:i4>
      </vt:variant>
      <vt:variant>
        <vt:i4>0</vt:i4>
      </vt:variant>
      <vt:variant>
        <vt:i4>5</vt:i4>
      </vt:variant>
      <vt:variant>
        <vt:lpwstr/>
      </vt:variant>
      <vt:variant>
        <vt:lpwstr>_Toc231311339</vt:lpwstr>
      </vt:variant>
      <vt:variant>
        <vt:i4>1376305</vt:i4>
      </vt:variant>
      <vt:variant>
        <vt:i4>5</vt:i4>
      </vt:variant>
      <vt:variant>
        <vt:i4>0</vt:i4>
      </vt:variant>
      <vt:variant>
        <vt:i4>5</vt:i4>
      </vt:variant>
      <vt:variant>
        <vt:lpwstr/>
      </vt:variant>
      <vt:variant>
        <vt:lpwstr>_Toc231311338</vt:lpwstr>
      </vt:variant>
      <vt:variant>
        <vt:i4>2031691</vt:i4>
      </vt:variant>
      <vt:variant>
        <vt:i4>0</vt:i4>
      </vt:variant>
      <vt:variant>
        <vt:i4>0</vt:i4>
      </vt:variant>
      <vt:variant>
        <vt:i4>5</vt:i4>
      </vt:variant>
      <vt:variant>
        <vt:lpwstr>https://eur-lex.europa.eu/budget/www/index-en.htm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2026-06-04T11:29:00Z</dcterms:created>
  <dcterms:modified xsi:type="dcterms:W3CDTF">2026-06-20T09:35:00Z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2025-06-19T14:18:13Z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b171e3be-dac0-4eb2-9c7a-beb147e16092</vt:lpwstr>
  </property>
  <property fmtid="{D5CDD505-2E9C-101B-9397-08002B2CF9AE}" pid="8" name="MSIP_Label_6bd9ddd1-4d20-43f6-abfa-fc3c07406f94_ContentBits">
    <vt:lpwstr>0</vt:lpwstr>
  </property>
  <property fmtid="{D5CDD505-2E9C-101B-9397-08002B2CF9AE}" pid="9" name="MediaServiceImageTags">
    <vt:lpwstr/>
  </property>
  <property fmtid="{D5CDD505-2E9C-101B-9397-08002B2CF9AE}" pid="10" name="ContentTypeId">
    <vt:lpwstr>0x010100E4F93C8C3BBABA488B15057D292843ED</vt:lpwstr>
  </property>
  <property fmtid="{D5CDD505-2E9C-101B-9397-08002B2CF9AE}" pid="11" name="Level of sensitivity">
    <vt:lpwstr>Standard treatment</vt:lpwstr>
  </property>
  <property fmtid="{D5CDD505-2E9C-101B-9397-08002B2CF9AE}" pid="12" name="Last edited using">
    <vt:lpwstr>LW 9.2, Build 20250828</vt:lpwstr>
  </property>
  <property fmtid="{D5CDD505-2E9C-101B-9397-08002B2CF9AE}" pid="13" name="Openpoints">
    <vt:bool>false</vt:bool>
  </property>
  <property fmtid="{D5CDD505-2E9C-101B-9397-08002B2CF9AE}" pid="14" name="Accesslevel">
    <vt:lpwstr>A.1 only</vt:lpwstr>
  </property>
  <property fmtid="{D5CDD505-2E9C-101B-9397-08002B2CF9AE}" pid="15" name="Sensitive">
    <vt:bool>false</vt:bool>
  </property>
  <property fmtid="{D5CDD505-2E9C-101B-9397-08002B2CF9AE}" pid="16" name="Part">
    <vt:lpwstr>1</vt:lpwstr>
  </property>
  <property fmtid="{D5CDD505-2E9C-101B-9397-08002B2CF9AE}" pid="17" name="Total parts">
    <vt:lpwstr>1</vt:lpwstr>
  </property>
  <property fmtid="{D5CDD505-2E9C-101B-9397-08002B2CF9AE}" pid="18" name="CPTemplateID">
    <vt:lpwstr>CP-032</vt:lpwstr>
  </property>
  <property fmtid="{D5CDD505-2E9C-101B-9397-08002B2CF9AE}" pid="19" name="DocStatus">
    <vt:lpwstr>Green</vt:lpwstr>
  </property>
</Properties>
</file>