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F819AD-7F47-43ED-96C7-B32CE28743A4" style="width:455.25pt;height:371.2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rPr>
          <w:noProof/>
        </w:rPr>
      </w:pPr>
    </w:p>
    <w:p>
      <w:pPr>
        <w:rPr>
          <w:noProof/>
        </w:rPr>
      </w:pPr>
      <w:r>
        <w:rPr>
          <w:noProof/>
        </w:rPr>
        <w:t>În conformitate cu articolul 395 din Directiva 2006/112/CE a Consiliului din 28 noiembrie 2006 privind sistemul comun al taxei pe valoarea adăugată</w:t>
      </w:r>
      <w:r>
        <w:rPr>
          <w:rStyle w:val="FootnoteReference"/>
          <w:noProof/>
        </w:rPr>
        <w:footnoteReference w:id="1"/>
      </w:r>
      <w:r>
        <w:rPr>
          <w:noProof/>
        </w:rPr>
        <w:t xml:space="preserve"> („Directiva TVA”), Consiliul, hotărând în unanimitate la propunerea Comisiei, poate autoriza orice stat membru să introducă măsuri speciale de derogare de la dispozițiile directivei respective, în scopul simplificării procedurii de colectare a taxei pe valoarea adăugată (TVA) sau al prevenirii anumitor forme de evaziune fiscală sau de evitare a obligațiilor fiscale. </w:t>
      </w:r>
    </w:p>
    <w:p>
      <w:pPr>
        <w:rPr>
          <w:noProof/>
        </w:rPr>
      </w:pPr>
      <w:r>
        <w:rPr>
          <w:noProof/>
        </w:rPr>
        <w:t xml:space="preserve">Prin scrisoarea înregistrată de Comisie la 31 martie 2026, Danemarca a solicitat autorizarea de a aplica </w:t>
      </w:r>
      <w:bookmarkStart w:id="0" w:name="_Hlk135985555"/>
      <w:r>
        <w:rPr>
          <w:noProof/>
        </w:rPr>
        <w:t>în continuare un regim forfetar pentru utilizarea în scopuri personale a vehiculelor utilitare ușoare cu o masă totală maximă autorizată de trei tone care au fost înregistrate exclusiv în scopuri profesionale</w:t>
      </w:r>
      <w:bookmarkEnd w:id="0"/>
      <w:r>
        <w:rPr>
          <w:noProof/>
        </w:rPr>
        <w:t>, prelungind aplicarea măsurii speciale acordate prin Decizia de punere în aplicare (UE) 2018/485 a Consiliului</w:t>
      </w:r>
      <w:r>
        <w:rPr>
          <w:rStyle w:val="FootnoteReference"/>
          <w:noProof/>
        </w:rPr>
        <w:footnoteReference w:id="2"/>
      </w:r>
      <w:r>
        <w:rPr>
          <w:noProof/>
        </w:rPr>
        <w:t xml:space="preserve"> care constituie o derogare de la articolul 75 din Directiva TVA. </w:t>
      </w:r>
    </w:p>
    <w:p>
      <w:pPr>
        <w:widowControl w:val="0"/>
        <w:shd w:val="clear" w:color="auto" w:fill="FFFFFF"/>
        <w:autoSpaceDE w:val="0"/>
        <w:autoSpaceDN w:val="0"/>
        <w:adjustRightInd w:val="0"/>
        <w:spacing w:before="230" w:after="0" w:line="269" w:lineRule="exact"/>
        <w:ind w:right="86"/>
        <w:rPr>
          <w:noProof/>
        </w:rPr>
      </w:pPr>
      <w:r>
        <w:rPr>
          <w:noProof/>
        </w:rPr>
        <w:t>În conformitate cu articolul 395 alineatul (2) din Directiva TVA, Comisia a informat celelalte state membre, printr-o scrisoare din 24 iulie 2026, cu privire la cererea înaintată de Danemarca.</w:t>
      </w:r>
      <w:r>
        <w:rPr>
          <w:noProof/>
          <w:color w:val="FF0000"/>
        </w:rPr>
        <w:t xml:space="preserve"> </w:t>
      </w:r>
      <w:r>
        <w:rPr>
          <w:noProof/>
        </w:rPr>
        <w:t>Comisia a notificat Danemarcei, prin scrisoarea din 29 iulie 2026, faptul că deține toate informațiile necesare pentru a analiza cererea.</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rFonts w:eastAsia="Arial Unicode MS"/>
          <w:noProof/>
        </w:rPr>
      </w:pPr>
      <w:r>
        <w:rPr>
          <w:noProof/>
        </w:rPr>
        <w:t>Pentru simplificarea colectării TVA-ului și combaterea evaziunii fiscale, Danemarca a solicitat în 2011 o măsură specială care să permită introducerea unui regim forfetar pentru utilizarea în scopuri personale a vehiculelor utilitare ușoare cu o masă totală maximă autorizată de trei tone și care sunt înregistrate ca fiind destinate exclusiv unor scopuri profesionale. Cererea a fost aprobată prin Decizia de punere în aplicare 2012/447/UE a Consiliului din 24 iulie 2012</w:t>
      </w:r>
      <w:r>
        <w:rPr>
          <w:rStyle w:val="FootnoteReference"/>
          <w:noProof/>
        </w:rPr>
        <w:footnoteReference w:id="3"/>
      </w:r>
      <w:r>
        <w:rPr>
          <w:noProof/>
        </w:rPr>
        <w:t>. Danemarca a solicitat o prelungire a măsurii speciale de patru ori. Prima prelungire, sub forma unei derogări noi, dar identice, a fost aprobată prin Decizia de punere în aplicare (UE) 2015/992 a Consiliului din 19 iunie 2015</w:t>
      </w:r>
      <w:r>
        <w:rPr>
          <w:rStyle w:val="FootnoteReference"/>
          <w:noProof/>
        </w:rPr>
        <w:footnoteReference w:id="4"/>
      </w:r>
      <w:r>
        <w:rPr>
          <w:noProof/>
        </w:rPr>
        <w:t xml:space="preserve">. O altă derogare, adoptată prin Decizia de punere în aplicare (UE) 2018/485 a Consiliului din 19 martie 2018, a prelungit din nou măsura specială. Această din urmă decizie a fost ulterior prelungită prin </w:t>
      </w:r>
      <w:bookmarkStart w:id="1" w:name="_Hlk132815587"/>
      <w:r>
        <w:rPr>
          <w:noProof/>
        </w:rPr>
        <w:t>Decizia de punere în aplicare 2020/1088 a Consiliului</w:t>
      </w:r>
      <w:bookmarkEnd w:id="1"/>
      <w:r>
        <w:rPr>
          <w:noProof/>
        </w:rPr>
        <w:t xml:space="preserve"> din 22 iulie 2020</w:t>
      </w:r>
      <w:r>
        <w:rPr>
          <w:rStyle w:val="FootnoteReference"/>
          <w:noProof/>
        </w:rPr>
        <w:footnoteReference w:id="5"/>
      </w:r>
      <w:r>
        <w:rPr>
          <w:noProof/>
        </w:rPr>
        <w:t xml:space="preserve"> și prin Decizia de </w:t>
      </w:r>
      <w:r>
        <w:rPr>
          <w:noProof/>
        </w:rPr>
        <w:lastRenderedPageBreak/>
        <w:t>punere în aplicare (UE) 2023/2094 a Consiliului din 25 septembrie 2023</w:t>
      </w:r>
      <w:r>
        <w:rPr>
          <w:rStyle w:val="FootnoteReference"/>
          <w:noProof/>
        </w:rPr>
        <w:footnoteReference w:id="6"/>
      </w:r>
      <w:r>
        <w:rPr>
          <w:noProof/>
        </w:rPr>
        <w:t>. Decizia de punere în aplicare (UE) 2018/485 urmează să expire la 31 decembrie 2026.</w:t>
      </w:r>
    </w:p>
    <w:p>
      <w:pPr>
        <w:rPr>
          <w:rFonts w:eastAsia="Arial Unicode MS"/>
          <w:noProof/>
        </w:rPr>
      </w:pPr>
      <w:r>
        <w:rPr>
          <w:noProof/>
        </w:rPr>
        <w:t>În absența unei astfel de măsuri speciale, legislația daneză impune ca utilizarea în scopuri personale a unui astfel de vehicul înregistrat ca fiind destinat exclusiv unor scopuri profesionale să aibă drept consecință pierderea completă, de către persoana impozabilă, a dreptului de a deduce TVA din costul de achiziționare al vehiculului. Danemarca aplică o clauză de statu-quo în temeiul articolului 176 din Directiva TVA cu privire la deducerea TVA-ului aferent costurilor de achiziționare și funcționare ale vehiculelor utilitare ușoare cu o masă maximă autorizată de până la trei tone. Dacă o întreprindere înregistrează astfel de vehicule utilitare ușoare ca fiind destinate exclusiv unor scopuri profesionale, aceasta are dreptul de a deduce în totalitate TVA-ul aferent achiziționării vehiculelor și costurilor de funcționare. Pe de altă parte, o întreprindere care înregistrează un vehicul utilitar ușor ca fiind destinat utilizării atât în scopuri profesionale, cât și în scopuri personale nu are dreptul să deducă TVA-ul aferent costului de achiziție, dar poate deduce în totalitate TVA-ul pentru costurile de funcționare ale vehiculului.</w:t>
      </w:r>
    </w:p>
    <w:p>
      <w:pPr>
        <w:rPr>
          <w:rFonts w:eastAsia="Arial Unicode MS"/>
          <w:noProof/>
        </w:rPr>
      </w:pPr>
      <w:r>
        <w:rPr>
          <w:noProof/>
        </w:rPr>
        <w:t>Sistemul danez descris mai sus poate fi complicat și costisitor de administrat, atât pentru persoana impozabilă, cât și pentru administrația fiscală. Prin urmare, Danemarca a solicitat permisiunea de a aplica în continuare o procedură simplificată, acordată anterior prin Decizia de punere în aplicare (UE) 2018/485 a Consiliului, a cărei valabilitate a fost prelungită cel mai recent prin Decizia de punere în aplicare (UE) 2023/2094 a Consiliului.</w:t>
      </w:r>
    </w:p>
    <w:p>
      <w:pPr>
        <w:pBdr>
          <w:top w:val="nil"/>
          <w:left w:val="nil"/>
          <w:bottom w:val="nil"/>
          <w:right w:val="nil"/>
          <w:between w:val="nil"/>
          <w:bar w:val="nil"/>
        </w:pBdr>
        <w:spacing w:before="0" w:after="240"/>
        <w:rPr>
          <w:rFonts w:eastAsia="Arial Unicode MS"/>
          <w:noProof/>
        </w:rPr>
      </w:pPr>
      <w:r>
        <w:rPr>
          <w:noProof/>
        </w:rPr>
        <w:t>În conformitate cu articolul 75 din Directiva TVA, în cazul în care bunurile care fac parte din activele unei întreprinderi sunt utilizate în scopuri personale, baza de impozitare pentru stabilirea TVA-ului datorat este costul total aferent furnizării serviciilor suportat de persoana impozabilă. Sistemul forfetar din Danemarca poate fi utilizat de o persoană impozabilă timp de până la douăzeci de zile într-un an calendaristic. În cadrul acestui sistem, persoana impozabilă plătește o taxă pe zi pentru utilizarea în scopuri personale a vehiculului. Suma forfetară a TVA-ului care trebuie plătită pe zi pentru utilizarea vehiculului în scopuri personale este de 40 DKK și corespunde doar TVA-ului. După cum se prevede la articolul 3 din Decizia de punere în aplicare (UE) 2018/485 a Consiliului, Danemarca a prezentat, împreună cu cererea de prelungire, și un raport de reexaminare a măsurii, în special privind calculul sumei TVA-ului. Acest raport confirmă, pe baza datelor actualizate pentru anul 2024, că TVA-ul total estimat pe zi de utilizare în scopuri personale se ridică la aproximativ 40,3 DKK și că, prin urmare, cuantumul TVA-ului colectabil rămâne neschimbat, la 40 DKK pe zi. Această valoare a fost stabilită de guvernul danez pe baza analizei statisticilor naționale. Dacă persoana impozabilă ar utiliza vehiculul în scopuri personale mai mult de douăzeci de zile dintr-un an calendaristic, s-ar aplica normele de statu-quo, iar persoana impozabilă ar pierde în întregime dreptul de deducere a costurilor de achiziționare a vehiculului.</w:t>
      </w:r>
    </w:p>
    <w:p>
      <w:pPr>
        <w:rPr>
          <w:rFonts w:eastAsia="Arial Unicode MS"/>
          <w:noProof/>
        </w:rPr>
      </w:pPr>
      <w:r>
        <w:rPr>
          <w:noProof/>
        </w:rPr>
        <w:t>Autoritățile daneze au pus la punct un sistem electronic prin care persoanele impozabile pot plăti suma forfetară zilnică online sau printr-o aplicație mobilă. La momentul plății, persoana impozabilă primește un „bon valoric de o zi” care atestă plata TVA-ului. Autoritățile consideră că acest sistem simplifică obligațiile contabile atât pentru persoanele impozabile, cât și pentru autoritățile fiscale însărcinate cu perceperea și colectarea taxei.</w:t>
      </w:r>
    </w:p>
    <w:p>
      <w:pPr>
        <w:rPr>
          <w:rFonts w:eastAsia="Arial Unicode MS"/>
          <w:noProof/>
        </w:rPr>
      </w:pPr>
      <w:r>
        <w:rPr>
          <w:noProof/>
        </w:rPr>
        <w:lastRenderedPageBreak/>
        <w:t>Procedura simplificată este opțională. Prin urmare, persoanele impozabile ar putea în continuare să își înregistreze vehiculele utilitare ușoare atât în scopuri profesionale, cât și în scopuri personale, dacă această formulă se potrivește situației lor specifice.</w:t>
      </w:r>
    </w:p>
    <w:p>
      <w:pPr>
        <w:rPr>
          <w:rFonts w:eastAsia="Arial Unicode MS"/>
          <w:noProof/>
        </w:rPr>
      </w:pPr>
      <w:bookmarkStart w:id="2" w:name="_Hlk232171757"/>
      <w:r>
        <w:rPr>
          <w:noProof/>
        </w:rPr>
        <w:t xml:space="preserve">Conform autorităților daneze, astfel cum se precizează în raportul menționat anterior, procedura simplificată a funcționat foarte bine în ultimii ani și, prin urmare, se justifică aplicarea sa în continuare. Datele prezentate de Danemarca arată că, în 2023, 2024 și, respectiv, 2025, au fost vândute 37 600, 38 800 și 38 000 de bonuri valorice de o zi pentru suma de 225 DKK, din care 40 DKK reprezintă componenta de TVA care face obiectul prezentei măsuri. Restul acoperă o taxă separată în temeiul legislației naționale daneze. </w:t>
      </w:r>
      <w:bookmarkStart w:id="3" w:name="_Hlk232171678"/>
      <w:r>
        <w:rPr>
          <w:noProof/>
        </w:rPr>
        <w:t xml:space="preserve">Aceste date confirmă că măsura a fost adoptată de un număr stabil și semnificativ de persoane impozabile. </w:t>
      </w:r>
      <w:bookmarkEnd w:id="3"/>
    </w:p>
    <w:bookmarkEnd w:id="2"/>
    <w:p>
      <w:pPr>
        <w:rPr>
          <w:rFonts w:eastAsia="Arial Unicode MS"/>
          <w:noProof/>
        </w:rPr>
      </w:pPr>
      <w:r>
        <w:rPr>
          <w:noProof/>
        </w:rPr>
        <w:t>Prin urmare, este adecvat ca Danemarca să fie autorizată să continue aplicarea măsurii speciale până la 31 decembrie 2029.</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de politică deja existente în domeniul de politică vizat</w:t>
      </w:r>
    </w:p>
    <w:p>
      <w:pPr>
        <w:pBdr>
          <w:top w:val="nil"/>
          <w:left w:val="nil"/>
          <w:bottom w:val="nil"/>
          <w:right w:val="nil"/>
          <w:between w:val="nil"/>
          <w:bar w:val="nil"/>
        </w:pBdr>
        <w:spacing w:before="0" w:after="240"/>
        <w:rPr>
          <w:rFonts w:eastAsia="Arial Unicode MS"/>
          <w:noProof/>
        </w:rPr>
      </w:pPr>
      <w:r>
        <w:rPr>
          <w:noProof/>
        </w:rPr>
        <w:t>Conform articolului 176 din Directiva TVA, Consiliul stabilește cheltuielile pentru care TVA-uș nu este deductibil. Până atunci, el autorizează statele membre să mențină excluderile prevăzute de legislațiile lor naționale la 1 ianuarie 1979. Există așadar un număr de dispoziții de tip „statu-quo” care limitează dreptul de deducere în ceea ce privește autoturismele.</w:t>
      </w:r>
    </w:p>
    <w:p>
      <w:pPr>
        <w:pBdr>
          <w:top w:val="nil"/>
          <w:left w:val="nil"/>
          <w:bottom w:val="nil"/>
          <w:right w:val="nil"/>
          <w:between w:val="nil"/>
          <w:bar w:val="nil"/>
        </w:pBdr>
        <w:spacing w:before="0" w:after="240"/>
        <w:rPr>
          <w:rFonts w:eastAsia="Arial Unicode MS"/>
          <w:noProof/>
        </w:rPr>
      </w:pPr>
      <w:r>
        <w:rPr>
          <w:noProof/>
        </w:rPr>
        <w:t>În pofida inițiativelor anterioare de stabilire a unor reguli privind categoriile de cheltuieli care pot face obiectul limitării dreptului de deducere</w:t>
      </w:r>
      <w:r>
        <w:rPr>
          <w:rStyle w:val="FootnoteReference"/>
          <w:rFonts w:eastAsia="Arial Unicode MS"/>
          <w:noProof/>
        </w:rPr>
        <w:footnoteReference w:id="7"/>
      </w:r>
      <w:r>
        <w:rPr>
          <w:noProof/>
        </w:rPr>
        <w:t>, această măsură specială este adecvată în așteptarea unei armonizări a acestor reguli la nivelul UE.</w:t>
      </w:r>
    </w:p>
    <w:p>
      <w:pPr>
        <w:pStyle w:val="ManualHeading2"/>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before="0" w:after="240"/>
        <w:rPr>
          <w:rFonts w:eastAsia="Arial Unicode MS"/>
          <w:noProof/>
        </w:rPr>
      </w:pPr>
      <w:r>
        <w:rPr>
          <w:noProof/>
        </w:rPr>
        <w:t>Măsura specială este coerentă cu obiectivul mai larg al Uniunii de reducere a sarcinilor administrative pentru întreprinderi, în special pentru întreprinderile mici și mijlocii, urmărit în cadrul Agendei Comisiei pentru o mai bună reglementare</w:t>
      </w:r>
      <w:r>
        <w:rPr>
          <w:rStyle w:val="FootnoteReference"/>
          <w:rFonts w:eastAsia="Arial Unicode MS"/>
          <w:noProof/>
        </w:rPr>
        <w:footnoteReference w:id="8"/>
      </w:r>
      <w:r>
        <w:rPr>
          <w:noProof/>
        </w:rPr>
        <w:t>. Oferind un sistem opțional simplificat pentru calcularea bazei de impozitare pentru utilizarea ocazională în scopuri private a vehiculelor de serviciu, măsura reduce costurile de asigurare a conformității pentru persoanele impozabile și costurile administrative în sarcina autorităților fiscale, fără a afecta integritatea generală a sistemului de TVA.</w:t>
      </w:r>
    </w:p>
    <w:p>
      <w:pPr>
        <w:pBdr>
          <w:top w:val="nil"/>
          <w:left w:val="nil"/>
          <w:bottom w:val="nil"/>
          <w:right w:val="nil"/>
          <w:between w:val="nil"/>
          <w:bar w:val="nil"/>
        </w:pBdr>
        <w:spacing w:before="0" w:after="240"/>
        <w:rPr>
          <w:rFonts w:eastAsia="Arial Unicode MS"/>
          <w:noProof/>
        </w:rPr>
      </w:pPr>
      <w:r>
        <w:rPr>
          <w:noProof/>
        </w:rPr>
        <w:t>Măsura este, de asemenea, coerentă cu eforturile Uniunii de a reduce deficitul de încasare a TVA și de a combate evaziunea fiscală, deoarece oferă persoanelor impozabile un mecanism simplu și verificabil de contabilizare a TVA-ului datorat pentru utilizarea ocazională în scopuri personale a vehiculelor de serviciu, înlocuind o normă care, în practică, a creat stimulente pentru neconformitate.</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 juridic</w:t>
      </w:r>
    </w:p>
    <w:p>
      <w:pPr>
        <w:pBdr>
          <w:top w:val="nil"/>
          <w:left w:val="nil"/>
          <w:bottom w:val="nil"/>
          <w:right w:val="nil"/>
          <w:between w:val="nil"/>
          <w:bar w:val="nil"/>
        </w:pBdr>
        <w:spacing w:before="0" w:after="240"/>
        <w:rPr>
          <w:rFonts w:eastAsia="Arial Unicode MS"/>
          <w:noProof/>
        </w:rPr>
      </w:pPr>
      <w:r>
        <w:rPr>
          <w:noProof/>
        </w:rPr>
        <w:t>Articolul 395 din Directiva TVA.</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 xml:space="preserve">Subsidiaritatea (în cazul competențelor neexclusive) </w:t>
      </w:r>
    </w:p>
    <w:p>
      <w:pPr>
        <w:pBdr>
          <w:top w:val="nil"/>
          <w:left w:val="nil"/>
          <w:bottom w:val="nil"/>
          <w:right w:val="nil"/>
          <w:between w:val="nil"/>
          <w:bar w:val="nil"/>
        </w:pBdr>
        <w:spacing w:before="0" w:after="240"/>
        <w:rPr>
          <w:rFonts w:eastAsia="Arial Unicode MS"/>
          <w:noProof/>
        </w:rPr>
      </w:pPr>
      <w:r>
        <w:rPr>
          <w:noProof/>
        </w:rPr>
        <w:t>Având în vedere dispoziția din Directiva TVA pe care se întemeiază, propunerea intră în sfera competenței exclusive a Uniunii Europene. În consecință, principiul subsidiarității 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before="0" w:after="240"/>
        <w:rPr>
          <w:rFonts w:eastAsia="Arial Unicode MS"/>
          <w:noProof/>
        </w:rPr>
      </w:pPr>
      <w:r>
        <w:rPr>
          <w:noProof/>
        </w:rPr>
        <w:t xml:space="preserve">Decizia se referă la o autorizare acordată unui stat membru la solicitarea acestuia și nu constituie o obligație. </w:t>
      </w:r>
    </w:p>
    <w:p>
      <w:pPr>
        <w:pBdr>
          <w:top w:val="nil"/>
          <w:left w:val="nil"/>
          <w:bottom w:val="nil"/>
          <w:right w:val="nil"/>
          <w:between w:val="nil"/>
          <w:bar w:val="nil"/>
        </w:pBdr>
        <w:spacing w:before="0" w:after="240"/>
        <w:rPr>
          <w:rFonts w:eastAsia="Arial Unicode MS"/>
          <w:noProof/>
        </w:rPr>
      </w:pPr>
      <w:r>
        <w:rPr>
          <w:noProof/>
        </w:rPr>
        <w:t>Având în vedere domeniul său de aplicare limitat, măsura specială este proporțională cu obiectivul urmărit, și anume simplificarea obligațiilor în materie de TVA și a colectării TVA-ului, precum și combaterea evaziunii fiscale.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rFonts w:eastAsia="Arial Unicode MS"/>
          <w:noProof/>
        </w:rPr>
      </w:pPr>
      <w:r>
        <w:rPr>
          <w:noProof/>
        </w:rPr>
        <w:t>Instrumentul propus este o decizie de punere în aplicare a Consiliului.</w:t>
      </w:r>
    </w:p>
    <w:p>
      <w:pPr>
        <w:pBdr>
          <w:top w:val="nil"/>
          <w:left w:val="nil"/>
          <w:bottom w:val="nil"/>
          <w:right w:val="nil"/>
          <w:between w:val="nil"/>
          <w:bar w:val="nil"/>
        </w:pBdr>
        <w:spacing w:before="0" w:after="240"/>
        <w:rPr>
          <w:rFonts w:eastAsia="Arial Unicode MS"/>
          <w:noProof/>
        </w:rPr>
      </w:pPr>
      <w:r>
        <w:rPr>
          <w:noProof/>
        </w:rPr>
        <w:t>În conformitate cu articolul 395 din Directiva TVA, derogarea de la normele comune în materie de TVA este posibilă numai cu autorizarea Consiliului, hotărând în unanimitate la propunerea Comisiei. O decizie de punere în aplicare a Consiliului este cel mai adecvat instrument, deoarece poate fi adresată statelor membre în mod individual.</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Evaluările ex post/verificarea adecvării legislației existente</w:t>
      </w:r>
    </w:p>
    <w:p>
      <w:pPr>
        <w:pBdr>
          <w:top w:val="nil"/>
          <w:left w:val="nil"/>
          <w:bottom w:val="nil"/>
          <w:right w:val="nil"/>
          <w:between w:val="nil"/>
          <w:bar w:val="nil"/>
        </w:pBdr>
        <w:spacing w:before="0" w:after="240"/>
        <w:rPr>
          <w:rFonts w:eastAsia="Arial Unicode MS"/>
          <w:noProof/>
        </w:rPr>
      </w:pPr>
      <w:r>
        <w:rPr>
          <w:noProof/>
        </w:rPr>
        <w:t>Nu a fost efectuată nicio evaluare ex post sau verificare a adecvării în legătură cu prezenta propunere. Măsura reprezintă o derogare individuală de la Directiva TVA adresată unui singur stat membru pe baza propriei cereri și nu constituie un act legislativ orizontal al Uniunii care poate face obiectul unei verificări a adecvării. Reexaminarea măsurii este asigurată, în schimb, prin mecanismul clauzei de limitare în timp integrat chiar în decizia de autorizare, care impune Danemarcei să prezinte un raport de reexaminare a măsurii, împreună cu orice cerere de prelungire suplimentară.</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pBdr>
          <w:top w:val="nil"/>
          <w:left w:val="nil"/>
          <w:bottom w:val="nil"/>
          <w:right w:val="nil"/>
          <w:between w:val="nil"/>
          <w:bar w:val="nil"/>
        </w:pBdr>
        <w:spacing w:before="0" w:after="240"/>
        <w:rPr>
          <w:rFonts w:eastAsia="Arial Unicode MS"/>
          <w:noProof/>
        </w:rPr>
      </w:pPr>
      <w:bookmarkStart w:id="4" w:name="_Hlk228289670"/>
      <w:r>
        <w:rPr>
          <w:noProof/>
        </w:rPr>
        <w:t>Nu s-a efectuat o consultare cu părțile interesate. Prezenta propunere se bazează pe o cerere depusă de Danemarca și privește numai acest stat membru.</w:t>
      </w:r>
    </w:p>
    <w:bookmarkEnd w:id="4"/>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rFonts w:eastAsia="Arial Unicode MS"/>
          <w:noProof/>
        </w:rPr>
      </w:pPr>
      <w:r>
        <w:rPr>
          <w:noProof/>
        </w:rPr>
        <w:t>Nu a fost necesar să se recurgă la cunoștințe de specialitate externe.</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pBdr>
          <w:top w:val="nil"/>
          <w:left w:val="nil"/>
          <w:bottom w:val="nil"/>
          <w:right w:val="nil"/>
          <w:between w:val="nil"/>
          <w:bar w:val="nil"/>
        </w:pBdr>
        <w:spacing w:before="0" w:after="240"/>
        <w:rPr>
          <w:rFonts w:eastAsia="Arial Unicode MS"/>
          <w:noProof/>
        </w:rPr>
      </w:pPr>
      <w:r>
        <w:rPr>
          <w:noProof/>
        </w:rPr>
        <w:t>Propunerea vizează combaterea evaziunii în domeniul TVA și simplificarea procedurii de impozitare, având așadar un potențial impact pozitiv deopotrivă pentru întreprinderi și pentru administrații. Această soluție a fost identificată de Danemarca ca fiind o măsură adecvată. Danemarca a prezentat un raport de reexaminare a măsurii, conform căruia procedura simplificată a funcționat foarte bine în ultimii ani, justificându-se așadar aplicarea sa în continuare.</w:t>
      </w:r>
    </w:p>
    <w:p>
      <w:pPr>
        <w:pBdr>
          <w:top w:val="nil"/>
          <w:left w:val="nil"/>
          <w:bottom w:val="nil"/>
          <w:right w:val="nil"/>
          <w:between w:val="nil"/>
          <w:bar w:val="nil"/>
        </w:pBdr>
        <w:spacing w:before="0" w:after="240"/>
        <w:rPr>
          <w:rFonts w:eastAsia="Arial Unicode MS"/>
          <w:noProof/>
        </w:rPr>
      </w:pPr>
      <w:r>
        <w:rPr>
          <w:noProof/>
        </w:rPr>
        <w:lastRenderedPageBreak/>
        <w:t xml:space="preserve"> Conform datelor prezentate de Danemarca, procedura simplificată a funcționat foarte bine în ultimii ani. Numărul bonurilor valorice de o zi vândute confirmă faptul că măsura a fost adoptată de un număr stabil și semnificativ de persoane impozabile și, prin urmare, există motive întemeiate pentru a continua o astfel de procedură.</w:t>
      </w:r>
    </w:p>
    <w:p>
      <w:pPr>
        <w:pStyle w:val="ManualHeading2"/>
        <w:rPr>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rFonts w:eastAsia="Arial Unicode MS"/>
          <w:noProof/>
        </w:rPr>
      </w:pPr>
      <w:r>
        <w:rPr>
          <w:noProof/>
        </w:rPr>
        <w:t>Propunerea este o derogare individuală adresată unui singur stat membru pe baza propriei cereri, iar domeniul său de aplicare este limitat la o categorie specifică de persoane impozabile din Danemarca.</w:t>
      </w:r>
    </w:p>
    <w:p>
      <w:pPr>
        <w:pBdr>
          <w:top w:val="nil"/>
          <w:left w:val="nil"/>
          <w:bottom w:val="nil"/>
          <w:right w:val="nil"/>
          <w:between w:val="nil"/>
          <w:bar w:val="nil"/>
        </w:pBdr>
        <w:spacing w:before="0" w:after="240"/>
        <w:rPr>
          <w:rFonts w:eastAsia="Arial Unicode MS"/>
          <w:noProof/>
        </w:rPr>
      </w:pPr>
      <w:r>
        <w:rPr>
          <w:noProof/>
        </w:rPr>
        <w:t>Cu toate acestea, la nivel național, măsura are un scop de simplificare. Aceasta oferă o rată forfetară zilnică opțională ca alternativă la un calcul mai complex al ajustării TVA-lui pentru persoanele impozabile care utilizează ocazional în scopuri personale un vehicul utilitar ușor înregistrat ca fiind destinat exclusiv unor scopuri profesionale, reducând astfel costurile lor de asigurare a conformității și sarcina administrativă pentru administrația fiscală daneză. Deoarece regimul este opțional, nicio persoană impozabilă nu are nicio obligație suplimentară ca urmare a prezentei decizii.</w:t>
      </w:r>
    </w:p>
    <w:p>
      <w:pPr>
        <w:pBdr>
          <w:top w:val="nil"/>
          <w:left w:val="nil"/>
          <w:bottom w:val="nil"/>
          <w:right w:val="nil"/>
          <w:between w:val="nil"/>
          <w:bar w:val="nil"/>
        </w:pBdr>
        <w:spacing w:before="0" w:after="240"/>
        <w:rPr>
          <w:rFonts w:eastAsia="Arial Unicode MS"/>
          <w:noProof/>
        </w:rPr>
      </w:pPr>
      <w:r>
        <w:rPr>
          <w:noProof/>
        </w:rPr>
        <w:t>Este probabil ca măsura să fie deosebit de benefică pentru întreprinderile mici și mijlocii și pentru întreprinderile profesionale unipersonale, care operează, de regulă, vehicule utilitare ușoare de acest tip și care beneficiază cel mai mult de o procedură contabilă simplificată.</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pBdr>
          <w:top w:val="nil"/>
          <w:left w:val="nil"/>
          <w:bottom w:val="nil"/>
          <w:right w:val="nil"/>
          <w:between w:val="nil"/>
          <w:bar w:val="nil"/>
        </w:pBdr>
        <w:spacing w:before="0" w:after="240"/>
        <w:rPr>
          <w:rFonts w:eastAsia="Arial Unicode MS"/>
          <w:noProof/>
        </w:rPr>
      </w:pPr>
      <w:r>
        <w:rPr>
          <w:noProof/>
        </w:rPr>
        <w:t>Propunerea nu are consecințe asupra protecției drepturilor fundamentale.</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Măsura nu va avea niciun impact negativ asupra resurselor proprii ale Uniunii provenite din TVA.</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pBdr>
          <w:top w:val="nil"/>
          <w:left w:val="nil"/>
          <w:bottom w:val="nil"/>
          <w:right w:val="nil"/>
          <w:between w:val="nil"/>
          <w:bar w:val="nil"/>
        </w:pBdr>
        <w:spacing w:before="0" w:after="240"/>
        <w:rPr>
          <w:rFonts w:eastAsia="Arial Unicode MS"/>
          <w:noProof/>
        </w:rPr>
      </w:pPr>
      <w:r>
        <w:rPr>
          <w:noProof/>
        </w:rPr>
        <w:t>Propunerea include o clauză de limitare în timp, măsurile expirând automat la 31 decembrie 2029.</w:t>
      </w:r>
    </w:p>
    <w:p>
      <w:pPr>
        <w:pBdr>
          <w:top w:val="nil"/>
          <w:left w:val="nil"/>
          <w:bottom w:val="nil"/>
          <w:right w:val="nil"/>
          <w:between w:val="nil"/>
          <w:bar w:val="nil"/>
        </w:pBdr>
        <w:spacing w:before="0" w:after="240"/>
        <w:rPr>
          <w:rFonts w:eastAsia="Arial Unicode MS"/>
          <w:noProof/>
        </w:rPr>
      </w:pPr>
      <w:r>
        <w:rPr>
          <w:noProof/>
        </w:rPr>
        <w:t>În cazul în care Danemarca va avea în vedere solicitarea unei noi prelungiri a măsurii speciale după data de 31 decembrie 2029, ea va trebui să transmită Comisiei un raport care să includă reexaminarea măsurii, împreună cu cererea de prelungire, până la 31 martie 2029 cel târziu.</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jc w:val="center"/>
        <w:rPr>
          <w:noProof/>
        </w:rPr>
      </w:pPr>
      <w:r>
        <w:rPr>
          <w:i/>
          <w:noProof/>
        </w:rPr>
        <w:t>Articolul 1</w:t>
      </w:r>
    </w:p>
    <w:p>
      <w:pPr>
        <w:rPr>
          <w:noProof/>
        </w:rPr>
      </w:pPr>
      <w:r>
        <w:rPr>
          <w:noProof/>
        </w:rPr>
        <w:t xml:space="preserve">Articolul 1 modifică articolul 3 din Decizia de punere în aplicare (UE) 2018/485 a Consiliului, care conține domeniul de aplicare temporal al autorizației. La articolul 3, al doilea și al treilea paragraf se înlocuiesc pentru a se prelungi perioada de aplicare a măsurii speciale de la 31 decembrie 2026 la 31 decembrie 2029 și pentru a se stabili un nou termen, și anume 31 martie 2029, până la care Danemarca trebuie să prezinte orice nouă cerere de prelungire, însoțită de un raport de reexaminare a măsurii. Aceasta este singura modificare de fond adusă Deciziei (UE) 2018/485. Conținutul măsurii de derogare în sine, astfel cum este prevăzut la </w:t>
      </w:r>
      <w:r>
        <w:rPr>
          <w:noProof/>
        </w:rPr>
        <w:lastRenderedPageBreak/>
        <w:t>articolele 1 și 2 din decizia respectivă, rămâne neschimbat. În special, sunt menținute suma forfetară de 40 DKK pe zi, pragul de greutate a vehiculului de trei tone și limita maximă de 20 de zile de utilizare în scopuri private pe an calendaristic.</w:t>
      </w:r>
    </w:p>
    <w:p>
      <w:pPr>
        <w:jc w:val="center"/>
        <w:rPr>
          <w:noProof/>
        </w:rPr>
      </w:pPr>
      <w:r>
        <w:rPr>
          <w:i/>
          <w:noProof/>
        </w:rPr>
        <w:t>Articolul 2</w:t>
      </w:r>
    </w:p>
    <w:p>
      <w:pPr>
        <w:rPr>
          <w:noProof/>
        </w:rPr>
      </w:pPr>
      <w:r>
        <w:rPr>
          <w:noProof/>
        </w:rPr>
        <w:t>Articolul 2 prevede că decizia produce efecte de la data la care este notificată Danemarcei. Aceasta este dispoziția standard de intrare în vigoare pentru deciziile de punere în aplicare ale Consiliului adresate fiecărui stat membru în temeiul articolului 395 din Directiva TVA și reflectă dispoziția echivalentă din fiecare dintre deciziile anterioare de autorizare a acestei măsuri.</w:t>
      </w:r>
    </w:p>
    <w:p>
      <w:pPr>
        <w:jc w:val="center"/>
        <w:rPr>
          <w:noProof/>
        </w:rPr>
      </w:pPr>
      <w:r>
        <w:rPr>
          <w:i/>
          <w:noProof/>
        </w:rPr>
        <w:t>Articolul 3</w:t>
      </w:r>
    </w:p>
    <w:p>
      <w:pPr>
        <w:rPr>
          <w:noProof/>
        </w:rPr>
      </w:pPr>
      <w:r>
        <w:rPr>
          <w:noProof/>
        </w:rPr>
        <w:t>Articolul 3 identifică destinatarul deciziei ca fiind Regatul Danemarcei, în conformitate cu articolul 395 alineatul (1) din Directiva TVA, care impune ca derogările să fie adresate statului membru specific solicitant.</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2026/0255 (NLE)</w:t>
      </w:r>
    </w:p>
    <w:p>
      <w:pPr>
        <w:pStyle w:val="Statut"/>
        <w:rPr>
          <w:noProof/>
        </w:rPr>
      </w:pPr>
      <w:r>
        <w:rPr>
          <w:noProof/>
        </w:rPr>
        <w:t>Propunere de</w:t>
      </w:r>
    </w:p>
    <w:p>
      <w:pPr>
        <w:pStyle w:val="Typedudocument"/>
        <w:rPr>
          <w:noProof/>
        </w:rPr>
      </w:pPr>
      <w:r>
        <w:rPr>
          <w:noProof/>
        </w:rPr>
        <w:t>DECIZIE DE PUNERE ÎN APLICARE A CONSILIULUI</w:t>
      </w:r>
    </w:p>
    <w:p>
      <w:pPr>
        <w:pStyle w:val="Titreobjet"/>
        <w:rPr>
          <w:noProof/>
        </w:rPr>
      </w:pPr>
      <w:r>
        <w:rPr>
          <w:noProof/>
        </w:rPr>
        <w:t>de modificare a Deciziei de punere în aplicare (UE) 2018/485 în ceea ce privește prelungirea autorizării acordate Danemarcei de a aplica o măsură specială de derogare de la articolul 75 din Directiva 2006/112/CE privind sistemul comun al taxei pe valoarea adăugată</w:t>
      </w:r>
    </w:p>
    <w:p>
      <w:pPr>
        <w:pStyle w:val="Institutionquiagit"/>
        <w:rPr>
          <w:noProof/>
        </w:rPr>
      </w:pPr>
      <w:r>
        <w:rPr>
          <w:noProof/>
        </w:rPr>
        <w:t>CONSILIUL UNIUNII EUROPENE,</w:t>
      </w:r>
    </w:p>
    <w:p>
      <w:pPr>
        <w:rPr>
          <w:noProof/>
        </w:rPr>
      </w:pPr>
      <w:r>
        <w:rPr>
          <w:noProof/>
        </w:rPr>
        <w:t xml:space="preserve">având în vedere Tratatul privind funcționarea Uniunii Europene, </w:t>
      </w:r>
    </w:p>
    <w:p>
      <w:pPr>
        <w:rPr>
          <w:noProof/>
        </w:rPr>
      </w:pPr>
      <w:r>
        <w:rPr>
          <w:noProof/>
        </w:rPr>
        <w:t>având în vedere Directiva 2006/112/CE a Consiliului din 28 noiembrie 2006 privind sistemul comun al taxei pe valoarea adăugată</w:t>
      </w:r>
      <w:r>
        <w:rPr>
          <w:rStyle w:val="FootnoteReference"/>
          <w:noProof/>
        </w:rPr>
        <w:footnoteReference w:id="9"/>
      </w:r>
      <w:r>
        <w:rPr>
          <w:noProof/>
        </w:rPr>
        <w:t>, în special articolul 395 alineatul (1) primul paragraf,</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Prin Decizia de punere în aplicare (UE) 2018/485 a Consiliului</w:t>
      </w:r>
      <w:r>
        <w:rPr>
          <w:rStyle w:val="FootnoteReference"/>
          <w:noProof/>
        </w:rPr>
        <w:footnoteReference w:id="10"/>
      </w:r>
      <w:r>
        <w:rPr>
          <w:noProof/>
        </w:rPr>
        <w:t>, Danemarca a fost autorizată să aplice o măsură specială de derogare de la articolul 75 din Directiva 2006/112/CE (denumită în continuare „măsura specială”) pentru a aplica un regim forfetar pentru utilizarea în scopuri personale a vehiculelor utilitare ușoare cu o masă totală maximă autorizată de trei tone care au fost înregistrate pentru a fi utilizate exclusiv în scopuri profesionale. Măsura specială autorizată prin Decizia de punere în aplicare (UE) 2018/485 urmează să expire la 31 decembrie 2026.</w:t>
      </w:r>
    </w:p>
    <w:p>
      <w:pPr>
        <w:pStyle w:val="ManualConsidrant"/>
        <w:rPr>
          <w:noProof/>
        </w:rPr>
      </w:pPr>
      <w:r>
        <w:rPr>
          <w:noProof/>
        </w:rPr>
        <w:t>(2)</w:t>
      </w:r>
      <w:r>
        <w:rPr>
          <w:noProof/>
        </w:rPr>
        <w:tab/>
        <w:t>Prin scrisoarea înregistrată de Comisie la 31 martie 2026, Danemarca a solicitat, în conformitate cu articolul 395 alineatul (2) primul paragraf din Directiva 2006/112/CE, autorizarea de a continua să aplice măsura specială după data de 31 decembrie 2026.</w:t>
      </w:r>
    </w:p>
    <w:p>
      <w:pPr>
        <w:pStyle w:val="ManualConsidrant"/>
        <w:rPr>
          <w:noProof/>
        </w:rPr>
      </w:pPr>
      <w:r>
        <w:rPr>
          <w:noProof/>
        </w:rPr>
        <w:t>(3)</w:t>
      </w:r>
      <w:r>
        <w:rPr>
          <w:noProof/>
        </w:rPr>
        <w:tab/>
        <w:t>Prin scrisorile din 24 iulie 2026, Comisia a transmis cererea înaintată de Danemarca celorlalte state membre, în conformitate cu articolul 395 alineatul (2) al doilea paragraf din Directiva 2006/112/CE. Prin scrisoarea din 29 iulie 2026, Comisia a notificat Danemarcei faptul că deține toate informațiile necesare pentru a analiza cererea.</w:t>
      </w:r>
    </w:p>
    <w:p>
      <w:pPr>
        <w:pStyle w:val="ManualConsidrant"/>
        <w:rPr>
          <w:noProof/>
        </w:rPr>
      </w:pPr>
      <w:r>
        <w:rPr>
          <w:noProof/>
        </w:rPr>
        <w:t>(4)</w:t>
      </w:r>
      <w:r>
        <w:rPr>
          <w:noProof/>
        </w:rPr>
        <w:tab/>
      </w:r>
      <w:bookmarkStart w:id="5" w:name="_Hlk138758391"/>
      <w:r>
        <w:rPr>
          <w:noProof/>
        </w:rPr>
        <w:t>Continuarea aplicării măsurii speciale ar permite persoanelor impozabile care au înregistrat un vehicul ca fiind destinat exclusiv scopurilor profesionale să folosească vehiculul pentru scopuri personale și să calculeze baza de impozitare corespunzătoare operațiunii asimilate unei prestări de servicii în conformitate cu articolul 75 din Directiva 2006/112/CE aplicând o rată forfetară zilnică și evitând astfel pierderea dreptului de a deduce TVA-ul achitat pentru costul de achiziționare a vehiculului.</w:t>
      </w:r>
    </w:p>
    <w:bookmarkEnd w:id="5"/>
    <w:p>
      <w:pPr>
        <w:pStyle w:val="ManualConsidrant"/>
        <w:rPr>
          <w:noProof/>
        </w:rPr>
      </w:pPr>
      <w:r>
        <w:rPr>
          <w:noProof/>
        </w:rPr>
        <w:t>(5)</w:t>
      </w:r>
      <w:r>
        <w:rPr>
          <w:noProof/>
        </w:rPr>
        <w:tab/>
        <w:t>Această metodă de calcul simplificată ar trebui să fie limitată totuși la 20 de zile de utilizare în scopuri personale pentru fiecare an calendaristic.</w:t>
      </w:r>
    </w:p>
    <w:p>
      <w:pPr>
        <w:pStyle w:val="ManualConsidrant"/>
        <w:rPr>
          <w:noProof/>
        </w:rPr>
      </w:pPr>
      <w:r>
        <w:rPr>
          <w:noProof/>
        </w:rPr>
        <w:lastRenderedPageBreak/>
        <w:t>(6)</w:t>
      </w:r>
      <w:r>
        <w:rPr>
          <w:noProof/>
        </w:rPr>
        <w:tab/>
        <w:t>Conform informațiilor furnizate de Danemarca în cererea sa, situația de fapt care justifică aplicarea măsurii speciale nu s-a schimbat. Danemarca a prezentat Comisiei, împreună cu cererea sa, un raport de revizuire a sumei forfetare care să fie plătită pe zi pentru utilizarea în scopuri personale a unui vehicul înregistrat pentru a fi utilizat exclusiv în scopuri profesionale. În raportul respectiv, Danemarca confirmă, pe baza datelor actualizate pentru anul 2024, că TVA-ul total estimat pe zi de utilizare în scopuri personale se ridică la aproximativ 40,3 DKK și că, prin urmare, cuantumul TVA-ului perceput pe zi rămâne neschimbat, și anume 40 DKK.</w:t>
      </w:r>
    </w:p>
    <w:p>
      <w:pPr>
        <w:pStyle w:val="ManualConsidrant"/>
        <w:rPr>
          <w:noProof/>
        </w:rPr>
      </w:pPr>
      <w:r>
        <w:rPr>
          <w:noProof/>
        </w:rPr>
        <w:t>(7)</w:t>
      </w:r>
      <w:r>
        <w:rPr>
          <w:noProof/>
        </w:rPr>
        <w:tab/>
        <w:t>Danemarca indică, de asemenea, în raportul său, că măsura specială a funcționat foarte bine în ultimii ani și că datele pentru 2023, 2024 și 2025 arată că au fost vândute 37 600, 38 800 și, respectiv, 38 000 de bonuri valorice de o zi și că măsura specială urmărește să simplifice obligațiile în materie de TVA ale persoanelor impozabile care utilizează ocazional în scopuri personale vehicule înregistrate pentru a fi utilizate exclusiv în scopuri profesionale, simplificând astfel procedura de colectare a TVA. Cu toate acestea, persoanele impozabile ar avea în continuare posibilitatea să opteze pentru a înregistra un vehicul utilitar ușor ca fiind destinat utilizării atât în scopuri profesionale, cât și în scopuri personale. Acționând astfel, persoana impozabilă ar pierde dreptul de a deduce integral TVA-ul achitat pentru costul de achiziționare a vehiculului, însă nu ar trebui să plătească taxa sub forma unei rate zilnice pentru utilizarea vehiculului în scopuri personale.</w:t>
      </w:r>
    </w:p>
    <w:p>
      <w:pPr>
        <w:pStyle w:val="ManualConsidrant"/>
        <w:rPr>
          <w:noProof/>
        </w:rPr>
      </w:pPr>
      <w:r>
        <w:rPr>
          <w:noProof/>
        </w:rPr>
        <w:t>(8)</w:t>
      </w:r>
      <w:r>
        <w:rPr>
          <w:noProof/>
        </w:rPr>
        <w:tab/>
        <w:t>Autorizarea măsurii speciale nu privează persoanele impozabile de dreptul de a deduce complet TVA-ul achitat anterior pentru un vehicul înregistrat pentru a fi utilizat exclusiv în scopuri profesionale care este utilizat ocazional în scopuri personale și este în concordanță cu normele generale în materie de deducere prevăzute în Directiva 2006/112/CE.</w:t>
      </w:r>
    </w:p>
    <w:p>
      <w:pPr>
        <w:pStyle w:val="ManualConsidrant"/>
        <w:rPr>
          <w:noProof/>
        </w:rPr>
      </w:pPr>
      <w:r>
        <w:rPr>
          <w:noProof/>
        </w:rPr>
        <w:t>(9)</w:t>
      </w:r>
      <w:r>
        <w:rPr>
          <w:noProof/>
        </w:rPr>
        <w:tab/>
        <w:t>Prin urmare, este oportun să se prelungească aplicarea măsurii speciale. Prelungirea respectivă ar trebui să fie limitată în timp pentru a permite Comisiei să evalueze eficacitatea și caracterul adecvat al măsurii speciale. Prin urmare, autorizarea măsurii speciale ar trebui să expire la 31 decembrie 2029.</w:t>
      </w:r>
    </w:p>
    <w:p>
      <w:pPr>
        <w:pStyle w:val="ManualConsidrant"/>
        <w:rPr>
          <w:noProof/>
        </w:rPr>
      </w:pPr>
      <w:r>
        <w:rPr>
          <w:noProof/>
        </w:rPr>
        <w:t>(10)</w:t>
      </w:r>
      <w:r>
        <w:rPr>
          <w:noProof/>
        </w:rPr>
        <w:tab/>
        <w:t>În cazul în care solicită o nouă prelungire a măsurii speciale după data de 31 decembrie 2029, Danemarca ar trebui să transmită Comisiei un raport, împreună cu cererea sa de prelungire, până la 31 martie 2029.</w:t>
      </w:r>
    </w:p>
    <w:p>
      <w:pPr>
        <w:pStyle w:val="ManualConsidrant"/>
        <w:rPr>
          <w:noProof/>
        </w:rPr>
      </w:pPr>
      <w:r>
        <w:rPr>
          <w:noProof/>
        </w:rPr>
        <w:t>(11)</w:t>
      </w:r>
      <w:r>
        <w:rPr>
          <w:noProof/>
        </w:rPr>
        <w:tab/>
        <w:t>Conform informațiilor furnizate de Danemarca, măsura specială va avea doar un efect neglijabil asupra cuantumului global al veniturilor din impozite pe care Danemarca le colectează în etapa de consum final și nu va avea niciun impact negativ asupra resurselor proprii ale Uniunii care provin din TVA.</w:t>
      </w:r>
    </w:p>
    <w:p>
      <w:pPr>
        <w:pStyle w:val="ManualConsidrant"/>
        <w:rPr>
          <w:noProof/>
        </w:rPr>
      </w:pPr>
      <w:r>
        <w:rPr>
          <w:noProof/>
        </w:rPr>
        <w:t>(12)</w:t>
      </w:r>
      <w:r>
        <w:rPr>
          <w:noProof/>
        </w:rPr>
        <w:tab/>
        <w:t>Prin urmare, Decizia de punere în aplicare (UE) 2018/485 ar trebui să fie modificată în consecință,</w:t>
      </w:r>
    </w:p>
    <w:p>
      <w:pPr>
        <w:pStyle w:val="Formuledadoption"/>
        <w:rPr>
          <w:noProof/>
        </w:rPr>
      </w:pPr>
      <w:r>
        <w:rPr>
          <w:noProof/>
        </w:rPr>
        <w:t>ADOPTĂ PREZENTA DECIZIE:</w:t>
      </w:r>
    </w:p>
    <w:p>
      <w:pPr>
        <w:pStyle w:val="Titrearticle"/>
        <w:rPr>
          <w:noProof/>
        </w:rPr>
      </w:pPr>
      <w:r>
        <w:rPr>
          <w:noProof/>
        </w:rPr>
        <w:t>Articolul 1</w:t>
      </w:r>
    </w:p>
    <w:p>
      <w:pPr>
        <w:rPr>
          <w:noProof/>
        </w:rPr>
      </w:pPr>
      <w:r>
        <w:rPr>
          <w:noProof/>
        </w:rPr>
        <w:t>La articolul 3 din Decizia de punere în aplicare (UE) 2018/485, al doilea și al treilea paragraf se înlocuiesc cu următorul text:</w:t>
      </w:r>
    </w:p>
    <w:p>
      <w:pPr>
        <w:rPr>
          <w:noProof/>
        </w:rPr>
      </w:pPr>
      <w:r>
        <w:rPr>
          <w:noProof/>
        </w:rPr>
        <w:t>„Se aplică de la 1 ianuarie 2018 până la 31 decembrie 2029.</w:t>
      </w:r>
    </w:p>
    <w:p>
      <w:pPr>
        <w:rPr>
          <w:noProof/>
        </w:rPr>
      </w:pPr>
      <w:r>
        <w:rPr>
          <w:noProof/>
        </w:rPr>
        <w:t>Orice cerere de prelungire a măsurii prevăzute în prezenta decizie se transmite Comisiei până la 31 martie 2029 și trebuie să fie însoțită de un raport care include o reexaminare a măsurii.”</w:t>
      </w:r>
    </w:p>
    <w:p>
      <w:pPr>
        <w:pStyle w:val="Titrearticle"/>
        <w:rPr>
          <w:noProof/>
        </w:rPr>
      </w:pPr>
      <w:r>
        <w:rPr>
          <w:noProof/>
        </w:rPr>
        <w:lastRenderedPageBreak/>
        <w:t>Articolul 2</w:t>
      </w:r>
    </w:p>
    <w:p>
      <w:pPr>
        <w:keepNext/>
        <w:keepLines/>
        <w:rPr>
          <w:noProof/>
        </w:rPr>
      </w:pPr>
      <w:r>
        <w:rPr>
          <w:noProof/>
        </w:rPr>
        <w:t>Prezenta decizie produce efecte de la data notificării.</w:t>
      </w:r>
    </w:p>
    <w:p>
      <w:pPr>
        <w:pStyle w:val="Titrearticle"/>
        <w:rPr>
          <w:noProof/>
        </w:rPr>
      </w:pPr>
      <w:r>
        <w:rPr>
          <w:noProof/>
        </w:rPr>
        <w:t>Articolul 3</w:t>
      </w:r>
    </w:p>
    <w:p>
      <w:pPr>
        <w:keepNext/>
        <w:keepLines/>
        <w:rPr>
          <w:noProof/>
        </w:rPr>
      </w:pPr>
      <w:r>
        <w:rPr>
          <w:noProof/>
          <w:color w:val="000000"/>
        </w:rPr>
        <w:t>Prezenta decizie se adresează Regatului Danemarcei.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347, 11.12.2006, p. 1.</w:t>
      </w:r>
    </w:p>
  </w:footnote>
  <w:footnote w:id="2">
    <w:p>
      <w:pPr>
        <w:pStyle w:val="FootnoteText"/>
      </w:pPr>
      <w:r>
        <w:rPr>
          <w:rStyle w:val="FootnoteReference"/>
        </w:rPr>
        <w:footnoteRef/>
      </w:r>
      <w:r>
        <w:tab/>
        <w:t>Decizia de punere în aplicare (UE) 2018/485 a Consiliului din 19 martie 2018 de autorizare a Danemarcei să aplice o măsură specială de derogare de la articolul 75 din Directiva 2006/112/CE privind sistemul comun al taxei pe valoarea adăugată (JO L 81, 23.3.2018, p. 13), modificată prin Decizia de punere în aplicare (UE) 2020/1088 a Consiliului din 22 iulie 2020 (JO L 239, 24.7.2020, p. 14).</w:t>
      </w:r>
    </w:p>
  </w:footnote>
  <w:footnote w:id="3">
    <w:p>
      <w:pPr>
        <w:pStyle w:val="FootnoteText"/>
      </w:pPr>
      <w:r>
        <w:rPr>
          <w:rStyle w:val="FootnoteReference"/>
        </w:rPr>
        <w:footnoteRef/>
      </w:r>
      <w:r>
        <w:tab/>
        <w:t>Decizia de punere în aplicare a Consiliului din 24 iulie 2012 de autorizare a Danemarcei să introducă o măsură specială de derogare de la articolul 75 din Directiva 2006/112/CE privind sistemul comun al taxei pe valoarea adăugată (JO L 202, 28.7.2012, p. 24).</w:t>
      </w:r>
    </w:p>
  </w:footnote>
  <w:footnote w:id="4">
    <w:p>
      <w:pPr>
        <w:pStyle w:val="FootnoteText"/>
      </w:pPr>
      <w:r>
        <w:rPr>
          <w:rStyle w:val="FootnoteReference"/>
        </w:rPr>
        <w:footnoteRef/>
      </w:r>
      <w:r>
        <w:tab/>
        <w:t xml:space="preserve">Decizia de punere în aplicare (UE) 2015/992 a Consiliului din 19 iunie 2015 prin care Danemarca este autorizată să introducă o măsură specială de derogare de la articolul 75 din Directiva 2006/112/CE privind sistemul comun al taxei pe valoarea adăugată (JO L 159, 25.6.2015, p. 66). </w:t>
      </w:r>
    </w:p>
  </w:footnote>
  <w:footnote w:id="5">
    <w:p>
      <w:pPr>
        <w:pStyle w:val="FootnoteText"/>
      </w:pPr>
      <w:r>
        <w:rPr>
          <w:rStyle w:val="FootnoteReference"/>
        </w:rPr>
        <w:footnoteRef/>
      </w:r>
      <w:r>
        <w:tab/>
        <w:t>Decizia de punere în aplicare (UE) 2020/1088 a Consiliului din 22 iulie 2020 de modificare a Deciziei de punere în aplicare (UE) 2018/485 de autorizare a Danemarcei să aplice o măsură specială de derogare de la articolul 75 din Directiva 2006/112/CE privind sistemul comun al taxei pe valoarea adăugată (JO L 239, 24.7.2020, p. 14).</w:t>
      </w:r>
    </w:p>
  </w:footnote>
  <w:footnote w:id="6">
    <w:p>
      <w:pPr>
        <w:pStyle w:val="FootnoteText"/>
      </w:pPr>
      <w:r>
        <w:rPr>
          <w:rStyle w:val="FootnoteReference"/>
        </w:rPr>
        <w:footnoteRef/>
      </w:r>
      <w:r>
        <w:tab/>
        <w:t>Decizia de punere în aplicare (UE) 2023/2094 a Consiliului din 25 septembrie 2023 de modificare a Deciziei de punere în aplicare (UE) 2018/485 în ceea ce privește prelungirea autorizării acordate Danemarcei de a aplica o măsură specială de derogare de la articolul 75 din Directiva 2006/112/CE privind sistemul comun al taxei pe valoarea adăugată (JO L 241, 29.9.2023, p. 121).</w:t>
      </w:r>
    </w:p>
  </w:footnote>
  <w:footnote w:id="7">
    <w:p>
      <w:pPr>
        <w:pStyle w:val="FootnoteText"/>
        <w:rPr>
          <w:rStyle w:val="FootnoteReference"/>
        </w:rPr>
      </w:pPr>
      <w:r>
        <w:rPr>
          <w:rStyle w:val="FootnoteReference"/>
        </w:rPr>
        <w:footnoteRef/>
      </w:r>
      <w:r>
        <w:tab/>
        <w:t>COM(2004) 728 final - Propunere de directivă a Consiliului de modificare a Directivei 77/388/CEE în vederea simplificării obligațiilor în materie de taxă pe valoarea adăugată (JO C 24, 29.1.2005, p. 10), retrasă la 21 mai 2014 (JO C 153 21.5.2014, p. 3).</w:t>
      </w:r>
    </w:p>
    <w:p>
      <w:pPr>
        <w:pStyle w:val="FootnoteText"/>
      </w:pPr>
    </w:p>
  </w:footnote>
  <w:footnote w:id="8">
    <w:p>
      <w:pPr>
        <w:pStyle w:val="FootnoteText"/>
      </w:pPr>
      <w:r>
        <w:rPr>
          <w:rStyle w:val="FootnoteReference"/>
        </w:rPr>
        <w:footnoteRef/>
      </w:r>
      <w:r>
        <w:tab/>
        <w:t>COM(2021) 219 final.</w:t>
      </w:r>
    </w:p>
  </w:footnote>
  <w:footnote w:id="9">
    <w:p>
      <w:pPr>
        <w:pStyle w:val="FootnoteText"/>
      </w:pPr>
      <w:r>
        <w:rPr>
          <w:rStyle w:val="FootnoteReference"/>
        </w:rPr>
        <w:footnoteRef/>
      </w:r>
      <w:r>
        <w:tab/>
        <w:t>OJ L 347, 11.12.2006, p. 1, ELI: http://data.europa.eu/eli/dir/2006/112/oj.</w:t>
      </w:r>
    </w:p>
  </w:footnote>
  <w:footnote w:id="10">
    <w:p>
      <w:pPr>
        <w:pStyle w:val="FootnoteText"/>
      </w:pPr>
      <w:r>
        <w:rPr>
          <w:rStyle w:val="FootnoteReference"/>
        </w:rPr>
        <w:footnoteRef/>
      </w:r>
      <w:r>
        <w:tab/>
        <w:t xml:space="preserve">Decizia de punere în aplicare (UE) 2018/485 a Consiliului din 19 martie 2018 de autorizare a Danemarcei să aplice o măsură specială de derogare de la articolul 75 din Directiva 2006/112/CE privind sistemul comun al taxei pe valoarea adăugată (JO L 81, 23.3.2018, p. 13, </w:t>
      </w:r>
      <w:hyperlink r:id="rId1" w:history="1">
        <w:r>
          <w:rPr>
            <w:rStyle w:val="Hyperlink"/>
          </w:rPr>
          <w:t>https://eur-lex.europa.eu/eli/dec_impl/2018/485/oj?eliuri=eli%3Adec_impl%3A2018%3A485%3Aoj&amp;locale=ro</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3AE00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9C26C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4E4C1A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08:54: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7F819AD-7F47-43ED-96C7-B32CE28743A4"/>
    <w:docVar w:name="LW_COVERPAGE_TYPE" w:val="1"/>
    <w:docVar w:name="LW_CreatedUtc" w:val="2026-04-28T14:06:25.0108771Z"/>
    <w:docVar w:name="LW_CROSSREFERENCE" w:val="&lt;UNUSED&gt;"/>
    <w:docVar w:name="LW_DocType" w:val="COM"/>
    <w:docVar w:name="LW_EMISSION" w:val="10.9.2026"/>
    <w:docVar w:name="LW_EMISSION_ISODATE" w:val="2026-09-1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5"/>
    <w:docVar w:name="LW_REF.II.NEW.CP_YEAR" w:val="2026"/>
    <w:docVar w:name="LW_REF.INST.NEW" w:val="COM"/>
    <w:docVar w:name="LW_REF.INST.NEW_ADOPTED" w:val="final"/>
    <w:docVar w:name="LW_REF.INST.NEW_TEXT" w:val="(2026) 4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2018/485 în ceea ce prive\u537?te prelungirea autoriz\u259?rii acordate Danemarcei de a aplica o m\u259?sur\u259? special\u259? de derogare de la articolul 75 din Directiva 2006/112/CE privind sistemul comun al taxei pe valoarea ad\u259?ugat\u259?"/>
    <w:docVar w:name="LW_TYPE.DOC.CP" w:val="DECIZIE DE PUNERE ÎN APLIC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ABA5AD4-7995-44B8-8A3C-D8A70B47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tabs>
        <w:tab w:val="clear" w:pos="1209"/>
        <w:tab w:val="num" w:pos="3118"/>
      </w:tabs>
      <w:ind w:left="3118" w:hanging="567"/>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6886">
      <w:bodyDiv w:val="1"/>
      <w:marLeft w:val="0"/>
      <w:marRight w:val="0"/>
      <w:marTop w:val="0"/>
      <w:marBottom w:val="0"/>
      <w:divBdr>
        <w:top w:val="none" w:sz="0" w:space="0" w:color="auto"/>
        <w:left w:val="none" w:sz="0" w:space="0" w:color="auto"/>
        <w:bottom w:val="none" w:sz="0" w:space="0" w:color="auto"/>
        <w:right w:val="none" w:sz="0" w:space="0" w:color="auto"/>
      </w:divBdr>
    </w:div>
    <w:div w:id="470486413">
      <w:bodyDiv w:val="1"/>
      <w:marLeft w:val="0"/>
      <w:marRight w:val="0"/>
      <w:marTop w:val="0"/>
      <w:marBottom w:val="0"/>
      <w:divBdr>
        <w:top w:val="none" w:sz="0" w:space="0" w:color="auto"/>
        <w:left w:val="none" w:sz="0" w:space="0" w:color="auto"/>
        <w:bottom w:val="none" w:sz="0" w:space="0" w:color="auto"/>
        <w:right w:val="none" w:sz="0" w:space="0" w:color="auto"/>
      </w:divBdr>
    </w:div>
    <w:div w:id="649286128">
      <w:bodyDiv w:val="1"/>
      <w:marLeft w:val="0"/>
      <w:marRight w:val="0"/>
      <w:marTop w:val="0"/>
      <w:marBottom w:val="0"/>
      <w:divBdr>
        <w:top w:val="none" w:sz="0" w:space="0" w:color="auto"/>
        <w:left w:val="none" w:sz="0" w:space="0" w:color="auto"/>
        <w:bottom w:val="none" w:sz="0" w:space="0" w:color="auto"/>
        <w:right w:val="none" w:sz="0" w:space="0" w:color="auto"/>
      </w:divBdr>
    </w:div>
    <w:div w:id="1028725791">
      <w:bodyDiv w:val="1"/>
      <w:marLeft w:val="0"/>
      <w:marRight w:val="0"/>
      <w:marTop w:val="0"/>
      <w:marBottom w:val="0"/>
      <w:divBdr>
        <w:top w:val="none" w:sz="0" w:space="0" w:color="auto"/>
        <w:left w:val="none" w:sz="0" w:space="0" w:color="auto"/>
        <w:bottom w:val="none" w:sz="0" w:space="0" w:color="auto"/>
        <w:right w:val="none" w:sz="0" w:space="0" w:color="auto"/>
      </w:divBdr>
    </w:div>
    <w:div w:id="1377896197">
      <w:bodyDiv w:val="1"/>
      <w:marLeft w:val="0"/>
      <w:marRight w:val="0"/>
      <w:marTop w:val="0"/>
      <w:marBottom w:val="0"/>
      <w:divBdr>
        <w:top w:val="none" w:sz="0" w:space="0" w:color="auto"/>
        <w:left w:val="none" w:sz="0" w:space="0" w:color="auto"/>
        <w:bottom w:val="none" w:sz="0" w:space="0" w:color="auto"/>
        <w:right w:val="none" w:sz="0" w:space="0" w:color="auto"/>
      </w:divBdr>
    </w:div>
    <w:div w:id="1616329707">
      <w:bodyDiv w:val="1"/>
      <w:marLeft w:val="0"/>
      <w:marRight w:val="0"/>
      <w:marTop w:val="0"/>
      <w:marBottom w:val="0"/>
      <w:divBdr>
        <w:top w:val="none" w:sz="0" w:space="0" w:color="auto"/>
        <w:left w:val="none" w:sz="0" w:space="0" w:color="auto"/>
        <w:bottom w:val="none" w:sz="0" w:space="0" w:color="auto"/>
        <w:right w:val="none" w:sz="0" w:space="0" w:color="auto"/>
      </w:divBdr>
    </w:div>
    <w:div w:id="1638560640">
      <w:bodyDiv w:val="1"/>
      <w:marLeft w:val="0"/>
      <w:marRight w:val="0"/>
      <w:marTop w:val="0"/>
      <w:marBottom w:val="0"/>
      <w:divBdr>
        <w:top w:val="none" w:sz="0" w:space="0" w:color="auto"/>
        <w:left w:val="none" w:sz="0" w:space="0" w:color="auto"/>
        <w:bottom w:val="none" w:sz="0" w:space="0" w:color="auto"/>
        <w:right w:val="none" w:sz="0" w:space="0" w:color="auto"/>
      </w:divBdr>
    </w:div>
    <w:div w:id="1709835454">
      <w:bodyDiv w:val="1"/>
      <w:marLeft w:val="0"/>
      <w:marRight w:val="0"/>
      <w:marTop w:val="0"/>
      <w:marBottom w:val="0"/>
      <w:divBdr>
        <w:top w:val="none" w:sz="0" w:space="0" w:color="auto"/>
        <w:left w:val="none" w:sz="0" w:space="0" w:color="auto"/>
        <w:bottom w:val="none" w:sz="0" w:space="0" w:color="auto"/>
        <w:right w:val="none" w:sz="0" w:space="0" w:color="auto"/>
      </w:divBdr>
    </w:div>
    <w:div w:id="1870799918">
      <w:bodyDiv w:val="1"/>
      <w:marLeft w:val="0"/>
      <w:marRight w:val="0"/>
      <w:marTop w:val="0"/>
      <w:marBottom w:val="0"/>
      <w:divBdr>
        <w:top w:val="none" w:sz="0" w:space="0" w:color="auto"/>
        <w:left w:val="none" w:sz="0" w:space="0" w:color="auto"/>
        <w:bottom w:val="none" w:sz="0" w:space="0" w:color="auto"/>
        <w:right w:val="none" w:sz="0" w:space="0" w:color="auto"/>
      </w:divBdr>
    </w:div>
    <w:div w:id="1911841162">
      <w:bodyDiv w:val="1"/>
      <w:marLeft w:val="0"/>
      <w:marRight w:val="0"/>
      <w:marTop w:val="0"/>
      <w:marBottom w:val="0"/>
      <w:divBdr>
        <w:top w:val="none" w:sz="0" w:space="0" w:color="auto"/>
        <w:left w:val="none" w:sz="0" w:space="0" w:color="auto"/>
        <w:bottom w:val="none" w:sz="0" w:space="0" w:color="auto"/>
        <w:right w:val="none" w:sz="0" w:space="0" w:color="auto"/>
      </w:divBdr>
    </w:div>
    <w:div w:id="2028675116">
      <w:bodyDiv w:val="1"/>
      <w:marLeft w:val="0"/>
      <w:marRight w:val="0"/>
      <w:marTop w:val="0"/>
      <w:marBottom w:val="0"/>
      <w:divBdr>
        <w:top w:val="none" w:sz="0" w:space="0" w:color="auto"/>
        <w:left w:val="none" w:sz="0" w:space="0" w:color="auto"/>
        <w:bottom w:val="none" w:sz="0" w:space="0" w:color="auto"/>
        <w:right w:val="none" w:sz="0" w:space="0" w:color="auto"/>
      </w:divBdr>
    </w:div>
    <w:div w:id="211539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dec_impl/2018/485/oj?eliuri=eli%3Adec_impl%3A2018%3A485%3Aoj&amp;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24825-2505-486A-9E72-49CB00FABEA2}">
  <ds:schemaRefs>
    <ds:schemaRef ds:uri="http://schemas.openxmlformats.org/officeDocument/2006/bibliography"/>
  </ds:schemaRefs>
</ds:datastoreItem>
</file>

<file path=customXml/itemProps2.xml><?xml version="1.0" encoding="utf-8"?>
<ds:datastoreItem xmlns:ds="http://schemas.openxmlformats.org/officeDocument/2006/customXml" ds:itemID="{8C235011-9DD9-4358-B167-41CCC780D15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7DB7FDAC-6E01-4E4E-BD97-D4256EEB3B5F}">
  <ds:schemaRefs>
    <ds:schemaRef ds:uri="http://schemas.microsoft.com/sharepoint/v3/contenttype/forms"/>
  </ds:schemaRefs>
</ds:datastoreItem>
</file>

<file path=customXml/itemProps4.xml><?xml version="1.0" encoding="utf-8"?>
<ds:datastoreItem xmlns:ds="http://schemas.openxmlformats.org/officeDocument/2006/customXml" ds:itemID="{0F698049-0515-4045-9362-C40CF45F7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19</TotalTime>
  <Pages>5</Pages>
  <Words>3207</Words>
  <Characters>18285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21450</CharactersWithSpaces>
  <SharedDoc>false</SharedDoc>
  <HLinks>
    <vt:vector size="6" baseType="variant">
      <vt:variant>
        <vt:i4>852078</vt:i4>
      </vt:variant>
      <vt:variant>
        <vt:i4>0</vt:i4>
      </vt:variant>
      <vt:variant>
        <vt:i4>0</vt:i4>
      </vt:variant>
      <vt:variant>
        <vt:i4>5</vt:i4>
      </vt:variant>
      <vt:variant>
        <vt:lpwstr>http://data.europa.eu/eli/dec_impl/2018/485/oj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29</cp:revision>
  <cp:lastPrinted>2026-07-07T23:25:00Z</cp:lastPrinted>
  <dcterms:created xsi:type="dcterms:W3CDTF">2026-07-17T08:29:00Z</dcterms:created>
  <dcterms:modified xsi:type="dcterms:W3CDTF">2026-09-10T06:54:00Z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2026-04-28T15:18:52Z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c1fb9393-5dae-4e7f-8d99-36204c07b54a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