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BC8BC" w14:textId="77777777" w:rsidR="00D23642" w:rsidRDefault="002A1751">
      <w:pPr>
        <w:pStyle w:val="Pagedecouverture"/>
        <w:rPr>
          <w:noProof/>
        </w:rPr>
      </w:pPr>
      <w:r>
        <w:rPr>
          <w:noProof/>
        </w:rPr>
        <w:pict w14:anchorId="6AB188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9FD2A90B-2EF5-4A95-8C0B-40ADAD5910A3" style="width:455.5pt;height:343pt">
            <v:imagedata r:id="rId8" o:title=""/>
          </v:shape>
        </w:pict>
      </w:r>
    </w:p>
    <w:p w14:paraId="4670C2AB" w14:textId="77777777" w:rsidR="00D23642" w:rsidRDefault="00D23642">
      <w:pPr>
        <w:rPr>
          <w:noProof/>
        </w:rPr>
        <w:sectPr w:rsidR="00D23642">
          <w:footerReference w:type="even" r:id="rId9"/>
          <w:footerReference w:type="default" r:id="rId10"/>
          <w:pgSz w:w="11907" w:h="16839"/>
          <w:pgMar w:top="1134" w:right="1417" w:bottom="1134" w:left="1417" w:header="709" w:footer="709" w:gutter="0"/>
          <w:pgNumType w:start="0"/>
          <w:cols w:space="720"/>
          <w:docGrid w:linePitch="360"/>
        </w:sectPr>
      </w:pPr>
    </w:p>
    <w:p w14:paraId="6EE8E306" w14:textId="77777777" w:rsidR="00D23642" w:rsidRDefault="0099314D">
      <w:pPr>
        <w:pStyle w:val="Exposdesmotifstitre"/>
        <w:rPr>
          <w:noProof/>
        </w:rPr>
      </w:pPr>
      <w:r>
        <w:rPr>
          <w:noProof/>
        </w:rPr>
        <w:lastRenderedPageBreak/>
        <w:t>EXPUNERE DE MOTIVE</w:t>
      </w:r>
    </w:p>
    <w:p w14:paraId="775A5343" w14:textId="77777777" w:rsidR="00D23642" w:rsidRDefault="0099314D">
      <w:pPr>
        <w:pStyle w:val="ManualHeading1"/>
        <w:rPr>
          <w:noProof/>
        </w:rPr>
      </w:pPr>
      <w:r>
        <w:rPr>
          <w:noProof/>
        </w:rPr>
        <w:t>1.</w:t>
      </w:r>
      <w:r>
        <w:rPr>
          <w:noProof/>
        </w:rPr>
        <w:tab/>
        <w:t>CONTEXTUL PROPUNERII</w:t>
      </w:r>
    </w:p>
    <w:p w14:paraId="5F393BBB" w14:textId="77777777" w:rsidR="00D23642" w:rsidRDefault="0099314D">
      <w:pPr>
        <w:pStyle w:val="ManualHeading2"/>
        <w:rPr>
          <w:rFonts w:eastAsia="Arial Unicode MS"/>
          <w:noProof/>
        </w:rPr>
      </w:pPr>
      <w:r>
        <w:rPr>
          <w:noProof/>
          <w:color w:val="000000"/>
          <w:u w:color="000000"/>
          <w:bdr w:val="nil"/>
        </w:rPr>
        <w:t>•</w:t>
      </w:r>
      <w:r>
        <w:rPr>
          <w:noProof/>
        </w:rPr>
        <w:tab/>
        <w:t>Motivele și obiectivele propunerii</w:t>
      </w:r>
    </w:p>
    <w:p w14:paraId="31B561A8" w14:textId="77777777" w:rsidR="00D23642" w:rsidRDefault="0099314D">
      <w:pPr>
        <w:rPr>
          <w:rFonts w:eastAsia="Arial Unicode MS"/>
          <w:noProof/>
        </w:rPr>
      </w:pPr>
      <w:r>
        <w:rPr>
          <w:noProof/>
        </w:rPr>
        <w:t>La 29 iulie 2025, Comisia a adoptat o recomandare de decizie a Consiliului</w:t>
      </w:r>
      <w:r>
        <w:rPr>
          <w:rStyle w:val="FootnoteReference"/>
          <w:noProof/>
        </w:rPr>
        <w:footnoteReference w:id="1"/>
      </w:r>
      <w:r>
        <w:rPr>
          <w:noProof/>
        </w:rPr>
        <w:t xml:space="preserve"> de autorizare a deschiderii negocierilor în vederea unui Acord de facilitare a investițiilor durabile cu Ecuador (denumit în continuare „AFID” sau „acordul”). La 20 octombrie 2025, Consiliul Uniunii Europene a autorizat deschiderea negocierilor și a adoptat directive de negociere</w:t>
      </w:r>
      <w:r>
        <w:rPr>
          <w:rStyle w:val="FootnoteReference"/>
          <w:noProof/>
        </w:rPr>
        <w:footnoteReference w:id="2"/>
      </w:r>
      <w:r>
        <w:rPr>
          <w:noProof/>
        </w:rPr>
        <w:t>. Negocierile pentru AFID s-au încheiat la 23 ianuarie 2026.</w:t>
      </w:r>
    </w:p>
    <w:p w14:paraId="16703304" w14:textId="77777777" w:rsidR="00D23642" w:rsidRDefault="0099314D">
      <w:pPr>
        <w:rPr>
          <w:rFonts w:eastAsia="Arial Unicode MS"/>
          <w:noProof/>
        </w:rPr>
      </w:pPr>
      <w:r>
        <w:rPr>
          <w:noProof/>
        </w:rPr>
        <w:t>Prezentul acord are ca obiectiv să îmbunătățească climatul de investiții al Ecuadorului prin angajamente legate de facilitarea investițiilor, precum o mai mare transparență și previzibilitate pentru legile și reglementările în domeniul investițiilor, prin simplificarea procedurilor de autorizare a investițiilor și îmbunătățirea dialogului public-privat prin intermediul punctelor focale pentru investitori și al implicării părților interesate. Obiectivul ultim este consolidarea unui climat de investiții mai t</w:t>
      </w:r>
      <w:r>
        <w:rPr>
          <w:noProof/>
        </w:rPr>
        <w:t xml:space="preserve">ransparent, mai eficient și mai previzibil și, prin urmare, sprijinirea Ecuadorului în atragerea investițiilor străine directe, menținându-se totodată standardele în materie de mediu, drepturile lucrătorilor și climă. Astfel, prezentul acord promovează dezvoltarea durabilă, creșterea economică și crearea de locuri de muncă. </w:t>
      </w:r>
    </w:p>
    <w:p w14:paraId="6961D0C8" w14:textId="77777777" w:rsidR="00D23642" w:rsidRDefault="0099314D">
      <w:pPr>
        <w:rPr>
          <w:noProof/>
        </w:rPr>
      </w:pPr>
      <w:r>
        <w:rPr>
          <w:noProof/>
        </w:rPr>
        <w:t xml:space="preserve">Propunerea de decizie a Consiliului anexată constituie instrumentul juridic care autorizează încheierea acordului. Acordul de facilitare a investițiilor durabile UE-Ecuador intră în vigoare în prima zi a celei de a doua luni următoare datei la care UE și Ecuador au făcut schimb de notificări scrise care atestă că au îndeplinit cerințele și procedurile pentru semnarea și încheierea acordului. </w:t>
      </w:r>
    </w:p>
    <w:p w14:paraId="68936890" w14:textId="77777777" w:rsidR="00D23642" w:rsidRDefault="0099314D">
      <w:pPr>
        <w:pStyle w:val="ManualHeading2"/>
        <w:rPr>
          <w:rFonts w:eastAsia="Arial Unicode MS"/>
          <w:noProof/>
        </w:rPr>
      </w:pPr>
      <w:r>
        <w:rPr>
          <w:noProof/>
          <w:color w:val="000000"/>
          <w:u w:color="000000"/>
          <w:bdr w:val="nil"/>
        </w:rPr>
        <w:t>•</w:t>
      </w:r>
      <w:r>
        <w:rPr>
          <w:noProof/>
        </w:rPr>
        <w:tab/>
        <w:t>Coerența cu dispozițiile de politică deja existente în domeniul de politică vizat</w:t>
      </w:r>
    </w:p>
    <w:p w14:paraId="7A1F4954" w14:textId="77777777" w:rsidR="00D23642" w:rsidRDefault="0099314D">
      <w:pPr>
        <w:widowControl w:val="0"/>
        <w:shd w:val="clear" w:color="auto" w:fill="FFFFFF" w:themeFill="background1"/>
        <w:autoSpaceDE w:val="0"/>
        <w:autoSpaceDN w:val="0"/>
        <w:adjustRightInd w:val="0"/>
        <w:spacing w:after="240" w:line="269" w:lineRule="exact"/>
        <w:rPr>
          <w:i/>
          <w:iCs/>
          <w:noProof/>
        </w:rPr>
      </w:pPr>
      <w:r>
        <w:rPr>
          <w:noProof/>
        </w:rPr>
        <w:t>Obiectivele prezentului acord sunt în deplină concordanță cu Tratatul privind Uniunea Europeană (TUE), care prevede că UE „ar trebui să încurajeze integrarea tuturor țărilor în economia mondială, inclusiv prin eliminarea treptată a barierelor din calea comerțului internațional”</w:t>
      </w:r>
      <w:r>
        <w:rPr>
          <w:rStyle w:val="FootnoteReference"/>
          <w:noProof/>
        </w:rPr>
        <w:footnoteReference w:id="3"/>
      </w:r>
      <w:r>
        <w:rPr>
          <w:noProof/>
        </w:rPr>
        <w:t>.</w:t>
      </w:r>
    </w:p>
    <w:p w14:paraId="1D4D26BC" w14:textId="77777777" w:rsidR="00D23642" w:rsidRDefault="0099314D">
      <w:pPr>
        <w:pBdr>
          <w:top w:val="nil"/>
          <w:left w:val="nil"/>
          <w:bottom w:val="nil"/>
          <w:right w:val="nil"/>
          <w:between w:val="nil"/>
          <w:bar w:val="nil"/>
        </w:pBdr>
        <w:spacing w:before="0" w:after="240"/>
        <w:rPr>
          <w:rFonts w:eastAsia="Arial Unicode MS"/>
          <w:noProof/>
        </w:rPr>
      </w:pPr>
      <w:r>
        <w:rPr>
          <w:noProof/>
        </w:rPr>
        <w:t>Prezentul acord se bazează pe Acordul comercial multilateral dintre UE și țările andine, la care Ecuadorul este parte, și vine în completarea acestuia. Acordul comercial multilateral cuprinde dispoziții privind serviciile și investițiile, inclusiv angajamente privind accesul pe piață și tratamentul național pentru investitorii din UE. Prezentul acord este o oportunitate de a aprofunda relația de investiții dintre UE și Ecuador și de a sprijini investitorii din UE să beneficieze și mai mult de oportunitățile</w:t>
      </w:r>
      <w:r>
        <w:rPr>
          <w:noProof/>
        </w:rPr>
        <w:t xml:space="preserve"> create de acordul comercial multilateral, prin îmbunătățirea cadrului de reglementare și a procedurilor pentru investiții.</w:t>
      </w:r>
    </w:p>
    <w:p w14:paraId="33D3C0A8" w14:textId="77777777" w:rsidR="00D23642" w:rsidRDefault="0099314D">
      <w:pPr>
        <w:widowControl w:val="0"/>
        <w:shd w:val="clear" w:color="auto" w:fill="FFFFFF"/>
        <w:autoSpaceDE w:val="0"/>
        <w:autoSpaceDN w:val="0"/>
        <w:adjustRightInd w:val="0"/>
        <w:spacing w:after="240" w:line="269" w:lineRule="exact"/>
        <w:rPr>
          <w:noProof/>
        </w:rPr>
      </w:pPr>
      <w:r>
        <w:rPr>
          <w:noProof/>
        </w:rPr>
        <w:t>AFID este pe deplin coerent și complementar cu viitorul acord de facilitare a investițiilor pentru dezvoltare, care a fost negociat în cadrul Organizației Mondiale a Comerțului</w:t>
      </w:r>
      <w:r>
        <w:rPr>
          <w:rStyle w:val="FootnoteReference"/>
          <w:noProof/>
        </w:rPr>
        <w:footnoteReference w:id="4"/>
      </w:r>
      <w:r>
        <w:rPr>
          <w:noProof/>
        </w:rPr>
        <w:t>.</w:t>
      </w:r>
    </w:p>
    <w:p w14:paraId="5D92B603" w14:textId="77777777" w:rsidR="00D23642" w:rsidRDefault="0099314D">
      <w:pPr>
        <w:pStyle w:val="ManualHeading2"/>
        <w:rPr>
          <w:rFonts w:eastAsia="Arial Unicode MS"/>
          <w:noProof/>
        </w:rPr>
      </w:pPr>
      <w:r>
        <w:rPr>
          <w:noProof/>
          <w:color w:val="000000"/>
          <w:u w:color="000000"/>
          <w:bdr w:val="nil"/>
        </w:rPr>
        <w:lastRenderedPageBreak/>
        <w:t>•</w:t>
      </w:r>
      <w:r>
        <w:rPr>
          <w:noProof/>
        </w:rPr>
        <w:tab/>
        <w:t>Coerența cu alte politici ale Uniunii</w:t>
      </w:r>
    </w:p>
    <w:p w14:paraId="605D67C8" w14:textId="77777777" w:rsidR="00D23642" w:rsidRDefault="0099314D">
      <w:pPr>
        <w:pBdr>
          <w:top w:val="nil"/>
          <w:left w:val="nil"/>
          <w:bottom w:val="nil"/>
          <w:right w:val="nil"/>
          <w:between w:val="nil"/>
          <w:bar w:val="nil"/>
        </w:pBdr>
        <w:spacing w:before="0" w:after="240"/>
        <w:rPr>
          <w:rFonts w:eastAsia="Arial Unicode MS"/>
          <w:noProof/>
        </w:rPr>
      </w:pPr>
      <w:r>
        <w:rPr>
          <w:noProof/>
        </w:rPr>
        <w:t>Obiectivele sunt coerente cu alte politici ale UE, inclusiv cu politica de dezvoltare a UE.</w:t>
      </w:r>
    </w:p>
    <w:p w14:paraId="7A634390" w14:textId="77777777" w:rsidR="00D23642" w:rsidRDefault="0099314D">
      <w:pPr>
        <w:widowControl w:val="0"/>
        <w:shd w:val="clear" w:color="auto" w:fill="FFFFFF"/>
        <w:autoSpaceDE w:val="0"/>
        <w:autoSpaceDN w:val="0"/>
        <w:adjustRightInd w:val="0"/>
        <w:spacing w:after="240" w:line="269" w:lineRule="exact"/>
        <w:rPr>
          <w:iCs/>
          <w:noProof/>
        </w:rPr>
      </w:pPr>
      <w:r>
        <w:rPr>
          <w:noProof/>
        </w:rPr>
        <w:t>Prezentul acord promovează obiectivele Busolei pentru competitivitate din 29 ianuarie 2025, care menționa că UE trebuie „să caute noi modalități de a-și aprofunda parteneriatele și de a crea beneficii pentru întreprinderile europene”, inclusiv prin acorduri de facilitare a investițiilor durabile</w:t>
      </w:r>
      <w:r>
        <w:rPr>
          <w:rStyle w:val="FootnoteReference"/>
          <w:noProof/>
          <w:szCs w:val="24"/>
        </w:rPr>
        <w:footnoteReference w:id="5"/>
      </w:r>
      <w:r>
        <w:rPr>
          <w:noProof/>
        </w:rPr>
        <w:t>. De asemenea, acordul vine în continuarea Comunicării din 2022 privind revizuirea politicii comerciale și a politicii privind dezvoltarea durabilă</w:t>
      </w:r>
      <w:r>
        <w:rPr>
          <w:rStyle w:val="FootnoteReference"/>
          <w:iCs/>
          <w:noProof/>
        </w:rPr>
        <w:footnoteReference w:id="6"/>
      </w:r>
      <w:r>
        <w:rPr>
          <w:noProof/>
        </w:rPr>
        <w:t>.</w:t>
      </w:r>
    </w:p>
    <w:p w14:paraId="4D23D855" w14:textId="77777777" w:rsidR="00D23642" w:rsidRDefault="0099314D">
      <w:pPr>
        <w:widowControl w:val="0"/>
        <w:shd w:val="clear" w:color="auto" w:fill="FFFFFF"/>
        <w:autoSpaceDE w:val="0"/>
        <w:autoSpaceDN w:val="0"/>
        <w:adjustRightInd w:val="0"/>
        <w:spacing w:after="240" w:line="269" w:lineRule="exact"/>
        <w:rPr>
          <w:iCs/>
          <w:noProof/>
        </w:rPr>
      </w:pPr>
      <w:r>
        <w:rPr>
          <w:noProof/>
        </w:rPr>
        <w:t>Prezentul acord este în concordanță cu Comunicarea intitulată „O nouă agendă pentru relațiile dintre UE și America Latină și zona Caraibilor”</w:t>
      </w:r>
      <w:r>
        <w:rPr>
          <w:rStyle w:val="FootnoteReference"/>
          <w:iCs/>
          <w:noProof/>
        </w:rPr>
        <w:footnoteReference w:id="7"/>
      </w:r>
      <w:r>
        <w:rPr>
          <w:noProof/>
        </w:rPr>
        <w:t>, în care se afirmă că „UE va continua să colaboreze cu partenerii ALC pentru a contribui la crearea condițiilor pentru investiții durabile, inclusiv prin Global Gateway și prin sprijinirea unor cadre juridice deschise, stabile și predictibile, prin eliminarea barierelor discriminatorii și prin punerea în aplicare a facilitării investițiilor</w:t>
      </w:r>
      <w:bookmarkStart w:id="0" w:name="_Hlk193911622"/>
      <w:r>
        <w:rPr>
          <w:noProof/>
        </w:rPr>
        <w:t xml:space="preserve">”. </w:t>
      </w:r>
    </w:p>
    <w:p w14:paraId="732F19CE" w14:textId="77777777" w:rsidR="00D23642" w:rsidRDefault="0099314D">
      <w:pPr>
        <w:widowControl w:val="0"/>
        <w:shd w:val="clear" w:color="auto" w:fill="FFFFFF"/>
        <w:autoSpaceDE w:val="0"/>
        <w:autoSpaceDN w:val="0"/>
        <w:adjustRightInd w:val="0"/>
        <w:spacing w:after="240" w:line="269" w:lineRule="exact"/>
        <w:rPr>
          <w:noProof/>
        </w:rPr>
      </w:pPr>
      <w:r>
        <w:rPr>
          <w:noProof/>
        </w:rPr>
        <w:t xml:space="preserve">Prezentul acord completează </w:t>
      </w:r>
      <w:bookmarkEnd w:id="0"/>
      <w:r>
        <w:rPr>
          <w:noProof/>
        </w:rPr>
        <w:t>Agenda de investiții „Global Gateway”, prin intermediul căreia „UE poate mobiliza investiții de calitate pentru a contribui la abordarea nevoilor ALC în materie de infrastructură, pentru a sprijini dezvoltarea capitalului uman, inclusiv capacitarea oamenilor, în special a femeilor, a tinerilor și a persoanelor vulnerabile, și pentru a consolida un mediu de afaceri și de reglementare favorabil, cu scopul de a crea valoare adăugată locală, creștere și locuri de muncă de calitate”</w:t>
      </w:r>
      <w:r>
        <w:rPr>
          <w:rStyle w:val="FootnoteReference"/>
          <w:noProof/>
          <w:lang w:eastAsia="en-GB"/>
        </w:rPr>
        <w:footnoteReference w:id="8"/>
      </w:r>
      <w:r>
        <w:rPr>
          <w:noProof/>
        </w:rPr>
        <w:t>.</w:t>
      </w:r>
      <w:r>
        <w:rPr>
          <w:noProof/>
          <w:color w:val="000000" w:themeColor="text1"/>
        </w:rPr>
        <w:t xml:space="preserve"> </w:t>
      </w:r>
    </w:p>
    <w:p w14:paraId="70FDE75F" w14:textId="77777777" w:rsidR="00D23642" w:rsidRDefault="0099314D">
      <w:pPr>
        <w:pStyle w:val="ManualHeading1"/>
        <w:rPr>
          <w:noProof/>
        </w:rPr>
      </w:pPr>
      <w:r>
        <w:rPr>
          <w:noProof/>
        </w:rPr>
        <w:t>2.</w:t>
      </w:r>
      <w:r>
        <w:rPr>
          <w:noProof/>
        </w:rPr>
        <w:tab/>
        <w:t>TEMEI JURIDIC, SUBSIDIARITATE ȘI PROPORȚIONALITATE</w:t>
      </w:r>
    </w:p>
    <w:p w14:paraId="57A22B4F" w14:textId="77777777" w:rsidR="00D23642" w:rsidRDefault="0099314D">
      <w:pPr>
        <w:keepNext/>
        <w:outlineLvl w:val="1"/>
        <w:rPr>
          <w:rFonts w:eastAsia="Arial Unicode MS"/>
          <w:b/>
          <w:noProof/>
          <w:bdr w:val="none" w:sz="0" w:space="0" w:color="auto" w:frame="1"/>
        </w:rPr>
      </w:pPr>
      <w:r>
        <w:rPr>
          <w:b/>
          <w:noProof/>
          <w:bdr w:val="none" w:sz="0" w:space="0" w:color="auto" w:frame="1"/>
        </w:rPr>
        <w:t>•</w:t>
      </w:r>
      <w:r>
        <w:rPr>
          <w:noProof/>
        </w:rPr>
        <w:tab/>
      </w:r>
      <w:r>
        <w:rPr>
          <w:b/>
          <w:noProof/>
          <w:bdr w:val="none" w:sz="0" w:space="0" w:color="auto" w:frame="1"/>
        </w:rPr>
        <w:t>Temei juridic material</w:t>
      </w:r>
    </w:p>
    <w:p w14:paraId="03646306" w14:textId="77777777" w:rsidR="00D23642" w:rsidRDefault="0099314D">
      <w:pPr>
        <w:spacing w:after="240"/>
        <w:rPr>
          <w:rFonts w:eastAsia="Calibri"/>
          <w:noProof/>
        </w:rPr>
      </w:pPr>
      <w:r>
        <w:rPr>
          <w:noProof/>
        </w:rPr>
        <w:t>Acordul de facilitare a investițiilor durabile intră în sfera politicii comerciale comune, în consecință, temeiul juridic material este articolul 207 din TFUE.</w:t>
      </w:r>
    </w:p>
    <w:p w14:paraId="3D37912E" w14:textId="77777777" w:rsidR="00D23642" w:rsidRDefault="0099314D">
      <w:pPr>
        <w:spacing w:after="240"/>
        <w:rPr>
          <w:rFonts w:eastAsia="Calibri"/>
          <w:b/>
          <w:noProof/>
        </w:rPr>
      </w:pPr>
      <w:r>
        <w:rPr>
          <w:b/>
          <w:noProof/>
        </w:rPr>
        <w:t>•</w:t>
      </w:r>
      <w:r>
        <w:rPr>
          <w:noProof/>
        </w:rPr>
        <w:tab/>
      </w:r>
      <w:r>
        <w:rPr>
          <w:b/>
          <w:noProof/>
        </w:rPr>
        <w:t>Temei juridic procedural</w:t>
      </w:r>
    </w:p>
    <w:p w14:paraId="17C96DCD" w14:textId="77777777" w:rsidR="00D23642" w:rsidRDefault="0099314D">
      <w:pPr>
        <w:pBdr>
          <w:top w:val="nil"/>
          <w:left w:val="nil"/>
          <w:bottom w:val="nil"/>
          <w:right w:val="nil"/>
          <w:between w:val="nil"/>
          <w:bar w:val="nil"/>
        </w:pBdr>
        <w:spacing w:after="240"/>
        <w:rPr>
          <w:rFonts w:eastAsia="Arial Unicode MS"/>
          <w:noProof/>
          <w:szCs w:val="24"/>
        </w:rPr>
      </w:pPr>
      <w:r>
        <w:rPr>
          <w:noProof/>
        </w:rPr>
        <w:t>În conformitate cu articolul 218 alineatul (6) din TFUE, în cazul în care acordul se referă la aspecte din afara politicii externe și de securitate comune, Consiliul adoptă o decizie privind încheierea acordului la propunerea Comisiei, în calitate de negociator.</w:t>
      </w:r>
    </w:p>
    <w:p w14:paraId="25860E04" w14:textId="77777777" w:rsidR="00D23642" w:rsidRDefault="0099314D">
      <w:pPr>
        <w:rPr>
          <w:noProof/>
          <w:kern w:val="2"/>
          <w:sz w:val="22"/>
          <w14:ligatures w14:val="standardContextual"/>
        </w:rPr>
      </w:pPr>
      <w:r>
        <w:rPr>
          <w:noProof/>
        </w:rPr>
        <w:t xml:space="preserve">Având în vedere că articolul 207 din TFUE este temeiul juridic material, </w:t>
      </w:r>
      <w:r>
        <w:rPr>
          <w:rStyle w:val="eop"/>
          <w:noProof/>
        </w:rPr>
        <w:t xml:space="preserve">Consiliul trebuie să adopte decizia privind încheierea acordului </w:t>
      </w:r>
      <w:r>
        <w:rPr>
          <w:noProof/>
        </w:rPr>
        <w:t xml:space="preserve">după obținerea aprobării </w:t>
      </w:r>
      <w:r>
        <w:rPr>
          <w:rStyle w:val="eop"/>
          <w:noProof/>
        </w:rPr>
        <w:t xml:space="preserve">Parlamentului European, în conformitate cu </w:t>
      </w:r>
      <w:r>
        <w:rPr>
          <w:noProof/>
        </w:rPr>
        <w:t>articolul 218 alineatul (6) litera (a) din TFUE</w:t>
      </w:r>
      <w:r>
        <w:rPr>
          <w:rStyle w:val="eop"/>
          <w:noProof/>
        </w:rPr>
        <w:t>.</w:t>
      </w:r>
    </w:p>
    <w:p w14:paraId="22D4804E" w14:textId="77777777" w:rsidR="00D23642" w:rsidRDefault="0099314D">
      <w:pPr>
        <w:pBdr>
          <w:top w:val="nil"/>
          <w:left w:val="nil"/>
          <w:bottom w:val="nil"/>
          <w:right w:val="nil"/>
          <w:between w:val="nil"/>
          <w:bar w:val="nil"/>
        </w:pBdr>
        <w:spacing w:after="240"/>
        <w:rPr>
          <w:rFonts w:eastAsia="Arial Unicode MS"/>
          <w:noProof/>
          <w:szCs w:val="24"/>
        </w:rPr>
      </w:pPr>
      <w:r>
        <w:rPr>
          <w:noProof/>
        </w:rPr>
        <w:t>Temeiul juridic procedural al deciziei propuse privind încheierea acordului este articolul 218 alineatul (6) al doilea paragraf litera (a) din TFUE.</w:t>
      </w:r>
    </w:p>
    <w:p w14:paraId="4D4AE370" w14:textId="77777777" w:rsidR="00D23642" w:rsidRDefault="0099314D">
      <w:pPr>
        <w:spacing w:after="240"/>
        <w:rPr>
          <w:rFonts w:eastAsia="Calibri"/>
          <w:b/>
          <w:bCs/>
          <w:noProof/>
        </w:rPr>
      </w:pPr>
      <w:r>
        <w:rPr>
          <w:b/>
          <w:noProof/>
        </w:rPr>
        <w:t>•</w:t>
      </w:r>
      <w:r>
        <w:rPr>
          <w:noProof/>
        </w:rPr>
        <w:tab/>
      </w:r>
      <w:r>
        <w:rPr>
          <w:b/>
          <w:noProof/>
        </w:rPr>
        <w:t>Competența Uniunii</w:t>
      </w:r>
    </w:p>
    <w:p w14:paraId="4D0414E1" w14:textId="77777777" w:rsidR="00D23642" w:rsidRDefault="0099314D">
      <w:pPr>
        <w:spacing w:after="240"/>
        <w:rPr>
          <w:rFonts w:eastAsia="Calibri"/>
          <w:noProof/>
        </w:rPr>
      </w:pPr>
      <w:r>
        <w:rPr>
          <w:noProof/>
        </w:rPr>
        <w:lastRenderedPageBreak/>
        <w:t>Acordul de facilitare a investițiilor durabile vizează facilitarea investițiilor străine directe. Încheierea de acorduri comerciale privind investițiile străine directe intră sub incidența politicii comerciale comune în temeiul articolului 207 din TFUE. Prin urmare, acordul intră în sfera de competență exclusivă a Uniunii, în conformitate cu articolul 3 alineatul (1) din TFUE.</w:t>
      </w:r>
    </w:p>
    <w:p w14:paraId="30A1E9BC" w14:textId="77777777" w:rsidR="00D23642" w:rsidRDefault="0099314D">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Subsidiaritatea (în cazul competențelor neexclusive) </w:t>
      </w:r>
    </w:p>
    <w:p w14:paraId="4E909DA6" w14:textId="77777777" w:rsidR="00D23642" w:rsidRDefault="0099314D">
      <w:pPr>
        <w:pBdr>
          <w:top w:val="nil"/>
          <w:left w:val="nil"/>
          <w:bottom w:val="nil"/>
          <w:right w:val="nil"/>
          <w:between w:val="nil"/>
          <w:bar w:val="nil"/>
        </w:pBdr>
        <w:spacing w:after="240"/>
        <w:rPr>
          <w:noProof/>
        </w:rPr>
      </w:pPr>
      <w:r>
        <w:rPr>
          <w:noProof/>
        </w:rPr>
        <w:t>Nu se aplică.</w:t>
      </w:r>
    </w:p>
    <w:p w14:paraId="1CFCC6AB" w14:textId="77777777" w:rsidR="00D23642" w:rsidRDefault="0099314D">
      <w:pPr>
        <w:pStyle w:val="ManualHeading2"/>
        <w:rPr>
          <w:rFonts w:eastAsia="Arial Unicode MS"/>
          <w:noProof/>
          <w:u w:color="000000"/>
          <w:bdr w:val="nil"/>
        </w:rPr>
      </w:pPr>
      <w:r>
        <w:rPr>
          <w:noProof/>
          <w:u w:color="000000"/>
          <w:bdr w:val="nil"/>
        </w:rPr>
        <w:t>•</w:t>
      </w:r>
      <w:r>
        <w:rPr>
          <w:noProof/>
        </w:rPr>
        <w:tab/>
      </w:r>
      <w:r>
        <w:rPr>
          <w:noProof/>
          <w:u w:color="000000"/>
          <w:bdr w:val="nil"/>
        </w:rPr>
        <w:t>Proporționalitatea</w:t>
      </w:r>
    </w:p>
    <w:p w14:paraId="285E4E09" w14:textId="77777777" w:rsidR="00D23642" w:rsidRDefault="0099314D">
      <w:pPr>
        <w:pBdr>
          <w:top w:val="nil"/>
          <w:left w:val="nil"/>
          <w:bottom w:val="nil"/>
          <w:right w:val="nil"/>
          <w:between w:val="nil"/>
          <w:bar w:val="nil"/>
        </w:pBdr>
        <w:spacing w:after="240"/>
        <w:rPr>
          <w:noProof/>
        </w:rPr>
      </w:pPr>
      <w:r>
        <w:rPr>
          <w:noProof/>
        </w:rPr>
        <w:t>Prezentul acord este în conformitate cu principiul proporționalității, întrucât încheierea unui acord internațional este instrumentul principal pentru asumarea de drepturi și obligații reciproce cu un subiect de drept internațional, cum ar fi o țară străină.</w:t>
      </w:r>
    </w:p>
    <w:p w14:paraId="44E486C9" w14:textId="77777777" w:rsidR="00D23642" w:rsidRDefault="0099314D">
      <w:pPr>
        <w:pStyle w:val="ManualHeading2"/>
        <w:rPr>
          <w:rFonts w:eastAsia="Arial Unicode MS"/>
          <w:noProof/>
          <w:u w:color="000000"/>
          <w:bdr w:val="nil"/>
        </w:rPr>
      </w:pPr>
      <w:r>
        <w:rPr>
          <w:noProof/>
          <w:u w:color="000000"/>
          <w:bdr w:val="nil"/>
        </w:rPr>
        <w:t>•</w:t>
      </w:r>
      <w:r>
        <w:rPr>
          <w:noProof/>
        </w:rPr>
        <w:tab/>
      </w:r>
      <w:r>
        <w:rPr>
          <w:noProof/>
          <w:u w:color="000000"/>
          <w:bdr w:val="nil"/>
        </w:rPr>
        <w:t>Alegerea instrumentului</w:t>
      </w:r>
    </w:p>
    <w:p w14:paraId="0E13ACDB" w14:textId="77777777" w:rsidR="00D23642" w:rsidRDefault="0099314D">
      <w:pPr>
        <w:spacing w:after="240"/>
        <w:rPr>
          <w:noProof/>
        </w:rPr>
      </w:pPr>
      <w:r>
        <w:rPr>
          <w:noProof/>
        </w:rPr>
        <w:t>Propunerea este conformă cu articolul 218 alineatul (6) litera (a) din TFUE, care prevede adoptarea de către Consiliu a deciziilor privind încheierea de acorduri internaționale, după obținerea aprobării Parlamentului European. Nu există un alt instrument juridic care ar putea fi folosit în scopul realizării obiectivului exprimat în prezenta propunere.</w:t>
      </w:r>
    </w:p>
    <w:p w14:paraId="23DB0D40" w14:textId="77777777" w:rsidR="00D23642" w:rsidRDefault="0099314D">
      <w:pPr>
        <w:pStyle w:val="ManualHeading1"/>
        <w:rPr>
          <w:noProof/>
        </w:rPr>
      </w:pPr>
      <w:r>
        <w:rPr>
          <w:noProof/>
        </w:rPr>
        <w:t>3.</w:t>
      </w:r>
      <w:r>
        <w:rPr>
          <w:noProof/>
        </w:rPr>
        <w:tab/>
        <w:t>REZULTATELE EVALUĂRILOR EX POST, ALE CONSULTĂRILOR CU PĂRȚILE INTERESATE ȘI ALE EVALUĂRILOR IMPACTULUI</w:t>
      </w:r>
    </w:p>
    <w:p w14:paraId="259812DD" w14:textId="77777777" w:rsidR="00D23642" w:rsidRDefault="0099314D">
      <w:pPr>
        <w:pStyle w:val="ManualHeading2"/>
        <w:rPr>
          <w:rFonts w:eastAsia="Arial Unicode MS"/>
          <w:noProof/>
          <w:u w:color="000000"/>
          <w:bdr w:val="nil"/>
        </w:rPr>
      </w:pPr>
      <w:r>
        <w:rPr>
          <w:noProof/>
          <w:u w:color="000000"/>
          <w:bdr w:val="nil"/>
        </w:rPr>
        <w:t>•</w:t>
      </w:r>
      <w:r>
        <w:rPr>
          <w:noProof/>
        </w:rPr>
        <w:tab/>
      </w:r>
      <w:r>
        <w:rPr>
          <w:noProof/>
          <w:u w:color="000000"/>
          <w:bdr w:val="nil"/>
        </w:rPr>
        <w:t>Evaluările ex post/verificarea adecvării legislației existente</w:t>
      </w:r>
    </w:p>
    <w:p w14:paraId="56186E1E" w14:textId="77777777" w:rsidR="00D23642" w:rsidRDefault="0099314D">
      <w:pPr>
        <w:pBdr>
          <w:top w:val="nil"/>
          <w:left w:val="nil"/>
          <w:bottom w:val="nil"/>
          <w:right w:val="nil"/>
          <w:between w:val="nil"/>
          <w:bar w:val="nil"/>
        </w:pBdr>
        <w:spacing w:before="0" w:after="240"/>
        <w:rPr>
          <w:rFonts w:eastAsia="Arial Unicode MS"/>
          <w:noProof/>
        </w:rPr>
      </w:pPr>
      <w:r>
        <w:rPr>
          <w:noProof/>
        </w:rPr>
        <w:t>Nu se aplică.</w:t>
      </w:r>
    </w:p>
    <w:p w14:paraId="024559D5" w14:textId="77777777" w:rsidR="00D23642" w:rsidRDefault="0099314D">
      <w:pPr>
        <w:pStyle w:val="ManualHeading2"/>
        <w:rPr>
          <w:rFonts w:eastAsia="Arial Unicode MS"/>
          <w:noProof/>
          <w:u w:color="000000"/>
          <w:bdr w:val="nil"/>
        </w:rPr>
      </w:pPr>
      <w:r>
        <w:rPr>
          <w:noProof/>
          <w:u w:color="000000"/>
          <w:bdr w:val="nil"/>
        </w:rPr>
        <w:t>•</w:t>
      </w:r>
      <w:r>
        <w:rPr>
          <w:noProof/>
        </w:rPr>
        <w:tab/>
      </w:r>
      <w:r>
        <w:rPr>
          <w:noProof/>
          <w:u w:color="000000"/>
          <w:bdr w:val="nil"/>
        </w:rPr>
        <w:t>Consultarea părților interesate</w:t>
      </w:r>
    </w:p>
    <w:p w14:paraId="3993E731" w14:textId="77777777" w:rsidR="00D23642" w:rsidRDefault="0099314D">
      <w:pPr>
        <w:pBdr>
          <w:top w:val="nil"/>
          <w:left w:val="nil"/>
          <w:bottom w:val="nil"/>
          <w:right w:val="nil"/>
          <w:between w:val="nil"/>
          <w:bar w:val="nil"/>
        </w:pBdr>
        <w:spacing w:after="240"/>
        <w:rPr>
          <w:noProof/>
        </w:rPr>
      </w:pPr>
      <w:r>
        <w:rPr>
          <w:noProof/>
        </w:rPr>
        <w:t>Comisia a desfășurat o consultare publică în 2021 ca parte din evaluarea ex post a Acordului comercial multilateral dintre UE și țările Comunității Andine, care a cuprins opiniile părților interesate cu privire la investițiile din țările vizate, inclusiv Ecuador.</w:t>
      </w:r>
    </w:p>
    <w:p w14:paraId="7A192016" w14:textId="77777777" w:rsidR="00D23642" w:rsidRDefault="0099314D">
      <w:pPr>
        <w:pStyle w:val="ManualHeading2"/>
        <w:rPr>
          <w:rFonts w:eastAsia="Arial Unicode MS"/>
          <w:noProof/>
          <w:u w:color="000000"/>
          <w:bdr w:val="nil"/>
        </w:rPr>
      </w:pPr>
      <w:r>
        <w:rPr>
          <w:noProof/>
          <w:u w:color="000000"/>
          <w:bdr w:val="nil"/>
        </w:rPr>
        <w:t>•</w:t>
      </w:r>
      <w:r>
        <w:rPr>
          <w:noProof/>
        </w:rPr>
        <w:tab/>
      </w:r>
      <w:r>
        <w:rPr>
          <w:noProof/>
          <w:u w:color="000000"/>
          <w:bdr w:val="nil"/>
        </w:rPr>
        <w:t>Obținerea și utilizarea cunoștințelor de specialitate</w:t>
      </w:r>
    </w:p>
    <w:p w14:paraId="30F0E24E" w14:textId="77777777" w:rsidR="00D23642" w:rsidRDefault="0099314D">
      <w:pPr>
        <w:pBdr>
          <w:top w:val="nil"/>
          <w:left w:val="nil"/>
          <w:bottom w:val="nil"/>
          <w:right w:val="nil"/>
          <w:between w:val="nil"/>
          <w:bar w:val="nil"/>
        </w:pBdr>
        <w:spacing w:after="240"/>
        <w:rPr>
          <w:noProof/>
          <w:color w:val="1A1A1A"/>
          <w:szCs w:val="24"/>
        </w:rPr>
      </w:pPr>
      <w:r>
        <w:rPr>
          <w:noProof/>
          <w:color w:val="1A1A1A"/>
        </w:rPr>
        <w:t xml:space="preserve">Prezenta propunere se bazează pe cunoștințele de specialitate externe acumulate în contextul unui proiect realizat de Banca Mondială și comandat de Comisia Europeană. </w:t>
      </w:r>
      <w:r>
        <w:rPr>
          <w:noProof/>
        </w:rPr>
        <w:t>Raportul a identificat în special faptul că investitorii</w:t>
      </w:r>
      <w:r>
        <w:rPr>
          <w:rStyle w:val="FootnoteReference"/>
          <w:noProof/>
          <w:szCs w:val="24"/>
        </w:rPr>
        <w:footnoteReference w:id="9"/>
      </w:r>
      <w:r>
        <w:rPr>
          <w:noProof/>
        </w:rPr>
        <w:t xml:space="preserve"> au prezentat, ca factori critici care le afectează deciziile de investiții în țările în curs de dezvoltare, lipsa de transparență și de previzibilitate în relațiile cu agențiile publice, modificarea bruscă a legilor și a reglementărilor, precum și întârzierile în obținerea autorizațiilor și a aprobărilor guvernamentale.</w:t>
      </w:r>
      <w:r>
        <w:rPr>
          <w:noProof/>
          <w:color w:val="1A1A1A"/>
        </w:rPr>
        <w:t xml:space="preserve"> Acestea sunt domeniile vizate de AFID.</w:t>
      </w:r>
    </w:p>
    <w:p w14:paraId="24269CFC" w14:textId="77777777" w:rsidR="00D23642" w:rsidRDefault="0099314D">
      <w:pPr>
        <w:pStyle w:val="ManualHeading2"/>
        <w:rPr>
          <w:rFonts w:eastAsia="Arial Unicode MS"/>
          <w:noProof/>
          <w:u w:color="000000"/>
          <w:bdr w:val="nil"/>
        </w:rPr>
      </w:pPr>
      <w:r>
        <w:rPr>
          <w:noProof/>
          <w:u w:color="000000"/>
          <w:bdr w:val="nil"/>
        </w:rPr>
        <w:t>•</w:t>
      </w:r>
      <w:r>
        <w:rPr>
          <w:noProof/>
        </w:rPr>
        <w:tab/>
      </w:r>
      <w:r>
        <w:rPr>
          <w:noProof/>
          <w:u w:color="000000"/>
          <w:bdr w:val="nil"/>
        </w:rPr>
        <w:t>Evaluarea impactului</w:t>
      </w:r>
    </w:p>
    <w:p w14:paraId="7861306F" w14:textId="77777777" w:rsidR="00D23642" w:rsidRDefault="0099314D">
      <w:pPr>
        <w:pBdr>
          <w:top w:val="nil"/>
          <w:left w:val="nil"/>
          <w:bottom w:val="nil"/>
          <w:right w:val="nil"/>
          <w:between w:val="nil"/>
          <w:bar w:val="nil"/>
        </w:pBdr>
        <w:spacing w:after="240"/>
        <w:rPr>
          <w:noProof/>
        </w:rPr>
      </w:pPr>
      <w:bookmarkStart w:id="1" w:name="_Hlk192588789"/>
      <w:bookmarkStart w:id="2" w:name="_Hlk164762679"/>
      <w:r>
        <w:rPr>
          <w:noProof/>
        </w:rPr>
        <w:t xml:space="preserve">Angajamentele din AFID legate de facilitarea investițiilor se concentrează pe aplicarea principiilor bunei guvernanțe și bunelor practici de reglementare, inclusiv transparența, previzibilitatea și eficiența administrativă, în contextul cadrului de investiții al unei țări </w:t>
      </w:r>
      <w:r>
        <w:rPr>
          <w:noProof/>
        </w:rPr>
        <w:lastRenderedPageBreak/>
        <w:t xml:space="preserve">partenere (legi, reglementări și proceduri în domeniul investițiilor). Impactul acestor măsuri de facilitare a investițiilor este legat în mare parte de punerea în aplicare a acordului de către o țară parteneră și de îmbunătățirea pe termen lung a mediului său de investiții. Impactul global este influențat și de investițiile individuale pe care le-ar putea atrage un astfel de cadru de investiții mai bun. AFID codifică practici deja bine stabilite în UE. </w:t>
      </w:r>
      <w:bookmarkEnd w:id="1"/>
    </w:p>
    <w:p w14:paraId="438BF7B4" w14:textId="77777777" w:rsidR="00D23642" w:rsidRDefault="0099314D">
      <w:pPr>
        <w:pBdr>
          <w:top w:val="nil"/>
          <w:left w:val="nil"/>
          <w:bottom w:val="nil"/>
          <w:right w:val="nil"/>
          <w:between w:val="nil"/>
          <w:bar w:val="nil"/>
        </w:pBdr>
        <w:spacing w:after="240"/>
        <w:rPr>
          <w:noProof/>
        </w:rPr>
      </w:pPr>
      <w:r>
        <w:rPr>
          <w:noProof/>
        </w:rPr>
        <w:t>În plus, inițiativa beneficiază de mai multe evaluări existente realizate de-a lungul anilor, inclusiv de o evaluare a impactului asupra dezvoltării durabile care a vizat comerțul dintre UE și Comunitatea Andină (2009), de un raport de evaluare a impactului economic al Acordului comercial dintre Uniunea Europeană și Ecuador (2016) și de raportul de evaluare ex post a Acordului comercial dintre UE și țările Comunității Andine (2021).</w:t>
      </w:r>
    </w:p>
    <w:bookmarkEnd w:id="2"/>
    <w:p w14:paraId="6BAA8516" w14:textId="77777777" w:rsidR="00D23642" w:rsidRDefault="0099314D">
      <w:pPr>
        <w:pStyle w:val="ManualHeading2"/>
        <w:rPr>
          <w:rFonts w:eastAsia="Arial Unicode MS"/>
          <w:noProof/>
          <w:u w:color="000000"/>
          <w:bdr w:val="nil"/>
        </w:rPr>
      </w:pPr>
      <w:r>
        <w:rPr>
          <w:noProof/>
          <w:u w:color="000000"/>
          <w:bdr w:val="nil"/>
        </w:rPr>
        <w:t>•</w:t>
      </w:r>
      <w:r>
        <w:rPr>
          <w:noProof/>
        </w:rPr>
        <w:tab/>
      </w:r>
      <w:r>
        <w:rPr>
          <w:noProof/>
          <w:u w:color="000000"/>
          <w:bdr w:val="nil"/>
        </w:rPr>
        <w:t>Adecvarea reglementărilor și simplificarea</w:t>
      </w:r>
    </w:p>
    <w:p w14:paraId="07C08EE3" w14:textId="77777777" w:rsidR="00D23642" w:rsidRDefault="0099314D">
      <w:pPr>
        <w:pBdr>
          <w:top w:val="nil"/>
          <w:left w:val="nil"/>
          <w:bottom w:val="nil"/>
          <w:right w:val="nil"/>
          <w:between w:val="nil"/>
          <w:bar w:val="nil"/>
        </w:pBdr>
        <w:spacing w:after="240"/>
        <w:rPr>
          <w:noProof/>
        </w:rPr>
      </w:pPr>
      <w:r>
        <w:rPr>
          <w:noProof/>
        </w:rPr>
        <w:t xml:space="preserve">Scopul prezentei propuneri este adoptarea de către Consiliu a unei decizii de autorizare a încheierii Acordului de facilitare a investițiilor durabile cu Ecuador. Propunerea nu implică schimb de date, automatizarea proceselor, utilizarea sistemelor digitale sau prestarea de servicii publice. Prin urmare, nu se aplică principiul „digital în mod implicit”, întrucât propunerea nu introduce cerințe digitale specifice. </w:t>
      </w:r>
    </w:p>
    <w:p w14:paraId="0136518B" w14:textId="77777777" w:rsidR="00D23642" w:rsidRDefault="0099314D">
      <w:pPr>
        <w:pStyle w:val="ManualHeading2"/>
        <w:rPr>
          <w:rFonts w:eastAsia="Arial Unicode MS"/>
          <w:noProof/>
          <w:u w:color="000000"/>
          <w:bdr w:val="nil"/>
        </w:rPr>
      </w:pPr>
      <w:r>
        <w:rPr>
          <w:noProof/>
          <w:u w:color="000000"/>
          <w:bdr w:val="nil"/>
        </w:rPr>
        <w:t>•</w:t>
      </w:r>
      <w:r>
        <w:rPr>
          <w:noProof/>
        </w:rPr>
        <w:tab/>
      </w:r>
      <w:r>
        <w:rPr>
          <w:noProof/>
          <w:u w:color="000000"/>
          <w:bdr w:val="nil"/>
        </w:rPr>
        <w:t>Drepturile fundamentale</w:t>
      </w:r>
    </w:p>
    <w:p w14:paraId="1BE2E204" w14:textId="77777777" w:rsidR="00D23642" w:rsidRDefault="0099314D">
      <w:pPr>
        <w:pBdr>
          <w:top w:val="nil"/>
          <w:left w:val="nil"/>
          <w:bottom w:val="nil"/>
          <w:right w:val="nil"/>
          <w:between w:val="nil"/>
          <w:bar w:val="nil"/>
        </w:pBdr>
        <w:spacing w:after="240"/>
        <w:rPr>
          <w:rFonts w:eastAsia="Arial Unicode MS"/>
          <w:noProof/>
        </w:rPr>
      </w:pPr>
      <w:r>
        <w:rPr>
          <w:noProof/>
        </w:rPr>
        <w:t>Inițiativa respectă în totalitate Carta Drepturilor Fundamentale a Uniunii Europene.</w:t>
      </w:r>
    </w:p>
    <w:p w14:paraId="6A0586D9" w14:textId="77777777" w:rsidR="00D23642" w:rsidRDefault="0099314D">
      <w:pPr>
        <w:pStyle w:val="ManualHeading1"/>
        <w:rPr>
          <w:noProof/>
        </w:rPr>
      </w:pPr>
      <w:r>
        <w:rPr>
          <w:noProof/>
        </w:rPr>
        <w:t>4.</w:t>
      </w:r>
      <w:r>
        <w:rPr>
          <w:noProof/>
        </w:rPr>
        <w:tab/>
        <w:t>IMPLICAȚII BUGETARE</w:t>
      </w:r>
    </w:p>
    <w:p w14:paraId="71131E8A" w14:textId="77777777" w:rsidR="00D23642" w:rsidRDefault="0099314D">
      <w:pPr>
        <w:pBdr>
          <w:top w:val="nil"/>
          <w:left w:val="nil"/>
          <w:bottom w:val="nil"/>
          <w:right w:val="nil"/>
          <w:between w:val="nil"/>
          <w:bar w:val="nil"/>
        </w:pBdr>
        <w:spacing w:before="0" w:after="240"/>
        <w:rPr>
          <w:rFonts w:eastAsia="Arial Unicode MS"/>
          <w:noProof/>
        </w:rPr>
      </w:pPr>
      <w:r>
        <w:rPr>
          <w:noProof/>
        </w:rPr>
        <w:t>Prezentul acord nu are implicații bugetare.</w:t>
      </w:r>
    </w:p>
    <w:p w14:paraId="05878547" w14:textId="77777777" w:rsidR="00D23642" w:rsidRDefault="0099314D">
      <w:pPr>
        <w:pStyle w:val="ManualHeading1"/>
        <w:rPr>
          <w:noProof/>
        </w:rPr>
      </w:pPr>
      <w:r>
        <w:rPr>
          <w:noProof/>
        </w:rPr>
        <w:t>5.</w:t>
      </w:r>
      <w:r>
        <w:rPr>
          <w:noProof/>
        </w:rPr>
        <w:tab/>
        <w:t>ALTE ELEMENTE</w:t>
      </w:r>
    </w:p>
    <w:p w14:paraId="3B10B30F" w14:textId="77777777" w:rsidR="00D23642" w:rsidRDefault="0099314D">
      <w:pPr>
        <w:pStyle w:val="ManualHeading2"/>
        <w:rPr>
          <w:rFonts w:eastAsia="Arial Unicode MS"/>
          <w:noProof/>
          <w:u w:color="000000"/>
          <w:bdr w:val="nil"/>
        </w:rPr>
      </w:pPr>
      <w:r>
        <w:rPr>
          <w:noProof/>
          <w:u w:color="000000"/>
          <w:bdr w:val="nil"/>
        </w:rPr>
        <w:t>•</w:t>
      </w:r>
      <w:r>
        <w:rPr>
          <w:noProof/>
        </w:rPr>
        <w:tab/>
      </w:r>
      <w:r>
        <w:rPr>
          <w:noProof/>
          <w:u w:color="000000"/>
          <w:bdr w:val="nil"/>
        </w:rPr>
        <w:t>Planurile de punere în aplicare și măsurile de monitorizare, evaluare și raportare</w:t>
      </w:r>
    </w:p>
    <w:p w14:paraId="0AB21E1E" w14:textId="77777777" w:rsidR="00D23642" w:rsidRDefault="0099314D">
      <w:pPr>
        <w:autoSpaceDE w:val="0"/>
        <w:autoSpaceDN w:val="0"/>
        <w:adjustRightInd w:val="0"/>
        <w:spacing w:after="240"/>
        <w:rPr>
          <w:noProof/>
        </w:rPr>
      </w:pPr>
      <w:r>
        <w:rPr>
          <w:noProof/>
        </w:rPr>
        <w:t xml:space="preserve">Acordul prevede dispoziții instituționale care stabilesc structura pentru organismele de punere în aplicare care să monitorizeze permanent punerea în aplicare, funcționarea și impactul acestuia. </w:t>
      </w:r>
    </w:p>
    <w:p w14:paraId="6E3A2C4D" w14:textId="77777777" w:rsidR="00D23642" w:rsidRDefault="0099314D">
      <w:pPr>
        <w:autoSpaceDE w:val="0"/>
        <w:autoSpaceDN w:val="0"/>
        <w:adjustRightInd w:val="0"/>
        <w:spacing w:after="240"/>
        <w:rPr>
          <w:noProof/>
        </w:rPr>
      </w:pPr>
      <w:r>
        <w:rPr>
          <w:noProof/>
        </w:rPr>
        <w:t>Capitolul din acord referitor la instituții instituie un „Comitet pentru facilitarea investițiilor”, a cărui sarcină principală este de a se asigura că acordul funcționează în mod corespunzător și eficace. Acordul instituie, de asemenea, un dialog cu societatea civilă, care are loc anual în paralel cu reuniunea Comitetului pentru facilitarea investițiilor.</w:t>
      </w:r>
    </w:p>
    <w:p w14:paraId="48C28A25" w14:textId="77777777" w:rsidR="00D23642" w:rsidRDefault="0099314D">
      <w:pPr>
        <w:pStyle w:val="ManualHeading2"/>
        <w:rPr>
          <w:rFonts w:eastAsia="Arial Unicode MS"/>
          <w:noProof/>
          <w:u w:color="000000"/>
          <w:bdr w:val="nil"/>
        </w:rPr>
      </w:pPr>
      <w:r>
        <w:rPr>
          <w:noProof/>
          <w:u w:color="000000"/>
          <w:bdr w:val="nil"/>
        </w:rPr>
        <w:t>•</w:t>
      </w:r>
      <w:r>
        <w:rPr>
          <w:noProof/>
        </w:rPr>
        <w:tab/>
      </w:r>
      <w:r>
        <w:rPr>
          <w:noProof/>
          <w:u w:color="000000"/>
          <w:bdr w:val="nil"/>
        </w:rPr>
        <w:t>Documentele explicative (în cazul directivelor)</w:t>
      </w:r>
    </w:p>
    <w:p w14:paraId="6A3A972A" w14:textId="77777777" w:rsidR="00D23642" w:rsidRDefault="0099314D">
      <w:pPr>
        <w:pBdr>
          <w:top w:val="nil"/>
          <w:left w:val="nil"/>
          <w:bottom w:val="nil"/>
          <w:right w:val="nil"/>
          <w:between w:val="nil"/>
          <w:bar w:val="nil"/>
        </w:pBdr>
        <w:spacing w:before="0" w:after="240"/>
        <w:rPr>
          <w:rFonts w:eastAsia="Arial Unicode MS"/>
          <w:noProof/>
        </w:rPr>
      </w:pPr>
      <w:r>
        <w:rPr>
          <w:noProof/>
        </w:rPr>
        <w:t>Nu se aplică.</w:t>
      </w:r>
    </w:p>
    <w:p w14:paraId="64C60B69" w14:textId="77777777" w:rsidR="00D23642" w:rsidRDefault="0099314D">
      <w:pPr>
        <w:pStyle w:val="ManualHeading2"/>
        <w:rPr>
          <w:rFonts w:eastAsia="Arial Unicode MS"/>
          <w:noProof/>
          <w:u w:color="000000"/>
          <w:bdr w:val="nil"/>
        </w:rPr>
      </w:pPr>
      <w:r>
        <w:rPr>
          <w:noProof/>
          <w:u w:color="000000"/>
          <w:bdr w:val="nil"/>
        </w:rPr>
        <w:t>•</w:t>
      </w:r>
      <w:r>
        <w:rPr>
          <w:noProof/>
        </w:rPr>
        <w:tab/>
      </w:r>
      <w:r>
        <w:rPr>
          <w:noProof/>
          <w:u w:color="000000"/>
          <w:bdr w:val="nil"/>
        </w:rPr>
        <w:t>Explicarea detaliată a dispozițiilor specifice ale propunerii</w:t>
      </w:r>
    </w:p>
    <w:p w14:paraId="1CB09D3A" w14:textId="77777777" w:rsidR="00D23642" w:rsidRDefault="0099314D">
      <w:pPr>
        <w:rPr>
          <w:rStyle w:val="normaltextrun"/>
          <w:noProof/>
        </w:rPr>
      </w:pPr>
      <w:bookmarkStart w:id="3" w:name="_Toc216446894"/>
      <w:r>
        <w:rPr>
          <w:rStyle w:val="normaltextrun"/>
          <w:noProof/>
        </w:rPr>
        <w:t>Obiectivul general al acestui acord este de a facilita atragerea și extinderea investițiilor dintre UE și Ecuador în scopul diversificării economice și al dezvoltării durabile.</w:t>
      </w:r>
    </w:p>
    <w:p w14:paraId="3E8C8AFE" w14:textId="77777777" w:rsidR="00D23642" w:rsidRDefault="0099314D">
      <w:pPr>
        <w:rPr>
          <w:rStyle w:val="normaltextrun"/>
          <w:noProof/>
        </w:rPr>
      </w:pPr>
      <w:r>
        <w:rPr>
          <w:rStyle w:val="normaltextrun"/>
          <w:noProof/>
        </w:rPr>
        <w:t xml:space="preserve">Acordul include trei capitole de fond privind facilitarea investițiilor: </w:t>
      </w:r>
    </w:p>
    <w:p w14:paraId="30BD12B5" w14:textId="77777777" w:rsidR="00D23642" w:rsidRDefault="0099314D">
      <w:pPr>
        <w:pStyle w:val="Bullet0"/>
        <w:numPr>
          <w:ilvl w:val="0"/>
          <w:numId w:val="1"/>
        </w:numPr>
        <w:rPr>
          <w:rStyle w:val="normaltextrun"/>
          <w:noProof/>
          <w:szCs w:val="24"/>
        </w:rPr>
      </w:pPr>
      <w:r>
        <w:rPr>
          <w:rStyle w:val="normaltextrun"/>
          <w:noProof/>
        </w:rPr>
        <w:t xml:space="preserve">transparența și previzibilitatea măsurilor de investiții, de exemplu prin publicarea online a actelor cu putere de lege și a normelor administrative în materie de investiții, </w:t>
      </w:r>
      <w:r>
        <w:rPr>
          <w:noProof/>
        </w:rPr>
        <w:lastRenderedPageBreak/>
        <w:t xml:space="preserve">prin consultarea părților interesate cu privire la proiectele de măsuri, </w:t>
      </w:r>
      <w:r>
        <w:rPr>
          <w:rStyle w:val="normaltextrun"/>
          <w:noProof/>
        </w:rPr>
        <w:t>precum și prin promovarea utilizării portalurilor unice de informare pentru investitori;</w:t>
      </w:r>
    </w:p>
    <w:p w14:paraId="60837AD3" w14:textId="77777777" w:rsidR="00D23642" w:rsidRDefault="0099314D">
      <w:pPr>
        <w:pStyle w:val="Bullet0"/>
        <w:rPr>
          <w:rStyle w:val="normaltextrun"/>
          <w:noProof/>
          <w:szCs w:val="24"/>
        </w:rPr>
      </w:pPr>
      <w:r>
        <w:rPr>
          <w:rStyle w:val="normaltextrun"/>
          <w:noProof/>
        </w:rPr>
        <w:t>simplificarea procedurilor de autorizare, inclusiv prin bune practici de reglementare, cerințe mai clare și promovarea e-guvernării; și</w:t>
      </w:r>
    </w:p>
    <w:p w14:paraId="2F0BDF06" w14:textId="77777777" w:rsidR="00D23642" w:rsidRDefault="0099314D">
      <w:pPr>
        <w:pStyle w:val="Bullet0"/>
        <w:rPr>
          <w:rStyle w:val="normaltextrun"/>
          <w:noProof/>
          <w:szCs w:val="24"/>
        </w:rPr>
      </w:pPr>
      <w:r>
        <w:rPr>
          <w:rStyle w:val="normaltextrun"/>
          <w:noProof/>
        </w:rPr>
        <w:t>punctele de contact și implicarea părților interesate, în special pentru a facilita interacțiunile dintre investitori, părțile interesate și administrație.</w:t>
      </w:r>
    </w:p>
    <w:p w14:paraId="7577B202" w14:textId="77777777" w:rsidR="00D23642" w:rsidRDefault="0099314D">
      <w:pPr>
        <w:rPr>
          <w:rStyle w:val="normaltextrun"/>
          <w:noProof/>
        </w:rPr>
      </w:pPr>
      <w:r>
        <w:rPr>
          <w:rStyle w:val="normaltextrun"/>
          <w:noProof/>
        </w:rPr>
        <w:t>Acordul consolidează, de asemenea, dimensiunea dezvoltării durabile în relația de investiții UE-Ecuador prin intermediul unui capitol privind investițiile și dezvoltarea durabilă. Acest capitol include angajamente de a nu slăbi legislația în domeniul mediului sau al muncii cu scopul de a atrage investiții și de a nu deroga de la aceste legi, precum și angajamente de a pune în aplicare în mod eficace acordurile internaționale în domeniul muncii și al mediului, inclusiv Acordul de la Paris. Acordul impune păr</w:t>
      </w:r>
      <w:r>
        <w:rPr>
          <w:rStyle w:val="normaltextrun"/>
          <w:noProof/>
        </w:rPr>
        <w:t>ț</w:t>
      </w:r>
      <w:r>
        <w:rPr>
          <w:rStyle w:val="normaltextrun"/>
          <w:noProof/>
        </w:rPr>
        <w:t>ilor să promoveze practici comerciale responsabile din partea investitorilor și consolidează cooperarea bilaterală cu privire la aspectele legate de investiții ale politicilor privind schimbările climatice și ale celor privind egalitatea de gen.</w:t>
      </w:r>
    </w:p>
    <w:p w14:paraId="0BF4E5D9" w14:textId="77777777" w:rsidR="00D23642" w:rsidRDefault="0099314D">
      <w:pPr>
        <w:rPr>
          <w:rStyle w:val="normaltextrun"/>
          <w:noProof/>
        </w:rPr>
      </w:pPr>
      <w:r>
        <w:rPr>
          <w:rStyle w:val="normaltextrun"/>
          <w:noProof/>
        </w:rPr>
        <w:t>Acordul include, de asemenea, un capitol privind „[e]vitarea și soluționarea litigiilor”, care urmărește să promoveze cooperarea dintre părți și soluțiile convenite de comun acord în caz de litigii, dar include și mecanisme de soluționare a litigiilor interstatale ca soluție de ultimă instanță.</w:t>
      </w:r>
    </w:p>
    <w:p w14:paraId="4D2277B2" w14:textId="77777777" w:rsidR="00D23642" w:rsidRDefault="0099314D">
      <w:pPr>
        <w:rPr>
          <w:rStyle w:val="normaltextrun"/>
          <w:noProof/>
        </w:rPr>
      </w:pPr>
      <w:r>
        <w:rPr>
          <w:rStyle w:val="normaltextrun"/>
          <w:noProof/>
        </w:rPr>
        <w:t>În cele din urmă, acordul include o anexă privind energia durabilă și materiile prime, cu scopul de a facilita investițiile între UE și Ecuador în aceste sectoare, în vederea favorizării tranziției energetice și a îmbunătățirii durabilității mediului.</w:t>
      </w:r>
    </w:p>
    <w:p w14:paraId="3E56B48A" w14:textId="77777777" w:rsidR="00D23642" w:rsidRDefault="0099314D">
      <w:pPr>
        <w:rPr>
          <w:rStyle w:val="normaltextrun"/>
          <w:noProof/>
        </w:rPr>
      </w:pPr>
      <w:r>
        <w:rPr>
          <w:rStyle w:val="normaltextrun"/>
          <w:noProof/>
        </w:rPr>
        <w:t>În ansamblu, prin facilitarea investițiilor, acordul poate duce la îmbunătățiri ale climatului de investiții din Ecuador, aducând beneficii atât firmelor străine, cât și celor naționale. Prin urmare, investitorii străini vor fi încurajați să rămână mai mult timp, aducând o contribuție pe termen mai lung la economia ecuadoriană. Pe lângă sprijinirea investitorilor existenți, acordul vizează, de asemenea, atragerea de noi investitori în Ecuador, în special a întreprinderilor mici și mijlocii, care tind să înt</w:t>
      </w:r>
      <w:r>
        <w:rPr>
          <w:rStyle w:val="normaltextrun"/>
          <w:noProof/>
        </w:rPr>
        <w:t>âmpine mai multe dificultăți în navigarea prin proceduri lungi, netransparente și complexe pentru a investi în străinătate. Acordul promovează securitatea juridică pentru investiții în toate sectoarele și, prin urmare, se preconizează că va contribui la diversificarea economică a Ecuadorului.</w:t>
      </w:r>
    </w:p>
    <w:p w14:paraId="1F58F9E9" w14:textId="77777777" w:rsidR="00D23642" w:rsidRDefault="0099314D">
      <w:pPr>
        <w:pStyle w:val="ManualHeading2"/>
        <w:rPr>
          <w:rFonts w:eastAsia="Arial Unicode MS"/>
          <w:noProof/>
          <w:u w:color="000000"/>
          <w:bdr w:val="nil"/>
        </w:rPr>
      </w:pPr>
      <w:r>
        <w:rPr>
          <w:noProof/>
          <w:u w:color="000000"/>
          <w:bdr w:val="nil"/>
        </w:rPr>
        <w:t>•</w:t>
      </w:r>
      <w:r>
        <w:rPr>
          <w:noProof/>
        </w:rPr>
        <w:tab/>
      </w:r>
      <w:r>
        <w:rPr>
          <w:noProof/>
          <w:u w:color="000000"/>
          <w:bdr w:val="nil"/>
        </w:rPr>
        <w:t>Textul acordului și al notificărilor</w:t>
      </w:r>
      <w:bookmarkEnd w:id="3"/>
    </w:p>
    <w:p w14:paraId="33782913" w14:textId="77777777" w:rsidR="00D23642" w:rsidRDefault="0099314D">
      <w:pPr>
        <w:rPr>
          <w:noProof/>
          <w:szCs w:val="24"/>
        </w:rPr>
      </w:pPr>
      <w:r>
        <w:rPr>
          <w:noProof/>
        </w:rPr>
        <w:t xml:space="preserve">Textul acordului este transmis Consiliului împreună cu prezenta propunere. </w:t>
      </w:r>
    </w:p>
    <w:p w14:paraId="23CC980B" w14:textId="77777777" w:rsidR="00D23642" w:rsidRDefault="0099314D">
      <w:pPr>
        <w:rPr>
          <w:noProof/>
          <w:szCs w:val="24"/>
        </w:rPr>
      </w:pPr>
      <w:r>
        <w:rPr>
          <w:noProof/>
        </w:rPr>
        <w:t xml:space="preserve">În conformitate cu tratatele, este de competența Comisiei să efectueze notificarea prevăzută la articolul 57 din acord, pentru a exprima consimțământul Uniunii de a-și asuma obligații în temeiul acordului. </w:t>
      </w:r>
    </w:p>
    <w:p w14:paraId="61570F97" w14:textId="77777777" w:rsidR="002A1751" w:rsidRDefault="002A1751">
      <w:pPr>
        <w:pStyle w:val="Rfrenceinterinstitutionnelle"/>
        <w:rPr>
          <w:noProof/>
        </w:rPr>
      </w:pPr>
      <w:r>
        <w:rPr>
          <w:noProof/>
        </w:rPr>
        <w:br w:type="page"/>
      </w:r>
    </w:p>
    <w:p w14:paraId="7AF1A52D" w14:textId="01742FB6" w:rsidR="00D23642" w:rsidRDefault="0099314D">
      <w:pPr>
        <w:pStyle w:val="Rfrenceinterinstitutionnelle"/>
        <w:rPr>
          <w:noProof/>
        </w:rPr>
      </w:pPr>
      <w:r>
        <w:rPr>
          <w:noProof/>
        </w:rPr>
        <w:lastRenderedPageBreak/>
        <w:t>2026/0287 (NLE)</w:t>
      </w:r>
    </w:p>
    <w:p w14:paraId="6683E332" w14:textId="77777777" w:rsidR="00D23642" w:rsidRDefault="0099314D">
      <w:pPr>
        <w:pStyle w:val="Statut"/>
        <w:rPr>
          <w:noProof/>
        </w:rPr>
      </w:pPr>
      <w:r>
        <w:rPr>
          <w:noProof/>
        </w:rPr>
        <w:t>Propunere de</w:t>
      </w:r>
    </w:p>
    <w:p w14:paraId="6CAFE029" w14:textId="77777777" w:rsidR="00D23642" w:rsidRDefault="0099314D">
      <w:pPr>
        <w:pStyle w:val="Typedudocument"/>
        <w:rPr>
          <w:noProof/>
        </w:rPr>
      </w:pPr>
      <w:r>
        <w:rPr>
          <w:noProof/>
        </w:rPr>
        <w:t>DECIZIE A CONSILIULUI</w:t>
      </w:r>
    </w:p>
    <w:p w14:paraId="32376D6C" w14:textId="77777777" w:rsidR="00D23642" w:rsidRDefault="0099314D">
      <w:pPr>
        <w:pStyle w:val="Titreobjet"/>
        <w:rPr>
          <w:noProof/>
        </w:rPr>
      </w:pPr>
      <w:r>
        <w:rPr>
          <w:noProof/>
        </w:rPr>
        <w:t>privind încheierea Acordului de facilitare a investițiilor durabile dintre Uniunea Europeană și Republica Ecuador</w:t>
      </w:r>
    </w:p>
    <w:p w14:paraId="136D8AB3" w14:textId="77777777" w:rsidR="00D23642" w:rsidRDefault="0099314D">
      <w:pPr>
        <w:pStyle w:val="Institutionquiagit"/>
        <w:rPr>
          <w:noProof/>
        </w:rPr>
      </w:pPr>
      <w:r>
        <w:rPr>
          <w:noProof/>
        </w:rPr>
        <w:t>CONSILIUL UNIUNII EUROPENE,</w:t>
      </w:r>
    </w:p>
    <w:p w14:paraId="6C6EACEC" w14:textId="77777777" w:rsidR="00D23642" w:rsidRDefault="0099314D">
      <w:pPr>
        <w:rPr>
          <w:noProof/>
        </w:rPr>
      </w:pPr>
      <w:r>
        <w:rPr>
          <w:noProof/>
        </w:rPr>
        <w:t>având în vedere Tratatul privind funcționarea Uniunii Europene, în special articolul 207 alineatul (4) primul paragraf coroborat cu articolul 218 alineatul (6) al doilea paragraf litera (a),</w:t>
      </w:r>
    </w:p>
    <w:p w14:paraId="6CECC6E7" w14:textId="77777777" w:rsidR="00D23642" w:rsidRDefault="0099314D">
      <w:pPr>
        <w:rPr>
          <w:noProof/>
        </w:rPr>
      </w:pPr>
      <w:r>
        <w:rPr>
          <w:noProof/>
        </w:rPr>
        <w:t>având în vedere propunerea Comisiei Europene,</w:t>
      </w:r>
    </w:p>
    <w:p w14:paraId="52977EC8" w14:textId="77777777" w:rsidR="00D23642" w:rsidRDefault="0099314D">
      <w:pPr>
        <w:rPr>
          <w:noProof/>
        </w:rPr>
      </w:pPr>
      <w:r>
        <w:rPr>
          <w:noProof/>
        </w:rPr>
        <w:t>având în vedere aprobarea Parlamentului European</w:t>
      </w:r>
      <w:r>
        <w:rPr>
          <w:rStyle w:val="FootnoteReference"/>
          <w:noProof/>
        </w:rPr>
        <w:footnoteReference w:id="10"/>
      </w:r>
      <w:r>
        <w:rPr>
          <w:noProof/>
        </w:rPr>
        <w:t>,</w:t>
      </w:r>
    </w:p>
    <w:p w14:paraId="18E7AA08" w14:textId="77777777" w:rsidR="00D23642" w:rsidRDefault="0099314D">
      <w:pPr>
        <w:rPr>
          <w:noProof/>
        </w:rPr>
      </w:pPr>
      <w:r>
        <w:rPr>
          <w:noProof/>
        </w:rPr>
        <w:t>întrucât:</w:t>
      </w:r>
    </w:p>
    <w:p w14:paraId="0A72B38D" w14:textId="77777777" w:rsidR="00D23642" w:rsidRDefault="0099314D">
      <w:pPr>
        <w:pStyle w:val="ManualConsidrant"/>
        <w:rPr>
          <w:noProof/>
        </w:rPr>
      </w:pPr>
      <w:r>
        <w:rPr>
          <w:noProof/>
        </w:rPr>
        <w:t>(1)</w:t>
      </w:r>
      <w:r>
        <w:rPr>
          <w:noProof/>
        </w:rPr>
        <w:tab/>
        <w:t>În conformitate cu Decizia (UE) […]/[…] a Consiliului</w:t>
      </w:r>
      <w:r>
        <w:rPr>
          <w:rStyle w:val="FootnoteReference"/>
          <w:noProof/>
        </w:rPr>
        <w:footnoteReference w:id="11"/>
      </w:r>
      <w:r>
        <w:rPr>
          <w:noProof/>
        </w:rPr>
        <w:t>, Acordul de facilitare a investițiilor durabile dintre Uniunea Europeană și Republica Ecuador (denumit în continuare „acordul”) a fost semnat la […], sub rezerva încheierii sale la o dată ulterioară.</w:t>
      </w:r>
    </w:p>
    <w:p w14:paraId="6D5ED600" w14:textId="77777777" w:rsidR="00D23642" w:rsidRDefault="0099314D">
      <w:pPr>
        <w:pStyle w:val="ManualConsidrant"/>
        <w:rPr>
          <w:noProof/>
        </w:rPr>
      </w:pPr>
      <w:r>
        <w:rPr>
          <w:noProof/>
        </w:rPr>
        <w:t>(2)</w:t>
      </w:r>
      <w:r>
        <w:rPr>
          <w:noProof/>
        </w:rPr>
        <w:tab/>
        <w:t>Acordul trebuie să fie aprobat,</w:t>
      </w:r>
    </w:p>
    <w:p w14:paraId="6A44BD87" w14:textId="77777777" w:rsidR="00D23642" w:rsidRDefault="0099314D">
      <w:pPr>
        <w:pStyle w:val="Formuledadoption"/>
        <w:rPr>
          <w:noProof/>
        </w:rPr>
      </w:pPr>
      <w:r>
        <w:rPr>
          <w:noProof/>
        </w:rPr>
        <w:t xml:space="preserve">ADOPTĂ PREZENTA DECIZIE: </w:t>
      </w:r>
    </w:p>
    <w:p w14:paraId="6A27C3E0" w14:textId="77777777" w:rsidR="00D23642" w:rsidRDefault="0099314D">
      <w:pPr>
        <w:pStyle w:val="Titrearticle"/>
        <w:rPr>
          <w:noProof/>
        </w:rPr>
      </w:pPr>
      <w:r>
        <w:rPr>
          <w:noProof/>
        </w:rPr>
        <w:t>Articolul 1</w:t>
      </w:r>
    </w:p>
    <w:p w14:paraId="12924E6E" w14:textId="77777777" w:rsidR="00D23642" w:rsidRDefault="0099314D">
      <w:pPr>
        <w:rPr>
          <w:noProof/>
        </w:rPr>
      </w:pPr>
      <w:r>
        <w:rPr>
          <w:noProof/>
        </w:rPr>
        <w:t>Prin prezenta decizie, se aprobă Acordul de facilitare a investițiilor între Uniunea Europeană și Republica Ecuador.</w:t>
      </w:r>
    </w:p>
    <w:p w14:paraId="11D79493" w14:textId="77777777" w:rsidR="00D23642" w:rsidRDefault="0099314D">
      <w:pPr>
        <w:pStyle w:val="Titrearticle"/>
        <w:rPr>
          <w:noProof/>
        </w:rPr>
      </w:pPr>
      <w:r>
        <w:rPr>
          <w:noProof/>
        </w:rPr>
        <w:t>Articolul 2</w:t>
      </w:r>
    </w:p>
    <w:p w14:paraId="166B913D" w14:textId="77777777" w:rsidR="00D23642" w:rsidRDefault="0099314D">
      <w:pPr>
        <w:rPr>
          <w:noProof/>
        </w:rPr>
      </w:pPr>
      <w:r>
        <w:rPr>
          <w:noProof/>
        </w:rPr>
        <w:t>Prezenta decizie intră în vigoare la data adoptării</w:t>
      </w:r>
      <w:r>
        <w:rPr>
          <w:rStyle w:val="FootnoteReference"/>
          <w:noProof/>
        </w:rPr>
        <w:footnoteReference w:id="12"/>
      </w:r>
      <w:r>
        <w:rPr>
          <w:noProof/>
        </w:rPr>
        <w:t xml:space="preserve">. </w:t>
      </w:r>
    </w:p>
    <w:p w14:paraId="37AF8FBA" w14:textId="77777777" w:rsidR="00D23642" w:rsidRDefault="0099314D">
      <w:pPr>
        <w:pStyle w:val="Fait"/>
        <w:rPr>
          <w:noProof/>
        </w:rPr>
      </w:pPr>
      <w:r>
        <w:rPr>
          <w:noProof/>
        </w:rPr>
        <w:t>Adoptată la Bruxelles,</w:t>
      </w:r>
    </w:p>
    <w:p w14:paraId="65299FBF" w14:textId="77777777" w:rsidR="00D23642" w:rsidRDefault="0099314D">
      <w:pPr>
        <w:pStyle w:val="Institutionquisigne"/>
        <w:rPr>
          <w:noProof/>
        </w:rPr>
      </w:pPr>
      <w:bookmarkStart w:id="4" w:name="_Hlk230081490"/>
      <w:r>
        <w:rPr>
          <w:noProof/>
        </w:rPr>
        <w:tab/>
        <w:t>Pentru Consiliu</w:t>
      </w:r>
    </w:p>
    <w:p w14:paraId="08E23FAD" w14:textId="77777777" w:rsidR="00D23642" w:rsidRDefault="0099314D">
      <w:pPr>
        <w:pStyle w:val="Personnequisigne"/>
        <w:rPr>
          <w:noProof/>
        </w:rPr>
      </w:pPr>
      <w:r>
        <w:rPr>
          <w:noProof/>
        </w:rPr>
        <w:tab/>
        <w:t>Președintele</w:t>
      </w:r>
      <w:bookmarkEnd w:id="4"/>
    </w:p>
    <w:sectPr w:rsidR="00D23642">
      <w:headerReference w:type="even" r:id="rId11"/>
      <w:footerReference w:type="even" r:id="rId12"/>
      <w:footerReference w:type="default" r:id="rId13"/>
      <w:headerReference w:type="first" r:id="rId14"/>
      <w:footerReference w:type="first" r:id="rId15"/>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EFF4D" w14:textId="77777777" w:rsidR="0099314D" w:rsidRDefault="0099314D">
      <w:pPr>
        <w:spacing w:before="0" w:after="0"/>
      </w:pPr>
      <w:r>
        <w:separator/>
      </w:r>
    </w:p>
  </w:endnote>
  <w:endnote w:type="continuationSeparator" w:id="0">
    <w:p w14:paraId="5BD06211" w14:textId="77777777" w:rsidR="0099314D" w:rsidRDefault="0099314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5C61D" w14:textId="77777777" w:rsidR="00D23642" w:rsidRDefault="0099314D">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7A5FE" w14:textId="77777777" w:rsidR="00D23642" w:rsidRDefault="0099314D">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8432" w14:textId="77777777" w:rsidR="00D23642" w:rsidRDefault="00D2364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76157" w14:textId="77777777" w:rsidR="00D23642" w:rsidRDefault="0099314D">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78141" w14:textId="77777777" w:rsidR="00D23642" w:rsidRDefault="00D236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077C3" w14:textId="77777777" w:rsidR="0099314D" w:rsidRDefault="0099314D">
      <w:pPr>
        <w:spacing w:before="0" w:after="0"/>
      </w:pPr>
      <w:r>
        <w:separator/>
      </w:r>
    </w:p>
  </w:footnote>
  <w:footnote w:type="continuationSeparator" w:id="0">
    <w:p w14:paraId="169BD15B" w14:textId="77777777" w:rsidR="0099314D" w:rsidRDefault="0099314D">
      <w:pPr>
        <w:spacing w:before="0" w:after="0"/>
      </w:pPr>
      <w:r>
        <w:continuationSeparator/>
      </w:r>
    </w:p>
  </w:footnote>
  <w:footnote w:id="1">
    <w:p w14:paraId="49A11DBC" w14:textId="77777777" w:rsidR="00D23642" w:rsidRDefault="0099314D">
      <w:pPr>
        <w:pStyle w:val="FootnoteText"/>
      </w:pPr>
      <w:r>
        <w:rPr>
          <w:rStyle w:val="FootnoteReference"/>
        </w:rPr>
        <w:footnoteRef/>
      </w:r>
      <w:r>
        <w:tab/>
        <w:t>Recomandare de decizie a Consiliului de autorizare a începerii negocierilor în vederea unui Acord de facilitare a investițiilor durabile între Uniunea Europeană și Republica Ecuador, COM(2025) 427 final.</w:t>
      </w:r>
    </w:p>
  </w:footnote>
  <w:footnote w:id="2">
    <w:p w14:paraId="44FE83BF" w14:textId="77777777" w:rsidR="00D23642" w:rsidRDefault="0099314D">
      <w:pPr>
        <w:pStyle w:val="FootnoteText"/>
      </w:pPr>
      <w:r>
        <w:rPr>
          <w:rStyle w:val="FootnoteReference"/>
        </w:rPr>
        <w:footnoteRef/>
      </w:r>
      <w:r>
        <w:tab/>
        <w:t>Decizia (UE) 2025/2278 a Consiliului din 20 octombrie 2025 de autorizare a începerii negocierilor cu Republica Ecuador în vederea unui acord de facilitare a investițiilor durabile, JO L, 2025/2278, 7.11.2025, ELI: http://data.europa.eu/eli/dec/2025/2278/oj.</w:t>
      </w:r>
    </w:p>
  </w:footnote>
  <w:footnote w:id="3">
    <w:p w14:paraId="7311170B" w14:textId="77777777" w:rsidR="00D23642" w:rsidRDefault="0099314D">
      <w:pPr>
        <w:pStyle w:val="FootnoteText"/>
      </w:pPr>
      <w:r>
        <w:rPr>
          <w:rStyle w:val="FootnoteReference"/>
        </w:rPr>
        <w:footnoteRef/>
      </w:r>
      <w:r>
        <w:tab/>
      </w:r>
      <w:r>
        <w:t>Articolul 21 alineatul (2) litera (e) din TUE.</w:t>
      </w:r>
    </w:p>
  </w:footnote>
  <w:footnote w:id="4">
    <w:p w14:paraId="71ADE6F9" w14:textId="77777777" w:rsidR="00D23642" w:rsidRDefault="0099314D">
      <w:pPr>
        <w:pStyle w:val="FootnoteText"/>
      </w:pPr>
      <w:r>
        <w:rPr>
          <w:rStyle w:val="FootnoteReference"/>
        </w:rPr>
        <w:footnoteRef/>
      </w:r>
      <w:r>
        <w:tab/>
      </w:r>
      <w:hyperlink r:id="rId1" w:history="1">
        <w:r>
          <w:rPr>
            <w:rStyle w:val="Hyperlink"/>
          </w:rPr>
          <w:t>https://www.wto.org/english/tratop_e/invfac_public_e/invfac_e.htm</w:t>
        </w:r>
      </w:hyperlink>
      <w:r>
        <w:t>.</w:t>
      </w:r>
    </w:p>
  </w:footnote>
  <w:footnote w:id="5">
    <w:p w14:paraId="3782C08A" w14:textId="77777777" w:rsidR="00D23642" w:rsidRDefault="0099314D">
      <w:pPr>
        <w:pStyle w:val="FootnoteText"/>
      </w:pPr>
      <w:r>
        <w:rPr>
          <w:rStyle w:val="FootnoteReference"/>
        </w:rPr>
        <w:footnoteRef/>
      </w:r>
      <w:r>
        <w:tab/>
        <w:t>Comunicarea Comisiei „O Busolă pentru competitivitatea UE”, COM(2025) 30 final.</w:t>
      </w:r>
    </w:p>
  </w:footnote>
  <w:footnote w:id="6">
    <w:p w14:paraId="2E213F22" w14:textId="77777777" w:rsidR="00D23642" w:rsidRDefault="0099314D">
      <w:pPr>
        <w:pStyle w:val="FootnoteText"/>
      </w:pPr>
      <w:r>
        <w:rPr>
          <w:rStyle w:val="FootnoteReference"/>
        </w:rPr>
        <w:footnoteRef/>
      </w:r>
      <w:r>
        <w:tab/>
        <w:t>Comunicare a Comisiei către Parlamentul European, Consiliu și Comitetul Economic și Social European: „Puterea parteneriatelor comerciale: împreună pentru o creștere economică verde și justă”, COM(2022) 409 final.</w:t>
      </w:r>
    </w:p>
  </w:footnote>
  <w:footnote w:id="7">
    <w:p w14:paraId="4C7FBC64" w14:textId="77777777" w:rsidR="00D23642" w:rsidRDefault="0099314D">
      <w:pPr>
        <w:pStyle w:val="FootnoteText"/>
      </w:pPr>
      <w:r>
        <w:rPr>
          <w:rStyle w:val="FootnoteReference"/>
        </w:rPr>
        <w:footnoteRef/>
      </w:r>
      <w:r>
        <w:tab/>
      </w:r>
      <w:r>
        <w:t>Comunicare comună către Parlamentul European și Consiliu „O nouă agendă pentru relațiile dintre UE și America Latină și zona Caraibilor”, JOIN(2023) 17 final.</w:t>
      </w:r>
    </w:p>
  </w:footnote>
  <w:footnote w:id="8">
    <w:p w14:paraId="5B6B1547" w14:textId="77777777" w:rsidR="00D23642" w:rsidRDefault="0099314D">
      <w:pPr>
        <w:pStyle w:val="FootnoteText"/>
      </w:pPr>
      <w:r>
        <w:rPr>
          <w:rStyle w:val="FootnoteReference"/>
        </w:rPr>
        <w:footnoteRef/>
      </w:r>
      <w:r>
        <w:tab/>
        <w:t xml:space="preserve">Ibidem. </w:t>
      </w:r>
    </w:p>
  </w:footnote>
  <w:footnote w:id="9">
    <w:p w14:paraId="361C338A" w14:textId="77777777" w:rsidR="00D23642" w:rsidRDefault="0099314D">
      <w:pPr>
        <w:pStyle w:val="FootnoteText"/>
      </w:pPr>
      <w:r>
        <w:rPr>
          <w:rStyle w:val="FootnoteReference"/>
        </w:rPr>
        <w:footnoteRef/>
      </w:r>
      <w:r>
        <w:tab/>
        <w:t xml:space="preserve">A se vedea Banca Mondială, </w:t>
      </w:r>
      <w:r>
        <w:rPr>
          <w:i/>
        </w:rPr>
        <w:t>Retention and Expansion of Foreign Direct Investment, Political Risk and Policy Responses</w:t>
      </w:r>
      <w:r>
        <w:t xml:space="preserve"> (Menținerea și extinderea investițiilor străine directe, riscuri politice și răspunsuri în materie de politici), </w:t>
      </w:r>
      <w:hyperlink r:id="rId2" w:history="1">
        <w:r>
          <w:rPr>
            <w:rStyle w:val="Hyperlink"/>
          </w:rPr>
          <w:t>http://documents1.worldbank.org/curated/en/387801576142339003/pdf/Political-Risk-and-Policy-Responses.pdf</w:t>
        </w:r>
      </w:hyperlink>
      <w:r>
        <w:t>.</w:t>
      </w:r>
    </w:p>
  </w:footnote>
  <w:footnote w:id="10">
    <w:p w14:paraId="72F1FA70" w14:textId="77777777" w:rsidR="00D23642" w:rsidRDefault="0099314D">
      <w:pPr>
        <w:pStyle w:val="FootnoteText"/>
      </w:pPr>
      <w:r>
        <w:rPr>
          <w:rStyle w:val="FootnoteReference"/>
        </w:rPr>
        <w:footnoteRef/>
      </w:r>
      <w:r>
        <w:tab/>
        <w:t>[Aviz] [Aprobare] publicat(ă) în JO L, ….</w:t>
      </w:r>
    </w:p>
  </w:footnote>
  <w:footnote w:id="11">
    <w:p w14:paraId="48219B90" w14:textId="77777777" w:rsidR="00D23642" w:rsidRDefault="0099314D">
      <w:pPr>
        <w:pStyle w:val="FootnoteText"/>
      </w:pPr>
      <w:r>
        <w:rPr>
          <w:rStyle w:val="FootnoteReference"/>
        </w:rPr>
        <w:footnoteRef/>
      </w:r>
      <w:r>
        <w:tab/>
        <w:t>JO L, ….</w:t>
      </w:r>
    </w:p>
  </w:footnote>
  <w:footnote w:id="12">
    <w:p w14:paraId="4C59CD56" w14:textId="77777777" w:rsidR="00D23642" w:rsidRDefault="0099314D">
      <w:pPr>
        <w:pStyle w:val="FootnoteText"/>
      </w:pPr>
      <w:r>
        <w:rPr>
          <w:rStyle w:val="FootnoteReference"/>
        </w:rPr>
        <w:footnoteRef/>
      </w:r>
      <w:r>
        <w:tab/>
        <w:t xml:space="preserve">Data intrării în vigoare a acordului va fi publicată în </w:t>
      </w:r>
      <w:r>
        <w:rPr>
          <w:i/>
        </w:rPr>
        <w:t>Jurnalul Oficial al Uniunii Europene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FA679" w14:textId="77777777" w:rsidR="00D23642" w:rsidRDefault="00D236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D4F1B" w14:textId="77777777" w:rsidR="00D23642" w:rsidRDefault="00D236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76A9D4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B8075C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71E8326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F9C78B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917858596">
    <w:abstractNumId w:val="11"/>
    <w:lvlOverride w:ilvl="0">
      <w:startOverride w:val="1"/>
    </w:lvlOverride>
  </w:num>
  <w:num w:numId="2" w16cid:durableId="1484589479">
    <w:abstractNumId w:val="3"/>
  </w:num>
  <w:num w:numId="3" w16cid:durableId="1478767065">
    <w:abstractNumId w:val="2"/>
  </w:num>
  <w:num w:numId="4" w16cid:durableId="561866814">
    <w:abstractNumId w:val="1"/>
  </w:num>
  <w:num w:numId="5" w16cid:durableId="2060280769">
    <w:abstractNumId w:val="0"/>
  </w:num>
  <w:num w:numId="6" w16cid:durableId="78722711">
    <w:abstractNumId w:val="18"/>
    <w:lvlOverride w:ilvl="0">
      <w:startOverride w:val="1"/>
    </w:lvlOverride>
  </w:num>
  <w:num w:numId="7" w16cid:durableId="318464990">
    <w:abstractNumId w:val="15"/>
  </w:num>
  <w:num w:numId="8" w16cid:durableId="1485245855">
    <w:abstractNumId w:val="8"/>
  </w:num>
  <w:num w:numId="9" w16cid:durableId="1870876102">
    <w:abstractNumId w:val="17"/>
  </w:num>
  <w:num w:numId="10" w16cid:durableId="243951245">
    <w:abstractNumId w:val="7"/>
  </w:num>
  <w:num w:numId="11" w16cid:durableId="87777027">
    <w:abstractNumId w:val="9"/>
  </w:num>
  <w:num w:numId="12" w16cid:durableId="1285962928">
    <w:abstractNumId w:val="10"/>
  </w:num>
  <w:num w:numId="13" w16cid:durableId="243222621">
    <w:abstractNumId w:val="5"/>
  </w:num>
  <w:num w:numId="14" w16cid:durableId="735738546">
    <w:abstractNumId w:val="16"/>
  </w:num>
  <w:num w:numId="15" w16cid:durableId="1807775161">
    <w:abstractNumId w:val="4"/>
  </w:num>
  <w:num w:numId="16" w16cid:durableId="469132555">
    <w:abstractNumId w:val="11"/>
  </w:num>
  <w:num w:numId="17" w16cid:durableId="1565606321">
    <w:abstractNumId w:val="13"/>
  </w:num>
  <w:num w:numId="18" w16cid:durableId="326591899">
    <w:abstractNumId w:val="14"/>
  </w:num>
  <w:num w:numId="19" w16cid:durableId="1860656698">
    <w:abstractNumId w:val="6"/>
  </w:num>
  <w:num w:numId="20" w16cid:durableId="791097158">
    <w:abstractNumId w:val="12"/>
  </w:num>
  <w:num w:numId="21" w16cid:durableId="2070037303">
    <w:abstractNumId w:val="18"/>
  </w:num>
  <w:num w:numId="22" w16cid:durableId="1691301935">
    <w:abstractNumId w:val="15"/>
  </w:num>
  <w:num w:numId="23" w16cid:durableId="1141194161">
    <w:abstractNumId w:val="8"/>
  </w:num>
  <w:num w:numId="24" w16cid:durableId="1977223675">
    <w:abstractNumId w:val="17"/>
  </w:num>
  <w:num w:numId="25" w16cid:durableId="249580783">
    <w:abstractNumId w:val="7"/>
  </w:num>
  <w:num w:numId="26" w16cid:durableId="1167288782">
    <w:abstractNumId w:val="9"/>
  </w:num>
  <w:num w:numId="27" w16cid:durableId="420762103">
    <w:abstractNumId w:val="10"/>
  </w:num>
  <w:num w:numId="28" w16cid:durableId="1050496474">
    <w:abstractNumId w:val="5"/>
  </w:num>
  <w:num w:numId="29" w16cid:durableId="310672562">
    <w:abstractNumId w:val="16"/>
  </w:num>
  <w:num w:numId="30" w16cid:durableId="1003825256">
    <w:abstractNumId w:val="4"/>
  </w:num>
  <w:num w:numId="31" w16cid:durableId="2142384684">
    <w:abstractNumId w:val="11"/>
  </w:num>
  <w:num w:numId="32" w16cid:durableId="735594708">
    <w:abstractNumId w:val="13"/>
  </w:num>
  <w:num w:numId="33" w16cid:durableId="1525359820">
    <w:abstractNumId w:val="14"/>
  </w:num>
  <w:num w:numId="34" w16cid:durableId="1862426012">
    <w:abstractNumId w:val="6"/>
  </w:num>
  <w:num w:numId="35" w16cid:durableId="661660223">
    <w:abstractNumId w:val="12"/>
  </w:num>
  <w:num w:numId="36" w16cid:durableId="762997654">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1 10:24:5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9FD2A90B-2EF5-4A95-8C0B-40ADAD5910A3"/>
    <w:docVar w:name="LW_COVERPAGE_TYPE" w:val="1"/>
    <w:docVar w:name="LW_CreatedUtc" w:val="2026-02-25T08:54:31.0185445Z"/>
    <w:docVar w:name="LW_CROSSREFERENCE" w:val="&lt;UNUSED&gt;"/>
    <w:docVar w:name="LW_DocType" w:val="COM"/>
    <w:docVar w:name="LW_EMISSION" w:val="11.9.2026"/>
    <w:docVar w:name="LW_EMISSION_ISODATE" w:val="2026-09-11"/>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87"/>
    <w:docVar w:name="LW_REF.II.NEW.CP_YEAR" w:val="2026"/>
    <w:docVar w:name="LW_REF.INST.NEW" w:val="COM"/>
    <w:docVar w:name="LW_REF.INST.NEW_ADOPTED" w:val="final"/>
    <w:docVar w:name="LW_REF.INST.NEW_TEXT" w:val="(2026) 46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încheierea Acordului de facilitare a investi\u539?iilor durabile dintre Uniunea European\u259? \u537?i Republica Ecuador"/>
    <w:docVar w:name="LW_TYPE.DOC.CP" w:val="DECIZIE A CONSILIULUI"/>
    <w:docVar w:name="LwApiVersions" w:val="LW4CoDe 1.25.1.0; LW 9.2, Build 20260702"/>
  </w:docVars>
  <w:rsids>
    <w:rsidRoot w:val="00D23642"/>
    <w:rsid w:val="002A1751"/>
    <w:rsid w:val="0040404E"/>
    <w:rsid w:val="0099314D"/>
    <w:rsid w:val="00D236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2329FB"/>
  <w15:docId w15:val="{FD093542-35FF-4942-9217-BE9913774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normaltextrun">
    <w:name w:val="normaltextrun"/>
    <w:basedOn w:val="DefaultParagraphFont"/>
  </w:style>
  <w:style w:type="character" w:styleId="FollowedHyperlink">
    <w:name w:val="FollowedHyperlink"/>
    <w:basedOn w:val="DefaultParagraphFont"/>
    <w:uiPriority w:val="99"/>
    <w:semiHidden/>
    <w:unhideWhenUsed/>
    <w:rPr>
      <w:color w:val="800080" w:themeColor="followedHyperlink"/>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eop">
    <w:name w:val="eop"/>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Pr>
      <w:vertAlign w:val="superscript"/>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42838">
      <w:bodyDiv w:val="1"/>
      <w:marLeft w:val="0"/>
      <w:marRight w:val="0"/>
      <w:marTop w:val="0"/>
      <w:marBottom w:val="0"/>
      <w:divBdr>
        <w:top w:val="none" w:sz="0" w:space="0" w:color="auto"/>
        <w:left w:val="none" w:sz="0" w:space="0" w:color="auto"/>
        <w:bottom w:val="none" w:sz="0" w:space="0" w:color="auto"/>
        <w:right w:val="none" w:sz="0" w:space="0" w:color="auto"/>
      </w:divBdr>
    </w:div>
    <w:div w:id="481235397">
      <w:bodyDiv w:val="1"/>
      <w:marLeft w:val="0"/>
      <w:marRight w:val="0"/>
      <w:marTop w:val="0"/>
      <w:marBottom w:val="0"/>
      <w:divBdr>
        <w:top w:val="none" w:sz="0" w:space="0" w:color="auto"/>
        <w:left w:val="none" w:sz="0" w:space="0" w:color="auto"/>
        <w:bottom w:val="none" w:sz="0" w:space="0" w:color="auto"/>
        <w:right w:val="none" w:sz="0" w:space="0" w:color="auto"/>
      </w:divBdr>
    </w:div>
    <w:div w:id="533737613">
      <w:bodyDiv w:val="1"/>
      <w:marLeft w:val="0"/>
      <w:marRight w:val="0"/>
      <w:marTop w:val="0"/>
      <w:marBottom w:val="0"/>
      <w:divBdr>
        <w:top w:val="none" w:sz="0" w:space="0" w:color="auto"/>
        <w:left w:val="none" w:sz="0" w:space="0" w:color="auto"/>
        <w:bottom w:val="none" w:sz="0" w:space="0" w:color="auto"/>
        <w:right w:val="none" w:sz="0" w:space="0" w:color="auto"/>
      </w:divBdr>
    </w:div>
    <w:div w:id="570195872">
      <w:bodyDiv w:val="1"/>
      <w:marLeft w:val="0"/>
      <w:marRight w:val="0"/>
      <w:marTop w:val="0"/>
      <w:marBottom w:val="0"/>
      <w:divBdr>
        <w:top w:val="none" w:sz="0" w:space="0" w:color="auto"/>
        <w:left w:val="none" w:sz="0" w:space="0" w:color="auto"/>
        <w:bottom w:val="none" w:sz="0" w:space="0" w:color="auto"/>
        <w:right w:val="none" w:sz="0" w:space="0" w:color="auto"/>
      </w:divBdr>
    </w:div>
    <w:div w:id="573199019">
      <w:bodyDiv w:val="1"/>
      <w:marLeft w:val="0"/>
      <w:marRight w:val="0"/>
      <w:marTop w:val="0"/>
      <w:marBottom w:val="0"/>
      <w:divBdr>
        <w:top w:val="none" w:sz="0" w:space="0" w:color="auto"/>
        <w:left w:val="none" w:sz="0" w:space="0" w:color="auto"/>
        <w:bottom w:val="none" w:sz="0" w:space="0" w:color="auto"/>
        <w:right w:val="none" w:sz="0" w:space="0" w:color="auto"/>
      </w:divBdr>
    </w:div>
    <w:div w:id="724988215">
      <w:bodyDiv w:val="1"/>
      <w:marLeft w:val="0"/>
      <w:marRight w:val="0"/>
      <w:marTop w:val="0"/>
      <w:marBottom w:val="0"/>
      <w:divBdr>
        <w:top w:val="none" w:sz="0" w:space="0" w:color="auto"/>
        <w:left w:val="none" w:sz="0" w:space="0" w:color="auto"/>
        <w:bottom w:val="none" w:sz="0" w:space="0" w:color="auto"/>
        <w:right w:val="none" w:sz="0" w:space="0" w:color="auto"/>
      </w:divBdr>
    </w:div>
    <w:div w:id="809395911">
      <w:bodyDiv w:val="1"/>
      <w:marLeft w:val="0"/>
      <w:marRight w:val="0"/>
      <w:marTop w:val="0"/>
      <w:marBottom w:val="0"/>
      <w:divBdr>
        <w:top w:val="none" w:sz="0" w:space="0" w:color="auto"/>
        <w:left w:val="none" w:sz="0" w:space="0" w:color="auto"/>
        <w:bottom w:val="none" w:sz="0" w:space="0" w:color="auto"/>
        <w:right w:val="none" w:sz="0" w:space="0" w:color="auto"/>
      </w:divBdr>
    </w:div>
    <w:div w:id="856578147">
      <w:bodyDiv w:val="1"/>
      <w:marLeft w:val="0"/>
      <w:marRight w:val="0"/>
      <w:marTop w:val="0"/>
      <w:marBottom w:val="0"/>
      <w:divBdr>
        <w:top w:val="none" w:sz="0" w:space="0" w:color="auto"/>
        <w:left w:val="none" w:sz="0" w:space="0" w:color="auto"/>
        <w:bottom w:val="none" w:sz="0" w:space="0" w:color="auto"/>
        <w:right w:val="none" w:sz="0" w:space="0" w:color="auto"/>
      </w:divBdr>
    </w:div>
    <w:div w:id="877545404">
      <w:bodyDiv w:val="1"/>
      <w:marLeft w:val="0"/>
      <w:marRight w:val="0"/>
      <w:marTop w:val="0"/>
      <w:marBottom w:val="0"/>
      <w:divBdr>
        <w:top w:val="none" w:sz="0" w:space="0" w:color="auto"/>
        <w:left w:val="none" w:sz="0" w:space="0" w:color="auto"/>
        <w:bottom w:val="none" w:sz="0" w:space="0" w:color="auto"/>
        <w:right w:val="none" w:sz="0" w:space="0" w:color="auto"/>
      </w:divBdr>
      <w:divsChild>
        <w:div w:id="104692781">
          <w:marLeft w:val="0"/>
          <w:marRight w:val="0"/>
          <w:marTop w:val="0"/>
          <w:marBottom w:val="0"/>
          <w:divBdr>
            <w:top w:val="none" w:sz="0" w:space="0" w:color="auto"/>
            <w:left w:val="none" w:sz="0" w:space="0" w:color="auto"/>
            <w:bottom w:val="none" w:sz="0" w:space="0" w:color="auto"/>
            <w:right w:val="none" w:sz="0" w:space="0" w:color="auto"/>
          </w:divBdr>
          <w:divsChild>
            <w:div w:id="290670083">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2130317638">
          <w:marLeft w:val="0"/>
          <w:marRight w:val="0"/>
          <w:marTop w:val="0"/>
          <w:marBottom w:val="0"/>
          <w:divBdr>
            <w:top w:val="none" w:sz="0" w:space="0" w:color="auto"/>
            <w:left w:val="none" w:sz="0" w:space="0" w:color="auto"/>
            <w:bottom w:val="none" w:sz="0" w:space="0" w:color="auto"/>
            <w:right w:val="none" w:sz="0" w:space="0" w:color="auto"/>
          </w:divBdr>
          <w:divsChild>
            <w:div w:id="1695770294">
              <w:marLeft w:val="0"/>
              <w:marRight w:val="0"/>
              <w:marTop w:val="0"/>
              <w:marBottom w:val="0"/>
              <w:divBdr>
                <w:top w:val="single" w:sz="6" w:space="0" w:color="000000"/>
                <w:left w:val="single" w:sz="6" w:space="2" w:color="000000"/>
                <w:bottom w:val="single" w:sz="6" w:space="0" w:color="000000"/>
                <w:right w:val="single" w:sz="6" w:space="2" w:color="000000"/>
              </w:divBdr>
            </w:div>
          </w:divsChild>
        </w:div>
      </w:divsChild>
    </w:div>
    <w:div w:id="1088186107">
      <w:bodyDiv w:val="1"/>
      <w:marLeft w:val="0"/>
      <w:marRight w:val="0"/>
      <w:marTop w:val="0"/>
      <w:marBottom w:val="0"/>
      <w:divBdr>
        <w:top w:val="none" w:sz="0" w:space="0" w:color="auto"/>
        <w:left w:val="none" w:sz="0" w:space="0" w:color="auto"/>
        <w:bottom w:val="none" w:sz="0" w:space="0" w:color="auto"/>
        <w:right w:val="none" w:sz="0" w:space="0" w:color="auto"/>
      </w:divBdr>
      <w:divsChild>
        <w:div w:id="703554740">
          <w:marLeft w:val="0"/>
          <w:marRight w:val="0"/>
          <w:marTop w:val="0"/>
          <w:marBottom w:val="0"/>
          <w:divBdr>
            <w:top w:val="none" w:sz="0" w:space="0" w:color="auto"/>
            <w:left w:val="none" w:sz="0" w:space="0" w:color="auto"/>
            <w:bottom w:val="none" w:sz="0" w:space="0" w:color="auto"/>
            <w:right w:val="none" w:sz="0" w:space="0" w:color="auto"/>
          </w:divBdr>
          <w:divsChild>
            <w:div w:id="1004359780">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886134923">
          <w:marLeft w:val="0"/>
          <w:marRight w:val="0"/>
          <w:marTop w:val="0"/>
          <w:marBottom w:val="0"/>
          <w:divBdr>
            <w:top w:val="none" w:sz="0" w:space="0" w:color="auto"/>
            <w:left w:val="none" w:sz="0" w:space="0" w:color="auto"/>
            <w:bottom w:val="none" w:sz="0" w:space="0" w:color="auto"/>
            <w:right w:val="none" w:sz="0" w:space="0" w:color="auto"/>
          </w:divBdr>
          <w:divsChild>
            <w:div w:id="2022320277">
              <w:marLeft w:val="0"/>
              <w:marRight w:val="0"/>
              <w:marTop w:val="0"/>
              <w:marBottom w:val="0"/>
              <w:divBdr>
                <w:top w:val="single" w:sz="6" w:space="0" w:color="000000"/>
                <w:left w:val="single" w:sz="6" w:space="2" w:color="000000"/>
                <w:bottom w:val="single" w:sz="6" w:space="0" w:color="000000"/>
                <w:right w:val="single" w:sz="6" w:space="2" w:color="000000"/>
              </w:divBdr>
            </w:div>
          </w:divsChild>
        </w:div>
      </w:divsChild>
    </w:div>
    <w:div w:id="1352687316">
      <w:bodyDiv w:val="1"/>
      <w:marLeft w:val="0"/>
      <w:marRight w:val="0"/>
      <w:marTop w:val="0"/>
      <w:marBottom w:val="0"/>
      <w:divBdr>
        <w:top w:val="none" w:sz="0" w:space="0" w:color="auto"/>
        <w:left w:val="none" w:sz="0" w:space="0" w:color="auto"/>
        <w:bottom w:val="none" w:sz="0" w:space="0" w:color="auto"/>
        <w:right w:val="none" w:sz="0" w:space="0" w:color="auto"/>
      </w:divBdr>
    </w:div>
    <w:div w:id="1390152361">
      <w:bodyDiv w:val="1"/>
      <w:marLeft w:val="0"/>
      <w:marRight w:val="0"/>
      <w:marTop w:val="0"/>
      <w:marBottom w:val="0"/>
      <w:divBdr>
        <w:top w:val="none" w:sz="0" w:space="0" w:color="auto"/>
        <w:left w:val="none" w:sz="0" w:space="0" w:color="auto"/>
        <w:bottom w:val="none" w:sz="0" w:space="0" w:color="auto"/>
        <w:right w:val="none" w:sz="0" w:space="0" w:color="auto"/>
      </w:divBdr>
    </w:div>
    <w:div w:id="1545214199">
      <w:bodyDiv w:val="1"/>
      <w:marLeft w:val="0"/>
      <w:marRight w:val="0"/>
      <w:marTop w:val="0"/>
      <w:marBottom w:val="0"/>
      <w:divBdr>
        <w:top w:val="none" w:sz="0" w:space="0" w:color="auto"/>
        <w:left w:val="none" w:sz="0" w:space="0" w:color="auto"/>
        <w:bottom w:val="none" w:sz="0" w:space="0" w:color="auto"/>
        <w:right w:val="none" w:sz="0" w:space="0" w:color="auto"/>
      </w:divBdr>
    </w:div>
    <w:div w:id="1578713453">
      <w:bodyDiv w:val="1"/>
      <w:marLeft w:val="0"/>
      <w:marRight w:val="0"/>
      <w:marTop w:val="0"/>
      <w:marBottom w:val="0"/>
      <w:divBdr>
        <w:top w:val="none" w:sz="0" w:space="0" w:color="auto"/>
        <w:left w:val="none" w:sz="0" w:space="0" w:color="auto"/>
        <w:bottom w:val="none" w:sz="0" w:space="0" w:color="auto"/>
        <w:right w:val="none" w:sz="0" w:space="0" w:color="auto"/>
      </w:divBdr>
    </w:div>
    <w:div w:id="1683583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documents1.worldbank.org/curated/en/387801576142339003/pdf/Political-Risk-and-Policy-Responses.pdf" TargetMode="External"/><Relationship Id="rId1" Type="http://schemas.openxmlformats.org/officeDocument/2006/relationships/hyperlink" Target="https://www.wto.org/english/tratop_e/invfac_public_e/invfac_e.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8632D9-5BAF-4646-8D27-65FEE91A4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7</Pages>
  <Words>2028</Words>
  <Characters>12657</Characters>
  <Application>Microsoft Office Word</Application>
  <DocSecurity>0</DocSecurity>
  <Lines>210</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PEREZ ORTEGA Marina (SG)</dc:creator>
  <cp:keywords/>
  <dc:description/>
  <cp:lastModifiedBy>PEREZ ORTEGA Marina (SG)</cp:lastModifiedBy>
  <cp:revision>2</cp:revision>
  <dcterms:created xsi:type="dcterms:W3CDTF">2026-09-11T13:58:00Z</dcterms:created>
  <dcterms:modified xsi:type="dcterms:W3CDTF">2026-09-11T13:58:00Z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2026-02-25T08:56:20Z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a31d1bc3-2195-4707-b415-499a9ace082f</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Yellow (DQC version 03)</vt:lpwstr>
  </property>
</Properties>
</file>