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898377B-930D-4314-B44D-046FEC306596" style="width:455.25pt;height:345.75pt">
            <v:imagedata r:id="rId8" o:title=""/>
          </v:shape>
        </w:pict>
      </w:r>
    </w:p>
    <w:p>
      <w:pPr>
        <w:pStyle w:val="Pagedecouverture"/>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ind w:left="0" w:firstLine="0"/>
        <w:rPr>
          <w:noProof/>
        </w:rPr>
      </w:pPr>
      <w:r>
        <w:rPr>
          <w:noProof/>
        </w:rPr>
        <w:t>1.</w:t>
      </w:r>
      <w:r>
        <w:rPr>
          <w:noProof/>
        </w:rPr>
        <w:tab/>
        <w:t>CONTEXT OF THE PROPOSAL</w:t>
      </w:r>
    </w:p>
    <w:p>
      <w:pPr>
        <w:pStyle w:val="ManualHeading2"/>
        <w:rPr>
          <w:rFonts w:eastAsia="Arial Unicode MS"/>
          <w:noProof/>
        </w:rPr>
      </w:pPr>
      <w:r>
        <w:rPr>
          <w:noProof/>
          <w:color w:val="000000"/>
          <w:u w:color="000000"/>
          <w:bdr w:val="nil"/>
        </w:rPr>
        <w:t>•</w:t>
      </w:r>
      <w:r>
        <w:rPr>
          <w:noProof/>
        </w:rPr>
        <w:tab/>
      </w:r>
      <w:r>
        <w:rPr>
          <w:noProof/>
          <w:color w:val="000000"/>
          <w:u w:color="000000"/>
          <w:bdr w:val="nil"/>
        </w:rPr>
        <w:t>Reasons for and objectives of the proposal</w:t>
      </w:r>
    </w:p>
    <w:p>
      <w:pPr>
        <w:spacing w:before="60" w:after="60"/>
        <w:rPr>
          <w:rFonts w:eastAsia="Arial Unicode MS"/>
          <w:noProof/>
        </w:rPr>
      </w:pPr>
      <w:r>
        <w:rPr>
          <w:noProof/>
        </w:rPr>
        <w:t>The Commission recommends negotiating a new sustainable fisheries partnership agreement and its implementing protocol with Madagascar, which would be in accordance with Regulation (EU) No 1380/2013</w:t>
      </w:r>
      <w:r>
        <w:rPr>
          <w:rStyle w:val="FootnoteReference"/>
          <w:noProof/>
        </w:rPr>
        <w:footnoteReference w:id="1"/>
      </w:r>
      <w:r>
        <w:rPr>
          <w:noProof/>
        </w:rPr>
        <w:t xml:space="preserve"> on the Common Fisheries Policy (CFP), to meet the needs of the EU fleet and contribute to CFP objectives. </w:t>
      </w:r>
    </w:p>
    <w:p>
      <w:pPr>
        <w:pStyle w:val="ManualHeading2"/>
        <w:rPr>
          <w:rFonts w:eastAsia="Arial Unicode MS"/>
          <w:noProof/>
          <w:color w:val="000000"/>
          <w:u w:color="000000"/>
          <w:bdr w:val="nil"/>
        </w:rPr>
      </w:pPr>
      <w:r>
        <w:rPr>
          <w:noProof/>
          <w:color w:val="000000"/>
          <w:u w:color="000000"/>
          <w:bdr w:val="nil"/>
        </w:rPr>
        <w:t>•</w:t>
      </w:r>
      <w:r>
        <w:rPr>
          <w:noProof/>
        </w:rPr>
        <w:tab/>
      </w:r>
      <w:r>
        <w:rPr>
          <w:noProof/>
          <w:color w:val="000000"/>
          <w:u w:color="000000"/>
          <w:bdr w:val="nil"/>
        </w:rPr>
        <w:t>Consistency with existing policy provisions in the policy area</w:t>
      </w:r>
    </w:p>
    <w:p>
      <w:pPr>
        <w:pBdr>
          <w:top w:val="nil"/>
          <w:left w:val="nil"/>
          <w:bottom w:val="nil"/>
          <w:right w:val="nil"/>
          <w:between w:val="nil"/>
          <w:bar w:val="nil"/>
        </w:pBdr>
        <w:spacing w:before="0" w:after="240"/>
        <w:rPr>
          <w:rFonts w:eastAsia="Arial Unicode MS"/>
          <w:noProof/>
          <w:szCs w:val="24"/>
        </w:rPr>
      </w:pPr>
      <w:r>
        <w:rPr>
          <w:noProof/>
        </w:rPr>
        <w:t xml:space="preserve">The Sustainable Fisheries Partnership Agreement (SFPA) between the European Union and </w:t>
      </w:r>
      <w:r>
        <w:rPr>
          <w:noProof/>
          <w:color w:val="000000"/>
        </w:rPr>
        <w:t>Madagascar</w:t>
      </w:r>
      <w:r>
        <w:rPr>
          <w:noProof/>
        </w:rPr>
        <w:t xml:space="preserve"> and its Implementing Protocol</w:t>
      </w:r>
      <w:r>
        <w:rPr>
          <w:rStyle w:val="FootnoteReference"/>
          <w:noProof/>
        </w:rPr>
        <w:footnoteReference w:id="2"/>
      </w:r>
      <w:r>
        <w:rPr>
          <w:noProof/>
        </w:rPr>
        <w:t>, signed on 30 June 2023 and applied since 1 July 2023, will expire on 30 June 2027. The Protocol currently sets the fishing opportunities provided to the EU fleet and the corresponding financial contribution paid by the EU to Madagascar amounting to EUR 1 800 000, of which EUR 1 100 000 for sectoral support, and the contributions paid by vessel operators.</w:t>
      </w:r>
    </w:p>
    <w:p>
      <w:pPr>
        <w:spacing w:before="60" w:after="240"/>
        <w:rPr>
          <w:noProof/>
        </w:rPr>
      </w:pPr>
      <w:r>
        <w:rPr>
          <w:noProof/>
        </w:rPr>
        <w:t>Access by EU vessels to Madagascar’s fishing zone is authorised for fishing for tuna and highly migratory species, which concerns four Member States (Spain, France, Italy and Portugal). The European Union has a network of active bilateral sustainable fisheries partnership agreements (SFPAs) in West and Central Africa and in the region of the Indian Ocean. In the region of the Indian Ocean, the tuna fleet has active SFPAs with the Republic of Mauritius and the Republic of Seychelles.</w:t>
      </w:r>
    </w:p>
    <w:p>
      <w:pPr>
        <w:pBdr>
          <w:top w:val="nil"/>
          <w:left w:val="nil"/>
          <w:bottom w:val="nil"/>
          <w:right w:val="nil"/>
          <w:between w:val="nil"/>
          <w:bar w:val="nil"/>
        </w:pBdr>
        <w:spacing w:before="0" w:after="240"/>
        <w:rPr>
          <w:rFonts w:eastAsia="Arial Unicode MS"/>
          <w:noProof/>
        </w:rPr>
      </w:pPr>
      <w:r>
        <w:rPr>
          <w:noProof/>
        </w:rPr>
        <w:t>SFPAs help to promote common fisheries policy objectives internationally by ensuring that EU fishing activities outside EU waters are based on the same principles and standards as those applicable under EU law. In addition, SFPAs strengthen the EU’s position in international and regional fisheries organisations, in particular in the Indian Ocean Tuna Commission (IOTC), the body for the conservation and management of highly migratory species in the region, as well as in the Southern Indian Ocean Fisheries Agreement (SIOFA). Lastly, SFPAs are based on the best available scientific advice and contribute to better compliance with international measures, including combatting illegal, unreported and unregulated (IUU) fishing.</w:t>
      </w:r>
    </w:p>
    <w:p>
      <w:pPr>
        <w:pStyle w:val="ManualHeading2"/>
        <w:rPr>
          <w:rFonts w:eastAsia="Arial Unicode MS"/>
          <w:noProof/>
        </w:rPr>
      </w:pPr>
      <w:r>
        <w:rPr>
          <w:noProof/>
          <w:color w:val="000000"/>
          <w:u w:color="000000"/>
          <w:bdr w:val="nil"/>
        </w:rPr>
        <w:t>•</w:t>
      </w:r>
      <w:r>
        <w:rPr>
          <w:noProof/>
        </w:rPr>
        <w:tab/>
      </w:r>
      <w:r>
        <w:rPr>
          <w:noProof/>
          <w:color w:val="000000"/>
          <w:u w:color="000000"/>
          <w:bdr w:val="nil"/>
        </w:rPr>
        <w:t>Consistency with other Union policies</w:t>
      </w:r>
    </w:p>
    <w:p>
      <w:pPr>
        <w:pBdr>
          <w:top w:val="nil"/>
          <w:left w:val="nil"/>
          <w:bottom w:val="nil"/>
          <w:right w:val="nil"/>
          <w:between w:val="nil"/>
          <w:bar w:val="nil"/>
        </w:pBdr>
        <w:spacing w:before="0" w:after="240"/>
        <w:rPr>
          <w:noProof/>
        </w:rPr>
      </w:pPr>
      <w:r>
        <w:rPr>
          <w:noProof/>
        </w:rPr>
        <w:t>Negotiating an SFPA and protocol with Madagascar is in line with the EU’s external action towards African, Caribbean and Pacific (ACP) countries, and in particular with the EU’s objectives with regard to respecting democratic principles and human rights.</w:t>
      </w:r>
    </w:p>
    <w:p>
      <w:pPr>
        <w:pBdr>
          <w:top w:val="nil"/>
          <w:left w:val="nil"/>
          <w:bottom w:val="nil"/>
          <w:right w:val="nil"/>
          <w:between w:val="nil"/>
          <w:bar w:val="nil"/>
        </w:pBdr>
        <w:spacing w:before="0" w:after="240"/>
        <w:rPr>
          <w:noProof/>
        </w:rPr>
      </w:pPr>
      <w:r>
        <w:rPr>
          <w:noProof/>
        </w:rPr>
        <w:t>SFPAs complement other EU instruments, including the Neighbourhood, Development and International Cooperation Instrument (NDICI), in strengthening national and regional capacities on fisheries management, and rely on existing opportunities such as the training offered by the European Fisheries Control Agency (EFCA).</w:t>
      </w:r>
    </w:p>
    <w:p>
      <w:pPr>
        <w:pBdr>
          <w:top w:val="nil"/>
          <w:left w:val="nil"/>
          <w:bottom w:val="nil"/>
          <w:right w:val="nil"/>
          <w:between w:val="nil"/>
          <w:bar w:val="nil"/>
        </w:pBdr>
        <w:spacing w:before="0" w:after="240"/>
        <w:rPr>
          <w:rFonts w:eastAsia="Arial Unicode MS"/>
          <w:noProof/>
        </w:rPr>
      </w:pPr>
      <w:r>
        <w:rPr>
          <w:noProof/>
        </w:rPr>
        <w:lastRenderedPageBreak/>
        <w:t>The promotion of decent work is ensured by the expected negotiation of a social clause in line with the 2007 International Labour Organization (ILO) Work in Fishing Convention (No 188) for partner country workers to be employed by EU vessels.</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rPr>
      </w:pPr>
      <w:r>
        <w:rPr>
          <w:noProof/>
          <w:u w:color="000000"/>
          <w:bdr w:val="nil"/>
        </w:rPr>
        <w:t>•</w:t>
      </w:r>
      <w:r>
        <w:rPr>
          <w:noProof/>
        </w:rPr>
        <w:tab/>
      </w:r>
      <w:r>
        <w:rPr>
          <w:noProof/>
          <w:u w:color="000000"/>
          <w:bdr w:val="nil"/>
        </w:rPr>
        <w:t>Substantive legal basis</w:t>
      </w:r>
    </w:p>
    <w:p>
      <w:pPr>
        <w:pBdr>
          <w:top w:val="nil"/>
          <w:left w:val="nil"/>
          <w:bottom w:val="nil"/>
          <w:right w:val="nil"/>
          <w:between w:val="nil"/>
          <w:bar w:val="nil"/>
        </w:pBdr>
        <w:spacing w:before="0" w:after="240"/>
        <w:rPr>
          <w:noProof/>
        </w:rPr>
      </w:pPr>
      <w:r>
        <w:rPr>
          <w:noProof/>
        </w:rPr>
        <w:t>The substantive legal basis is provided by Article 43(2) of the Treaty on the Functioning of the European Union (TFEU) in relation to the common fisheries policy.</w:t>
      </w:r>
    </w:p>
    <w:p>
      <w:pPr>
        <w:pStyle w:val="ManualHeading2"/>
        <w:rPr>
          <w:rFonts w:eastAsia="Arial Unicode MS"/>
          <w:noProof/>
          <w:u w:color="000000"/>
          <w:bdr w:val="nil"/>
        </w:rPr>
      </w:pPr>
      <w:r>
        <w:rPr>
          <w:noProof/>
          <w:u w:color="000000"/>
          <w:bdr w:val="nil"/>
        </w:rPr>
        <w:t>•</w:t>
      </w:r>
      <w:r>
        <w:rPr>
          <w:noProof/>
        </w:rPr>
        <w:tab/>
      </w:r>
      <w:r>
        <w:rPr>
          <w:noProof/>
          <w:u w:color="000000"/>
          <w:bdr w:val="nil"/>
        </w:rPr>
        <w:t>Procedural legal basis</w:t>
      </w:r>
    </w:p>
    <w:p>
      <w:pPr>
        <w:rPr>
          <w:noProof/>
        </w:rPr>
      </w:pPr>
      <w:r>
        <w:rPr>
          <w:noProof/>
        </w:rPr>
        <w:t xml:space="preserve">Article 218(3) TFEU provides that, where the agreement envisaged does not relate exclusively or principally to the common foreign and security policy, the Commission shall submit recommendations to the Council. The Council shall adopt a decision authorising the opening of the negotiations and nominating the EU negotiator or the head of the EU’s negotiating team. </w:t>
      </w:r>
    </w:p>
    <w:p>
      <w:pPr>
        <w:rPr>
          <w:noProof/>
        </w:rPr>
      </w:pPr>
      <w:r>
        <w:rPr>
          <w:noProof/>
        </w:rPr>
        <w:t>Article 218(4) TFEU provides that the Council may address negotiating directives to the negotiator and designate a special committee to be consulted by the negotiator.</w:t>
      </w:r>
    </w:p>
    <w:p>
      <w:pPr>
        <w:rPr>
          <w:noProof/>
        </w:rPr>
      </w:pPr>
      <w:r>
        <w:rPr>
          <w:noProof/>
        </w:rPr>
        <w:t>The Commission recommends opening negotiations between the European Union and the Republic of Madagascar so as to conclude an international sustainable fisheries partnership agreement and its implementing protocol. The Commission is to be nominated as negotiator.</w:t>
      </w:r>
    </w:p>
    <w:p>
      <w:pPr>
        <w:rPr>
          <w:noProof/>
        </w:rPr>
      </w:pPr>
      <w:r>
        <w:rPr>
          <w:noProof/>
        </w:rPr>
        <w:t>The procedural legal basis for the proposal for a decision to authorise the opening of negotiations for the envisaged agreement is Article 218(3) and (4) TFEU.</w:t>
      </w:r>
    </w:p>
    <w:p>
      <w:pPr>
        <w:pStyle w:val="ManualHeading2"/>
        <w:rPr>
          <w:rFonts w:eastAsia="Arial Unicode MS"/>
          <w:noProof/>
          <w:u w:color="000000"/>
          <w:bdr w:val="nil"/>
        </w:rPr>
      </w:pPr>
      <w:bookmarkStart w:id="0" w:name="_Toc216446636"/>
      <w:r>
        <w:rPr>
          <w:noProof/>
          <w:u w:color="000000"/>
          <w:bdr w:val="nil"/>
        </w:rPr>
        <w:t>•</w:t>
      </w:r>
      <w:r>
        <w:rPr>
          <w:noProof/>
        </w:rPr>
        <w:tab/>
      </w:r>
      <w:r>
        <w:rPr>
          <w:noProof/>
          <w:u w:color="000000"/>
          <w:bdr w:val="nil"/>
        </w:rPr>
        <w:t>Choice of negotiator</w:t>
      </w:r>
    </w:p>
    <w:bookmarkEnd w:id="0"/>
    <w:p>
      <w:pPr>
        <w:pStyle w:val="Text1"/>
        <w:ind w:left="0"/>
        <w:rPr>
          <w:noProof/>
        </w:rPr>
      </w:pPr>
      <w:r>
        <w:rPr>
          <w:noProof/>
        </w:rPr>
        <w:t>Given that the envisaged agreement covers exclusively matters other than the common foreign and security policy, the Commission should be nominated as negotiator in accordance with Article 218(3) of the Treaty on the Functioning of the European Union.</w:t>
      </w:r>
    </w:p>
    <w:p>
      <w:pPr>
        <w:pStyle w:val="ManualHeading2"/>
        <w:rPr>
          <w:rFonts w:eastAsia="Arial Unicode MS"/>
          <w:noProof/>
          <w:u w:color="000000"/>
          <w:bdr w:val="nil"/>
        </w:rPr>
      </w:pPr>
      <w:r>
        <w:rPr>
          <w:noProof/>
          <w:u w:color="000000"/>
          <w:bdr w:val="nil"/>
        </w:rPr>
        <w:t>•</w:t>
      </w:r>
      <w:r>
        <w:rPr>
          <w:noProof/>
        </w:rPr>
        <w:tab/>
        <w:t>Union competence</w:t>
      </w:r>
    </w:p>
    <w:p>
      <w:pPr>
        <w:pBdr>
          <w:top w:val="nil"/>
          <w:left w:val="nil"/>
          <w:bottom w:val="nil"/>
          <w:right w:val="nil"/>
          <w:between w:val="nil"/>
          <w:bar w:val="nil"/>
        </w:pBdr>
        <w:spacing w:before="0" w:after="240"/>
        <w:rPr>
          <w:rFonts w:eastAsia="Arial Unicode MS"/>
          <w:noProof/>
        </w:rPr>
      </w:pPr>
      <w:r>
        <w:rPr>
          <w:noProof/>
        </w:rPr>
        <w:t>The subject matter covered by the recommendation concerns the common fisheries policy, for which the Union exercises exclusive competence.</w:t>
      </w:r>
    </w:p>
    <w:p>
      <w:pPr>
        <w:pStyle w:val="ManualHeading2"/>
        <w:rPr>
          <w:rFonts w:eastAsia="Arial Unicode MS"/>
          <w:noProof/>
          <w:u w:color="000000"/>
          <w:bdr w:val="nil"/>
        </w:rPr>
      </w:pPr>
      <w:r>
        <w:rPr>
          <w:noProof/>
          <w:u w:color="000000"/>
          <w:bdr w:val="nil"/>
        </w:rPr>
        <w:t>•</w:t>
      </w:r>
      <w:r>
        <w:rPr>
          <w:noProof/>
        </w:rPr>
        <w:tab/>
      </w:r>
      <w:r>
        <w:rPr>
          <w:noProof/>
          <w:u w:color="000000"/>
          <w:bdr w:val="nil"/>
        </w:rPr>
        <w:t>Proportionality</w:t>
      </w:r>
    </w:p>
    <w:p>
      <w:pPr>
        <w:pBdr>
          <w:top w:val="nil"/>
          <w:left w:val="nil"/>
          <w:bottom w:val="nil"/>
          <w:right w:val="nil"/>
          <w:between w:val="nil"/>
          <w:bar w:val="nil"/>
        </w:pBdr>
        <w:spacing w:before="0" w:after="240"/>
        <w:rPr>
          <w:rFonts w:eastAsia="Arial Unicode MS"/>
          <w:noProof/>
        </w:rPr>
      </w:pPr>
      <w:r>
        <w:rPr>
          <w:noProof/>
        </w:rPr>
        <w:t>The proposed decision is proportional to the objective of establishing a legal, environmental, economic and social governance framework for fishing activities carried out by EU vessels in third-country waters, in accordance with Article 31 of Regulation (EU) No 1380/2013 on the Common Fisheries Policy.</w:t>
      </w:r>
    </w:p>
    <w:p>
      <w:pPr>
        <w:pStyle w:val="ManualHeading2"/>
        <w:rPr>
          <w:rFonts w:eastAsia="Arial Unicode MS"/>
          <w:noProof/>
          <w:u w:color="000000"/>
          <w:bdr w:val="nil"/>
        </w:rPr>
      </w:pPr>
      <w:r>
        <w:rPr>
          <w:noProof/>
          <w:u w:color="000000"/>
          <w:bdr w:val="nil"/>
        </w:rPr>
        <w:t>•</w:t>
      </w:r>
      <w:r>
        <w:rPr>
          <w:noProof/>
        </w:rPr>
        <w:tab/>
      </w:r>
      <w:r>
        <w:rPr>
          <w:noProof/>
          <w:u w:color="000000"/>
          <w:bdr w:val="nil"/>
        </w:rPr>
        <w:t>Choice of instrument</w:t>
      </w:r>
    </w:p>
    <w:p>
      <w:pPr>
        <w:pStyle w:val="P68B1DB1-Normal14"/>
        <w:pBdr>
          <w:top w:val="nil"/>
          <w:left w:val="nil"/>
          <w:bottom w:val="nil"/>
          <w:right w:val="nil"/>
          <w:between w:val="nil"/>
          <w:bar w:val="nil"/>
        </w:pBdr>
        <w:spacing w:after="240"/>
        <w:jc w:val="both"/>
        <w:rPr>
          <w:noProof/>
          <w:lang w:val="en-GB"/>
        </w:rPr>
      </w:pPr>
      <w:r>
        <w:rPr>
          <w:noProof/>
          <w:lang w:val="en-GB"/>
        </w:rPr>
        <w:t>This recommendation for a Council decision is submitted in accordance with Article 218(3) and (4) TFEU, which envisage the adoption by the Council of a decision authorising the opening of negotiations and nominating the Union negotiator. The Council may also address negotiating directives to the negotiator. No other legal instrument exists that could be used in order to achieve the objective expressed in this recommendation.</w:t>
      </w:r>
    </w:p>
    <w:p>
      <w:pPr>
        <w:pStyle w:val="ManualHeading1"/>
        <w:rPr>
          <w:noProof/>
        </w:rPr>
      </w:pPr>
      <w:r>
        <w:rPr>
          <w:noProof/>
        </w:rPr>
        <w:t>3.</w:t>
      </w:r>
      <w:r>
        <w:rPr>
          <w:noProof/>
        </w:rPr>
        <w:tab/>
        <w:t>RESULTS OF EX-POST EVALUATIONS, STAKEHOLDER CONSULTATIONS AND IMPACT ASSESSMENTS</w:t>
      </w:r>
    </w:p>
    <w:p>
      <w:pPr>
        <w:pStyle w:val="ManualHeading2"/>
        <w:rPr>
          <w:rFonts w:eastAsia="Arial Unicode MS"/>
          <w:noProof/>
          <w:u w:color="000000"/>
          <w:bdr w:val="nil"/>
        </w:rPr>
      </w:pPr>
      <w:r>
        <w:rPr>
          <w:noProof/>
          <w:u w:color="000000"/>
          <w:bdr w:val="nil"/>
        </w:rPr>
        <w:t>•</w:t>
      </w:r>
      <w:r>
        <w:rPr>
          <w:noProof/>
        </w:rPr>
        <w:tab/>
      </w:r>
      <w:r>
        <w:rPr>
          <w:noProof/>
          <w:u w:color="000000"/>
          <w:bdr w:val="nil"/>
        </w:rPr>
        <w:t>Ex-post evaluations / fitness checks of existing legislation</w:t>
      </w:r>
    </w:p>
    <w:p>
      <w:pPr>
        <w:pBdr>
          <w:top w:val="nil"/>
          <w:left w:val="nil"/>
          <w:bottom w:val="nil"/>
          <w:right w:val="nil"/>
          <w:between w:val="nil"/>
          <w:bar w:val="nil"/>
        </w:pBdr>
        <w:spacing w:before="0" w:after="240"/>
        <w:rPr>
          <w:rFonts w:eastAsia="Arial Unicode MS"/>
          <w:noProof/>
        </w:rPr>
      </w:pPr>
      <w:r>
        <w:rPr>
          <w:noProof/>
        </w:rPr>
        <w:t>In 2026, the Commission carried out an ex-post evaluation of the current protocol to the SFPA with Madagascar and an ex-ante evaluation of a possible new agreement and protocol. The report of that evaluation is public</w:t>
      </w:r>
      <w:r>
        <w:rPr>
          <w:rStyle w:val="FootnoteReference"/>
          <w:noProof/>
        </w:rPr>
        <w:footnoteReference w:id="3"/>
      </w:r>
      <w:r>
        <w:rPr>
          <w:noProof/>
        </w:rPr>
        <w:t>.</w:t>
      </w:r>
    </w:p>
    <w:p>
      <w:pPr>
        <w:pBdr>
          <w:top w:val="nil"/>
          <w:left w:val="nil"/>
          <w:bottom w:val="nil"/>
          <w:right w:val="nil"/>
          <w:between w:val="nil"/>
          <w:bar w:val="nil"/>
        </w:pBdr>
        <w:spacing w:before="0" w:after="240"/>
        <w:rPr>
          <w:noProof/>
        </w:rPr>
      </w:pPr>
      <w:r>
        <w:rPr>
          <w:noProof/>
        </w:rPr>
        <w:t>The evaluation report concluded that the EU tuna fishing sector has a strong interest in an agreement on fishing activities in Madagascar. The evaluation report also highlights a continued discrepancy between the number of fishing opportunities offered and their use. Any future protocol should reduce the number of fishing opportunities offered, which should result in a reduction in the financial contribution under the Protocol. Furthermore, the renewal of the Protocol would help strengthen monitoring, control and surveillance, and would contribute to improved governance of the fisheries in the region. The evaluation shows that renewing the protocol would also bring benefits for Madagascar in view of the significant financial contribution to be paid towards development of the fisheries sector.</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Consultation of interested parties</w:t>
      </w:r>
    </w:p>
    <w:p>
      <w:pPr>
        <w:pBdr>
          <w:top w:val="nil"/>
          <w:left w:val="nil"/>
          <w:bottom w:val="nil"/>
          <w:right w:val="nil"/>
          <w:between w:val="nil"/>
          <w:bar w:val="nil"/>
        </w:pBdr>
        <w:spacing w:before="0" w:after="240"/>
        <w:rPr>
          <w:rFonts w:eastAsia="Arial Unicode MS"/>
          <w:noProof/>
        </w:rPr>
      </w:pPr>
      <w:r>
        <w:rPr>
          <w:noProof/>
        </w:rPr>
        <w:t>The parties consulted during the evaluation were the Member States, fisheries representatives and international civil society organisations, in addition to EU and Malagasy fisheries administrations and civil society. Consultations also took place in the framework of the Long Distance Fleet Advisory Council.</w:t>
      </w:r>
    </w:p>
    <w:p>
      <w:pPr>
        <w:pStyle w:val="ManualHeading2"/>
        <w:rPr>
          <w:rFonts w:eastAsia="Arial Unicode MS"/>
          <w:noProof/>
          <w:u w:color="000000"/>
          <w:bdr w:val="nil"/>
        </w:rPr>
      </w:pPr>
      <w:r>
        <w:rPr>
          <w:noProof/>
          <w:u w:color="000000"/>
          <w:bdr w:val="nil"/>
        </w:rPr>
        <w:t>•</w:t>
      </w:r>
      <w:r>
        <w:rPr>
          <w:noProof/>
        </w:rPr>
        <w:tab/>
      </w:r>
      <w:r>
        <w:rPr>
          <w:noProof/>
          <w:u w:color="000000"/>
          <w:bdr w:val="nil"/>
        </w:rPr>
        <w:t>Collection and use of expertise</w:t>
      </w:r>
    </w:p>
    <w:p>
      <w:pPr>
        <w:pBdr>
          <w:top w:val="nil"/>
          <w:left w:val="nil"/>
          <w:bottom w:val="nil"/>
          <w:right w:val="nil"/>
          <w:between w:val="nil"/>
          <w:bar w:val="nil"/>
        </w:pBdr>
        <w:spacing w:before="0" w:after="240"/>
        <w:rPr>
          <w:rFonts w:eastAsia="Arial Unicode MS"/>
          <w:noProof/>
        </w:rPr>
      </w:pPr>
      <w:r>
        <w:rPr>
          <w:noProof/>
        </w:rPr>
        <w:t xml:space="preserve">The evaluations carried out involved independent experts in the field. </w:t>
      </w:r>
    </w:p>
    <w:p>
      <w:pPr>
        <w:pStyle w:val="ManualHeading2"/>
        <w:rPr>
          <w:rFonts w:eastAsia="Arial Unicode MS"/>
          <w:noProof/>
          <w:u w:color="000000"/>
          <w:bdr w:val="nil"/>
        </w:rPr>
      </w:pPr>
      <w:r>
        <w:rPr>
          <w:noProof/>
          <w:u w:color="000000"/>
          <w:bdr w:val="nil"/>
        </w:rPr>
        <w:t>•</w:t>
      </w:r>
      <w:r>
        <w:rPr>
          <w:noProof/>
        </w:rPr>
        <w:tab/>
      </w:r>
      <w:r>
        <w:rPr>
          <w:noProof/>
          <w:u w:color="000000"/>
          <w:bdr w:val="nil"/>
        </w:rPr>
        <w:t>Impact assessment</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2"/>
        <w:rPr>
          <w:rFonts w:eastAsia="Arial Unicode MS"/>
          <w:noProof/>
          <w:u w:color="000000"/>
          <w:bdr w:val="nil"/>
        </w:rPr>
      </w:pPr>
      <w:r>
        <w:rPr>
          <w:noProof/>
          <w:u w:color="000000"/>
          <w:bdr w:val="nil"/>
        </w:rPr>
        <w:t>•</w:t>
      </w:r>
      <w:r>
        <w:rPr>
          <w:noProof/>
        </w:rPr>
        <w:tab/>
      </w:r>
      <w:r>
        <w:rPr>
          <w:noProof/>
          <w:u w:color="000000"/>
          <w:bdr w:val="nil"/>
        </w:rPr>
        <w:t>Regulatory fitness and simplification</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2"/>
        <w:rPr>
          <w:rFonts w:eastAsia="Arial Unicode MS"/>
          <w:noProof/>
          <w:u w:color="000000"/>
          <w:bdr w:val="nil"/>
        </w:rPr>
      </w:pPr>
      <w:r>
        <w:rPr>
          <w:noProof/>
          <w:u w:color="000000"/>
          <w:bdr w:val="nil"/>
        </w:rPr>
        <w:t>•</w:t>
      </w:r>
      <w:r>
        <w:rPr>
          <w:noProof/>
        </w:rPr>
        <w:tab/>
      </w:r>
      <w:r>
        <w:rPr>
          <w:noProof/>
          <w:u w:color="000000"/>
          <w:bdr w:val="nil"/>
        </w:rPr>
        <w:t>Fundamental rights</w:t>
      </w:r>
    </w:p>
    <w:p>
      <w:pPr>
        <w:pBdr>
          <w:top w:val="nil"/>
          <w:left w:val="nil"/>
          <w:bottom w:val="nil"/>
          <w:right w:val="nil"/>
          <w:between w:val="nil"/>
          <w:bar w:val="nil"/>
        </w:pBdr>
        <w:spacing w:before="0" w:after="240"/>
        <w:rPr>
          <w:rFonts w:eastAsia="Arial Unicode MS"/>
          <w:noProof/>
        </w:rPr>
      </w:pPr>
      <w:r>
        <w:rPr>
          <w:noProof/>
        </w:rPr>
        <w:t>The negotiating directives set out in the annex to the proposal for a decision recommend including a clause on the consequences of infringements of human rights and democratic principles.</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noProof/>
        </w:rPr>
      </w:pPr>
      <w:r>
        <w:rPr>
          <w:noProof/>
        </w:rPr>
        <w:t>The budgetary impact of a new protocol will derive from the payment of a financial contribution to Madagascar. The related budgetary allocations (commitments and payment appropriations) need to be included each year in the budget line for SFPAs (08 05 01) and be compatible with the financial programming of the Multiannual Financial Framework</w:t>
      </w:r>
      <w:r>
        <w:rPr>
          <w:rStyle w:val="FootnoteReference"/>
          <w:noProof/>
        </w:rPr>
        <w:footnoteReference w:id="4"/>
      </w:r>
      <w:r>
        <w:rPr>
          <w:noProof/>
        </w:rPr>
        <w:t xml:space="preserve"> for 2021-2027 and for 2028-2034. The annual amounts for commitments and payments are established in the yearly budgetary procedure including the reserve line for protocols that had not entered into force at the beginning of the year</w:t>
      </w:r>
      <w:r>
        <w:rPr>
          <w:rStyle w:val="FootnoteReference"/>
          <w:noProof/>
        </w:rPr>
        <w:footnoteReference w:id="5"/>
      </w:r>
      <w:r>
        <w:rPr>
          <w:noProof/>
        </w:rPr>
        <w:t xml:space="preserve">. </w:t>
      </w:r>
    </w:p>
    <w:p>
      <w:pPr>
        <w:pStyle w:val="ManualHeading1"/>
        <w:rPr>
          <w:noProof/>
        </w:rPr>
      </w:pPr>
      <w:r>
        <w:rPr>
          <w:noProof/>
        </w:rPr>
        <w:t>5.</w:t>
      </w:r>
      <w:r>
        <w:rPr>
          <w:noProof/>
        </w:rPr>
        <w:tab/>
        <w:t>OTHER ELEMENTS</w:t>
      </w:r>
    </w:p>
    <w:p>
      <w:pPr>
        <w:pStyle w:val="ManualHeading2"/>
        <w:rPr>
          <w:rFonts w:eastAsia="Arial Unicode MS"/>
          <w:noProof/>
          <w:u w:color="000000"/>
          <w:bdr w:val="nil"/>
        </w:rPr>
      </w:pPr>
      <w:r>
        <w:rPr>
          <w:noProof/>
          <w:u w:color="000000"/>
          <w:bdr w:val="nil"/>
        </w:rPr>
        <w:t>•</w:t>
      </w:r>
      <w:r>
        <w:rPr>
          <w:noProof/>
        </w:rPr>
        <w:tab/>
      </w:r>
      <w:r>
        <w:rPr>
          <w:noProof/>
          <w:u w:color="000000"/>
          <w:bdr w:val="nil"/>
        </w:rPr>
        <w:t>Implementation plans and monitoring, evaluation and reporting arrangements</w:t>
      </w:r>
    </w:p>
    <w:p>
      <w:pPr>
        <w:pBdr>
          <w:top w:val="nil"/>
          <w:left w:val="nil"/>
          <w:bottom w:val="nil"/>
          <w:right w:val="nil"/>
          <w:between w:val="nil"/>
          <w:bar w:val="nil"/>
        </w:pBdr>
        <w:spacing w:before="0" w:after="240"/>
        <w:rPr>
          <w:rFonts w:eastAsia="Arial Unicode MS"/>
          <w:noProof/>
        </w:rPr>
      </w:pPr>
      <w:r>
        <w:rPr>
          <w:noProof/>
        </w:rPr>
        <w:t>The negotiations should begin in the fourth quarter of 2026 in order to limit the period between the two SFPAs following the expiry of the current agreement on 30 June 2027.</w:t>
      </w:r>
    </w:p>
    <w:p>
      <w:pPr>
        <w:pStyle w:val="ManualHeading2"/>
        <w:rPr>
          <w:rFonts w:eastAsia="Arial Unicode MS"/>
          <w:noProof/>
          <w:u w:color="000000"/>
          <w:bdr w:val="nil"/>
        </w:rPr>
      </w:pPr>
      <w:r>
        <w:rPr>
          <w:noProof/>
          <w:u w:color="000000"/>
          <w:bdr w:val="nil"/>
        </w:rPr>
        <w:t>•</w:t>
      </w:r>
      <w:r>
        <w:rPr>
          <w:noProof/>
        </w:rPr>
        <w:tab/>
      </w:r>
      <w:r>
        <w:rPr>
          <w:noProof/>
          <w:u w:color="000000"/>
          <w:bdr w:val="nil"/>
        </w:rPr>
        <w:t>Detailed explanation of the proposal's specific provisions</w:t>
      </w:r>
    </w:p>
    <w:p>
      <w:pPr>
        <w:pBdr>
          <w:top w:val="nil"/>
          <w:left w:val="nil"/>
          <w:bottom w:val="nil"/>
          <w:right w:val="nil"/>
          <w:between w:val="nil"/>
          <w:bar w:val="nil"/>
        </w:pBdr>
        <w:spacing w:before="0" w:after="240"/>
        <w:rPr>
          <w:rFonts w:eastAsia="Arial Unicode MS"/>
          <w:noProof/>
        </w:rPr>
      </w:pPr>
      <w:r>
        <w:rPr>
          <w:noProof/>
        </w:rPr>
        <w:t>The Commission recommends that:</w:t>
      </w:r>
    </w:p>
    <w:p>
      <w:pPr>
        <w:pBdr>
          <w:top w:val="nil"/>
          <w:left w:val="nil"/>
          <w:bottom w:val="nil"/>
          <w:right w:val="nil"/>
          <w:between w:val="nil"/>
          <w:bar w:val="nil"/>
        </w:pBdr>
        <w:spacing w:before="0" w:after="240"/>
        <w:rPr>
          <w:noProof/>
        </w:rPr>
      </w:pPr>
      <w:r>
        <w:rPr>
          <w:noProof/>
        </w:rPr>
        <w:t>- the Council authorise it to open and conduct negotiations for the conclusion of a new sustainable fisheries partnership agreement with Madagascar and an implementing protocol.</w:t>
      </w:r>
    </w:p>
    <w:p>
      <w:pPr>
        <w:pBdr>
          <w:top w:val="nil"/>
          <w:left w:val="nil"/>
          <w:bottom w:val="nil"/>
          <w:right w:val="nil"/>
          <w:between w:val="nil"/>
          <w:bar w:val="nil"/>
        </w:pBdr>
        <w:spacing w:before="0" w:after="240"/>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Statut"/>
        <w:rPr>
          <w:noProof/>
        </w:rPr>
      </w:pPr>
      <w:r>
        <w:rPr>
          <w:noProof/>
        </w:rPr>
        <w:t>Recommendation for a</w:t>
      </w:r>
    </w:p>
    <w:p>
      <w:pPr>
        <w:pStyle w:val="Typedudocument"/>
        <w:rPr>
          <w:noProof/>
        </w:rPr>
      </w:pPr>
      <w:r>
        <w:rPr>
          <w:noProof/>
        </w:rPr>
        <w:t>COUNCIL DECISION</w:t>
      </w:r>
    </w:p>
    <w:p>
      <w:pPr>
        <w:pStyle w:val="Titreobjet"/>
        <w:rPr>
          <w:noProof/>
        </w:rPr>
      </w:pPr>
      <w:r>
        <w:rPr>
          <w:noProof/>
        </w:rPr>
        <w:t>authorising the opening of negotiations for a sustainable fisheries partnership agreement and its implementing protocol between the European Union and the Republic of Madagascar</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 43(2), in conjunction with Article 218(3) and (4) thereof,</w:t>
      </w:r>
    </w:p>
    <w:p>
      <w:pPr>
        <w:rPr>
          <w:noProof/>
        </w:rPr>
      </w:pPr>
      <w:r>
        <w:rPr>
          <w:noProof/>
        </w:rPr>
        <w:t>Having regard to the European Commission's recommendation:</w:t>
      </w:r>
    </w:p>
    <w:p>
      <w:pPr>
        <w:rPr>
          <w:noProof/>
          <w:sz w:val="22"/>
        </w:rPr>
      </w:pPr>
      <w:r>
        <w:rPr>
          <w:noProof/>
        </w:rPr>
        <w:t>Whereas negotiations should be opened with a view to concluding a new sustainable fisheries partnership agreement and its implementing protocol between the European Union and the Republic of Madagascar,</w:t>
      </w:r>
    </w:p>
    <w:p>
      <w:pPr>
        <w:pStyle w:val="Formuledadoption"/>
        <w:rPr>
          <w:noProof/>
        </w:rPr>
      </w:pPr>
      <w:r>
        <w:rPr>
          <w:noProof/>
        </w:rPr>
        <w:t>HAS ADOPTED THIS DECISION:</w:t>
      </w:r>
    </w:p>
    <w:p>
      <w:pPr>
        <w:pStyle w:val="Titrearticle"/>
        <w:rPr>
          <w:noProof/>
        </w:rPr>
      </w:pPr>
      <w:r>
        <w:rPr>
          <w:noProof/>
        </w:rPr>
        <w:t>Article 1</w:t>
      </w:r>
    </w:p>
    <w:p>
      <w:pPr>
        <w:rPr>
          <w:noProof/>
        </w:rPr>
      </w:pPr>
      <w:bookmarkStart w:id="1" w:name="_CopyToNewDocument_"/>
      <w:bookmarkEnd w:id="1"/>
      <w:r>
        <w:rPr>
          <w:noProof/>
        </w:rPr>
        <w:t>The opening of negotiations for a sustainable fisheries partnership agreement and its implementing protocol between the European Union and the Republic of Madagascar is hereby authorised.</w:t>
      </w:r>
    </w:p>
    <w:p>
      <w:pPr>
        <w:pStyle w:val="Titrearticle"/>
        <w:rPr>
          <w:noProof/>
        </w:rPr>
      </w:pPr>
      <w:r>
        <w:rPr>
          <w:noProof/>
        </w:rPr>
        <w:t>Article 2</w:t>
      </w:r>
    </w:p>
    <w:p>
      <w:pPr>
        <w:rPr>
          <w:iCs/>
          <w:noProof/>
        </w:rPr>
      </w:pPr>
      <w:r>
        <w:rPr>
          <w:noProof/>
        </w:rPr>
        <w:t>The Commission is hereby nominated as the Union negotiator.</w:t>
      </w:r>
    </w:p>
    <w:p>
      <w:pPr>
        <w:pStyle w:val="Titrearticle"/>
        <w:rPr>
          <w:noProof/>
        </w:rPr>
      </w:pPr>
      <w:r>
        <w:rPr>
          <w:noProof/>
        </w:rPr>
        <w:t>Article 3</w:t>
      </w:r>
    </w:p>
    <w:p>
      <w:pPr>
        <w:rPr>
          <w:noProof/>
        </w:rPr>
      </w:pPr>
      <w:r>
        <w:rPr>
          <w:noProof/>
        </w:rPr>
        <w:t>The negotiating directives set out in the annex to this Decision are hereby addressed to the Commission.</w:t>
      </w:r>
    </w:p>
    <w:p>
      <w:pPr>
        <w:pStyle w:val="Titrearticle"/>
        <w:rPr>
          <w:noProof/>
        </w:rPr>
      </w:pPr>
      <w:r>
        <w:rPr>
          <w:noProof/>
        </w:rPr>
        <w:t>Article 4</w:t>
      </w:r>
    </w:p>
    <w:p>
      <w:pPr>
        <w:rPr>
          <w:noProof/>
        </w:rPr>
      </w:pPr>
      <w:r>
        <w:rPr>
          <w:noProof/>
        </w:rPr>
        <w:t>The negotiations shall be conducted in consultation with the Council Working Party on Fisheries Policy, which is hereby designated as the special committee referred to in Article 218(4) TFEU.</w:t>
      </w:r>
    </w:p>
    <w:p>
      <w:pPr>
        <w:pStyle w:val="Titrearticle"/>
        <w:rPr>
          <w:noProof/>
        </w:rPr>
      </w:pPr>
      <w:r>
        <w:rPr>
          <w:noProof/>
        </w:rPr>
        <w:t>Article 5</w:t>
      </w:r>
    </w:p>
    <w:p>
      <w:pPr>
        <w:rPr>
          <w:noProof/>
        </w:rPr>
      </w:pPr>
      <w:r>
        <w:rPr>
          <w:noProof/>
        </w:rPr>
        <w:t>This Decision is addressed to the Commission.</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en-IE"/>
        </w:rPr>
      </w:pPr>
      <w:r>
        <w:rPr>
          <w:rStyle w:val="FootnoteReference"/>
        </w:rPr>
        <w:footnoteRef/>
      </w:r>
      <w:r>
        <w:rPr>
          <w:lang w:val="en-IE"/>
        </w:rPr>
        <w:tab/>
      </w:r>
      <w:r>
        <w:rPr>
          <w:color w:val="000000"/>
          <w:shd w:val="clear" w:color="auto" w:fill="FFFFFF"/>
          <w:lang w:val="en-IE"/>
        </w:rPr>
        <w:t>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 (OJ L 354, 28.12.2013, p. 22).</w:t>
      </w:r>
    </w:p>
  </w:footnote>
  <w:footnote w:id="2">
    <w:p>
      <w:pPr>
        <w:pStyle w:val="FootnoteText"/>
        <w:rPr>
          <w:lang w:val="en-IE"/>
        </w:rPr>
      </w:pPr>
      <w:r>
        <w:rPr>
          <w:rStyle w:val="FootnoteReference"/>
        </w:rPr>
        <w:footnoteRef/>
      </w:r>
      <w:r>
        <w:rPr>
          <w:lang w:val="en-IE"/>
        </w:rPr>
        <w:tab/>
        <w:t>Current sustainable fisheries partnership agreement: OJ L 182, 19.7.2023, pp. 25-81.</w:t>
      </w:r>
    </w:p>
  </w:footnote>
  <w:footnote w:id="3">
    <w:p>
      <w:pPr>
        <w:rPr>
          <w:lang w:val="en-IE"/>
        </w:rPr>
      </w:pPr>
      <w:r>
        <w:rPr>
          <w:rStyle w:val="FootnoteReference"/>
        </w:rPr>
        <w:footnoteRef/>
      </w:r>
      <w:r>
        <w:rPr>
          <w:lang w:val="en-IE"/>
        </w:rPr>
        <w:tab/>
        <w:t xml:space="preserve">Directorate-General for Maritime Affairs and Fisheries, POSEIDON and Fisheries Maritime Affairs, EU-Madagascar Sustainable fisheries partnership – Assessment of the 2023-2027 sustainable fisheries partnership agreement </w:t>
      </w:r>
      <w:r>
        <w:t>(SFPA</w:t>
      </w:r>
      <w:r>
        <w:rPr>
          <w:lang w:val="en-IE"/>
        </w:rPr>
        <w:t xml:space="preserve">) and of a possible future SFPA, Publications Office of the European Union, 2026, </w:t>
      </w:r>
      <w:hyperlink r:id="rId1" w:history="1">
        <w:r>
          <w:rPr>
            <w:rStyle w:val="Hyperlink"/>
            <w:lang w:val="en-IE"/>
          </w:rPr>
          <w:t>https://data.europa.eu/doi/10.2771/4471552</w:t>
        </w:r>
      </w:hyperlink>
    </w:p>
  </w:footnote>
  <w:footnote w:id="4">
    <w:p>
      <w:pPr>
        <w:pStyle w:val="FootnoteText"/>
        <w:rPr>
          <w:lang w:val="en-IE"/>
        </w:rPr>
      </w:pPr>
      <w:r>
        <w:rPr>
          <w:rStyle w:val="FootnoteReference"/>
        </w:rPr>
        <w:footnoteRef/>
      </w:r>
      <w:r>
        <w:rPr>
          <w:lang w:val="en-IE"/>
        </w:rPr>
        <w:tab/>
        <w:t xml:space="preserve">Article 20 of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 (OJ L 433I, 22.12.2020, p. 28), </w:t>
      </w:r>
      <w:hyperlink r:id="rId2" w:history="1">
        <w:r>
          <w:rPr>
            <w:rStyle w:val="Hyperlink"/>
            <w:lang w:val="en-IE"/>
          </w:rPr>
          <w:t>eur-lex.europa.eu/legal-content/EN/TXT/PDF/?uri=OJ:L:2020:433I:FULL</w:t>
        </w:r>
      </w:hyperlink>
      <w:r>
        <w:rPr>
          <w:lang w:val="en-IE"/>
        </w:rPr>
        <w:t>.</w:t>
      </w:r>
    </w:p>
  </w:footnote>
  <w:footnote w:id="5">
    <w:p>
      <w:pPr>
        <w:pStyle w:val="FootnoteText"/>
        <w:rPr>
          <w:lang w:val="en-IE"/>
        </w:rPr>
      </w:pPr>
      <w:r>
        <w:rPr>
          <w:rStyle w:val="FootnoteReference"/>
        </w:rPr>
        <w:footnoteRef/>
      </w:r>
      <w:r>
        <w:rPr>
          <w:lang w:val="en-IE"/>
        </w:rPr>
        <w:tab/>
        <w:t xml:space="preserve">See Article 20 of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 (OJ L 433I, 22.12.2020, p. 28), </w:t>
      </w:r>
      <w:hyperlink r:id="rId3" w:tooltip="Gives access to this document through its ELI URI." w:history="1">
        <w:r>
          <w:rPr>
            <w:rStyle w:val="Hyperlink"/>
            <w:lang w:val="en-IE"/>
          </w:rPr>
          <w:t>http://data.europa.eu/eli/agree_interinstit/2020/1222/oj</w:t>
        </w:r>
      </w:hyperlink>
      <w:r>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526C54F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0CE6571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3C69A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BE2BE3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5"/>
  </w:num>
  <w:num w:numId="6">
    <w:abstractNumId w:val="8"/>
  </w:num>
  <w:num w:numId="7">
    <w:abstractNumId w:val="17"/>
  </w:num>
  <w:num w:numId="8">
    <w:abstractNumId w:val="7"/>
  </w:num>
  <w:num w:numId="9">
    <w:abstractNumId w:val="9"/>
  </w:num>
  <w:num w:numId="10">
    <w:abstractNumId w:val="10"/>
  </w:num>
  <w:num w:numId="11">
    <w:abstractNumId w:val="5"/>
  </w:num>
  <w:num w:numId="12">
    <w:abstractNumId w:val="16"/>
  </w:num>
  <w:num w:numId="13">
    <w:abstractNumId w:val="4"/>
  </w:num>
  <w:num w:numId="14">
    <w:abstractNumId w:val="11"/>
  </w:num>
  <w:num w:numId="15">
    <w:abstractNumId w:val="13"/>
  </w:num>
  <w:num w:numId="16">
    <w:abstractNumId w:val="14"/>
  </w:num>
  <w:num w:numId="17">
    <w:abstractNumId w:val="6"/>
  </w:num>
  <w:num w:numId="18">
    <w:abstractNumId w:val="12"/>
  </w:num>
  <w:num w:numId="19">
    <w:abstractNumId w:val="18"/>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fr-BE" w:vendorID="64" w:dllVersion="6" w:nlCheck="1" w:checkStyle="0"/>
  <w:activeWritingStyle w:appName="MSWord" w:lang="fr-FR" w:vendorID="64" w:dllVersion="6" w:nlCheck="1" w:checkStyle="0"/>
  <w:activeWritingStyle w:appName="MSWord" w:lang="nb-NO" w:vendorID="64" w:dllVersion="6" w:nlCheck="1" w:checkStyle="0"/>
  <w:activeWritingStyle w:appName="MSWord" w:lang="en-US" w:vendorID="64" w:dllVersion="6" w:nlCheck="1" w:checkStyle="1"/>
  <w:activeWritingStyle w:appName="MSWord" w:lang="fr-BE" w:vendorID="64" w:dllVersion="0" w:nlCheck="1" w:checkStyle="0"/>
  <w:activeWritingStyle w:appName="MSWord" w:lang="fr-FR" w:vendorID="64" w:dllVersion="0" w:nlCheck="1" w:checkStyle="0"/>
  <w:activeWritingStyle w:appName="MSWord" w:lang="nb-NO" w:vendorID="64" w:dllVersion="0" w:nlCheck="1" w:checkStyle="0"/>
  <w:activeWritingStyle w:appName="MSWord" w:lang="en-IE" w:vendorID="64" w:dllVersion="0" w:nlCheck="1" w:checkStyle="0"/>
  <w:activeWritingStyle w:appName="MSWord" w:lang="en-GB"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9 17:30: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898377B-930D-4314-B44D-046FEC306596"/>
    <w:docVar w:name="LW_COVERPAGE_TYPE" w:val="1"/>
    <w:docVar w:name="LW_CROSSREFERENCE" w:val="{SWD(2026) 272 final} - {SWD(2026) 273 final}"/>
    <w:docVar w:name="LW_DocType" w:val="COM"/>
    <w:docVar w:name="LW_EMISSION" w:val="10.9.2026"/>
    <w:docVar w:name="LW_EMISSION_ISODATE" w:val="2026-09-10"/>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authorising the opening of negotiations for a sustainable fisheries partnership agreement and its implementing protocol between the European Union and the Republic of Madagascar"/>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0AEDCC83-EE0A-4123-9EF6-A4F27588B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basedOn w:val="DefaultParagraphFont"/>
    <w:uiPriority w:val="99"/>
    <w:unhideWhenUsed/>
    <w:rPr>
      <w:color w:val="0000FF" w:themeColor="hyperlink"/>
      <w:u w:val="single"/>
    </w:rPr>
  </w:style>
  <w:style w:type="character" w:customStyle="1" w:styleId="tab">
    <w:name w:val="tab"/>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character" w:styleId="FollowedHyperlink">
    <w:name w:val="FollowedHyperlink"/>
    <w:basedOn w:val="DefaultParagraphFont"/>
    <w:uiPriority w:val="99"/>
    <w:semiHidden/>
    <w:unhideWhenUsed/>
    <w:rPr>
      <w:color w:val="800080" w:themeColor="followedHyperlink"/>
      <w:u w:val="single"/>
    </w:rPr>
  </w:style>
  <w:style w:type="paragraph" w:styleId="PlainText">
    <w:name w:val="Plain Text"/>
    <w:basedOn w:val="Normal"/>
    <w:link w:val="PlainTextChar"/>
    <w:uiPriority w:val="99"/>
    <w:semiHidden/>
    <w:unhideWhenUsed/>
    <w:pPr>
      <w:spacing w:before="0" w:after="0"/>
      <w:jc w:val="left"/>
    </w:pPr>
    <w:rPr>
      <w:rFonts w:ascii="Calibri" w:hAnsi="Calibri" w:cs="Calibri"/>
      <w:sz w:val="22"/>
      <w:lang w:eastAsia="fr-FR"/>
    </w:rPr>
  </w:style>
  <w:style w:type="character" w:customStyle="1" w:styleId="PlainTextChar">
    <w:name w:val="Plain Text Char"/>
    <w:basedOn w:val="DefaultParagraphFont"/>
    <w:link w:val="PlainText"/>
    <w:uiPriority w:val="99"/>
    <w:semiHidden/>
    <w:rPr>
      <w:rFonts w:ascii="Calibri" w:hAnsi="Calibri" w:cs="Calibri"/>
      <w:lang w:val="fr-FR" w:eastAsia="fr-FR"/>
    </w:rPr>
  </w:style>
  <w:style w:type="paragraph" w:customStyle="1" w:styleId="Times">
    <w:name w:val="Times"/>
    <w:basedOn w:val="PlainText"/>
    <w:rPr>
      <w:lang w:eastAsia="en-US"/>
    </w:rPr>
  </w:style>
  <w:style w:type="paragraph" w:styleId="Revision">
    <w:name w:val="Revision"/>
    <w:hidden/>
    <w:uiPriority w:val="99"/>
    <w:semiHidden/>
    <w:pPr>
      <w:spacing w:after="0" w:line="240" w:lineRule="auto"/>
    </w:pPr>
    <w:rPr>
      <w:rFonts w:ascii="Times New Roman" w:hAnsi="Times New Roman" w:cs="Times New Roman"/>
      <w:sz w:val="24"/>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68B1DB1-ListParagraph16">
    <w:name w:val="P68B1DB1-ListParagraph16"/>
    <w:basedOn w:val="ListParagraph"/>
    <w:pPr>
      <w:spacing w:before="0" w:after="160" w:line="259" w:lineRule="auto"/>
      <w:jc w:val="left"/>
    </w:pPr>
    <w:rPr>
      <w:rFonts w:eastAsia="Arial Unicode MS"/>
      <w:b/>
      <w:kern w:val="2"/>
      <w:szCs w:val="24"/>
      <w:bdr w:val="nil"/>
      <w:lang w:val="fr" w:eastAsia="en-IE"/>
      <w14:ligatures w14:val="standardContextual"/>
    </w:rPr>
  </w:style>
  <w:style w:type="paragraph" w:customStyle="1" w:styleId="P68B1DB1-Normal17">
    <w:name w:val="P68B1DB1-Normal17"/>
    <w:basedOn w:val="Normal"/>
    <w:pPr>
      <w:spacing w:before="0" w:after="160" w:line="259" w:lineRule="auto"/>
      <w:jc w:val="left"/>
    </w:pPr>
    <w:rPr>
      <w:rFonts w:eastAsia="Arial Unicode MS"/>
      <w:b/>
      <w:kern w:val="2"/>
      <w:szCs w:val="24"/>
      <w:lang w:val="fr" w:eastAsia="en-IE"/>
      <w14:ligatures w14:val="standardContextual"/>
    </w:rPr>
  </w:style>
  <w:style w:type="paragraph" w:styleId="ListParagraph">
    <w:name w:val="List Paragraph"/>
    <w:basedOn w:val="Normal"/>
    <w:uiPriority w:val="34"/>
    <w:qFormat/>
    <w:pPr>
      <w:ind w:left="720"/>
      <w:contextualSpacing/>
    </w:pPr>
  </w:style>
  <w:style w:type="paragraph" w:customStyle="1" w:styleId="P68B1DB1-Normal14">
    <w:name w:val="P68B1DB1-Normal14"/>
    <w:basedOn w:val="Normal"/>
    <w:pPr>
      <w:spacing w:before="0" w:after="160" w:line="259" w:lineRule="auto"/>
      <w:jc w:val="left"/>
    </w:pPr>
    <w:rPr>
      <w:rFonts w:eastAsia="Arial Unicode MS"/>
      <w:kern w:val="2"/>
      <w:szCs w:val="24"/>
      <w:lang w:val="fr" w:eastAsia="en-IE"/>
      <w14:ligatures w14:val="standardContextual"/>
    </w:rPr>
  </w:style>
  <w:style w:type="paragraph" w:customStyle="1" w:styleId="P68B1DB1-Titrearticle20">
    <w:name w:val="P68B1DB1-Titrearticle20"/>
    <w:basedOn w:val="Titrearticle"/>
    <w:rPr>
      <w:rFonts w:eastAsia="Times New Roman"/>
      <w:i w:val="0"/>
      <w:szCs w:val="24"/>
      <w:lang w:val="fr" w:eastAsia="en-IE"/>
    </w:rPr>
  </w:style>
  <w:style w:type="paragraph" w:customStyle="1" w:styleId="Footn">
    <w:name w:val="Footn"/>
    <w:basedOn w:val="Normal"/>
    <w:rPr>
      <w:sz w:val="20"/>
      <w:szCs w:val="20"/>
      <w:lang w:val="nb-NO"/>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04967">
      <w:bodyDiv w:val="1"/>
      <w:marLeft w:val="0"/>
      <w:marRight w:val="0"/>
      <w:marTop w:val="0"/>
      <w:marBottom w:val="0"/>
      <w:divBdr>
        <w:top w:val="none" w:sz="0" w:space="0" w:color="auto"/>
        <w:left w:val="none" w:sz="0" w:space="0" w:color="auto"/>
        <w:bottom w:val="none" w:sz="0" w:space="0" w:color="auto"/>
        <w:right w:val="none" w:sz="0" w:space="0" w:color="auto"/>
      </w:divBdr>
    </w:div>
    <w:div w:id="1459950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s://eur-lex.europa.eu/legal-content/FR/TXT/PDF/?uri=OJ:L:2020:433I:FULL" TargetMode="External"/><Relationship Id="rId1" Type="http://schemas.openxmlformats.org/officeDocument/2006/relationships/hyperlink" Target="https://data.europa.eu/doi/10.2771/447155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E1011-4CA2-4592-8A63-8D1307632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33</TotalTime>
  <Pages>5</Pages>
  <Words>1479</Words>
  <Characters>8434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33</cp:revision>
  <dcterms:created xsi:type="dcterms:W3CDTF">2026-09-01T10:13:00Z</dcterms:created>
  <dcterms:modified xsi:type="dcterms:W3CDTF">2026-09-09T15:30:00Z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2024-02-28T10:32:15Z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88bde70f-5481-4cdd-a0cc-dd39e4cb9b18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