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A7CFA71-9F2B-46A8-8F91-27B97CB1A7E1" style="width:455.25pt;height:345.75pt">
            <v:imagedata r:id="rId8" o:title=""/>
          </v:shape>
        </w:pict>
      </w:r>
    </w:p>
    <w:p>
      <w:pPr>
        <w:pStyle w:val="Pagedecouverture"/>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lang w:val="fr-BE"/>
        </w:rPr>
      </w:pPr>
      <w:r>
        <w:rPr>
          <w:noProof/>
          <w:lang w:val="fr-BE"/>
        </w:rPr>
        <w:lastRenderedPageBreak/>
        <w:t>EXPOSÉ DES MOTIFS</w:t>
      </w:r>
    </w:p>
    <w:p>
      <w:pPr>
        <w:pStyle w:val="ManualHeading1"/>
        <w:ind w:left="0" w:firstLine="0"/>
        <w:rPr>
          <w:noProof/>
        </w:rPr>
      </w:pPr>
      <w:r>
        <w:rPr>
          <w:noProof/>
        </w:rPr>
        <w:t>1.</w:t>
      </w:r>
      <w:r>
        <w:rPr>
          <w:noProof/>
        </w:rPr>
        <w:tab/>
        <w:t>CONTEXTE DE LA PROPOSITION</w:t>
      </w:r>
    </w:p>
    <w:p>
      <w:pPr>
        <w:pStyle w:val="ManualHeading2"/>
        <w:rPr>
          <w:rFonts w:eastAsia="Arial Unicode MS"/>
          <w:noProof/>
        </w:rPr>
      </w:pPr>
      <w:r>
        <w:rPr>
          <w:rFonts w:eastAsia="Arial Unicode MS"/>
          <w:noProof/>
          <w:color w:val="000000"/>
          <w:u w:color="000000"/>
          <w:bdr w:val="nil"/>
          <w:lang w:eastAsia="en-GB"/>
        </w:rPr>
        <w:t>•</w:t>
      </w:r>
      <w:r>
        <w:rPr>
          <w:rFonts w:eastAsia="Arial Unicode MS"/>
          <w:noProof/>
          <w:color w:val="000000"/>
          <w:u w:color="000000"/>
          <w:bdr w:val="nil"/>
          <w:lang w:eastAsia="en-GB"/>
        </w:rPr>
        <w:tab/>
        <w:t>Justification et objectifs de la proposition</w:t>
      </w:r>
    </w:p>
    <w:p>
      <w:pPr>
        <w:spacing w:before="60" w:after="60"/>
        <w:rPr>
          <w:rFonts w:eastAsia="Arial Unicode MS"/>
          <w:noProof/>
        </w:rPr>
      </w:pPr>
      <w:r>
        <w:rPr>
          <w:noProof/>
        </w:rPr>
        <w:t>La Commission recommande de négocier avec la République de Madagascar un nouvel accord de partenariat dans le secteur de la pêche durable (APPD) et un protocole le mettant en œuvre, qui soient conformes au règlement (UE) nº 1380/2013</w:t>
      </w:r>
      <w:r>
        <w:rPr>
          <w:rStyle w:val="FootnoteReference"/>
          <w:noProof/>
        </w:rPr>
        <w:footnoteReference w:id="1"/>
      </w:r>
      <w:r>
        <w:rPr>
          <w:noProof/>
        </w:rPr>
        <w:t xml:space="preserve"> relatif à la politique commune de la pêche (PCP), afin de répondre aux besoins de la flotte de l'Union et de contribuer à la réalisation des objectifs de la PCP. </w:t>
      </w:r>
    </w:p>
    <w:p>
      <w:pPr>
        <w:pStyle w:val="ManualHeading2"/>
        <w:rPr>
          <w:rFonts w:eastAsia="Arial Unicode MS"/>
          <w:noProof/>
          <w:color w:val="000000"/>
          <w:u w:color="000000"/>
          <w:bdr w:val="nil"/>
          <w:lang w:eastAsia="en-GB"/>
        </w:rPr>
      </w:pPr>
      <w:r>
        <w:rPr>
          <w:rFonts w:eastAsia="Arial Unicode MS"/>
          <w:noProof/>
          <w:color w:val="000000"/>
          <w:u w:color="000000"/>
          <w:bdr w:val="nil"/>
          <w:lang w:eastAsia="en-GB"/>
        </w:rPr>
        <w:t>•</w:t>
      </w:r>
      <w:r>
        <w:rPr>
          <w:rFonts w:eastAsia="Arial Unicode MS"/>
          <w:noProof/>
          <w:color w:val="000000"/>
          <w:u w:color="000000"/>
          <w:bdr w:val="nil"/>
          <w:lang w:eastAsia="en-GB"/>
        </w:rPr>
        <w:tab/>
        <w:t>Cohérence avec les dispositions existantes dans le domaine d'action</w:t>
      </w:r>
    </w:p>
    <w:p>
      <w:pPr>
        <w:pBdr>
          <w:top w:val="nil"/>
          <w:left w:val="nil"/>
          <w:bottom w:val="nil"/>
          <w:right w:val="nil"/>
          <w:between w:val="nil"/>
          <w:bar w:val="nil"/>
        </w:pBdr>
        <w:spacing w:before="0" w:after="240"/>
        <w:rPr>
          <w:rFonts w:eastAsia="Arial Unicode MS"/>
          <w:noProof/>
          <w:szCs w:val="24"/>
        </w:rPr>
      </w:pPr>
      <w:r>
        <w:rPr>
          <w:noProof/>
        </w:rPr>
        <w:t xml:space="preserve">Un accord de partenariat dans le domaine de la pêche durable (APPD) entre l’Union européenne et </w:t>
      </w:r>
      <w:r>
        <w:rPr>
          <w:noProof/>
          <w:color w:val="000000"/>
          <w:szCs w:val="24"/>
        </w:rPr>
        <w:t>Madagascar</w:t>
      </w:r>
      <w:r>
        <w:rPr>
          <w:noProof/>
        </w:rPr>
        <w:t xml:space="preserve"> et son protocole de mise en œuvre</w:t>
      </w:r>
      <w:r>
        <w:rPr>
          <w:rStyle w:val="FootnoteReference"/>
          <w:noProof/>
        </w:rPr>
        <w:footnoteReference w:id="2"/>
      </w:r>
      <w:r>
        <w:rPr>
          <w:noProof/>
        </w:rPr>
        <w:t>, signés le 30 juin 2023 et appliqués depuis le 1</w:t>
      </w:r>
      <w:r>
        <w:rPr>
          <w:noProof/>
          <w:vertAlign w:val="superscript"/>
        </w:rPr>
        <w:t>er</w:t>
      </w:r>
      <w:r>
        <w:rPr>
          <w:noProof/>
        </w:rPr>
        <w:t xml:space="preserve"> juillet 2023, expireront le 30 juin 2027. Le protocole fixe actuellement les possibilités de pêche accordées à la flotte de l’Union et la contrepartie financière correspondante versée par l’Union à Madagascar d’un montant de 1 800 000 EUR, dont 1 100 000 EUR destinés à l’appui sectoriel, ainsi que les contributions des opérateurs des navires.</w:t>
      </w:r>
    </w:p>
    <w:p>
      <w:pPr>
        <w:spacing w:before="60" w:after="240"/>
        <w:rPr>
          <w:noProof/>
        </w:rPr>
      </w:pPr>
      <w:r>
        <w:rPr>
          <w:noProof/>
        </w:rPr>
        <w:t>L’accès des navires de l’Union à la zone de pêche de Madagascar est autorisé pour la pêche aux thonidés et espèces hautement migratoires, qui intéresse quatre États membres (Espagne, France, Italie et Portugal). L’Union européenne dispose d’un réseau d’accords de partenariat dans le domaine de la pêche durable (APPD) bilatéraux actifs en Afrique de l’Ouest, Centrale, et dans la région de l’Océan Indien. Dans la région de l’Océan Indien, la flotte thonière dispose d’APPD actifs avec la République de Maurice et la République des Seychelles.</w:t>
      </w:r>
    </w:p>
    <w:p>
      <w:pPr>
        <w:pBdr>
          <w:top w:val="nil"/>
          <w:left w:val="nil"/>
          <w:bottom w:val="nil"/>
          <w:right w:val="nil"/>
          <w:between w:val="nil"/>
          <w:bar w:val="nil"/>
        </w:pBdr>
        <w:spacing w:before="0" w:after="240"/>
        <w:rPr>
          <w:rFonts w:eastAsia="Arial Unicode MS"/>
          <w:noProof/>
        </w:rPr>
      </w:pPr>
      <w:r>
        <w:rPr>
          <w:noProof/>
        </w:rPr>
        <w:t>Les APPD contribuent à promouvoir sur le plan international les objectifs de la PCP, en veillant à ce que les activités de pêche de l'Union en dehors des eaux de celle-ci reposent sur les mêmes principes et normes que ceux applicables en vertu du droit de l'Union. En outre, les APPD renforcent la position de l’Union européenne au sein d’organisations de pêche internationales et régionales, en particulier au sein de la Commission des thons de l'océan Indien (CTOI), l’organisme de conservation et de gestion des espèces de grands migrateurs dans la région, ainsi que dans le cadre de l’accord relatif aux pêches dans le sud de l’océan Indien (APSOI). Enfin, les APPD s’appuient sur les meilleurs avis scientifiques disponibles et contribuent à un meilleur respect des mesures internationales, notamment à la lutte contre la pêche illicite, non déclarée et non réglementée (INN).</w:t>
      </w:r>
    </w:p>
    <w:p>
      <w:pPr>
        <w:pStyle w:val="ManualHeading2"/>
        <w:rPr>
          <w:rFonts w:eastAsia="Arial Unicode MS"/>
          <w:noProof/>
        </w:rPr>
      </w:pPr>
      <w:r>
        <w:rPr>
          <w:rFonts w:eastAsia="Arial Unicode MS"/>
          <w:noProof/>
          <w:color w:val="000000"/>
          <w:u w:color="000000"/>
          <w:bdr w:val="nil"/>
          <w:lang w:eastAsia="en-GB"/>
        </w:rPr>
        <w:t>•</w:t>
      </w:r>
      <w:r>
        <w:rPr>
          <w:rFonts w:eastAsia="Arial Unicode MS"/>
          <w:noProof/>
          <w:color w:val="000000"/>
          <w:u w:color="000000"/>
          <w:bdr w:val="nil"/>
          <w:lang w:eastAsia="en-GB"/>
        </w:rPr>
        <w:tab/>
        <w:t>Cohérence avec les autres politiques de l'Union</w:t>
      </w:r>
    </w:p>
    <w:p>
      <w:pPr>
        <w:pBdr>
          <w:top w:val="nil"/>
          <w:left w:val="nil"/>
          <w:bottom w:val="nil"/>
          <w:right w:val="nil"/>
          <w:between w:val="nil"/>
          <w:bar w:val="nil"/>
        </w:pBdr>
        <w:spacing w:before="0" w:after="240"/>
        <w:rPr>
          <w:noProof/>
        </w:rPr>
      </w:pPr>
      <w:r>
        <w:rPr>
          <w:noProof/>
        </w:rPr>
        <w:t xml:space="preserve">La négociation d’un APPD et d’un protocole avec </w:t>
      </w:r>
      <w:r>
        <w:rPr>
          <w:noProof/>
          <w:color w:val="000000"/>
          <w:szCs w:val="24"/>
        </w:rPr>
        <w:t>Madagascar</w:t>
      </w:r>
      <w:r>
        <w:rPr>
          <w:noProof/>
        </w:rPr>
        <w:t xml:space="preserve"> est conforme à l’action extérieure de l’Union à l'égard des pays d’Afrique, des Caraïbes, du Pacifique (ACP), et notamment aux objectifs de l’Union en matière de respect des principes démocratiques et des droits humains.</w:t>
      </w:r>
    </w:p>
    <w:p>
      <w:pPr>
        <w:pBdr>
          <w:top w:val="nil"/>
          <w:left w:val="nil"/>
          <w:bottom w:val="nil"/>
          <w:right w:val="nil"/>
          <w:between w:val="nil"/>
          <w:bar w:val="nil"/>
        </w:pBdr>
        <w:spacing w:before="0" w:after="240"/>
        <w:rPr>
          <w:noProof/>
        </w:rPr>
      </w:pPr>
      <w:r>
        <w:rPr>
          <w:noProof/>
        </w:rPr>
        <w:lastRenderedPageBreak/>
        <w:t>Les APPD complètent d’autres instruments de l’Union, y compris l’instrument de voisinage, de coopération au développement et de coopération internationale (NDICI), en renforçant les capacités nationales et régionales en matière de gestion des pêches, et s’appuient sur les possibilités existantes telles que les formations proposées par l’Agence européenne de contrôle des pêches (AECP).</w:t>
      </w:r>
    </w:p>
    <w:p>
      <w:pPr>
        <w:pBdr>
          <w:top w:val="nil"/>
          <w:left w:val="nil"/>
          <w:bottom w:val="nil"/>
          <w:right w:val="nil"/>
          <w:between w:val="nil"/>
          <w:bar w:val="nil"/>
        </w:pBdr>
        <w:spacing w:before="0" w:after="240"/>
        <w:rPr>
          <w:rFonts w:eastAsia="Arial Unicode MS"/>
          <w:noProof/>
          <w:lang w:val="fr-BE"/>
        </w:rPr>
      </w:pPr>
      <w:r>
        <w:rPr>
          <w:rFonts w:eastAsia="Arial Unicode MS"/>
          <w:noProof/>
          <w:lang w:val="fr-BE"/>
        </w:rPr>
        <w:t>La promotion du travail décent est assurée par la négociation attendue d’une clause sociale en ligne avec la Convention (n° 188) sur le travail dans la pêche, 2007, de l’Organisation Internationale du Travail (OIT) pour les travailleurs du pays partenaire amenés à être employés par les navires de l’Union.</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Base juridique matérielle</w:t>
      </w:r>
    </w:p>
    <w:p>
      <w:pPr>
        <w:pBdr>
          <w:top w:val="nil"/>
          <w:left w:val="nil"/>
          <w:bottom w:val="nil"/>
          <w:right w:val="nil"/>
          <w:between w:val="nil"/>
          <w:bar w:val="nil"/>
        </w:pBdr>
        <w:spacing w:before="0" w:after="240"/>
        <w:rPr>
          <w:noProof/>
        </w:rPr>
      </w:pPr>
      <w:r>
        <w:rPr>
          <w:noProof/>
        </w:rPr>
        <w:t>La base juridique matérielle est fournie par l’article 43, paragraphe 2, du traité sur le fonctionnement de l’Union européenne (TFUE) qui concerne la politique commune de la pêche.</w:t>
      </w:r>
    </w:p>
    <w:p>
      <w:pPr>
        <w:pStyle w:val="ManualHeading2"/>
        <w:rPr>
          <w:rFonts w:eastAsia="Arial Unicode MS"/>
          <w:noProof/>
          <w:u w:color="000000"/>
          <w:bdr w:val="nil"/>
          <w:lang w:val="fr-BE" w:eastAsia="en-GB"/>
        </w:rPr>
      </w:pPr>
      <w:r>
        <w:rPr>
          <w:rFonts w:eastAsia="Arial Unicode MS"/>
          <w:noProof/>
          <w:u w:color="000000"/>
          <w:bdr w:val="nil"/>
          <w:lang w:val="fr-BE" w:eastAsia="en-GB"/>
        </w:rPr>
        <w:t>•</w:t>
      </w:r>
      <w:r>
        <w:rPr>
          <w:rFonts w:eastAsia="Arial Unicode MS"/>
          <w:noProof/>
          <w:u w:color="000000"/>
          <w:bdr w:val="nil"/>
          <w:lang w:val="fr-BE" w:eastAsia="en-GB"/>
        </w:rPr>
        <w:tab/>
        <w:t>Base juridique procédurale</w:t>
      </w:r>
    </w:p>
    <w:p>
      <w:pPr>
        <w:rPr>
          <w:noProof/>
          <w:lang w:val="fr-BE"/>
        </w:rPr>
      </w:pPr>
      <w:r>
        <w:rPr>
          <w:noProof/>
          <w:lang w:val="fr-BE"/>
        </w:rPr>
        <w:t xml:space="preserve">L’article 218, paragraphe 3, du TFUE prévoit que, lorsque l’accord envisagé ne porte pas exclusivement ou principalement sur la politique étrangère et de sécurité commune, la Commission présente des recommandations au Conseil. Le Conseil adopte une décision autorisant l’ouverture des négociations et désignant le négociateur ou le chef de l’équipe de négociation de l’Union. </w:t>
      </w:r>
    </w:p>
    <w:p>
      <w:pPr>
        <w:rPr>
          <w:noProof/>
          <w:lang w:val="fr-BE"/>
        </w:rPr>
      </w:pPr>
      <w:r>
        <w:rPr>
          <w:noProof/>
          <w:lang w:val="fr-BE"/>
        </w:rPr>
        <w:t>L’article 218, paragraphe 4, du TFUE prévoit que le Conseil peut adresser des directives de négociation au négociateur et désigner un comité spécial avec lequel le négociateur doit se concerter.</w:t>
      </w:r>
    </w:p>
    <w:p>
      <w:pPr>
        <w:rPr>
          <w:noProof/>
          <w:lang w:val="fr-BE"/>
        </w:rPr>
      </w:pPr>
      <w:r>
        <w:rPr>
          <w:noProof/>
          <w:lang w:val="fr-BE"/>
        </w:rPr>
        <w:t>La Commission recommande d’ouvrir des négociations entre l’Union européenne et la République de Madagascar en vue d’un accord international de partenariat dans le domaine de la pêche durable et son protocole de mise en œuvre. Il est prévu que la Commission soit désignée en tant que négociateur.</w:t>
      </w:r>
    </w:p>
    <w:p>
      <w:pPr>
        <w:rPr>
          <w:noProof/>
          <w:lang w:val="fr-BE"/>
        </w:rPr>
      </w:pPr>
      <w:r>
        <w:rPr>
          <w:noProof/>
          <w:lang w:val="fr-BE"/>
        </w:rPr>
        <w:t>La base juridique procédurale de la proposition de décision autorisant l’ouverture de négociations de l’accord envisagé est l’article 218, paragraphes 3 et 4, du TFUE.</w:t>
      </w:r>
    </w:p>
    <w:p>
      <w:pPr>
        <w:pStyle w:val="ManualHeading2"/>
        <w:rPr>
          <w:rFonts w:eastAsia="Arial Unicode MS"/>
          <w:noProof/>
          <w:u w:color="000000"/>
          <w:bdr w:val="nil"/>
          <w:lang w:eastAsia="en-GB"/>
        </w:rPr>
      </w:pPr>
      <w:bookmarkStart w:id="0" w:name="_Toc216446636"/>
      <w:r>
        <w:rPr>
          <w:rFonts w:eastAsia="Arial Unicode MS"/>
          <w:noProof/>
          <w:u w:color="000000"/>
          <w:bdr w:val="nil"/>
          <w:lang w:eastAsia="en-GB"/>
        </w:rPr>
        <w:t>•</w:t>
      </w:r>
      <w:r>
        <w:rPr>
          <w:rFonts w:eastAsia="Arial Unicode MS"/>
          <w:noProof/>
          <w:u w:color="000000"/>
          <w:bdr w:val="nil"/>
          <w:lang w:eastAsia="en-GB"/>
        </w:rPr>
        <w:tab/>
      </w:r>
      <w:r>
        <w:rPr>
          <w:rFonts w:eastAsia="Arial Unicode MS"/>
          <w:noProof/>
          <w:u w:color="000000"/>
          <w:bdr w:val="nil"/>
          <w:lang w:val="fr-BE" w:eastAsia="en-GB"/>
        </w:rPr>
        <w:t>Choix du négociateur</w:t>
      </w:r>
    </w:p>
    <w:bookmarkEnd w:id="0"/>
    <w:p>
      <w:pPr>
        <w:pStyle w:val="Text1"/>
        <w:ind w:left="0"/>
        <w:rPr>
          <w:noProof/>
        </w:rPr>
      </w:pPr>
      <w:r>
        <w:rPr>
          <w:noProof/>
        </w:rPr>
        <w:t xml:space="preserve">Étant donné que l’accord envisagé couvre exclusivement des questions autres que la politique étrangère et de sécurité commune, </w:t>
      </w:r>
      <w:r>
        <w:rPr>
          <w:rFonts w:eastAsia="Arial Unicode MS"/>
          <w:noProof/>
        </w:rPr>
        <w:t xml:space="preserve">il convient de désigner la Commission en tant que négociateur </w:t>
      </w:r>
      <w:r>
        <w:rPr>
          <w:noProof/>
        </w:rPr>
        <w:t>conformément à l’article 218, paragraphe 3, du traité sur le fonctionnement de l’Union européenne.</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r>
      <w:r>
        <w:rPr>
          <w:noProof/>
        </w:rPr>
        <w:t>Compétence de l’Union</w:t>
      </w:r>
    </w:p>
    <w:p>
      <w:pPr>
        <w:pBdr>
          <w:top w:val="nil"/>
          <w:left w:val="nil"/>
          <w:bottom w:val="nil"/>
          <w:right w:val="nil"/>
          <w:between w:val="nil"/>
          <w:bar w:val="nil"/>
        </w:pBdr>
        <w:spacing w:before="0" w:after="240"/>
        <w:rPr>
          <w:rFonts w:eastAsia="Arial Unicode MS"/>
          <w:noProof/>
        </w:rPr>
      </w:pPr>
      <w:r>
        <w:rPr>
          <w:noProof/>
        </w:rPr>
        <w:t>Le sujet couvert par la recommandation concerne la politique commune de la pêche, dans laquelle l’Union exerce une compétence exclusive.</w:t>
      </w:r>
    </w:p>
    <w:p>
      <w:pPr>
        <w:pStyle w:val="ManualHeading2"/>
        <w:rPr>
          <w:rFonts w:eastAsia="Arial Unicode MS"/>
          <w:noProof/>
          <w:u w:color="000000"/>
          <w:bdr w:val="nil"/>
          <w:lang w:val="fr-BE" w:eastAsia="en-GB"/>
        </w:rPr>
      </w:pPr>
      <w:r>
        <w:rPr>
          <w:rFonts w:eastAsia="Arial Unicode MS"/>
          <w:noProof/>
          <w:u w:color="000000"/>
          <w:bdr w:val="nil"/>
          <w:lang w:val="fr-BE" w:eastAsia="en-GB"/>
        </w:rPr>
        <w:t>•</w:t>
      </w:r>
      <w:r>
        <w:rPr>
          <w:rFonts w:eastAsia="Arial Unicode MS"/>
          <w:noProof/>
          <w:u w:color="000000"/>
          <w:bdr w:val="nil"/>
          <w:lang w:val="fr-BE" w:eastAsia="en-GB"/>
        </w:rPr>
        <w:tab/>
        <w:t>Proportionnalité</w:t>
      </w:r>
    </w:p>
    <w:p>
      <w:pPr>
        <w:pBdr>
          <w:top w:val="nil"/>
          <w:left w:val="nil"/>
          <w:bottom w:val="nil"/>
          <w:right w:val="nil"/>
          <w:between w:val="nil"/>
          <w:bar w:val="nil"/>
        </w:pBdr>
        <w:spacing w:before="0" w:after="240"/>
        <w:rPr>
          <w:rFonts w:eastAsia="Arial Unicode MS"/>
          <w:noProof/>
          <w:lang w:val="fr-BE"/>
        </w:rPr>
      </w:pPr>
      <w:r>
        <w:rPr>
          <w:noProof/>
          <w:lang w:val="fr-BE"/>
        </w:rPr>
        <w:t>La décision proposée est proportionnée à l’objectif d’établir un cadre de gouvernance juridique, environnementale, économique et sociale pour les activités de pêche menées par les navires de l’Union dans les eaux de pays tiers, conformément à l’article 31 du règlement (UE) nº 1380/2013 établissant la politique commune de la pêche.</w:t>
      </w:r>
    </w:p>
    <w:p>
      <w:pPr>
        <w:pStyle w:val="ManualHeading2"/>
        <w:rPr>
          <w:rFonts w:eastAsia="Arial Unicode MS"/>
          <w:noProof/>
          <w:u w:color="000000"/>
          <w:bdr w:val="nil"/>
          <w:lang w:val="fr-BE" w:eastAsia="en-GB"/>
        </w:rPr>
      </w:pPr>
      <w:r>
        <w:rPr>
          <w:rFonts w:eastAsia="Arial Unicode MS"/>
          <w:noProof/>
          <w:u w:color="000000"/>
          <w:bdr w:val="nil"/>
          <w:lang w:val="fr-BE" w:eastAsia="en-GB"/>
        </w:rPr>
        <w:t>•</w:t>
      </w:r>
      <w:r>
        <w:rPr>
          <w:rFonts w:eastAsia="Arial Unicode MS"/>
          <w:noProof/>
          <w:u w:color="000000"/>
          <w:bdr w:val="nil"/>
          <w:lang w:val="fr-BE" w:eastAsia="en-GB"/>
        </w:rPr>
        <w:tab/>
        <w:t>Choix de l'instrument</w:t>
      </w:r>
    </w:p>
    <w:p>
      <w:pPr>
        <w:pStyle w:val="P68B1DB1-Normal14"/>
        <w:pBdr>
          <w:top w:val="nil"/>
          <w:left w:val="nil"/>
          <w:bottom w:val="nil"/>
          <w:right w:val="nil"/>
          <w:between w:val="nil"/>
          <w:bar w:val="nil"/>
        </w:pBdr>
        <w:spacing w:after="240"/>
        <w:jc w:val="both"/>
        <w:rPr>
          <w:noProof/>
        </w:rPr>
      </w:pPr>
      <w:r>
        <w:rPr>
          <w:noProof/>
        </w:rPr>
        <w:t xml:space="preserve">La présente recommandation de décision du Conseil est présentée conformément à l’article 218, paragraphes 3 et 4, du TFUE, qui prévoient l’adoption par le Conseil d’une </w:t>
      </w:r>
      <w:r>
        <w:rPr>
          <w:noProof/>
        </w:rPr>
        <w:lastRenderedPageBreak/>
        <w:t>décision autorisant l’ouverture de négociations et désignant le négociateur de l’Union. Le Conseil peut également adresser des directives de négociation au négociateur. Aucun autre instrument juridique ne permettrait d’atteindre l’objectif énoncé dans la présente recommandation.</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Évaluations ex post/bilans de qualité de la législation existante</w:t>
      </w:r>
    </w:p>
    <w:p>
      <w:pPr>
        <w:pBdr>
          <w:top w:val="nil"/>
          <w:left w:val="nil"/>
          <w:bottom w:val="nil"/>
          <w:right w:val="nil"/>
          <w:between w:val="nil"/>
          <w:bar w:val="nil"/>
        </w:pBdr>
        <w:spacing w:before="0" w:after="240"/>
        <w:rPr>
          <w:rFonts w:eastAsia="Arial Unicode MS"/>
          <w:noProof/>
        </w:rPr>
      </w:pPr>
      <w:r>
        <w:rPr>
          <w:noProof/>
        </w:rPr>
        <w:t xml:space="preserve">En 2026, la Commission a procédé à une évaluation ex post du protocole actuel à l’APPD conclu avec </w:t>
      </w:r>
      <w:r>
        <w:rPr>
          <w:noProof/>
          <w:color w:val="000000"/>
          <w:szCs w:val="24"/>
        </w:rPr>
        <w:t xml:space="preserve">Madagascar </w:t>
      </w:r>
      <w:r>
        <w:rPr>
          <w:noProof/>
        </w:rPr>
        <w:t>et à une évaluation ex ante d’un éventuel nouvel accord et protocole. Le rapport de cette évaluation est public</w:t>
      </w:r>
      <w:r>
        <w:rPr>
          <w:rStyle w:val="FootnoteReference"/>
          <w:noProof/>
        </w:rPr>
        <w:footnoteReference w:id="3"/>
      </w:r>
      <w:r>
        <w:rPr>
          <w:noProof/>
        </w:rPr>
        <w:t>.</w:t>
      </w:r>
    </w:p>
    <w:p>
      <w:pPr>
        <w:pBdr>
          <w:top w:val="nil"/>
          <w:left w:val="nil"/>
          <w:bottom w:val="nil"/>
          <w:right w:val="nil"/>
          <w:between w:val="nil"/>
          <w:bar w:val="nil"/>
        </w:pBdr>
        <w:spacing w:before="0" w:after="240"/>
        <w:rPr>
          <w:noProof/>
        </w:rPr>
      </w:pPr>
      <w:r>
        <w:rPr>
          <w:rFonts w:eastAsia="Arial Unicode MS"/>
          <w:noProof/>
        </w:rPr>
        <w:t xml:space="preserve">En conclusion, il ressort du rapport d’évaluation que </w:t>
      </w:r>
      <w:r>
        <w:rPr>
          <w:noProof/>
        </w:rPr>
        <w:t xml:space="preserve">le secteur de la pêche thonière de </w:t>
      </w:r>
      <w:r>
        <w:rPr>
          <w:rFonts w:eastAsia="Arial Unicode MS"/>
          <w:noProof/>
        </w:rPr>
        <w:t>l’Union est fortement intéressé par un accord encadrant les activités de pêche à Madagascar. Le rapport d’évaluation montre également qu’il persiste un écart entre le nombre de possibilités de pêche offertes et l’utilisation de ces possibilités. Un éventuel futur protocole devrait réduire le nombre de possibilités de pêche offertes, ce qui devrait entraîner une réduction de la contrepartie financière à verser au titre du protocole. En outre, le renouvellement du protocole contribuerait à renforcer le suivi, le contrôle et la surveillance, ainsi qu’à améliorer la gouvernance des pêcheries dans la région. L’évaluation démontre qu’un renouvellement du protocole présenterait également des avantages pour Madagascar compte tenu de l’importance de la contribution financière versée au titre du protocole pour le développement du secteur de la pêche.</w:t>
      </w:r>
    </w:p>
    <w:p>
      <w:pPr>
        <w:pStyle w:val="ManualHeading2"/>
        <w:rPr>
          <w:rFonts w:eastAsia="Arial Unicode MS"/>
          <w:noProof/>
          <w:u w:color="000000"/>
          <w:bdr w:val="nil"/>
          <w:lang w:val="fr-BE" w:eastAsia="en-GB"/>
        </w:rPr>
      </w:pPr>
      <w:r>
        <w:rPr>
          <w:rFonts w:eastAsia="Arial Unicode MS"/>
          <w:noProof/>
          <w:u w:color="000000"/>
          <w:bdr w:val="nil"/>
          <w:lang w:val="fr-BE" w:eastAsia="en-GB"/>
        </w:rPr>
        <w:t>•</w:t>
      </w:r>
      <w:r>
        <w:rPr>
          <w:rFonts w:eastAsia="Arial Unicode MS"/>
          <w:noProof/>
          <w:u w:color="000000"/>
          <w:bdr w:val="nil"/>
          <w:lang w:val="fr-BE" w:eastAsia="en-GB"/>
        </w:rPr>
        <w:tab/>
        <w:t>Consultation des parties intéressées</w:t>
      </w:r>
    </w:p>
    <w:p>
      <w:pPr>
        <w:pBdr>
          <w:top w:val="nil"/>
          <w:left w:val="nil"/>
          <w:bottom w:val="nil"/>
          <w:right w:val="nil"/>
          <w:between w:val="nil"/>
          <w:bar w:val="nil"/>
        </w:pBdr>
        <w:spacing w:before="0" w:after="240"/>
        <w:rPr>
          <w:rFonts w:eastAsia="Arial Unicode MS"/>
          <w:noProof/>
          <w:lang w:val="fr-BE"/>
        </w:rPr>
      </w:pPr>
      <w:r>
        <w:rPr>
          <w:noProof/>
        </w:rPr>
        <w:t>Les États membres, des représentants du secteur, des organisations internationales de la société civile ainsi que l’administration des pêches et des représentants de la société civile de l’Union et de Madagascar</w:t>
      </w:r>
      <w:r>
        <w:rPr>
          <w:noProof/>
          <w:color w:val="000000"/>
          <w:szCs w:val="24"/>
        </w:rPr>
        <w:t xml:space="preserve"> </w:t>
      </w:r>
      <w:r>
        <w:rPr>
          <w:noProof/>
        </w:rPr>
        <w:t>ont été consultés dans le cadre de l’évaluation. Des consultations ont également été organisées dans le cadre du conseil consultatif pour la pêche lointaine.</w:t>
      </w:r>
    </w:p>
    <w:p>
      <w:pPr>
        <w:pStyle w:val="ManualHeading2"/>
        <w:rPr>
          <w:rFonts w:eastAsia="Arial Unicode MS"/>
          <w:noProof/>
          <w:u w:color="000000"/>
          <w:bdr w:val="nil"/>
          <w:lang w:val="fr-BE" w:eastAsia="en-GB"/>
        </w:rPr>
      </w:pPr>
      <w:r>
        <w:rPr>
          <w:rFonts w:eastAsia="Arial Unicode MS"/>
          <w:noProof/>
          <w:u w:color="000000"/>
          <w:bdr w:val="nil"/>
          <w:lang w:val="fr-BE" w:eastAsia="en-GB"/>
        </w:rPr>
        <w:t>•</w:t>
      </w:r>
      <w:r>
        <w:rPr>
          <w:rFonts w:eastAsia="Arial Unicode MS"/>
          <w:noProof/>
          <w:u w:color="000000"/>
          <w:bdr w:val="nil"/>
          <w:lang w:val="fr-BE" w:eastAsia="en-GB"/>
        </w:rPr>
        <w:tab/>
        <w:t>Obtention et utilisation d'expertise</w:t>
      </w:r>
    </w:p>
    <w:p>
      <w:pPr>
        <w:pBdr>
          <w:top w:val="nil"/>
          <w:left w:val="nil"/>
          <w:bottom w:val="nil"/>
          <w:right w:val="nil"/>
          <w:between w:val="nil"/>
          <w:bar w:val="nil"/>
        </w:pBdr>
        <w:spacing w:before="0" w:after="240"/>
        <w:rPr>
          <w:rFonts w:eastAsia="Arial Unicode MS"/>
          <w:noProof/>
          <w:lang w:val="fr-BE"/>
        </w:rPr>
      </w:pPr>
      <w:r>
        <w:rPr>
          <w:noProof/>
        </w:rPr>
        <w:t xml:space="preserve">Les évaluations menées ont fait appel à des experts du domaine, indépendants. </w:t>
      </w:r>
    </w:p>
    <w:p>
      <w:pPr>
        <w:pStyle w:val="ManualHeading2"/>
        <w:rPr>
          <w:rFonts w:eastAsia="Arial Unicode MS"/>
          <w:noProof/>
          <w:u w:color="000000"/>
          <w:bdr w:val="nil"/>
          <w:lang w:val="fr-BE" w:eastAsia="en-GB"/>
        </w:rPr>
      </w:pPr>
      <w:r>
        <w:rPr>
          <w:rFonts w:eastAsia="Arial Unicode MS"/>
          <w:noProof/>
          <w:u w:color="000000"/>
          <w:bdr w:val="nil"/>
          <w:lang w:val="fr-BE" w:eastAsia="en-GB"/>
        </w:rPr>
        <w:t>•</w:t>
      </w:r>
      <w:r>
        <w:rPr>
          <w:rFonts w:eastAsia="Arial Unicode MS"/>
          <w:noProof/>
          <w:u w:color="000000"/>
          <w:bdr w:val="nil"/>
          <w:lang w:val="fr-BE" w:eastAsia="en-GB"/>
        </w:rPr>
        <w:tab/>
        <w:t>Analyse d'impact</w:t>
      </w:r>
    </w:p>
    <w:p>
      <w:pPr>
        <w:pBdr>
          <w:top w:val="nil"/>
          <w:left w:val="nil"/>
          <w:bottom w:val="nil"/>
          <w:right w:val="nil"/>
          <w:between w:val="nil"/>
          <w:bar w:val="nil"/>
        </w:pBdr>
        <w:spacing w:before="0" w:after="240"/>
        <w:rPr>
          <w:rFonts w:eastAsia="Arial Unicode MS"/>
          <w:noProof/>
          <w:lang w:val="fr-BE"/>
        </w:rPr>
      </w:pPr>
      <w:r>
        <w:rPr>
          <w:noProof/>
        </w:rPr>
        <w:t>Sans objet.</w:t>
      </w:r>
    </w:p>
    <w:p>
      <w:pPr>
        <w:pStyle w:val="ManualHeading2"/>
        <w:rPr>
          <w:rFonts w:eastAsia="Arial Unicode MS"/>
          <w:noProof/>
          <w:u w:color="000000"/>
          <w:bdr w:val="nil"/>
          <w:lang w:val="fr-BE" w:eastAsia="en-GB"/>
        </w:rPr>
      </w:pPr>
      <w:r>
        <w:rPr>
          <w:rFonts w:eastAsia="Arial Unicode MS"/>
          <w:noProof/>
          <w:u w:color="000000"/>
          <w:bdr w:val="nil"/>
          <w:lang w:val="fr-BE" w:eastAsia="en-GB"/>
        </w:rPr>
        <w:t>•</w:t>
      </w:r>
      <w:r>
        <w:rPr>
          <w:rFonts w:eastAsia="Arial Unicode MS"/>
          <w:noProof/>
          <w:u w:color="000000"/>
          <w:bdr w:val="nil"/>
          <w:lang w:val="fr-BE" w:eastAsia="en-GB"/>
        </w:rPr>
        <w:tab/>
        <w:t>Réglementation affûtée et simplification</w:t>
      </w:r>
    </w:p>
    <w:p>
      <w:pPr>
        <w:pBdr>
          <w:top w:val="nil"/>
          <w:left w:val="nil"/>
          <w:bottom w:val="nil"/>
          <w:right w:val="nil"/>
          <w:between w:val="nil"/>
          <w:bar w:val="nil"/>
        </w:pBdr>
        <w:spacing w:before="0" w:after="240"/>
        <w:rPr>
          <w:rFonts w:eastAsia="Arial Unicode MS"/>
          <w:noProof/>
          <w:lang w:val="fr-BE"/>
        </w:rPr>
      </w:pPr>
      <w:r>
        <w:rPr>
          <w:noProof/>
        </w:rPr>
        <w:t>Sans objet.</w:t>
      </w:r>
    </w:p>
    <w:p>
      <w:pPr>
        <w:pStyle w:val="ManualHeading2"/>
        <w:rPr>
          <w:rFonts w:eastAsia="Arial Unicode MS"/>
          <w:noProof/>
          <w:u w:color="000000"/>
          <w:bdr w:val="nil"/>
          <w:lang w:val="fr-BE" w:eastAsia="en-GB"/>
        </w:rPr>
      </w:pPr>
      <w:r>
        <w:rPr>
          <w:rFonts w:eastAsia="Arial Unicode MS"/>
          <w:noProof/>
          <w:u w:color="000000"/>
          <w:bdr w:val="nil"/>
          <w:lang w:val="fr-BE" w:eastAsia="en-GB"/>
        </w:rPr>
        <w:t>•</w:t>
      </w:r>
      <w:r>
        <w:rPr>
          <w:rFonts w:eastAsia="Arial Unicode MS"/>
          <w:noProof/>
          <w:u w:color="000000"/>
          <w:bdr w:val="nil"/>
          <w:lang w:val="fr-BE" w:eastAsia="en-GB"/>
        </w:rPr>
        <w:tab/>
        <w:t>Droits fondamentaux</w:t>
      </w:r>
    </w:p>
    <w:p>
      <w:pPr>
        <w:pBdr>
          <w:top w:val="nil"/>
          <w:left w:val="nil"/>
          <w:bottom w:val="nil"/>
          <w:right w:val="nil"/>
          <w:between w:val="nil"/>
          <w:bar w:val="nil"/>
        </w:pBdr>
        <w:spacing w:before="0" w:after="240"/>
        <w:rPr>
          <w:rFonts w:eastAsia="Arial Unicode MS"/>
          <w:noProof/>
          <w:lang w:val="fr-BE"/>
        </w:rPr>
      </w:pPr>
      <w:r>
        <w:rPr>
          <w:noProof/>
        </w:rPr>
        <w:t>Les directives de négociation en annexe à la proposition de décision recommandent d’inclure une clause relative aux conséquences des violations des droits humains et des principes démocratiques.</w:t>
      </w:r>
    </w:p>
    <w:p>
      <w:pPr>
        <w:pStyle w:val="ManualHeading1"/>
        <w:rPr>
          <w:noProof/>
          <w:lang w:val="fr-BE"/>
        </w:rPr>
      </w:pPr>
      <w:r>
        <w:rPr>
          <w:noProof/>
          <w:lang w:val="fr-BE"/>
        </w:rPr>
        <w:lastRenderedPageBreak/>
        <w:t>4.</w:t>
      </w:r>
      <w:r>
        <w:rPr>
          <w:noProof/>
          <w:lang w:val="fr-BE"/>
        </w:rPr>
        <w:tab/>
        <w:t>INCIDENCE BUDGÉTAIRE</w:t>
      </w:r>
    </w:p>
    <w:p>
      <w:pPr>
        <w:pBdr>
          <w:top w:val="nil"/>
          <w:left w:val="nil"/>
          <w:bottom w:val="nil"/>
          <w:right w:val="nil"/>
          <w:between w:val="nil"/>
          <w:bar w:val="nil"/>
        </w:pBdr>
        <w:spacing w:before="0" w:after="240"/>
        <w:rPr>
          <w:noProof/>
        </w:rPr>
      </w:pPr>
      <w:r>
        <w:rPr>
          <w:noProof/>
        </w:rPr>
        <w:t>L’incidence budgétaire d’un nouveau protocole découlera du versement d’une contrepartie financière à Madagascar. Les dotations budgétaires correspondantes (crédits d’engagement et de paiement) doivent être inscrites chaque année dans la ligne budgétaire pour les APPD (08 05 01) et être compatibles avec la programmation financière au titre du cadre financier pluriannuel</w:t>
      </w:r>
      <w:r>
        <w:rPr>
          <w:rStyle w:val="FootnoteReference"/>
          <w:noProof/>
        </w:rPr>
        <w:footnoteReference w:id="4"/>
      </w:r>
      <w:r>
        <w:rPr>
          <w:noProof/>
        </w:rPr>
        <w:t xml:space="preserve"> pour la période 2021-2027, puis 2028-2034. Les montants annuels des engagements et des paiements sont déterminés dans le cadre de la procédure budgétaire annuelle, y compris la ligne de réserve pour les protocoles qui n’étaient pas entrés en vigueur au début de l’année</w:t>
      </w:r>
      <w:r>
        <w:rPr>
          <w:rStyle w:val="FootnoteReference"/>
          <w:noProof/>
        </w:rPr>
        <w:footnoteReference w:id="5"/>
      </w:r>
      <w:r>
        <w:rPr>
          <w:noProof/>
        </w:rPr>
        <w:t xml:space="preserve">. </w:t>
      </w:r>
    </w:p>
    <w:p>
      <w:pPr>
        <w:pStyle w:val="ManualHeading1"/>
        <w:rPr>
          <w:noProof/>
        </w:rPr>
      </w:pPr>
      <w:r>
        <w:rPr>
          <w:noProof/>
        </w:rPr>
        <w:t>5.</w:t>
      </w:r>
      <w:r>
        <w:rPr>
          <w:noProof/>
        </w:rPr>
        <w:tab/>
        <w:t>AUTRES ÉLÉMENTS</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Plans de mise en œuvre et modalités de suivi, d'évaluation et d'information</w:t>
      </w:r>
    </w:p>
    <w:p>
      <w:pPr>
        <w:pBdr>
          <w:top w:val="nil"/>
          <w:left w:val="nil"/>
          <w:bottom w:val="nil"/>
          <w:right w:val="nil"/>
          <w:between w:val="nil"/>
          <w:bar w:val="nil"/>
        </w:pBdr>
        <w:spacing w:before="0" w:after="240"/>
        <w:rPr>
          <w:rFonts w:eastAsia="Arial Unicode MS"/>
          <w:noProof/>
        </w:rPr>
      </w:pPr>
      <w:r>
        <w:rPr>
          <w:noProof/>
        </w:rPr>
        <w:t>Les négociations doivent commencer au cours du quatrième trimestre de 2026 dans l’objectif de limiter la période entre deux APPD, après l’expiration intervenant le 30 juin 2027.</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Explication détaillée de certaines dispositions de la proposition</w:t>
      </w:r>
    </w:p>
    <w:p>
      <w:pPr>
        <w:pBdr>
          <w:top w:val="nil"/>
          <w:left w:val="nil"/>
          <w:bottom w:val="nil"/>
          <w:right w:val="nil"/>
          <w:between w:val="nil"/>
          <w:bar w:val="nil"/>
        </w:pBdr>
        <w:spacing w:before="0" w:after="240"/>
        <w:rPr>
          <w:rFonts w:eastAsia="Arial Unicode MS"/>
          <w:noProof/>
        </w:rPr>
      </w:pPr>
      <w:r>
        <w:rPr>
          <w:noProof/>
        </w:rPr>
        <w:t>La Commission recommande:</w:t>
      </w:r>
    </w:p>
    <w:p>
      <w:pPr>
        <w:pBdr>
          <w:top w:val="nil"/>
          <w:left w:val="nil"/>
          <w:bottom w:val="nil"/>
          <w:right w:val="nil"/>
          <w:between w:val="nil"/>
          <w:bar w:val="nil"/>
        </w:pBdr>
        <w:spacing w:before="0" w:after="240"/>
        <w:rPr>
          <w:noProof/>
        </w:rPr>
      </w:pPr>
      <w:r>
        <w:rPr>
          <w:noProof/>
        </w:rPr>
        <w:t>- que le Conseil l'autorise à ouvrir et à mener des négociations en vue de la conclusion d’un nouvel accord de partenariat dans le secteur de la pêche durable avec Madagascar et d’un protocole de mise en œuvre.</w:t>
      </w:r>
    </w:p>
    <w:p>
      <w:pPr>
        <w:pBdr>
          <w:top w:val="nil"/>
          <w:left w:val="nil"/>
          <w:bottom w:val="nil"/>
          <w:right w:val="nil"/>
          <w:between w:val="nil"/>
          <w:bar w:val="nil"/>
        </w:pBdr>
        <w:spacing w:before="0" w:after="240"/>
        <w:rPr>
          <w:noProof/>
          <w:lang w:val="fr-BE"/>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pPr>
        <w:pStyle w:val="Statut"/>
        <w:rPr>
          <w:noProof/>
        </w:rPr>
      </w:pPr>
      <w:r>
        <w:rPr>
          <w:noProof/>
        </w:rPr>
        <w:lastRenderedPageBreak/>
        <w:t>Recommandation de</w:t>
      </w:r>
    </w:p>
    <w:p>
      <w:pPr>
        <w:pStyle w:val="Typedudocument"/>
        <w:rPr>
          <w:noProof/>
        </w:rPr>
      </w:pPr>
      <w:r>
        <w:rPr>
          <w:noProof/>
        </w:rPr>
        <w:t>DÉCISION DU CONSEIL</w:t>
      </w:r>
    </w:p>
    <w:p>
      <w:pPr>
        <w:pStyle w:val="Titreobjet"/>
        <w:rPr>
          <w:noProof/>
        </w:rPr>
      </w:pPr>
      <w:r>
        <w:rPr>
          <w:noProof/>
        </w:rPr>
        <w:t>autorisant l'ouverture de négociations en vue d'un accord de partenariat dans le domaine de la pêche durable et de son protocole de mise en œuvre entre l'Union et la République de Madagascar</w:t>
      </w:r>
    </w:p>
    <w:p>
      <w:pPr>
        <w:pStyle w:val="Institutionquiagit"/>
        <w:rPr>
          <w:noProof/>
        </w:rPr>
      </w:pPr>
      <w:r>
        <w:rPr>
          <w:noProof/>
        </w:rPr>
        <w:t>LE CONSEIL DE L’UNION EUROPÉENNE,</w:t>
      </w:r>
    </w:p>
    <w:p>
      <w:pPr>
        <w:rPr>
          <w:noProof/>
        </w:rPr>
      </w:pPr>
      <w:r>
        <w:rPr>
          <w:noProof/>
        </w:rPr>
        <w:t>vu le traité sur le fonctionnement de l'Union européenne, et notamment son article 43, paragraphe 2, en liaison avec son article 218, paragraphes 3 et 4,</w:t>
      </w:r>
    </w:p>
    <w:p>
      <w:pPr>
        <w:rPr>
          <w:noProof/>
        </w:rPr>
      </w:pPr>
      <w:r>
        <w:rPr>
          <w:noProof/>
        </w:rPr>
        <w:t>vu la recommandation de la Commission européenne:</w:t>
      </w:r>
    </w:p>
    <w:p>
      <w:pPr>
        <w:rPr>
          <w:noProof/>
          <w:sz w:val="22"/>
        </w:rPr>
      </w:pPr>
      <w:r>
        <w:rPr>
          <w:noProof/>
        </w:rPr>
        <w:t>considérant qu’il convient d'entamer des négociations en vue de conclure un nouvel accord de partenariat dans le domaine de la pêche durable et son protocole de mise en œuvre entre l’Union et la République de Madagascar,</w:t>
      </w:r>
    </w:p>
    <w:p>
      <w:pPr>
        <w:pStyle w:val="Formuledadoption"/>
        <w:rPr>
          <w:noProof/>
        </w:rPr>
      </w:pPr>
      <w:r>
        <w:rPr>
          <w:noProof/>
        </w:rPr>
        <w:t>A ADOPTÉ LA PRÉSENTE DÉCISION:</w:t>
      </w:r>
    </w:p>
    <w:p>
      <w:pPr>
        <w:pStyle w:val="Titrearticle"/>
        <w:rPr>
          <w:noProof/>
        </w:rPr>
      </w:pPr>
      <w:r>
        <w:rPr>
          <w:noProof/>
        </w:rPr>
        <w:t>Article premier</w:t>
      </w:r>
    </w:p>
    <w:p>
      <w:pPr>
        <w:rPr>
          <w:noProof/>
        </w:rPr>
      </w:pPr>
      <w:bookmarkStart w:id="1" w:name="_CopyToNewDocument_"/>
      <w:bookmarkEnd w:id="1"/>
      <w:r>
        <w:rPr>
          <w:noProof/>
        </w:rPr>
        <w:t>L’ouverture de négociations en vue d’un accord de partenariat dans le domaine de la pêche durable et son protocole de mise en œuvre entre l’Union et la République de Madagascar est autorisée.</w:t>
      </w:r>
    </w:p>
    <w:p>
      <w:pPr>
        <w:pStyle w:val="Titrearticle"/>
        <w:rPr>
          <w:noProof/>
        </w:rPr>
      </w:pPr>
      <w:r>
        <w:rPr>
          <w:noProof/>
        </w:rPr>
        <w:t>Article 2</w:t>
      </w:r>
    </w:p>
    <w:p>
      <w:pPr>
        <w:rPr>
          <w:iCs/>
          <w:noProof/>
        </w:rPr>
      </w:pPr>
      <w:r>
        <w:rPr>
          <w:noProof/>
        </w:rPr>
        <w:t>La Commission est nommée négociateur de l’Union.</w:t>
      </w:r>
    </w:p>
    <w:p>
      <w:pPr>
        <w:pStyle w:val="Titrearticle"/>
        <w:rPr>
          <w:noProof/>
        </w:rPr>
      </w:pPr>
      <w:r>
        <w:rPr>
          <w:noProof/>
        </w:rPr>
        <w:t>Article 3</w:t>
      </w:r>
    </w:p>
    <w:p>
      <w:pPr>
        <w:rPr>
          <w:noProof/>
        </w:rPr>
      </w:pPr>
      <w:r>
        <w:rPr>
          <w:noProof/>
        </w:rPr>
        <w:t xml:space="preserve">Les directives de négociation figurant dans l’annexe à la présente décision sont adressées à la Commission. </w:t>
      </w:r>
    </w:p>
    <w:p>
      <w:pPr>
        <w:pStyle w:val="Titrearticle"/>
        <w:rPr>
          <w:noProof/>
        </w:rPr>
      </w:pPr>
      <w:r>
        <w:rPr>
          <w:noProof/>
        </w:rPr>
        <w:t>Article 4</w:t>
      </w:r>
    </w:p>
    <w:p>
      <w:pPr>
        <w:rPr>
          <w:noProof/>
        </w:rPr>
      </w:pPr>
      <w:r>
        <w:rPr>
          <w:noProof/>
        </w:rPr>
        <w:t>Les négociations sont conduites en concertation avec le groupe «Politique de la pêche» du Conseil, qui est désigné comme comité spécial prévu à l’article 218, paragraphe 4, du TFUE.</w:t>
      </w:r>
    </w:p>
    <w:p>
      <w:pPr>
        <w:pStyle w:val="Titrearticle"/>
        <w:rPr>
          <w:noProof/>
        </w:rPr>
      </w:pPr>
      <w:r>
        <w:rPr>
          <w:noProof/>
        </w:rPr>
        <w:t>Article 5</w:t>
      </w:r>
    </w:p>
    <w:p>
      <w:pPr>
        <w:rPr>
          <w:noProof/>
        </w:rPr>
      </w:pPr>
      <w:r>
        <w:rPr>
          <w:noProof/>
        </w:rPr>
        <w:t>La Commission est destinataire de la présente Décision.</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tab/>
      </w:r>
      <w:r>
        <w:rPr>
          <w:color w:val="000000"/>
          <w:shd w:val="clear" w:color="auto" w:fill="FFFFFF"/>
        </w:rPr>
        <w:t>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 (JO L 354 du 28.12.2013, p. 22).</w:t>
      </w:r>
    </w:p>
  </w:footnote>
  <w:footnote w:id="2">
    <w:p>
      <w:pPr>
        <w:pStyle w:val="FootnoteText"/>
        <w:rPr>
          <w:lang w:val="fr-BE"/>
        </w:rPr>
      </w:pPr>
      <w:r>
        <w:rPr>
          <w:rStyle w:val="FootnoteReference"/>
        </w:rPr>
        <w:footnoteRef/>
      </w:r>
      <w:r>
        <w:tab/>
        <w:t>Actuel a</w:t>
      </w:r>
      <w:r>
        <w:rPr>
          <w:noProof/>
        </w:rPr>
        <w:t>ccord de partenariat de pêche durable</w:t>
      </w:r>
      <w:r>
        <w:t xml:space="preserve">, </w:t>
      </w:r>
      <w:r>
        <w:rPr>
          <w:lang w:val="nb-NO"/>
        </w:rPr>
        <w:t>JO L L 182, 19.7.2023, pp. 25–81</w:t>
      </w:r>
    </w:p>
  </w:footnote>
  <w:footnote w:id="3">
    <w:p>
      <w:pPr>
        <w:pStyle w:val="Footn"/>
        <w:ind w:left="720" w:hanging="720"/>
      </w:pPr>
      <w:r>
        <w:rPr>
          <w:rStyle w:val="FootnoteReference"/>
        </w:rPr>
        <w:footnoteRef/>
      </w:r>
      <w:r>
        <w:tab/>
        <w:t xml:space="preserve">Directorate-General for Maritime Affairs and Fisheries, POSEIDON and Fisheries Maritime Affairs, Partenariat de pêche durable UE-Madagascar – Évaluations de l’accord de partenariat de pêche durable (APPD) 2023-2027 et d’un possible futur APPD, Publications Office of the European Union, 2026, </w:t>
      </w:r>
      <w:hyperlink r:id="rId1" w:history="1">
        <w:r>
          <w:rPr>
            <w:rStyle w:val="Hyperlink"/>
          </w:rPr>
          <w:t>https://data.europa.eu/doi/10.2771/4471552</w:t>
        </w:r>
      </w:hyperlink>
      <w:r>
        <w:t xml:space="preserve"> </w:t>
      </w:r>
    </w:p>
  </w:footnote>
  <w:footnote w:id="4">
    <w:p>
      <w:pPr>
        <w:pStyle w:val="FootnoteText"/>
        <w:rPr>
          <w:lang w:val="fr-BE"/>
        </w:rPr>
      </w:pPr>
      <w:r>
        <w:rPr>
          <w:rStyle w:val="FootnoteReference"/>
        </w:rPr>
        <w:footnoteRef/>
      </w:r>
      <w:r>
        <w:rPr>
          <w:lang w:val="fr-BE"/>
        </w:rPr>
        <w:tab/>
        <w:t xml:space="preserve">Article 20 de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 (JO L 433 I du 22.12.2020, p. 28) </w:t>
      </w:r>
      <w:hyperlink r:id="rId2" w:history="1">
        <w:r>
          <w:rPr>
            <w:rStyle w:val="Hyperlink"/>
            <w:lang w:val="fr-BE"/>
          </w:rPr>
          <w:t>eur-lex.europa.eu/legal-content/FR/TXT/PDF/?uri=OJ:L:2020:433I:FULL</w:t>
        </w:r>
      </w:hyperlink>
      <w:r>
        <w:rPr>
          <w:lang w:val="fr-BE"/>
        </w:rPr>
        <w:t>.</w:t>
      </w:r>
    </w:p>
  </w:footnote>
  <w:footnote w:id="5">
    <w:p>
      <w:pPr>
        <w:pStyle w:val="FootnoteText"/>
        <w:rPr>
          <w:lang w:val="fr-BE"/>
        </w:rPr>
      </w:pPr>
      <w:r>
        <w:rPr>
          <w:rStyle w:val="FootnoteReference"/>
        </w:rPr>
        <w:footnoteRef/>
      </w:r>
      <w:r>
        <w:tab/>
      </w:r>
      <w:r>
        <w:rPr>
          <w:lang w:val="fr-BE"/>
        </w:rPr>
        <w:t xml:space="preserve">Voir l’article 20 de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 (JO L 433I du 22.12.2020, p. 28). </w:t>
      </w:r>
      <w:hyperlink r:id="rId3" w:tooltip="Gives access to this document through its ELI URI." w:history="1">
        <w:r>
          <w:rPr>
            <w:rStyle w:val="Hyperlink"/>
          </w:rPr>
          <w:t>http://data.europa.eu/eli/agree_interinstit/2020/1222/oj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526C54F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CE6571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3C69A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BE2BE3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fr-BE" w:vendorID="64" w:dllVersion="6" w:nlCheck="1" w:checkStyle="0"/>
  <w:activeWritingStyle w:appName="MSWord" w:lang="fr-FR" w:vendorID="64" w:dllVersion="6" w:nlCheck="1" w:checkStyle="0"/>
  <w:activeWritingStyle w:appName="MSWord" w:lang="nb-NO" w:vendorID="64" w:dllVersion="6" w:nlCheck="1" w:checkStyle="0"/>
  <w:activeWritingStyle w:appName="MSWord" w:lang="en-US" w:vendorID="64" w:dllVersion="6" w:nlCheck="1" w:checkStyle="1"/>
  <w:activeWritingStyle w:appName="MSWord" w:lang="fr-BE" w:vendorID="64" w:dllVersion="0" w:nlCheck="1" w:checkStyle="0"/>
  <w:activeWritingStyle w:appName="MSWord" w:lang="fr-FR" w:vendorID="64" w:dllVersion="0" w:nlCheck="1" w:checkStyle="0"/>
  <w:activeWritingStyle w:appName="MSWord" w:lang="nb-NO"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9 17:25: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A7CFA71-9F2B-46A8-8F91-27B97CB1A7E1"/>
    <w:docVar w:name="LW_COVERPAGE_TYPE" w:val="1"/>
    <w:docVar w:name="LW_CROSSREFERENCE" w:val="{SWD(2026) 272 final} - {SWD(2026) 273 final}"/>
    <w:docVar w:name="LW_DocType" w:val="COM"/>
    <w:docVar w:name="LW_EMISSION" w:val="10.9.2026"/>
    <w:docVar w:name="LW_EMISSION_ISODATE" w:val="2026-09-10"/>
    <w:docVar w:name="LW_EMISSION_LOCATION" w:val="BRX"/>
    <w:docVar w:name="LW_EMISSION_PREFIX" w:val="Bruxelles, le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autorisant l'ouverture de négociations en vue d'un accord de partenariat dans le domaine de la pêche durable et de son protocole de mise en \u339?uvre entre l'Union et la République de Madagascar"/>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AEDCC83-EE0A-4123-9EF6-A4F27588B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tab">
    <w:name w:val="tab"/>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character" w:styleId="FollowedHyperlink">
    <w:name w:val="FollowedHyperlink"/>
    <w:basedOn w:val="DefaultParagraphFont"/>
    <w:uiPriority w:val="99"/>
    <w:semiHidden/>
    <w:unhideWhenUsed/>
    <w:rPr>
      <w:color w:val="800080" w:themeColor="followedHyperlink"/>
      <w:u w:val="single"/>
    </w:rPr>
  </w:style>
  <w:style w:type="paragraph" w:styleId="PlainText">
    <w:name w:val="Plain Text"/>
    <w:basedOn w:val="Normal"/>
    <w:link w:val="PlainTextChar"/>
    <w:uiPriority w:val="99"/>
    <w:semiHidden/>
    <w:unhideWhenUsed/>
    <w:pPr>
      <w:spacing w:before="0" w:after="0"/>
      <w:jc w:val="left"/>
    </w:pPr>
    <w:rPr>
      <w:rFonts w:ascii="Calibri" w:hAnsi="Calibri" w:cs="Calibri"/>
      <w:sz w:val="22"/>
      <w:lang w:eastAsia="fr-FR"/>
    </w:rPr>
  </w:style>
  <w:style w:type="character" w:customStyle="1" w:styleId="PlainTextChar">
    <w:name w:val="Plain Text Char"/>
    <w:basedOn w:val="DefaultParagraphFont"/>
    <w:link w:val="PlainText"/>
    <w:uiPriority w:val="99"/>
    <w:semiHidden/>
    <w:rPr>
      <w:rFonts w:ascii="Calibri" w:hAnsi="Calibri" w:cs="Calibri"/>
      <w:lang w:val="fr-FR" w:eastAsia="fr-FR"/>
    </w:rPr>
  </w:style>
  <w:style w:type="paragraph" w:customStyle="1" w:styleId="Times">
    <w:name w:val="Times"/>
    <w:basedOn w:val="PlainText"/>
    <w:rPr>
      <w:lang w:eastAsia="en-US"/>
    </w:rPr>
  </w:style>
  <w:style w:type="paragraph" w:styleId="Revision">
    <w:name w:val="Revision"/>
    <w:hidden/>
    <w:uiPriority w:val="99"/>
    <w:semiHidden/>
    <w:pPr>
      <w:spacing w:after="0" w:line="240" w:lineRule="auto"/>
    </w:pPr>
    <w:rPr>
      <w:rFonts w:ascii="Times New Roman" w:hAnsi="Times New Roman" w:cs="Times New Roman"/>
      <w:sz w:val="24"/>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68B1DB1-ListParagraph16">
    <w:name w:val="P68B1DB1-ListParagraph16"/>
    <w:basedOn w:val="ListParagraph"/>
    <w:pPr>
      <w:spacing w:before="0" w:after="160" w:line="259" w:lineRule="auto"/>
      <w:jc w:val="left"/>
    </w:pPr>
    <w:rPr>
      <w:rFonts w:eastAsia="Arial Unicode MS"/>
      <w:b/>
      <w:kern w:val="2"/>
      <w:szCs w:val="24"/>
      <w:bdr w:val="nil"/>
      <w:lang w:val="fr" w:eastAsia="en-IE"/>
      <w14:ligatures w14:val="standardContextual"/>
    </w:rPr>
  </w:style>
  <w:style w:type="paragraph" w:customStyle="1" w:styleId="P68B1DB1-Normal17">
    <w:name w:val="P68B1DB1-Normal17"/>
    <w:basedOn w:val="Normal"/>
    <w:pPr>
      <w:spacing w:before="0" w:after="160" w:line="259" w:lineRule="auto"/>
      <w:jc w:val="left"/>
    </w:pPr>
    <w:rPr>
      <w:rFonts w:eastAsia="Arial Unicode MS"/>
      <w:b/>
      <w:kern w:val="2"/>
      <w:szCs w:val="24"/>
      <w:lang w:val="fr" w:eastAsia="en-IE"/>
      <w14:ligatures w14:val="standardContextual"/>
    </w:rPr>
  </w:style>
  <w:style w:type="paragraph" w:styleId="ListParagraph">
    <w:name w:val="List Paragraph"/>
    <w:basedOn w:val="Normal"/>
    <w:uiPriority w:val="34"/>
    <w:qFormat/>
    <w:pPr>
      <w:ind w:left="720"/>
      <w:contextualSpacing/>
    </w:pPr>
  </w:style>
  <w:style w:type="paragraph" w:customStyle="1" w:styleId="P68B1DB1-Normal14">
    <w:name w:val="P68B1DB1-Normal14"/>
    <w:basedOn w:val="Normal"/>
    <w:pPr>
      <w:spacing w:before="0" w:after="160" w:line="259" w:lineRule="auto"/>
      <w:jc w:val="left"/>
    </w:pPr>
    <w:rPr>
      <w:rFonts w:eastAsia="Arial Unicode MS"/>
      <w:kern w:val="2"/>
      <w:szCs w:val="24"/>
      <w:lang w:val="fr" w:eastAsia="en-IE"/>
      <w14:ligatures w14:val="standardContextual"/>
    </w:rPr>
  </w:style>
  <w:style w:type="paragraph" w:customStyle="1" w:styleId="P68B1DB1-Titrearticle20">
    <w:name w:val="P68B1DB1-Titrearticle20"/>
    <w:basedOn w:val="Titrearticle"/>
    <w:rPr>
      <w:rFonts w:eastAsia="Times New Roman"/>
      <w:i w:val="0"/>
      <w:szCs w:val="24"/>
      <w:lang w:val="fr" w:eastAsia="en-IE"/>
    </w:rPr>
  </w:style>
  <w:style w:type="paragraph" w:customStyle="1" w:styleId="Footn">
    <w:name w:val="Footn"/>
    <w:basedOn w:val="Normal"/>
    <w:rPr>
      <w:sz w:val="20"/>
      <w:szCs w:val="20"/>
      <w:lang w:val="nb-NO"/>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04967">
      <w:bodyDiv w:val="1"/>
      <w:marLeft w:val="0"/>
      <w:marRight w:val="0"/>
      <w:marTop w:val="0"/>
      <w:marBottom w:val="0"/>
      <w:divBdr>
        <w:top w:val="none" w:sz="0" w:space="0" w:color="auto"/>
        <w:left w:val="none" w:sz="0" w:space="0" w:color="auto"/>
        <w:bottom w:val="none" w:sz="0" w:space="0" w:color="auto"/>
        <w:right w:val="none" w:sz="0" w:space="0" w:color="auto"/>
      </w:divBdr>
    </w:div>
    <w:div w:id="1459950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s://eur-lex.europa.eu/legal-content/FR/TXT/PDF/?uri=OJ:L:2020:433I:FULL" TargetMode="External"/><Relationship Id="rId1" Type="http://schemas.openxmlformats.org/officeDocument/2006/relationships/hyperlink" Target="https://data.europa.eu/doi/10.2771/447155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E1011-4CA2-4592-8A63-8D1307632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6</Pages>
  <Words>1643</Words>
  <Characters>9370</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17</cp:revision>
  <dcterms:created xsi:type="dcterms:W3CDTF">2026-09-01T10:13:00Z</dcterms:created>
  <dcterms:modified xsi:type="dcterms:W3CDTF">2026-09-09T15:25:00Z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2024-02-28T10:32:15Z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88bde70f-5481-4cdd-a0cc-dd39e4cb9b18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