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1CA678DD-8098-4443-9498-0A38EE9AE78F" style="width:455.25pt;height:345.75pt">
            <v:imagedata r:id="rId8" o:title=""/>
          </v:shape>
        </w:pict>
      </w:r>
    </w:p>
    <w:p>
      <w:pPr>
        <w:pStyle w:val="Pagedecouverture"/>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ind w:left="0" w:firstLine="0"/>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r>
      <w:r>
        <w:rPr>
          <w:noProof/>
          <w:color w:val="000000"/>
          <w:u w:color="000000"/>
          <w:bdr w:val="nil"/>
        </w:rPr>
        <w:t>Motivele și obiectivele propunerii</w:t>
      </w:r>
    </w:p>
    <w:p>
      <w:pPr>
        <w:spacing w:before="60" w:after="60"/>
        <w:rPr>
          <w:rFonts w:eastAsia="Arial Unicode MS"/>
          <w:noProof/>
        </w:rPr>
      </w:pPr>
      <w:r>
        <w:rPr>
          <w:noProof/>
        </w:rPr>
        <w:t>Comisia recomandă negocierea cu Republica Madagascar a unui nou acord de parteneriat în domeniul pescuitului sustenabil (APPS) și a unui protocol de punere în aplicare a acestuia, în conformitate cu Regulamentul (UE) nr. 1380/2013 privind politica comună în domeniul pescuitului (PCP)</w:t>
      </w:r>
      <w:r>
        <w:rPr>
          <w:rStyle w:val="FootnoteReference"/>
          <w:noProof/>
        </w:rPr>
        <w:footnoteReference w:id="1"/>
      </w:r>
      <w:r>
        <w:rPr>
          <w:noProof/>
        </w:rPr>
        <w:t xml:space="preserve">, pentru a răspunde necesităților flotei UE și pentru a contribui la realizarea obiectivelor PCP. </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Coerența cu dispozițiile existente în domeniul de politică vizat</w:t>
      </w:r>
    </w:p>
    <w:p>
      <w:pPr>
        <w:pBdr>
          <w:top w:val="nil"/>
          <w:left w:val="nil"/>
          <w:bottom w:val="nil"/>
          <w:right w:val="nil"/>
          <w:between w:val="nil"/>
          <w:bar w:val="nil"/>
        </w:pBdr>
        <w:spacing w:before="0" w:after="240"/>
        <w:rPr>
          <w:rFonts w:eastAsia="Arial Unicode MS"/>
          <w:noProof/>
          <w:szCs w:val="24"/>
        </w:rPr>
      </w:pPr>
      <w:r>
        <w:rPr>
          <w:noProof/>
        </w:rPr>
        <w:t xml:space="preserve">Acordul de parteneriat în domeniul pescuitului sustenabil (APPS) dintre Uniunea Europeană și </w:t>
      </w:r>
      <w:r>
        <w:rPr>
          <w:noProof/>
          <w:color w:val="000000"/>
        </w:rPr>
        <w:t>Madagascar</w:t>
      </w:r>
      <w:r>
        <w:rPr>
          <w:noProof/>
        </w:rPr>
        <w:t xml:space="preserve"> și protocolul de punere în aplicare a acestuia</w:t>
      </w:r>
      <w:r>
        <w:rPr>
          <w:rStyle w:val="FootnoteReference"/>
          <w:noProof/>
        </w:rPr>
        <w:footnoteReference w:id="2"/>
      </w:r>
      <w:r>
        <w:rPr>
          <w:noProof/>
        </w:rPr>
        <w:t>, care au fost semnate la 30 iunie 2023 și s-au aplicat de la 1 iulie 2023, vor expira la 30 iunie 2027. Protocolul stabilește în prezent posibilitățile de pescuit acordate flotei Uniunii și contribuția financiară corespunzătoare plătită de Uniune Madagascarului, în valoare de 1 800 000 EUR, din care 1 100 000 EUR pentru sprijin sectorial, precum și contribuțiile operatorilor de nave.</w:t>
      </w:r>
    </w:p>
    <w:p>
      <w:pPr>
        <w:spacing w:before="60" w:after="240"/>
        <w:rPr>
          <w:noProof/>
        </w:rPr>
      </w:pPr>
      <w:r>
        <w:rPr>
          <w:noProof/>
        </w:rPr>
        <w:t>Accesul navelor din Uniune în zona de pescuit a Madagascarului este autorizat pentru pescuitul de ton și de specii mari migratoare, care prezintă interes pentru patru state membre (Spania, Franța, Italia și Portugalia). Uniunea Europeană are o rețea de acorduri de parteneriat bilaterale active în domeniul pescuitului sustenabil în Africa de Vest, Africa Centrală și în regiunea Oceanului Indian. În regiunea Oceanului Indian, flota de pescuit ton are acorduri de parteneriat active în domeniul pescuitului sustenabil cu Republica Mauritius și Republica Seychelles.</w:t>
      </w:r>
    </w:p>
    <w:p>
      <w:pPr>
        <w:pBdr>
          <w:top w:val="nil"/>
          <w:left w:val="nil"/>
          <w:bottom w:val="nil"/>
          <w:right w:val="nil"/>
          <w:between w:val="nil"/>
          <w:bar w:val="nil"/>
        </w:pBdr>
        <w:spacing w:before="0" w:after="240"/>
        <w:rPr>
          <w:rFonts w:eastAsia="Arial Unicode MS"/>
          <w:noProof/>
        </w:rPr>
      </w:pPr>
      <w:r>
        <w:rPr>
          <w:noProof/>
        </w:rPr>
        <w:t>Acordurile de parteneriat în domeniul pescuitului sustenabil contribuie la promovarea obiectivelor PCP la nivel internațional, asigurând faptul că activitățile de pescuit ale Uniunii desfășurate în afara apelor Uniunii se bazează pe aceleași principii și standarde ca cele aplicabile în temeiul legislației Uniunii. În plus, acordurile de parteneriat în domeniul pescuitului sustenabil consolidează poziția Uniunii Europene în cadrul organizațiilor internaționale și regionale de pescuit, în special în cadrul Comisiei Tonului din Oceanul Indian (IOTC), organismul pentru conservarea și gestionarea speciilor mari migratoare din regiune, precum și în cadrul Acordului privind pescuitul în sudul Oceanului Indian (SIOFA). În fine, acordurile de parteneriat în domeniul pescuitului sustenabil sunt bazate pe cele mai bune avize științifice disponibile și contribuie la o mai bună respectare a măsurilor internaționale, inclusiv la combaterea pescuitului ilegal, nedeclarat și nereglementat (INN).</w:t>
      </w:r>
    </w:p>
    <w:p>
      <w:pPr>
        <w:pStyle w:val="ManualHeading2"/>
        <w:rPr>
          <w:rFonts w:eastAsia="Arial Unicode MS"/>
          <w:noProof/>
        </w:rPr>
      </w:pPr>
      <w:r>
        <w:rPr>
          <w:noProof/>
          <w:color w:val="000000"/>
          <w:u w:color="000000"/>
          <w:bdr w:val="nil"/>
        </w:rPr>
        <w:t>•</w:t>
      </w:r>
      <w:r>
        <w:rPr>
          <w:noProof/>
        </w:rPr>
        <w:tab/>
      </w:r>
      <w:r>
        <w:rPr>
          <w:noProof/>
          <w:color w:val="000000"/>
          <w:u w:color="000000"/>
          <w:bdr w:val="nil"/>
        </w:rPr>
        <w:t>Coerența cu alte politici ale Uniunii</w:t>
      </w:r>
    </w:p>
    <w:p>
      <w:pPr>
        <w:pBdr>
          <w:top w:val="nil"/>
          <w:left w:val="nil"/>
          <w:bottom w:val="nil"/>
          <w:right w:val="nil"/>
          <w:between w:val="nil"/>
          <w:bar w:val="nil"/>
        </w:pBdr>
        <w:spacing w:before="0" w:after="240"/>
        <w:rPr>
          <w:noProof/>
        </w:rPr>
      </w:pPr>
      <w:r>
        <w:rPr>
          <w:noProof/>
        </w:rPr>
        <w:t xml:space="preserve">Negocierea unui APPS și a unui protocol cu </w:t>
      </w:r>
      <w:r>
        <w:rPr>
          <w:noProof/>
          <w:color w:val="000000"/>
        </w:rPr>
        <w:t>Madagascarul</w:t>
      </w:r>
      <w:r>
        <w:rPr>
          <w:noProof/>
        </w:rPr>
        <w:t xml:space="preserve"> este în concordanță cu acțiunea externă a Uniunii care vizează țările din Africa, zona Caraibilor și Pacific (ACP), în special cu obiectivele Uniunii referitoare la respectarea principiilor democratice și a drepturilor omului.</w:t>
      </w:r>
    </w:p>
    <w:p>
      <w:pPr>
        <w:pBdr>
          <w:top w:val="nil"/>
          <w:left w:val="nil"/>
          <w:bottom w:val="nil"/>
          <w:right w:val="nil"/>
          <w:between w:val="nil"/>
          <w:bar w:val="nil"/>
        </w:pBdr>
        <w:spacing w:before="0" w:after="240"/>
        <w:rPr>
          <w:noProof/>
        </w:rPr>
      </w:pPr>
      <w:r>
        <w:rPr>
          <w:noProof/>
        </w:rPr>
        <w:lastRenderedPageBreak/>
        <w:t>Acordurile de parteneriat în domeniul pescuitului sustenabil completează alte instrumente ale Uniunii, inclusiv Instrumentul de vecinătate, cooperare pentru dezvoltare și cooperare internațională (NDICI), în ceea ce privește consolidarea capacităților naționale și regionale de gestionare a pescuitului și se bazează pe oportunitățile existente, cum ar fi cursurile de formare oferite de Agenția Europeană pentru Controlul Pescuitului (EFCA).</w:t>
      </w:r>
    </w:p>
    <w:p>
      <w:pPr>
        <w:pBdr>
          <w:top w:val="nil"/>
          <w:left w:val="nil"/>
          <w:bottom w:val="nil"/>
          <w:right w:val="nil"/>
          <w:between w:val="nil"/>
          <w:bar w:val="nil"/>
        </w:pBdr>
        <w:spacing w:before="0" w:after="240"/>
        <w:rPr>
          <w:rFonts w:eastAsia="Arial Unicode MS"/>
          <w:noProof/>
        </w:rPr>
      </w:pPr>
      <w:r>
        <w:rPr>
          <w:noProof/>
        </w:rPr>
        <w:t>Promovarea muncii decente este asigurată prin negocierea preconizată a unei clauze sociale, în concordanță cu Convenția nr. 188 din 2007 a Organizației Internaționale a Muncii (OIM) privind munca în domeniul pescuitului, pentru lucrătorii din țara parteneră care ajung să fie angajați de navele Uniunii.</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 material</w:t>
      </w:r>
    </w:p>
    <w:p>
      <w:pPr>
        <w:pBdr>
          <w:top w:val="nil"/>
          <w:left w:val="nil"/>
          <w:bottom w:val="nil"/>
          <w:right w:val="nil"/>
          <w:between w:val="nil"/>
          <w:bar w:val="nil"/>
        </w:pBdr>
        <w:spacing w:before="0" w:after="240"/>
        <w:rPr>
          <w:noProof/>
        </w:rPr>
      </w:pPr>
      <w:r>
        <w:rPr>
          <w:noProof/>
        </w:rPr>
        <w:t>Temeiul juridic material este articolul 43 alineatul (2) din Tratatul privind funcționarea Uniunii Europene (TFUE), care se referă la politica comună în domeniul pescuitului.</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 procedural</w:t>
      </w:r>
    </w:p>
    <w:p>
      <w:pPr>
        <w:rPr>
          <w:noProof/>
        </w:rPr>
      </w:pPr>
      <w:r>
        <w:rPr>
          <w:noProof/>
        </w:rPr>
        <w:t xml:space="preserve">Articolul 218 alineatul (3) din TFUE prevede că, în cazul în care acordul preconizat nu se referă exclusiv sau în principal la politica externă și de securitate comună, Comisia prezintă recomandări Consiliului. Consiliul adoptă o decizie de autorizare a începerii negocierilor și de numire a negociatorului Uniunii sau a șefului echipei de negociere a Uniunii. </w:t>
      </w:r>
    </w:p>
    <w:p>
      <w:pPr>
        <w:rPr>
          <w:noProof/>
        </w:rPr>
      </w:pPr>
      <w:r>
        <w:rPr>
          <w:noProof/>
        </w:rPr>
        <w:t>Potrivit articolului 218 alineatul (4) din TFUE, Consiliul poate adresa directive de negociere negociatorului și poate desemna un comitet special pentru a se consulta cu negociatorul.</w:t>
      </w:r>
    </w:p>
    <w:p>
      <w:pPr>
        <w:rPr>
          <w:noProof/>
        </w:rPr>
      </w:pPr>
      <w:r>
        <w:rPr>
          <w:noProof/>
        </w:rPr>
        <w:t>Comisia recomandă începerea negocierilor între Uniunea Europeană și Republica Madagascar în vederea încheierii unui acord internațional de parteneriat în domeniul pescuitului sustenabil și a unui protocol de punere în aplicare a acestuia. Comisia trebuie să fie desemnată negociator.</w:t>
      </w:r>
    </w:p>
    <w:p>
      <w:pPr>
        <w:rPr>
          <w:noProof/>
        </w:rPr>
      </w:pPr>
      <w:r>
        <w:rPr>
          <w:noProof/>
        </w:rPr>
        <w:t>Temeiul juridic procedural al propunerii de decizie privind autorizarea începerii negocierilor pentru acordul avut în vedere îl constituie articolul 218 alineatele (3) și (4) din TFUE.</w:t>
      </w:r>
    </w:p>
    <w:p>
      <w:pPr>
        <w:pStyle w:val="ManualHeading2"/>
        <w:rPr>
          <w:rFonts w:eastAsia="Arial Unicode MS"/>
          <w:noProof/>
          <w:u w:color="000000"/>
          <w:bdr w:val="nil"/>
        </w:rPr>
      </w:pPr>
      <w:bookmarkStart w:id="0" w:name="_Toc216446636"/>
      <w:r>
        <w:rPr>
          <w:noProof/>
          <w:u w:color="000000"/>
          <w:bdr w:val="nil"/>
        </w:rPr>
        <w:t>•</w:t>
      </w:r>
      <w:r>
        <w:rPr>
          <w:noProof/>
        </w:rPr>
        <w:tab/>
      </w:r>
      <w:r>
        <w:rPr>
          <w:noProof/>
          <w:u w:color="000000"/>
          <w:bdr w:val="nil"/>
        </w:rPr>
        <w:t>Alegerea negociatorului</w:t>
      </w:r>
    </w:p>
    <w:bookmarkEnd w:id="0"/>
    <w:p>
      <w:pPr>
        <w:pStyle w:val="Text1"/>
        <w:ind w:left="0"/>
        <w:rPr>
          <w:noProof/>
        </w:rPr>
      </w:pPr>
      <w:r>
        <w:rPr>
          <w:noProof/>
        </w:rPr>
        <w:t>Întrucât acordul avut în vedere acoperă exclusiv alte aspecte decât politica externă și de securitate comună, Comisia ar trebui desemnată negociator în conformitate cu articolul 218 alineatul (3) din Tratatul privind funcționarea Uniunii Europene.</w:t>
      </w:r>
    </w:p>
    <w:p>
      <w:pPr>
        <w:pStyle w:val="ManualHeading2"/>
        <w:rPr>
          <w:rFonts w:eastAsia="Arial Unicode MS"/>
          <w:noProof/>
          <w:u w:color="000000"/>
          <w:bdr w:val="nil"/>
        </w:rPr>
      </w:pPr>
      <w:r>
        <w:rPr>
          <w:noProof/>
          <w:u w:color="000000"/>
          <w:bdr w:val="nil"/>
        </w:rPr>
        <w:t>•</w:t>
      </w:r>
      <w:r>
        <w:rPr>
          <w:noProof/>
        </w:rPr>
        <w:tab/>
        <w:t>Competența Uniunii</w:t>
      </w:r>
    </w:p>
    <w:p>
      <w:pPr>
        <w:pBdr>
          <w:top w:val="nil"/>
          <w:left w:val="nil"/>
          <w:bottom w:val="nil"/>
          <w:right w:val="nil"/>
          <w:between w:val="nil"/>
          <w:bar w:val="nil"/>
        </w:pBdr>
        <w:spacing w:before="0" w:after="240"/>
        <w:rPr>
          <w:rFonts w:eastAsia="Arial Unicode MS"/>
          <w:noProof/>
        </w:rPr>
      </w:pPr>
      <w:r>
        <w:rPr>
          <w:noProof/>
        </w:rPr>
        <w:t>Obiectul recomandării se referă la politica comună în domeniul pescuitului, în cadrul căreia Uniunea deține competență exclusivă.</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pBdr>
          <w:top w:val="nil"/>
          <w:left w:val="nil"/>
          <w:bottom w:val="nil"/>
          <w:right w:val="nil"/>
          <w:between w:val="nil"/>
          <w:bar w:val="nil"/>
        </w:pBdr>
        <w:spacing w:before="0" w:after="240"/>
        <w:rPr>
          <w:rFonts w:eastAsia="Arial Unicode MS"/>
          <w:noProof/>
        </w:rPr>
      </w:pPr>
      <w:r>
        <w:rPr>
          <w:noProof/>
        </w:rPr>
        <w:t>Decizia propusă este proporțională cu obiectivul de stabilire a unui cadru de guvernanță juridic, economic, social și de mediu pentru activitățile de pescuit desfășurate de navele din Uniune în apele țărilor terțe, în conformitate cu articolul 31 din Regulamentul (UE) nr. 1380/2013 privind politica comună în domeniul pescuitului.</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Alegerea instrumentului</w:t>
      </w:r>
    </w:p>
    <w:p>
      <w:pPr>
        <w:pStyle w:val="P68B1DB1-Normal14"/>
        <w:pBdr>
          <w:top w:val="nil"/>
          <w:left w:val="nil"/>
          <w:bottom w:val="nil"/>
          <w:right w:val="nil"/>
          <w:between w:val="nil"/>
          <w:bar w:val="nil"/>
        </w:pBdr>
        <w:spacing w:after="240"/>
        <w:jc w:val="both"/>
        <w:rPr>
          <w:noProof/>
        </w:rPr>
      </w:pPr>
      <w:r>
        <w:rPr>
          <w:noProof/>
        </w:rPr>
        <w:t>Prezenta recomandare de decizie a Consiliului este prezentată în conformitate cu articolul 218 alineatele (3) și (4) din TFUE, care prevăd adoptarea de către Consiliu a unei decizii de autorizare a începerii negocierilor și de numire a negociatorului Uniunii. De asemenea, Consiliul poate adresa directive de negociere negociatorului. Nu există un alt instrument juridic care ar putea fi folosit în scopul realizării obiectivului exprimat în prezenta recomandare.</w:t>
      </w:r>
    </w:p>
    <w:p>
      <w:pPr>
        <w:pStyle w:val="ManualHeading1"/>
        <w:rPr>
          <w:noProof/>
        </w:rPr>
      </w:pPr>
      <w:r>
        <w:rPr>
          <w:noProof/>
        </w:rPr>
        <w:t>3.</w:t>
      </w:r>
      <w:r>
        <w:rPr>
          <w:noProof/>
        </w:rPr>
        <w:tab/>
        <w:t xml:space="preserve">REZULTATELE EVALUĂRILOR </w:t>
      </w:r>
      <w:r>
        <w:rPr>
          <w:i/>
          <w:iCs/>
          <w:noProof/>
        </w:rPr>
        <w:t>EX POST</w:t>
      </w:r>
      <w:r>
        <w:rPr>
          <w:noProof/>
        </w:rPr>
        <w: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Evaluările </w:t>
      </w:r>
      <w:r>
        <w:rPr>
          <w:i/>
          <w:iCs/>
          <w:noProof/>
          <w:u w:color="000000"/>
          <w:bdr w:val="nil"/>
        </w:rPr>
        <w:t>ex post</w:t>
      </w:r>
      <w:r>
        <w:rPr>
          <w:noProof/>
          <w:u w:color="000000"/>
          <w:bdr w:val="nil"/>
        </w:rPr>
        <w:t>/verificarea adecvării legislației existente</w:t>
      </w:r>
    </w:p>
    <w:p>
      <w:pPr>
        <w:pBdr>
          <w:top w:val="nil"/>
          <w:left w:val="nil"/>
          <w:bottom w:val="nil"/>
          <w:right w:val="nil"/>
          <w:between w:val="nil"/>
          <w:bar w:val="nil"/>
        </w:pBdr>
        <w:spacing w:before="0" w:after="240"/>
        <w:rPr>
          <w:rFonts w:eastAsia="Arial Unicode MS"/>
          <w:noProof/>
        </w:rPr>
      </w:pPr>
      <w:r>
        <w:rPr>
          <w:noProof/>
        </w:rPr>
        <w:t xml:space="preserve">În 2026, Comisia a efectuat o evaluare </w:t>
      </w:r>
      <w:r>
        <w:rPr>
          <w:i/>
          <w:iCs/>
          <w:noProof/>
        </w:rPr>
        <w:t>ex post</w:t>
      </w:r>
      <w:r>
        <w:rPr>
          <w:noProof/>
        </w:rPr>
        <w:t xml:space="preserve"> a actualului protocol la Acordul de parteneriat în domeniul pescuitului sustenabil încheiat cu </w:t>
      </w:r>
      <w:r>
        <w:rPr>
          <w:noProof/>
          <w:color w:val="000000"/>
        </w:rPr>
        <w:t>Madagascarul</w:t>
      </w:r>
      <w:r>
        <w:rPr>
          <w:noProof/>
        </w:rPr>
        <w:t xml:space="preserve">, precum și o evaluare </w:t>
      </w:r>
      <w:r>
        <w:rPr>
          <w:i/>
          <w:iCs/>
          <w:noProof/>
        </w:rPr>
        <w:t>ex ante</w:t>
      </w:r>
      <w:r>
        <w:rPr>
          <w:noProof/>
        </w:rPr>
        <w:t xml:space="preserve"> a unui eventual nou acord și a unui nou protocol. Raportul acestei evaluări este public</w:t>
      </w:r>
      <w:r>
        <w:rPr>
          <w:rStyle w:val="FootnoteReference"/>
          <w:noProof/>
        </w:rPr>
        <w:footnoteReference w:id="3"/>
      </w:r>
      <w:r>
        <w:rPr>
          <w:noProof/>
        </w:rPr>
        <w:t>.</w:t>
      </w:r>
    </w:p>
    <w:p>
      <w:pPr>
        <w:pBdr>
          <w:top w:val="nil"/>
          <w:left w:val="nil"/>
          <w:bottom w:val="nil"/>
          <w:right w:val="nil"/>
          <w:between w:val="nil"/>
          <w:bar w:val="nil"/>
        </w:pBdr>
        <w:spacing w:before="0" w:after="240"/>
        <w:rPr>
          <w:noProof/>
        </w:rPr>
      </w:pPr>
      <w:r>
        <w:rPr>
          <w:noProof/>
        </w:rPr>
        <w:t>În concluzie, raportul de evaluare arată că sectorul pescuitului de ton din Uniune este foarte interesat de încheierea unui acord care să reglementeze activitățile de pescuit în Madagascar. Raportul de evaluare evidențiază, de asemenea, persistența unei discrepanțe între numărul de posibilități de pescuit oferite și utilizarea acestora. Un eventual protocol viitor ar trebui să reducă numărul posibilităților de pescuit oferite, ceea ce ar trebui să conducă la o reducere a contribuției financiare plătite în temeiul protocolului. În plus, reînnoirea protocolului ar contribui și la consolidarea monitorizării, a controlului și a supravegherii și la îmbunătățirea guvernanței activităților de pescuit din regiune. Evaluarea demonstrează că reînnoirea protocolului ar aduce, de asemenea, beneficii Madagascarului, având în vedere importanța contribuției financiare plătite în temeiul protocolului pentru dezvoltarea sectorului pescuitului.</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Consultările cu părțile interesate</w:t>
      </w:r>
    </w:p>
    <w:p>
      <w:pPr>
        <w:pBdr>
          <w:top w:val="nil"/>
          <w:left w:val="nil"/>
          <w:bottom w:val="nil"/>
          <w:right w:val="nil"/>
          <w:between w:val="nil"/>
          <w:bar w:val="nil"/>
        </w:pBdr>
        <w:spacing w:before="0" w:after="240"/>
        <w:rPr>
          <w:rFonts w:eastAsia="Arial Unicode MS"/>
          <w:noProof/>
        </w:rPr>
      </w:pPr>
      <w:r>
        <w:rPr>
          <w:noProof/>
        </w:rPr>
        <w:t>În cadrul evaluării au fost consultate statele membre, reprezentanți ai sectorului, organizații internaționale ale societății civile, precum și administrația pescuitului și reprezentanți ai societății civile din Uniune și din Madagascar. Au avut loc consultări și în cadrul Consiliului consultativ pentru flota de lungă distanță.</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pBdr>
          <w:top w:val="nil"/>
          <w:left w:val="nil"/>
          <w:bottom w:val="nil"/>
          <w:right w:val="nil"/>
          <w:between w:val="nil"/>
          <w:bar w:val="nil"/>
        </w:pBdr>
        <w:spacing w:before="0" w:after="240"/>
        <w:rPr>
          <w:rFonts w:eastAsia="Arial Unicode MS"/>
          <w:noProof/>
        </w:rPr>
      </w:pPr>
      <w:r>
        <w:rPr>
          <w:noProof/>
        </w:rPr>
        <w:t xml:space="preserve">Evaluările efectuate au implicat experți independenți în domeniu. </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Drepturile fundamentale</w:t>
      </w:r>
    </w:p>
    <w:p>
      <w:pPr>
        <w:pBdr>
          <w:top w:val="nil"/>
          <w:left w:val="nil"/>
          <w:bottom w:val="nil"/>
          <w:right w:val="nil"/>
          <w:between w:val="nil"/>
          <w:bar w:val="nil"/>
        </w:pBdr>
        <w:spacing w:before="0" w:after="240"/>
        <w:rPr>
          <w:rFonts w:eastAsia="Arial Unicode MS"/>
          <w:noProof/>
        </w:rPr>
      </w:pPr>
      <w:r>
        <w:rPr>
          <w:noProof/>
        </w:rPr>
        <w:t>Directivele de negociere din anexa la propunerea de decizie recomandă includerea unei clauze privind consecințele încălcării drepturilor omului și a principiilor democratice.</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noProof/>
        </w:rPr>
      </w:pPr>
      <w:r>
        <w:rPr>
          <w:noProof/>
        </w:rPr>
        <w:t>Implicațiile bugetare ale unui nou protocol vor decurge din plata unei contribuții financiare către Madagascar. Alocările bugetare aferente (credite de angajament și credite de plată) trebuie să fie înscrise în fiecare an la linia bugetară dedicată acordurilor de parteneriat în domeniul pescuitului sustenabil (08 05 01) și să fie compatibile cu programarea financiară a cadrului financiar multianual</w:t>
      </w:r>
      <w:r>
        <w:rPr>
          <w:rStyle w:val="FootnoteReference"/>
          <w:noProof/>
        </w:rPr>
        <w:footnoteReference w:id="4"/>
      </w:r>
      <w:r>
        <w:rPr>
          <w:noProof/>
        </w:rPr>
        <w:t xml:space="preserve"> pentru perioada 2021-2027 și, ulterior, pentru perioada 2028-2034. Cuantumurile anuale ale angajamentelor și ale plăților sunt stabilite în cadrul procedurii bugetare anuale, inclusiv în ceea ce privește linia de rezervă pentru protocoalele care nu au intrat în vigoare la începutul anului</w:t>
      </w:r>
      <w:r>
        <w:rPr>
          <w:rStyle w:val="FootnoteReference"/>
          <w:noProof/>
        </w:rPr>
        <w:footnoteReference w:id="5"/>
      </w:r>
      <w:r>
        <w:rPr>
          <w:noProof/>
        </w:rPr>
        <w:t xml:space="preserve">. </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pBdr>
          <w:top w:val="nil"/>
          <w:left w:val="nil"/>
          <w:bottom w:val="nil"/>
          <w:right w:val="nil"/>
          <w:between w:val="nil"/>
          <w:bar w:val="nil"/>
        </w:pBdr>
        <w:spacing w:before="0" w:after="240"/>
        <w:rPr>
          <w:rFonts w:eastAsia="Arial Unicode MS"/>
          <w:noProof/>
        </w:rPr>
      </w:pPr>
      <w:r>
        <w:rPr>
          <w:noProof/>
        </w:rPr>
        <w:t>Negocierile urmează să înceapă în al patrulea trimestru al anului 2026, cu scopul de a limita perioada dintre două acorduri de parteneriat în domeniul pescuitului sustenabil, după expirarea actualului acord la 30 iunie 2027.</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pBdr>
          <w:top w:val="nil"/>
          <w:left w:val="nil"/>
          <w:bottom w:val="nil"/>
          <w:right w:val="nil"/>
          <w:between w:val="nil"/>
          <w:bar w:val="nil"/>
        </w:pBdr>
        <w:spacing w:before="0" w:after="240"/>
        <w:rPr>
          <w:rFonts w:eastAsia="Arial Unicode MS"/>
          <w:noProof/>
        </w:rPr>
      </w:pPr>
      <w:r>
        <w:rPr>
          <w:noProof/>
        </w:rPr>
        <w:t>Comisia recomandă Consiliului:</w:t>
      </w:r>
    </w:p>
    <w:p>
      <w:pPr>
        <w:pBdr>
          <w:top w:val="nil"/>
          <w:left w:val="nil"/>
          <w:bottom w:val="nil"/>
          <w:right w:val="nil"/>
          <w:between w:val="nil"/>
          <w:bar w:val="nil"/>
        </w:pBdr>
        <w:spacing w:before="0" w:after="240"/>
        <w:rPr>
          <w:noProof/>
        </w:rPr>
      </w:pPr>
      <w:r>
        <w:rPr>
          <w:noProof/>
        </w:rPr>
        <w:t>- să autorizeze Comisia să înceapă și să poarte negocieri în vederea încheierii unui nou acord de parteneriat în domeniul pescuitului sustenabil cu Madagascarul și a unui protocol de punere în aplicare.</w:t>
      </w:r>
    </w:p>
    <w:p>
      <w:pPr>
        <w:pBdr>
          <w:top w:val="nil"/>
          <w:left w:val="nil"/>
          <w:bottom w:val="nil"/>
          <w:right w:val="nil"/>
          <w:between w:val="nil"/>
          <w:bar w:val="nil"/>
        </w:pBdr>
        <w:spacing w:before="0" w:after="240"/>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Statut"/>
        <w:rPr>
          <w:noProof/>
        </w:rPr>
      </w:pPr>
      <w:r>
        <w:rPr>
          <w:noProof/>
        </w:rPr>
        <w:lastRenderedPageBreak/>
        <w:t>Recomandare de</w:t>
      </w:r>
    </w:p>
    <w:p>
      <w:pPr>
        <w:pStyle w:val="Typedudocument"/>
        <w:rPr>
          <w:noProof/>
        </w:rPr>
      </w:pPr>
      <w:r>
        <w:rPr>
          <w:noProof/>
        </w:rPr>
        <w:t>DECIZIE A CONSILIULUI</w:t>
      </w:r>
    </w:p>
    <w:p>
      <w:pPr>
        <w:pStyle w:val="Titreobjet"/>
        <w:rPr>
          <w:noProof/>
        </w:rPr>
      </w:pPr>
      <w:r>
        <w:rPr>
          <w:noProof/>
        </w:rPr>
        <w:t>de autorizare a începerii negocierilor pentru încheierea unui acord de parteneriat în domeniul pescuitului sustenabil și a protocolului de punere în aplicare a acestuia între Uniunea Europeană și Republica Madagascar</w:t>
      </w:r>
    </w:p>
    <w:p>
      <w:pPr>
        <w:pStyle w:val="Institutionquiagit"/>
        <w:rPr>
          <w:noProof/>
        </w:rPr>
      </w:pPr>
      <w:r>
        <w:rPr>
          <w:noProof/>
        </w:rPr>
        <w:t>CONSILIUL UNIUNII EUROPENE,</w:t>
      </w:r>
    </w:p>
    <w:p>
      <w:pPr>
        <w:rPr>
          <w:noProof/>
        </w:rPr>
      </w:pPr>
      <w:r>
        <w:rPr>
          <w:noProof/>
        </w:rPr>
        <w:t>având în vedere Tratatul privind funcționarea Uniunii Europene, în special articolul 43 alineatul (2) coroborat cu articolul 218 alineatele (3) și (4),</w:t>
      </w:r>
    </w:p>
    <w:p>
      <w:pPr>
        <w:rPr>
          <w:noProof/>
        </w:rPr>
      </w:pPr>
      <w:r>
        <w:rPr>
          <w:noProof/>
        </w:rPr>
        <w:t>având în vedere recomandarea Comisiei Europene:</w:t>
      </w:r>
    </w:p>
    <w:p>
      <w:pPr>
        <w:rPr>
          <w:noProof/>
          <w:sz w:val="22"/>
        </w:rPr>
      </w:pPr>
      <w:r>
        <w:rPr>
          <w:noProof/>
        </w:rPr>
        <w:t>întrucât trebuie să se deschidă negocieri în vederea încheierii unui nou acord de parteneriat în domeniul pescuitului sustenabil și a protocolului de punere în aplicare a acestuia între Uniunea Europeană și Republica Madagascar,</w:t>
      </w:r>
    </w:p>
    <w:p>
      <w:pPr>
        <w:pStyle w:val="Formuledadoption"/>
        <w:rPr>
          <w:noProof/>
        </w:rPr>
      </w:pPr>
      <w:r>
        <w:rPr>
          <w:noProof/>
        </w:rPr>
        <w:t>ADOPTĂ PREZENTA DECIZIE:</w:t>
      </w:r>
    </w:p>
    <w:p>
      <w:pPr>
        <w:pStyle w:val="Titrearticle"/>
        <w:rPr>
          <w:noProof/>
        </w:rPr>
      </w:pPr>
      <w:r>
        <w:rPr>
          <w:noProof/>
        </w:rPr>
        <w:t>Articolul 1</w:t>
      </w:r>
    </w:p>
    <w:p>
      <w:pPr>
        <w:rPr>
          <w:noProof/>
        </w:rPr>
      </w:pPr>
      <w:bookmarkStart w:id="1" w:name="_CopyToNewDocument_"/>
      <w:bookmarkEnd w:id="1"/>
      <w:r>
        <w:rPr>
          <w:noProof/>
        </w:rPr>
        <w:t>Se autorizează începerea negocierilor în vederea încheierii unui acord de parteneriat în domeniul pescuitului sustenabil și a protocolului de punere în aplicare a acestuia între Uniunea Europeană și Republica Madagascar.</w:t>
      </w:r>
    </w:p>
    <w:p>
      <w:pPr>
        <w:pStyle w:val="Titrearticle"/>
        <w:rPr>
          <w:noProof/>
        </w:rPr>
      </w:pPr>
      <w:r>
        <w:rPr>
          <w:noProof/>
        </w:rPr>
        <w:t>Articolul 2</w:t>
      </w:r>
    </w:p>
    <w:p>
      <w:pPr>
        <w:rPr>
          <w:iCs/>
          <w:noProof/>
        </w:rPr>
      </w:pPr>
      <w:r>
        <w:rPr>
          <w:noProof/>
        </w:rPr>
        <w:t>Comisia este desemnată negociator al Uniunii.</w:t>
      </w:r>
    </w:p>
    <w:p>
      <w:pPr>
        <w:pStyle w:val="Titrearticle"/>
        <w:rPr>
          <w:noProof/>
        </w:rPr>
      </w:pPr>
      <w:r>
        <w:rPr>
          <w:noProof/>
        </w:rPr>
        <w:t>Articolul 3</w:t>
      </w:r>
    </w:p>
    <w:p>
      <w:pPr>
        <w:rPr>
          <w:noProof/>
        </w:rPr>
      </w:pPr>
      <w:r>
        <w:rPr>
          <w:noProof/>
        </w:rPr>
        <w:t xml:space="preserve">Directivele de negociere prevăzute în anexa la prezenta decizie se adresează Comisiei. </w:t>
      </w:r>
    </w:p>
    <w:p>
      <w:pPr>
        <w:pStyle w:val="Titrearticle"/>
        <w:rPr>
          <w:noProof/>
        </w:rPr>
      </w:pPr>
      <w:r>
        <w:rPr>
          <w:noProof/>
        </w:rPr>
        <w:t>Articolul 4</w:t>
      </w:r>
    </w:p>
    <w:p>
      <w:pPr>
        <w:rPr>
          <w:noProof/>
        </w:rPr>
      </w:pPr>
      <w:r>
        <w:rPr>
          <w:noProof/>
        </w:rPr>
        <w:t>Negocierile se desfășoară în consultare cu Grupul de lucru al Consiliului pentru politica privind pescuitul care este desemnat drept comitet special prevăzut la articolul 218 alineatul (4) din TFUE.</w:t>
      </w:r>
    </w:p>
    <w:p>
      <w:pPr>
        <w:pStyle w:val="Titrearticle"/>
        <w:rPr>
          <w:noProof/>
        </w:rPr>
      </w:pPr>
      <w:r>
        <w:rPr>
          <w:noProof/>
        </w:rPr>
        <w:t>Articolul 5</w:t>
      </w:r>
    </w:p>
    <w:p>
      <w:pPr>
        <w:rPr>
          <w:noProof/>
        </w:rPr>
      </w:pPr>
      <w:r>
        <w:rPr>
          <w:noProof/>
        </w:rPr>
        <w:t>Prezenta decizie se adresează Comisiei.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r>
        <w:rPr>
          <w:color w:val="000000"/>
          <w:shd w:val="clear" w:color="auto" w:fill="FFFFFF"/>
        </w:rPr>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w:t>
      </w:r>
    </w:p>
  </w:footnote>
  <w:footnote w:id="2">
    <w:p>
      <w:pPr>
        <w:pStyle w:val="FootnoteText"/>
      </w:pPr>
      <w:r>
        <w:rPr>
          <w:rStyle w:val="FootnoteReference"/>
        </w:rPr>
        <w:footnoteRef/>
      </w:r>
      <w:r>
        <w:tab/>
        <w:t>Actualul acord de parteneriat în domeniul pescuitului sustenabil, JO L 182, 19.7.2023, p. 25.</w:t>
      </w:r>
    </w:p>
  </w:footnote>
  <w:footnote w:id="3">
    <w:p>
      <w:pPr>
        <w:pStyle w:val="Footn"/>
        <w:ind w:left="720" w:hanging="720"/>
      </w:pPr>
      <w:r>
        <w:rPr>
          <w:rStyle w:val="FootnoteReference"/>
        </w:rPr>
        <w:footnoteRef/>
      </w:r>
      <w:r>
        <w:tab/>
        <w:t xml:space="preserve">Direcția Generală Afaceri Maritime și Pescuit, POSEIDON și Pescuit/Afaceri Maritime, </w:t>
      </w:r>
      <w:r>
        <w:rPr>
          <w:i/>
          <w:iCs/>
        </w:rPr>
        <w:t>Partenariat de pêche durable UE-Madagascar – Évaluations de l’accord de partenariat de pêche durable (APPD) 2023-2027 et d’un possible futur APPD</w:t>
      </w:r>
      <w:r>
        <w:t xml:space="preserve"> [Acordul de parteneriat în domeniul pescuitului sustenabil dintre UE și Madagascar – Evaluarea Acordului de parteneriat în domeniul pescuitului sustenabil (APPS) 2023-2027 și a unui posibil viitor APPS], Oficiul pentru Publicații al Uniunii Europene, 2026, </w:t>
      </w:r>
      <w:hyperlink r:id="rId1" w:history="1">
        <w:r>
          <w:rPr>
            <w:rStyle w:val="Hyperlink"/>
          </w:rPr>
          <w:t>https://data.europa.eu/doi/10.2771/4471552</w:t>
        </w:r>
      </w:hyperlink>
      <w:r>
        <w:t xml:space="preserve"> </w:t>
      </w:r>
    </w:p>
  </w:footnote>
  <w:footnote w:id="4">
    <w:p>
      <w:pPr>
        <w:pStyle w:val="FootnoteText"/>
      </w:pPr>
      <w:r>
        <w:rPr>
          <w:rStyle w:val="FootnoteReference"/>
        </w:rPr>
        <w:footnoteRef/>
      </w:r>
      <w:r>
        <w:tab/>
        <w:t xml:space="preserve">Articolul 20 din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 (JO L 433I, 22.12.2020, p. 28) </w:t>
      </w:r>
      <w:hyperlink r:id="rId2" w:history="1">
        <w:r>
          <w:rPr>
            <w:rStyle w:val="Hyperlink"/>
          </w:rPr>
          <w:t>eur-lex.europa.eu/legal-content/RO/TXT/PDF/?uri=OJ:L:2020:433I:FULL</w:t>
        </w:r>
      </w:hyperlink>
    </w:p>
  </w:footnote>
  <w:footnote w:id="5">
    <w:p>
      <w:pPr>
        <w:pStyle w:val="FootnoteText"/>
      </w:pPr>
      <w:r>
        <w:rPr>
          <w:rStyle w:val="FootnoteReference"/>
        </w:rPr>
        <w:footnoteRef/>
      </w:r>
      <w:r>
        <w:tab/>
        <w:t xml:space="preserve">A se vedea articolul 20 din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 (JO L 433I, 22.12.2020, p. 28). </w:t>
      </w:r>
      <w:hyperlink r:id="rId3" w:tooltip="Oferă acces la acest document prin identificatorul său uniform de resurse ELI." w:history="1">
        <w:r>
          <w:rPr>
            <w:rStyle w:val="Hyperlink"/>
          </w:rPr>
          <w:t>http://data.europa.eu/eli/agree_interinstit/2020/1222/oj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26C54F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E6571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3C69A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BE2BE3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fr-BE" w:vendorID="64" w:dllVersion="6" w:nlCheck="1" w:checkStyle="0"/>
  <w:activeWritingStyle w:appName="MSWord" w:lang="fr-FR" w:vendorID="64" w:dllVersion="6" w:nlCheck="1" w:checkStyle="0"/>
  <w:activeWritingStyle w:appName="MSWord" w:lang="nb-NO" w:vendorID="64" w:dllVersion="6" w:nlCheck="1" w:checkStyle="0"/>
  <w:activeWritingStyle w:appName="MSWord" w:lang="en-US" w:vendorID="64" w:dllVersion="6" w:nlCheck="1" w:checkStyle="1"/>
  <w:activeWritingStyle w:appName="MSWord" w:lang="fr-BE" w:vendorID="64" w:dllVersion="0" w:nlCheck="1" w:checkStyle="0"/>
  <w:activeWritingStyle w:appName="MSWord" w:lang="fr-FR" w:vendorID="64" w:dllVersion="0" w:nlCheck="1" w:checkStyle="0"/>
  <w:activeWritingStyle w:appName="MSWord" w:lang="nb-NO"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7:36: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CA678DD-8098-4443-9498-0A38EE9AE78F"/>
    <w:docVar w:name="LW_COVERPAGE_TYPE" w:val="1"/>
    <w:docVar w:name="LW_CROSSREFERENCE" w:val="{SWD(2026) 272 final} - {SWD(2026) 273 final}"/>
    <w:docVar w:name="LW_DocType" w:val="COM"/>
    <w:docVar w:name="LW_EMISSION" w:val="10.9.2026"/>
    <w:docVar w:name="LW_EMISSION_ISODATE" w:val="2026-09-10"/>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începerii negocierilor pentru încheierea unui acord de parteneriat în domeniul pescuitului sustenabil \u537?i a protocolului de punere în aplicare a acestuia între Uniunea European\u259? \u537?i Republica Madagasca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AEDCC83-EE0A-4123-9EF6-A4F27588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tab">
    <w:name w:val="tab"/>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before="0" w:after="0"/>
      <w:jc w:val="left"/>
    </w:pPr>
    <w:rPr>
      <w:rFonts w:ascii="Calibri" w:hAnsi="Calibri" w:cs="Calibri"/>
      <w:sz w:val="22"/>
      <w:lang w:eastAsia="fr-FR"/>
    </w:rPr>
  </w:style>
  <w:style w:type="character" w:customStyle="1" w:styleId="PlainTextChar">
    <w:name w:val="Plain Text Char"/>
    <w:basedOn w:val="DefaultParagraphFont"/>
    <w:link w:val="PlainText"/>
    <w:uiPriority w:val="99"/>
    <w:semiHidden/>
    <w:rPr>
      <w:rFonts w:ascii="Calibri" w:hAnsi="Calibri" w:cs="Calibri"/>
      <w:lang w:val="ro-RO" w:eastAsia="fr-FR"/>
    </w:rPr>
  </w:style>
  <w:style w:type="paragraph" w:customStyle="1" w:styleId="Times">
    <w:name w:val="Times"/>
    <w:basedOn w:val="PlainText"/>
    <w:rPr>
      <w:lang w:eastAsia="en-US"/>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68B1DB1-ListParagraph16">
    <w:name w:val="P68B1DB1-ListParagraph16"/>
    <w:basedOn w:val="ListParagraph"/>
    <w:pPr>
      <w:spacing w:before="0" w:after="160" w:line="259" w:lineRule="auto"/>
      <w:jc w:val="left"/>
    </w:pPr>
    <w:rPr>
      <w:rFonts w:eastAsia="Arial Unicode MS"/>
      <w:b/>
      <w:kern w:val="2"/>
      <w:szCs w:val="24"/>
      <w:bdr w:val="nil"/>
      <w:lang w:eastAsia="en-IE"/>
      <w14:ligatures w14:val="standardContextual"/>
    </w:rPr>
  </w:style>
  <w:style w:type="paragraph" w:customStyle="1" w:styleId="P68B1DB1-Normal17">
    <w:name w:val="P68B1DB1-Normal17"/>
    <w:basedOn w:val="Normal"/>
    <w:pPr>
      <w:spacing w:before="0" w:after="160" w:line="259" w:lineRule="auto"/>
      <w:jc w:val="left"/>
    </w:pPr>
    <w:rPr>
      <w:rFonts w:eastAsia="Arial Unicode MS"/>
      <w:b/>
      <w:kern w:val="2"/>
      <w:szCs w:val="24"/>
      <w:lang w:eastAsia="en-IE"/>
      <w14:ligatures w14:val="standardContextual"/>
    </w:rPr>
  </w:style>
  <w:style w:type="paragraph" w:styleId="ListParagraph">
    <w:name w:val="List Paragraph"/>
    <w:basedOn w:val="Normal"/>
    <w:uiPriority w:val="34"/>
    <w:qFormat/>
    <w:pPr>
      <w:ind w:left="720"/>
      <w:contextualSpacing/>
    </w:pPr>
  </w:style>
  <w:style w:type="paragraph" w:customStyle="1" w:styleId="P68B1DB1-Normal14">
    <w:name w:val="P68B1DB1-Normal14"/>
    <w:basedOn w:val="Normal"/>
    <w:pPr>
      <w:spacing w:before="0" w:after="160" w:line="259" w:lineRule="auto"/>
      <w:jc w:val="left"/>
    </w:pPr>
    <w:rPr>
      <w:rFonts w:eastAsia="Arial Unicode MS"/>
      <w:kern w:val="2"/>
      <w:szCs w:val="24"/>
      <w:lang w:eastAsia="en-IE"/>
      <w14:ligatures w14:val="standardContextual"/>
    </w:rPr>
  </w:style>
  <w:style w:type="paragraph" w:customStyle="1" w:styleId="P68B1DB1-Titrearticle20">
    <w:name w:val="P68B1DB1-Titrearticle20"/>
    <w:basedOn w:val="Titrearticle"/>
    <w:rPr>
      <w:rFonts w:eastAsia="Times New Roman"/>
      <w:i w:val="0"/>
      <w:szCs w:val="24"/>
      <w:lang w:eastAsia="en-IE"/>
    </w:rPr>
  </w:style>
  <w:style w:type="paragraph" w:customStyle="1" w:styleId="Footn">
    <w:name w:val="Footn"/>
    <w:basedOn w:val="Normal"/>
    <w:rPr>
      <w:sz w:val="20"/>
      <w:szCs w:val="20"/>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4967">
      <w:bodyDiv w:val="1"/>
      <w:marLeft w:val="0"/>
      <w:marRight w:val="0"/>
      <w:marTop w:val="0"/>
      <w:marBottom w:val="0"/>
      <w:divBdr>
        <w:top w:val="none" w:sz="0" w:space="0" w:color="auto"/>
        <w:left w:val="none" w:sz="0" w:space="0" w:color="auto"/>
        <w:bottom w:val="none" w:sz="0" w:space="0" w:color="auto"/>
        <w:right w:val="none" w:sz="0" w:space="0" w:color="auto"/>
      </w:divBdr>
    </w:div>
    <w:div w:id="145995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s://eur-lex.europa.eu/legal-content/RO/TXT/PDF/?uri=OJ:L:2020:433I:FULL" TargetMode="External"/><Relationship Id="rId1" Type="http://schemas.openxmlformats.org/officeDocument/2006/relationships/hyperlink" Target="https://data.europa.eu/doi/10.2771/44715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E1011-4CA2-4592-8A63-8D1307632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1677</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2026-09-01T15:59:00Z</dcterms:created>
  <dcterms:modified xsi:type="dcterms:W3CDTF">2026-09-09T15:36:00Z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2024-02-28T10:32:15Z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88bde70f-5481-4cdd-a0cc-dd39e4cb9b18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