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378B46C-D3F8-40E7-9446-D3F416F475F9" style="width:455.25pt;height:409.5pt">
            <v:imagedata r:id="rId11" o:title=""/>
          </v:shape>
        </w:pict>
      </w:r>
    </w:p>
    <w:p>
      <w:pPr>
        <w:rPr>
          <w:noProof/>
        </w:rPr>
        <w:sectPr>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 xml:space="preserve">ANEXĂ </w:t>
      </w:r>
      <w:r>
        <w:rPr>
          <w:noProof/>
        </w:rPr>
        <w:br/>
      </w:r>
    </w:p>
    <w:p>
      <w:pPr>
        <w:rPr>
          <w:b/>
          <w:bCs/>
          <w:i/>
          <w:noProof/>
        </w:rPr>
      </w:pPr>
      <w:r>
        <w:rPr>
          <w:b/>
          <w:noProof/>
        </w:rPr>
        <w:t>Directive de negociere</w:t>
      </w:r>
    </w:p>
    <w:p>
      <w:pPr>
        <w:pStyle w:val="Tiret0"/>
        <w:numPr>
          <w:ilvl w:val="0"/>
          <w:numId w:val="1"/>
        </w:numPr>
        <w:spacing w:before="0"/>
        <w:ind w:left="567" w:hanging="567"/>
        <w:rPr>
          <w:noProof/>
        </w:rPr>
      </w:pPr>
      <w:r>
        <w:rPr>
          <w:noProof/>
        </w:rPr>
        <w:t>Obiectivul negocierilor este încheierea unui acord de parteneriat în domeniul pescuitului sustenabil (APPS) și a unui protocol de punere în aplicare a acordului dintre Uniunea Europeană și Republica Madagascar, în conformitate cu Regulamentul (UE) nr. 1380/2013 privind politica comună în domeniul pescuitului.</w:t>
      </w:r>
    </w:p>
    <w:p>
      <w:pPr>
        <w:pStyle w:val="Tiret0"/>
        <w:numPr>
          <w:ilvl w:val="0"/>
          <w:numId w:val="1"/>
        </w:numPr>
        <w:ind w:left="567" w:hanging="567"/>
        <w:rPr>
          <w:noProof/>
        </w:rPr>
      </w:pPr>
      <w:r>
        <w:rPr>
          <w:noProof/>
        </w:rPr>
        <w:t>Acest APPS și protocolul său de punere în aplicare ar trebui să definească cadrul general pentru activitățile de pescuit ale navelor UE în zona de pescuit a Madagascarului și pentru cooperarea UE cu Madagascarul în domeniul pescuitului.</w:t>
      </w:r>
    </w:p>
    <w:p>
      <w:pPr>
        <w:pStyle w:val="Tiret0"/>
        <w:ind w:left="567" w:hanging="567"/>
        <w:rPr>
          <w:noProof/>
        </w:rPr>
      </w:pPr>
      <w:r>
        <w:rPr>
          <w:noProof/>
        </w:rPr>
        <w:t>Pentru a promova pescuitul sustenabil și responsabil, asigurând în același timp beneficii reciproce pentru UE și Madagascar, obiectivele de negociere ale Comisiei ar trebui să se bazeze pe următoarele elemente:</w:t>
      </w:r>
    </w:p>
    <w:p>
      <w:pPr>
        <w:pStyle w:val="Bullet1"/>
        <w:numPr>
          <w:ilvl w:val="0"/>
          <w:numId w:val="2"/>
        </w:numPr>
        <w:ind w:left="1418"/>
        <w:rPr>
          <w:noProof/>
        </w:rPr>
      </w:pPr>
      <w:r>
        <w:rPr>
          <w:noProof/>
        </w:rPr>
        <w:t>asigurarea accesului la zona de pescuit a Madagascarului și a autorizațiilor necesare pentru navele UE care pescuiesc în această zonă, permițând astfel, printre altele, dezvoltarea rețelei de acorduri de parteneriat în domeniul pescuitului sustenabil disponibile pentru operatorii din Uniune în Oceanul Indian;</w:t>
      </w:r>
    </w:p>
    <w:p>
      <w:pPr>
        <w:pStyle w:val="Bullet1"/>
        <w:ind w:left="1418"/>
        <w:rPr>
          <w:noProof/>
          <w:sz w:val="22"/>
        </w:rPr>
      </w:pPr>
      <w:bookmarkStart w:id="0" w:name="_Hlk168417241"/>
      <w:r>
        <w:rPr>
          <w:noProof/>
        </w:rPr>
        <w:t xml:space="preserve">implementarea pe deplin a planurilor de gestionare relevante adoptate de organizațiile regionale de gestionare a pescuitului (ORGP) pe baza celor mai bune avize științifice disponibile, pentru a asigura sustenabilitatea activităților de pescuit din punctul de vedere al mediului și pentru a promova guvernanța oceanelor la nivel internațional. Activitățile de pescuit ale navelor Uniunii trebuie să vizeze exclusiv surplusul de resurse disponibil, ținându-se cont de capacitatea de pescuit a flotei locale și acordându-se o atenție specială caracterului de mare migrator al stocurilor în cauză. </w:t>
      </w:r>
      <w:bookmarkStart w:id="1" w:name="_Hlk168417164"/>
      <w:bookmarkEnd w:id="0"/>
      <w:r>
        <w:rPr>
          <w:noProof/>
        </w:rPr>
        <w:t>În acest caz, pentru speciile mari migratoare, surplusul disponibil în apele Madagascarului din speciile care fac obiectul acordului de parteneriat în domeniul pescuitului este definit de măsurile de conservare și gestionare în Oceanul Indian adoptate de Comisia Tonului din Oceanul Indian (IOTC);</w:t>
      </w:r>
    </w:p>
    <w:p>
      <w:pPr>
        <w:pStyle w:val="Bullet1"/>
        <w:ind w:left="1418"/>
        <w:rPr>
          <w:noProof/>
        </w:rPr>
      </w:pPr>
      <w:r>
        <w:rPr>
          <w:noProof/>
        </w:rPr>
        <w:t>depunerea de eforturi pentru a obține o cotă adecvată din resursele piscicole, care să corespundă</w:t>
      </w:r>
      <w:bookmarkEnd w:id="1"/>
      <w:r>
        <w:rPr>
          <w:noProof/>
        </w:rPr>
        <w:t xml:space="preserve"> intereselor flotei Uniunii; </w:t>
      </w:r>
    </w:p>
    <w:p>
      <w:pPr>
        <w:pStyle w:val="Bullet1"/>
        <w:ind w:left="1418"/>
        <w:rPr>
          <w:noProof/>
        </w:rPr>
      </w:pPr>
      <w:r>
        <w:rPr>
          <w:noProof/>
        </w:rPr>
        <w:t>depunerea de eforturi pentru a obține impunerea acelorași condiții tehnice tuturor flotelor străine în zona de pescuit a Madagascarului, prin includerea unei clauze privind nediscriminarea între flote și transparența informațiilor referitoare la activitățile de pescuit autorizate în Madagascar;</w:t>
      </w:r>
    </w:p>
    <w:p>
      <w:pPr>
        <w:pStyle w:val="Bullet1"/>
        <w:ind w:left="1418"/>
        <w:rPr>
          <w:noProof/>
        </w:rPr>
      </w:pPr>
      <w:r>
        <w:rPr>
          <w:noProof/>
        </w:rPr>
        <w:t>asigurarea faptului că accesul la zona de pescuit se bazează pe activitatea anterioară și pe activitatea viitoare preconizată a flotei Uniunii în regiune, ținând seama de cele mai actualizate și mai bune evaluări științifice disponibile și luând în considerare interesele regiunilor ultraperiferice ale Uniunii;</w:t>
      </w:r>
    </w:p>
    <w:p>
      <w:pPr>
        <w:pStyle w:val="Bullet1"/>
        <w:ind w:left="1418"/>
        <w:rPr>
          <w:noProof/>
        </w:rPr>
      </w:pPr>
      <w:r>
        <w:rPr>
          <w:noProof/>
        </w:rPr>
        <w:t>stabilirea unui dialog în vederea consolidării politicii sectoriale, pentru a încuraja, pe de o parte, punerea în aplicare a unei politici responsabile în domeniul pescuitului, corespunzătoare obiectivelor de dezvoltare ale Madagascarului, în special în ceea ce privește guvernanța în domeniul pescuitului, combaterea pescuitului ilegal, nedeclarat și nereglementat, controlul, monitorizarea și supravegherea activităților de pescuit, furnizarea de avize științifice și drepturile sociale ale pescarilor și, pe de altă parte, promovarea activității economice;</w:t>
      </w:r>
    </w:p>
    <w:p>
      <w:pPr>
        <w:pStyle w:val="Bullet1"/>
        <w:ind w:left="1418"/>
        <w:rPr>
          <w:noProof/>
        </w:rPr>
      </w:pPr>
      <w:r>
        <w:rPr>
          <w:noProof/>
        </w:rPr>
        <w:lastRenderedPageBreak/>
        <w:t>includerea unei clauze privind consecințele încălcării drepturilor omului (inclusiv a drepturilor sociale) și a principiilor democratice;</w:t>
      </w:r>
    </w:p>
    <w:p>
      <w:pPr>
        <w:pStyle w:val="Bullet1"/>
        <w:ind w:left="1418"/>
        <w:rPr>
          <w:noProof/>
        </w:rPr>
      </w:pPr>
      <w:r>
        <w:rPr>
          <w:noProof/>
        </w:rPr>
        <w:t xml:space="preserve">asigurarea faptului că protocolul va contribui la promovarea creșterii economice durabile și a muncii decente legate de activitățile de pescuit, ținând seama de convențiile relevante ale Organizației Internaționale a Muncii (OIM). </w:t>
      </w:r>
    </w:p>
    <w:p>
      <w:pPr>
        <w:pStyle w:val="Tiret0"/>
        <w:ind w:left="567" w:hanging="567"/>
        <w:rPr>
          <w:noProof/>
        </w:rPr>
      </w:pPr>
      <w:r>
        <w:rPr>
          <w:noProof/>
        </w:rPr>
        <w:t>Protocolul ar trebui să definească în special:</w:t>
      </w:r>
    </w:p>
    <w:p>
      <w:pPr>
        <w:pStyle w:val="Bullet1"/>
        <w:rPr>
          <w:noProof/>
        </w:rPr>
      </w:pPr>
      <w:r>
        <w:rPr>
          <w:noProof/>
        </w:rPr>
        <w:t>posibilitățile de pescuit care urmează să fie acordate navelor UE;</w:t>
      </w:r>
    </w:p>
    <w:p>
      <w:pPr>
        <w:pStyle w:val="Bullet1"/>
        <w:rPr>
          <w:noProof/>
        </w:rPr>
      </w:pPr>
      <w:r>
        <w:rPr>
          <w:noProof/>
        </w:rPr>
        <w:t xml:space="preserve">compensația financiară și condițiile pentru plata acesteia; </w:t>
      </w:r>
    </w:p>
    <w:p>
      <w:pPr>
        <w:pStyle w:val="Bullet1"/>
        <w:rPr>
          <w:noProof/>
        </w:rPr>
      </w:pPr>
      <w:r>
        <w:rPr>
          <w:noProof/>
        </w:rPr>
        <w:t>mecanismele de punere în aplicare a sprijinului sectorial.</w:t>
      </w:r>
    </w:p>
    <w:sectPr>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tab/>
    </w:r>
    <w:r>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2CEE33E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8172682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117E7A1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DB783F28"/>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D182F5D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C864310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2507A7C"/>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253E1F06"/>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9"/>
    <w:lvlOverride w:ilvl="0">
      <w:startOverride w:val="1"/>
    </w:lvlOverride>
  </w:num>
  <w:num w:numId="2">
    <w:abstractNumId w:val="17"/>
    <w:lvlOverride w:ilvl="0">
      <w:startOverride w:val="1"/>
    </w:lvlOverride>
  </w:num>
  <w:num w:numId="3">
    <w:abstractNumId w:val="6"/>
  </w:num>
  <w:num w:numId="4">
    <w:abstractNumId w:val="7"/>
  </w:num>
  <w:num w:numId="5">
    <w:abstractNumId w:val="5"/>
  </w:num>
  <w:num w:numId="6">
    <w:abstractNumId w:val="4"/>
  </w:num>
  <w:num w:numId="7">
    <w:abstractNumId w:val="3"/>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9-09 17:30:3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7378B46C-D3F8-40E7-9446-D3F416F475F9"/>
    <w:docVar w:name="LW_COVERPAGE_TYPE" w:val="1"/>
    <w:docVar w:name="LW_CROSSREFERENCE" w:val="{SWD(2026) 272 final} - {SWD(2026) 273 final}"/>
    <w:docVar w:name="LW_DocType" w:val="ANNEX"/>
    <w:docVar w:name="LW_EMISSION" w:val="10.9.2026"/>
    <w:docVar w:name="LW_EMISSION_ISODATE" w:val="2026-09-10"/>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de autorizare a începerii negocierilor pentru încheierea unui acord de parteneriat în domeniul pescuitului sustenabil \u537?i a protocolului de punere în aplicare a acestuia între Uniunea European\u259? \u537?i Republica Madagascar"/>
    <w:docVar w:name="LW_OBJETACTEPRINCIPAL.CP" w:val="de autorizare a începerii negocierilor pentru încheierea unui acord de parteneriat în domeniul pescuitului sustenabil \u537?i a protocolului de punere în aplicare a acestuia între Uniunea European\u259? \u537?i Republica Madagascar"/>
    <w:docVar w:name="LW_PART_NBR" w:val="1"/>
    <w:docVar w:name="LW_PART_NBR_TOTAL" w:val="1"/>
    <w:docVar w:name="LW_REF.INST.NEW" w:val="COM"/>
    <w:docVar w:name="LW_REF.INST.NEW_ADOPTED" w:val="final"/>
    <w:docVar w:name="LW_REF.INST.NEW_TEXT" w:val="(2026) 46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Recomandarea de _x000b__x000b_DECIZIE A CONSILIULUI"/>
    <w:docVar w:name="LW_TYPEACTEPRINCIPAL.CP" w:val="Recomandarea de _x000b__x000b_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4CD0B4B7-F154-4BEE-9E18-F5D2DD09A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uiPriority w:val="99"/>
    <w:semiHidden/>
    <w:unhideWhenUsed/>
    <w:pPr>
      <w:numPr>
        <w:numId w:val="3"/>
      </w:numPr>
      <w:contextualSpacing/>
    </w:pPr>
  </w:style>
  <w:style w:type="paragraph" w:styleId="ListBullet">
    <w:name w:val="List Bullet"/>
    <w:basedOn w:val="Normal"/>
    <w:uiPriority w:val="99"/>
    <w:semiHidden/>
    <w:unhideWhenUsed/>
    <w:pPr>
      <w:numPr>
        <w:numId w:val="4"/>
      </w:numPr>
      <w:contextualSpacing/>
    </w:pPr>
  </w:style>
  <w:style w:type="paragraph" w:styleId="ListBullet2">
    <w:name w:val="List Bullet 2"/>
    <w:basedOn w:val="Normal"/>
    <w:uiPriority w:val="99"/>
    <w:semiHidden/>
    <w:unhideWhenUsed/>
    <w:pPr>
      <w:numPr>
        <w:numId w:val="5"/>
      </w:numPr>
      <w:contextualSpacing/>
    </w:pPr>
  </w:style>
  <w:style w:type="paragraph" w:styleId="ListBullet3">
    <w:name w:val="List Bullet 3"/>
    <w:basedOn w:val="Normal"/>
    <w:uiPriority w:val="99"/>
    <w:semiHidden/>
    <w:unhideWhenUsed/>
    <w:pPr>
      <w:numPr>
        <w:numId w:val="6"/>
      </w:numPr>
      <w:contextualSpacing/>
    </w:pPr>
  </w:style>
  <w:style w:type="paragraph" w:styleId="ListBullet4">
    <w:name w:val="List Bullet 4"/>
    <w:basedOn w:val="Normal"/>
    <w:uiPriority w:val="99"/>
    <w:semiHidden/>
    <w:unhideWhenUsed/>
    <w:pPr>
      <w:numPr>
        <w:numId w:val="7"/>
      </w:numPr>
      <w:contextualSpacing/>
    </w:p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0985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0" ma:contentTypeDescription="Create a new document in this library." ma:contentTypeScope="" ma:versionID="9652a2d46328713989bb97f1a4bbd963">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4f29c4ebe26ab41c5114504f141434bd"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6EBAB-246F-4CDF-86F5-EDD982ADBA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704D69-B5A6-4C08-A2EC-1A7AAF3D19E9}">
  <ds:schemaRefs>
    <ds:schemaRef ds:uri="http://schemas.microsoft.com/office/2006/metadata/properties"/>
    <ds:schemaRef ds:uri="http://schemas.microsoft.com/office/infopath/2007/PartnerControls"/>
    <ds:schemaRef ds:uri="144c03d0-0f03-451f-9d46-5279004462a4"/>
    <ds:schemaRef ds:uri="http://schemas.microsoft.com/sharepoint/v3/fields"/>
  </ds:schemaRefs>
</ds:datastoreItem>
</file>

<file path=customXml/itemProps3.xml><?xml version="1.0" encoding="utf-8"?>
<ds:datastoreItem xmlns:ds="http://schemas.openxmlformats.org/officeDocument/2006/customXml" ds:itemID="{8D202CE7-9BBC-45E5-8508-719A71055B48}">
  <ds:schemaRefs>
    <ds:schemaRef ds:uri="http://schemas.microsoft.com/sharepoint/v3/contenttype/forms"/>
  </ds:schemaRefs>
</ds:datastoreItem>
</file>

<file path=customXml/itemProps4.xml><?xml version="1.0" encoding="utf-8"?>
<ds:datastoreItem xmlns:ds="http://schemas.openxmlformats.org/officeDocument/2006/customXml" ds:itemID="{6E1FE47D-53F8-44DB-A244-39D8CE62F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2</TotalTime>
  <Pages>3</Pages>
  <Words>581</Words>
  <Characters>3315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9</cp:revision>
  <dcterms:created xsi:type="dcterms:W3CDTF">2026-08-17T14:25:00Z</dcterms:created>
  <dcterms:modified xsi:type="dcterms:W3CDTF">2026-09-09T15:30:00Z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9.0, Build 20230317</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2024-02-28T10:55:03Z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c77209d7-714f-43dd-aadc-301f6a3453be</vt:lpwstr>
  </property>
  <property fmtid="{D5CDD505-2E9C-101B-9397-08002B2CF9AE}" pid="19" name="MSIP_Label_6bd9ddd1-4d20-43f6-abfa-fc3c07406f94_ContentBits">
    <vt:lpwstr>0</vt:lpwstr>
  </property>
  <property fmtid="{D5CDD505-2E9C-101B-9397-08002B2CF9AE}" pid="20" name="ContentTypeId">
    <vt:lpwstr>0x010100BAD999D84E12C74482EA5120F5227F6F00217DECAAC21D6B43958DFE68658C192E</vt:lpwstr>
  </property>
  <property fmtid="{D5CDD505-2E9C-101B-9397-08002B2CF9AE}" pid="21" name="DQCStatus">
    <vt:lpwstr>Green (DQC version 03)</vt:lpwstr>
  </property>
</Properties>
</file>