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66112F5-2455-451C-A22D-C3411A61CAB3" style="width:455.25pt;height:327.7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pStyle w:val="TOCHeading"/>
        <w:spacing w:after="240"/>
        <w:jc w:val="center"/>
        <w:rPr>
          <w:rFonts w:ascii="Times New Roman" w:hAnsi="Times New Roman" w:cs="Times New Roman"/>
          <w:b/>
          <w:bCs/>
          <w:noProof/>
          <w:color w:val="auto"/>
          <w:sz w:val="24"/>
          <w:szCs w:val="24"/>
        </w:rPr>
      </w:pPr>
      <w:r>
        <w:rPr>
          <w:rFonts w:ascii="Times New Roman" w:hAnsi="Times New Roman"/>
          <w:b/>
          <w:noProof/>
          <w:color w:val="auto"/>
          <w:sz w:val="24"/>
        </w:rPr>
        <w:lastRenderedPageBreak/>
        <w:t>TABLE DES MATIÈRES</w:t>
      </w:r>
    </w:p>
    <w:p>
      <w:pPr>
        <w:pStyle w:val="TOC1"/>
        <w:rPr>
          <w:rFonts w:asciiTheme="minorHAnsi" w:eastAsiaTheme="minorEastAsia" w:hAnsiTheme="minorHAnsi" w:cstheme="minorBidi"/>
          <w:noProof/>
          <w:kern w:val="2"/>
          <w14:ligatures w14:val="standardContextual"/>
        </w:rPr>
      </w:pPr>
      <w:r>
        <w:rPr>
          <w:noProof/>
        </w:rPr>
        <w:fldChar w:fldCharType="begin"/>
      </w:r>
      <w:r>
        <w:rPr>
          <w:noProof/>
        </w:rPr>
        <w:instrText>TOC \o "1-4" \z \u \h</w:instrText>
      </w:r>
      <w:r>
        <w:rPr>
          <w:noProof/>
        </w:rPr>
        <w:fldChar w:fldCharType="separate"/>
      </w:r>
      <w:hyperlink w:anchor="_Toc229149802" w:history="1">
        <w:r>
          <w:rPr>
            <w:rStyle w:val="Hyperlink"/>
            <w:noProof/>
          </w:rPr>
          <w:t>1.</w:t>
        </w:r>
        <w:r>
          <w:rPr>
            <w:noProof/>
          </w:rPr>
          <w:tab/>
        </w:r>
        <w:r>
          <w:rPr>
            <w:rStyle w:val="Hyperlink"/>
            <w:noProof/>
          </w:rPr>
          <w:t>PROCÉDURE BUDGÉTAIRE</w:t>
        </w:r>
        <w:r>
          <w:rPr>
            <w:noProof/>
          </w:rPr>
          <w:tab/>
        </w:r>
        <w:r>
          <w:rPr>
            <w:noProof/>
            <w:webHidden/>
          </w:rPr>
          <w:fldChar w:fldCharType="begin"/>
        </w:r>
        <w:r>
          <w:rPr>
            <w:noProof/>
            <w:webHidden/>
          </w:rPr>
          <w:instrText xml:space="preserve"> PAGEREF _Toc229149802 \h </w:instrText>
        </w:r>
        <w:r>
          <w:rPr>
            <w:noProof/>
            <w:webHidden/>
          </w:rPr>
        </w:r>
        <w:r>
          <w:rPr>
            <w:noProof/>
            <w:webHidden/>
          </w:rPr>
          <w:fldChar w:fldCharType="separate"/>
        </w:r>
        <w:r>
          <w:rPr>
            <w:noProof/>
            <w:webHidden/>
          </w:rPr>
          <w:t>2</w:t>
        </w:r>
        <w:r>
          <w:rPr>
            <w:noProof/>
            <w:webHidden/>
          </w:rPr>
          <w:fldChar w:fldCharType="end"/>
        </w:r>
      </w:hyperlink>
    </w:p>
    <w:p>
      <w:pPr>
        <w:pStyle w:val="TOC2"/>
        <w:rPr>
          <w:rFonts w:asciiTheme="minorHAnsi" w:eastAsiaTheme="minorEastAsia" w:hAnsiTheme="minorHAnsi" w:cstheme="minorBidi"/>
          <w:noProof/>
        </w:rPr>
      </w:pPr>
      <w:hyperlink w:anchor="_Toc229149803" w:history="1">
        <w:r>
          <w:rPr>
            <w:rStyle w:val="Hyperlink"/>
            <w:noProof/>
          </w:rPr>
          <w:t>1.1.</w:t>
        </w:r>
        <w:r>
          <w:rPr>
            <w:noProof/>
          </w:rPr>
          <w:tab/>
        </w:r>
        <w:r>
          <w:rPr>
            <w:rStyle w:val="Hyperlink"/>
            <w:noProof/>
          </w:rPr>
          <w:t>Cadre financier 2021-2027</w:t>
        </w:r>
        <w:r>
          <w:rPr>
            <w:noProof/>
          </w:rPr>
          <w:tab/>
        </w:r>
        <w:r>
          <w:rPr>
            <w:noProof/>
            <w:webHidden/>
          </w:rPr>
          <w:fldChar w:fldCharType="begin"/>
        </w:r>
        <w:r>
          <w:rPr>
            <w:noProof/>
            <w:webHidden/>
          </w:rPr>
          <w:instrText xml:space="preserve"> PAGEREF _Toc229149803 \h </w:instrText>
        </w:r>
        <w:r>
          <w:rPr>
            <w:noProof/>
            <w:webHidden/>
          </w:rPr>
        </w:r>
        <w:r>
          <w:rPr>
            <w:noProof/>
            <w:webHidden/>
          </w:rPr>
          <w:fldChar w:fldCharType="separate"/>
        </w:r>
        <w:r>
          <w:rPr>
            <w:noProof/>
            <w:webHidden/>
          </w:rPr>
          <w:t>2</w:t>
        </w:r>
        <w:r>
          <w:rPr>
            <w:noProof/>
            <w:webHidden/>
          </w:rPr>
          <w:fldChar w:fldCharType="end"/>
        </w:r>
      </w:hyperlink>
    </w:p>
    <w:p>
      <w:pPr>
        <w:pStyle w:val="TOC2"/>
        <w:rPr>
          <w:rFonts w:asciiTheme="minorHAnsi" w:eastAsiaTheme="minorEastAsia" w:hAnsiTheme="minorHAnsi" w:cstheme="minorBidi"/>
          <w:noProof/>
        </w:rPr>
      </w:pPr>
      <w:hyperlink w:anchor="_Toc229149804" w:history="1">
        <w:r>
          <w:rPr>
            <w:rStyle w:val="Hyperlink"/>
            <w:noProof/>
          </w:rPr>
          <w:t>1.2.</w:t>
        </w:r>
        <w:r>
          <w:rPr>
            <w:rStyle w:val="Hyperlink"/>
            <w:noProof/>
          </w:rPr>
          <w:tab/>
          <w:t xml:space="preserve">Projet de budget pour 2025, lettre rectificative nº 1/2025 et adoption du budget 2025  </w:t>
        </w:r>
        <w:r>
          <w:rPr>
            <w:rStyle w:val="Hyperlink"/>
            <w:noProof/>
          </w:rPr>
          <w:tab/>
        </w:r>
        <w:r>
          <w:rPr>
            <w:rStyle w:val="Hyperlink"/>
            <w:noProof/>
            <w:webHidden/>
          </w:rPr>
          <w:fldChar w:fldCharType="begin"/>
        </w:r>
        <w:r>
          <w:rPr>
            <w:rStyle w:val="Hyperlink"/>
            <w:noProof/>
            <w:webHidden/>
          </w:rPr>
          <w:instrText xml:space="preserve"> PAGEREF _Toc229149804 \h </w:instrText>
        </w:r>
        <w:r>
          <w:rPr>
            <w:rStyle w:val="Hyperlink"/>
            <w:noProof/>
            <w:webHidden/>
          </w:rPr>
        </w:r>
        <w:r>
          <w:rPr>
            <w:rStyle w:val="Hyperlink"/>
            <w:noProof/>
            <w:webHidden/>
          </w:rPr>
          <w:fldChar w:fldCharType="separate"/>
        </w:r>
        <w:r>
          <w:rPr>
            <w:rStyle w:val="Hyperlink"/>
            <w:noProof/>
            <w:webHidden/>
          </w:rPr>
          <w:t>3</w:t>
        </w:r>
        <w:r>
          <w:rPr>
            <w:rStyle w:val="Hyperlink"/>
            <w:noProof/>
            <w:webHidden/>
          </w:rPr>
          <w:fldChar w:fldCharType="end"/>
        </w:r>
      </w:hyperlink>
    </w:p>
    <w:p>
      <w:pPr>
        <w:pStyle w:val="TOC1"/>
        <w:rPr>
          <w:rFonts w:asciiTheme="minorHAnsi" w:eastAsiaTheme="minorEastAsia" w:hAnsiTheme="minorHAnsi" w:cstheme="minorBidi"/>
          <w:noProof/>
        </w:rPr>
      </w:pPr>
      <w:hyperlink w:anchor="_Toc229149805" w:history="1">
        <w:r>
          <w:rPr>
            <w:rStyle w:val="Hyperlink"/>
            <w:noProof/>
          </w:rPr>
          <w:t>2.</w:t>
        </w:r>
        <w:r>
          <w:rPr>
            <w:rStyle w:val="Hyperlink"/>
            <w:noProof/>
          </w:rPr>
          <w:tab/>
          <w:t>EXÉCUTION DU BUDGET 2025 POUR LE FEAGA ET LE FEADER</w:t>
        </w:r>
        <w:r>
          <w:rPr>
            <w:rStyle w:val="Hyperlink"/>
            <w:noProof/>
          </w:rPr>
          <w:tab/>
        </w:r>
        <w:r>
          <w:rPr>
            <w:rStyle w:val="Hyperlink"/>
            <w:noProof/>
            <w:webHidden/>
          </w:rPr>
          <w:fldChar w:fldCharType="begin"/>
        </w:r>
        <w:r>
          <w:rPr>
            <w:rStyle w:val="Hyperlink"/>
            <w:noProof/>
            <w:webHidden/>
          </w:rPr>
          <w:instrText xml:space="preserve"> PAGEREF _Toc229149805 \h </w:instrText>
        </w:r>
        <w:r>
          <w:rPr>
            <w:rStyle w:val="Hyperlink"/>
            <w:noProof/>
            <w:webHidden/>
          </w:rPr>
        </w:r>
        <w:r>
          <w:rPr>
            <w:rStyle w:val="Hyperlink"/>
            <w:noProof/>
            <w:webHidden/>
          </w:rPr>
          <w:fldChar w:fldCharType="separate"/>
        </w:r>
        <w:r>
          <w:rPr>
            <w:rStyle w:val="Hyperlink"/>
            <w:noProof/>
            <w:webHidden/>
          </w:rPr>
          <w:t>4</w:t>
        </w:r>
        <w:r>
          <w:rPr>
            <w:rStyle w:val="Hyperlink"/>
            <w:noProof/>
            <w:webHidden/>
          </w:rPr>
          <w:fldChar w:fldCharType="end"/>
        </w:r>
      </w:hyperlink>
    </w:p>
    <w:p>
      <w:pPr>
        <w:pStyle w:val="TOC2"/>
        <w:rPr>
          <w:rFonts w:asciiTheme="minorHAnsi" w:eastAsiaTheme="minorEastAsia" w:hAnsiTheme="minorHAnsi" w:cstheme="minorBidi"/>
          <w:noProof/>
        </w:rPr>
      </w:pPr>
      <w:hyperlink w:anchor="_Toc229149806" w:history="1">
        <w:r>
          <w:rPr>
            <w:rStyle w:val="Hyperlink"/>
            <w:noProof/>
          </w:rPr>
          <w:t>2.1.</w:t>
        </w:r>
        <w:r>
          <w:rPr>
            <w:rStyle w:val="Hyperlink"/>
            <w:noProof/>
          </w:rPr>
          <w:tab/>
          <w:t>Fonds européen agricole de garantie (FEAGA)</w:t>
        </w:r>
        <w:r>
          <w:rPr>
            <w:rStyle w:val="Hyperlink"/>
            <w:noProof/>
          </w:rPr>
          <w:tab/>
        </w:r>
        <w:r>
          <w:rPr>
            <w:rStyle w:val="Hyperlink"/>
            <w:noProof/>
            <w:webHidden/>
          </w:rPr>
          <w:fldChar w:fldCharType="begin"/>
        </w:r>
        <w:r>
          <w:rPr>
            <w:rStyle w:val="Hyperlink"/>
            <w:noProof/>
            <w:webHidden/>
          </w:rPr>
          <w:instrText xml:space="preserve"> PAGEREF _Toc229149806 \h </w:instrText>
        </w:r>
        <w:r>
          <w:rPr>
            <w:rStyle w:val="Hyperlink"/>
            <w:noProof/>
            <w:webHidden/>
          </w:rPr>
        </w:r>
        <w:r>
          <w:rPr>
            <w:rStyle w:val="Hyperlink"/>
            <w:noProof/>
            <w:webHidden/>
          </w:rPr>
          <w:fldChar w:fldCharType="separate"/>
        </w:r>
        <w:r>
          <w:rPr>
            <w:rStyle w:val="Hyperlink"/>
            <w:noProof/>
            <w:webHidden/>
          </w:rPr>
          <w:t>4</w:t>
        </w:r>
        <w:r>
          <w:rPr>
            <w:rStyle w:val="Hyperlink"/>
            <w:noProof/>
            <w:webHidden/>
          </w:rPr>
          <w:fldChar w:fldCharType="end"/>
        </w:r>
      </w:hyperlink>
    </w:p>
    <w:p>
      <w:pPr>
        <w:pStyle w:val="TOC2"/>
        <w:rPr>
          <w:rFonts w:asciiTheme="minorHAnsi" w:eastAsiaTheme="minorEastAsia" w:hAnsiTheme="minorHAnsi" w:cstheme="minorBidi"/>
          <w:noProof/>
        </w:rPr>
      </w:pPr>
      <w:hyperlink w:anchor="_Toc229149807" w:history="1">
        <w:r>
          <w:rPr>
            <w:rStyle w:val="Hyperlink"/>
            <w:noProof/>
          </w:rPr>
          <w:t>2.1.1.</w:t>
        </w:r>
        <w:r>
          <w:rPr>
            <w:rStyle w:val="Hyperlink"/>
            <w:noProof/>
          </w:rPr>
          <w:tab/>
          <w:t>Paiements mensuels</w:t>
        </w:r>
        <w:r>
          <w:rPr>
            <w:rStyle w:val="Hyperlink"/>
            <w:noProof/>
          </w:rPr>
          <w:tab/>
        </w:r>
        <w:r>
          <w:rPr>
            <w:rStyle w:val="Hyperlink"/>
            <w:noProof/>
            <w:webHidden/>
          </w:rPr>
          <w:fldChar w:fldCharType="begin"/>
        </w:r>
        <w:r>
          <w:rPr>
            <w:rStyle w:val="Hyperlink"/>
            <w:noProof/>
            <w:webHidden/>
          </w:rPr>
          <w:instrText xml:space="preserve"> PAGEREF _Toc229149807 \h </w:instrText>
        </w:r>
        <w:r>
          <w:rPr>
            <w:rStyle w:val="Hyperlink"/>
            <w:noProof/>
            <w:webHidden/>
          </w:rPr>
        </w:r>
        <w:r>
          <w:rPr>
            <w:rStyle w:val="Hyperlink"/>
            <w:noProof/>
            <w:webHidden/>
          </w:rPr>
          <w:fldChar w:fldCharType="separate"/>
        </w:r>
        <w:r>
          <w:rPr>
            <w:rStyle w:val="Hyperlink"/>
            <w:noProof/>
            <w:webHidden/>
          </w:rPr>
          <w:t>4</w:t>
        </w:r>
        <w:r>
          <w:rPr>
            <w:rStyle w:val="Hyperlink"/>
            <w:noProof/>
            <w:webHidden/>
          </w:rPr>
          <w:fldChar w:fldCharType="end"/>
        </w:r>
      </w:hyperlink>
    </w:p>
    <w:p>
      <w:pPr>
        <w:pStyle w:val="TOC2"/>
        <w:rPr>
          <w:rFonts w:asciiTheme="minorHAnsi" w:eastAsiaTheme="minorEastAsia" w:hAnsiTheme="minorHAnsi" w:cstheme="minorBidi"/>
          <w:noProof/>
        </w:rPr>
      </w:pPr>
      <w:hyperlink w:anchor="_Toc229149808" w:history="1">
        <w:r>
          <w:rPr>
            <w:rStyle w:val="Hyperlink"/>
            <w:noProof/>
          </w:rPr>
          <w:t>2.1.2.</w:t>
        </w:r>
        <w:r>
          <w:rPr>
            <w:rStyle w:val="Hyperlink"/>
            <w:noProof/>
          </w:rPr>
          <w:tab/>
          <w:t>Réduction des paiements mensuels</w:t>
        </w:r>
        <w:r>
          <w:rPr>
            <w:rStyle w:val="Hyperlink"/>
            <w:noProof/>
          </w:rPr>
          <w:tab/>
        </w:r>
        <w:r>
          <w:rPr>
            <w:rStyle w:val="Hyperlink"/>
            <w:noProof/>
            <w:webHidden/>
          </w:rPr>
          <w:fldChar w:fldCharType="begin"/>
        </w:r>
        <w:r>
          <w:rPr>
            <w:rStyle w:val="Hyperlink"/>
            <w:noProof/>
            <w:webHidden/>
          </w:rPr>
          <w:instrText xml:space="preserve"> PAGEREF _Toc229149808 \h </w:instrText>
        </w:r>
        <w:r>
          <w:rPr>
            <w:rStyle w:val="Hyperlink"/>
            <w:noProof/>
            <w:webHidden/>
          </w:rPr>
        </w:r>
        <w:r>
          <w:rPr>
            <w:rStyle w:val="Hyperlink"/>
            <w:noProof/>
            <w:webHidden/>
          </w:rPr>
          <w:fldChar w:fldCharType="separate"/>
        </w:r>
        <w:r>
          <w:rPr>
            <w:rStyle w:val="Hyperlink"/>
            <w:noProof/>
            <w:webHidden/>
          </w:rPr>
          <w:t>4</w:t>
        </w:r>
        <w:r>
          <w:rPr>
            <w:rStyle w:val="Hyperlink"/>
            <w:noProof/>
            <w:webHidden/>
          </w:rPr>
          <w:fldChar w:fldCharType="end"/>
        </w:r>
      </w:hyperlink>
    </w:p>
    <w:p>
      <w:pPr>
        <w:pStyle w:val="TOC2"/>
        <w:rPr>
          <w:rFonts w:asciiTheme="minorHAnsi" w:eastAsiaTheme="minorEastAsia" w:hAnsiTheme="minorHAnsi" w:cstheme="minorBidi"/>
          <w:noProof/>
        </w:rPr>
      </w:pPr>
      <w:hyperlink w:anchor="_Toc229149809" w:history="1">
        <w:r>
          <w:rPr>
            <w:rStyle w:val="Hyperlink"/>
            <w:noProof/>
          </w:rPr>
          <w:t>2.1.3.</w:t>
        </w:r>
        <w:r>
          <w:rPr>
            <w:rStyle w:val="Hyperlink"/>
            <w:noProof/>
          </w:rPr>
          <w:tab/>
          <w:t xml:space="preserve">Dépenses effectuées par la Commission en gestion directe </w:t>
        </w:r>
        <w:r>
          <w:rPr>
            <w:rStyle w:val="Hyperlink"/>
            <w:noProof/>
          </w:rPr>
          <w:tab/>
        </w:r>
        <w:r>
          <w:rPr>
            <w:rStyle w:val="Hyperlink"/>
            <w:noProof/>
            <w:webHidden/>
          </w:rPr>
          <w:fldChar w:fldCharType="begin"/>
        </w:r>
        <w:r>
          <w:rPr>
            <w:rStyle w:val="Hyperlink"/>
            <w:noProof/>
            <w:webHidden/>
          </w:rPr>
          <w:instrText xml:space="preserve"> PAGEREF _Toc229149809 \h </w:instrText>
        </w:r>
        <w:r>
          <w:rPr>
            <w:rStyle w:val="Hyperlink"/>
            <w:noProof/>
            <w:webHidden/>
          </w:rPr>
        </w:r>
        <w:r>
          <w:rPr>
            <w:rStyle w:val="Hyperlink"/>
            <w:noProof/>
            <w:webHidden/>
          </w:rPr>
          <w:fldChar w:fldCharType="separate"/>
        </w:r>
        <w:r>
          <w:rPr>
            <w:rStyle w:val="Hyperlink"/>
            <w:noProof/>
            <w:webHidden/>
          </w:rPr>
          <w:t>5</w:t>
        </w:r>
        <w:r>
          <w:rPr>
            <w:rStyle w:val="Hyperlink"/>
            <w:noProof/>
            <w:webHidden/>
          </w:rPr>
          <w:fldChar w:fldCharType="end"/>
        </w:r>
      </w:hyperlink>
    </w:p>
    <w:p>
      <w:pPr>
        <w:pStyle w:val="TOC2"/>
        <w:rPr>
          <w:rFonts w:asciiTheme="minorHAnsi" w:eastAsiaTheme="minorEastAsia" w:hAnsiTheme="minorHAnsi" w:cstheme="minorBidi"/>
          <w:noProof/>
        </w:rPr>
      </w:pPr>
      <w:hyperlink w:anchor="_Toc229149810" w:history="1">
        <w:r>
          <w:rPr>
            <w:rStyle w:val="Hyperlink"/>
            <w:noProof/>
          </w:rPr>
          <w:t>2.2.</w:t>
        </w:r>
        <w:r>
          <w:rPr>
            <w:rStyle w:val="Hyperlink"/>
            <w:noProof/>
          </w:rPr>
          <w:tab/>
          <w:t>Fonds européen agricole pour le développement rural (Feader) et instrument de l’Union européenne pour la relance (EURI)</w:t>
        </w:r>
        <w:r>
          <w:rPr>
            <w:rStyle w:val="Hyperlink"/>
            <w:noProof/>
          </w:rPr>
          <w:tab/>
        </w:r>
        <w:r>
          <w:rPr>
            <w:rStyle w:val="Hyperlink"/>
            <w:noProof/>
            <w:webHidden/>
          </w:rPr>
          <w:fldChar w:fldCharType="begin"/>
        </w:r>
        <w:r>
          <w:rPr>
            <w:rStyle w:val="Hyperlink"/>
            <w:noProof/>
            <w:webHidden/>
          </w:rPr>
          <w:instrText xml:space="preserve"> PAGEREF _Toc229149810 \h </w:instrText>
        </w:r>
        <w:r>
          <w:rPr>
            <w:rStyle w:val="Hyperlink"/>
            <w:noProof/>
            <w:webHidden/>
          </w:rPr>
        </w:r>
        <w:r>
          <w:rPr>
            <w:rStyle w:val="Hyperlink"/>
            <w:noProof/>
            <w:webHidden/>
          </w:rPr>
          <w:fldChar w:fldCharType="separate"/>
        </w:r>
        <w:r>
          <w:rPr>
            <w:rStyle w:val="Hyperlink"/>
            <w:noProof/>
            <w:webHidden/>
          </w:rPr>
          <w:t>6</w:t>
        </w:r>
        <w:r>
          <w:rPr>
            <w:rStyle w:val="Hyperlink"/>
            <w:noProof/>
            <w:webHidden/>
          </w:rPr>
          <w:fldChar w:fldCharType="end"/>
        </w:r>
      </w:hyperlink>
    </w:p>
    <w:p>
      <w:pPr>
        <w:pStyle w:val="TOC2"/>
        <w:rPr>
          <w:rFonts w:asciiTheme="minorHAnsi" w:eastAsiaTheme="minorEastAsia" w:hAnsiTheme="minorHAnsi" w:cstheme="minorBidi"/>
          <w:noProof/>
        </w:rPr>
      </w:pPr>
      <w:hyperlink w:anchor="_Toc229149811" w:history="1">
        <w:r>
          <w:rPr>
            <w:rStyle w:val="Hyperlink"/>
            <w:noProof/>
          </w:rPr>
          <w:t>2.2.1.</w:t>
        </w:r>
        <w:r>
          <w:rPr>
            <w:noProof/>
          </w:rPr>
          <w:tab/>
        </w:r>
        <w:r>
          <w:rPr>
            <w:rStyle w:val="Hyperlink"/>
            <w:noProof/>
          </w:rPr>
          <w:t>Paiements</w:t>
        </w:r>
        <w:r>
          <w:rPr>
            <w:noProof/>
          </w:rPr>
          <w:tab/>
        </w:r>
        <w:r>
          <w:rPr>
            <w:noProof/>
            <w:webHidden/>
          </w:rPr>
          <w:fldChar w:fldCharType="begin"/>
        </w:r>
        <w:r>
          <w:rPr>
            <w:noProof/>
            <w:webHidden/>
          </w:rPr>
          <w:instrText xml:space="preserve"> PAGEREF _Toc229149811 \h </w:instrText>
        </w:r>
        <w:r>
          <w:rPr>
            <w:noProof/>
            <w:webHidden/>
          </w:rPr>
        </w:r>
        <w:r>
          <w:rPr>
            <w:noProof/>
            <w:webHidden/>
          </w:rPr>
          <w:fldChar w:fldCharType="separate"/>
        </w:r>
        <w:r>
          <w:rPr>
            <w:noProof/>
            <w:webHidden/>
          </w:rPr>
          <w:t>7</w:t>
        </w:r>
        <w:r>
          <w:rPr>
            <w:noProof/>
            <w:webHidden/>
          </w:rPr>
          <w:fldChar w:fldCharType="end"/>
        </w:r>
      </w:hyperlink>
    </w:p>
    <w:p>
      <w:pPr>
        <w:pStyle w:val="TOC2"/>
        <w:rPr>
          <w:rFonts w:asciiTheme="minorHAnsi" w:eastAsiaTheme="minorEastAsia" w:hAnsiTheme="minorHAnsi" w:cstheme="minorBidi"/>
          <w:noProof/>
        </w:rPr>
      </w:pPr>
      <w:hyperlink w:anchor="_Toc229149812" w:history="1">
        <w:r>
          <w:rPr>
            <w:rStyle w:val="Hyperlink"/>
            <w:noProof/>
          </w:rPr>
          <w:t>2.2.2.</w:t>
        </w:r>
        <w:r>
          <w:rPr>
            <w:noProof/>
          </w:rPr>
          <w:tab/>
        </w:r>
        <w:r>
          <w:rPr>
            <w:rStyle w:val="Hyperlink"/>
            <w:noProof/>
          </w:rPr>
          <w:t>Réductions des paiements</w:t>
        </w:r>
        <w:r>
          <w:rPr>
            <w:noProof/>
          </w:rPr>
          <w:tab/>
        </w:r>
        <w:r>
          <w:rPr>
            <w:noProof/>
            <w:webHidden/>
          </w:rPr>
          <w:fldChar w:fldCharType="begin"/>
        </w:r>
        <w:r>
          <w:rPr>
            <w:noProof/>
            <w:webHidden/>
          </w:rPr>
          <w:instrText xml:space="preserve"> PAGEREF _Toc229149812 \h </w:instrText>
        </w:r>
        <w:r>
          <w:rPr>
            <w:noProof/>
            <w:webHidden/>
          </w:rPr>
        </w:r>
        <w:r>
          <w:rPr>
            <w:noProof/>
            <w:webHidden/>
          </w:rPr>
          <w:fldChar w:fldCharType="separate"/>
        </w:r>
        <w:r>
          <w:rPr>
            <w:noProof/>
            <w:webHidden/>
          </w:rPr>
          <w:t>7</w:t>
        </w:r>
        <w:r>
          <w:rPr>
            <w:noProof/>
            <w:webHidden/>
          </w:rPr>
          <w:fldChar w:fldCharType="end"/>
        </w:r>
      </w:hyperlink>
    </w:p>
    <w:p>
      <w:pPr>
        <w:pStyle w:val="TOC2"/>
        <w:rPr>
          <w:rFonts w:asciiTheme="minorHAnsi" w:eastAsiaTheme="minorEastAsia" w:hAnsiTheme="minorHAnsi" w:cstheme="minorBidi"/>
          <w:noProof/>
        </w:rPr>
      </w:pPr>
      <w:hyperlink w:anchor="_Toc229149813" w:history="1">
        <w:r>
          <w:rPr>
            <w:rStyle w:val="Hyperlink"/>
            <w:noProof/>
          </w:rPr>
          <w:t>2.2.3.</w:t>
        </w:r>
        <w:r>
          <w:rPr>
            <w:rStyle w:val="Hyperlink"/>
            <w:noProof/>
          </w:rPr>
          <w:tab/>
          <w:t>Dépenses effectuées par la Commission en gestion directe</w:t>
        </w:r>
        <w:r>
          <w:rPr>
            <w:rStyle w:val="Hyperlink"/>
            <w:noProof/>
          </w:rPr>
          <w:tab/>
        </w:r>
        <w:r>
          <w:rPr>
            <w:rStyle w:val="Hyperlink"/>
            <w:noProof/>
            <w:webHidden/>
          </w:rPr>
          <w:fldChar w:fldCharType="begin"/>
        </w:r>
        <w:r>
          <w:rPr>
            <w:rStyle w:val="Hyperlink"/>
            <w:noProof/>
            <w:webHidden/>
          </w:rPr>
          <w:instrText xml:space="preserve"> PAGEREF _Toc229149813 \h </w:instrText>
        </w:r>
        <w:r>
          <w:rPr>
            <w:rStyle w:val="Hyperlink"/>
            <w:noProof/>
            <w:webHidden/>
          </w:rPr>
        </w:r>
        <w:r>
          <w:rPr>
            <w:rStyle w:val="Hyperlink"/>
            <w:noProof/>
            <w:webHidden/>
          </w:rPr>
          <w:fldChar w:fldCharType="separate"/>
        </w:r>
        <w:r>
          <w:rPr>
            <w:rStyle w:val="Hyperlink"/>
            <w:noProof/>
            <w:webHidden/>
          </w:rPr>
          <w:t>7</w:t>
        </w:r>
        <w:r>
          <w:rPr>
            <w:rStyle w:val="Hyperlink"/>
            <w:noProof/>
            <w:webHidden/>
          </w:rPr>
          <w:fldChar w:fldCharType="end"/>
        </w:r>
      </w:hyperlink>
    </w:p>
    <w:p>
      <w:pPr>
        <w:pStyle w:val="TOC1"/>
        <w:rPr>
          <w:rFonts w:asciiTheme="minorHAnsi" w:eastAsiaTheme="minorEastAsia" w:hAnsiTheme="minorHAnsi" w:cstheme="minorBidi"/>
          <w:noProof/>
        </w:rPr>
      </w:pPr>
      <w:hyperlink w:anchor="_Toc229149814" w:history="1">
        <w:r>
          <w:rPr>
            <w:rStyle w:val="Hyperlink"/>
            <w:noProof/>
          </w:rPr>
          <w:t>3.</w:t>
        </w:r>
        <w:r>
          <w:rPr>
            <w:rStyle w:val="Hyperlink"/>
            <w:noProof/>
          </w:rPr>
          <w:tab/>
          <w:t>ABSORPTION DES CRÉDITS DU FEAGA ET DU FEADER</w:t>
        </w:r>
        <w:r>
          <w:rPr>
            <w:rStyle w:val="Hyperlink"/>
            <w:noProof/>
          </w:rPr>
          <w:tab/>
        </w:r>
        <w:r>
          <w:rPr>
            <w:rStyle w:val="Hyperlink"/>
            <w:noProof/>
            <w:webHidden/>
          </w:rPr>
          <w:fldChar w:fldCharType="begin"/>
        </w:r>
        <w:r>
          <w:rPr>
            <w:rStyle w:val="Hyperlink"/>
            <w:noProof/>
            <w:webHidden/>
          </w:rPr>
          <w:instrText xml:space="preserve"> PAGEREF _Toc229149814 \h </w:instrText>
        </w:r>
        <w:r>
          <w:rPr>
            <w:rStyle w:val="Hyperlink"/>
            <w:noProof/>
            <w:webHidden/>
          </w:rPr>
        </w:r>
        <w:r>
          <w:rPr>
            <w:rStyle w:val="Hyperlink"/>
            <w:noProof/>
            <w:webHidden/>
          </w:rPr>
          <w:fldChar w:fldCharType="separate"/>
        </w:r>
        <w:r>
          <w:rPr>
            <w:rStyle w:val="Hyperlink"/>
            <w:noProof/>
            <w:webHidden/>
          </w:rPr>
          <w:t>9</w:t>
        </w:r>
        <w:r>
          <w:rPr>
            <w:rStyle w:val="Hyperlink"/>
            <w:noProof/>
            <w:webHidden/>
          </w:rPr>
          <w:fldChar w:fldCharType="end"/>
        </w:r>
      </w:hyperlink>
    </w:p>
    <w:p>
      <w:pPr>
        <w:pStyle w:val="TOC2"/>
        <w:rPr>
          <w:rFonts w:asciiTheme="minorHAnsi" w:eastAsiaTheme="minorEastAsia" w:hAnsiTheme="minorHAnsi" w:cstheme="minorBidi"/>
          <w:noProof/>
        </w:rPr>
      </w:pPr>
      <w:hyperlink w:anchor="_Toc229149815" w:history="1">
        <w:r>
          <w:rPr>
            <w:rStyle w:val="Hyperlink"/>
            <w:noProof/>
          </w:rPr>
          <w:t>3.1.</w:t>
        </w:r>
        <w:r>
          <w:rPr>
            <w:rStyle w:val="Hyperlink"/>
            <w:noProof/>
          </w:rPr>
          <w:tab/>
          <w:t>Fonds européen agricole de garantie (FEAGA)</w:t>
        </w:r>
        <w:r>
          <w:rPr>
            <w:rStyle w:val="Hyperlink"/>
            <w:noProof/>
          </w:rPr>
          <w:tab/>
        </w:r>
        <w:r>
          <w:rPr>
            <w:rStyle w:val="Hyperlink"/>
            <w:noProof/>
            <w:webHidden/>
          </w:rPr>
          <w:fldChar w:fldCharType="begin"/>
        </w:r>
        <w:r>
          <w:rPr>
            <w:rStyle w:val="Hyperlink"/>
            <w:noProof/>
            <w:webHidden/>
          </w:rPr>
          <w:instrText xml:space="preserve"> PAGEREF _Toc229149815 \h </w:instrText>
        </w:r>
        <w:r>
          <w:rPr>
            <w:rStyle w:val="Hyperlink"/>
            <w:noProof/>
            <w:webHidden/>
          </w:rPr>
        </w:r>
        <w:r>
          <w:rPr>
            <w:rStyle w:val="Hyperlink"/>
            <w:noProof/>
            <w:webHidden/>
          </w:rPr>
          <w:fldChar w:fldCharType="separate"/>
        </w:r>
        <w:r>
          <w:rPr>
            <w:rStyle w:val="Hyperlink"/>
            <w:noProof/>
            <w:webHidden/>
          </w:rPr>
          <w:t>9</w:t>
        </w:r>
        <w:r>
          <w:rPr>
            <w:rStyle w:val="Hyperlink"/>
            <w:noProof/>
            <w:webHidden/>
          </w:rPr>
          <w:fldChar w:fldCharType="end"/>
        </w:r>
      </w:hyperlink>
    </w:p>
    <w:p>
      <w:pPr>
        <w:pStyle w:val="TOC2"/>
        <w:rPr>
          <w:rFonts w:asciiTheme="minorHAnsi" w:eastAsiaTheme="minorEastAsia" w:hAnsiTheme="minorHAnsi" w:cstheme="minorBidi"/>
          <w:noProof/>
        </w:rPr>
      </w:pPr>
      <w:hyperlink w:anchor="_Toc229149816" w:history="1">
        <w:r>
          <w:rPr>
            <w:rStyle w:val="Hyperlink"/>
            <w:noProof/>
          </w:rPr>
          <w:t>3.2.</w:t>
        </w:r>
        <w:r>
          <w:rPr>
            <w:noProof/>
          </w:rPr>
          <w:tab/>
        </w:r>
        <w:r>
          <w:rPr>
            <w:rStyle w:val="Hyperlink"/>
            <w:noProof/>
          </w:rPr>
          <w:t>Fonds européen agricole pour le développement rural (Feader) et instrument de l’Union européenne pour la relance (EURI)</w:t>
        </w:r>
        <w:r>
          <w:rPr>
            <w:noProof/>
          </w:rPr>
          <w:tab/>
        </w:r>
        <w:r>
          <w:rPr>
            <w:noProof/>
            <w:webHidden/>
          </w:rPr>
          <w:fldChar w:fldCharType="begin"/>
        </w:r>
        <w:r>
          <w:rPr>
            <w:noProof/>
            <w:webHidden/>
          </w:rPr>
          <w:instrText xml:space="preserve"> PAGEREF _Toc229149816 \h </w:instrText>
        </w:r>
        <w:r>
          <w:rPr>
            <w:noProof/>
            <w:webHidden/>
          </w:rPr>
        </w:r>
        <w:r>
          <w:rPr>
            <w:noProof/>
            <w:webHidden/>
          </w:rPr>
          <w:fldChar w:fldCharType="separate"/>
        </w:r>
        <w:r>
          <w:rPr>
            <w:noProof/>
            <w:webHidden/>
          </w:rPr>
          <w:t>9</w:t>
        </w:r>
        <w:r>
          <w:rPr>
            <w:noProof/>
            <w:webHidden/>
          </w:rPr>
          <w:fldChar w:fldCharType="end"/>
        </w:r>
      </w:hyperlink>
    </w:p>
    <w:p>
      <w:pPr>
        <w:pStyle w:val="TOC1"/>
        <w:rPr>
          <w:rFonts w:asciiTheme="minorHAnsi" w:eastAsiaTheme="minorEastAsia" w:hAnsiTheme="minorHAnsi" w:cstheme="minorBidi"/>
          <w:noProof/>
        </w:rPr>
      </w:pPr>
      <w:hyperlink w:anchor="_Toc229149817" w:history="1">
        <w:r>
          <w:rPr>
            <w:rStyle w:val="Hyperlink"/>
            <w:noProof/>
          </w:rPr>
          <w:t>4.</w:t>
        </w:r>
        <w:r>
          <w:rPr>
            <w:rStyle w:val="Hyperlink"/>
            <w:noProof/>
          </w:rPr>
          <w:tab/>
          <w:t>MESURES DE CONTRÔLE</w:t>
        </w:r>
        <w:r>
          <w:rPr>
            <w:rStyle w:val="Hyperlink"/>
            <w:noProof/>
          </w:rPr>
          <w:tab/>
        </w:r>
        <w:r>
          <w:rPr>
            <w:rStyle w:val="Hyperlink"/>
            <w:noProof/>
            <w:webHidden/>
          </w:rPr>
          <w:fldChar w:fldCharType="begin"/>
        </w:r>
        <w:r>
          <w:rPr>
            <w:rStyle w:val="Hyperlink"/>
            <w:noProof/>
            <w:webHidden/>
          </w:rPr>
          <w:instrText xml:space="preserve"> PAGEREF _Toc229149817 \h </w:instrText>
        </w:r>
        <w:r>
          <w:rPr>
            <w:rStyle w:val="Hyperlink"/>
            <w:noProof/>
            <w:webHidden/>
          </w:rPr>
        </w:r>
        <w:r>
          <w:rPr>
            <w:rStyle w:val="Hyperlink"/>
            <w:noProof/>
            <w:webHidden/>
          </w:rPr>
          <w:fldChar w:fldCharType="separate"/>
        </w:r>
        <w:r>
          <w:rPr>
            <w:rStyle w:val="Hyperlink"/>
            <w:noProof/>
            <w:webHidden/>
          </w:rPr>
          <w:t>13</w:t>
        </w:r>
        <w:r>
          <w:rPr>
            <w:rStyle w:val="Hyperlink"/>
            <w:noProof/>
            <w:webHidden/>
          </w:rPr>
          <w:fldChar w:fldCharType="end"/>
        </w:r>
      </w:hyperlink>
    </w:p>
    <w:p>
      <w:pPr>
        <w:pStyle w:val="TOC2"/>
        <w:rPr>
          <w:rFonts w:asciiTheme="minorHAnsi" w:eastAsiaTheme="minorEastAsia" w:hAnsiTheme="minorHAnsi" w:cstheme="minorBidi"/>
          <w:noProof/>
        </w:rPr>
      </w:pPr>
      <w:hyperlink w:anchor="_Toc229149818" w:history="1">
        <w:r>
          <w:rPr>
            <w:rStyle w:val="Hyperlink"/>
            <w:noProof/>
          </w:rPr>
          <w:t>4.1.</w:t>
        </w:r>
        <w:r>
          <w:rPr>
            <w:noProof/>
          </w:rPr>
          <w:tab/>
        </w:r>
        <w:r>
          <w:rPr>
            <w:rStyle w:val="Hyperlink"/>
            <w:noProof/>
          </w:rPr>
          <w:t>Introduction</w:t>
        </w:r>
        <w:r>
          <w:rPr>
            <w:noProof/>
          </w:rPr>
          <w:tab/>
        </w:r>
        <w:r>
          <w:rPr>
            <w:noProof/>
            <w:webHidden/>
          </w:rPr>
          <w:fldChar w:fldCharType="begin"/>
        </w:r>
        <w:r>
          <w:rPr>
            <w:noProof/>
            <w:webHidden/>
          </w:rPr>
          <w:instrText xml:space="preserve"> PAGEREF _Toc229149818 \h </w:instrText>
        </w:r>
        <w:r>
          <w:rPr>
            <w:noProof/>
            <w:webHidden/>
          </w:rPr>
        </w:r>
        <w:r>
          <w:rPr>
            <w:noProof/>
            <w:webHidden/>
          </w:rPr>
          <w:fldChar w:fldCharType="separate"/>
        </w:r>
        <w:r>
          <w:rPr>
            <w:noProof/>
            <w:webHidden/>
          </w:rPr>
          <w:t>13</w:t>
        </w:r>
        <w:r>
          <w:rPr>
            <w:noProof/>
            <w:webHidden/>
          </w:rPr>
          <w:fldChar w:fldCharType="end"/>
        </w:r>
      </w:hyperlink>
    </w:p>
    <w:p>
      <w:pPr>
        <w:pStyle w:val="TOC2"/>
        <w:rPr>
          <w:rFonts w:asciiTheme="minorHAnsi" w:eastAsiaTheme="minorEastAsia" w:hAnsiTheme="minorHAnsi" w:cstheme="minorBidi"/>
          <w:noProof/>
        </w:rPr>
      </w:pPr>
      <w:hyperlink w:anchor="_Toc229149819" w:history="1">
        <w:r>
          <w:rPr>
            <w:rStyle w:val="Hyperlink"/>
            <w:noProof/>
          </w:rPr>
          <w:t>4.2.</w:t>
        </w:r>
        <w:r>
          <w:rPr>
            <w:rStyle w:val="Hyperlink"/>
            <w:noProof/>
          </w:rPr>
          <w:tab/>
          <w:t>Système intégré de gestion et de contrôle (SIGC)</w:t>
        </w:r>
        <w:r>
          <w:rPr>
            <w:rStyle w:val="Hyperlink"/>
            <w:noProof/>
          </w:rPr>
          <w:tab/>
        </w:r>
        <w:r>
          <w:rPr>
            <w:rStyle w:val="Hyperlink"/>
            <w:noProof/>
            <w:webHidden/>
          </w:rPr>
          <w:fldChar w:fldCharType="begin"/>
        </w:r>
        <w:r>
          <w:rPr>
            <w:rStyle w:val="Hyperlink"/>
            <w:noProof/>
            <w:webHidden/>
          </w:rPr>
          <w:instrText xml:space="preserve"> PAGEREF _Toc229149819 \h </w:instrText>
        </w:r>
        <w:r>
          <w:rPr>
            <w:rStyle w:val="Hyperlink"/>
            <w:noProof/>
            <w:webHidden/>
          </w:rPr>
        </w:r>
        <w:r>
          <w:rPr>
            <w:rStyle w:val="Hyperlink"/>
            <w:noProof/>
            <w:webHidden/>
          </w:rPr>
          <w:fldChar w:fldCharType="separate"/>
        </w:r>
        <w:r>
          <w:rPr>
            <w:rStyle w:val="Hyperlink"/>
            <w:noProof/>
            <w:webHidden/>
          </w:rPr>
          <w:t>13</w:t>
        </w:r>
        <w:r>
          <w:rPr>
            <w:rStyle w:val="Hyperlink"/>
            <w:noProof/>
            <w:webHidden/>
          </w:rPr>
          <w:fldChar w:fldCharType="end"/>
        </w:r>
      </w:hyperlink>
    </w:p>
    <w:p>
      <w:pPr>
        <w:pStyle w:val="TOC2"/>
        <w:rPr>
          <w:rFonts w:asciiTheme="minorHAnsi" w:eastAsiaTheme="minorEastAsia" w:hAnsiTheme="minorHAnsi" w:cstheme="minorBidi"/>
          <w:noProof/>
        </w:rPr>
      </w:pPr>
      <w:hyperlink w:anchor="_Toc229149820" w:history="1">
        <w:r>
          <w:rPr>
            <w:rStyle w:val="Hyperlink"/>
            <w:noProof/>
          </w:rPr>
          <w:t>4.3.</w:t>
        </w:r>
        <w:r>
          <w:rPr>
            <w:rStyle w:val="Hyperlink"/>
            <w:noProof/>
          </w:rPr>
          <w:tab/>
          <w:t>Application du titre IV, chapitre III, du règlement (UE) 2021/2116 (contrôle des opérations)</w:t>
        </w:r>
        <w:r>
          <w:rPr>
            <w:rStyle w:val="Hyperlink"/>
            <w:noProof/>
          </w:rPr>
          <w:tab/>
        </w:r>
        <w:r>
          <w:rPr>
            <w:rStyle w:val="Hyperlink"/>
            <w:noProof/>
            <w:webHidden/>
          </w:rPr>
          <w:fldChar w:fldCharType="begin"/>
        </w:r>
        <w:r>
          <w:rPr>
            <w:rStyle w:val="Hyperlink"/>
            <w:noProof/>
            <w:webHidden/>
          </w:rPr>
          <w:instrText xml:space="preserve"> PAGEREF _Toc229149820 \h </w:instrText>
        </w:r>
        <w:r>
          <w:rPr>
            <w:rStyle w:val="Hyperlink"/>
            <w:noProof/>
            <w:webHidden/>
          </w:rPr>
        </w:r>
        <w:r>
          <w:rPr>
            <w:rStyle w:val="Hyperlink"/>
            <w:noProof/>
            <w:webHidden/>
          </w:rPr>
          <w:fldChar w:fldCharType="separate"/>
        </w:r>
        <w:r>
          <w:rPr>
            <w:rStyle w:val="Hyperlink"/>
            <w:noProof/>
            <w:webHidden/>
          </w:rPr>
          <w:t>13</w:t>
        </w:r>
        <w:r>
          <w:rPr>
            <w:rStyle w:val="Hyperlink"/>
            <w:noProof/>
            <w:webHidden/>
          </w:rPr>
          <w:fldChar w:fldCharType="end"/>
        </w:r>
      </w:hyperlink>
    </w:p>
    <w:p>
      <w:pPr>
        <w:pStyle w:val="TOC1"/>
        <w:rPr>
          <w:rFonts w:asciiTheme="minorHAnsi" w:eastAsiaTheme="minorEastAsia" w:hAnsiTheme="minorHAnsi" w:cstheme="minorBidi"/>
          <w:noProof/>
        </w:rPr>
      </w:pPr>
      <w:hyperlink w:anchor="_Toc229149821" w:history="1">
        <w:r>
          <w:rPr>
            <w:rStyle w:val="Hyperlink"/>
            <w:noProof/>
          </w:rPr>
          <w:t>5.</w:t>
        </w:r>
        <w:r>
          <w:rPr>
            <w:rStyle w:val="Hyperlink"/>
            <w:noProof/>
          </w:rPr>
          <w:tab/>
          <w:t>APUREMENT COMPTABLE</w:t>
        </w:r>
        <w:r>
          <w:rPr>
            <w:rStyle w:val="Hyperlink"/>
            <w:noProof/>
          </w:rPr>
          <w:tab/>
        </w:r>
        <w:r>
          <w:rPr>
            <w:rStyle w:val="Hyperlink"/>
            <w:noProof/>
            <w:webHidden/>
          </w:rPr>
          <w:fldChar w:fldCharType="begin"/>
        </w:r>
        <w:r>
          <w:rPr>
            <w:rStyle w:val="Hyperlink"/>
            <w:noProof/>
            <w:webHidden/>
          </w:rPr>
          <w:instrText xml:space="preserve"> PAGEREF _Toc229149821 \h </w:instrText>
        </w:r>
        <w:r>
          <w:rPr>
            <w:rStyle w:val="Hyperlink"/>
            <w:noProof/>
            <w:webHidden/>
          </w:rPr>
        </w:r>
        <w:r>
          <w:rPr>
            <w:rStyle w:val="Hyperlink"/>
            <w:noProof/>
            <w:webHidden/>
          </w:rPr>
          <w:fldChar w:fldCharType="separate"/>
        </w:r>
        <w:r>
          <w:rPr>
            <w:rStyle w:val="Hyperlink"/>
            <w:noProof/>
            <w:webHidden/>
          </w:rPr>
          <w:t>14</w:t>
        </w:r>
        <w:r>
          <w:rPr>
            <w:rStyle w:val="Hyperlink"/>
            <w:noProof/>
            <w:webHidden/>
          </w:rPr>
          <w:fldChar w:fldCharType="end"/>
        </w:r>
      </w:hyperlink>
    </w:p>
    <w:p>
      <w:pPr>
        <w:pStyle w:val="TOC2"/>
        <w:rPr>
          <w:rFonts w:asciiTheme="minorHAnsi" w:eastAsiaTheme="minorEastAsia" w:hAnsiTheme="minorHAnsi" w:cstheme="minorBidi"/>
          <w:noProof/>
        </w:rPr>
      </w:pPr>
      <w:hyperlink w:anchor="_Toc229149822" w:history="1">
        <w:r>
          <w:rPr>
            <w:rStyle w:val="Hyperlink"/>
            <w:noProof/>
          </w:rPr>
          <w:t>5.1.</w:t>
        </w:r>
        <w:r>
          <w:rPr>
            <w:noProof/>
          </w:rPr>
          <w:tab/>
        </w:r>
        <w:r>
          <w:rPr>
            <w:rStyle w:val="Hyperlink"/>
            <w:noProof/>
          </w:rPr>
          <w:t>Apurement de conformité</w:t>
        </w:r>
        <w:r>
          <w:rPr>
            <w:noProof/>
          </w:rPr>
          <w:tab/>
        </w:r>
        <w:r>
          <w:rPr>
            <w:noProof/>
            <w:webHidden/>
          </w:rPr>
          <w:fldChar w:fldCharType="begin"/>
        </w:r>
        <w:r>
          <w:rPr>
            <w:noProof/>
            <w:webHidden/>
          </w:rPr>
          <w:instrText xml:space="preserve"> PAGEREF _Toc229149822 \h </w:instrText>
        </w:r>
        <w:r>
          <w:rPr>
            <w:noProof/>
            <w:webHidden/>
          </w:rPr>
        </w:r>
        <w:r>
          <w:rPr>
            <w:noProof/>
            <w:webHidden/>
          </w:rPr>
          <w:fldChar w:fldCharType="separate"/>
        </w:r>
        <w:r>
          <w:rPr>
            <w:noProof/>
            <w:webHidden/>
          </w:rPr>
          <w:t>14</w:t>
        </w:r>
        <w:r>
          <w:rPr>
            <w:noProof/>
            <w:webHidden/>
          </w:rPr>
          <w:fldChar w:fldCharType="end"/>
        </w:r>
      </w:hyperlink>
    </w:p>
    <w:p>
      <w:pPr>
        <w:pStyle w:val="TOC2"/>
        <w:rPr>
          <w:rFonts w:asciiTheme="minorHAnsi" w:eastAsiaTheme="minorEastAsia" w:hAnsiTheme="minorHAnsi" w:cstheme="minorBidi"/>
          <w:noProof/>
        </w:rPr>
      </w:pPr>
      <w:hyperlink w:anchor="_Toc229149823" w:history="1">
        <w:r>
          <w:rPr>
            <w:rStyle w:val="Hyperlink"/>
            <w:noProof/>
          </w:rPr>
          <w:t>5.2.</w:t>
        </w:r>
        <w:r>
          <w:rPr>
            <w:noProof/>
          </w:rPr>
          <w:tab/>
        </w:r>
        <w:r>
          <w:rPr>
            <w:rStyle w:val="Hyperlink"/>
            <w:noProof/>
          </w:rPr>
          <w:t>Apurement comptable</w:t>
        </w:r>
        <w:r>
          <w:rPr>
            <w:noProof/>
          </w:rPr>
          <w:tab/>
        </w:r>
        <w:r>
          <w:rPr>
            <w:noProof/>
            <w:webHidden/>
          </w:rPr>
          <w:fldChar w:fldCharType="begin"/>
        </w:r>
        <w:r>
          <w:rPr>
            <w:noProof/>
            <w:webHidden/>
          </w:rPr>
          <w:instrText xml:space="preserve"> PAGEREF _Toc229149823 \h </w:instrText>
        </w:r>
        <w:r>
          <w:rPr>
            <w:noProof/>
            <w:webHidden/>
          </w:rPr>
        </w:r>
        <w:r>
          <w:rPr>
            <w:noProof/>
            <w:webHidden/>
          </w:rPr>
          <w:fldChar w:fldCharType="separate"/>
        </w:r>
        <w:r>
          <w:rPr>
            <w:noProof/>
            <w:webHidden/>
          </w:rPr>
          <w:t>15</w:t>
        </w:r>
        <w:r>
          <w:rPr>
            <w:noProof/>
            <w:webHidden/>
          </w:rPr>
          <w:fldChar w:fldCharType="end"/>
        </w:r>
      </w:hyperlink>
    </w:p>
    <w:p>
      <w:pPr>
        <w:pStyle w:val="TOC2"/>
        <w:rPr>
          <w:rFonts w:asciiTheme="minorHAnsi" w:eastAsiaTheme="minorEastAsia" w:hAnsiTheme="minorHAnsi" w:cstheme="minorBidi"/>
          <w:noProof/>
        </w:rPr>
      </w:pPr>
      <w:hyperlink w:anchor="_Toc229149824" w:history="1">
        <w:r>
          <w:rPr>
            <w:rStyle w:val="Hyperlink"/>
            <w:noProof/>
          </w:rPr>
          <w:t>5.3.</w:t>
        </w:r>
        <w:r>
          <w:rPr>
            <w:rStyle w:val="Hyperlink"/>
            <w:noProof/>
          </w:rPr>
          <w:tab/>
          <w:t>Recours introduits devant la Cour de justice de l’Union européenne contre des décisions d’apurement</w:t>
        </w:r>
        <w:r>
          <w:rPr>
            <w:rStyle w:val="Hyperlink"/>
            <w:noProof/>
          </w:rPr>
          <w:tab/>
        </w:r>
        <w:r>
          <w:rPr>
            <w:rStyle w:val="Hyperlink"/>
            <w:noProof/>
            <w:webHidden/>
          </w:rPr>
          <w:fldChar w:fldCharType="begin"/>
        </w:r>
        <w:r>
          <w:rPr>
            <w:rStyle w:val="Hyperlink"/>
            <w:noProof/>
            <w:webHidden/>
          </w:rPr>
          <w:instrText xml:space="preserve"> PAGEREF _Toc229149824 \h </w:instrText>
        </w:r>
        <w:r>
          <w:rPr>
            <w:rStyle w:val="Hyperlink"/>
            <w:noProof/>
            <w:webHidden/>
          </w:rPr>
        </w:r>
        <w:r>
          <w:rPr>
            <w:rStyle w:val="Hyperlink"/>
            <w:noProof/>
            <w:webHidden/>
          </w:rPr>
          <w:fldChar w:fldCharType="separate"/>
        </w:r>
        <w:r>
          <w:rPr>
            <w:rStyle w:val="Hyperlink"/>
            <w:noProof/>
            <w:webHidden/>
          </w:rPr>
          <w:t>16</w:t>
        </w:r>
        <w:r>
          <w:rPr>
            <w:rStyle w:val="Hyperlink"/>
            <w:noProof/>
            <w:webHidden/>
          </w:rPr>
          <w:fldChar w:fldCharType="end"/>
        </w:r>
      </w:hyperlink>
    </w:p>
    <w:p>
      <w:pPr>
        <w:pStyle w:val="TOC1"/>
        <w:rPr>
          <w:rFonts w:asciiTheme="minorHAnsi" w:eastAsiaTheme="minorEastAsia" w:hAnsiTheme="minorHAnsi" w:cstheme="minorBidi"/>
          <w:noProof/>
        </w:rPr>
      </w:pPr>
      <w:hyperlink w:anchor="_Toc229149825" w:history="1">
        <w:r>
          <w:rPr>
            <w:rStyle w:val="Hyperlink"/>
            <w:noProof/>
          </w:rPr>
          <w:t>6.</w:t>
        </w:r>
        <w:r>
          <w:rPr>
            <w:rStyle w:val="Hyperlink"/>
            <w:noProof/>
          </w:rPr>
          <w:tab/>
          <w:t>RELATIONS AVEC LE PARLEMENT ET AVEC LA COUR DES COMPTES</w:t>
        </w:r>
        <w:r>
          <w:rPr>
            <w:rStyle w:val="Hyperlink"/>
            <w:noProof/>
          </w:rPr>
          <w:tab/>
        </w:r>
        <w:r>
          <w:rPr>
            <w:rStyle w:val="Hyperlink"/>
            <w:noProof/>
            <w:webHidden/>
          </w:rPr>
          <w:fldChar w:fldCharType="begin"/>
        </w:r>
        <w:r>
          <w:rPr>
            <w:rStyle w:val="Hyperlink"/>
            <w:noProof/>
            <w:webHidden/>
          </w:rPr>
          <w:instrText xml:space="preserve"> PAGEREF _Toc229149825 \h </w:instrText>
        </w:r>
        <w:r>
          <w:rPr>
            <w:rStyle w:val="Hyperlink"/>
            <w:noProof/>
            <w:webHidden/>
          </w:rPr>
        </w:r>
        <w:r>
          <w:rPr>
            <w:rStyle w:val="Hyperlink"/>
            <w:noProof/>
            <w:webHidden/>
          </w:rPr>
          <w:fldChar w:fldCharType="separate"/>
        </w:r>
        <w:r>
          <w:rPr>
            <w:rStyle w:val="Hyperlink"/>
            <w:noProof/>
            <w:webHidden/>
          </w:rPr>
          <w:t>17</w:t>
        </w:r>
        <w:r>
          <w:rPr>
            <w:rStyle w:val="Hyperlink"/>
            <w:noProof/>
            <w:webHidden/>
          </w:rPr>
          <w:fldChar w:fldCharType="end"/>
        </w:r>
      </w:hyperlink>
    </w:p>
    <w:p>
      <w:pPr>
        <w:pStyle w:val="TOC2"/>
        <w:rPr>
          <w:rFonts w:asciiTheme="minorHAnsi" w:eastAsiaTheme="minorEastAsia" w:hAnsiTheme="minorHAnsi" w:cstheme="minorBidi"/>
          <w:noProof/>
        </w:rPr>
      </w:pPr>
      <w:hyperlink w:anchor="_Toc229149826" w:history="1">
        <w:r>
          <w:rPr>
            <w:rStyle w:val="Hyperlink"/>
            <w:noProof/>
          </w:rPr>
          <w:t>6.1.</w:t>
        </w:r>
        <w:r>
          <w:rPr>
            <w:noProof/>
          </w:rPr>
          <w:tab/>
        </w:r>
        <w:r>
          <w:rPr>
            <w:rStyle w:val="Hyperlink"/>
            <w:noProof/>
          </w:rPr>
          <w:t>Relations avec le Parlement</w:t>
        </w:r>
        <w:r>
          <w:rPr>
            <w:noProof/>
          </w:rPr>
          <w:tab/>
        </w:r>
        <w:r>
          <w:rPr>
            <w:noProof/>
            <w:webHidden/>
          </w:rPr>
          <w:fldChar w:fldCharType="begin"/>
        </w:r>
        <w:r>
          <w:rPr>
            <w:noProof/>
            <w:webHidden/>
          </w:rPr>
          <w:instrText xml:space="preserve"> PAGEREF _Toc229149826 \h </w:instrText>
        </w:r>
        <w:r>
          <w:rPr>
            <w:noProof/>
            <w:webHidden/>
          </w:rPr>
        </w:r>
        <w:r>
          <w:rPr>
            <w:noProof/>
            <w:webHidden/>
          </w:rPr>
          <w:fldChar w:fldCharType="separate"/>
        </w:r>
        <w:r>
          <w:rPr>
            <w:noProof/>
            <w:webHidden/>
          </w:rPr>
          <w:t>17</w:t>
        </w:r>
        <w:r>
          <w:rPr>
            <w:noProof/>
            <w:webHidden/>
          </w:rPr>
          <w:fldChar w:fldCharType="end"/>
        </w:r>
      </w:hyperlink>
    </w:p>
    <w:p>
      <w:pPr>
        <w:pStyle w:val="TOC2"/>
        <w:rPr>
          <w:rFonts w:asciiTheme="minorHAnsi" w:eastAsiaTheme="minorEastAsia" w:hAnsiTheme="minorHAnsi" w:cstheme="minorBidi"/>
          <w:noProof/>
        </w:rPr>
      </w:pPr>
      <w:hyperlink w:anchor="_Toc229149827" w:history="1">
        <w:r>
          <w:rPr>
            <w:rStyle w:val="Hyperlink"/>
            <w:noProof/>
          </w:rPr>
          <w:t>6.2.</w:t>
        </w:r>
        <w:r>
          <w:rPr>
            <w:noProof/>
          </w:rPr>
          <w:tab/>
        </w:r>
        <w:r>
          <w:rPr>
            <w:rStyle w:val="Hyperlink"/>
            <w:noProof/>
          </w:rPr>
          <w:t>Relations avec la Cour des comptes européenne</w:t>
        </w:r>
        <w:r>
          <w:rPr>
            <w:noProof/>
          </w:rPr>
          <w:tab/>
        </w:r>
        <w:r>
          <w:rPr>
            <w:noProof/>
            <w:webHidden/>
          </w:rPr>
          <w:fldChar w:fldCharType="begin"/>
        </w:r>
        <w:r>
          <w:rPr>
            <w:noProof/>
            <w:webHidden/>
          </w:rPr>
          <w:instrText xml:space="preserve"> PAGEREF _Toc229149827 \h </w:instrText>
        </w:r>
        <w:r>
          <w:rPr>
            <w:noProof/>
            <w:webHidden/>
          </w:rPr>
        </w:r>
        <w:r>
          <w:rPr>
            <w:noProof/>
            <w:webHidden/>
          </w:rPr>
          <w:fldChar w:fldCharType="separate"/>
        </w:r>
        <w:r>
          <w:rPr>
            <w:noProof/>
            <w:webHidden/>
          </w:rPr>
          <w:t>17</w:t>
        </w:r>
        <w:r>
          <w:rPr>
            <w:noProof/>
            <w:webHidden/>
          </w:rPr>
          <w:fldChar w:fldCharType="end"/>
        </w:r>
      </w:hyperlink>
    </w:p>
    <w:p>
      <w:pPr>
        <w:pStyle w:val="TOC1"/>
        <w:rPr>
          <w:noProof/>
        </w:rPr>
      </w:pPr>
      <w:r>
        <w:rPr>
          <w:noProof/>
        </w:rPr>
        <w:fldChar w:fldCharType="end"/>
      </w:r>
    </w:p>
    <w:p>
      <w:pPr>
        <w:pStyle w:val="TOCHeading"/>
        <w:rPr>
          <w:noProof/>
        </w:rPr>
        <w:sectPr>
          <w:headerReference w:type="even" r:id="rId15"/>
          <w:headerReference w:type="default" r:id="rId16"/>
          <w:footerReference w:type="even" r:id="rId17"/>
          <w:footerReference w:type="default" r:id="rId18"/>
          <w:headerReference w:type="first" r:id="rId19"/>
          <w:footerReference w:type="first" r:id="rId20"/>
          <w:pgSz w:w="11906" w:h="16838" w:code="9"/>
          <w:pgMar w:top="1106" w:right="1389" w:bottom="1077" w:left="1389" w:header="680" w:footer="624" w:gutter="0"/>
          <w:pgNumType w:start="1"/>
          <w:cols w:space="720"/>
          <w:docGrid w:linePitch="326"/>
        </w:sectPr>
      </w:pPr>
    </w:p>
    <w:p>
      <w:pPr>
        <w:pStyle w:val="ManualHeading1"/>
        <w:spacing w:after="160"/>
        <w:ind w:left="851" w:hanging="851"/>
        <w:rPr>
          <w:noProof/>
          <w:color w:val="FF0000"/>
        </w:rPr>
      </w:pPr>
      <w:bookmarkStart w:id="1" w:name="_Toc322938550"/>
      <w:bookmarkStart w:id="2" w:name="_Toc102661828"/>
      <w:bookmarkStart w:id="3" w:name="_Toc105773176"/>
      <w:bookmarkStart w:id="4" w:name="_Toc229149802"/>
      <w:r>
        <w:rPr>
          <w:noProof/>
        </w:rPr>
        <w:lastRenderedPageBreak/>
        <w:t>1.</w:t>
      </w:r>
      <w:r>
        <w:rPr>
          <w:noProof/>
        </w:rPr>
        <w:tab/>
        <w:t>PROCÉDURE BUDGÉTAIRE</w:t>
      </w:r>
      <w:bookmarkEnd w:id="1"/>
      <w:bookmarkEnd w:id="2"/>
      <w:bookmarkEnd w:id="3"/>
      <w:bookmarkEnd w:id="4"/>
      <w:r>
        <w:rPr>
          <w:noProof/>
        </w:rPr>
        <w:t xml:space="preserve"> </w:t>
      </w:r>
    </w:p>
    <w:p>
      <w:pPr>
        <w:pStyle w:val="Text1"/>
      </w:pPr>
      <w:r>
        <w:t xml:space="preserve">La réforme de la PAC pour la période 2023-2027 a introduit une approche stratégique et un nouveau modèle de mise en œuvre fondé sur les performances et les résultats. Elle consolide largement les deux fonds existants – le Fonds européen agricole de garantie (FEAGA) et le Fonds européen agricole pour le développement rural (Feader) – dans le cadre unique des plans stratégiques relevant de la PAC couvrant le financement de l’aide au revenu, du développement rural et du soutien à certains secteurs. </w:t>
      </w:r>
    </w:p>
    <w:p>
      <w:pPr>
        <w:pStyle w:val="ManualHeading2"/>
        <w:spacing w:before="360" w:after="160"/>
        <w:ind w:left="851" w:hanging="851"/>
        <w:rPr>
          <w:noProof/>
        </w:rPr>
      </w:pPr>
      <w:bookmarkStart w:id="5" w:name="_Toc322938551"/>
      <w:bookmarkStart w:id="6" w:name="_Toc102661829"/>
      <w:bookmarkStart w:id="7" w:name="_Toc105773177"/>
      <w:bookmarkStart w:id="8" w:name="_Toc229149803"/>
      <w:r>
        <w:rPr>
          <w:noProof/>
        </w:rPr>
        <w:t>1.1</w:t>
      </w:r>
      <w:r>
        <w:rPr>
          <w:noProof/>
        </w:rPr>
        <w:tab/>
        <w:t>Cadre financier 2021-2027</w:t>
      </w:r>
      <w:bookmarkEnd w:id="5"/>
      <w:bookmarkEnd w:id="6"/>
      <w:bookmarkEnd w:id="7"/>
      <w:bookmarkEnd w:id="8"/>
      <w:r>
        <w:rPr>
          <w:noProof/>
        </w:rPr>
        <w:t xml:space="preserve"> </w:t>
      </w:r>
    </w:p>
    <w:p>
      <w:pPr>
        <w:pStyle w:val="Text1"/>
      </w:pPr>
      <w:r>
        <w:t>Le financement des dépenses de la politique agricole commune (PAC) relève du cadre financier pluriannuel pour les années 2021-2027 conformément au règlement du Conseil (UE, Euratom) 2020/2093</w:t>
      </w:r>
      <w:r>
        <w:rPr>
          <w:vertAlign w:val="superscript"/>
        </w:rPr>
        <w:footnoteReference w:id="1"/>
      </w:r>
      <w:r>
        <w:t>. Plus précisément, les dépenses de la PAC font partie du plafond fixé pour la rubrique 3 - Ressources naturelles et environnement. Dans ce plafond global, un sous-plafond spécifique a été fixé pour les dépenses relatives au marché et les paiements directs financés par le FEAGA.</w:t>
      </w:r>
    </w:p>
    <w:p>
      <w:pPr>
        <w:pStyle w:val="Text1"/>
      </w:pPr>
      <w:r>
        <w:t>Le sous-plafond du FEAGA a été ajusté à la suite de la décision de certains États membres de transférer certains montants depuis les paiements directs vers le développement rural financé par le Feader ou depuis le développement rural vers les paiements directs. En outre, certains ajustements ont été effectués dans le cadre de la révision à mi-parcours du CFP en 2024, comme le prévoit le règlement (UE, Euratom) 2024/765 du Conseil</w:t>
      </w:r>
      <w:r>
        <w:rPr>
          <w:rStyle w:val="FootnoteReference"/>
        </w:rPr>
        <w:footnoteReference w:id="2"/>
      </w:r>
      <w:r>
        <w:t>. Par conséquent, sur la base du règlement d’exécution (UE) 2021/128 de la Commission</w:t>
      </w:r>
      <w:r>
        <w:rPr>
          <w:vertAlign w:val="superscript"/>
        </w:rPr>
        <w:footnoteReference w:id="3"/>
      </w:r>
      <w:r>
        <w:t xml:space="preserve"> fixant le solde net disponible pour les dépenses du FEAGA et ses modifications ultérieures, les montants de la PAC inclus dans la rubrique 3 du cadre financier pluriannuel (2021-2027) sont les suivants:</w:t>
      </w:r>
    </w:p>
    <w:p>
      <w:pPr>
        <w:pStyle w:val="Text1"/>
      </w:pPr>
    </w:p>
    <w:p>
      <w:pPr>
        <w:pStyle w:val="Text1"/>
        <w:rPr>
          <w:i/>
          <w:iCs/>
        </w:rPr>
      </w:pPr>
      <w:r>
        <w:t xml:space="preserve">Tableau 1                                                                     </w:t>
      </w:r>
      <w:r>
        <w:rPr>
          <w:i/>
        </w:rPr>
        <w:t>(en millions d’EUR; prix courants)</w:t>
      </w:r>
    </w:p>
    <w:tbl>
      <w:tblPr>
        <w:tblpPr w:leftFromText="180" w:rightFromText="180" w:vertAnchor="text" w:horzAnchor="page" w:tblpX="1351" w:tblpY="37"/>
        <w:tblW w:w="10286" w:type="dxa"/>
        <w:tblLook w:val="04A0" w:firstRow="1" w:lastRow="0" w:firstColumn="1" w:lastColumn="0" w:noHBand="0" w:noVBand="1"/>
      </w:tblPr>
      <w:tblGrid>
        <w:gridCol w:w="2880"/>
        <w:gridCol w:w="1026"/>
        <w:gridCol w:w="1078"/>
        <w:gridCol w:w="1007"/>
        <w:gridCol w:w="1167"/>
        <w:gridCol w:w="1027"/>
        <w:gridCol w:w="1045"/>
        <w:gridCol w:w="1056"/>
      </w:tblGrid>
      <w:tr>
        <w:trPr>
          <w:trHeight w:val="300"/>
        </w:trPr>
        <w:tc>
          <w:tcPr>
            <w:tcW w:w="2880" w:type="dxa"/>
            <w:tcBorders>
              <w:top w:val="double" w:sz="6" w:space="0" w:color="auto"/>
              <w:left w:val="double" w:sz="6" w:space="0" w:color="auto"/>
              <w:bottom w:val="single" w:sz="8" w:space="0" w:color="auto"/>
              <w:right w:val="single" w:sz="8" w:space="0" w:color="000000" w:themeColor="text1"/>
            </w:tcBorders>
            <w:shd w:val="clear" w:color="auto" w:fill="99CC00"/>
            <w:vAlign w:val="center"/>
            <w:hideMark/>
          </w:tcPr>
          <w:p>
            <w:pPr>
              <w:rPr>
                <w:b/>
                <w:bCs/>
                <w:noProof/>
                <w:color w:val="000000"/>
                <w:sz w:val="20"/>
                <w:szCs w:val="20"/>
              </w:rPr>
            </w:pPr>
            <w:r>
              <w:rPr>
                <w:b/>
                <w:noProof/>
                <w:color w:val="000000"/>
                <w:sz w:val="20"/>
              </w:rPr>
              <w:t xml:space="preserve">Rubrique 3* </w:t>
            </w:r>
          </w:p>
        </w:tc>
        <w:tc>
          <w:tcPr>
            <w:tcW w:w="1026" w:type="dxa"/>
            <w:tcBorders>
              <w:top w:val="double" w:sz="6" w:space="0" w:color="auto"/>
              <w:left w:val="nil"/>
              <w:bottom w:val="single" w:sz="8" w:space="0" w:color="auto"/>
              <w:right w:val="single" w:sz="8" w:space="0" w:color="auto"/>
            </w:tcBorders>
            <w:shd w:val="clear" w:color="auto" w:fill="99CC00"/>
            <w:vAlign w:val="center"/>
            <w:hideMark/>
          </w:tcPr>
          <w:p>
            <w:pPr>
              <w:jc w:val="center"/>
              <w:rPr>
                <w:noProof/>
                <w:color w:val="000000"/>
                <w:sz w:val="20"/>
                <w:szCs w:val="20"/>
              </w:rPr>
            </w:pPr>
            <w:r>
              <w:rPr>
                <w:noProof/>
                <w:color w:val="000000"/>
                <w:sz w:val="20"/>
              </w:rPr>
              <w:t>2021</w:t>
            </w:r>
          </w:p>
        </w:tc>
        <w:tc>
          <w:tcPr>
            <w:tcW w:w="1078" w:type="dxa"/>
            <w:tcBorders>
              <w:top w:val="double" w:sz="6" w:space="0" w:color="auto"/>
              <w:left w:val="nil"/>
              <w:bottom w:val="single" w:sz="8" w:space="0" w:color="auto"/>
              <w:right w:val="single" w:sz="8" w:space="0" w:color="auto"/>
            </w:tcBorders>
            <w:shd w:val="clear" w:color="auto" w:fill="99CC00"/>
            <w:vAlign w:val="center"/>
            <w:hideMark/>
          </w:tcPr>
          <w:p>
            <w:pPr>
              <w:jc w:val="center"/>
              <w:rPr>
                <w:noProof/>
                <w:color w:val="000000"/>
                <w:sz w:val="20"/>
                <w:szCs w:val="20"/>
              </w:rPr>
            </w:pPr>
            <w:r>
              <w:rPr>
                <w:noProof/>
                <w:color w:val="000000"/>
                <w:sz w:val="20"/>
              </w:rPr>
              <w:t>2022</w:t>
            </w:r>
          </w:p>
        </w:tc>
        <w:tc>
          <w:tcPr>
            <w:tcW w:w="1007" w:type="dxa"/>
            <w:tcBorders>
              <w:top w:val="double" w:sz="6" w:space="0" w:color="auto"/>
              <w:left w:val="nil"/>
              <w:bottom w:val="single" w:sz="8" w:space="0" w:color="auto"/>
              <w:right w:val="single" w:sz="8" w:space="0" w:color="auto"/>
            </w:tcBorders>
            <w:shd w:val="clear" w:color="auto" w:fill="99CC00"/>
            <w:vAlign w:val="center"/>
            <w:hideMark/>
          </w:tcPr>
          <w:p>
            <w:pPr>
              <w:jc w:val="center"/>
              <w:rPr>
                <w:noProof/>
                <w:color w:val="000000"/>
                <w:sz w:val="20"/>
                <w:szCs w:val="20"/>
              </w:rPr>
            </w:pPr>
            <w:r>
              <w:rPr>
                <w:noProof/>
                <w:color w:val="000000"/>
                <w:sz w:val="20"/>
              </w:rPr>
              <w:t>2023</w:t>
            </w:r>
          </w:p>
        </w:tc>
        <w:tc>
          <w:tcPr>
            <w:tcW w:w="1167" w:type="dxa"/>
            <w:tcBorders>
              <w:top w:val="double" w:sz="6" w:space="0" w:color="auto"/>
              <w:left w:val="nil"/>
              <w:bottom w:val="single" w:sz="8" w:space="0" w:color="auto"/>
              <w:right w:val="single" w:sz="8" w:space="0" w:color="auto"/>
            </w:tcBorders>
            <w:shd w:val="clear" w:color="auto" w:fill="99CC00"/>
            <w:vAlign w:val="center"/>
            <w:hideMark/>
          </w:tcPr>
          <w:p>
            <w:pPr>
              <w:jc w:val="center"/>
              <w:rPr>
                <w:noProof/>
                <w:color w:val="000000"/>
                <w:sz w:val="20"/>
                <w:szCs w:val="20"/>
              </w:rPr>
            </w:pPr>
            <w:r>
              <w:rPr>
                <w:noProof/>
                <w:color w:val="000000"/>
                <w:sz w:val="20"/>
              </w:rPr>
              <w:t>2024</w:t>
            </w:r>
          </w:p>
        </w:tc>
        <w:tc>
          <w:tcPr>
            <w:tcW w:w="1027" w:type="dxa"/>
            <w:tcBorders>
              <w:top w:val="double" w:sz="6" w:space="0" w:color="auto"/>
              <w:left w:val="nil"/>
              <w:bottom w:val="single" w:sz="8" w:space="0" w:color="auto"/>
              <w:right w:val="single" w:sz="8" w:space="0" w:color="auto"/>
            </w:tcBorders>
            <w:shd w:val="clear" w:color="auto" w:fill="99CC00"/>
            <w:vAlign w:val="center"/>
            <w:hideMark/>
          </w:tcPr>
          <w:p>
            <w:pPr>
              <w:jc w:val="center"/>
              <w:rPr>
                <w:noProof/>
                <w:color w:val="000000"/>
                <w:sz w:val="20"/>
                <w:szCs w:val="20"/>
              </w:rPr>
            </w:pPr>
            <w:r>
              <w:rPr>
                <w:noProof/>
                <w:color w:val="000000"/>
                <w:sz w:val="20"/>
              </w:rPr>
              <w:t>2025</w:t>
            </w:r>
          </w:p>
        </w:tc>
        <w:tc>
          <w:tcPr>
            <w:tcW w:w="1045" w:type="dxa"/>
            <w:tcBorders>
              <w:top w:val="double" w:sz="6" w:space="0" w:color="auto"/>
              <w:left w:val="nil"/>
              <w:bottom w:val="single" w:sz="8" w:space="0" w:color="auto"/>
              <w:right w:val="single" w:sz="8" w:space="0" w:color="auto"/>
            </w:tcBorders>
            <w:shd w:val="clear" w:color="auto" w:fill="99CC00"/>
            <w:vAlign w:val="center"/>
            <w:hideMark/>
          </w:tcPr>
          <w:p>
            <w:pPr>
              <w:jc w:val="center"/>
              <w:rPr>
                <w:noProof/>
                <w:color w:val="000000"/>
                <w:sz w:val="20"/>
                <w:szCs w:val="20"/>
              </w:rPr>
            </w:pPr>
            <w:r>
              <w:rPr>
                <w:noProof/>
                <w:color w:val="000000"/>
                <w:sz w:val="20"/>
              </w:rPr>
              <w:t>2026</w:t>
            </w:r>
          </w:p>
        </w:tc>
        <w:tc>
          <w:tcPr>
            <w:tcW w:w="1056" w:type="dxa"/>
            <w:tcBorders>
              <w:top w:val="double" w:sz="6" w:space="0" w:color="auto"/>
              <w:left w:val="nil"/>
              <w:bottom w:val="single" w:sz="8" w:space="0" w:color="auto"/>
              <w:right w:val="double" w:sz="6" w:space="0" w:color="auto"/>
            </w:tcBorders>
            <w:shd w:val="clear" w:color="auto" w:fill="99CC00"/>
            <w:vAlign w:val="center"/>
            <w:hideMark/>
          </w:tcPr>
          <w:p>
            <w:pPr>
              <w:jc w:val="center"/>
              <w:rPr>
                <w:noProof/>
                <w:color w:val="000000"/>
                <w:sz w:val="20"/>
                <w:szCs w:val="20"/>
              </w:rPr>
            </w:pPr>
            <w:r>
              <w:rPr>
                <w:noProof/>
                <w:color w:val="000000" w:themeColor="text1"/>
                <w:sz w:val="20"/>
              </w:rPr>
              <w:t>2027</w:t>
            </w:r>
          </w:p>
        </w:tc>
      </w:tr>
      <w:tr>
        <w:trPr>
          <w:trHeight w:val="300"/>
        </w:trPr>
        <w:tc>
          <w:tcPr>
            <w:tcW w:w="2880" w:type="dxa"/>
            <w:tcBorders>
              <w:top w:val="single" w:sz="8" w:space="0" w:color="auto"/>
              <w:left w:val="double" w:sz="6" w:space="0" w:color="auto"/>
              <w:bottom w:val="nil"/>
              <w:right w:val="single" w:sz="8" w:space="0" w:color="000000" w:themeColor="text1"/>
            </w:tcBorders>
            <w:vAlign w:val="center"/>
            <w:hideMark/>
          </w:tcPr>
          <w:p>
            <w:pPr>
              <w:rPr>
                <w:b/>
                <w:bCs/>
                <w:noProof/>
                <w:sz w:val="20"/>
                <w:szCs w:val="20"/>
              </w:rPr>
            </w:pPr>
            <w:r>
              <w:rPr>
                <w:b/>
                <w:noProof/>
                <w:sz w:val="20"/>
              </w:rPr>
              <w:t xml:space="preserve">Total </w:t>
            </w:r>
          </w:p>
        </w:tc>
        <w:tc>
          <w:tcPr>
            <w:tcW w:w="1026" w:type="dxa"/>
            <w:tcBorders>
              <w:top w:val="nil"/>
              <w:left w:val="nil"/>
              <w:bottom w:val="nil"/>
              <w:right w:val="single" w:sz="8" w:space="0" w:color="auto"/>
            </w:tcBorders>
            <w:vAlign w:val="center"/>
            <w:hideMark/>
          </w:tcPr>
          <w:p>
            <w:pPr>
              <w:jc w:val="center"/>
              <w:rPr>
                <w:b/>
                <w:bCs/>
                <w:noProof/>
                <w:sz w:val="18"/>
                <w:szCs w:val="18"/>
              </w:rPr>
            </w:pPr>
            <w:r>
              <w:rPr>
                <w:b/>
                <w:noProof/>
                <w:sz w:val="18"/>
              </w:rPr>
              <w:t>55 713,0</w:t>
            </w:r>
          </w:p>
        </w:tc>
        <w:tc>
          <w:tcPr>
            <w:tcW w:w="1078" w:type="dxa"/>
            <w:tcBorders>
              <w:top w:val="nil"/>
              <w:left w:val="nil"/>
              <w:bottom w:val="nil"/>
              <w:right w:val="single" w:sz="8" w:space="0" w:color="auto"/>
            </w:tcBorders>
            <w:vAlign w:val="center"/>
            <w:hideMark/>
          </w:tcPr>
          <w:p>
            <w:pPr>
              <w:jc w:val="center"/>
              <w:rPr>
                <w:b/>
                <w:bCs/>
                <w:noProof/>
                <w:sz w:val="18"/>
                <w:szCs w:val="18"/>
              </w:rPr>
            </w:pPr>
            <w:r>
              <w:rPr>
                <w:b/>
                <w:noProof/>
                <w:sz w:val="18"/>
              </w:rPr>
              <w:t>53 365,9</w:t>
            </w:r>
          </w:p>
        </w:tc>
        <w:tc>
          <w:tcPr>
            <w:tcW w:w="1007" w:type="dxa"/>
            <w:tcBorders>
              <w:top w:val="nil"/>
              <w:left w:val="nil"/>
              <w:bottom w:val="nil"/>
              <w:right w:val="single" w:sz="8" w:space="0" w:color="auto"/>
            </w:tcBorders>
            <w:vAlign w:val="center"/>
            <w:hideMark/>
          </w:tcPr>
          <w:p>
            <w:pPr>
              <w:jc w:val="center"/>
              <w:rPr>
                <w:b/>
                <w:bCs/>
                <w:noProof/>
                <w:sz w:val="18"/>
                <w:szCs w:val="18"/>
              </w:rPr>
            </w:pPr>
            <w:r>
              <w:rPr>
                <w:b/>
                <w:noProof/>
                <w:sz w:val="18"/>
              </w:rPr>
              <w:t>53 626,9</w:t>
            </w:r>
          </w:p>
        </w:tc>
        <w:tc>
          <w:tcPr>
            <w:tcW w:w="1167" w:type="dxa"/>
            <w:tcBorders>
              <w:top w:val="nil"/>
              <w:left w:val="nil"/>
              <w:bottom w:val="nil"/>
              <w:right w:val="single" w:sz="8" w:space="0" w:color="auto"/>
            </w:tcBorders>
            <w:vAlign w:val="center"/>
            <w:hideMark/>
          </w:tcPr>
          <w:p>
            <w:pPr>
              <w:jc w:val="center"/>
              <w:rPr>
                <w:b/>
                <w:bCs/>
                <w:noProof/>
                <w:sz w:val="18"/>
                <w:szCs w:val="18"/>
              </w:rPr>
            </w:pPr>
            <w:r>
              <w:rPr>
                <w:b/>
                <w:noProof/>
                <w:sz w:val="18"/>
              </w:rPr>
              <w:t>53 757,9</w:t>
            </w:r>
          </w:p>
        </w:tc>
        <w:tc>
          <w:tcPr>
            <w:tcW w:w="1027" w:type="dxa"/>
            <w:tcBorders>
              <w:top w:val="nil"/>
              <w:left w:val="nil"/>
              <w:bottom w:val="nil"/>
              <w:right w:val="single" w:sz="8" w:space="0" w:color="auto"/>
            </w:tcBorders>
            <w:vAlign w:val="center"/>
            <w:hideMark/>
          </w:tcPr>
          <w:p>
            <w:pPr>
              <w:jc w:val="center"/>
              <w:rPr>
                <w:b/>
                <w:bCs/>
                <w:noProof/>
                <w:sz w:val="18"/>
                <w:szCs w:val="18"/>
              </w:rPr>
            </w:pPr>
            <w:r>
              <w:rPr>
                <w:b/>
                <w:noProof/>
                <w:sz w:val="18"/>
              </w:rPr>
              <w:t>53 890,9</w:t>
            </w:r>
          </w:p>
        </w:tc>
        <w:tc>
          <w:tcPr>
            <w:tcW w:w="1045" w:type="dxa"/>
            <w:tcBorders>
              <w:top w:val="nil"/>
              <w:left w:val="nil"/>
              <w:bottom w:val="nil"/>
              <w:right w:val="single" w:sz="8" w:space="0" w:color="auto"/>
            </w:tcBorders>
            <w:vAlign w:val="center"/>
            <w:hideMark/>
          </w:tcPr>
          <w:p>
            <w:pPr>
              <w:jc w:val="center"/>
              <w:rPr>
                <w:b/>
                <w:bCs/>
                <w:noProof/>
                <w:sz w:val="18"/>
                <w:szCs w:val="18"/>
              </w:rPr>
            </w:pPr>
            <w:r>
              <w:rPr>
                <w:b/>
                <w:noProof/>
                <w:sz w:val="18"/>
              </w:rPr>
              <w:t>54 021,9</w:t>
            </w:r>
          </w:p>
        </w:tc>
        <w:tc>
          <w:tcPr>
            <w:tcW w:w="1056" w:type="dxa"/>
            <w:tcBorders>
              <w:top w:val="nil"/>
              <w:left w:val="nil"/>
              <w:bottom w:val="nil"/>
              <w:right w:val="double" w:sz="6" w:space="0" w:color="auto"/>
            </w:tcBorders>
            <w:vAlign w:val="center"/>
            <w:hideMark/>
          </w:tcPr>
          <w:p>
            <w:pPr>
              <w:jc w:val="center"/>
              <w:rPr>
                <w:b/>
                <w:bCs/>
                <w:noProof/>
                <w:sz w:val="18"/>
                <w:szCs w:val="18"/>
              </w:rPr>
            </w:pPr>
            <w:r>
              <w:rPr>
                <w:b/>
                <w:noProof/>
                <w:sz w:val="18"/>
              </w:rPr>
              <w:t>54 000,9</w:t>
            </w:r>
          </w:p>
        </w:tc>
      </w:tr>
      <w:tr>
        <w:trPr>
          <w:trHeight w:val="300"/>
        </w:trPr>
        <w:tc>
          <w:tcPr>
            <w:tcW w:w="2880" w:type="dxa"/>
            <w:tcBorders>
              <w:top w:val="nil"/>
              <w:left w:val="double" w:sz="6" w:space="0" w:color="auto"/>
              <w:bottom w:val="nil"/>
              <w:right w:val="single" w:sz="8" w:space="0" w:color="000000" w:themeColor="text1"/>
            </w:tcBorders>
            <w:vAlign w:val="center"/>
            <w:hideMark/>
          </w:tcPr>
          <w:p>
            <w:pPr>
              <w:rPr>
                <w:noProof/>
                <w:sz w:val="20"/>
                <w:szCs w:val="20"/>
              </w:rPr>
            </w:pPr>
            <w:r>
              <w:rPr>
                <w:noProof/>
                <w:sz w:val="20"/>
              </w:rPr>
              <w:t>dont:</w:t>
            </w:r>
          </w:p>
        </w:tc>
        <w:tc>
          <w:tcPr>
            <w:tcW w:w="1026" w:type="dxa"/>
            <w:tcBorders>
              <w:top w:val="nil"/>
              <w:left w:val="nil"/>
              <w:bottom w:val="nil"/>
              <w:right w:val="single" w:sz="8" w:space="0" w:color="auto"/>
            </w:tcBorders>
            <w:vAlign w:val="center"/>
            <w:hideMark/>
          </w:tcPr>
          <w:p>
            <w:pPr>
              <w:jc w:val="center"/>
              <w:rPr>
                <w:b/>
                <w:bCs/>
                <w:noProof/>
                <w:sz w:val="18"/>
                <w:szCs w:val="18"/>
              </w:rPr>
            </w:pPr>
            <w:r>
              <w:rPr>
                <w:b/>
                <w:noProof/>
                <w:sz w:val="18"/>
              </w:rPr>
              <w:t xml:space="preserve"> </w:t>
            </w:r>
          </w:p>
        </w:tc>
        <w:tc>
          <w:tcPr>
            <w:tcW w:w="1078" w:type="dxa"/>
            <w:tcBorders>
              <w:top w:val="nil"/>
              <w:left w:val="nil"/>
              <w:bottom w:val="nil"/>
              <w:right w:val="single" w:sz="8" w:space="0" w:color="auto"/>
            </w:tcBorders>
            <w:vAlign w:val="center"/>
            <w:hideMark/>
          </w:tcPr>
          <w:p>
            <w:pPr>
              <w:jc w:val="center"/>
              <w:rPr>
                <w:b/>
                <w:bCs/>
                <w:noProof/>
                <w:sz w:val="18"/>
                <w:szCs w:val="18"/>
              </w:rPr>
            </w:pPr>
            <w:r>
              <w:rPr>
                <w:b/>
                <w:noProof/>
                <w:sz w:val="18"/>
              </w:rPr>
              <w:t xml:space="preserve"> </w:t>
            </w:r>
          </w:p>
        </w:tc>
        <w:tc>
          <w:tcPr>
            <w:tcW w:w="1007" w:type="dxa"/>
            <w:tcBorders>
              <w:top w:val="nil"/>
              <w:left w:val="nil"/>
              <w:bottom w:val="nil"/>
              <w:right w:val="single" w:sz="8" w:space="0" w:color="auto"/>
            </w:tcBorders>
            <w:vAlign w:val="center"/>
            <w:hideMark/>
          </w:tcPr>
          <w:p>
            <w:pPr>
              <w:jc w:val="center"/>
              <w:rPr>
                <w:b/>
                <w:bCs/>
                <w:noProof/>
                <w:sz w:val="18"/>
                <w:szCs w:val="18"/>
              </w:rPr>
            </w:pPr>
            <w:r>
              <w:rPr>
                <w:b/>
                <w:noProof/>
                <w:sz w:val="18"/>
              </w:rPr>
              <w:t xml:space="preserve"> </w:t>
            </w:r>
          </w:p>
        </w:tc>
        <w:tc>
          <w:tcPr>
            <w:tcW w:w="1167" w:type="dxa"/>
            <w:tcBorders>
              <w:top w:val="nil"/>
              <w:left w:val="nil"/>
              <w:bottom w:val="nil"/>
              <w:right w:val="single" w:sz="8" w:space="0" w:color="auto"/>
            </w:tcBorders>
            <w:vAlign w:val="center"/>
            <w:hideMark/>
          </w:tcPr>
          <w:p>
            <w:pPr>
              <w:jc w:val="center"/>
              <w:rPr>
                <w:b/>
                <w:bCs/>
                <w:noProof/>
                <w:sz w:val="18"/>
                <w:szCs w:val="18"/>
              </w:rPr>
            </w:pPr>
            <w:r>
              <w:rPr>
                <w:b/>
                <w:noProof/>
                <w:sz w:val="18"/>
              </w:rPr>
              <w:t xml:space="preserve"> </w:t>
            </w:r>
          </w:p>
        </w:tc>
        <w:tc>
          <w:tcPr>
            <w:tcW w:w="1027" w:type="dxa"/>
            <w:tcBorders>
              <w:top w:val="nil"/>
              <w:left w:val="nil"/>
              <w:bottom w:val="nil"/>
              <w:right w:val="single" w:sz="8" w:space="0" w:color="auto"/>
            </w:tcBorders>
            <w:vAlign w:val="center"/>
            <w:hideMark/>
          </w:tcPr>
          <w:p>
            <w:pPr>
              <w:jc w:val="center"/>
              <w:rPr>
                <w:b/>
                <w:bCs/>
                <w:noProof/>
                <w:sz w:val="18"/>
                <w:szCs w:val="18"/>
              </w:rPr>
            </w:pPr>
            <w:r>
              <w:rPr>
                <w:b/>
                <w:noProof/>
                <w:sz w:val="18"/>
              </w:rPr>
              <w:t xml:space="preserve"> </w:t>
            </w:r>
          </w:p>
        </w:tc>
        <w:tc>
          <w:tcPr>
            <w:tcW w:w="1045" w:type="dxa"/>
            <w:tcBorders>
              <w:top w:val="nil"/>
              <w:left w:val="nil"/>
              <w:bottom w:val="nil"/>
              <w:right w:val="single" w:sz="8" w:space="0" w:color="auto"/>
            </w:tcBorders>
            <w:vAlign w:val="center"/>
            <w:hideMark/>
          </w:tcPr>
          <w:p>
            <w:pPr>
              <w:jc w:val="center"/>
              <w:rPr>
                <w:b/>
                <w:bCs/>
                <w:noProof/>
                <w:sz w:val="18"/>
                <w:szCs w:val="18"/>
              </w:rPr>
            </w:pPr>
            <w:r>
              <w:rPr>
                <w:b/>
                <w:noProof/>
                <w:sz w:val="18"/>
              </w:rPr>
              <w:t xml:space="preserve"> </w:t>
            </w:r>
          </w:p>
        </w:tc>
        <w:tc>
          <w:tcPr>
            <w:tcW w:w="1056" w:type="dxa"/>
            <w:tcBorders>
              <w:top w:val="nil"/>
              <w:left w:val="nil"/>
              <w:bottom w:val="nil"/>
              <w:right w:val="double" w:sz="6" w:space="0" w:color="auto"/>
            </w:tcBorders>
            <w:vAlign w:val="center"/>
            <w:hideMark/>
          </w:tcPr>
          <w:p>
            <w:pPr>
              <w:jc w:val="center"/>
              <w:rPr>
                <w:b/>
                <w:bCs/>
                <w:noProof/>
                <w:sz w:val="18"/>
                <w:szCs w:val="18"/>
              </w:rPr>
            </w:pPr>
            <w:r>
              <w:rPr>
                <w:b/>
                <w:noProof/>
                <w:sz w:val="18"/>
              </w:rPr>
              <w:t xml:space="preserve"> </w:t>
            </w:r>
          </w:p>
        </w:tc>
      </w:tr>
      <w:tr>
        <w:trPr>
          <w:trHeight w:val="300"/>
        </w:trPr>
        <w:tc>
          <w:tcPr>
            <w:tcW w:w="2880" w:type="dxa"/>
            <w:tcBorders>
              <w:top w:val="nil"/>
              <w:left w:val="double" w:sz="6" w:space="0" w:color="auto"/>
              <w:bottom w:val="nil"/>
              <w:right w:val="single" w:sz="8" w:space="0" w:color="000000" w:themeColor="text1"/>
            </w:tcBorders>
            <w:vAlign w:val="center"/>
            <w:hideMark/>
          </w:tcPr>
          <w:p>
            <w:pPr>
              <w:rPr>
                <w:noProof/>
                <w:sz w:val="20"/>
                <w:szCs w:val="20"/>
              </w:rPr>
            </w:pPr>
            <w:r>
              <w:rPr>
                <w:noProof/>
                <w:sz w:val="20"/>
              </w:rPr>
              <w:t>- dépenses relatives au marché et paiements directs, a), b), c), d)</w:t>
            </w:r>
          </w:p>
        </w:tc>
        <w:tc>
          <w:tcPr>
            <w:tcW w:w="1026" w:type="dxa"/>
            <w:tcBorders>
              <w:top w:val="nil"/>
              <w:left w:val="nil"/>
              <w:bottom w:val="nil"/>
              <w:right w:val="single" w:sz="8" w:space="0" w:color="auto"/>
            </w:tcBorders>
            <w:vAlign w:val="center"/>
            <w:hideMark/>
          </w:tcPr>
          <w:p>
            <w:pPr>
              <w:jc w:val="center"/>
              <w:rPr>
                <w:b/>
                <w:bCs/>
                <w:noProof/>
                <w:sz w:val="18"/>
                <w:szCs w:val="18"/>
              </w:rPr>
            </w:pPr>
            <w:r>
              <w:rPr>
                <w:b/>
                <w:noProof/>
                <w:sz w:val="18"/>
              </w:rPr>
              <w:t>40 368,0</w:t>
            </w:r>
          </w:p>
        </w:tc>
        <w:tc>
          <w:tcPr>
            <w:tcW w:w="1078" w:type="dxa"/>
            <w:tcBorders>
              <w:top w:val="nil"/>
              <w:left w:val="nil"/>
              <w:bottom w:val="nil"/>
              <w:right w:val="single" w:sz="8" w:space="0" w:color="auto"/>
            </w:tcBorders>
            <w:vAlign w:val="center"/>
            <w:hideMark/>
          </w:tcPr>
          <w:p>
            <w:pPr>
              <w:jc w:val="center"/>
              <w:rPr>
                <w:b/>
                <w:bCs/>
                <w:noProof/>
                <w:sz w:val="18"/>
                <w:szCs w:val="18"/>
              </w:rPr>
            </w:pPr>
            <w:r>
              <w:rPr>
                <w:b/>
                <w:noProof/>
                <w:sz w:val="18"/>
              </w:rPr>
              <w:t>40 638,2</w:t>
            </w:r>
          </w:p>
        </w:tc>
        <w:tc>
          <w:tcPr>
            <w:tcW w:w="1007" w:type="dxa"/>
            <w:tcBorders>
              <w:top w:val="nil"/>
              <w:left w:val="nil"/>
              <w:bottom w:val="nil"/>
              <w:right w:val="single" w:sz="8" w:space="0" w:color="auto"/>
            </w:tcBorders>
            <w:vAlign w:val="center"/>
            <w:hideMark/>
          </w:tcPr>
          <w:p>
            <w:pPr>
              <w:jc w:val="center"/>
              <w:rPr>
                <w:b/>
                <w:bCs/>
                <w:noProof/>
                <w:sz w:val="18"/>
                <w:szCs w:val="18"/>
              </w:rPr>
            </w:pPr>
            <w:r>
              <w:rPr>
                <w:b/>
                <w:noProof/>
                <w:sz w:val="18"/>
              </w:rPr>
              <w:t>40 692,2</w:t>
            </w:r>
          </w:p>
        </w:tc>
        <w:tc>
          <w:tcPr>
            <w:tcW w:w="1167" w:type="dxa"/>
            <w:tcBorders>
              <w:top w:val="nil"/>
              <w:left w:val="nil"/>
              <w:bottom w:val="nil"/>
              <w:right w:val="single" w:sz="8" w:space="0" w:color="auto"/>
            </w:tcBorders>
            <w:vAlign w:val="center"/>
            <w:hideMark/>
          </w:tcPr>
          <w:p>
            <w:pPr>
              <w:jc w:val="center"/>
              <w:rPr>
                <w:b/>
                <w:bCs/>
                <w:noProof/>
                <w:sz w:val="18"/>
                <w:szCs w:val="18"/>
              </w:rPr>
            </w:pPr>
            <w:r>
              <w:rPr>
                <w:b/>
                <w:noProof/>
                <w:sz w:val="18"/>
              </w:rPr>
              <w:t>40 602,1</w:t>
            </w:r>
          </w:p>
        </w:tc>
        <w:tc>
          <w:tcPr>
            <w:tcW w:w="1027" w:type="dxa"/>
            <w:tcBorders>
              <w:top w:val="nil"/>
              <w:left w:val="nil"/>
              <w:bottom w:val="nil"/>
              <w:right w:val="single" w:sz="8" w:space="0" w:color="auto"/>
            </w:tcBorders>
            <w:vAlign w:val="center"/>
            <w:hideMark/>
          </w:tcPr>
          <w:p>
            <w:pPr>
              <w:jc w:val="center"/>
              <w:rPr>
                <w:b/>
                <w:bCs/>
                <w:noProof/>
                <w:sz w:val="18"/>
                <w:szCs w:val="18"/>
              </w:rPr>
            </w:pPr>
            <w:r>
              <w:rPr>
                <w:b/>
                <w:noProof/>
                <w:sz w:val="18"/>
              </w:rPr>
              <w:t>40 528,9</w:t>
            </w:r>
          </w:p>
        </w:tc>
        <w:tc>
          <w:tcPr>
            <w:tcW w:w="1045" w:type="dxa"/>
            <w:tcBorders>
              <w:top w:val="nil"/>
              <w:left w:val="nil"/>
              <w:bottom w:val="nil"/>
              <w:right w:val="single" w:sz="8" w:space="0" w:color="auto"/>
            </w:tcBorders>
            <w:vAlign w:val="center"/>
            <w:hideMark/>
          </w:tcPr>
          <w:p>
            <w:pPr>
              <w:jc w:val="center"/>
              <w:rPr>
                <w:b/>
                <w:bCs/>
                <w:noProof/>
                <w:sz w:val="18"/>
                <w:szCs w:val="18"/>
              </w:rPr>
            </w:pPr>
            <w:r>
              <w:rPr>
                <w:b/>
                <w:noProof/>
                <w:sz w:val="18"/>
              </w:rPr>
              <w:t>40 541,2</w:t>
            </w:r>
          </w:p>
        </w:tc>
        <w:tc>
          <w:tcPr>
            <w:tcW w:w="1056" w:type="dxa"/>
            <w:tcBorders>
              <w:top w:val="nil"/>
              <w:left w:val="nil"/>
              <w:bottom w:val="nil"/>
              <w:right w:val="double" w:sz="6" w:space="0" w:color="auto"/>
            </w:tcBorders>
            <w:vAlign w:val="center"/>
            <w:hideMark/>
          </w:tcPr>
          <w:p>
            <w:pPr>
              <w:jc w:val="center"/>
              <w:rPr>
                <w:b/>
                <w:bCs/>
                <w:noProof/>
                <w:sz w:val="18"/>
                <w:szCs w:val="18"/>
              </w:rPr>
            </w:pPr>
            <w:r>
              <w:rPr>
                <w:b/>
                <w:noProof/>
                <w:sz w:val="18"/>
              </w:rPr>
              <w:t>40 590,5</w:t>
            </w:r>
          </w:p>
        </w:tc>
      </w:tr>
      <w:tr>
        <w:trPr>
          <w:trHeight w:val="300"/>
        </w:trPr>
        <w:tc>
          <w:tcPr>
            <w:tcW w:w="2880" w:type="dxa"/>
            <w:tcBorders>
              <w:top w:val="nil"/>
              <w:left w:val="double" w:sz="6" w:space="0" w:color="auto"/>
              <w:bottom w:val="double" w:sz="6" w:space="0" w:color="auto"/>
              <w:right w:val="single" w:sz="8" w:space="0" w:color="000000" w:themeColor="text1"/>
            </w:tcBorders>
            <w:vAlign w:val="center"/>
            <w:hideMark/>
          </w:tcPr>
          <w:p>
            <w:pPr>
              <w:rPr>
                <w:noProof/>
                <w:sz w:val="20"/>
                <w:szCs w:val="20"/>
              </w:rPr>
            </w:pPr>
            <w:r>
              <w:rPr>
                <w:noProof/>
                <w:sz w:val="20"/>
              </w:rPr>
              <w:t>- développement rural a), b), c),</w:t>
            </w:r>
          </w:p>
        </w:tc>
        <w:tc>
          <w:tcPr>
            <w:tcW w:w="1026" w:type="dxa"/>
            <w:tcBorders>
              <w:top w:val="nil"/>
              <w:left w:val="nil"/>
              <w:bottom w:val="double" w:sz="6" w:space="0" w:color="auto"/>
              <w:right w:val="single" w:sz="8" w:space="0" w:color="auto"/>
            </w:tcBorders>
            <w:vAlign w:val="center"/>
            <w:hideMark/>
          </w:tcPr>
          <w:p>
            <w:pPr>
              <w:jc w:val="center"/>
              <w:rPr>
                <w:b/>
                <w:bCs/>
                <w:noProof/>
                <w:sz w:val="18"/>
                <w:szCs w:val="18"/>
              </w:rPr>
            </w:pPr>
            <w:r>
              <w:rPr>
                <w:b/>
                <w:noProof/>
                <w:sz w:val="18"/>
              </w:rPr>
              <w:t>15 345,0</w:t>
            </w:r>
          </w:p>
        </w:tc>
        <w:tc>
          <w:tcPr>
            <w:tcW w:w="1078" w:type="dxa"/>
            <w:tcBorders>
              <w:top w:val="nil"/>
              <w:left w:val="nil"/>
              <w:bottom w:val="double" w:sz="6" w:space="0" w:color="auto"/>
              <w:right w:val="single" w:sz="8" w:space="0" w:color="auto"/>
            </w:tcBorders>
            <w:vAlign w:val="center"/>
            <w:hideMark/>
          </w:tcPr>
          <w:p>
            <w:pPr>
              <w:jc w:val="center"/>
              <w:rPr>
                <w:b/>
                <w:bCs/>
                <w:noProof/>
                <w:sz w:val="18"/>
                <w:szCs w:val="18"/>
              </w:rPr>
            </w:pPr>
            <w:r>
              <w:rPr>
                <w:b/>
                <w:noProof/>
                <w:sz w:val="18"/>
              </w:rPr>
              <w:t>12 727,7</w:t>
            </w:r>
          </w:p>
        </w:tc>
        <w:tc>
          <w:tcPr>
            <w:tcW w:w="1007" w:type="dxa"/>
            <w:tcBorders>
              <w:top w:val="nil"/>
              <w:left w:val="nil"/>
              <w:bottom w:val="double" w:sz="6" w:space="0" w:color="auto"/>
              <w:right w:val="single" w:sz="8" w:space="0" w:color="auto"/>
            </w:tcBorders>
            <w:vAlign w:val="center"/>
            <w:hideMark/>
          </w:tcPr>
          <w:p>
            <w:pPr>
              <w:jc w:val="center"/>
              <w:rPr>
                <w:b/>
                <w:bCs/>
                <w:noProof/>
                <w:sz w:val="18"/>
                <w:szCs w:val="18"/>
              </w:rPr>
            </w:pPr>
            <w:r>
              <w:rPr>
                <w:b/>
                <w:noProof/>
                <w:sz w:val="18"/>
              </w:rPr>
              <w:t>12 934,7</w:t>
            </w:r>
          </w:p>
        </w:tc>
        <w:tc>
          <w:tcPr>
            <w:tcW w:w="1167" w:type="dxa"/>
            <w:tcBorders>
              <w:top w:val="nil"/>
              <w:left w:val="nil"/>
              <w:bottom w:val="double" w:sz="6" w:space="0" w:color="auto"/>
              <w:right w:val="single" w:sz="8" w:space="0" w:color="auto"/>
            </w:tcBorders>
            <w:vAlign w:val="center"/>
            <w:hideMark/>
          </w:tcPr>
          <w:p>
            <w:pPr>
              <w:jc w:val="center"/>
              <w:rPr>
                <w:b/>
                <w:bCs/>
                <w:noProof/>
                <w:sz w:val="18"/>
                <w:szCs w:val="18"/>
              </w:rPr>
            </w:pPr>
            <w:r>
              <w:rPr>
                <w:b/>
                <w:noProof/>
                <w:sz w:val="18"/>
              </w:rPr>
              <w:t>13 155,8</w:t>
            </w:r>
          </w:p>
        </w:tc>
        <w:tc>
          <w:tcPr>
            <w:tcW w:w="1027" w:type="dxa"/>
            <w:tcBorders>
              <w:top w:val="nil"/>
              <w:left w:val="nil"/>
              <w:bottom w:val="double" w:sz="6" w:space="0" w:color="auto"/>
              <w:right w:val="single" w:sz="8" w:space="0" w:color="auto"/>
            </w:tcBorders>
            <w:vAlign w:val="center"/>
            <w:hideMark/>
          </w:tcPr>
          <w:p>
            <w:pPr>
              <w:jc w:val="center"/>
              <w:rPr>
                <w:b/>
                <w:bCs/>
                <w:noProof/>
                <w:sz w:val="18"/>
                <w:szCs w:val="18"/>
              </w:rPr>
            </w:pPr>
            <w:r>
              <w:rPr>
                <w:b/>
                <w:noProof/>
                <w:sz w:val="18"/>
              </w:rPr>
              <w:t>13 226,0</w:t>
            </w:r>
          </w:p>
        </w:tc>
        <w:tc>
          <w:tcPr>
            <w:tcW w:w="1045" w:type="dxa"/>
            <w:tcBorders>
              <w:top w:val="nil"/>
              <w:left w:val="nil"/>
              <w:bottom w:val="double" w:sz="6" w:space="0" w:color="auto"/>
              <w:right w:val="single" w:sz="8" w:space="0" w:color="auto"/>
            </w:tcBorders>
            <w:vAlign w:val="center"/>
            <w:hideMark/>
          </w:tcPr>
          <w:p>
            <w:pPr>
              <w:jc w:val="center"/>
              <w:rPr>
                <w:b/>
                <w:bCs/>
                <w:noProof/>
                <w:sz w:val="18"/>
                <w:szCs w:val="18"/>
              </w:rPr>
            </w:pPr>
            <w:r>
              <w:rPr>
                <w:b/>
                <w:noProof/>
                <w:sz w:val="18"/>
              </w:rPr>
              <w:t>13 331,7</w:t>
            </w:r>
          </w:p>
        </w:tc>
        <w:tc>
          <w:tcPr>
            <w:tcW w:w="1056" w:type="dxa"/>
            <w:tcBorders>
              <w:top w:val="nil"/>
              <w:left w:val="nil"/>
              <w:bottom w:val="double" w:sz="6" w:space="0" w:color="auto"/>
              <w:right w:val="double" w:sz="6" w:space="0" w:color="auto"/>
            </w:tcBorders>
            <w:vAlign w:val="center"/>
            <w:hideMark/>
          </w:tcPr>
          <w:p>
            <w:pPr>
              <w:jc w:val="center"/>
              <w:rPr>
                <w:b/>
                <w:bCs/>
                <w:noProof/>
                <w:sz w:val="18"/>
                <w:szCs w:val="18"/>
              </w:rPr>
            </w:pPr>
            <w:r>
              <w:rPr>
                <w:b/>
                <w:noProof/>
                <w:sz w:val="18"/>
              </w:rPr>
              <w:t>13 410,4</w:t>
            </w:r>
          </w:p>
        </w:tc>
      </w:tr>
      <w:tr>
        <w:trPr>
          <w:trHeight w:val="300"/>
        </w:trPr>
        <w:tc>
          <w:tcPr>
            <w:tcW w:w="2880" w:type="dxa"/>
            <w:tcBorders>
              <w:top w:val="double" w:sz="6" w:space="0" w:color="auto"/>
              <w:left w:val="double" w:sz="6" w:space="0" w:color="auto"/>
              <w:bottom w:val="single" w:sz="8" w:space="0" w:color="auto"/>
              <w:right w:val="single" w:sz="8" w:space="0" w:color="000000" w:themeColor="text1"/>
            </w:tcBorders>
            <w:shd w:val="clear" w:color="auto" w:fill="99CC00"/>
            <w:vAlign w:val="center"/>
            <w:hideMark/>
          </w:tcPr>
          <w:p>
            <w:pPr>
              <w:rPr>
                <w:b/>
                <w:bCs/>
                <w:noProof/>
                <w:color w:val="000000"/>
                <w:sz w:val="20"/>
                <w:szCs w:val="20"/>
              </w:rPr>
            </w:pPr>
            <w:r>
              <w:rPr>
                <w:b/>
                <w:noProof/>
                <w:color w:val="000000"/>
                <w:sz w:val="20"/>
              </w:rPr>
              <w:t xml:space="preserve">Recettes affectées externes </w:t>
            </w:r>
          </w:p>
        </w:tc>
        <w:tc>
          <w:tcPr>
            <w:tcW w:w="1026" w:type="dxa"/>
            <w:tcBorders>
              <w:top w:val="nil"/>
              <w:left w:val="nil"/>
              <w:bottom w:val="single" w:sz="8" w:space="0" w:color="auto"/>
              <w:right w:val="single" w:sz="8" w:space="0" w:color="auto"/>
            </w:tcBorders>
            <w:shd w:val="clear" w:color="auto" w:fill="99CC00"/>
            <w:vAlign w:val="center"/>
            <w:hideMark/>
          </w:tcPr>
          <w:p>
            <w:pPr>
              <w:jc w:val="center"/>
              <w:rPr>
                <w:noProof/>
                <w:color w:val="000000"/>
                <w:sz w:val="20"/>
                <w:szCs w:val="20"/>
              </w:rPr>
            </w:pPr>
            <w:r>
              <w:rPr>
                <w:noProof/>
                <w:color w:val="000000"/>
                <w:sz w:val="20"/>
              </w:rPr>
              <w:t>2021</w:t>
            </w:r>
          </w:p>
        </w:tc>
        <w:tc>
          <w:tcPr>
            <w:tcW w:w="1078" w:type="dxa"/>
            <w:tcBorders>
              <w:top w:val="nil"/>
              <w:left w:val="nil"/>
              <w:bottom w:val="single" w:sz="8" w:space="0" w:color="auto"/>
              <w:right w:val="single" w:sz="8" w:space="0" w:color="auto"/>
            </w:tcBorders>
            <w:shd w:val="clear" w:color="auto" w:fill="99CC00"/>
            <w:vAlign w:val="center"/>
            <w:hideMark/>
          </w:tcPr>
          <w:p>
            <w:pPr>
              <w:jc w:val="center"/>
              <w:rPr>
                <w:noProof/>
                <w:color w:val="000000"/>
                <w:sz w:val="20"/>
                <w:szCs w:val="20"/>
              </w:rPr>
            </w:pPr>
            <w:r>
              <w:rPr>
                <w:noProof/>
                <w:color w:val="000000"/>
                <w:sz w:val="20"/>
              </w:rPr>
              <w:t>2022</w:t>
            </w:r>
          </w:p>
        </w:tc>
        <w:tc>
          <w:tcPr>
            <w:tcW w:w="1007" w:type="dxa"/>
            <w:tcBorders>
              <w:top w:val="nil"/>
              <w:left w:val="nil"/>
              <w:bottom w:val="single" w:sz="8" w:space="0" w:color="auto"/>
              <w:right w:val="single" w:sz="8" w:space="0" w:color="auto"/>
            </w:tcBorders>
            <w:shd w:val="clear" w:color="auto" w:fill="99CC00"/>
            <w:vAlign w:val="center"/>
            <w:hideMark/>
          </w:tcPr>
          <w:p>
            <w:pPr>
              <w:jc w:val="center"/>
              <w:rPr>
                <w:noProof/>
                <w:color w:val="000000"/>
                <w:sz w:val="20"/>
                <w:szCs w:val="20"/>
              </w:rPr>
            </w:pPr>
            <w:r>
              <w:rPr>
                <w:noProof/>
                <w:color w:val="000000"/>
                <w:sz w:val="20"/>
              </w:rPr>
              <w:t>2023</w:t>
            </w:r>
          </w:p>
        </w:tc>
        <w:tc>
          <w:tcPr>
            <w:tcW w:w="1167" w:type="dxa"/>
            <w:tcBorders>
              <w:top w:val="nil"/>
              <w:left w:val="nil"/>
              <w:bottom w:val="single" w:sz="8" w:space="0" w:color="auto"/>
              <w:right w:val="single" w:sz="8" w:space="0" w:color="auto"/>
            </w:tcBorders>
            <w:shd w:val="clear" w:color="auto" w:fill="99CC00"/>
            <w:vAlign w:val="center"/>
            <w:hideMark/>
          </w:tcPr>
          <w:p>
            <w:pPr>
              <w:jc w:val="center"/>
              <w:rPr>
                <w:noProof/>
                <w:color w:val="000000"/>
                <w:sz w:val="20"/>
                <w:szCs w:val="20"/>
              </w:rPr>
            </w:pPr>
            <w:r>
              <w:rPr>
                <w:noProof/>
                <w:color w:val="000000"/>
                <w:sz w:val="20"/>
              </w:rPr>
              <w:t>2024</w:t>
            </w:r>
          </w:p>
        </w:tc>
        <w:tc>
          <w:tcPr>
            <w:tcW w:w="1027" w:type="dxa"/>
            <w:tcBorders>
              <w:top w:val="nil"/>
              <w:left w:val="nil"/>
              <w:bottom w:val="single" w:sz="8" w:space="0" w:color="auto"/>
              <w:right w:val="single" w:sz="8" w:space="0" w:color="auto"/>
            </w:tcBorders>
            <w:shd w:val="clear" w:color="auto" w:fill="99CC00"/>
            <w:vAlign w:val="center"/>
            <w:hideMark/>
          </w:tcPr>
          <w:p>
            <w:pPr>
              <w:jc w:val="center"/>
              <w:rPr>
                <w:noProof/>
                <w:color w:val="000000"/>
                <w:sz w:val="20"/>
                <w:szCs w:val="20"/>
              </w:rPr>
            </w:pPr>
            <w:r>
              <w:rPr>
                <w:noProof/>
                <w:color w:val="000000"/>
                <w:sz w:val="20"/>
              </w:rPr>
              <w:t>2025</w:t>
            </w:r>
          </w:p>
        </w:tc>
        <w:tc>
          <w:tcPr>
            <w:tcW w:w="1045" w:type="dxa"/>
            <w:tcBorders>
              <w:top w:val="nil"/>
              <w:left w:val="nil"/>
              <w:bottom w:val="single" w:sz="8" w:space="0" w:color="auto"/>
              <w:right w:val="single" w:sz="8" w:space="0" w:color="auto"/>
            </w:tcBorders>
            <w:shd w:val="clear" w:color="auto" w:fill="99CC00"/>
            <w:vAlign w:val="center"/>
            <w:hideMark/>
          </w:tcPr>
          <w:p>
            <w:pPr>
              <w:jc w:val="center"/>
              <w:rPr>
                <w:noProof/>
                <w:color w:val="000000"/>
                <w:sz w:val="20"/>
                <w:szCs w:val="20"/>
              </w:rPr>
            </w:pPr>
            <w:r>
              <w:rPr>
                <w:noProof/>
                <w:color w:val="000000"/>
                <w:sz w:val="20"/>
              </w:rPr>
              <w:t>2026</w:t>
            </w:r>
          </w:p>
        </w:tc>
        <w:tc>
          <w:tcPr>
            <w:tcW w:w="1056" w:type="dxa"/>
            <w:tcBorders>
              <w:top w:val="nil"/>
              <w:left w:val="nil"/>
              <w:bottom w:val="single" w:sz="8" w:space="0" w:color="auto"/>
              <w:right w:val="double" w:sz="6" w:space="0" w:color="auto"/>
            </w:tcBorders>
            <w:shd w:val="clear" w:color="auto" w:fill="99CC00"/>
            <w:vAlign w:val="center"/>
            <w:hideMark/>
          </w:tcPr>
          <w:p>
            <w:pPr>
              <w:jc w:val="center"/>
              <w:rPr>
                <w:noProof/>
                <w:color w:val="000000"/>
                <w:sz w:val="20"/>
                <w:szCs w:val="20"/>
              </w:rPr>
            </w:pPr>
            <w:r>
              <w:rPr>
                <w:noProof/>
                <w:color w:val="000000"/>
                <w:sz w:val="20"/>
              </w:rPr>
              <w:t>2027</w:t>
            </w:r>
          </w:p>
        </w:tc>
      </w:tr>
      <w:tr>
        <w:trPr>
          <w:trHeight w:val="300"/>
        </w:trPr>
        <w:tc>
          <w:tcPr>
            <w:tcW w:w="2880" w:type="dxa"/>
            <w:tcBorders>
              <w:top w:val="single" w:sz="8" w:space="0" w:color="auto"/>
              <w:left w:val="double" w:sz="6" w:space="0" w:color="auto"/>
              <w:bottom w:val="double" w:sz="6" w:space="0" w:color="auto"/>
              <w:right w:val="single" w:sz="8" w:space="0" w:color="000000" w:themeColor="text1"/>
            </w:tcBorders>
            <w:vAlign w:val="center"/>
            <w:hideMark/>
          </w:tcPr>
          <w:p>
            <w:pPr>
              <w:rPr>
                <w:noProof/>
                <w:sz w:val="20"/>
                <w:szCs w:val="20"/>
              </w:rPr>
            </w:pPr>
            <w:r>
              <w:rPr>
                <w:noProof/>
                <w:sz w:val="20"/>
              </w:rPr>
              <w:t>NextGenerationEU e)</w:t>
            </w:r>
          </w:p>
        </w:tc>
        <w:tc>
          <w:tcPr>
            <w:tcW w:w="1026" w:type="dxa"/>
            <w:tcBorders>
              <w:top w:val="nil"/>
              <w:left w:val="nil"/>
              <w:bottom w:val="double" w:sz="6" w:space="0" w:color="auto"/>
              <w:right w:val="single" w:sz="8" w:space="0" w:color="auto"/>
            </w:tcBorders>
            <w:vAlign w:val="center"/>
            <w:hideMark/>
          </w:tcPr>
          <w:p>
            <w:pPr>
              <w:jc w:val="center"/>
              <w:rPr>
                <w:b/>
                <w:bCs/>
                <w:noProof/>
                <w:sz w:val="18"/>
                <w:szCs w:val="18"/>
              </w:rPr>
            </w:pPr>
            <w:r>
              <w:rPr>
                <w:b/>
                <w:noProof/>
                <w:sz w:val="18"/>
              </w:rPr>
              <w:t>2 387,70</w:t>
            </w:r>
          </w:p>
        </w:tc>
        <w:tc>
          <w:tcPr>
            <w:tcW w:w="1078" w:type="dxa"/>
            <w:tcBorders>
              <w:top w:val="nil"/>
              <w:left w:val="nil"/>
              <w:bottom w:val="double" w:sz="6" w:space="0" w:color="auto"/>
              <w:right w:val="single" w:sz="8" w:space="0" w:color="auto"/>
            </w:tcBorders>
            <w:vAlign w:val="center"/>
            <w:hideMark/>
          </w:tcPr>
          <w:p>
            <w:pPr>
              <w:jc w:val="center"/>
              <w:rPr>
                <w:b/>
                <w:bCs/>
                <w:noProof/>
                <w:sz w:val="18"/>
                <w:szCs w:val="18"/>
              </w:rPr>
            </w:pPr>
            <w:r>
              <w:rPr>
                <w:b/>
                <w:noProof/>
                <w:sz w:val="18"/>
              </w:rPr>
              <w:t>5 682,80</w:t>
            </w:r>
          </w:p>
        </w:tc>
        <w:tc>
          <w:tcPr>
            <w:tcW w:w="1007" w:type="dxa"/>
            <w:tcBorders>
              <w:top w:val="nil"/>
              <w:left w:val="nil"/>
              <w:bottom w:val="double" w:sz="6" w:space="0" w:color="auto"/>
              <w:right w:val="single" w:sz="8" w:space="0" w:color="auto"/>
            </w:tcBorders>
            <w:vAlign w:val="center"/>
            <w:hideMark/>
          </w:tcPr>
          <w:p>
            <w:pPr>
              <w:jc w:val="center"/>
              <w:rPr>
                <w:b/>
                <w:bCs/>
                <w:noProof/>
                <w:sz w:val="18"/>
                <w:szCs w:val="18"/>
              </w:rPr>
            </w:pPr>
            <w:r>
              <w:rPr>
                <w:b/>
                <w:noProof/>
                <w:sz w:val="18"/>
              </w:rPr>
              <w:t xml:space="preserve"> </w:t>
            </w:r>
          </w:p>
        </w:tc>
        <w:tc>
          <w:tcPr>
            <w:tcW w:w="1167" w:type="dxa"/>
            <w:tcBorders>
              <w:top w:val="nil"/>
              <w:left w:val="nil"/>
              <w:bottom w:val="double" w:sz="6" w:space="0" w:color="auto"/>
              <w:right w:val="single" w:sz="8" w:space="0" w:color="auto"/>
            </w:tcBorders>
            <w:vAlign w:val="center"/>
            <w:hideMark/>
          </w:tcPr>
          <w:p>
            <w:pPr>
              <w:jc w:val="center"/>
              <w:rPr>
                <w:b/>
                <w:bCs/>
                <w:noProof/>
                <w:sz w:val="18"/>
                <w:szCs w:val="18"/>
              </w:rPr>
            </w:pPr>
            <w:r>
              <w:rPr>
                <w:b/>
                <w:noProof/>
                <w:sz w:val="18"/>
              </w:rPr>
              <w:t xml:space="preserve"> </w:t>
            </w:r>
          </w:p>
        </w:tc>
        <w:tc>
          <w:tcPr>
            <w:tcW w:w="1027" w:type="dxa"/>
            <w:tcBorders>
              <w:top w:val="nil"/>
              <w:left w:val="nil"/>
              <w:bottom w:val="double" w:sz="6" w:space="0" w:color="auto"/>
              <w:right w:val="single" w:sz="8" w:space="0" w:color="auto"/>
            </w:tcBorders>
            <w:vAlign w:val="center"/>
            <w:hideMark/>
          </w:tcPr>
          <w:p>
            <w:pPr>
              <w:jc w:val="center"/>
              <w:rPr>
                <w:b/>
                <w:bCs/>
                <w:noProof/>
                <w:sz w:val="18"/>
                <w:szCs w:val="18"/>
              </w:rPr>
            </w:pPr>
            <w:r>
              <w:rPr>
                <w:b/>
                <w:noProof/>
                <w:sz w:val="18"/>
              </w:rPr>
              <w:t xml:space="preserve"> </w:t>
            </w:r>
          </w:p>
        </w:tc>
        <w:tc>
          <w:tcPr>
            <w:tcW w:w="1045" w:type="dxa"/>
            <w:tcBorders>
              <w:top w:val="nil"/>
              <w:left w:val="nil"/>
              <w:bottom w:val="double" w:sz="6" w:space="0" w:color="auto"/>
              <w:right w:val="single" w:sz="8" w:space="0" w:color="auto"/>
            </w:tcBorders>
            <w:vAlign w:val="center"/>
            <w:hideMark/>
          </w:tcPr>
          <w:p>
            <w:pPr>
              <w:jc w:val="center"/>
              <w:rPr>
                <w:b/>
                <w:bCs/>
                <w:noProof/>
                <w:sz w:val="18"/>
                <w:szCs w:val="18"/>
              </w:rPr>
            </w:pPr>
            <w:r>
              <w:rPr>
                <w:b/>
                <w:noProof/>
                <w:sz w:val="18"/>
              </w:rPr>
              <w:t xml:space="preserve"> </w:t>
            </w:r>
          </w:p>
        </w:tc>
        <w:tc>
          <w:tcPr>
            <w:tcW w:w="1056" w:type="dxa"/>
            <w:tcBorders>
              <w:top w:val="nil"/>
              <w:left w:val="nil"/>
              <w:bottom w:val="double" w:sz="6" w:space="0" w:color="auto"/>
              <w:right w:val="double" w:sz="6" w:space="0" w:color="auto"/>
            </w:tcBorders>
            <w:vAlign w:val="center"/>
            <w:hideMark/>
          </w:tcPr>
          <w:p>
            <w:pPr>
              <w:jc w:val="center"/>
              <w:rPr>
                <w:b/>
                <w:bCs/>
                <w:noProof/>
                <w:sz w:val="18"/>
                <w:szCs w:val="18"/>
              </w:rPr>
            </w:pPr>
            <w:r>
              <w:rPr>
                <w:b/>
                <w:noProof/>
                <w:sz w:val="18"/>
              </w:rPr>
              <w:t xml:space="preserve"> </w:t>
            </w:r>
          </w:p>
        </w:tc>
      </w:tr>
      <w:tr>
        <w:trPr>
          <w:trHeight w:val="300"/>
        </w:trPr>
        <w:tc>
          <w:tcPr>
            <w:tcW w:w="10286" w:type="dxa"/>
            <w:gridSpan w:val="8"/>
            <w:tcBorders>
              <w:top w:val="double" w:sz="6" w:space="0" w:color="auto"/>
              <w:left w:val="nil"/>
              <w:bottom w:val="nil"/>
              <w:right w:val="nil"/>
            </w:tcBorders>
            <w:noWrap/>
            <w:vAlign w:val="center"/>
            <w:hideMark/>
          </w:tcPr>
          <w:p>
            <w:pPr>
              <w:rPr>
                <w:noProof/>
                <w:sz w:val="18"/>
                <w:szCs w:val="18"/>
              </w:rPr>
            </w:pPr>
            <w:r>
              <w:rPr>
                <w:noProof/>
                <w:sz w:val="18"/>
              </w:rPr>
              <w:t xml:space="preserve">* Ressources naturelles et environnement dans le cadre de la PAC </w:t>
            </w:r>
          </w:p>
        </w:tc>
      </w:tr>
      <w:tr>
        <w:trPr>
          <w:trHeight w:val="300"/>
        </w:trPr>
        <w:tc>
          <w:tcPr>
            <w:tcW w:w="10286" w:type="dxa"/>
            <w:gridSpan w:val="8"/>
            <w:tcBorders>
              <w:top w:val="nil"/>
              <w:left w:val="nil"/>
              <w:bottom w:val="nil"/>
              <w:right w:val="nil"/>
            </w:tcBorders>
            <w:hideMark/>
          </w:tcPr>
          <w:p>
            <w:pPr>
              <w:pStyle w:val="ListParagraph"/>
              <w:numPr>
                <w:ilvl w:val="0"/>
                <w:numId w:val="43"/>
              </w:numPr>
              <w:spacing w:after="120"/>
              <w:jc w:val="both"/>
              <w:rPr>
                <w:noProof/>
                <w:sz w:val="18"/>
                <w:szCs w:val="18"/>
              </w:rPr>
            </w:pPr>
            <w:r>
              <w:rPr>
                <w:noProof/>
                <w:sz w:val="18"/>
              </w:rPr>
              <w:t>Après transferts annuels du FEAGA vers le Feader d’un montant total de 3 463,1 millions d’EUR pour les exercices 2021-2023 au titre de l’article 14, paragraphe 1, du règlement (UE) nº 1307/2013 et d’un montant total de 7 076,4 millions d’EUR pour les exercices 2024-2027</w:t>
            </w:r>
            <w:bookmarkStart w:id="9" w:name="_Int_bRcBiOM7"/>
            <w:bookmarkEnd w:id="9"/>
            <w:r>
              <w:rPr>
                <w:noProof/>
              </w:rPr>
              <w:t xml:space="preserve"> </w:t>
            </w:r>
            <w:r>
              <w:rPr>
                <w:noProof/>
                <w:sz w:val="18"/>
              </w:rPr>
              <w:t>au titre de l’article 103, paragraphe 1, point a), et de l’article 103, paragraphe 2, du règlement (UE) 2021/2115.</w:t>
            </w:r>
          </w:p>
          <w:p>
            <w:pPr>
              <w:pStyle w:val="ListParagraph"/>
              <w:numPr>
                <w:ilvl w:val="0"/>
                <w:numId w:val="43"/>
              </w:numPr>
              <w:spacing w:after="120"/>
              <w:jc w:val="both"/>
              <w:rPr>
                <w:noProof/>
                <w:sz w:val="18"/>
                <w:szCs w:val="18"/>
              </w:rPr>
            </w:pPr>
            <w:r>
              <w:rPr>
                <w:noProof/>
                <w:sz w:val="18"/>
              </w:rPr>
              <w:lastRenderedPageBreak/>
              <w:t>Après transferts annuels du Feader vers le FEAGA d’un montant total de 1 633,4 millions d’EUR pour les exercices 2021-2023 au titre de l’article 14, paragraphe 2, du règlement (UE) nº 1307/2013 et d’un montant total de 2 408,1 millions d’EUR pour les exercices 2024-2027, au titre de l’article 103, paragraphe 1, point b), et de l’article 103, paragraphe 3, du règlement (UE) 2021/2115.</w:t>
            </w:r>
          </w:p>
          <w:p>
            <w:pPr>
              <w:pStyle w:val="ListParagraph"/>
              <w:numPr>
                <w:ilvl w:val="0"/>
                <w:numId w:val="43"/>
              </w:numPr>
              <w:spacing w:after="120"/>
              <w:jc w:val="both"/>
              <w:rPr>
                <w:rStyle w:val="eop"/>
                <w:noProof/>
                <w:sz w:val="18"/>
                <w:szCs w:val="18"/>
              </w:rPr>
            </w:pPr>
            <w:r>
              <w:rPr>
                <w:rStyle w:val="normaltextrun"/>
                <w:noProof/>
                <w:sz w:val="18"/>
              </w:rPr>
              <w:t>Après transferts annuels depuis le FEAGA vers le Feader totalisant, pour les exercices 2021-2023, 171,9 millions d’EUR sur la base de l’article 7, paragraphe 2, du règlement (UE) nº 1307/2013, et totalisant, pour les exercices 2024-2027, 20 millions d’EUR sur la base de l’article 17, paragraphe 5, du règlement (UE) 2021/2115.</w:t>
            </w:r>
            <w:r>
              <w:rPr>
                <w:rStyle w:val="eop"/>
                <w:noProof/>
                <w:sz w:val="18"/>
              </w:rPr>
              <w:t xml:space="preserve"> </w:t>
            </w:r>
          </w:p>
          <w:p>
            <w:pPr>
              <w:pStyle w:val="ListParagraph"/>
              <w:numPr>
                <w:ilvl w:val="0"/>
                <w:numId w:val="43"/>
              </w:numPr>
              <w:spacing w:after="120"/>
              <w:jc w:val="both"/>
              <w:rPr>
                <w:noProof/>
                <w:sz w:val="18"/>
                <w:szCs w:val="18"/>
              </w:rPr>
            </w:pPr>
            <w:r>
              <w:rPr>
                <w:noProof/>
                <w:sz w:val="18"/>
              </w:rPr>
              <w:t>Après une réduction totalisant 440 millions d’EUR pour les exercices 2025-2027 à la suite de la révision à mi-parcours du CFP.</w:t>
            </w:r>
          </w:p>
          <w:p>
            <w:pPr>
              <w:pStyle w:val="ListParagraph"/>
              <w:numPr>
                <w:ilvl w:val="0"/>
                <w:numId w:val="43"/>
              </w:numPr>
              <w:spacing w:after="120"/>
              <w:jc w:val="both"/>
              <w:rPr>
                <w:noProof/>
                <w:sz w:val="18"/>
                <w:szCs w:val="18"/>
              </w:rPr>
            </w:pPr>
            <w:r>
              <w:rPr>
                <w:noProof/>
                <w:sz w:val="18"/>
              </w:rPr>
              <w:t>Article 58, point a), du règlement (UE) nº 1305/2013.</w:t>
            </w:r>
          </w:p>
        </w:tc>
      </w:tr>
    </w:tbl>
    <w:p>
      <w:pPr>
        <w:pStyle w:val="ManualHeading2"/>
        <w:spacing w:before="360" w:after="160"/>
        <w:ind w:left="851" w:hanging="851"/>
        <w:rPr>
          <w:noProof/>
        </w:rPr>
      </w:pPr>
      <w:bookmarkStart w:id="10" w:name="_Toc393364826"/>
      <w:bookmarkStart w:id="11" w:name="_Toc102661830"/>
      <w:bookmarkStart w:id="12" w:name="_Toc105773178"/>
      <w:bookmarkStart w:id="13" w:name="_Toc229149804"/>
      <w:bookmarkStart w:id="14" w:name="_Toc322938555"/>
      <w:r>
        <w:rPr>
          <w:noProof/>
        </w:rPr>
        <w:lastRenderedPageBreak/>
        <w:t>1.2</w:t>
      </w:r>
      <w:r>
        <w:rPr>
          <w:noProof/>
        </w:rPr>
        <w:tab/>
        <w:t>Projet de budget pour 2025, lettre rectificative nº 1/2025 et adoption du budget 2025</w:t>
      </w:r>
      <w:bookmarkEnd w:id="10"/>
      <w:bookmarkEnd w:id="11"/>
      <w:bookmarkEnd w:id="12"/>
      <w:bookmarkEnd w:id="13"/>
    </w:p>
    <w:p>
      <w:pPr>
        <w:pStyle w:val="Text1"/>
      </w:pPr>
      <w:bookmarkStart w:id="15" w:name="_Toc393364829"/>
      <w:bookmarkEnd w:id="14"/>
      <w:r>
        <w:t xml:space="preserve">Le projet de budget initial pour 2025 a été adopté par la Commission européenne et proposé à l’autorité budgétaire le 19 juin 2024. Le Conseil a adopté sa position sur le projet de budget pour 2025 le 13 septembre 2024. La Commission a présenté la lettre rectificative nº 1/2025 au projet de budget général de l’Union européenne le 10 octobre 2024, tandis que le Parlement européen a adopté sa position le 23 octobre 2024. </w:t>
      </w:r>
    </w:p>
    <w:p>
      <w:pPr>
        <w:pStyle w:val="Text1"/>
      </w:pPr>
      <w:r>
        <w:t>Le président du Conseil a convoqué le comité de conciliation le 28 octobre 2024. Le comité de conciliation est parvenu à un projet commun qui a été approuvé par le Conseil le 25 novembre 2024 et par le Parlement européen le 27 novembre 2024.</w:t>
      </w:r>
    </w:p>
    <w:p>
      <w:pPr>
        <w:pStyle w:val="Text1"/>
      </w:pPr>
      <w:r>
        <w:t>Les crédits d’engagement du budget voté relatifs au FEAGA se chiffraient au total à 39 975,9 millions d’EUR et les crédits de paiement, à 40 030,7 millions d’EUR.</w:t>
      </w:r>
    </w:p>
    <w:p>
      <w:pPr>
        <w:pStyle w:val="Text1"/>
      </w:pPr>
      <w:r>
        <w:t xml:space="preserve">Les crédits d’engagement du budget voté relatifs au Feader se chiffraient au total à 13 226 millions d’EUR et les crédits de paiement, à 10 497 millions d’EUR. </w:t>
      </w:r>
    </w:p>
    <w:p>
      <w:pPr>
        <w:pStyle w:val="Text1"/>
      </w:pPr>
      <w:r>
        <w:t>L’annexe 1 fournit de plus amples informations sur les montants liés au projet de budget de la Commission pour 2025 ainsi que sur les positions du Conseil et du Parlement européen, la lettre rectificative et le budget approuvé.</w:t>
      </w:r>
    </w:p>
    <w:p>
      <w:pPr>
        <w:pStyle w:val="Text1"/>
      </w:pPr>
      <w:r>
        <w:t>En ce qui concerne les recettes affectées, lors de l’élaboration du budget 2025, le montant qu’il était prévu de percevoir dans le courant de l’exercice 2025 a été estimé à 395 millions d’EUR pour le FEAGA et à 225 millions d’EUR pour le Feader.</w:t>
      </w:r>
    </w:p>
    <w:p>
      <w:pPr>
        <w:pStyle w:val="Text1"/>
        <w:spacing w:before="0" w:after="0"/>
        <w:ind w:left="851"/>
      </w:pPr>
      <w:r>
        <w:t>Les recettes affectées estimées du FEAGA ont été prises en compte pour les besoins de financement de l’aide de base au revenu pour un développement durable lorsque l’autorité budgétaire a adopté le budget 2025. Pour de plus amples informations sur l’encaissement, l’utilisation et le report éventuel des recettes affectées, voir les annexes 2 et 3.</w:t>
      </w:r>
    </w:p>
    <w:p>
      <w:pPr>
        <w:pStyle w:val="Text1"/>
      </w:pPr>
      <w:r>
        <w:t>Le 27 novembre 2025, le budget rectificatif nº 2/2025 a été adopté. Il comprenait, entre autres, un renforcement des crédits de paiement pour le Feader, à la suite d’une accélération des besoins de paiement. Un renforcement total de 3 514 millions d’EUR a été approuvé pour le Feader, dont 1 784 millions d’EUR pour les types d’interventions en faveur du développement rural au titre des plans stratégiques relevant de la PAC et 1 730 millions d’EUR pour les types d’interventions en faveur du développement rural au titre des programmes 2014-2022.</w:t>
      </w:r>
    </w:p>
    <w:p>
      <w:pPr>
        <w:pStyle w:val="ManualHeading1"/>
        <w:spacing w:after="160"/>
        <w:ind w:left="851" w:hanging="851"/>
        <w:rPr>
          <w:noProof/>
        </w:rPr>
      </w:pPr>
      <w:bookmarkStart w:id="16" w:name="_Toc102661833"/>
      <w:bookmarkStart w:id="17" w:name="_Toc105773181"/>
      <w:bookmarkStart w:id="18" w:name="_Toc322938559"/>
      <w:bookmarkStart w:id="19" w:name="_Toc229149805"/>
      <w:bookmarkEnd w:id="15"/>
      <w:r>
        <w:rPr>
          <w:noProof/>
        </w:rPr>
        <w:lastRenderedPageBreak/>
        <w:t>2.</w:t>
      </w:r>
      <w:bookmarkEnd w:id="16"/>
      <w:bookmarkEnd w:id="17"/>
      <w:bookmarkEnd w:id="18"/>
      <w:r>
        <w:rPr>
          <w:noProof/>
        </w:rPr>
        <w:tab/>
        <w:t>EXÉCUTION DU BUDGET 2025 POUR LE FEAGA ET LE FEADER</w:t>
      </w:r>
      <w:bookmarkEnd w:id="19"/>
      <w:r>
        <w:rPr>
          <w:noProof/>
        </w:rPr>
        <w:t xml:space="preserve"> </w:t>
      </w:r>
    </w:p>
    <w:p>
      <w:pPr>
        <w:pStyle w:val="ManualHeading2"/>
        <w:spacing w:before="360" w:after="160"/>
        <w:ind w:left="851" w:hanging="851"/>
        <w:rPr>
          <w:noProof/>
        </w:rPr>
      </w:pPr>
      <w:bookmarkStart w:id="20" w:name="_Toc229149806"/>
      <w:r>
        <w:rPr>
          <w:noProof/>
        </w:rPr>
        <w:t>2.1</w:t>
      </w:r>
      <w:r>
        <w:rPr>
          <w:noProof/>
        </w:rPr>
        <w:tab/>
        <w:t>Fonds européen agricole de garantie (FEAGA)</w:t>
      </w:r>
      <w:bookmarkEnd w:id="20"/>
      <w:r>
        <w:rPr>
          <w:noProof/>
        </w:rPr>
        <w:t xml:space="preserve"> </w:t>
      </w:r>
    </w:p>
    <w:p>
      <w:pPr>
        <w:pStyle w:val="Text1"/>
      </w:pPr>
      <w:r>
        <w:t>L’article 21, paragraphe 1, du règlement (UE) 2021/2116</w:t>
      </w:r>
      <w:r>
        <w:rPr>
          <w:rFonts w:asciiTheme="minorHAnsi" w:eastAsiaTheme="minorEastAsia" w:hAnsiTheme="minorHAnsi" w:cstheme="minorBidi"/>
          <w:sz w:val="22"/>
          <w:szCs w:val="22"/>
          <w:vertAlign w:val="superscript"/>
        </w:rPr>
        <w:footnoteReference w:id="4"/>
      </w:r>
      <w:r>
        <w:t xml:space="preserve"> dispose que les paiements mensuels sont effectués par la Commission pour les dépenses effectuées par les organismes payeurs agréés des États membres au cours du mois de référence. Les paiements mensuels sont versés à l’État membre au plus tard le troisième jour ouvrable du deuxième mois qui suit celui au cours duquel les dépenses ont été effectuées.</w:t>
      </w:r>
    </w:p>
    <w:p>
      <w:pPr>
        <w:pStyle w:val="Text1"/>
      </w:pPr>
      <w:r>
        <w:t>Les paiements mensuels visent à rembourser les dépenses nettes (après déduction des recettes) ayant déjà été effectuées et sont mis à disposition sur la base des déclarations mensuelles communiquées par les États membres</w:t>
      </w:r>
      <w:r>
        <w:rPr>
          <w:vertAlign w:val="superscript"/>
        </w:rPr>
        <w:footnoteReference w:id="5"/>
      </w:r>
      <w:r>
        <w:t>. La prise en compte mensuelle des dépenses et des recettes est soumise à des vérifications et corrections fondées sur ces déclarations. En outre, ces paiements deviennent définitifs après les vérifications de la Commission dans le cadre de la procédure d’apurement des comptes.</w:t>
      </w:r>
    </w:p>
    <w:p>
      <w:pPr>
        <w:pStyle w:val="Text1"/>
      </w:pPr>
      <w:r>
        <w:t xml:space="preserve">Les paiements effectués par les États membres du 16 octobre 2024 au 15 octobre 2025 sont couverts par le système des paiements mensuels. </w:t>
      </w:r>
    </w:p>
    <w:p>
      <w:pPr>
        <w:pStyle w:val="Text1"/>
      </w:pPr>
      <w:r>
        <w:t>Pour l’ensemble de l’exercice, le montant total des paiements mensuels décidés s’élevait à 40 524,4 millions d’EUR. Compte tenu des montants recouvrés à la suite de décisions d’apurement, de recettes affectées déclarées et de dépenses négatives, un total de 40 292,3 millions d’EUR a effectivement été versé aux États membres.</w:t>
      </w:r>
    </w:p>
    <w:p>
      <w:pPr>
        <w:pStyle w:val="ManualHeading2"/>
        <w:spacing w:before="360" w:after="160"/>
        <w:ind w:left="851" w:hanging="851"/>
        <w:rPr>
          <w:noProof/>
        </w:rPr>
      </w:pPr>
      <w:bookmarkStart w:id="21" w:name="_Toc7010706"/>
      <w:bookmarkStart w:id="22" w:name="_Toc102661846"/>
      <w:bookmarkStart w:id="23" w:name="_Toc105773194"/>
      <w:bookmarkStart w:id="24" w:name="_Toc229149807"/>
      <w:r>
        <w:rPr>
          <w:noProof/>
        </w:rPr>
        <w:t>2.1.1.</w:t>
      </w:r>
      <w:r>
        <w:rPr>
          <w:noProof/>
        </w:rPr>
        <w:tab/>
        <w:t>Paiements mensuels</w:t>
      </w:r>
      <w:bookmarkEnd w:id="21"/>
      <w:bookmarkEnd w:id="22"/>
      <w:bookmarkEnd w:id="23"/>
      <w:bookmarkEnd w:id="24"/>
    </w:p>
    <w:p>
      <w:pPr>
        <w:pStyle w:val="Text1"/>
      </w:pPr>
      <w:r>
        <w:t xml:space="preserve">La Commission a adopté une décision de paiement pour chacune des douze périodes de l’exercice. </w:t>
      </w:r>
    </w:p>
    <w:p>
      <w:pPr>
        <w:pStyle w:val="Text1"/>
      </w:pPr>
      <w:r>
        <w:t>Pour plus de détails, voir l’annexe 4.</w:t>
      </w:r>
    </w:p>
    <w:p>
      <w:pPr>
        <w:pStyle w:val="ManualHeading2"/>
        <w:spacing w:before="360" w:after="160"/>
        <w:ind w:left="851" w:hanging="851"/>
        <w:rPr>
          <w:noProof/>
        </w:rPr>
      </w:pPr>
      <w:bookmarkStart w:id="25" w:name="_Toc7010707"/>
      <w:bookmarkStart w:id="26" w:name="_Toc102661847"/>
      <w:bookmarkStart w:id="27" w:name="_Toc105773195"/>
      <w:bookmarkStart w:id="28" w:name="_Toc229149808"/>
      <w:r>
        <w:rPr>
          <w:noProof/>
        </w:rPr>
        <w:t>2.1.2.</w:t>
      </w:r>
      <w:r>
        <w:rPr>
          <w:noProof/>
        </w:rPr>
        <w:tab/>
        <w:t>Réduction des paiements mensuels</w:t>
      </w:r>
      <w:bookmarkEnd w:id="25"/>
      <w:bookmarkEnd w:id="26"/>
      <w:bookmarkEnd w:id="27"/>
      <w:bookmarkEnd w:id="28"/>
    </w:p>
    <w:p>
      <w:pPr>
        <w:pStyle w:val="Text1"/>
        <w:spacing w:before="60"/>
      </w:pPr>
      <w:r>
        <w:t xml:space="preserve">Pour certaines mesures financées par le FEAGA, des plafonds financiers sont déterminés dans la législation de l'Union. Les dépenses dépassant ces plafonds sont considérées comme «non éligibles» et entraînent des réductions des paiements mensuels. Lorsqu’il est constaté, sur la base de la déclaration de dépenses, qu’un plafond a été dépassé, le montant excédant ce plafond est déduit du paiement mensuel. En 2025, ces réductions se sont élevées à un montant net de 6,6 millions d’EUR.   </w:t>
      </w:r>
    </w:p>
    <w:p>
      <w:pPr>
        <w:pStyle w:val="ManualHeading2"/>
        <w:spacing w:before="360" w:after="160"/>
        <w:ind w:left="851" w:hanging="851"/>
        <w:rPr>
          <w:noProof/>
        </w:rPr>
      </w:pPr>
      <w:bookmarkStart w:id="29" w:name="_Toc7010708"/>
      <w:bookmarkStart w:id="30" w:name="_Toc102661848"/>
      <w:bookmarkStart w:id="31" w:name="_Toc105773196"/>
      <w:bookmarkStart w:id="32" w:name="_Toc229149809"/>
      <w:r>
        <w:rPr>
          <w:noProof/>
        </w:rPr>
        <w:t>2.1.3.</w:t>
      </w:r>
      <w:r>
        <w:rPr>
          <w:noProof/>
        </w:rPr>
        <w:tab/>
        <w:t>Dépenses effectuées par la Commission en gestion directe</w:t>
      </w:r>
      <w:bookmarkEnd w:id="29"/>
      <w:bookmarkEnd w:id="30"/>
      <w:bookmarkEnd w:id="31"/>
      <w:bookmarkEnd w:id="32"/>
      <w:r>
        <w:rPr>
          <w:noProof/>
          <w:color w:val="FF0000"/>
        </w:rPr>
        <w:t xml:space="preserve"> </w:t>
      </w:r>
    </w:p>
    <w:p>
      <w:pPr>
        <w:pStyle w:val="Text1"/>
        <w:spacing w:after="160"/>
        <w:ind w:left="851"/>
      </w:pPr>
      <w:r>
        <w:t xml:space="preserve">La Commission effectue des paiements en gestion directe pour certaines mesures. Il s’agit principalement de mesures d’assistance technique opérationnelle et de promotion mises en œuvre dans le cadre de programmes multiples et d’autres actions. Pour plus de </w:t>
      </w:r>
      <w:r>
        <w:lastRenderedPageBreak/>
        <w:t>détails, voir les tableaux 2 et 3. Des informations détaillées concernant les crédits votés exécutés en gestion directe par la Commission au cours de l’exercice 2025 pour les dépenses opérationnelles et administratives figurent aux annexes 5 et 6.</w:t>
      </w:r>
    </w:p>
    <w:p>
      <w:pPr>
        <w:pStyle w:val="Text1"/>
      </w:pPr>
    </w:p>
    <w:p>
      <w:pPr>
        <w:pStyle w:val="Text1"/>
        <w:rPr>
          <w:i/>
        </w:rPr>
      </w:pPr>
      <w:r>
        <w:t xml:space="preserve">Tableau 2                                                                                    </w:t>
      </w:r>
      <w:r>
        <w:rPr>
          <w:i/>
        </w:rPr>
        <w:t>(en EUR; prix courants)</w:t>
      </w:r>
    </w:p>
    <w:p>
      <w:pPr>
        <w:pStyle w:val="Text1"/>
        <w:rPr>
          <w:i/>
          <w:iCs/>
        </w:rPr>
      </w:pPr>
      <w:r>
        <w:drawing>
          <wp:inline distT="0" distB="0" distL="0" distR="0">
            <wp:extent cx="5365630" cy="3872458"/>
            <wp:effectExtent l="0" t="0" r="6985" b="0"/>
            <wp:docPr id="8175693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87479" cy="3888227"/>
                    </a:xfrm>
                    <a:prstGeom prst="rect">
                      <a:avLst/>
                    </a:prstGeom>
                    <a:noFill/>
                    <a:ln>
                      <a:noFill/>
                    </a:ln>
                  </pic:spPr>
                </pic:pic>
              </a:graphicData>
            </a:graphic>
          </wp:inline>
        </w:drawing>
      </w:r>
    </w:p>
    <w:p>
      <w:pPr>
        <w:pStyle w:val="Text1"/>
      </w:pPr>
    </w:p>
    <w:p>
      <w:pPr>
        <w:rPr>
          <w:rFonts w:eastAsia="MS PGothic"/>
          <w:noProof/>
          <w:kern w:val="0"/>
          <w:lang w:eastAsia="en-US"/>
          <w14:ligatures w14:val="none"/>
        </w:rPr>
      </w:pPr>
      <w:r>
        <w:rPr>
          <w:noProof/>
        </w:rPr>
        <w:br w:type="page"/>
      </w:r>
    </w:p>
    <w:p>
      <w:pPr>
        <w:pStyle w:val="Text1"/>
      </w:pPr>
      <w:r>
        <w:lastRenderedPageBreak/>
        <w:t xml:space="preserve">Tableau 3                                                                                      </w:t>
      </w:r>
      <w:r>
        <w:rPr>
          <w:i/>
        </w:rPr>
        <w:t>(en EUR; prix courants)</w:t>
      </w:r>
      <w:r>
        <w:t xml:space="preserve"> </w:t>
      </w:r>
    </w:p>
    <w:p>
      <w:pPr>
        <w:pStyle w:val="Text1"/>
        <w:rPr>
          <w:i/>
        </w:rPr>
      </w:pPr>
      <w:r>
        <w:drawing>
          <wp:inline distT="0" distB="0" distL="0" distR="0">
            <wp:extent cx="5374257" cy="2955884"/>
            <wp:effectExtent l="0" t="0" r="0" b="0"/>
            <wp:docPr id="5249008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89974" cy="2964529"/>
                    </a:xfrm>
                    <a:prstGeom prst="rect">
                      <a:avLst/>
                    </a:prstGeom>
                    <a:noFill/>
                    <a:ln>
                      <a:noFill/>
                    </a:ln>
                  </pic:spPr>
                </pic:pic>
              </a:graphicData>
            </a:graphic>
          </wp:inline>
        </w:drawing>
      </w:r>
    </w:p>
    <w:p>
      <w:pPr>
        <w:pStyle w:val="Text1"/>
        <w:rPr>
          <w:i/>
        </w:rPr>
      </w:pPr>
    </w:p>
    <w:p>
      <w:pPr>
        <w:pStyle w:val="ManualHeading2"/>
        <w:spacing w:before="360" w:after="160"/>
        <w:ind w:left="851" w:hanging="851"/>
        <w:rPr>
          <w:noProof/>
          <w:color w:val="FF0000"/>
        </w:rPr>
      </w:pPr>
      <w:bookmarkStart w:id="33" w:name="_Toc229149810"/>
      <w:r>
        <w:rPr>
          <w:noProof/>
        </w:rPr>
        <w:t>2.2.</w:t>
      </w:r>
      <w:r>
        <w:rPr>
          <w:noProof/>
        </w:rPr>
        <w:tab/>
        <w:t>Fonds européen agricole pour le développement rural (Feader) et instrument de l’Union européenne pour la relance (EURI)</w:t>
      </w:r>
      <w:bookmarkEnd w:id="33"/>
    </w:p>
    <w:p>
      <w:pPr>
        <w:pStyle w:val="Text1"/>
      </w:pPr>
      <w:r>
        <w:t xml:space="preserve">L’article 31, paragraphe 1, du </w:t>
      </w:r>
      <w:bookmarkStart w:id="34" w:name="_Hlk173174003"/>
      <w:r>
        <w:t>règlement (UE) 2021/2116</w:t>
      </w:r>
      <w:bookmarkEnd w:id="34"/>
      <w:r>
        <w:t xml:space="preserve"> dispose qu’à la suite de sa décision d’exécution portant approbation du plan stratégique relevant de la PAC, la Commission verse le montant du préfinancement initial à l’État membre pour toute la durée du plan stratégique relevant de la PAC. L’article 32 du règlement (UE) 2021/2116 prévoit également que des paiements intermédiaires soient effectués pour chaque plan stratégique relevant de la PAC pour rembourser les dépenses effectuées par les organismes payeurs agréés dans le cadre de la mise en œuvre des plans stratégiques relevant de la PAC.</w:t>
      </w:r>
    </w:p>
    <w:p>
      <w:pPr>
        <w:pStyle w:val="Text1"/>
      </w:pPr>
      <w:r>
        <w:t>En ce qui concerne l’achèvement des programmes de développement rural approuvés en vertu du règlement (UE) nº 1306/2013</w:t>
      </w:r>
      <w:r>
        <w:rPr>
          <w:rStyle w:val="FootnoteReference"/>
        </w:rPr>
        <w:footnoteReference w:id="6"/>
      </w:r>
      <w:r>
        <w:t>, l’article 34 dudit règlement dispose que le total cumulé du paiement du préfinancement et des paiements intermédiaires s’élève au maximum à 95 % de la participation du Feader à chaque programme de développement rural. Conformément à l’article 36, paragraphe 2, du règlement (UE) nº 1306/2013, et sous réserve des disponibilités budgétaires, la Commission effectue les paiements intermédiaires sous réserve des disponibilités budgétaires, en tenant compte des réductions ou des suspensions appliquées en vertu de l’article 41, pour rembourser les dépenses effectuées par les organismes payeurs agréés pour la mise en œuvre des opérations.</w:t>
      </w:r>
    </w:p>
    <w:p>
      <w:pPr>
        <w:pStyle w:val="Text1"/>
      </w:pPr>
      <w:r>
        <w:t xml:space="preserve">Comme le prévoit l’article 37 du règlement (UE) nº 1306/2013, le paiement du solde est effectué par la Commission, après réception du dernier rapport annuel d’avancement </w:t>
      </w:r>
      <w:r>
        <w:lastRenderedPageBreak/>
        <w:t>relatif à la mise en œuvre d’un programme de développement rural, sur la base du plan financier existant, des comptes annuels du dernier exercice de mise en œuvre du programme de développement rural concerné et de la décision d’apurement correspondante, sous réserve des disponibilités budgétaires.</w:t>
      </w:r>
    </w:p>
    <w:p>
      <w:pPr>
        <w:pStyle w:val="ManualHeading2"/>
        <w:spacing w:before="360" w:after="160"/>
        <w:ind w:left="851" w:hanging="851"/>
        <w:rPr>
          <w:noProof/>
        </w:rPr>
      </w:pPr>
      <w:bookmarkStart w:id="35" w:name="_Toc229149811"/>
      <w:r>
        <w:rPr>
          <w:noProof/>
        </w:rPr>
        <w:t>2.2.1.</w:t>
      </w:r>
      <w:r>
        <w:rPr>
          <w:noProof/>
        </w:rPr>
        <w:tab/>
        <w:t>Paiements</w:t>
      </w:r>
      <w:bookmarkEnd w:id="35"/>
    </w:p>
    <w:p>
      <w:pPr>
        <w:pStyle w:val="Text1"/>
      </w:pPr>
      <w:r>
        <w:t xml:space="preserve">La Commission procède au remboursement pour chaque déclaration trimestrielle des dépenses de l’exercice. </w:t>
      </w:r>
    </w:p>
    <w:p>
      <w:pPr>
        <w:pStyle w:val="Text1"/>
      </w:pPr>
      <w:r>
        <w:t>Pour plus de détails, voir l’annexe 7.</w:t>
      </w:r>
    </w:p>
    <w:p>
      <w:pPr>
        <w:pStyle w:val="ManualHeading2"/>
        <w:spacing w:before="360" w:after="160"/>
        <w:ind w:left="851" w:hanging="851"/>
        <w:rPr>
          <w:noProof/>
        </w:rPr>
      </w:pPr>
      <w:bookmarkStart w:id="36" w:name="_Toc229149812"/>
      <w:r>
        <w:rPr>
          <w:noProof/>
        </w:rPr>
        <w:t>2.2.2.</w:t>
      </w:r>
      <w:r>
        <w:rPr>
          <w:noProof/>
        </w:rPr>
        <w:tab/>
        <w:t>Réductions des paiements</w:t>
      </w:r>
      <w:bookmarkEnd w:id="36"/>
      <w:r>
        <w:rPr>
          <w:noProof/>
        </w:rPr>
        <w:t xml:space="preserve"> </w:t>
      </w:r>
    </w:p>
    <w:p>
      <w:pPr>
        <w:pStyle w:val="Text1"/>
      </w:pPr>
      <w:r>
        <w:t>Pour les mesures financées par le Feader, des plafonds financiers sont déterminés conformément à la législation de l’Union. Les dépenses dépassant ces plafonds sont considérées comme «non éligibles» et entraînent des réductions des paiements. En 2025, des réductions d’un montant net de 57,5 millions d’EUR ont été appliquées aux paiements effectués auprès des États membres, sur la base des déclarations trimestrielles des dépenses pour 2025.</w:t>
      </w:r>
    </w:p>
    <w:p>
      <w:pPr>
        <w:pStyle w:val="ManualHeading2"/>
        <w:spacing w:before="360" w:after="160"/>
        <w:ind w:left="851" w:hanging="851"/>
        <w:rPr>
          <w:noProof/>
        </w:rPr>
      </w:pPr>
      <w:bookmarkStart w:id="37" w:name="_Toc229149813"/>
      <w:r>
        <w:rPr>
          <w:noProof/>
        </w:rPr>
        <w:t>2.2.3.</w:t>
      </w:r>
      <w:r>
        <w:rPr>
          <w:noProof/>
        </w:rPr>
        <w:tab/>
        <w:t>Dépenses effectuées par la Commission en gestion directe</w:t>
      </w:r>
      <w:bookmarkEnd w:id="37"/>
      <w:r>
        <w:rPr>
          <w:noProof/>
          <w:color w:val="FF0000"/>
        </w:rPr>
        <w:t xml:space="preserve"> </w:t>
      </w:r>
    </w:p>
    <w:p>
      <w:pPr>
        <w:pStyle w:val="Text1"/>
      </w:pPr>
      <w:r>
        <w:t xml:space="preserve">La Commission met en œuvre certaines mesures et actions en gestion directe, principalement liées à l’assistance technique opérationnelle. Pour plus de détails, voir les tableaux 4 et 5. Des informations détaillées concernant les crédits votés exécutés en gestion directe par la Commission au cours de l’exercice 2025 pour les dépenses opérationnelles figurent aux annexes 5 et 6. </w:t>
      </w:r>
    </w:p>
    <w:p>
      <w:pPr>
        <w:rPr>
          <w:rFonts w:eastAsia="MS PGothic"/>
          <w:noProof/>
          <w:kern w:val="0"/>
          <w14:ligatures w14:val="none"/>
        </w:rPr>
      </w:pPr>
      <w:r>
        <w:rPr>
          <w:noProof/>
        </w:rPr>
        <w:br w:type="page"/>
      </w:r>
    </w:p>
    <w:p>
      <w:pPr>
        <w:pStyle w:val="Text1"/>
        <w:rPr>
          <w:i/>
        </w:rPr>
      </w:pPr>
      <w:r>
        <w:lastRenderedPageBreak/>
        <w:t xml:space="preserve">Tableau 4                                                                               </w:t>
      </w:r>
      <w:r>
        <w:rPr>
          <w:i/>
        </w:rPr>
        <w:t>(en EUR; prix courants)</w:t>
      </w:r>
    </w:p>
    <w:p>
      <w:pPr>
        <w:pStyle w:val="Text1"/>
        <w:rPr>
          <w:iCs/>
        </w:rPr>
      </w:pPr>
      <w:r>
        <w:drawing>
          <wp:inline distT="0" distB="0" distL="0" distR="0">
            <wp:extent cx="5124091" cy="3999071"/>
            <wp:effectExtent l="0" t="0" r="635" b="1905"/>
            <wp:docPr id="12660137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40598" cy="4011954"/>
                    </a:xfrm>
                    <a:prstGeom prst="rect">
                      <a:avLst/>
                    </a:prstGeom>
                    <a:noFill/>
                    <a:ln>
                      <a:noFill/>
                    </a:ln>
                  </pic:spPr>
                </pic:pic>
              </a:graphicData>
            </a:graphic>
          </wp:inline>
        </w:drawing>
      </w:r>
      <w:r>
        <w:rPr>
          <w:iCs/>
        </w:rPr>
        <w:br/>
      </w:r>
    </w:p>
    <w:p>
      <w:pPr>
        <w:pStyle w:val="Text1"/>
        <w:rPr>
          <w:iCs/>
        </w:rPr>
      </w:pPr>
    </w:p>
    <w:p>
      <w:pPr>
        <w:pStyle w:val="Text1"/>
        <w:rPr>
          <w:i/>
        </w:rPr>
      </w:pPr>
      <w:r>
        <w:t xml:space="preserve">Tableau 5                                                                               </w:t>
      </w:r>
      <w:r>
        <w:rPr>
          <w:i/>
        </w:rPr>
        <w:t>(en EUR; prix courants)</w:t>
      </w:r>
    </w:p>
    <w:p>
      <w:pPr>
        <w:pStyle w:val="Text1"/>
      </w:pPr>
      <w:r>
        <w:drawing>
          <wp:inline distT="0" distB="0" distL="0" distR="0">
            <wp:extent cx="5132717" cy="1896534"/>
            <wp:effectExtent l="0" t="0" r="0" b="8890"/>
            <wp:docPr id="471049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04844" cy="1923185"/>
                    </a:xfrm>
                    <a:prstGeom prst="rect">
                      <a:avLst/>
                    </a:prstGeom>
                    <a:noFill/>
                    <a:ln>
                      <a:noFill/>
                    </a:ln>
                  </pic:spPr>
                </pic:pic>
              </a:graphicData>
            </a:graphic>
          </wp:inline>
        </w:drawing>
      </w:r>
    </w:p>
    <w:p>
      <w:pPr>
        <w:pStyle w:val="Text1"/>
      </w:pPr>
    </w:p>
    <w:p>
      <w:pPr>
        <w:rPr>
          <w:rFonts w:eastAsia="MS PGothic"/>
          <w:noProof/>
        </w:rPr>
      </w:pPr>
      <w:r>
        <w:rPr>
          <w:noProof/>
        </w:rPr>
        <w:br w:type="page"/>
      </w:r>
    </w:p>
    <w:p>
      <w:pPr>
        <w:pStyle w:val="ManualHeading1"/>
        <w:spacing w:after="160"/>
        <w:ind w:left="851" w:hanging="851"/>
        <w:rPr>
          <w:noProof/>
        </w:rPr>
      </w:pPr>
      <w:bookmarkStart w:id="38" w:name="_Toc7010710"/>
      <w:bookmarkStart w:id="39" w:name="_Toc102661850"/>
      <w:bookmarkStart w:id="40" w:name="_Toc105773198"/>
      <w:bookmarkStart w:id="41" w:name="_Toc139622279"/>
      <w:bookmarkStart w:id="42" w:name="_Toc229149814"/>
      <w:r>
        <w:rPr>
          <w:noProof/>
        </w:rPr>
        <w:lastRenderedPageBreak/>
        <w:t>3.</w:t>
      </w:r>
      <w:r>
        <w:rPr>
          <w:noProof/>
        </w:rPr>
        <w:tab/>
        <w:t>ABSORPTION DES CRÉDITS DU FEAGA ET DU FEADER</w:t>
      </w:r>
      <w:bookmarkEnd w:id="38"/>
      <w:bookmarkEnd w:id="39"/>
      <w:bookmarkEnd w:id="40"/>
      <w:bookmarkEnd w:id="41"/>
      <w:bookmarkEnd w:id="42"/>
      <w:r>
        <w:rPr>
          <w:noProof/>
        </w:rPr>
        <w:t xml:space="preserve"> </w:t>
      </w:r>
    </w:p>
    <w:p>
      <w:pPr>
        <w:pStyle w:val="ManualHeading2"/>
        <w:rPr>
          <w:noProof/>
        </w:rPr>
      </w:pPr>
      <w:bookmarkStart w:id="43" w:name="_Toc229149815"/>
      <w:r>
        <w:rPr>
          <w:noProof/>
        </w:rPr>
        <w:t>3.1</w:t>
      </w:r>
      <w:r>
        <w:rPr>
          <w:noProof/>
        </w:rPr>
        <w:tab/>
        <w:t>Fonds européen agricole de garantie (FEAGA)</w:t>
      </w:r>
      <w:bookmarkEnd w:id="43"/>
    </w:p>
    <w:p>
      <w:pPr>
        <w:pStyle w:val="Text1"/>
        <w:ind w:left="851"/>
      </w:pPr>
      <w:bookmarkStart w:id="44" w:name="_Hlk200465182"/>
      <w:r>
        <w:t>L’exécution des crédits du FEAGA s’est élevée à 40 875,4 millions d’EUR</w:t>
      </w:r>
      <w:bookmarkEnd w:id="44"/>
      <w:r>
        <w:t>. Ces dépenses ont été financées par les crédits initiaux du budget et par l’utilisation des recettes affectées au FEAGA. Sur les 995,3 millions d’EUR de recettes affectées au FEAGA perçues en 2025 et reportées de 2024 (dont 983,6 millions d’EUR provenant de la gestion partagée), 924,6 millions d’EUR ont servi à couvrir les besoins de paiements.</w:t>
      </w:r>
    </w:p>
    <w:p>
      <w:pPr>
        <w:pStyle w:val="Text1"/>
        <w:ind w:left="851"/>
      </w:pPr>
      <w:r>
        <w:t>Dans le chapitre 08 01, les engagements du FEAGA pour les dépenses d’appui administratif relevant de l’article 08 01 01 se sont élevés à 12,4 millions d’EUR (dont 9,7 millions d’EUR de recettes affectées reportées de l’exercice 2024).</w:t>
      </w:r>
    </w:p>
    <w:p>
      <w:pPr>
        <w:pStyle w:val="Text1"/>
        <w:ind w:left="851"/>
      </w:pPr>
      <w:bookmarkStart w:id="45" w:name="_Hlk200465359"/>
      <w:r>
        <w:t xml:space="preserve">255,3 millions d’EUR provenant de la réserve agricole ont été utilisés pour financer diverses mesures exceptionnelles de soutien. </w:t>
      </w:r>
    </w:p>
    <w:p>
      <w:pPr>
        <w:pStyle w:val="Text1"/>
        <w:ind w:left="851"/>
      </w:pPr>
      <w:r>
        <w:t>Dans le chapitre 08 02, les dépenses totales du FEAGA pour les interventions liées au marché, au titre des plans relevant de la PAC (article 08 02 02) et hors des plans relevant de la PAC (article 08 02 03), se sont élevées à 2 802,7 millions d’EUR</w:t>
      </w:r>
      <w:bookmarkEnd w:id="45"/>
      <w:r>
        <w:t xml:space="preserve">. </w:t>
      </w:r>
    </w:p>
    <w:p>
      <w:pPr>
        <w:pStyle w:val="Text1"/>
        <w:ind w:left="851"/>
      </w:pPr>
      <w:r>
        <w:t>Les paiements directs au cours de l’exercice 2025 ont été exécutés au titre des plans relevant de la PAC (article 08 02 04 du budget) conformément aux règles prévues par le règlement (UE) 2021/2115, et en dehors des plans relevant de la PAC (article 08 02 05 du budget), conformément aux règles prévues par le règlement (UE) nº 1307/2013</w:t>
      </w:r>
      <w:r>
        <w:rPr>
          <w:rStyle w:val="FootnoteReference"/>
        </w:rPr>
        <w:footnoteReference w:id="7"/>
      </w:r>
      <w:r>
        <w:t xml:space="preserve">. Le total des dépenses liées s’élève à 37 683,3 millions d’EUR. </w:t>
      </w:r>
    </w:p>
    <w:p>
      <w:pPr>
        <w:pStyle w:val="Text1"/>
        <w:ind w:left="851"/>
      </w:pPr>
      <w:r>
        <w:t>Enfin, 119,1 millions d’EUR ont été engagés au titre de l'article 08 02 06 – Stratégie politique, coordination et audit (dont 101,6 millions d’EUR pour l’assistance technique) et 2,7 millions d’EUR au titre de l’article 08 02 99 – Achèvement des activités et des programmes antérieurs.</w:t>
      </w:r>
    </w:p>
    <w:p>
      <w:pPr>
        <w:pStyle w:val="Text1"/>
        <w:ind w:left="851"/>
      </w:pPr>
      <w:r>
        <w:t>La sous-exécution pour le FEAGA s’élevait à 70,7 millions d’EUR en crédits de recettes affectées (dont 70,2 millions provenant de la gestion partagée), qui ont été reportés à l’exercice 2026. En outre, les crédits inutilisés de la réserve agricole se sont élevés à 391,4 millions d’EUR. Le montant total a été reporté à la réserve agricole 2026, conformément à l’article 16, paragraphe 2, du règlement (UE) 2021/2116, partiellement pour financer les dépenses restantes liées aux mesures exceptionnelles adoptées en 2025.</w:t>
      </w:r>
    </w:p>
    <w:p>
      <w:pPr>
        <w:pStyle w:val="Text1"/>
        <w:ind w:left="851"/>
      </w:pPr>
      <w:r>
        <w:t>Pour plus de détails sur l’exécution du budget par domaine politique ainsi que sur l’utilisation des recettes affectées, voir les annexes 8, 9, 10, 11 et 12.</w:t>
      </w:r>
    </w:p>
    <w:p>
      <w:pPr>
        <w:pStyle w:val="ManualHeading2"/>
        <w:spacing w:before="360" w:after="160"/>
        <w:ind w:left="851" w:hanging="851"/>
        <w:rPr>
          <w:noProof/>
        </w:rPr>
      </w:pPr>
      <w:bookmarkStart w:id="46" w:name="_Toc229149816"/>
      <w:r>
        <w:rPr>
          <w:noProof/>
        </w:rPr>
        <w:t>3.2.</w:t>
      </w:r>
      <w:r>
        <w:rPr>
          <w:noProof/>
        </w:rPr>
        <w:tab/>
        <w:t>Fonds européen agricole pour le développement rural (Feader) et instrument de l’Union européenne pour la relance (EURI)</w:t>
      </w:r>
      <w:bookmarkEnd w:id="46"/>
      <w:r>
        <w:rPr>
          <w:noProof/>
          <w:color w:val="FF0000"/>
        </w:rPr>
        <w:t xml:space="preserve"> </w:t>
      </w:r>
    </w:p>
    <w:p>
      <w:pPr>
        <w:pStyle w:val="Text1"/>
        <w:ind w:left="851"/>
      </w:pPr>
      <w:r>
        <w:t xml:space="preserve">L’exécution des crédits d’engagement du Feader s’est élevée à 13 226,7 millions d’EUR (annexe 13), en utilisant les crédits initiaux du budget voté et les recettes affectées internes et externes du Feader. </w:t>
      </w:r>
    </w:p>
    <w:p>
      <w:pPr>
        <w:pStyle w:val="Text1"/>
        <w:ind w:left="851"/>
      </w:pPr>
      <w:r>
        <w:lastRenderedPageBreak/>
        <w:t xml:space="preserve">Dans le chapitre 08 01, le montant engagé pour le Feader s’élevait à 2,4 millions d’EUR pour l’appui administratif au programme. </w:t>
      </w:r>
    </w:p>
    <w:p>
      <w:pPr>
        <w:pStyle w:val="Text1"/>
        <w:ind w:left="851"/>
      </w:pPr>
      <w:r>
        <w:t>Dans le chapitre 08 03, outre le montant engagé lié à la mise en œuvre des types d’intervention au titre des plans stratégiques relevant de la PAC (13 195,7 millions d’EUR):</w:t>
      </w:r>
    </w:p>
    <w:p>
      <w:pPr>
        <w:pStyle w:val="Text1"/>
        <w:numPr>
          <w:ilvl w:val="0"/>
          <w:numId w:val="40"/>
        </w:numPr>
      </w:pPr>
      <w:r>
        <w:t>28,2 millions d’EUR étaient engagés pour l’assistance technique opérationnelle et</w:t>
      </w:r>
    </w:p>
    <w:p>
      <w:pPr>
        <w:pStyle w:val="Text1"/>
        <w:numPr>
          <w:ilvl w:val="0"/>
          <w:numId w:val="40"/>
        </w:numPr>
      </w:pPr>
      <w:r>
        <w:t>0,3 million d’EUR était engagé pour les opérations de remboursement des programmes de développement rural au cours des périodes antérieures (avant 2023).</w:t>
      </w:r>
    </w:p>
    <w:p>
      <w:pPr>
        <w:pStyle w:val="Text1"/>
        <w:ind w:left="851"/>
      </w:pPr>
      <w:r>
        <w:t xml:space="preserve">L’exécution des crédits de paiement du Feader s’est élevée à 15 852,4 millions d’EUR (annexe 13). Ce paiement a été financé par les crédits du budget voté et par l’utilisation des recettes affectées internes et externes du Feader. </w:t>
      </w:r>
    </w:p>
    <w:p>
      <w:pPr>
        <w:pStyle w:val="Text1"/>
        <w:ind w:left="851"/>
      </w:pPr>
      <w:r>
        <w:t xml:space="preserve">Dans le chapitre 08 01, le montant payé pour le Feader s’élevait à 2,2 millions d’EUR pour l’appui administratif au programme. </w:t>
      </w:r>
    </w:p>
    <w:p>
      <w:pPr>
        <w:pStyle w:val="Text1"/>
        <w:ind w:left="851"/>
      </w:pPr>
      <w:r>
        <w:t>Dans le chapitre 08 03, les paiements se sont élevés à:</w:t>
      </w:r>
    </w:p>
    <w:p>
      <w:pPr>
        <w:pStyle w:val="Text1"/>
        <w:numPr>
          <w:ilvl w:val="0"/>
          <w:numId w:val="40"/>
        </w:numPr>
      </w:pPr>
      <w:r>
        <w:t>7 969,8 millions d’EUR pour les types d’intervention au titre des plans stratégiques relevant de la PAC;</w:t>
      </w:r>
    </w:p>
    <w:p>
      <w:pPr>
        <w:pStyle w:val="Text1"/>
        <w:numPr>
          <w:ilvl w:val="0"/>
          <w:numId w:val="40"/>
        </w:numPr>
      </w:pPr>
      <w:r>
        <w:t>7 854,3 millions d’EUR pour les opérations des programmes de développement rural au cours des périodes antérieures (avant 2023);</w:t>
      </w:r>
    </w:p>
    <w:p>
      <w:pPr>
        <w:pStyle w:val="Text1"/>
        <w:numPr>
          <w:ilvl w:val="0"/>
          <w:numId w:val="40"/>
        </w:numPr>
      </w:pPr>
      <w:r>
        <w:t>26,1 millions d’EUR pour l’assistance technique opérationnelle.</w:t>
      </w:r>
    </w:p>
    <w:p>
      <w:pPr>
        <w:pStyle w:val="Text1"/>
        <w:ind w:left="851"/>
      </w:pPr>
      <w:r>
        <w:t>La majorité des dépenses du Feader sont exécutées en gestion partagée, tandis qu’une petite partie est exécutée en gestion directe.</w:t>
      </w:r>
    </w:p>
    <w:p>
      <w:pPr>
        <w:pStyle w:val="Text1"/>
      </w:pPr>
      <w:r>
        <w:t>Gestion partagée:  taux d’absorption du Feader 2014-2022 et du Feader 2023-2027 par État membre (graphiques 1a-d):</w:t>
      </w:r>
    </w:p>
    <w:p>
      <w:pPr>
        <w:pStyle w:val="Text1"/>
        <w:ind w:left="851"/>
      </w:pPr>
    </w:p>
    <w:p>
      <w:pPr>
        <w:pStyle w:val="Text1"/>
        <w:ind w:left="851"/>
      </w:pPr>
    </w:p>
    <w:p>
      <w:pPr>
        <w:pStyle w:val="Text1"/>
        <w:ind w:left="851"/>
      </w:pPr>
    </w:p>
    <w:p>
      <w:pPr>
        <w:pStyle w:val="Text1"/>
        <w:ind w:left="851"/>
      </w:pPr>
      <w:r>
        <w:lastRenderedPageBreak/>
        <w:drawing>
          <wp:inline distT="0" distB="0" distL="0" distR="0">
            <wp:extent cx="5278614" cy="3726611"/>
            <wp:effectExtent l="0" t="0" r="0" b="7620"/>
            <wp:docPr id="16073583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302637" cy="3743571"/>
                    </a:xfrm>
                    <a:prstGeom prst="rect">
                      <a:avLst/>
                    </a:prstGeom>
                    <a:noFill/>
                    <a:ln>
                      <a:noFill/>
                    </a:ln>
                  </pic:spPr>
                </pic:pic>
              </a:graphicData>
            </a:graphic>
          </wp:inline>
        </w:drawing>
      </w:r>
    </w:p>
    <w:p>
      <w:pPr>
        <w:pStyle w:val="Text1"/>
        <w:ind w:left="851"/>
      </w:pPr>
    </w:p>
    <w:p>
      <w:pPr>
        <w:pStyle w:val="Text1"/>
        <w:ind w:left="851"/>
      </w:pPr>
      <w:r>
        <w:drawing>
          <wp:inline distT="0" distB="0" distL="0" distR="0">
            <wp:extent cx="5281864" cy="3157268"/>
            <wp:effectExtent l="0" t="0" r="0" b="5080"/>
            <wp:docPr id="20978301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94100" cy="3164582"/>
                    </a:xfrm>
                    <a:prstGeom prst="rect">
                      <a:avLst/>
                    </a:prstGeom>
                    <a:noFill/>
                    <a:ln>
                      <a:noFill/>
                    </a:ln>
                  </pic:spPr>
                </pic:pic>
              </a:graphicData>
            </a:graphic>
          </wp:inline>
        </w:drawing>
      </w:r>
    </w:p>
    <w:p>
      <w:pPr>
        <w:pStyle w:val="Text1"/>
        <w:ind w:left="851"/>
      </w:pPr>
    </w:p>
    <w:p>
      <w:pPr>
        <w:pStyle w:val="Text1"/>
        <w:ind w:left="851"/>
      </w:pPr>
    </w:p>
    <w:p>
      <w:pPr>
        <w:pStyle w:val="Text1"/>
        <w:ind w:left="851"/>
      </w:pPr>
    </w:p>
    <w:p>
      <w:pPr>
        <w:pStyle w:val="Text1"/>
        <w:ind w:left="851"/>
      </w:pPr>
      <w:r>
        <w:lastRenderedPageBreak/>
        <w:drawing>
          <wp:inline distT="0" distB="0" distL="0" distR="0">
            <wp:extent cx="5662686" cy="3666226"/>
            <wp:effectExtent l="0" t="0" r="0" b="0"/>
            <wp:docPr id="8994174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679644" cy="3677205"/>
                    </a:xfrm>
                    <a:prstGeom prst="rect">
                      <a:avLst/>
                    </a:prstGeom>
                    <a:noFill/>
                    <a:ln>
                      <a:noFill/>
                    </a:ln>
                  </pic:spPr>
                </pic:pic>
              </a:graphicData>
            </a:graphic>
          </wp:inline>
        </w:drawing>
      </w:r>
    </w:p>
    <w:p>
      <w:pPr>
        <w:pStyle w:val="Text1"/>
        <w:ind w:left="851"/>
      </w:pPr>
      <w:r>
        <w:drawing>
          <wp:inline distT="0" distB="0" distL="0" distR="0">
            <wp:extent cx="5649106" cy="3502325"/>
            <wp:effectExtent l="0" t="0" r="8890" b="3175"/>
            <wp:docPr id="148088025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682473" cy="3523012"/>
                    </a:xfrm>
                    <a:prstGeom prst="rect">
                      <a:avLst/>
                    </a:prstGeom>
                    <a:noFill/>
                    <a:ln>
                      <a:noFill/>
                    </a:ln>
                  </pic:spPr>
                </pic:pic>
              </a:graphicData>
            </a:graphic>
          </wp:inline>
        </w:drawing>
      </w:r>
    </w:p>
    <w:p>
      <w:pPr>
        <w:pStyle w:val="Text1"/>
        <w:ind w:left="851"/>
      </w:pPr>
      <w:r>
        <w:t>Pour plus de détails sur l’exécution du budget par les États membres et par domaine politique ainsi que sur l’utilisation des recettes affectées, voir les annexes 14 à 17.</w:t>
      </w:r>
    </w:p>
    <w:p>
      <w:pPr>
        <w:pStyle w:val="ManualHeading1"/>
        <w:spacing w:after="160"/>
        <w:ind w:left="851" w:hanging="851"/>
        <w:rPr>
          <w:noProof/>
        </w:rPr>
      </w:pPr>
      <w:bookmarkStart w:id="47" w:name="DQC4262"/>
      <w:bookmarkStart w:id="48" w:name="DQC4263"/>
      <w:bookmarkStart w:id="49" w:name="_Toc322938639"/>
      <w:bookmarkStart w:id="50" w:name="_Toc102661874"/>
      <w:bookmarkStart w:id="51" w:name="_Toc105773228"/>
      <w:bookmarkStart w:id="52" w:name="_Toc139622280"/>
      <w:bookmarkStart w:id="53" w:name="_Toc229149817"/>
      <w:bookmarkEnd w:id="47"/>
      <w:bookmarkEnd w:id="48"/>
      <w:r>
        <w:rPr>
          <w:noProof/>
        </w:rPr>
        <w:lastRenderedPageBreak/>
        <w:t>4.</w:t>
      </w:r>
      <w:r>
        <w:rPr>
          <w:noProof/>
        </w:rPr>
        <w:tab/>
        <w:t>MESURES DE CONTRÔLE</w:t>
      </w:r>
      <w:bookmarkEnd w:id="49"/>
      <w:bookmarkEnd w:id="50"/>
      <w:bookmarkEnd w:id="51"/>
      <w:bookmarkEnd w:id="52"/>
      <w:bookmarkEnd w:id="53"/>
      <w:r>
        <w:rPr>
          <w:noProof/>
        </w:rPr>
        <w:t xml:space="preserve"> </w:t>
      </w:r>
    </w:p>
    <w:p>
      <w:pPr>
        <w:pStyle w:val="ManualHeading2"/>
        <w:spacing w:after="160"/>
        <w:ind w:left="851" w:hanging="851"/>
        <w:rPr>
          <w:noProof/>
        </w:rPr>
      </w:pPr>
      <w:bookmarkStart w:id="54" w:name="_Toc322938640"/>
      <w:bookmarkStart w:id="55" w:name="_Toc102661875"/>
      <w:bookmarkStart w:id="56" w:name="_Toc105773229"/>
      <w:bookmarkStart w:id="57" w:name="_Toc139622281"/>
      <w:bookmarkStart w:id="58" w:name="_Toc229149818"/>
      <w:r>
        <w:rPr>
          <w:noProof/>
        </w:rPr>
        <w:t>4.1.</w:t>
      </w:r>
      <w:r>
        <w:rPr>
          <w:noProof/>
        </w:rPr>
        <w:tab/>
        <w:t>Introduction</w:t>
      </w:r>
      <w:bookmarkEnd w:id="54"/>
      <w:bookmarkEnd w:id="55"/>
      <w:bookmarkEnd w:id="56"/>
      <w:bookmarkEnd w:id="57"/>
      <w:bookmarkEnd w:id="58"/>
    </w:p>
    <w:p>
      <w:pPr>
        <w:pStyle w:val="Text1"/>
      </w:pPr>
      <w:r>
        <w:t>Conformément à la législation de l’UE et comme pour les exercices précédents, les dépenses agricoles de 2025 ont fait l’objet d’un système complet de mesures de contrôle.</w:t>
      </w:r>
    </w:p>
    <w:p>
      <w:pPr>
        <w:pStyle w:val="Text1"/>
      </w:pPr>
      <w:r>
        <w:t>Ces contrôles sont réalisés par les organismes payeurs ou par des organismes délégués agissant sous leur supervision et donnent lieu à des sanctions effectives, dissuasives et proportionnées s’ils révèlent une non-conformité aux règles de l’UE. En outre, pour la plupart des régimes qui ne sont pas soumis au système intégré de gestion et de contrôle, des contrôles ex-post doivent être réalisés en sus des niveaux de contrôle primaire et secondaire.</w:t>
      </w:r>
    </w:p>
    <w:p>
      <w:pPr>
        <w:pStyle w:val="ManualHeading2"/>
        <w:spacing w:before="360" w:after="160"/>
        <w:ind w:left="851" w:hanging="851"/>
        <w:rPr>
          <w:noProof/>
        </w:rPr>
      </w:pPr>
      <w:bookmarkStart w:id="59" w:name="_Toc322938641"/>
      <w:bookmarkStart w:id="60" w:name="_Toc102661876"/>
      <w:bookmarkStart w:id="61" w:name="_Toc105773230"/>
      <w:bookmarkStart w:id="62" w:name="_Toc139622282"/>
      <w:bookmarkStart w:id="63" w:name="_Toc229149819"/>
      <w:r>
        <w:rPr>
          <w:noProof/>
        </w:rPr>
        <w:t>4.2.</w:t>
      </w:r>
      <w:r>
        <w:rPr>
          <w:noProof/>
        </w:rPr>
        <w:tab/>
        <w:t>Système intégré de gestion et de contrôle (SIGC)</w:t>
      </w:r>
      <w:bookmarkEnd w:id="59"/>
      <w:bookmarkEnd w:id="60"/>
      <w:bookmarkEnd w:id="61"/>
      <w:bookmarkEnd w:id="62"/>
      <w:bookmarkEnd w:id="63"/>
    </w:p>
    <w:p>
      <w:pPr>
        <w:pStyle w:val="Text1"/>
      </w:pPr>
      <w:r>
        <w:t>Le règlement (UE) nº 1306/2013, le règlement délégué (UE) nº 640/2014 de la Commission</w:t>
      </w:r>
      <w:r>
        <w:rPr>
          <w:vertAlign w:val="superscript"/>
        </w:rPr>
        <w:footnoteReference w:id="8"/>
      </w:r>
      <w:r>
        <w:t xml:space="preserve"> et le règlement d’exécution (UE) nº 809/2014 de la Commission</w:t>
      </w:r>
      <w:r>
        <w:rPr>
          <w:rStyle w:val="FootnoteReference"/>
        </w:rPr>
        <w:footnoteReference w:id="9"/>
      </w:r>
      <w:r>
        <w:t>, ainsi que le règlement (UE) 2021/2116, le règlement délégué (UE) 2022/1172 de la Commission</w:t>
      </w:r>
      <w:r>
        <w:rPr>
          <w:rStyle w:val="FootnoteReference"/>
        </w:rPr>
        <w:footnoteReference w:id="10"/>
      </w:r>
      <w:r>
        <w:t xml:space="preserve"> et le règlement d'exécution (UE) 2022/1173 de la Commission</w:t>
      </w:r>
      <w:r>
        <w:rPr>
          <w:rStyle w:val="FootnoteReference"/>
        </w:rPr>
        <w:footnoteReference w:id="11"/>
      </w:r>
      <w:r>
        <w:t xml:space="preserve"> présentent les règles relatives au SIGC.</w:t>
      </w:r>
    </w:p>
    <w:p>
      <w:pPr>
        <w:pStyle w:val="Text1"/>
      </w:pPr>
      <w:r>
        <w:t>Le rapport annuel d’activités (RAA) de la DG AGRI pour 2025</w:t>
      </w:r>
      <w:r>
        <w:rPr>
          <w:vertAlign w:val="superscript"/>
        </w:rPr>
        <w:footnoteReference w:id="12"/>
      </w:r>
      <w:r>
        <w:t xml:space="preserve"> contient des informations détaillées sur les dépenses couvertes par le SIGC à l’annexe 7, partie 2, A.2.3.a). Les composantes pertinentes du SIGC sont également applicables aux mesures de développement rural, qui sont basées sur la surface ou sur le nombre d’animaux. Ces mesures comprennent, entre autres, les mesures agroenvironnementales et relatives au bien-être des animaux, celles concernant les zones défavorisées et les zones soumises à des contraintes environnementales et celles se rapportant au boisement des surfaces agricoles. </w:t>
      </w:r>
    </w:p>
    <w:p>
      <w:pPr>
        <w:pStyle w:val="ManualHeading2"/>
        <w:spacing w:after="160"/>
        <w:ind w:left="851" w:hanging="851"/>
        <w:rPr>
          <w:noProof/>
        </w:rPr>
      </w:pPr>
      <w:bookmarkStart w:id="64" w:name="_Toc139622283"/>
      <w:bookmarkStart w:id="65" w:name="_Toc229149820"/>
      <w:r>
        <w:rPr>
          <w:noProof/>
        </w:rPr>
        <w:t>4.3.</w:t>
      </w:r>
      <w:r>
        <w:rPr>
          <w:noProof/>
        </w:rPr>
        <w:tab/>
      </w:r>
      <w:bookmarkStart w:id="66" w:name="_Hlk169880891"/>
      <w:r>
        <w:rPr>
          <w:noProof/>
        </w:rPr>
        <w:t>Application du titre IV, chapitre III, du règlement (UE) 2021/2116 (contrôle des opérations)</w:t>
      </w:r>
      <w:bookmarkEnd w:id="64"/>
      <w:bookmarkEnd w:id="65"/>
    </w:p>
    <w:p>
      <w:pPr>
        <w:pStyle w:val="Text1"/>
      </w:pPr>
      <w:r>
        <w:t xml:space="preserve">En 2025, le système de contrôle des opérations prévu au titre IV, chapitre III, du règlement (UE) 2021/2116 s’est appliqué. Il se composait d’un système de contrôles ex-post complétant les systèmes de contrôles sectoriels décrits ci-dessus. </w:t>
      </w:r>
    </w:p>
    <w:p>
      <w:pPr>
        <w:pStyle w:val="Text1"/>
      </w:pPr>
      <w:bookmarkStart w:id="67" w:name="_Hlk169880845"/>
      <w:r>
        <w:t xml:space="preserve">En 2025, les services de contrôle des États membres ont procédé à des contrôles relatifs à des opérations pour lesquelles des paiements ont été effectués durant l’exercice 2023. Les rapports annuels concernant la période de contrôle respective (juillet 2024 - juin </w:t>
      </w:r>
      <w:r>
        <w:lastRenderedPageBreak/>
        <w:t>2025) indiquent que les États membres ont effectué 89 % des contrôles prévus à la fin de la période de déclaration des contrôles</w:t>
      </w:r>
      <w:bookmarkEnd w:id="67"/>
      <w:r>
        <w:t xml:space="preserve">. Les contrôles achevés présentent un taux d’irrégularités inférieur à 1 %. </w:t>
      </w:r>
    </w:p>
    <w:p>
      <w:pPr>
        <w:pStyle w:val="Text1"/>
      </w:pPr>
    </w:p>
    <w:p>
      <w:pPr>
        <w:pStyle w:val="ManualHeading1"/>
        <w:spacing w:after="160"/>
        <w:ind w:left="851" w:hanging="851"/>
        <w:rPr>
          <w:noProof/>
          <w:color w:val="FF0000"/>
        </w:rPr>
      </w:pPr>
      <w:bookmarkStart w:id="68" w:name="_Toc322938644"/>
      <w:bookmarkStart w:id="69" w:name="_Toc102661879"/>
      <w:bookmarkStart w:id="70" w:name="_Toc105773233"/>
      <w:bookmarkStart w:id="71" w:name="_Toc139622284"/>
      <w:bookmarkStart w:id="72" w:name="_Toc229149821"/>
      <w:bookmarkEnd w:id="66"/>
      <w:r>
        <w:rPr>
          <w:noProof/>
        </w:rPr>
        <w:t>5.</w:t>
      </w:r>
      <w:r>
        <w:rPr>
          <w:noProof/>
        </w:rPr>
        <w:tab/>
        <w:t>APUREMENT COMPTABLE</w:t>
      </w:r>
      <w:bookmarkEnd w:id="68"/>
      <w:bookmarkEnd w:id="69"/>
      <w:bookmarkEnd w:id="70"/>
      <w:bookmarkEnd w:id="71"/>
      <w:bookmarkEnd w:id="72"/>
      <w:r>
        <w:rPr>
          <w:noProof/>
        </w:rPr>
        <w:t xml:space="preserve"> </w:t>
      </w:r>
    </w:p>
    <w:p>
      <w:pPr>
        <w:pStyle w:val="ManualHeading2"/>
        <w:spacing w:after="160"/>
        <w:ind w:left="851" w:hanging="851"/>
        <w:rPr>
          <w:noProof/>
        </w:rPr>
      </w:pPr>
      <w:bookmarkStart w:id="73" w:name="_Toc102661880"/>
      <w:bookmarkStart w:id="74" w:name="_Toc105773234"/>
      <w:bookmarkStart w:id="75" w:name="_Toc139622285"/>
      <w:bookmarkStart w:id="76" w:name="_Toc229149822"/>
      <w:bookmarkStart w:id="77" w:name="_Toc322938645"/>
      <w:r>
        <w:rPr>
          <w:noProof/>
        </w:rPr>
        <w:t>5.1.</w:t>
      </w:r>
      <w:r>
        <w:rPr>
          <w:noProof/>
        </w:rPr>
        <w:tab/>
        <w:t>Apurement de conformité</w:t>
      </w:r>
      <w:bookmarkEnd w:id="73"/>
      <w:bookmarkEnd w:id="74"/>
      <w:bookmarkEnd w:id="75"/>
      <w:bookmarkEnd w:id="76"/>
    </w:p>
    <w:bookmarkEnd w:id="77"/>
    <w:p>
      <w:pPr>
        <w:pStyle w:val="Text1"/>
      </w:pPr>
      <w:r>
        <w:t>Il est essentiellement de la responsabilité des États membres de veiller à ce que les transactions soient effectuées et exécutées correctement au moyen d’un système de contrôles et de sanctions dissuasives. Si les États membres ne respectent pas cette obligation, la Commission applique des corrections financières pour protéger les intérêts financiers de l’UE.</w:t>
      </w:r>
    </w:p>
    <w:p>
      <w:pPr>
        <w:pStyle w:val="Text1"/>
      </w:pPr>
      <w:r>
        <w:t xml:space="preserve">L’apurement de conformité au titre de la PAC applicable à l’exercice 2025 se rapporte à la légalité et à la régularité des transactions. Il est conçu pour exclure du financement de l’UE les dépenses qui n’ont pas été effectuées conformément aux règles de l’UE. </w:t>
      </w:r>
    </w:p>
    <w:p>
      <w:pPr>
        <w:pStyle w:val="Text1"/>
      </w:pPr>
      <w:bookmarkStart w:id="78" w:name="_Toc322938648"/>
      <w:r>
        <w:t>Pour des informations détaillées sur les audits réalisés en 2025, voir le tableau 2.1.2a).1-2 du RAA.</w:t>
      </w:r>
    </w:p>
    <w:bookmarkEnd w:id="78"/>
    <w:p>
      <w:pPr>
        <w:pStyle w:val="Text1"/>
      </w:pPr>
      <w:r>
        <w:t>Les décisions d’apurement de conformité adoptées en 2025, y compris les corrections financières appliquées dans un certain nombre de secteurs, sont énumérées dans le tableau Annexe 7 – Partie 3 A.b.1)-1 du RAA.</w:t>
      </w:r>
    </w:p>
    <w:p>
      <w:pPr>
        <w:pStyle w:val="Text1"/>
      </w:pPr>
      <w:r>
        <w:t>Les décisions d’apurement de conformité suivantes ont eu une incidence financière sur le budget 2025:</w:t>
      </w:r>
    </w:p>
    <w:p>
      <w:pPr>
        <w:pStyle w:val="ListBullet1"/>
        <w:tabs>
          <w:tab w:val="num" w:pos="1134"/>
        </w:tabs>
        <w:ind w:left="1134" w:hanging="283"/>
        <w:rPr>
          <w:noProof/>
        </w:rPr>
      </w:pPr>
      <w:r>
        <w:rPr>
          <w:noProof/>
        </w:rPr>
        <w:t>décision (UE) 2024/2879 du 13 novembre 2024 – décision ad hoc 74, avec un montant net décidé de 178,8 millions d’EUR en faveur du FEAGA et de 39,9 millions d’EUR en faveur du Feader;</w:t>
      </w:r>
    </w:p>
    <w:p>
      <w:pPr>
        <w:pStyle w:val="ListBullet1"/>
        <w:tabs>
          <w:tab w:val="num" w:pos="1134"/>
        </w:tabs>
        <w:ind w:left="1134" w:hanging="283"/>
        <w:rPr>
          <w:noProof/>
        </w:rPr>
      </w:pPr>
      <w:r>
        <w:rPr>
          <w:noProof/>
        </w:rPr>
        <w:t>décision (UE) 2025/209 du 5 février 2025 – décision ad hoc 75 (UK seul), avec une incidence financière de 3,7 millions d’EUR en faveur du Feader;</w:t>
      </w:r>
    </w:p>
    <w:p>
      <w:pPr>
        <w:pStyle w:val="ListBullet1"/>
        <w:tabs>
          <w:tab w:val="num" w:pos="1134"/>
        </w:tabs>
        <w:ind w:left="1134" w:hanging="283"/>
        <w:rPr>
          <w:noProof/>
        </w:rPr>
      </w:pPr>
      <w:r>
        <w:rPr>
          <w:noProof/>
        </w:rPr>
        <w:t>décision (UE) 2025/1147 du 11 juin 2025 – décision ad hoc 76, avec un montant net décidé de 475,3 millions d’EUR en faveur du FEAGA et de 46 millions d’EUR en faveur du Feader.</w:t>
      </w:r>
    </w:p>
    <w:p>
      <w:pPr>
        <w:pStyle w:val="ListBullet1"/>
        <w:numPr>
          <w:ilvl w:val="0"/>
          <w:numId w:val="0"/>
        </w:numPr>
        <w:ind w:left="851"/>
        <w:rPr>
          <w:noProof/>
        </w:rPr>
      </w:pPr>
      <w:r>
        <w:rPr>
          <w:noProof/>
        </w:rPr>
        <w:t>Après prise en considération de l’exécution d’un certain nombre d’arrêts de la Cour de justice de l’Union européenne en faveur des États membres et du déblocage des suspensions de paiement, l’incidence financière globale de ces décisions pour les fonds était de 653,1 millions d’EUR en faveur du FEAGA et de 89,4 millions d’EUR en faveur du Feader.</w:t>
      </w:r>
    </w:p>
    <w:p>
      <w:pPr>
        <w:pStyle w:val="ListBullet1"/>
        <w:numPr>
          <w:ilvl w:val="0"/>
          <w:numId w:val="0"/>
        </w:numPr>
        <w:spacing w:after="160"/>
        <w:ind w:left="851"/>
        <w:rPr>
          <w:noProof/>
        </w:rPr>
      </w:pPr>
      <w:r>
        <w:rPr>
          <w:noProof/>
        </w:rPr>
        <w:t>L’annexe 18 détaille les corrections financières appliquées dans les décisions d’apurement de conformité jusqu’en 2025.</w:t>
      </w:r>
    </w:p>
    <w:p>
      <w:pPr>
        <w:pStyle w:val="ListBullet1"/>
        <w:numPr>
          <w:ilvl w:val="0"/>
          <w:numId w:val="0"/>
        </w:numPr>
        <w:ind w:left="851"/>
        <w:rPr>
          <w:noProof/>
        </w:rPr>
      </w:pPr>
      <w:r>
        <w:rPr>
          <w:noProof/>
        </w:rPr>
        <w:t xml:space="preserve">Pour la </w:t>
      </w:r>
      <w:bookmarkStart w:id="79" w:name="_Hlk173175440"/>
      <w:r>
        <w:rPr>
          <w:noProof/>
        </w:rPr>
        <w:t>décision d’exécution (UE) 2024/2879 de la Commission</w:t>
      </w:r>
      <w:bookmarkEnd w:id="79"/>
      <w:r>
        <w:rPr>
          <w:noProof/>
        </w:rPr>
        <w:t xml:space="preserve"> et la décision d’exécution (UE) 2025/1147 de la Commission, en raison de l’ampleur relative des corrections par rapport au produit intérieur brut de certains États membres, la </w:t>
      </w:r>
      <w:r>
        <w:rPr>
          <w:noProof/>
        </w:rPr>
        <w:lastRenderedPageBreak/>
        <w:t>Commission a décidé, à la demande des États membres en question, que les corrections suivantes pouvaient être versées en trois tranches annuelles égales.</w:t>
      </w:r>
    </w:p>
    <w:p>
      <w:pPr>
        <w:pStyle w:val="ListBullet1"/>
        <w:numPr>
          <w:ilvl w:val="0"/>
          <w:numId w:val="0"/>
        </w:numPr>
        <w:ind w:left="851"/>
        <w:rPr>
          <w:noProof/>
        </w:rPr>
      </w:pPr>
    </w:p>
    <w:p>
      <w:pPr>
        <w:pStyle w:val="Text1"/>
        <w:keepNext/>
        <w:ind w:left="851"/>
        <w:rPr>
          <w:i/>
        </w:rPr>
      </w:pPr>
      <w:r>
        <w:t xml:space="preserve">Tableau 6 </w:t>
      </w:r>
      <w:r>
        <w:rPr>
          <w:i/>
        </w:rPr>
        <w:t>(en millions d’EUR; prix courants)</w:t>
      </w:r>
    </w:p>
    <w:tbl>
      <w:tblPr>
        <w:tblStyle w:val="TableGrid1"/>
        <w:tblW w:w="0" w:type="auto"/>
        <w:tblInd w:w="851" w:type="dxa"/>
        <w:tblLook w:val="04A0" w:firstRow="1" w:lastRow="0" w:firstColumn="1" w:lastColumn="0" w:noHBand="0" w:noVBand="1"/>
      </w:tblPr>
      <w:tblGrid>
        <w:gridCol w:w="1951"/>
        <w:gridCol w:w="2268"/>
        <w:gridCol w:w="2037"/>
        <w:gridCol w:w="2038"/>
      </w:tblGrid>
      <w:tr>
        <w:tc>
          <w:tcPr>
            <w:tcW w:w="1951" w:type="dxa"/>
            <w:vMerge w:val="restart"/>
            <w:shd w:val="clear" w:color="auto" w:fill="92D050"/>
            <w:vAlign w:val="center"/>
          </w:tcPr>
          <w:p>
            <w:pPr>
              <w:keepNext/>
              <w:keepLines/>
              <w:spacing w:before="0"/>
              <w:jc w:val="center"/>
              <w:rPr>
                <w:rFonts w:eastAsia="Calibri"/>
                <w:b/>
                <w:bCs/>
                <w:noProof/>
                <w:sz w:val="22"/>
                <w:szCs w:val="22"/>
              </w:rPr>
            </w:pPr>
            <w:r>
              <w:rPr>
                <w:b/>
                <w:noProof/>
                <w:sz w:val="22"/>
              </w:rPr>
              <w:t>Numéro de la décision</w:t>
            </w:r>
          </w:p>
          <w:p>
            <w:pPr>
              <w:rPr>
                <w:rFonts w:eastAsia="Calibri"/>
                <w:b/>
                <w:bCs/>
                <w:noProof/>
                <w:sz w:val="22"/>
                <w:szCs w:val="22"/>
                <w:lang w:eastAsia="en-US"/>
              </w:rPr>
            </w:pPr>
          </w:p>
        </w:tc>
        <w:tc>
          <w:tcPr>
            <w:tcW w:w="2268" w:type="dxa"/>
            <w:vMerge w:val="restart"/>
            <w:shd w:val="clear" w:color="auto" w:fill="92D050"/>
            <w:vAlign w:val="center"/>
          </w:tcPr>
          <w:p>
            <w:pPr>
              <w:keepNext/>
              <w:keepLines/>
              <w:spacing w:before="0"/>
              <w:jc w:val="center"/>
              <w:rPr>
                <w:rFonts w:eastAsia="Calibri"/>
                <w:b/>
                <w:bCs/>
                <w:noProof/>
                <w:sz w:val="22"/>
                <w:szCs w:val="22"/>
              </w:rPr>
            </w:pPr>
            <w:r>
              <w:rPr>
                <w:b/>
                <w:noProof/>
                <w:sz w:val="22"/>
              </w:rPr>
              <w:t>État membre</w:t>
            </w:r>
          </w:p>
        </w:tc>
        <w:tc>
          <w:tcPr>
            <w:tcW w:w="4075" w:type="dxa"/>
            <w:gridSpan w:val="2"/>
            <w:shd w:val="clear" w:color="auto" w:fill="92D050"/>
            <w:vAlign w:val="center"/>
          </w:tcPr>
          <w:p>
            <w:pPr>
              <w:keepNext/>
              <w:keepLines/>
              <w:spacing w:before="0"/>
              <w:jc w:val="center"/>
              <w:rPr>
                <w:rFonts w:eastAsia="Calibri"/>
                <w:b/>
                <w:bCs/>
                <w:noProof/>
                <w:sz w:val="22"/>
                <w:szCs w:val="22"/>
              </w:rPr>
            </w:pPr>
            <w:r>
              <w:rPr>
                <w:b/>
                <w:noProof/>
                <w:sz w:val="22"/>
              </w:rPr>
              <w:t>Montant à verser en tranches</w:t>
            </w:r>
          </w:p>
        </w:tc>
      </w:tr>
      <w:tr>
        <w:tc>
          <w:tcPr>
            <w:tcW w:w="1951" w:type="dxa"/>
            <w:vMerge/>
            <w:vAlign w:val="center"/>
          </w:tcPr>
          <w:p>
            <w:pPr>
              <w:rPr>
                <w:rFonts w:eastAsia="Calibri"/>
                <w:noProof/>
              </w:rPr>
            </w:pPr>
          </w:p>
        </w:tc>
        <w:tc>
          <w:tcPr>
            <w:tcW w:w="2268" w:type="dxa"/>
            <w:vMerge/>
            <w:vAlign w:val="center"/>
          </w:tcPr>
          <w:p>
            <w:pPr>
              <w:rPr>
                <w:rFonts w:eastAsia="Calibri"/>
                <w:noProof/>
              </w:rPr>
            </w:pPr>
          </w:p>
        </w:tc>
        <w:tc>
          <w:tcPr>
            <w:tcW w:w="2037" w:type="dxa"/>
            <w:shd w:val="clear" w:color="auto" w:fill="92D050"/>
            <w:vAlign w:val="center"/>
          </w:tcPr>
          <w:p>
            <w:pPr>
              <w:keepNext/>
              <w:keepLines/>
              <w:spacing w:before="0"/>
              <w:jc w:val="center"/>
              <w:rPr>
                <w:rFonts w:eastAsia="Calibri"/>
                <w:b/>
                <w:bCs/>
                <w:noProof/>
                <w:sz w:val="22"/>
                <w:szCs w:val="22"/>
              </w:rPr>
            </w:pPr>
            <w:r>
              <w:rPr>
                <w:b/>
                <w:noProof/>
              </w:rPr>
              <w:t>FEAGA</w:t>
            </w:r>
          </w:p>
        </w:tc>
        <w:tc>
          <w:tcPr>
            <w:tcW w:w="2038" w:type="dxa"/>
            <w:shd w:val="clear" w:color="auto" w:fill="92D050"/>
            <w:vAlign w:val="center"/>
          </w:tcPr>
          <w:p>
            <w:pPr>
              <w:keepNext/>
              <w:keepLines/>
              <w:spacing w:before="0"/>
              <w:jc w:val="center"/>
              <w:rPr>
                <w:rFonts w:eastAsia="Calibri"/>
                <w:b/>
                <w:bCs/>
                <w:noProof/>
                <w:sz w:val="22"/>
                <w:szCs w:val="22"/>
              </w:rPr>
            </w:pPr>
            <w:r>
              <w:rPr>
                <w:b/>
                <w:noProof/>
              </w:rPr>
              <w:t>Feader</w:t>
            </w:r>
          </w:p>
        </w:tc>
      </w:tr>
      <w:tr>
        <w:tc>
          <w:tcPr>
            <w:tcW w:w="1951" w:type="dxa"/>
            <w:vAlign w:val="center"/>
          </w:tcPr>
          <w:p>
            <w:pPr>
              <w:spacing w:before="0"/>
              <w:jc w:val="center"/>
              <w:rPr>
                <w:rFonts w:eastAsia="Calibri"/>
                <w:noProof/>
              </w:rPr>
            </w:pPr>
            <w:r>
              <w:rPr>
                <w:noProof/>
              </w:rPr>
              <w:t>74</w:t>
            </w:r>
          </w:p>
        </w:tc>
        <w:tc>
          <w:tcPr>
            <w:tcW w:w="2268" w:type="dxa"/>
            <w:vAlign w:val="center"/>
          </w:tcPr>
          <w:p>
            <w:pPr>
              <w:keepNext/>
              <w:spacing w:before="0"/>
              <w:jc w:val="center"/>
              <w:rPr>
                <w:rFonts w:eastAsia="Calibri"/>
                <w:noProof/>
              </w:rPr>
            </w:pPr>
            <w:r>
              <w:rPr>
                <w:noProof/>
              </w:rPr>
              <w:t>Grèce</w:t>
            </w:r>
          </w:p>
        </w:tc>
        <w:tc>
          <w:tcPr>
            <w:tcW w:w="2037" w:type="dxa"/>
            <w:vAlign w:val="center"/>
          </w:tcPr>
          <w:p>
            <w:pPr>
              <w:jc w:val="center"/>
              <w:rPr>
                <w:rFonts w:eastAsia="Calibri"/>
                <w:noProof/>
              </w:rPr>
            </w:pPr>
            <w:r>
              <w:rPr>
                <w:noProof/>
              </w:rPr>
              <w:t>57,1</w:t>
            </w:r>
          </w:p>
        </w:tc>
        <w:tc>
          <w:tcPr>
            <w:tcW w:w="2038" w:type="dxa"/>
            <w:vAlign w:val="center"/>
          </w:tcPr>
          <w:p>
            <w:pPr>
              <w:jc w:val="center"/>
              <w:rPr>
                <w:rFonts w:eastAsia="Calibri"/>
                <w:noProof/>
              </w:rPr>
            </w:pPr>
            <w:r>
              <w:rPr>
                <w:noProof/>
              </w:rPr>
              <w:t>13,2</w:t>
            </w:r>
          </w:p>
        </w:tc>
      </w:tr>
      <w:tr>
        <w:tc>
          <w:tcPr>
            <w:tcW w:w="1951" w:type="dxa"/>
            <w:vAlign w:val="center"/>
          </w:tcPr>
          <w:p>
            <w:pPr>
              <w:jc w:val="center"/>
              <w:rPr>
                <w:rFonts w:eastAsia="Calibri"/>
                <w:noProof/>
              </w:rPr>
            </w:pPr>
            <w:r>
              <w:rPr>
                <w:noProof/>
              </w:rPr>
              <w:t>74</w:t>
            </w:r>
          </w:p>
        </w:tc>
        <w:tc>
          <w:tcPr>
            <w:tcW w:w="2268" w:type="dxa"/>
            <w:vAlign w:val="center"/>
          </w:tcPr>
          <w:p>
            <w:pPr>
              <w:jc w:val="center"/>
              <w:rPr>
                <w:rFonts w:eastAsia="Calibri"/>
                <w:noProof/>
              </w:rPr>
            </w:pPr>
            <w:r>
              <w:rPr>
                <w:noProof/>
              </w:rPr>
              <w:t>Roumanie</w:t>
            </w:r>
          </w:p>
        </w:tc>
        <w:tc>
          <w:tcPr>
            <w:tcW w:w="2037" w:type="dxa"/>
            <w:vAlign w:val="center"/>
          </w:tcPr>
          <w:p>
            <w:pPr>
              <w:jc w:val="center"/>
              <w:rPr>
                <w:rFonts w:eastAsia="Calibri"/>
                <w:noProof/>
              </w:rPr>
            </w:pPr>
            <w:r>
              <w:rPr>
                <w:noProof/>
              </w:rPr>
              <w:t>40,4</w:t>
            </w:r>
          </w:p>
        </w:tc>
        <w:tc>
          <w:tcPr>
            <w:tcW w:w="2038" w:type="dxa"/>
            <w:vAlign w:val="center"/>
          </w:tcPr>
          <w:p>
            <w:pPr>
              <w:jc w:val="center"/>
              <w:rPr>
                <w:rFonts w:eastAsia="Calibri"/>
                <w:noProof/>
              </w:rPr>
            </w:pPr>
            <w:r>
              <w:rPr>
                <w:noProof/>
              </w:rPr>
              <w:t>5,6</w:t>
            </w:r>
          </w:p>
        </w:tc>
      </w:tr>
      <w:tr>
        <w:tc>
          <w:tcPr>
            <w:tcW w:w="1951" w:type="dxa"/>
            <w:vAlign w:val="center"/>
          </w:tcPr>
          <w:p>
            <w:pPr>
              <w:jc w:val="center"/>
              <w:rPr>
                <w:rFonts w:eastAsia="Calibri"/>
                <w:noProof/>
              </w:rPr>
            </w:pPr>
            <w:r>
              <w:rPr>
                <w:noProof/>
              </w:rPr>
              <w:t>75</w:t>
            </w:r>
          </w:p>
        </w:tc>
        <w:tc>
          <w:tcPr>
            <w:tcW w:w="2268" w:type="dxa"/>
            <w:vAlign w:val="center"/>
          </w:tcPr>
          <w:p>
            <w:pPr>
              <w:jc w:val="center"/>
              <w:rPr>
                <w:rFonts w:eastAsia="Calibri"/>
                <w:noProof/>
              </w:rPr>
            </w:pPr>
            <w:r>
              <w:rPr>
                <w:noProof/>
              </w:rPr>
              <w:t>Grèce</w:t>
            </w:r>
          </w:p>
        </w:tc>
        <w:tc>
          <w:tcPr>
            <w:tcW w:w="2037" w:type="dxa"/>
            <w:vAlign w:val="center"/>
          </w:tcPr>
          <w:p>
            <w:pPr>
              <w:jc w:val="center"/>
              <w:rPr>
                <w:rFonts w:eastAsia="Calibri"/>
                <w:noProof/>
              </w:rPr>
            </w:pPr>
            <w:r>
              <w:rPr>
                <w:noProof/>
              </w:rPr>
              <w:t>411,0</w:t>
            </w:r>
          </w:p>
        </w:tc>
        <w:tc>
          <w:tcPr>
            <w:tcW w:w="2038" w:type="dxa"/>
            <w:vAlign w:val="center"/>
          </w:tcPr>
          <w:p>
            <w:pPr>
              <w:jc w:val="center"/>
              <w:rPr>
                <w:rFonts w:eastAsia="Calibri"/>
                <w:noProof/>
              </w:rPr>
            </w:pPr>
            <w:r>
              <w:rPr>
                <w:noProof/>
              </w:rPr>
              <w:t>3,9</w:t>
            </w:r>
          </w:p>
        </w:tc>
      </w:tr>
      <w:tr>
        <w:tc>
          <w:tcPr>
            <w:tcW w:w="1951" w:type="dxa"/>
            <w:vAlign w:val="center"/>
          </w:tcPr>
          <w:p>
            <w:pPr>
              <w:spacing w:before="0"/>
              <w:jc w:val="center"/>
              <w:rPr>
                <w:rFonts w:eastAsia="Calibri"/>
                <w:noProof/>
              </w:rPr>
            </w:pPr>
            <w:r>
              <w:rPr>
                <w:noProof/>
              </w:rPr>
              <w:t>75</w:t>
            </w:r>
          </w:p>
        </w:tc>
        <w:tc>
          <w:tcPr>
            <w:tcW w:w="2268" w:type="dxa"/>
            <w:vAlign w:val="center"/>
          </w:tcPr>
          <w:p>
            <w:pPr>
              <w:spacing w:before="0"/>
              <w:jc w:val="center"/>
              <w:rPr>
                <w:rFonts w:eastAsia="Calibri"/>
                <w:noProof/>
              </w:rPr>
            </w:pPr>
            <w:r>
              <w:rPr>
                <w:noProof/>
              </w:rPr>
              <w:t>Portugal</w:t>
            </w:r>
          </w:p>
        </w:tc>
        <w:tc>
          <w:tcPr>
            <w:tcW w:w="2037" w:type="dxa"/>
            <w:vAlign w:val="center"/>
          </w:tcPr>
          <w:p>
            <w:pPr>
              <w:jc w:val="center"/>
              <w:rPr>
                <w:rFonts w:eastAsia="Calibri"/>
                <w:noProof/>
              </w:rPr>
            </w:pPr>
            <w:r>
              <w:rPr>
                <w:noProof/>
              </w:rPr>
              <w:t>35,0</w:t>
            </w:r>
          </w:p>
        </w:tc>
        <w:tc>
          <w:tcPr>
            <w:tcW w:w="2038" w:type="dxa"/>
            <w:vAlign w:val="center"/>
          </w:tcPr>
          <w:p>
            <w:pPr>
              <w:jc w:val="center"/>
              <w:rPr>
                <w:rFonts w:eastAsia="Calibri"/>
                <w:noProof/>
              </w:rPr>
            </w:pPr>
            <w:r>
              <w:rPr>
                <w:noProof/>
              </w:rPr>
              <w:t>27,0</w:t>
            </w:r>
          </w:p>
        </w:tc>
      </w:tr>
    </w:tbl>
    <w:p>
      <w:pPr>
        <w:pStyle w:val="ListBullet1"/>
        <w:numPr>
          <w:ilvl w:val="0"/>
          <w:numId w:val="0"/>
        </w:numPr>
        <w:spacing w:after="160"/>
        <w:ind w:left="851"/>
        <w:rPr>
          <w:noProof/>
        </w:rPr>
      </w:pPr>
      <w:bookmarkStart w:id="80" w:name="_Toc322938649"/>
    </w:p>
    <w:p>
      <w:pPr>
        <w:pStyle w:val="ListBullet1"/>
        <w:numPr>
          <w:ilvl w:val="0"/>
          <w:numId w:val="0"/>
        </w:numPr>
        <w:spacing w:after="160"/>
        <w:ind w:left="851"/>
        <w:rPr>
          <w:rFonts w:eastAsia="MS PGothic"/>
          <w:noProof/>
        </w:rPr>
      </w:pPr>
      <w:r>
        <w:rPr>
          <w:noProof/>
        </w:rPr>
        <w:t>Le 15 février 2025, les États membres ont communiqué les informations relatives aux montants restant à recouvrer à la fin de l’exercice 2024. Ces montants s’élèvent à 414,004 millions d’EUR pour le FEAGA, le Feader et l’instrument temporaire de développement rural (ITDR) et sont présentés dans le RAA, dans le tableau Annexe 7 – Partie 3 A.b.2)-1.</w:t>
      </w:r>
    </w:p>
    <w:p>
      <w:pPr>
        <w:pStyle w:val="Text1"/>
        <w:rPr>
          <w:b/>
          <w:bCs/>
        </w:rPr>
      </w:pPr>
      <w:r>
        <w:t>Le montant restant à recouvrir auprès des bénéficiaires à la fin de l’exercice 2025 était de 2 014 millions d’EUR pour tous les fonds. Les conséquences financières pour les États membres dans le cas de non-recouvrement du FEAGA, du Feader et de l’ITDR dans les quatre ans suivant la date de la demande de recouvrement (pour les nouveaux dossiers</w:t>
      </w:r>
      <w:r>
        <w:rPr>
          <w:rStyle w:val="FootnoteReference"/>
        </w:rPr>
        <w:footnoteReference w:id="13"/>
      </w:r>
      <w:r>
        <w:t>) ou d’un premier acte de constat administratif ou judiciaire (pour les anciens dossiers), ou dans un délai de huit ans lorsque le recouvrement est porté devant les juridictions nationales, se sont élevées à 31,1 millions d’EUR. Durant l’exercice 2025, environ 11,6 millions d’EUR ont été entièrement pris en charge par le budget de l’UE</w:t>
      </w:r>
      <w:r>
        <w:rPr>
          <w:rStyle w:val="FootnoteReference"/>
        </w:rPr>
        <w:footnoteReference w:id="14"/>
      </w:r>
      <w:r>
        <w:t xml:space="preserve"> pour le FEAGA, le Feader et l’ITDR. </w:t>
      </w:r>
    </w:p>
    <w:p>
      <w:pPr>
        <w:pStyle w:val="ManualHeading2"/>
        <w:spacing w:before="360" w:after="160"/>
        <w:ind w:left="851" w:hanging="851"/>
        <w:rPr>
          <w:noProof/>
        </w:rPr>
      </w:pPr>
      <w:bookmarkStart w:id="81" w:name="_Toc102661885"/>
      <w:bookmarkStart w:id="82" w:name="_Toc105773239"/>
      <w:bookmarkStart w:id="83" w:name="_Toc139622288"/>
      <w:bookmarkStart w:id="84" w:name="_Toc229149823"/>
      <w:r>
        <w:rPr>
          <w:noProof/>
        </w:rPr>
        <w:t>5.2.</w:t>
      </w:r>
      <w:r>
        <w:rPr>
          <w:noProof/>
        </w:rPr>
        <w:tab/>
        <w:t>Apurement comptable</w:t>
      </w:r>
      <w:bookmarkEnd w:id="80"/>
      <w:bookmarkEnd w:id="81"/>
      <w:bookmarkEnd w:id="82"/>
      <w:bookmarkEnd w:id="83"/>
      <w:bookmarkEnd w:id="84"/>
    </w:p>
    <w:p>
      <w:pPr>
        <w:pStyle w:val="Text1"/>
      </w:pPr>
      <w:bookmarkStart w:id="85" w:name="_Toc105773243"/>
      <w:bookmarkStart w:id="86" w:name="_Toc102661889"/>
      <w:bookmarkStart w:id="87" w:name="_Toc105773244"/>
      <w:r>
        <w:t>Le tableau 7 donne un aperçu des décisions d’apurement comptable adoptées en 2025</w:t>
      </w:r>
      <w:bookmarkEnd w:id="85"/>
      <w:bookmarkEnd w:id="86"/>
      <w:r>
        <w:t xml:space="preserve">. </w:t>
      </w:r>
    </w:p>
    <w:p>
      <w:pPr>
        <w:pStyle w:val="Text1"/>
      </w:pPr>
    </w:p>
    <w:p>
      <w:pPr>
        <w:pStyle w:val="Text1"/>
      </w:pPr>
    </w:p>
    <w:p>
      <w:pPr>
        <w:pStyle w:val="Text1"/>
      </w:pPr>
    </w:p>
    <w:p>
      <w:pPr>
        <w:pStyle w:val="Text1"/>
        <w:rPr>
          <w:i/>
        </w:rPr>
      </w:pPr>
      <w:r>
        <w:lastRenderedPageBreak/>
        <w:t xml:space="preserve">Tableau 7   </w:t>
      </w:r>
      <w:r>
        <w:rPr>
          <w:i/>
        </w:rPr>
        <w:t>(en millions d’EUR; prix courants)</w:t>
      </w:r>
    </w:p>
    <w:tbl>
      <w:tblPr>
        <w:tblW w:w="8647" w:type="dxa"/>
        <w:tblInd w:w="343"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276"/>
        <w:gridCol w:w="1547"/>
        <w:gridCol w:w="1337"/>
        <w:gridCol w:w="1016"/>
        <w:gridCol w:w="1701"/>
        <w:gridCol w:w="1770"/>
      </w:tblGrid>
      <w:tr>
        <w:trPr>
          <w:trHeight w:val="900"/>
        </w:trPr>
        <w:tc>
          <w:tcPr>
            <w:tcW w:w="1276" w:type="dxa"/>
            <w:tcBorders>
              <w:top w:val="single" w:sz="8" w:space="0" w:color="auto"/>
              <w:left w:val="single" w:sz="8" w:space="0" w:color="auto"/>
              <w:bottom w:val="single" w:sz="8" w:space="0" w:color="auto"/>
              <w:right w:val="single" w:sz="8" w:space="0" w:color="auto"/>
            </w:tcBorders>
            <w:shd w:val="clear" w:color="auto" w:fill="92D050"/>
            <w:vAlign w:val="center"/>
          </w:tcPr>
          <w:p>
            <w:pPr>
              <w:contextualSpacing/>
              <w:jc w:val="center"/>
              <w:rPr>
                <w:noProof/>
                <w:color w:val="000000" w:themeColor="text1"/>
              </w:rPr>
            </w:pPr>
            <w:r>
              <w:rPr>
                <w:noProof/>
              </w:rPr>
              <w:t xml:space="preserve"> </w:t>
            </w:r>
            <w:r>
              <w:rPr>
                <w:b/>
                <w:noProof/>
                <w:color w:val="000000" w:themeColor="text1"/>
              </w:rPr>
              <w:t>Fonds</w:t>
            </w:r>
            <w:r>
              <w:rPr>
                <w:noProof/>
                <w:color w:val="000000" w:themeColor="text1"/>
              </w:rPr>
              <w:t xml:space="preserve"> </w:t>
            </w:r>
          </w:p>
        </w:tc>
        <w:tc>
          <w:tcPr>
            <w:tcW w:w="1547" w:type="dxa"/>
            <w:tcBorders>
              <w:top w:val="single" w:sz="8" w:space="0" w:color="auto"/>
              <w:left w:val="single" w:sz="8" w:space="0" w:color="auto"/>
              <w:bottom w:val="single" w:sz="8" w:space="0" w:color="auto"/>
              <w:right w:val="single" w:sz="8" w:space="0" w:color="auto"/>
            </w:tcBorders>
            <w:shd w:val="clear" w:color="auto" w:fill="92D050"/>
            <w:vAlign w:val="center"/>
          </w:tcPr>
          <w:p>
            <w:pPr>
              <w:jc w:val="center"/>
              <w:rPr>
                <w:noProof/>
                <w:color w:val="000000" w:themeColor="text1"/>
              </w:rPr>
            </w:pPr>
            <w:r>
              <w:rPr>
                <w:b/>
                <w:noProof/>
                <w:color w:val="000000" w:themeColor="text1"/>
              </w:rPr>
              <w:t>Numéro de la décision</w:t>
            </w:r>
            <w:r>
              <w:rPr>
                <w:noProof/>
                <w:color w:val="000000" w:themeColor="text1"/>
              </w:rPr>
              <w:t xml:space="preserve"> </w:t>
            </w:r>
          </w:p>
        </w:tc>
        <w:tc>
          <w:tcPr>
            <w:tcW w:w="1337" w:type="dxa"/>
            <w:tcBorders>
              <w:top w:val="single" w:sz="8" w:space="0" w:color="auto"/>
              <w:left w:val="single" w:sz="8" w:space="0" w:color="auto"/>
              <w:bottom w:val="single" w:sz="8" w:space="0" w:color="auto"/>
              <w:right w:val="single" w:sz="8" w:space="0" w:color="auto"/>
            </w:tcBorders>
            <w:shd w:val="clear" w:color="auto" w:fill="92D050"/>
            <w:vAlign w:val="center"/>
          </w:tcPr>
          <w:p>
            <w:pPr>
              <w:jc w:val="center"/>
              <w:rPr>
                <w:noProof/>
                <w:color w:val="000000" w:themeColor="text1"/>
              </w:rPr>
            </w:pPr>
            <w:r>
              <w:rPr>
                <w:b/>
                <w:noProof/>
                <w:color w:val="000000" w:themeColor="text1"/>
              </w:rPr>
              <w:t>Date d’adoption</w:t>
            </w:r>
            <w:r>
              <w:rPr>
                <w:noProof/>
                <w:color w:val="000000" w:themeColor="text1"/>
              </w:rPr>
              <w:t xml:space="preserve"> </w:t>
            </w:r>
          </w:p>
        </w:tc>
        <w:tc>
          <w:tcPr>
            <w:tcW w:w="1016" w:type="dxa"/>
            <w:tcBorders>
              <w:top w:val="single" w:sz="8" w:space="0" w:color="auto"/>
              <w:left w:val="single" w:sz="8" w:space="0" w:color="auto"/>
              <w:bottom w:val="single" w:sz="8" w:space="0" w:color="auto"/>
              <w:right w:val="single" w:sz="8" w:space="0" w:color="auto"/>
            </w:tcBorders>
            <w:shd w:val="clear" w:color="auto" w:fill="92D050"/>
            <w:vAlign w:val="center"/>
          </w:tcPr>
          <w:p>
            <w:pPr>
              <w:jc w:val="center"/>
              <w:rPr>
                <w:noProof/>
                <w:color w:val="000000" w:themeColor="text1"/>
              </w:rPr>
            </w:pPr>
            <w:r>
              <w:rPr>
                <w:b/>
                <w:noProof/>
                <w:color w:val="000000" w:themeColor="text1"/>
              </w:rPr>
              <w:t>Exercice financier</w:t>
            </w:r>
            <w:r>
              <w:rPr>
                <w:noProof/>
                <w:color w:val="000000" w:themeColor="text1"/>
              </w:rPr>
              <w:t xml:space="preserve"> </w:t>
            </w:r>
          </w:p>
        </w:tc>
        <w:tc>
          <w:tcPr>
            <w:tcW w:w="1701" w:type="dxa"/>
            <w:tcBorders>
              <w:top w:val="single" w:sz="8" w:space="0" w:color="auto"/>
              <w:left w:val="single" w:sz="8" w:space="0" w:color="auto"/>
              <w:bottom w:val="single" w:sz="8" w:space="0" w:color="auto"/>
              <w:right w:val="single" w:sz="8" w:space="0" w:color="auto"/>
            </w:tcBorders>
            <w:shd w:val="clear" w:color="auto" w:fill="92D050"/>
            <w:vAlign w:val="center"/>
          </w:tcPr>
          <w:p>
            <w:pPr>
              <w:jc w:val="center"/>
              <w:rPr>
                <w:noProof/>
                <w:color w:val="000000" w:themeColor="text1"/>
              </w:rPr>
            </w:pPr>
            <w:r>
              <w:rPr>
                <w:b/>
                <w:noProof/>
                <w:color w:val="000000" w:themeColor="text1"/>
              </w:rPr>
              <w:t xml:space="preserve">Dépenses déclarées apurées </w:t>
            </w:r>
          </w:p>
        </w:tc>
        <w:tc>
          <w:tcPr>
            <w:tcW w:w="1770" w:type="dxa"/>
            <w:tcBorders>
              <w:top w:val="single" w:sz="8" w:space="0" w:color="auto"/>
              <w:left w:val="single" w:sz="8" w:space="0" w:color="auto"/>
              <w:bottom w:val="single" w:sz="8" w:space="0" w:color="auto"/>
              <w:right w:val="single" w:sz="8" w:space="0" w:color="auto"/>
            </w:tcBorders>
            <w:shd w:val="clear" w:color="auto" w:fill="92D050"/>
            <w:vAlign w:val="center"/>
          </w:tcPr>
          <w:p>
            <w:pPr>
              <w:jc w:val="center"/>
              <w:rPr>
                <w:noProof/>
                <w:color w:val="000000" w:themeColor="text1"/>
              </w:rPr>
            </w:pPr>
            <w:r>
              <w:rPr>
                <w:b/>
                <w:noProof/>
                <w:color w:val="000000" w:themeColor="text1"/>
              </w:rPr>
              <w:t>Organisme payeur concerné</w:t>
            </w:r>
            <w:r>
              <w:rPr>
                <w:noProof/>
                <w:color w:val="000000" w:themeColor="text1"/>
              </w:rPr>
              <w:t xml:space="preserve"> </w:t>
            </w:r>
          </w:p>
        </w:tc>
      </w:tr>
      <w:tr>
        <w:trPr>
          <w:trHeight w:val="539"/>
        </w:trPr>
        <w:tc>
          <w:tcPr>
            <w:tcW w:w="1276"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FEAGA</w:t>
            </w:r>
          </w:p>
        </w:tc>
        <w:tc>
          <w:tcPr>
            <w:tcW w:w="1547"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Décision (UE) nº 2025/972</w:t>
            </w:r>
          </w:p>
        </w:tc>
        <w:tc>
          <w:tcPr>
            <w:tcW w:w="1337"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23.05.2025</w:t>
            </w:r>
          </w:p>
        </w:tc>
        <w:tc>
          <w:tcPr>
            <w:tcW w:w="1016"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2024</w:t>
            </w:r>
          </w:p>
        </w:tc>
        <w:tc>
          <w:tcPr>
            <w:tcW w:w="1701"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40 408,76</w:t>
            </w:r>
          </w:p>
        </w:tc>
        <w:tc>
          <w:tcPr>
            <w:tcW w:w="1770"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Tous les organismes payeurs des États membres</w:t>
            </w:r>
          </w:p>
        </w:tc>
      </w:tr>
      <w:tr>
        <w:trPr>
          <w:trHeight w:val="539"/>
        </w:trPr>
        <w:tc>
          <w:tcPr>
            <w:tcW w:w="1276"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Feader 2014-2022</w:t>
            </w:r>
          </w:p>
        </w:tc>
        <w:tc>
          <w:tcPr>
            <w:tcW w:w="1547"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Décision (UE) nº 2025/971</w:t>
            </w:r>
          </w:p>
        </w:tc>
        <w:tc>
          <w:tcPr>
            <w:tcW w:w="1337"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23.05.2025</w:t>
            </w:r>
          </w:p>
        </w:tc>
        <w:tc>
          <w:tcPr>
            <w:tcW w:w="1016"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2024</w:t>
            </w:r>
          </w:p>
        </w:tc>
        <w:tc>
          <w:tcPr>
            <w:tcW w:w="1701"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10 078,76</w:t>
            </w:r>
          </w:p>
        </w:tc>
        <w:tc>
          <w:tcPr>
            <w:tcW w:w="1770"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Tous les organismes payeurs des États membres</w:t>
            </w:r>
          </w:p>
        </w:tc>
      </w:tr>
      <w:tr>
        <w:trPr>
          <w:trHeight w:val="539"/>
        </w:trPr>
        <w:tc>
          <w:tcPr>
            <w:tcW w:w="1276"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Feader 2023-2027</w:t>
            </w:r>
          </w:p>
        </w:tc>
        <w:tc>
          <w:tcPr>
            <w:tcW w:w="1547"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Décision (UE) nº 2025/997</w:t>
            </w:r>
          </w:p>
        </w:tc>
        <w:tc>
          <w:tcPr>
            <w:tcW w:w="1337"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23.05.2025</w:t>
            </w:r>
          </w:p>
        </w:tc>
        <w:tc>
          <w:tcPr>
            <w:tcW w:w="1016"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2024</w:t>
            </w:r>
          </w:p>
        </w:tc>
        <w:tc>
          <w:tcPr>
            <w:tcW w:w="1701"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4 943,68</w:t>
            </w:r>
          </w:p>
        </w:tc>
        <w:tc>
          <w:tcPr>
            <w:tcW w:w="1770"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Tous les organismes payeurs des États membres</w:t>
            </w:r>
          </w:p>
        </w:tc>
      </w:tr>
    </w:tbl>
    <w:p>
      <w:pPr>
        <w:pStyle w:val="Text1"/>
      </w:pPr>
    </w:p>
    <w:p>
      <w:pPr>
        <w:pStyle w:val="ManualHeading2"/>
        <w:rPr>
          <w:noProof/>
        </w:rPr>
      </w:pPr>
      <w:bookmarkStart w:id="88" w:name="_Toc322938654"/>
      <w:bookmarkStart w:id="89" w:name="_Toc102661890"/>
      <w:bookmarkStart w:id="90" w:name="_Toc139622289"/>
      <w:bookmarkStart w:id="91" w:name="_Toc229149824"/>
      <w:r>
        <w:rPr>
          <w:noProof/>
        </w:rPr>
        <w:t>5.3.</w:t>
      </w:r>
      <w:r>
        <w:rPr>
          <w:noProof/>
        </w:rPr>
        <w:tab/>
        <w:t>Recours introduits devant la Cour de justice de l’Union européenne contre des décisions d’apurement</w:t>
      </w:r>
      <w:bookmarkEnd w:id="87"/>
      <w:bookmarkEnd w:id="88"/>
      <w:bookmarkEnd w:id="89"/>
      <w:bookmarkEnd w:id="90"/>
      <w:bookmarkEnd w:id="91"/>
    </w:p>
    <w:p>
      <w:pPr>
        <w:pStyle w:val="Text1"/>
        <w:ind w:left="851"/>
      </w:pPr>
      <w:r>
        <w:t xml:space="preserve">Un résumé des actions intentées devant le Tribunal de l’Union européenne et </w:t>
      </w:r>
      <w:bookmarkStart w:id="92" w:name="_Toc322938655"/>
      <w:bookmarkStart w:id="93" w:name="_Toc102661891"/>
      <w:bookmarkStart w:id="94" w:name="_Toc105773245"/>
      <w:r>
        <w:t xml:space="preserve"> </w:t>
      </w:r>
      <w:bookmarkStart w:id="95" w:name="_Toc322938656"/>
      <w:bookmarkEnd w:id="92"/>
      <w:bookmarkEnd w:id="93"/>
      <w:bookmarkEnd w:id="94"/>
      <w:r>
        <w:t>la Cour de justice peut être consulté à l’annexe 19.</w:t>
      </w:r>
      <w:bookmarkStart w:id="96" w:name="_Toc322938658"/>
      <w:bookmarkStart w:id="97" w:name="_Toc102661894"/>
      <w:bookmarkStart w:id="98" w:name="_Toc105773248"/>
      <w:bookmarkEnd w:id="95"/>
    </w:p>
    <w:p>
      <w:pPr>
        <w:rPr>
          <w:rFonts w:eastAsia="MS PGothic"/>
          <w:noProof/>
        </w:rPr>
      </w:pPr>
    </w:p>
    <w:p>
      <w:pPr>
        <w:pStyle w:val="ManualHeading1"/>
        <w:ind w:left="851" w:hanging="851"/>
        <w:jc w:val="left"/>
        <w:rPr>
          <w:noProof/>
          <w:color w:val="FF0000"/>
        </w:rPr>
      </w:pPr>
      <w:bookmarkStart w:id="99" w:name="_Toc139622290"/>
      <w:bookmarkStart w:id="100" w:name="_Toc229149825"/>
      <w:r>
        <w:rPr>
          <w:noProof/>
        </w:rPr>
        <w:t>6.</w:t>
      </w:r>
      <w:r>
        <w:rPr>
          <w:noProof/>
        </w:rPr>
        <w:tab/>
        <w:t>RELATIONS AVEC LE PARLEMENT ET AVEC LA COUR DES COMPTES</w:t>
      </w:r>
      <w:bookmarkEnd w:id="96"/>
      <w:bookmarkEnd w:id="97"/>
      <w:bookmarkEnd w:id="98"/>
      <w:bookmarkEnd w:id="99"/>
      <w:bookmarkEnd w:id="100"/>
      <w:r>
        <w:rPr>
          <w:noProof/>
        </w:rPr>
        <w:t xml:space="preserve"> </w:t>
      </w:r>
    </w:p>
    <w:p>
      <w:pPr>
        <w:pStyle w:val="ManualHeading2"/>
        <w:rPr>
          <w:noProof/>
        </w:rPr>
      </w:pPr>
      <w:bookmarkStart w:id="101" w:name="_Toc322938659"/>
      <w:bookmarkStart w:id="102" w:name="_Toc102661895"/>
      <w:bookmarkStart w:id="103" w:name="_Toc105773249"/>
      <w:bookmarkStart w:id="104" w:name="_Toc139622291"/>
      <w:bookmarkStart w:id="105" w:name="_Toc229149826"/>
      <w:r>
        <w:rPr>
          <w:noProof/>
        </w:rPr>
        <w:t>6.1.</w:t>
      </w:r>
      <w:r>
        <w:rPr>
          <w:noProof/>
        </w:rPr>
        <w:tab/>
        <w:t>Relations avec le Parlement européen</w:t>
      </w:r>
      <w:bookmarkEnd w:id="101"/>
      <w:bookmarkEnd w:id="102"/>
      <w:bookmarkEnd w:id="103"/>
      <w:bookmarkEnd w:id="104"/>
      <w:bookmarkEnd w:id="105"/>
      <w:r>
        <w:rPr>
          <w:noProof/>
        </w:rPr>
        <w:t xml:space="preserve"> </w:t>
      </w:r>
    </w:p>
    <w:p>
      <w:pPr>
        <w:pStyle w:val="Text1"/>
      </w:pPr>
      <w:r>
        <w:t>Le Parlement européen (PE) forme, avec le Conseil, l’autorité budgétaire. Il est donc l’un des plus importants interlocuteurs de la Commission en ce qui concerne les questions budgétaires et, par conséquent, le FEAGA et le Feader.</w:t>
      </w:r>
    </w:p>
    <w:p>
      <w:pPr>
        <w:pStyle w:val="Text1"/>
      </w:pPr>
      <w:r>
        <w:t>Trois commissions du PE participent aux discussions et à la préparation de la séance plénière portant sur les questions budgétaires agricoles. Il s’agit de la Commission de l’agriculture et du développement rural, de la Commission des budgets et de la Commission du contrôle budgétaire.</w:t>
      </w:r>
    </w:p>
    <w:p>
      <w:pPr>
        <w:pStyle w:val="Text1"/>
      </w:pPr>
      <w:r>
        <w:t>Depuis 2014, la Commission de l’agriculture et du développement rural émet un avis à l’intention de la Commission du contrôle budgétaire sur la procédure de décharge.</w:t>
      </w:r>
    </w:p>
    <w:p>
      <w:pPr>
        <w:pStyle w:val="Text1"/>
      </w:pPr>
      <w:r>
        <w:t xml:space="preserve">La Commission du contrôle budgétaire (CONT) contrôle la mise en œuvre correcte du budget et rédige le rapport proposant au Parlement d’accorder la décharge et apportant des recommandations à la Commission européenne ou aux États membres. </w:t>
      </w:r>
    </w:p>
    <w:p>
      <w:pPr>
        <w:pStyle w:val="Text1"/>
      </w:pPr>
      <w:r>
        <w:t>Le Parlement européen a accordé une décharge à la Commission, à l’égard de la mise en œuvre du budget général de l’Union européenne pour l’exercice 2024, par un vote en séance plénière portant sur une décision parlementaire, qui a eu lieu le 29 avril 2026.</w:t>
      </w:r>
    </w:p>
    <w:p>
      <w:pPr>
        <w:pStyle w:val="ManualHeading2"/>
        <w:rPr>
          <w:noProof/>
        </w:rPr>
      </w:pPr>
      <w:bookmarkStart w:id="106" w:name="_Toc322938660"/>
      <w:bookmarkStart w:id="107" w:name="_Toc102661896"/>
      <w:bookmarkStart w:id="108" w:name="_Toc105773250"/>
      <w:bookmarkStart w:id="109" w:name="_Toc139622292"/>
      <w:bookmarkStart w:id="110" w:name="_Toc229149827"/>
      <w:r>
        <w:rPr>
          <w:noProof/>
        </w:rPr>
        <w:lastRenderedPageBreak/>
        <w:t>6.2.</w:t>
      </w:r>
      <w:r>
        <w:rPr>
          <w:noProof/>
        </w:rPr>
        <w:tab/>
        <w:t>Relations avec la Cour des comptes européenne</w:t>
      </w:r>
      <w:bookmarkEnd w:id="106"/>
      <w:bookmarkEnd w:id="107"/>
      <w:bookmarkEnd w:id="108"/>
      <w:bookmarkEnd w:id="109"/>
      <w:bookmarkEnd w:id="110"/>
    </w:p>
    <w:p>
      <w:pPr>
        <w:pStyle w:val="Text1"/>
      </w:pPr>
      <w:r>
        <w:t>La Cour des comptes européenne (CEE) est le contrôleur externe indépendant de l’Union européenne. Un résumé des constatations et des conclusions de la CEE pour l’exercice 2023 est fourni dans</w:t>
      </w:r>
      <w:bookmarkStart w:id="111" w:name="_Toc134214511"/>
      <w:bookmarkStart w:id="112" w:name="_Toc322938663"/>
      <w:bookmarkEnd w:id="111"/>
      <w:r>
        <w:t xml:space="preserve"> le RAA, point 2.2.</w:t>
      </w:r>
      <w:bookmarkEnd w:id="112"/>
    </w:p>
    <w:sectPr>
      <w:headerReference w:type="even" r:id="rId29"/>
      <w:headerReference w:type="default" r:id="rId30"/>
      <w:footerReference w:type="even" r:id="rId31"/>
      <w:footerReference w:type="default" r:id="rId32"/>
      <w:headerReference w:type="first" r:id="rId33"/>
      <w:footerReference w:type="first" r:id="rId34"/>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pPr>
    <w:r>
      <w:fldChar w:fldCharType="begin"/>
    </w:r>
    <w:r>
      <w:instrText xml:space="preserve"> PAGE   \* MERGEFORMAT </w:instrText>
    </w:r>
    <w:r>
      <w:fldChar w:fldCharType="separate"/>
    </w:r>
    <w:r>
      <w:t>1</w:t>
    </w:r>
    <w: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pPr>
    <w:r>
      <w:fldChar w:fldCharType="begin"/>
    </w:r>
    <w:r>
      <w:instrText xml:space="preserve"> PAGE   \* MERGEFORMAT </w:instrText>
    </w:r>
    <w:r>
      <w:fldChar w:fldCharType="separate"/>
    </w:r>
    <w:r>
      <w:t>31</w:t>
    </w:r>
    <w: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id="1">
    <w:p>
      <w:pPr>
        <w:pStyle w:val="FootnoteText"/>
      </w:pPr>
      <w:r>
        <w:rPr>
          <w:rStyle w:val="FootnoteReference"/>
        </w:rPr>
        <w:footnoteRef/>
      </w:r>
      <w:r>
        <w:tab/>
        <w:t xml:space="preserve">JO L 433I du 22.12.2020, p. 11, ELI: </w:t>
      </w:r>
      <w:hyperlink r:id="rId1" w:history="1">
        <w:r>
          <w:rPr>
            <w:rStyle w:val="Hyperlink"/>
            <w:i/>
          </w:rPr>
          <w:t>http://data.europa.eu/eli/reg/2020/2093/oj</w:t>
        </w:r>
      </w:hyperlink>
      <w:r>
        <w:t>.</w:t>
      </w:r>
    </w:p>
  </w:footnote>
  <w:footnote w:id="2">
    <w:p>
      <w:pPr>
        <w:pStyle w:val="FootnoteText"/>
        <w:rPr>
          <w:lang w:val="en-US"/>
        </w:rPr>
      </w:pPr>
      <w:r>
        <w:rPr>
          <w:rStyle w:val="FootnoteReference"/>
        </w:rPr>
        <w:footnoteRef/>
      </w:r>
      <w:r>
        <w:rPr>
          <w:lang w:val="en-US"/>
        </w:rPr>
        <w:tab/>
        <w:t>JO L, 2024/765, 29.2.2024, ELI:</w:t>
      </w:r>
      <w:r>
        <w:rPr>
          <w:i/>
          <w:lang w:val="en-US"/>
        </w:rPr>
        <w:t xml:space="preserve"> </w:t>
      </w:r>
      <w:hyperlink r:id="rId2" w:history="1">
        <w:r>
          <w:rPr>
            <w:rStyle w:val="Hyperlink"/>
            <w:i/>
            <w:lang w:val="en-US"/>
          </w:rPr>
          <w:t>http://data.europa.eu/eli/reg/2024/765/oj</w:t>
        </w:r>
      </w:hyperlink>
      <w:r>
        <w:rPr>
          <w:lang w:val="en-US"/>
        </w:rPr>
        <w:t>.</w:t>
      </w:r>
    </w:p>
  </w:footnote>
  <w:footnote w:id="3">
    <w:p>
      <w:pPr>
        <w:pStyle w:val="FootnoteText"/>
      </w:pPr>
      <w:r>
        <w:rPr>
          <w:rStyle w:val="FootnoteReference"/>
        </w:rPr>
        <w:footnoteRef/>
      </w:r>
      <w:r>
        <w:tab/>
        <w:t xml:space="preserve">JO L 40 du 4.2.2021, p. 8, ELI: </w:t>
      </w:r>
      <w:hyperlink r:id="rId3" w:history="1">
        <w:r>
          <w:rPr>
            <w:rStyle w:val="Hyperlink"/>
            <w:i/>
          </w:rPr>
          <w:t>http://data.europa.eu/eli/reg_impl/2021/128/oj</w:t>
        </w:r>
      </w:hyperlink>
      <w:r>
        <w:t>.</w:t>
      </w:r>
    </w:p>
  </w:footnote>
  <w:footnote w:id="4">
    <w:p>
      <w:pPr>
        <w:pStyle w:val="FootnoteText"/>
      </w:pPr>
      <w:r>
        <w:rPr>
          <w:rStyle w:val="FootnoteReference"/>
        </w:rPr>
        <w:footnoteRef/>
      </w:r>
      <w:r>
        <w:tab/>
        <w:t>JO L 435 du 6.12.2021, p. 187. ELI:</w:t>
      </w:r>
      <w:r>
        <w:rPr>
          <w:i/>
        </w:rPr>
        <w:t xml:space="preserve"> </w:t>
      </w:r>
      <w:hyperlink r:id="rId4" w:history="1">
        <w:r>
          <w:rPr>
            <w:rStyle w:val="Hyperlink"/>
            <w:i/>
          </w:rPr>
          <w:t>http://data.europa.eu/eli/reg/2021/2116/oj</w:t>
        </w:r>
      </w:hyperlink>
      <w:r>
        <w:t>.</w:t>
      </w:r>
    </w:p>
  </w:footnote>
  <w:footnote w:id="5">
    <w:p>
      <w:pPr>
        <w:pStyle w:val="FootnoteText"/>
      </w:pPr>
      <w:r>
        <w:rPr>
          <w:rStyle w:val="FootnoteReference"/>
        </w:rPr>
        <w:footnoteRef/>
      </w:r>
      <w:r>
        <w:tab/>
        <w:t>Les déclarations mensuelles de dépenses sont transmises par les États membres au plus tard le 7</w:t>
      </w:r>
      <w:r>
        <w:rPr>
          <w:vertAlign w:val="superscript"/>
        </w:rPr>
        <w:t>e</w:t>
      </w:r>
      <w:r>
        <w:t xml:space="preserve"> jour du mois qui suit celui au cours duquel les dépenses ont été effectuées. </w:t>
      </w:r>
    </w:p>
  </w:footnote>
  <w:footnote w:id="6">
    <w:p>
      <w:pPr>
        <w:pStyle w:val="FootnoteText"/>
      </w:pPr>
      <w:r>
        <w:rPr>
          <w:rStyle w:val="FootnoteReference"/>
        </w:rPr>
        <w:footnoteRef/>
      </w:r>
      <w:r>
        <w:tab/>
        <w:t>JO L 347 du 20.12.2013, p. 549, ELI:</w:t>
      </w:r>
      <w:r>
        <w:rPr>
          <w:i/>
        </w:rPr>
        <w:t xml:space="preserve"> </w:t>
      </w:r>
      <w:hyperlink r:id="rId5" w:history="1">
        <w:r>
          <w:rPr>
            <w:rStyle w:val="Hyperlink"/>
            <w:i/>
          </w:rPr>
          <w:t>http://data.europa.eu/eli/reg/2013/1306/oj</w:t>
        </w:r>
      </w:hyperlink>
      <w:r>
        <w:t>.</w:t>
      </w:r>
    </w:p>
  </w:footnote>
  <w:footnote w:id="7">
    <w:p>
      <w:pPr>
        <w:pStyle w:val="FootnoteText"/>
      </w:pPr>
      <w:r>
        <w:rPr>
          <w:rStyle w:val="FootnoteReference"/>
        </w:rPr>
        <w:footnoteRef/>
      </w:r>
      <w:r>
        <w:t xml:space="preserve"> JO L 347 du 20.12.2013, p. 608, ELI:</w:t>
      </w:r>
      <w:r>
        <w:rPr>
          <w:i/>
        </w:rPr>
        <w:t xml:space="preserve"> </w:t>
      </w:r>
      <w:hyperlink r:id="rId6" w:history="1">
        <w:r>
          <w:rPr>
            <w:rStyle w:val="Hyperlink"/>
            <w:i/>
          </w:rPr>
          <w:t>http://data.europa.eu/eli/reg/2013/1307/oj</w:t>
        </w:r>
      </w:hyperlink>
      <w:r>
        <w:t>.</w:t>
      </w:r>
    </w:p>
  </w:footnote>
  <w:footnote w:id="8">
    <w:p>
      <w:pPr>
        <w:pStyle w:val="FootnoteText"/>
        <w:ind w:left="0" w:firstLine="0"/>
      </w:pPr>
      <w:r>
        <w:rPr>
          <w:rStyle w:val="FootnoteReference"/>
        </w:rPr>
        <w:footnoteRef/>
      </w:r>
      <w:r>
        <w:tab/>
        <w:t>JO L 181 du 20.6.2014, p. 48, ELI: </w:t>
      </w:r>
      <w:hyperlink r:id="rId7" w:tooltip="Permet d’accéder à ce document par l’intermédiaire de son URI ELI." w:history="1">
        <w:r>
          <w:rPr>
            <w:rStyle w:val="Hyperlink"/>
          </w:rPr>
          <w:t>http://data.europa.eu/eli/reg_del/2014/640/oj</w:t>
        </w:r>
      </w:hyperlink>
      <w:r>
        <w:t>.</w:t>
      </w:r>
    </w:p>
  </w:footnote>
  <w:footnote w:id="9">
    <w:p>
      <w:pPr>
        <w:pStyle w:val="FootnoteText"/>
      </w:pPr>
      <w:r>
        <w:rPr>
          <w:rStyle w:val="FootnoteReference"/>
        </w:rPr>
        <w:footnoteRef/>
      </w:r>
      <w:r>
        <w:tab/>
        <w:t>JO L 227 du 31.7.2014, p. 69, ELI: </w:t>
      </w:r>
      <w:hyperlink r:id="rId8" w:tooltip="Permet d’accéder à ce document par l’intermédiaire de son URI ELI." w:history="1">
        <w:r>
          <w:rPr>
            <w:rStyle w:val="Hyperlink"/>
          </w:rPr>
          <w:t>http://data.europa.eu/eli/reg_impl/2014/809/oj</w:t>
        </w:r>
      </w:hyperlink>
      <w:r>
        <w:t>.</w:t>
      </w:r>
    </w:p>
  </w:footnote>
  <w:footnote w:id="10">
    <w:p>
      <w:pPr>
        <w:pStyle w:val="FootnoteText"/>
      </w:pPr>
      <w:r>
        <w:rPr>
          <w:rStyle w:val="FootnoteReference"/>
        </w:rPr>
        <w:footnoteRef/>
      </w:r>
      <w:r>
        <w:tab/>
        <w:t>JO L 183 du 8.7.2022, p. 12, ELI: </w:t>
      </w:r>
      <w:hyperlink r:id="rId9" w:tooltip="Permet d’accéder à ce document par l’intermédiaire de son URI ELI." w:history="1">
        <w:r>
          <w:rPr>
            <w:rStyle w:val="Hyperlink"/>
          </w:rPr>
          <w:t>http://data.europa.eu/eli/reg_del/2022/1172/oj</w:t>
        </w:r>
      </w:hyperlink>
      <w:r>
        <w:t>.</w:t>
      </w:r>
    </w:p>
  </w:footnote>
  <w:footnote w:id="11">
    <w:p>
      <w:pPr>
        <w:pStyle w:val="FootnoteText"/>
      </w:pPr>
      <w:r>
        <w:rPr>
          <w:rStyle w:val="FootnoteReference"/>
        </w:rPr>
        <w:footnoteRef/>
      </w:r>
      <w:r>
        <w:tab/>
        <w:t>JO L 183 du 8.7.2022, p. 23, ELI: </w:t>
      </w:r>
      <w:hyperlink r:id="rId10" w:tooltip="Permet d’accéder à ce document par l’intermédiaire de son URI ELI." w:history="1">
        <w:r>
          <w:rPr>
            <w:rStyle w:val="Hyperlink"/>
          </w:rPr>
          <w:t>http://data.europa.eu/eli/reg_impl/2022/1173/oj</w:t>
        </w:r>
      </w:hyperlink>
      <w:r>
        <w:t>.</w:t>
      </w:r>
    </w:p>
  </w:footnote>
  <w:footnote w:id="12">
    <w:p>
      <w:r>
        <w:rPr>
          <w:rStyle w:val="FootnoteReference"/>
        </w:rPr>
        <w:footnoteRef/>
      </w:r>
      <w:r>
        <w:t xml:space="preserve"> </w:t>
      </w:r>
      <w:r>
        <w:tab/>
      </w:r>
      <w:r>
        <w:rPr>
          <w:sz w:val="20"/>
        </w:rPr>
        <w:t xml:space="preserve">Le rapport annuel d’activité de la DG AGRI peut être consulté à l’adresse: </w:t>
      </w:r>
      <w:hyperlink r:id="rId11" w:history="1">
        <w:r>
          <w:rPr>
            <w:rStyle w:val="Hyperlink"/>
            <w:sz w:val="20"/>
          </w:rPr>
          <w:t>https://commission.europa.eu/publications/annual-activity-report-2025-agriculture-and-rural-development_en</w:t>
        </w:r>
      </w:hyperlink>
      <w:r>
        <w:rPr>
          <w:sz w:val="20"/>
        </w:rPr>
        <w:t>.</w:t>
      </w:r>
      <w:r>
        <w:t xml:space="preserve"> </w:t>
      </w:r>
    </w:p>
    <w:p>
      <w:pPr>
        <w:rPr>
          <w:lang w:val="fr-BE"/>
        </w:rPr>
      </w:pPr>
    </w:p>
    <w:p>
      <w:pPr>
        <w:pStyle w:val="FootnoteText"/>
      </w:pPr>
    </w:p>
  </w:footnote>
  <w:footnote w:id="13">
    <w:p>
      <w:pPr>
        <w:pStyle w:val="FootnoteText"/>
      </w:pPr>
      <w:r>
        <w:rPr>
          <w:rStyle w:val="FootnoteReference"/>
        </w:rPr>
        <w:footnoteRef/>
      </w:r>
      <w:r>
        <w:tab/>
        <w:t>Les cas d’irrégularité pour lesquels un premier acte de constat administratif ou judiciaire n’a pas été établi avant le 16 octobre 2014. Dans les cas où le premier acte de constat administratif ou judiciaire a été établi avant cette date, les dossiers sont classés comme des «anciens dossiers».</w:t>
      </w:r>
    </w:p>
  </w:footnote>
  <w:footnote w:id="14">
    <w:p>
      <w:pPr>
        <w:pStyle w:val="FootnoteText"/>
      </w:pPr>
      <w:r>
        <w:rPr>
          <w:rStyle w:val="FootnoteReference"/>
        </w:rPr>
        <w:footnoteRef/>
      </w:r>
      <w:r>
        <w:tab/>
        <w:t>Dossiers déclarés irrécouvrables selon la disposition de l’article 54, paragraphe 3, du règlement (UE) nº 1306/2013.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6FAFEA2"/>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80"/>
    <w:multiLevelType w:val="singleLevel"/>
    <w:tmpl w:val="3C40B182"/>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350FB1"/>
    <w:multiLevelType w:val="multilevel"/>
    <w:tmpl w:val="30847FD6"/>
    <w:lvl w:ilvl="0">
      <w:start w:val="1"/>
      <w:numFmt w:val="decimal"/>
      <w:lvlRestart w:val="0"/>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05E43525"/>
    <w:multiLevelType w:val="multilevel"/>
    <w:tmpl w:val="76202BFE"/>
    <w:lvl w:ilvl="0">
      <w:start w:val="1"/>
      <w:numFmt w:val="decimal"/>
      <w:lvlRestart w:val="0"/>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07836D43"/>
    <w:multiLevelType w:val="hybridMultilevel"/>
    <w:tmpl w:val="9A203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212747"/>
    <w:multiLevelType w:val="multilevel"/>
    <w:tmpl w:val="FBD0F488"/>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11274355"/>
    <w:multiLevelType w:val="hybridMultilevel"/>
    <w:tmpl w:val="BE903E60"/>
    <w:lvl w:ilvl="0" w:tplc="DF14A648">
      <w:start w:val="1"/>
      <w:numFmt w:val="decimal"/>
      <w:lvlText w:val="(%1)"/>
      <w:lvlJc w:val="left"/>
      <w:pPr>
        <w:ind w:left="1210" w:hanging="360"/>
      </w:pPr>
      <w:rPr>
        <w:rFonts w:cs="Times New Roman" w:hint="default"/>
      </w:rPr>
    </w:lvl>
    <w:lvl w:ilvl="1" w:tplc="08090019" w:tentative="1">
      <w:start w:val="1"/>
      <w:numFmt w:val="lowerLetter"/>
      <w:lvlText w:val="%2."/>
      <w:lvlJc w:val="left"/>
      <w:pPr>
        <w:ind w:left="1930" w:hanging="360"/>
      </w:pPr>
      <w:rPr>
        <w:rFonts w:cs="Times New Roman"/>
      </w:rPr>
    </w:lvl>
    <w:lvl w:ilvl="2" w:tplc="0809001B" w:tentative="1">
      <w:start w:val="1"/>
      <w:numFmt w:val="lowerRoman"/>
      <w:lvlText w:val="%3."/>
      <w:lvlJc w:val="right"/>
      <w:pPr>
        <w:ind w:left="2650" w:hanging="180"/>
      </w:pPr>
      <w:rPr>
        <w:rFonts w:cs="Times New Roman"/>
      </w:rPr>
    </w:lvl>
    <w:lvl w:ilvl="3" w:tplc="0809000F" w:tentative="1">
      <w:start w:val="1"/>
      <w:numFmt w:val="decimal"/>
      <w:lvlText w:val="%4."/>
      <w:lvlJc w:val="left"/>
      <w:pPr>
        <w:ind w:left="3370" w:hanging="360"/>
      </w:pPr>
      <w:rPr>
        <w:rFonts w:cs="Times New Roman"/>
      </w:rPr>
    </w:lvl>
    <w:lvl w:ilvl="4" w:tplc="08090019" w:tentative="1">
      <w:start w:val="1"/>
      <w:numFmt w:val="lowerLetter"/>
      <w:lvlText w:val="%5."/>
      <w:lvlJc w:val="left"/>
      <w:pPr>
        <w:ind w:left="4090" w:hanging="360"/>
      </w:pPr>
      <w:rPr>
        <w:rFonts w:cs="Times New Roman"/>
      </w:rPr>
    </w:lvl>
    <w:lvl w:ilvl="5" w:tplc="0809001B" w:tentative="1">
      <w:start w:val="1"/>
      <w:numFmt w:val="lowerRoman"/>
      <w:lvlText w:val="%6."/>
      <w:lvlJc w:val="right"/>
      <w:pPr>
        <w:ind w:left="4810" w:hanging="180"/>
      </w:pPr>
      <w:rPr>
        <w:rFonts w:cs="Times New Roman"/>
      </w:rPr>
    </w:lvl>
    <w:lvl w:ilvl="6" w:tplc="0809000F" w:tentative="1">
      <w:start w:val="1"/>
      <w:numFmt w:val="decimal"/>
      <w:lvlText w:val="%7."/>
      <w:lvlJc w:val="left"/>
      <w:pPr>
        <w:ind w:left="5530" w:hanging="360"/>
      </w:pPr>
      <w:rPr>
        <w:rFonts w:cs="Times New Roman"/>
      </w:rPr>
    </w:lvl>
    <w:lvl w:ilvl="7" w:tplc="08090019" w:tentative="1">
      <w:start w:val="1"/>
      <w:numFmt w:val="lowerLetter"/>
      <w:lvlText w:val="%8."/>
      <w:lvlJc w:val="left"/>
      <w:pPr>
        <w:ind w:left="6250" w:hanging="360"/>
      </w:pPr>
      <w:rPr>
        <w:rFonts w:cs="Times New Roman"/>
      </w:rPr>
    </w:lvl>
    <w:lvl w:ilvl="8" w:tplc="0809001B" w:tentative="1">
      <w:start w:val="1"/>
      <w:numFmt w:val="lowerRoman"/>
      <w:lvlText w:val="%9."/>
      <w:lvlJc w:val="right"/>
      <w:pPr>
        <w:ind w:left="6970" w:hanging="180"/>
      </w:pPr>
      <w:rPr>
        <w:rFonts w:cs="Times New Roman"/>
      </w:rPr>
    </w:lvl>
  </w:abstractNum>
  <w:abstractNum w:abstractNumId="7" w15:restartNumberingAfterBreak="0">
    <w:nsid w:val="12DD5905"/>
    <w:multiLevelType w:val="singleLevel"/>
    <w:tmpl w:val="6CB4B73E"/>
    <w:lvl w:ilvl="0">
      <w:start w:val="1"/>
      <w:numFmt w:val="bullet"/>
      <w:lvlRestart w:val="0"/>
      <w:pStyle w:val="ListBullet2"/>
      <w:lvlText w:val=""/>
      <w:lvlJc w:val="left"/>
      <w:pPr>
        <w:tabs>
          <w:tab w:val="num" w:pos="1134"/>
        </w:tabs>
        <w:ind w:left="1134" w:hanging="283"/>
      </w:pPr>
      <w:rPr>
        <w:rFonts w:ascii="Symbol" w:hAnsi="Symbol" w:hint="default"/>
      </w:rPr>
    </w:lvl>
  </w:abstractNum>
  <w:abstractNum w:abstractNumId="8" w15:restartNumberingAfterBreak="0">
    <w:nsid w:val="149674C4"/>
    <w:multiLevelType w:val="singleLevel"/>
    <w:tmpl w:val="1C5C3756"/>
    <w:name w:val="0,6340992"/>
    <w:lvl w:ilvl="0">
      <w:start w:val="1"/>
      <w:numFmt w:val="bullet"/>
      <w:lvlRestart w:val="0"/>
      <w:pStyle w:val="Tiret1"/>
      <w:lvlText w:val="–"/>
      <w:lvlJc w:val="left"/>
      <w:pPr>
        <w:tabs>
          <w:tab w:val="num" w:pos="1417"/>
        </w:tabs>
        <w:ind w:left="1417" w:hanging="567"/>
      </w:pPr>
    </w:lvl>
  </w:abstractNum>
  <w:abstractNum w:abstractNumId="9" w15:restartNumberingAfterBreak="0">
    <w:nsid w:val="15592001"/>
    <w:multiLevelType w:val="singleLevel"/>
    <w:tmpl w:val="3C6C7C7E"/>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0" w15:restartNumberingAfterBreak="0">
    <w:nsid w:val="158411A6"/>
    <w:multiLevelType w:val="singleLevel"/>
    <w:tmpl w:val="891A2EB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1" w15:restartNumberingAfterBreak="0">
    <w:nsid w:val="241162DB"/>
    <w:multiLevelType w:val="singleLevel"/>
    <w:tmpl w:val="B27E1B54"/>
    <w:lvl w:ilvl="0">
      <w:start w:val="1"/>
      <w:numFmt w:val="bullet"/>
      <w:lvlRestart w:val="0"/>
      <w:pStyle w:val="Tiret2"/>
      <w:lvlText w:val="–"/>
      <w:lvlJc w:val="left"/>
      <w:pPr>
        <w:tabs>
          <w:tab w:val="num" w:pos="1984"/>
        </w:tabs>
        <w:ind w:left="1984" w:hanging="567"/>
      </w:pPr>
    </w:lvl>
  </w:abstractNum>
  <w:abstractNum w:abstractNumId="12" w15:restartNumberingAfterBreak="0">
    <w:nsid w:val="24E930D7"/>
    <w:multiLevelType w:val="multilevel"/>
    <w:tmpl w:val="EFD2E05E"/>
    <w:lvl w:ilvl="0">
      <w:start w:val="1"/>
      <w:numFmt w:val="decimal"/>
      <w:lvlRestart w:val="0"/>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2F076C74"/>
    <w:multiLevelType w:val="multilevel"/>
    <w:tmpl w:val="CC8EDB14"/>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14" w15:restartNumberingAfterBreak="0">
    <w:nsid w:val="30ED4279"/>
    <w:multiLevelType w:val="hybridMultilevel"/>
    <w:tmpl w:val="8228AC36"/>
    <w:lvl w:ilvl="0" w:tplc="7C6CAEFC">
      <w:start w:val="3"/>
      <w:numFmt w:val="bullet"/>
      <w:lvlText w:val="-"/>
      <w:lvlJc w:val="left"/>
      <w:pPr>
        <w:ind w:left="1211" w:hanging="360"/>
      </w:pPr>
      <w:rPr>
        <w:rFonts w:ascii="Times New Roman" w:eastAsia="MS PGothic" w:hAnsi="Times New Roman" w:cs="Times New Roman" w:hint="default"/>
      </w:rPr>
    </w:lvl>
    <w:lvl w:ilvl="1" w:tplc="18090003" w:tentative="1">
      <w:start w:val="1"/>
      <w:numFmt w:val="bullet"/>
      <w:lvlText w:val="o"/>
      <w:lvlJc w:val="left"/>
      <w:pPr>
        <w:ind w:left="1931" w:hanging="360"/>
      </w:pPr>
      <w:rPr>
        <w:rFonts w:ascii="Courier New" w:hAnsi="Courier New" w:cs="Courier New" w:hint="default"/>
      </w:rPr>
    </w:lvl>
    <w:lvl w:ilvl="2" w:tplc="18090005" w:tentative="1">
      <w:start w:val="1"/>
      <w:numFmt w:val="bullet"/>
      <w:lvlText w:val=""/>
      <w:lvlJc w:val="left"/>
      <w:pPr>
        <w:ind w:left="2651" w:hanging="360"/>
      </w:pPr>
      <w:rPr>
        <w:rFonts w:ascii="Wingdings" w:hAnsi="Wingdings" w:hint="default"/>
      </w:rPr>
    </w:lvl>
    <w:lvl w:ilvl="3" w:tplc="18090001" w:tentative="1">
      <w:start w:val="1"/>
      <w:numFmt w:val="bullet"/>
      <w:lvlText w:val=""/>
      <w:lvlJc w:val="left"/>
      <w:pPr>
        <w:ind w:left="3371" w:hanging="360"/>
      </w:pPr>
      <w:rPr>
        <w:rFonts w:ascii="Symbol" w:hAnsi="Symbol" w:hint="default"/>
      </w:rPr>
    </w:lvl>
    <w:lvl w:ilvl="4" w:tplc="18090003" w:tentative="1">
      <w:start w:val="1"/>
      <w:numFmt w:val="bullet"/>
      <w:lvlText w:val="o"/>
      <w:lvlJc w:val="left"/>
      <w:pPr>
        <w:ind w:left="4091" w:hanging="360"/>
      </w:pPr>
      <w:rPr>
        <w:rFonts w:ascii="Courier New" w:hAnsi="Courier New" w:cs="Courier New" w:hint="default"/>
      </w:rPr>
    </w:lvl>
    <w:lvl w:ilvl="5" w:tplc="18090005" w:tentative="1">
      <w:start w:val="1"/>
      <w:numFmt w:val="bullet"/>
      <w:lvlText w:val=""/>
      <w:lvlJc w:val="left"/>
      <w:pPr>
        <w:ind w:left="4811" w:hanging="360"/>
      </w:pPr>
      <w:rPr>
        <w:rFonts w:ascii="Wingdings" w:hAnsi="Wingdings" w:hint="default"/>
      </w:rPr>
    </w:lvl>
    <w:lvl w:ilvl="6" w:tplc="18090001" w:tentative="1">
      <w:start w:val="1"/>
      <w:numFmt w:val="bullet"/>
      <w:lvlText w:val=""/>
      <w:lvlJc w:val="left"/>
      <w:pPr>
        <w:ind w:left="5531" w:hanging="360"/>
      </w:pPr>
      <w:rPr>
        <w:rFonts w:ascii="Symbol" w:hAnsi="Symbol" w:hint="default"/>
      </w:rPr>
    </w:lvl>
    <w:lvl w:ilvl="7" w:tplc="18090003" w:tentative="1">
      <w:start w:val="1"/>
      <w:numFmt w:val="bullet"/>
      <w:lvlText w:val="o"/>
      <w:lvlJc w:val="left"/>
      <w:pPr>
        <w:ind w:left="6251" w:hanging="360"/>
      </w:pPr>
      <w:rPr>
        <w:rFonts w:ascii="Courier New" w:hAnsi="Courier New" w:cs="Courier New" w:hint="default"/>
      </w:rPr>
    </w:lvl>
    <w:lvl w:ilvl="8" w:tplc="18090005" w:tentative="1">
      <w:start w:val="1"/>
      <w:numFmt w:val="bullet"/>
      <w:lvlText w:val=""/>
      <w:lvlJc w:val="left"/>
      <w:pPr>
        <w:ind w:left="6971" w:hanging="360"/>
      </w:pPr>
      <w:rPr>
        <w:rFonts w:ascii="Wingdings" w:hAnsi="Wingdings" w:hint="default"/>
      </w:rPr>
    </w:lvl>
  </w:abstractNum>
  <w:abstractNum w:abstractNumId="15" w15:restartNumberingAfterBreak="0">
    <w:nsid w:val="322F797B"/>
    <w:multiLevelType w:val="hybridMultilevel"/>
    <w:tmpl w:val="98EC018E"/>
    <w:lvl w:ilvl="0" w:tplc="E698F6CE">
      <w:start w:val="1"/>
      <w:numFmt w:val="bullet"/>
      <w:lvlText w:val="–"/>
      <w:lvlJc w:val="left"/>
      <w:pPr>
        <w:ind w:left="720" w:hanging="360"/>
      </w:pPr>
      <w:rPr>
        <w:rFonts w:ascii="Times New Roman" w:hAnsi="Times New Roman" w:hint="default"/>
      </w:rPr>
    </w:lvl>
    <w:lvl w:ilvl="1" w:tplc="DE90F62A">
      <w:start w:val="1"/>
      <w:numFmt w:val="bullet"/>
      <w:lvlText w:val="o"/>
      <w:lvlJc w:val="left"/>
      <w:pPr>
        <w:ind w:left="1440" w:hanging="360"/>
      </w:pPr>
      <w:rPr>
        <w:rFonts w:ascii="Courier New" w:hAnsi="Courier New" w:hint="default"/>
      </w:rPr>
    </w:lvl>
    <w:lvl w:ilvl="2" w:tplc="428A1ED8">
      <w:start w:val="1"/>
      <w:numFmt w:val="bullet"/>
      <w:lvlText w:val=""/>
      <w:lvlJc w:val="left"/>
      <w:pPr>
        <w:ind w:left="2160" w:hanging="360"/>
      </w:pPr>
      <w:rPr>
        <w:rFonts w:ascii="Wingdings" w:hAnsi="Wingdings" w:hint="default"/>
      </w:rPr>
    </w:lvl>
    <w:lvl w:ilvl="3" w:tplc="AC5E15D6">
      <w:start w:val="1"/>
      <w:numFmt w:val="bullet"/>
      <w:lvlText w:val=""/>
      <w:lvlJc w:val="left"/>
      <w:pPr>
        <w:ind w:left="2880" w:hanging="360"/>
      </w:pPr>
      <w:rPr>
        <w:rFonts w:ascii="Symbol" w:hAnsi="Symbol" w:hint="default"/>
      </w:rPr>
    </w:lvl>
    <w:lvl w:ilvl="4" w:tplc="0F14B35A">
      <w:start w:val="1"/>
      <w:numFmt w:val="bullet"/>
      <w:lvlText w:val="o"/>
      <w:lvlJc w:val="left"/>
      <w:pPr>
        <w:ind w:left="3600" w:hanging="360"/>
      </w:pPr>
      <w:rPr>
        <w:rFonts w:ascii="Courier New" w:hAnsi="Courier New" w:hint="default"/>
      </w:rPr>
    </w:lvl>
    <w:lvl w:ilvl="5" w:tplc="175C94B8">
      <w:start w:val="1"/>
      <w:numFmt w:val="bullet"/>
      <w:lvlText w:val=""/>
      <w:lvlJc w:val="left"/>
      <w:pPr>
        <w:ind w:left="4320" w:hanging="360"/>
      </w:pPr>
      <w:rPr>
        <w:rFonts w:ascii="Wingdings" w:hAnsi="Wingdings" w:hint="default"/>
      </w:rPr>
    </w:lvl>
    <w:lvl w:ilvl="6" w:tplc="F90490B4">
      <w:start w:val="1"/>
      <w:numFmt w:val="bullet"/>
      <w:lvlText w:val=""/>
      <w:lvlJc w:val="left"/>
      <w:pPr>
        <w:ind w:left="5040" w:hanging="360"/>
      </w:pPr>
      <w:rPr>
        <w:rFonts w:ascii="Symbol" w:hAnsi="Symbol" w:hint="default"/>
      </w:rPr>
    </w:lvl>
    <w:lvl w:ilvl="7" w:tplc="AC1C242E">
      <w:start w:val="1"/>
      <w:numFmt w:val="bullet"/>
      <w:lvlText w:val="o"/>
      <w:lvlJc w:val="left"/>
      <w:pPr>
        <w:ind w:left="5760" w:hanging="360"/>
      </w:pPr>
      <w:rPr>
        <w:rFonts w:ascii="Courier New" w:hAnsi="Courier New" w:hint="default"/>
      </w:rPr>
    </w:lvl>
    <w:lvl w:ilvl="8" w:tplc="7CC04884">
      <w:start w:val="1"/>
      <w:numFmt w:val="bullet"/>
      <w:lvlText w:val=""/>
      <w:lvlJc w:val="left"/>
      <w:pPr>
        <w:ind w:left="6480" w:hanging="360"/>
      </w:pPr>
      <w:rPr>
        <w:rFonts w:ascii="Wingdings" w:hAnsi="Wingdings" w:hint="default"/>
      </w:rPr>
    </w:lvl>
  </w:abstractNum>
  <w:abstractNum w:abstractNumId="16" w15:restartNumberingAfterBreak="0">
    <w:nsid w:val="3E191884"/>
    <w:multiLevelType w:val="singleLevel"/>
    <w:tmpl w:val="3020C764"/>
    <w:lvl w:ilvl="0">
      <w:start w:val="1"/>
      <w:numFmt w:val="bullet"/>
      <w:lvlRestart w:val="0"/>
      <w:pStyle w:val="ListBullet3"/>
      <w:lvlText w:val=""/>
      <w:lvlJc w:val="left"/>
      <w:pPr>
        <w:tabs>
          <w:tab w:val="num" w:pos="1134"/>
        </w:tabs>
        <w:ind w:left="1134" w:hanging="283"/>
      </w:pPr>
      <w:rPr>
        <w:rFonts w:ascii="Symbol" w:hAnsi="Symbol" w:hint="default"/>
      </w:rPr>
    </w:lvl>
  </w:abstractNum>
  <w:abstractNum w:abstractNumId="17" w15:restartNumberingAfterBreak="0">
    <w:nsid w:val="40315490"/>
    <w:multiLevelType w:val="singleLevel"/>
    <w:tmpl w:val="1F86C700"/>
    <w:lvl w:ilvl="0">
      <w:start w:val="1"/>
      <w:numFmt w:val="bullet"/>
      <w:lvlRestart w:val="0"/>
      <w:pStyle w:val="ListDash"/>
      <w:lvlText w:val="–"/>
      <w:lvlJc w:val="left"/>
      <w:pPr>
        <w:tabs>
          <w:tab w:val="num" w:pos="283"/>
        </w:tabs>
        <w:ind w:left="283" w:hanging="283"/>
      </w:pPr>
      <w:rPr>
        <w:rFonts w:ascii="Times New Roman" w:hAnsi="Times New Roman"/>
      </w:rPr>
    </w:lvl>
  </w:abstractNum>
  <w:abstractNum w:abstractNumId="18" w15:restartNumberingAfterBreak="0">
    <w:nsid w:val="40FF3500"/>
    <w:multiLevelType w:val="singleLevel"/>
    <w:tmpl w:val="84DA1EE8"/>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4BF12751"/>
    <w:multiLevelType w:val="multilevel"/>
    <w:tmpl w:val="0809001F"/>
    <w:name w:val="NumPar"/>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0" w15:restartNumberingAfterBreak="0">
    <w:nsid w:val="4F262DEB"/>
    <w:multiLevelType w:val="hybridMultilevel"/>
    <w:tmpl w:val="FFFFFFFF"/>
    <w:lvl w:ilvl="0" w:tplc="927C182A">
      <w:start w:val="1"/>
      <w:numFmt w:val="decimal"/>
      <w:lvlText w:val="%1."/>
      <w:lvlJc w:val="left"/>
      <w:pPr>
        <w:ind w:left="1210" w:hanging="360"/>
      </w:pPr>
    </w:lvl>
    <w:lvl w:ilvl="1" w:tplc="6ABC175C">
      <w:start w:val="1"/>
      <w:numFmt w:val="lowerLetter"/>
      <w:lvlText w:val="%2."/>
      <w:lvlJc w:val="left"/>
      <w:pPr>
        <w:ind w:left="1930" w:hanging="360"/>
      </w:pPr>
    </w:lvl>
    <w:lvl w:ilvl="2" w:tplc="84CAE222">
      <w:start w:val="1"/>
      <w:numFmt w:val="lowerRoman"/>
      <w:lvlText w:val="%3."/>
      <w:lvlJc w:val="right"/>
      <w:pPr>
        <w:ind w:left="2650" w:hanging="180"/>
      </w:pPr>
    </w:lvl>
    <w:lvl w:ilvl="3" w:tplc="DD5EF540">
      <w:start w:val="1"/>
      <w:numFmt w:val="decimal"/>
      <w:lvlText w:val="%4."/>
      <w:lvlJc w:val="left"/>
      <w:pPr>
        <w:ind w:left="3370" w:hanging="360"/>
      </w:pPr>
    </w:lvl>
    <w:lvl w:ilvl="4" w:tplc="5914ADCE">
      <w:start w:val="1"/>
      <w:numFmt w:val="lowerLetter"/>
      <w:lvlText w:val="%5."/>
      <w:lvlJc w:val="left"/>
      <w:pPr>
        <w:ind w:left="4090" w:hanging="360"/>
      </w:pPr>
    </w:lvl>
    <w:lvl w:ilvl="5" w:tplc="2C9E32F8">
      <w:start w:val="1"/>
      <w:numFmt w:val="lowerRoman"/>
      <w:lvlText w:val="%6."/>
      <w:lvlJc w:val="right"/>
      <w:pPr>
        <w:ind w:left="4810" w:hanging="180"/>
      </w:pPr>
    </w:lvl>
    <w:lvl w:ilvl="6" w:tplc="BFDE5A24">
      <w:start w:val="1"/>
      <w:numFmt w:val="decimal"/>
      <w:lvlText w:val="%7."/>
      <w:lvlJc w:val="left"/>
      <w:pPr>
        <w:ind w:left="5530" w:hanging="360"/>
      </w:pPr>
    </w:lvl>
    <w:lvl w:ilvl="7" w:tplc="7B5850AC">
      <w:start w:val="1"/>
      <w:numFmt w:val="lowerLetter"/>
      <w:lvlText w:val="%8."/>
      <w:lvlJc w:val="left"/>
      <w:pPr>
        <w:ind w:left="6250" w:hanging="360"/>
      </w:pPr>
    </w:lvl>
    <w:lvl w:ilvl="8" w:tplc="323C7C66">
      <w:start w:val="1"/>
      <w:numFmt w:val="lowerRoman"/>
      <w:lvlText w:val="%9."/>
      <w:lvlJc w:val="right"/>
      <w:pPr>
        <w:ind w:left="6970" w:hanging="180"/>
      </w:pPr>
    </w:lvl>
  </w:abstractNum>
  <w:abstractNum w:abstractNumId="21" w15:restartNumberingAfterBreak="0">
    <w:nsid w:val="4FE679FC"/>
    <w:multiLevelType w:val="hybridMultilevel"/>
    <w:tmpl w:val="3578ABC2"/>
    <w:lvl w:ilvl="0" w:tplc="0B38CBBA">
      <w:start w:val="1"/>
      <w:numFmt w:val="bullet"/>
      <w:lvlText w:val=""/>
      <w:lvlJc w:val="left"/>
      <w:pPr>
        <w:ind w:left="1570" w:hanging="360"/>
      </w:pPr>
      <w:rPr>
        <w:rFonts w:ascii="Symbol" w:hAnsi="Symbol" w:hint="default"/>
      </w:rPr>
    </w:lvl>
    <w:lvl w:ilvl="1" w:tplc="040E0003" w:tentative="1">
      <w:start w:val="1"/>
      <w:numFmt w:val="bullet"/>
      <w:lvlText w:val="o"/>
      <w:lvlJc w:val="left"/>
      <w:pPr>
        <w:ind w:left="2290" w:hanging="360"/>
      </w:pPr>
      <w:rPr>
        <w:rFonts w:ascii="Courier New" w:hAnsi="Courier New" w:cs="Courier New" w:hint="default"/>
      </w:rPr>
    </w:lvl>
    <w:lvl w:ilvl="2" w:tplc="040E0005" w:tentative="1">
      <w:start w:val="1"/>
      <w:numFmt w:val="bullet"/>
      <w:lvlText w:val=""/>
      <w:lvlJc w:val="left"/>
      <w:pPr>
        <w:ind w:left="3010" w:hanging="360"/>
      </w:pPr>
      <w:rPr>
        <w:rFonts w:ascii="Wingdings" w:hAnsi="Wingdings" w:hint="default"/>
      </w:rPr>
    </w:lvl>
    <w:lvl w:ilvl="3" w:tplc="040E0001" w:tentative="1">
      <w:start w:val="1"/>
      <w:numFmt w:val="bullet"/>
      <w:lvlText w:val=""/>
      <w:lvlJc w:val="left"/>
      <w:pPr>
        <w:ind w:left="3730" w:hanging="360"/>
      </w:pPr>
      <w:rPr>
        <w:rFonts w:ascii="Symbol" w:hAnsi="Symbol" w:hint="default"/>
      </w:rPr>
    </w:lvl>
    <w:lvl w:ilvl="4" w:tplc="040E0003" w:tentative="1">
      <w:start w:val="1"/>
      <w:numFmt w:val="bullet"/>
      <w:lvlText w:val="o"/>
      <w:lvlJc w:val="left"/>
      <w:pPr>
        <w:ind w:left="4450" w:hanging="360"/>
      </w:pPr>
      <w:rPr>
        <w:rFonts w:ascii="Courier New" w:hAnsi="Courier New" w:cs="Courier New" w:hint="default"/>
      </w:rPr>
    </w:lvl>
    <w:lvl w:ilvl="5" w:tplc="040E0005" w:tentative="1">
      <w:start w:val="1"/>
      <w:numFmt w:val="bullet"/>
      <w:lvlText w:val=""/>
      <w:lvlJc w:val="left"/>
      <w:pPr>
        <w:ind w:left="5170" w:hanging="360"/>
      </w:pPr>
      <w:rPr>
        <w:rFonts w:ascii="Wingdings" w:hAnsi="Wingdings" w:hint="default"/>
      </w:rPr>
    </w:lvl>
    <w:lvl w:ilvl="6" w:tplc="040E0001" w:tentative="1">
      <w:start w:val="1"/>
      <w:numFmt w:val="bullet"/>
      <w:lvlText w:val=""/>
      <w:lvlJc w:val="left"/>
      <w:pPr>
        <w:ind w:left="5890" w:hanging="360"/>
      </w:pPr>
      <w:rPr>
        <w:rFonts w:ascii="Symbol" w:hAnsi="Symbol" w:hint="default"/>
      </w:rPr>
    </w:lvl>
    <w:lvl w:ilvl="7" w:tplc="040E0003" w:tentative="1">
      <w:start w:val="1"/>
      <w:numFmt w:val="bullet"/>
      <w:lvlText w:val="o"/>
      <w:lvlJc w:val="left"/>
      <w:pPr>
        <w:ind w:left="6610" w:hanging="360"/>
      </w:pPr>
      <w:rPr>
        <w:rFonts w:ascii="Courier New" w:hAnsi="Courier New" w:cs="Courier New" w:hint="default"/>
      </w:rPr>
    </w:lvl>
    <w:lvl w:ilvl="8" w:tplc="040E0005" w:tentative="1">
      <w:start w:val="1"/>
      <w:numFmt w:val="bullet"/>
      <w:lvlText w:val=""/>
      <w:lvlJc w:val="left"/>
      <w:pPr>
        <w:ind w:left="7330" w:hanging="360"/>
      </w:pPr>
      <w:rPr>
        <w:rFonts w:ascii="Wingdings" w:hAnsi="Wingdings" w:hint="default"/>
      </w:rPr>
    </w:lvl>
  </w:abstractNum>
  <w:abstractNum w:abstractNumId="22" w15:restartNumberingAfterBreak="0">
    <w:nsid w:val="57C85C6C"/>
    <w:multiLevelType w:val="hybridMultilevel"/>
    <w:tmpl w:val="721C3FF6"/>
    <w:lvl w:ilvl="0" w:tplc="0B38CBBA">
      <w:start w:val="1"/>
      <w:numFmt w:val="bullet"/>
      <w:lvlText w:val=""/>
      <w:lvlJc w:val="left"/>
      <w:pPr>
        <w:ind w:left="1570" w:hanging="360"/>
      </w:pPr>
      <w:rPr>
        <w:rFonts w:ascii="Symbol" w:hAnsi="Symbol" w:hint="default"/>
      </w:rPr>
    </w:lvl>
    <w:lvl w:ilvl="1" w:tplc="040E0003" w:tentative="1">
      <w:start w:val="1"/>
      <w:numFmt w:val="bullet"/>
      <w:lvlText w:val="o"/>
      <w:lvlJc w:val="left"/>
      <w:pPr>
        <w:ind w:left="2290" w:hanging="360"/>
      </w:pPr>
      <w:rPr>
        <w:rFonts w:ascii="Courier New" w:hAnsi="Courier New" w:cs="Courier New" w:hint="default"/>
      </w:rPr>
    </w:lvl>
    <w:lvl w:ilvl="2" w:tplc="040E0005" w:tentative="1">
      <w:start w:val="1"/>
      <w:numFmt w:val="bullet"/>
      <w:lvlText w:val=""/>
      <w:lvlJc w:val="left"/>
      <w:pPr>
        <w:ind w:left="3010" w:hanging="360"/>
      </w:pPr>
      <w:rPr>
        <w:rFonts w:ascii="Wingdings" w:hAnsi="Wingdings" w:hint="default"/>
      </w:rPr>
    </w:lvl>
    <w:lvl w:ilvl="3" w:tplc="040E0001" w:tentative="1">
      <w:start w:val="1"/>
      <w:numFmt w:val="bullet"/>
      <w:lvlText w:val=""/>
      <w:lvlJc w:val="left"/>
      <w:pPr>
        <w:ind w:left="3730" w:hanging="360"/>
      </w:pPr>
      <w:rPr>
        <w:rFonts w:ascii="Symbol" w:hAnsi="Symbol" w:hint="default"/>
      </w:rPr>
    </w:lvl>
    <w:lvl w:ilvl="4" w:tplc="040E0003" w:tentative="1">
      <w:start w:val="1"/>
      <w:numFmt w:val="bullet"/>
      <w:lvlText w:val="o"/>
      <w:lvlJc w:val="left"/>
      <w:pPr>
        <w:ind w:left="4450" w:hanging="360"/>
      </w:pPr>
      <w:rPr>
        <w:rFonts w:ascii="Courier New" w:hAnsi="Courier New" w:cs="Courier New" w:hint="default"/>
      </w:rPr>
    </w:lvl>
    <w:lvl w:ilvl="5" w:tplc="040E0005" w:tentative="1">
      <w:start w:val="1"/>
      <w:numFmt w:val="bullet"/>
      <w:lvlText w:val=""/>
      <w:lvlJc w:val="left"/>
      <w:pPr>
        <w:ind w:left="5170" w:hanging="360"/>
      </w:pPr>
      <w:rPr>
        <w:rFonts w:ascii="Wingdings" w:hAnsi="Wingdings" w:hint="default"/>
      </w:rPr>
    </w:lvl>
    <w:lvl w:ilvl="6" w:tplc="040E0001" w:tentative="1">
      <w:start w:val="1"/>
      <w:numFmt w:val="bullet"/>
      <w:lvlText w:val=""/>
      <w:lvlJc w:val="left"/>
      <w:pPr>
        <w:ind w:left="5890" w:hanging="360"/>
      </w:pPr>
      <w:rPr>
        <w:rFonts w:ascii="Symbol" w:hAnsi="Symbol" w:hint="default"/>
      </w:rPr>
    </w:lvl>
    <w:lvl w:ilvl="7" w:tplc="040E0003" w:tentative="1">
      <w:start w:val="1"/>
      <w:numFmt w:val="bullet"/>
      <w:lvlText w:val="o"/>
      <w:lvlJc w:val="left"/>
      <w:pPr>
        <w:ind w:left="6610" w:hanging="360"/>
      </w:pPr>
      <w:rPr>
        <w:rFonts w:ascii="Courier New" w:hAnsi="Courier New" w:cs="Courier New" w:hint="default"/>
      </w:rPr>
    </w:lvl>
    <w:lvl w:ilvl="8" w:tplc="040E0005" w:tentative="1">
      <w:start w:val="1"/>
      <w:numFmt w:val="bullet"/>
      <w:lvlText w:val=""/>
      <w:lvlJc w:val="left"/>
      <w:pPr>
        <w:ind w:left="7330" w:hanging="360"/>
      </w:pPr>
      <w:rPr>
        <w:rFonts w:ascii="Wingdings" w:hAnsi="Wingdings" w:hint="default"/>
      </w:rPr>
    </w:lvl>
  </w:abstractNum>
  <w:abstractNum w:abstractNumId="23" w15:restartNumberingAfterBreak="0">
    <w:nsid w:val="596D67A1"/>
    <w:multiLevelType w:val="singleLevel"/>
    <w:tmpl w:val="9AC8831A"/>
    <w:name w:val="Tiret 1"/>
    <w:lvl w:ilvl="0">
      <w:start w:val="1"/>
      <w:numFmt w:val="bullet"/>
      <w:lvlRestart w:val="0"/>
      <w:pStyle w:val="ListDash2"/>
      <w:lvlText w:val="–"/>
      <w:lvlJc w:val="left"/>
      <w:pPr>
        <w:tabs>
          <w:tab w:val="num" w:pos="1134"/>
        </w:tabs>
        <w:ind w:left="1134" w:hanging="283"/>
      </w:pPr>
      <w:rPr>
        <w:rFonts w:ascii="Times New Roman" w:hAnsi="Times New Roman"/>
      </w:rPr>
    </w:lvl>
  </w:abstractNum>
  <w:abstractNum w:abstractNumId="24" w15:restartNumberingAfterBreak="0">
    <w:nsid w:val="5F8C3B69"/>
    <w:multiLevelType w:val="multilevel"/>
    <w:tmpl w:val="9B14DAA8"/>
    <w:name w:val="Bullet 0"/>
    <w:lvl w:ilvl="0">
      <w:start w:val="1"/>
      <w:numFmt w:val="decimal"/>
      <w:lvlRestart w:val="0"/>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612064BE"/>
    <w:multiLevelType w:val="hybridMultilevel"/>
    <w:tmpl w:val="CE22AD48"/>
    <w:lvl w:ilvl="0" w:tplc="0B38CBBA">
      <w:start w:val="1"/>
      <w:numFmt w:val="bullet"/>
      <w:lvlText w:val=""/>
      <w:lvlJc w:val="left"/>
      <w:pPr>
        <w:ind w:left="1570" w:hanging="360"/>
      </w:pPr>
      <w:rPr>
        <w:rFonts w:ascii="Symbol" w:hAnsi="Symbol" w:hint="default"/>
      </w:rPr>
    </w:lvl>
    <w:lvl w:ilvl="1" w:tplc="040E0003" w:tentative="1">
      <w:start w:val="1"/>
      <w:numFmt w:val="bullet"/>
      <w:lvlText w:val="o"/>
      <w:lvlJc w:val="left"/>
      <w:pPr>
        <w:ind w:left="2290" w:hanging="360"/>
      </w:pPr>
      <w:rPr>
        <w:rFonts w:ascii="Courier New" w:hAnsi="Courier New" w:cs="Courier New" w:hint="default"/>
      </w:rPr>
    </w:lvl>
    <w:lvl w:ilvl="2" w:tplc="040E0005" w:tentative="1">
      <w:start w:val="1"/>
      <w:numFmt w:val="bullet"/>
      <w:lvlText w:val=""/>
      <w:lvlJc w:val="left"/>
      <w:pPr>
        <w:ind w:left="3010" w:hanging="360"/>
      </w:pPr>
      <w:rPr>
        <w:rFonts w:ascii="Wingdings" w:hAnsi="Wingdings" w:hint="default"/>
      </w:rPr>
    </w:lvl>
    <w:lvl w:ilvl="3" w:tplc="040E0001" w:tentative="1">
      <w:start w:val="1"/>
      <w:numFmt w:val="bullet"/>
      <w:lvlText w:val=""/>
      <w:lvlJc w:val="left"/>
      <w:pPr>
        <w:ind w:left="3730" w:hanging="360"/>
      </w:pPr>
      <w:rPr>
        <w:rFonts w:ascii="Symbol" w:hAnsi="Symbol" w:hint="default"/>
      </w:rPr>
    </w:lvl>
    <w:lvl w:ilvl="4" w:tplc="040E0003" w:tentative="1">
      <w:start w:val="1"/>
      <w:numFmt w:val="bullet"/>
      <w:lvlText w:val="o"/>
      <w:lvlJc w:val="left"/>
      <w:pPr>
        <w:ind w:left="4450" w:hanging="360"/>
      </w:pPr>
      <w:rPr>
        <w:rFonts w:ascii="Courier New" w:hAnsi="Courier New" w:cs="Courier New" w:hint="default"/>
      </w:rPr>
    </w:lvl>
    <w:lvl w:ilvl="5" w:tplc="040E0005" w:tentative="1">
      <w:start w:val="1"/>
      <w:numFmt w:val="bullet"/>
      <w:lvlText w:val=""/>
      <w:lvlJc w:val="left"/>
      <w:pPr>
        <w:ind w:left="5170" w:hanging="360"/>
      </w:pPr>
      <w:rPr>
        <w:rFonts w:ascii="Wingdings" w:hAnsi="Wingdings" w:hint="default"/>
      </w:rPr>
    </w:lvl>
    <w:lvl w:ilvl="6" w:tplc="040E0001" w:tentative="1">
      <w:start w:val="1"/>
      <w:numFmt w:val="bullet"/>
      <w:lvlText w:val=""/>
      <w:lvlJc w:val="left"/>
      <w:pPr>
        <w:ind w:left="5890" w:hanging="360"/>
      </w:pPr>
      <w:rPr>
        <w:rFonts w:ascii="Symbol" w:hAnsi="Symbol" w:hint="default"/>
      </w:rPr>
    </w:lvl>
    <w:lvl w:ilvl="7" w:tplc="040E0003" w:tentative="1">
      <w:start w:val="1"/>
      <w:numFmt w:val="bullet"/>
      <w:lvlText w:val="o"/>
      <w:lvlJc w:val="left"/>
      <w:pPr>
        <w:ind w:left="6610" w:hanging="360"/>
      </w:pPr>
      <w:rPr>
        <w:rFonts w:ascii="Courier New" w:hAnsi="Courier New" w:cs="Courier New" w:hint="default"/>
      </w:rPr>
    </w:lvl>
    <w:lvl w:ilvl="8" w:tplc="040E0005" w:tentative="1">
      <w:start w:val="1"/>
      <w:numFmt w:val="bullet"/>
      <w:lvlText w:val=""/>
      <w:lvlJc w:val="left"/>
      <w:pPr>
        <w:ind w:left="7330" w:hanging="360"/>
      </w:pPr>
      <w:rPr>
        <w:rFonts w:ascii="Wingdings" w:hAnsi="Wingdings" w:hint="default"/>
      </w:rPr>
    </w:lvl>
  </w:abstractNum>
  <w:abstractNum w:abstractNumId="26" w15:restartNumberingAfterBreak="0">
    <w:nsid w:val="62A8042C"/>
    <w:multiLevelType w:val="singleLevel"/>
    <w:tmpl w:val="CCF20C06"/>
    <w:name w:val="Bullet 2"/>
    <w:lvl w:ilvl="0">
      <w:start w:val="1"/>
      <w:numFmt w:val="bullet"/>
      <w:lvlRestart w:val="0"/>
      <w:pStyle w:val="ListDash1"/>
      <w:lvlText w:val="–"/>
      <w:lvlJc w:val="left"/>
      <w:pPr>
        <w:tabs>
          <w:tab w:val="num" w:pos="1134"/>
        </w:tabs>
        <w:ind w:left="1134" w:hanging="283"/>
      </w:pPr>
      <w:rPr>
        <w:rFonts w:ascii="Times New Roman" w:hAnsi="Times New Roman"/>
      </w:rPr>
    </w:lvl>
  </w:abstractNum>
  <w:abstractNum w:abstractNumId="27" w15:restartNumberingAfterBreak="0">
    <w:nsid w:val="63B26268"/>
    <w:multiLevelType w:val="singleLevel"/>
    <w:tmpl w:val="491E6360"/>
    <w:name w:val="Tiret 2"/>
    <w:lvl w:ilvl="0">
      <w:start w:val="1"/>
      <w:numFmt w:val="decimal"/>
      <w:lvlRestart w:val="0"/>
      <w:pStyle w:val="Considrant"/>
      <w:lvlText w:val="(%1)"/>
      <w:lvlJc w:val="left"/>
      <w:pPr>
        <w:tabs>
          <w:tab w:val="num" w:pos="709"/>
        </w:tabs>
        <w:ind w:left="709" w:hanging="709"/>
      </w:pPr>
      <w:rPr>
        <w:rFonts w:cs="Times New Roman"/>
      </w:rPr>
    </w:lvl>
  </w:abstractNum>
  <w:abstractNum w:abstractNumId="28" w15:restartNumberingAfterBreak="0">
    <w:nsid w:val="64304DA4"/>
    <w:multiLevelType w:val="hybridMultilevel"/>
    <w:tmpl w:val="AFAA88FE"/>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29" w15:restartNumberingAfterBreak="0">
    <w:nsid w:val="65221EBE"/>
    <w:multiLevelType w:val="hybridMultilevel"/>
    <w:tmpl w:val="EC7AB760"/>
    <w:lvl w:ilvl="0" w:tplc="51409574">
      <w:start w:val="3"/>
      <w:numFmt w:val="bullet"/>
      <w:lvlText w:val="-"/>
      <w:lvlJc w:val="left"/>
      <w:pPr>
        <w:ind w:left="1211" w:hanging="360"/>
      </w:pPr>
      <w:rPr>
        <w:rFonts w:ascii="Times New Roman" w:eastAsia="MS PGothic" w:hAnsi="Times New Roman" w:cs="Times New Roman" w:hint="default"/>
      </w:rPr>
    </w:lvl>
    <w:lvl w:ilvl="1" w:tplc="18090003" w:tentative="1">
      <w:start w:val="1"/>
      <w:numFmt w:val="bullet"/>
      <w:lvlText w:val="o"/>
      <w:lvlJc w:val="left"/>
      <w:pPr>
        <w:ind w:left="1931" w:hanging="360"/>
      </w:pPr>
      <w:rPr>
        <w:rFonts w:ascii="Courier New" w:hAnsi="Courier New" w:cs="Courier New" w:hint="default"/>
      </w:rPr>
    </w:lvl>
    <w:lvl w:ilvl="2" w:tplc="18090005" w:tentative="1">
      <w:start w:val="1"/>
      <w:numFmt w:val="bullet"/>
      <w:lvlText w:val=""/>
      <w:lvlJc w:val="left"/>
      <w:pPr>
        <w:ind w:left="2651" w:hanging="360"/>
      </w:pPr>
      <w:rPr>
        <w:rFonts w:ascii="Wingdings" w:hAnsi="Wingdings" w:hint="default"/>
      </w:rPr>
    </w:lvl>
    <w:lvl w:ilvl="3" w:tplc="18090001" w:tentative="1">
      <w:start w:val="1"/>
      <w:numFmt w:val="bullet"/>
      <w:lvlText w:val=""/>
      <w:lvlJc w:val="left"/>
      <w:pPr>
        <w:ind w:left="3371" w:hanging="360"/>
      </w:pPr>
      <w:rPr>
        <w:rFonts w:ascii="Symbol" w:hAnsi="Symbol" w:hint="default"/>
      </w:rPr>
    </w:lvl>
    <w:lvl w:ilvl="4" w:tplc="18090003" w:tentative="1">
      <w:start w:val="1"/>
      <w:numFmt w:val="bullet"/>
      <w:lvlText w:val="o"/>
      <w:lvlJc w:val="left"/>
      <w:pPr>
        <w:ind w:left="4091" w:hanging="360"/>
      </w:pPr>
      <w:rPr>
        <w:rFonts w:ascii="Courier New" w:hAnsi="Courier New" w:cs="Courier New" w:hint="default"/>
      </w:rPr>
    </w:lvl>
    <w:lvl w:ilvl="5" w:tplc="18090005" w:tentative="1">
      <w:start w:val="1"/>
      <w:numFmt w:val="bullet"/>
      <w:lvlText w:val=""/>
      <w:lvlJc w:val="left"/>
      <w:pPr>
        <w:ind w:left="4811" w:hanging="360"/>
      </w:pPr>
      <w:rPr>
        <w:rFonts w:ascii="Wingdings" w:hAnsi="Wingdings" w:hint="default"/>
      </w:rPr>
    </w:lvl>
    <w:lvl w:ilvl="6" w:tplc="18090001" w:tentative="1">
      <w:start w:val="1"/>
      <w:numFmt w:val="bullet"/>
      <w:lvlText w:val=""/>
      <w:lvlJc w:val="left"/>
      <w:pPr>
        <w:ind w:left="5531" w:hanging="360"/>
      </w:pPr>
      <w:rPr>
        <w:rFonts w:ascii="Symbol" w:hAnsi="Symbol" w:hint="default"/>
      </w:rPr>
    </w:lvl>
    <w:lvl w:ilvl="7" w:tplc="18090003" w:tentative="1">
      <w:start w:val="1"/>
      <w:numFmt w:val="bullet"/>
      <w:lvlText w:val="o"/>
      <w:lvlJc w:val="left"/>
      <w:pPr>
        <w:ind w:left="6251" w:hanging="360"/>
      </w:pPr>
      <w:rPr>
        <w:rFonts w:ascii="Courier New" w:hAnsi="Courier New" w:cs="Courier New" w:hint="default"/>
      </w:rPr>
    </w:lvl>
    <w:lvl w:ilvl="8" w:tplc="18090005" w:tentative="1">
      <w:start w:val="1"/>
      <w:numFmt w:val="bullet"/>
      <w:lvlText w:val=""/>
      <w:lvlJc w:val="left"/>
      <w:pPr>
        <w:ind w:left="6971" w:hanging="360"/>
      </w:pPr>
      <w:rPr>
        <w:rFonts w:ascii="Wingdings" w:hAnsi="Wingdings" w:hint="default"/>
      </w:rPr>
    </w:lvl>
  </w:abstractNum>
  <w:abstractNum w:abstractNumId="30" w15:restartNumberingAfterBreak="0">
    <w:nsid w:val="67917F1D"/>
    <w:multiLevelType w:val="hybridMultilevel"/>
    <w:tmpl w:val="4B6495F6"/>
    <w:lvl w:ilvl="0" w:tplc="0B38CBBA">
      <w:start w:val="1"/>
      <w:numFmt w:val="bullet"/>
      <w:lvlText w:val=""/>
      <w:lvlJc w:val="left"/>
      <w:pPr>
        <w:ind w:left="1570" w:hanging="360"/>
      </w:pPr>
      <w:rPr>
        <w:rFonts w:ascii="Symbol" w:hAnsi="Symbol" w:hint="default"/>
      </w:rPr>
    </w:lvl>
    <w:lvl w:ilvl="1" w:tplc="040E0003" w:tentative="1">
      <w:start w:val="1"/>
      <w:numFmt w:val="bullet"/>
      <w:lvlText w:val="o"/>
      <w:lvlJc w:val="left"/>
      <w:pPr>
        <w:ind w:left="2290" w:hanging="360"/>
      </w:pPr>
      <w:rPr>
        <w:rFonts w:ascii="Courier New" w:hAnsi="Courier New" w:cs="Courier New" w:hint="default"/>
      </w:rPr>
    </w:lvl>
    <w:lvl w:ilvl="2" w:tplc="040E0005" w:tentative="1">
      <w:start w:val="1"/>
      <w:numFmt w:val="bullet"/>
      <w:lvlText w:val=""/>
      <w:lvlJc w:val="left"/>
      <w:pPr>
        <w:ind w:left="3010" w:hanging="360"/>
      </w:pPr>
      <w:rPr>
        <w:rFonts w:ascii="Wingdings" w:hAnsi="Wingdings" w:hint="default"/>
      </w:rPr>
    </w:lvl>
    <w:lvl w:ilvl="3" w:tplc="040E0001" w:tentative="1">
      <w:start w:val="1"/>
      <w:numFmt w:val="bullet"/>
      <w:lvlText w:val=""/>
      <w:lvlJc w:val="left"/>
      <w:pPr>
        <w:ind w:left="3730" w:hanging="360"/>
      </w:pPr>
      <w:rPr>
        <w:rFonts w:ascii="Symbol" w:hAnsi="Symbol" w:hint="default"/>
      </w:rPr>
    </w:lvl>
    <w:lvl w:ilvl="4" w:tplc="040E0003" w:tentative="1">
      <w:start w:val="1"/>
      <w:numFmt w:val="bullet"/>
      <w:lvlText w:val="o"/>
      <w:lvlJc w:val="left"/>
      <w:pPr>
        <w:ind w:left="4450" w:hanging="360"/>
      </w:pPr>
      <w:rPr>
        <w:rFonts w:ascii="Courier New" w:hAnsi="Courier New" w:cs="Courier New" w:hint="default"/>
      </w:rPr>
    </w:lvl>
    <w:lvl w:ilvl="5" w:tplc="040E0005" w:tentative="1">
      <w:start w:val="1"/>
      <w:numFmt w:val="bullet"/>
      <w:lvlText w:val=""/>
      <w:lvlJc w:val="left"/>
      <w:pPr>
        <w:ind w:left="5170" w:hanging="360"/>
      </w:pPr>
      <w:rPr>
        <w:rFonts w:ascii="Wingdings" w:hAnsi="Wingdings" w:hint="default"/>
      </w:rPr>
    </w:lvl>
    <w:lvl w:ilvl="6" w:tplc="040E0001" w:tentative="1">
      <w:start w:val="1"/>
      <w:numFmt w:val="bullet"/>
      <w:lvlText w:val=""/>
      <w:lvlJc w:val="left"/>
      <w:pPr>
        <w:ind w:left="5890" w:hanging="360"/>
      </w:pPr>
      <w:rPr>
        <w:rFonts w:ascii="Symbol" w:hAnsi="Symbol" w:hint="default"/>
      </w:rPr>
    </w:lvl>
    <w:lvl w:ilvl="7" w:tplc="040E0003" w:tentative="1">
      <w:start w:val="1"/>
      <w:numFmt w:val="bullet"/>
      <w:lvlText w:val="o"/>
      <w:lvlJc w:val="left"/>
      <w:pPr>
        <w:ind w:left="6610" w:hanging="360"/>
      </w:pPr>
      <w:rPr>
        <w:rFonts w:ascii="Courier New" w:hAnsi="Courier New" w:cs="Courier New" w:hint="default"/>
      </w:rPr>
    </w:lvl>
    <w:lvl w:ilvl="8" w:tplc="040E0005" w:tentative="1">
      <w:start w:val="1"/>
      <w:numFmt w:val="bullet"/>
      <w:lvlText w:val=""/>
      <w:lvlJc w:val="left"/>
      <w:pPr>
        <w:ind w:left="7330" w:hanging="360"/>
      </w:pPr>
      <w:rPr>
        <w:rFonts w:ascii="Wingdings" w:hAnsi="Wingdings" w:hint="default"/>
      </w:rPr>
    </w:lvl>
  </w:abstractNum>
  <w:abstractNum w:abstractNumId="31" w15:restartNumberingAfterBreak="0">
    <w:nsid w:val="6A6901C1"/>
    <w:multiLevelType w:val="singleLevel"/>
    <w:tmpl w:val="208841AE"/>
    <w:name w:val="0,8228368"/>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32" w15:restartNumberingAfterBreak="0">
    <w:nsid w:val="6D2B5511"/>
    <w:multiLevelType w:val="singleLevel"/>
    <w:tmpl w:val="74A09970"/>
    <w:name w:val="5,794489E-02"/>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33" w15:restartNumberingAfterBreak="0">
    <w:nsid w:val="6EC300CA"/>
    <w:multiLevelType w:val="singleLevel"/>
    <w:tmpl w:val="055ABBD0"/>
    <w:name w:val="Point"/>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4" w15:restartNumberingAfterBreak="0">
    <w:nsid w:val="70542883"/>
    <w:multiLevelType w:val="hybridMultilevel"/>
    <w:tmpl w:val="EA78B5D2"/>
    <w:lvl w:ilvl="0" w:tplc="0B38CBBA">
      <w:start w:val="1"/>
      <w:numFmt w:val="bullet"/>
      <w:lvlText w:val=""/>
      <w:lvlJc w:val="left"/>
      <w:pPr>
        <w:ind w:left="1570" w:hanging="360"/>
      </w:pPr>
      <w:rPr>
        <w:rFonts w:ascii="Symbol" w:hAnsi="Symbol" w:hint="default"/>
      </w:rPr>
    </w:lvl>
    <w:lvl w:ilvl="1" w:tplc="040E0003" w:tentative="1">
      <w:start w:val="1"/>
      <w:numFmt w:val="bullet"/>
      <w:lvlText w:val="o"/>
      <w:lvlJc w:val="left"/>
      <w:pPr>
        <w:ind w:left="2290" w:hanging="360"/>
      </w:pPr>
      <w:rPr>
        <w:rFonts w:ascii="Courier New" w:hAnsi="Courier New" w:cs="Courier New" w:hint="default"/>
      </w:rPr>
    </w:lvl>
    <w:lvl w:ilvl="2" w:tplc="040E0005" w:tentative="1">
      <w:start w:val="1"/>
      <w:numFmt w:val="bullet"/>
      <w:lvlText w:val=""/>
      <w:lvlJc w:val="left"/>
      <w:pPr>
        <w:ind w:left="3010" w:hanging="360"/>
      </w:pPr>
      <w:rPr>
        <w:rFonts w:ascii="Wingdings" w:hAnsi="Wingdings" w:hint="default"/>
      </w:rPr>
    </w:lvl>
    <w:lvl w:ilvl="3" w:tplc="040E0001" w:tentative="1">
      <w:start w:val="1"/>
      <w:numFmt w:val="bullet"/>
      <w:lvlText w:val=""/>
      <w:lvlJc w:val="left"/>
      <w:pPr>
        <w:ind w:left="3730" w:hanging="360"/>
      </w:pPr>
      <w:rPr>
        <w:rFonts w:ascii="Symbol" w:hAnsi="Symbol" w:hint="default"/>
      </w:rPr>
    </w:lvl>
    <w:lvl w:ilvl="4" w:tplc="040E0003" w:tentative="1">
      <w:start w:val="1"/>
      <w:numFmt w:val="bullet"/>
      <w:lvlText w:val="o"/>
      <w:lvlJc w:val="left"/>
      <w:pPr>
        <w:ind w:left="4450" w:hanging="360"/>
      </w:pPr>
      <w:rPr>
        <w:rFonts w:ascii="Courier New" w:hAnsi="Courier New" w:cs="Courier New" w:hint="default"/>
      </w:rPr>
    </w:lvl>
    <w:lvl w:ilvl="5" w:tplc="040E0005" w:tentative="1">
      <w:start w:val="1"/>
      <w:numFmt w:val="bullet"/>
      <w:lvlText w:val=""/>
      <w:lvlJc w:val="left"/>
      <w:pPr>
        <w:ind w:left="5170" w:hanging="360"/>
      </w:pPr>
      <w:rPr>
        <w:rFonts w:ascii="Wingdings" w:hAnsi="Wingdings" w:hint="default"/>
      </w:rPr>
    </w:lvl>
    <w:lvl w:ilvl="6" w:tplc="040E0001" w:tentative="1">
      <w:start w:val="1"/>
      <w:numFmt w:val="bullet"/>
      <w:lvlText w:val=""/>
      <w:lvlJc w:val="left"/>
      <w:pPr>
        <w:ind w:left="5890" w:hanging="360"/>
      </w:pPr>
      <w:rPr>
        <w:rFonts w:ascii="Symbol" w:hAnsi="Symbol" w:hint="default"/>
      </w:rPr>
    </w:lvl>
    <w:lvl w:ilvl="7" w:tplc="040E0003" w:tentative="1">
      <w:start w:val="1"/>
      <w:numFmt w:val="bullet"/>
      <w:lvlText w:val="o"/>
      <w:lvlJc w:val="left"/>
      <w:pPr>
        <w:ind w:left="6610" w:hanging="360"/>
      </w:pPr>
      <w:rPr>
        <w:rFonts w:ascii="Courier New" w:hAnsi="Courier New" w:cs="Courier New" w:hint="default"/>
      </w:rPr>
    </w:lvl>
    <w:lvl w:ilvl="8" w:tplc="040E0005" w:tentative="1">
      <w:start w:val="1"/>
      <w:numFmt w:val="bullet"/>
      <w:lvlText w:val=""/>
      <w:lvlJc w:val="left"/>
      <w:pPr>
        <w:ind w:left="7330" w:hanging="360"/>
      </w:pPr>
      <w:rPr>
        <w:rFonts w:ascii="Wingdings" w:hAnsi="Wingdings" w:hint="default"/>
      </w:rPr>
    </w:lvl>
  </w:abstractNum>
  <w:abstractNum w:abstractNumId="35" w15:restartNumberingAfterBreak="0">
    <w:nsid w:val="712E4B18"/>
    <w:multiLevelType w:val="singleLevel"/>
    <w:tmpl w:val="66ECC298"/>
    <w:lvl w:ilvl="0">
      <w:start w:val="1"/>
      <w:numFmt w:val="bullet"/>
      <w:lvlRestart w:val="0"/>
      <w:pStyle w:val="Tiret3"/>
      <w:lvlText w:val="–"/>
      <w:lvlJc w:val="left"/>
      <w:pPr>
        <w:tabs>
          <w:tab w:val="num" w:pos="2551"/>
        </w:tabs>
        <w:ind w:left="2551" w:hanging="567"/>
      </w:pPr>
    </w:lvl>
  </w:abstractNum>
  <w:abstractNum w:abstractNumId="36" w15:restartNumberingAfterBreak="0">
    <w:nsid w:val="729504D5"/>
    <w:multiLevelType w:val="singleLevel"/>
    <w:tmpl w:val="1BC6DBFC"/>
    <w:name w:val="0,1023829"/>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7" w15:restartNumberingAfterBreak="0">
    <w:nsid w:val="78A241BD"/>
    <w:multiLevelType w:val="singleLevel"/>
    <w:tmpl w:val="53C4DF32"/>
    <w:name w:val="0,4901348"/>
    <w:lvl w:ilvl="0">
      <w:start w:val="1"/>
      <w:numFmt w:val="bullet"/>
      <w:lvlRestart w:val="0"/>
      <w:pStyle w:val="ListDash3"/>
      <w:lvlText w:val="–"/>
      <w:lvlJc w:val="left"/>
      <w:pPr>
        <w:tabs>
          <w:tab w:val="num" w:pos="1134"/>
        </w:tabs>
        <w:ind w:left="1134" w:hanging="283"/>
      </w:pPr>
      <w:rPr>
        <w:rFonts w:ascii="Times New Roman" w:hAnsi="Times New Roman"/>
      </w:rPr>
    </w:lvl>
  </w:abstractNum>
  <w:abstractNum w:abstractNumId="38" w15:restartNumberingAfterBreak="0">
    <w:nsid w:val="79C96D36"/>
    <w:multiLevelType w:val="multilevel"/>
    <w:tmpl w:val="BE983CE4"/>
    <w:name w:val="0,389671"/>
    <w:lvl w:ilvl="0">
      <w:start w:val="1"/>
      <w:numFmt w:val="decimal"/>
      <w:lvlRestart w:val="0"/>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9" w15:restartNumberingAfterBreak="0">
    <w:nsid w:val="7B454D54"/>
    <w:multiLevelType w:val="singleLevel"/>
    <w:tmpl w:val="8A02E4B2"/>
    <w:lvl w:ilvl="0">
      <w:start w:val="1"/>
      <w:numFmt w:val="bullet"/>
      <w:lvlRestart w:val="0"/>
      <w:pStyle w:val="Tiret4"/>
      <w:lvlText w:val="–"/>
      <w:lvlJc w:val="left"/>
      <w:pPr>
        <w:tabs>
          <w:tab w:val="num" w:pos="3118"/>
        </w:tabs>
        <w:ind w:left="3118" w:hanging="567"/>
      </w:pPr>
    </w:lvl>
  </w:abstractNum>
  <w:abstractNum w:abstractNumId="40" w15:restartNumberingAfterBreak="0">
    <w:nsid w:val="7D8820A0"/>
    <w:multiLevelType w:val="singleLevel"/>
    <w:tmpl w:val="54F6C7B4"/>
    <w:lvl w:ilvl="0">
      <w:start w:val="1"/>
      <w:numFmt w:val="bullet"/>
      <w:lvlRestart w:val="0"/>
      <w:pStyle w:val="ListDash4"/>
      <w:lvlText w:val="–"/>
      <w:lvlJc w:val="left"/>
      <w:pPr>
        <w:tabs>
          <w:tab w:val="num" w:pos="1134"/>
        </w:tabs>
        <w:ind w:left="1134" w:hanging="283"/>
      </w:pPr>
      <w:rPr>
        <w:rFonts w:ascii="Times New Roman" w:hAnsi="Times New Roman"/>
      </w:rPr>
    </w:lvl>
  </w:abstractNum>
  <w:abstractNum w:abstractNumId="41" w15:restartNumberingAfterBreak="0">
    <w:nsid w:val="7E8224EA"/>
    <w:multiLevelType w:val="singleLevel"/>
    <w:tmpl w:val="34DEB8CE"/>
    <w:lvl w:ilvl="0">
      <w:start w:val="1"/>
      <w:numFmt w:val="bullet"/>
      <w:lvlRestart w:val="0"/>
      <w:pStyle w:val="Tiret0"/>
      <w:lvlText w:val="–"/>
      <w:lvlJc w:val="left"/>
      <w:pPr>
        <w:tabs>
          <w:tab w:val="num" w:pos="850"/>
        </w:tabs>
        <w:ind w:left="850" w:hanging="850"/>
      </w:pPr>
    </w:lvl>
  </w:abstractNum>
  <w:abstractNum w:abstractNumId="42" w15:restartNumberingAfterBreak="0">
    <w:nsid w:val="7F7154E1"/>
    <w:multiLevelType w:val="singleLevel"/>
    <w:tmpl w:val="E3F6D2C6"/>
    <w:name w:val="0,109158"/>
    <w:lvl w:ilvl="0">
      <w:start w:val="1"/>
      <w:numFmt w:val="bullet"/>
      <w:lvlRestart w:val="0"/>
      <w:pStyle w:val="ListBullet4"/>
      <w:lvlText w:val=""/>
      <w:lvlJc w:val="left"/>
      <w:pPr>
        <w:tabs>
          <w:tab w:val="num" w:pos="1134"/>
        </w:tabs>
        <w:ind w:left="1134" w:hanging="283"/>
      </w:pPr>
      <w:rPr>
        <w:rFonts w:ascii="Symbol" w:hAnsi="Symbol" w:hint="default"/>
      </w:rPr>
    </w:lvl>
  </w:abstractNum>
  <w:num w:numId="1">
    <w:abstractNumId w:val="15"/>
  </w:num>
  <w:num w:numId="2">
    <w:abstractNumId w:val="1"/>
  </w:num>
  <w:num w:numId="3">
    <w:abstractNumId w:val="0"/>
  </w:num>
  <w:num w:numId="4">
    <w:abstractNumId w:val="41"/>
  </w:num>
  <w:num w:numId="5">
    <w:abstractNumId w:val="8"/>
  </w:num>
  <w:num w:numId="6">
    <w:abstractNumId w:val="11"/>
  </w:num>
  <w:num w:numId="7">
    <w:abstractNumId w:val="35"/>
  </w:num>
  <w:num w:numId="8">
    <w:abstractNumId w:val="39"/>
  </w:num>
  <w:num w:numId="9">
    <w:abstractNumId w:val="5"/>
  </w:num>
  <w:num w:numId="10">
    <w:abstractNumId w:val="13"/>
  </w:num>
  <w:num w:numId="11">
    <w:abstractNumId w:val="9"/>
  </w:num>
  <w:num w:numId="12">
    <w:abstractNumId w:val="18"/>
  </w:num>
  <w:num w:numId="13">
    <w:abstractNumId w:val="10"/>
  </w:num>
  <w:num w:numId="14">
    <w:abstractNumId w:val="36"/>
  </w:num>
  <w:num w:numId="15">
    <w:abstractNumId w:val="33"/>
  </w:num>
  <w:num w:numId="16">
    <w:abstractNumId w:val="27"/>
  </w:num>
  <w:num w:numId="17">
    <w:abstractNumId w:val="19"/>
  </w:num>
  <w:num w:numId="18">
    <w:abstractNumId w:val="24"/>
  </w:num>
  <w:num w:numId="19">
    <w:abstractNumId w:val="38"/>
  </w:num>
  <w:num w:numId="20">
    <w:abstractNumId w:val="12"/>
  </w:num>
  <w:num w:numId="21">
    <w:abstractNumId w:val="3"/>
  </w:num>
  <w:num w:numId="22">
    <w:abstractNumId w:val="2"/>
  </w:num>
  <w:num w:numId="23">
    <w:abstractNumId w:val="32"/>
  </w:num>
  <w:num w:numId="24">
    <w:abstractNumId w:val="31"/>
  </w:num>
  <w:num w:numId="25">
    <w:abstractNumId w:val="7"/>
  </w:num>
  <w:num w:numId="26">
    <w:abstractNumId w:val="16"/>
  </w:num>
  <w:num w:numId="27">
    <w:abstractNumId w:val="42"/>
  </w:num>
  <w:num w:numId="28">
    <w:abstractNumId w:val="17"/>
  </w:num>
  <w:num w:numId="29">
    <w:abstractNumId w:val="26"/>
  </w:num>
  <w:num w:numId="30">
    <w:abstractNumId w:val="23"/>
  </w:num>
  <w:num w:numId="31">
    <w:abstractNumId w:val="37"/>
  </w:num>
  <w:num w:numId="32">
    <w:abstractNumId w:val="40"/>
  </w:num>
  <w:num w:numId="33">
    <w:abstractNumId w:val="28"/>
  </w:num>
  <w:num w:numId="34">
    <w:abstractNumId w:val="6"/>
  </w:num>
  <w:num w:numId="35">
    <w:abstractNumId w:val="21"/>
  </w:num>
  <w:num w:numId="36">
    <w:abstractNumId w:val="34"/>
  </w:num>
  <w:num w:numId="37">
    <w:abstractNumId w:val="25"/>
  </w:num>
  <w:num w:numId="38">
    <w:abstractNumId w:val="22"/>
  </w:num>
  <w:num w:numId="39">
    <w:abstractNumId w:val="30"/>
  </w:num>
  <w:num w:numId="40">
    <w:abstractNumId w:val="14"/>
  </w:num>
  <w:num w:numId="41">
    <w:abstractNumId w:val="29"/>
  </w:num>
  <w:num w:numId="42">
    <w:abstractNumId w:val="20"/>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stylePaneFormatFilter w:val="7F24" w:allStyles="0" w:customStyles="0" w:latentStyles="1" w:stylesInUse="0" w:headingStyles="1" w:numberingStyles="0" w:tableStyles="0" w:directFormattingOnRuns="1" w:directFormattingOnParagraphs="1" w:directFormattingOnNumbering="1" w:directFormattingOnTables="1" w:clearFormatting="1" w:top3HeadingStyles="1" w:visibleStyles="1" w:alternateStyleNames="0"/>
  <w:stylePaneSortMethod w:val="000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ocStatus" w:val="Green"/>
    <w:docVar w:name="LW_ACCOMPAGNANT.CP" w:val="&lt;UNUSED&gt;"/>
    <w:docVar w:name="LW_CORRIGENDUM" w:val="&lt;UNUSED&gt;"/>
    <w:docVar w:name="LW_COVERPAGE_EXISTS" w:val="True"/>
    <w:docVar w:name="LW_COVERPAGE_GUID" w:val="C66112F5-2455-451C-A22D-C3411A61CAB3"/>
    <w:docVar w:name="LW_COVERPAGE_TYPE" w:val="1"/>
    <w:docVar w:name="LW_CROSSREFERENCE" w:val="&lt;UNUSED&gt;"/>
    <w:docVar w:name="LW_DATE.ADOPT.CP_ISODATE" w:val="&lt;EMPTY&gt;"/>
    <w:docVar w:name="LW_DocType" w:val="NORMAL"/>
    <w:docVar w:name="LW_EMISSION" w:val="10.9.2026"/>
    <w:docVar w:name="LW_EMISSION_ISODATE" w:val="2026-09-10"/>
    <w:docVar w:name="LW_EMISSION_LOCATION" w:val="BRX"/>
    <w:docVar w:name="LW_EMISSION_PREFIX" w:val="Bruxelles, le "/>
    <w:docVar w:name="LW_EMISSION_SUFFIX" w:val=" "/>
    <w:docVar w:name="LW_ID_DOCTYPE_NONLW" w:val="CP-006"/>
    <w:docVar w:name="LW_INTERETEEE.CP" w:val="&lt;UNUSED&gt;"/>
    <w:docVar w:name="LW_LANGUE" w:val="FR"/>
    <w:docVar w:name="LW_LANGUESFAISANTFOI.CP" w:val="&lt;UNUSED&gt;"/>
    <w:docVar w:name="LW_LEVEL_OF_SENSITIVITY" w:val="Standard treatment"/>
    <w:docVar w:name="LW_NOM.INST" w:val="COMMISSION EUROPÉENNE"/>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46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PORT FINANCIER DE LA COMMISSION AU PARLEMENT EUROPÉEN ET AU CONSEIL CONCERNANT LE FONDS EUROPÉEN AGRICOLE DE GARANTIE ET LE FONDS EUROPÉEN AGRICOLE POUR LE DÉVELOPPEMENT RURAL_x000d__x000d__x000d__x000b__x000d__x000d__x000d__x000b_EXERCICE 2025"/>
    <w:docVar w:name="LW_TYPE.DOC.CP" w:val="RAPPORT DE LA COMMISSION AU PARLEMENT EUROPÉEN ET AU CONSEIL"/>
    <w:docVar w:name="LW_TYPEACTEPRINCIPAL.CP" w:val="&lt;UNUSED&gt;"/>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chartTrackingRefBased/>
  <w15:docId w15:val="{3FBA9E6E-EB43-4DF5-A618-6C90DD138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fr-FR"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rPr>
      <w:rFonts w:asciiTheme="minorHAnsi" w:eastAsiaTheme="majorEastAsia" w:hAnsiTheme="minorHAnsi" w:cstheme="majorBidi"/>
      <w:i/>
      <w:iCs/>
      <w:color w:val="365F91" w:themeColor="accent1" w:themeShade="BF"/>
      <w:sz w:val="24"/>
      <w:szCs w:val="24"/>
    </w:rPr>
  </w:style>
  <w:style w:type="character" w:customStyle="1" w:styleId="Heading5Char">
    <w:name w:val="Heading 5 Char"/>
    <w:basedOn w:val="DefaultParagraphFont"/>
    <w:link w:val="Heading5"/>
    <w:uiPriority w:val="9"/>
    <w:rPr>
      <w:rFonts w:asciiTheme="minorHAnsi" w:eastAsiaTheme="majorEastAsia" w:hAnsiTheme="minorHAnsi" w:cstheme="majorBidi"/>
      <w:color w:val="365F91" w:themeColor="accent1" w:themeShade="BF"/>
      <w:sz w:val="24"/>
      <w:szCs w:val="24"/>
    </w:rPr>
  </w:style>
  <w:style w:type="character" w:customStyle="1" w:styleId="Heading6Char">
    <w:name w:val="Heading 6 Char"/>
    <w:basedOn w:val="DefaultParagraphFont"/>
    <w:link w:val="Heading6"/>
    <w:uiPriority w:val="9"/>
    <w:rPr>
      <w:rFonts w:asciiTheme="minorHAnsi" w:eastAsiaTheme="majorEastAsia" w:hAnsiTheme="minorHAnsi" w:cstheme="majorBidi"/>
      <w:i/>
      <w:iCs/>
      <w:color w:val="595959" w:themeColor="text1" w:themeTint="A6"/>
      <w:sz w:val="24"/>
      <w:szCs w:val="24"/>
    </w:rPr>
  </w:style>
  <w:style w:type="character" w:customStyle="1" w:styleId="Heading7Char">
    <w:name w:val="Heading 7 Char"/>
    <w:basedOn w:val="DefaultParagraphFont"/>
    <w:link w:val="Heading7"/>
    <w:uiPriority w:val="9"/>
    <w:rPr>
      <w:rFonts w:asciiTheme="minorHAnsi" w:eastAsiaTheme="majorEastAsia" w:hAnsiTheme="minorHAnsi" w:cstheme="majorBidi"/>
      <w:color w:val="595959" w:themeColor="text1" w:themeTint="A6"/>
      <w:sz w:val="24"/>
      <w:szCs w:val="24"/>
    </w:rPr>
  </w:style>
  <w:style w:type="character" w:customStyle="1" w:styleId="Heading8Char">
    <w:name w:val="Heading 8 Char"/>
    <w:basedOn w:val="DefaultParagraphFont"/>
    <w:link w:val="Heading8"/>
    <w:uiPriority w:val="9"/>
    <w:rPr>
      <w:rFonts w:asciiTheme="minorHAnsi" w:eastAsiaTheme="majorEastAsia" w:hAnsiTheme="minorHAnsi" w:cstheme="majorBidi"/>
      <w:i/>
      <w:iCs/>
      <w:color w:val="272727" w:themeColor="text1" w:themeTint="D8"/>
      <w:sz w:val="24"/>
      <w:szCs w:val="24"/>
    </w:rPr>
  </w:style>
  <w:style w:type="character" w:customStyle="1" w:styleId="Heading9Char">
    <w:name w:val="Heading 9 Char"/>
    <w:basedOn w:val="DefaultParagraphFont"/>
    <w:link w:val="Heading9"/>
    <w:uiPriority w:val="9"/>
    <w:rPr>
      <w:rFonts w:asciiTheme="minorHAnsi" w:eastAsiaTheme="majorEastAsia" w:hAnsiTheme="minorHAnsi" w:cstheme="majorBidi"/>
      <w:color w:val="272727" w:themeColor="text1" w:themeTint="D8"/>
      <w:sz w:val="24"/>
      <w:szCs w:val="24"/>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sz w:val="24"/>
      <w:szCs w:val="24"/>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sz w:val="24"/>
      <w:szCs w:val="24"/>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sz w:val="24"/>
      <w:szCs w:val="24"/>
    </w:rPr>
  </w:style>
  <w:style w:type="paragraph" w:customStyle="1" w:styleId="Pagedecouverture">
    <w:name w:val="Page de couverture"/>
    <w:basedOn w:val="Normal"/>
    <w:next w:val="Normal"/>
    <w:pPr>
      <w:jc w:val="both"/>
    </w:pPr>
    <w:rPr>
      <w:rFonts w:eastAsiaTheme="minorHAnsi"/>
      <w:kern w:val="0"/>
      <w:szCs w:val="22"/>
      <w:lang w:eastAsia="en-US"/>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Pr>
      <w:b/>
      <w:sz w:val="32"/>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szCs w:val="24"/>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szCs w:val="24"/>
    </w:rPr>
  </w:style>
  <w:style w:type="character" w:styleId="Hyperlink">
    <w:name w:val="Hyperlink"/>
    <w:basedOn w:val="DefaultParagraphFont"/>
    <w:uiPriority w:val="99"/>
    <w:rPr>
      <w:color w:val="0000FF"/>
      <w:u w:val="single"/>
    </w:rPr>
  </w:style>
  <w:style w:type="paragraph" w:customStyle="1" w:styleId="Text1">
    <w:name w:val="Text 1"/>
    <w:basedOn w:val="Normal"/>
    <w:link w:val="Text1Char"/>
    <w:pPr>
      <w:spacing w:before="120" w:after="120"/>
      <w:ind w:left="850"/>
      <w:jc w:val="both"/>
    </w:pPr>
    <w:rPr>
      <w:rFonts w:eastAsia="MS PGothic"/>
      <w:noProof/>
      <w:kern w:val="0"/>
      <w:lang w:eastAsia="en-US"/>
      <w14:ligatures w14:val="none"/>
    </w:rPr>
  </w:style>
  <w:style w:type="paragraph" w:customStyle="1" w:styleId="Annexetitre">
    <w:name w:val="Annexe titre"/>
    <w:basedOn w:val="Normal"/>
    <w:next w:val="Normal"/>
    <w:pPr>
      <w:spacing w:before="120" w:after="120"/>
      <w:jc w:val="center"/>
    </w:pPr>
    <w:rPr>
      <w:b/>
      <w:kern w:val="0"/>
      <w:u w:val="single"/>
      <w:lang w:eastAsia="en-US"/>
      <w14:ligatures w14:val="none"/>
    </w:rPr>
  </w:style>
  <w:style w:type="paragraph" w:styleId="BalloonText">
    <w:name w:val="Balloon Text"/>
    <w:basedOn w:val="Normal"/>
    <w:link w:val="BalloonTextChar"/>
    <w:uiPriority w:val="99"/>
    <w:semiHidden/>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Pr>
      <w:rFonts w:ascii="Tahoma" w:hAnsi="Tahoma" w:cs="Tahoma"/>
      <w:kern w:val="0"/>
      <w:sz w:val="16"/>
      <w:szCs w:val="16"/>
      <w:lang w:val="fr-FR"/>
      <w14:ligatures w14:val="none"/>
    </w:rPr>
  </w:style>
  <w:style w:type="paragraph" w:styleId="FootnoteText">
    <w:name w:val="footnote text"/>
    <w:basedOn w:val="Normal"/>
    <w:link w:val="FootnoteTextChar"/>
    <w:pPr>
      <w:ind w:left="720" w:hanging="720"/>
      <w:jc w:val="both"/>
    </w:pPr>
    <w:rPr>
      <w:kern w:val="0"/>
      <w:sz w:val="20"/>
      <w:szCs w:val="20"/>
      <w:lang w:eastAsia="en-US"/>
      <w14:ligatures w14:val="none"/>
    </w:rPr>
  </w:style>
  <w:style w:type="character" w:customStyle="1" w:styleId="FootnoteTextChar">
    <w:name w:val="Footnote Text Char"/>
    <w:basedOn w:val="DefaultParagraphFont"/>
    <w:link w:val="FootnoteText"/>
    <w:rPr>
      <w:kern w:val="0"/>
      <w:lang w:val="fr-FR" w:eastAsia="en-US"/>
      <w14:ligatures w14:val="none"/>
    </w:rPr>
  </w:style>
  <w:style w:type="paragraph" w:styleId="TOC1">
    <w:name w:val="toc 1"/>
    <w:basedOn w:val="Normal"/>
    <w:next w:val="Normal"/>
    <w:uiPriority w:val="39"/>
    <w:pPr>
      <w:tabs>
        <w:tab w:val="right" w:leader="dot" w:pos="9071"/>
      </w:tabs>
      <w:spacing w:before="60" w:after="120"/>
      <w:ind w:left="850" w:hanging="850"/>
    </w:pPr>
    <w:rPr>
      <w:kern w:val="0"/>
      <w:lang w:eastAsia="en-US"/>
      <w14:ligatures w14:val="none"/>
    </w:rPr>
  </w:style>
  <w:style w:type="paragraph" w:styleId="TOC2">
    <w:name w:val="toc 2"/>
    <w:basedOn w:val="Normal"/>
    <w:next w:val="Normal"/>
    <w:uiPriority w:val="39"/>
    <w:pPr>
      <w:tabs>
        <w:tab w:val="right" w:leader="dot" w:pos="9071"/>
      </w:tabs>
      <w:spacing w:before="60" w:after="120"/>
      <w:ind w:left="850" w:hanging="850"/>
    </w:pPr>
    <w:rPr>
      <w:kern w:val="0"/>
      <w:lang w:eastAsia="en-US"/>
      <w14:ligatures w14:val="none"/>
    </w:rPr>
  </w:style>
  <w:style w:type="paragraph" w:styleId="TOC3">
    <w:name w:val="toc 3"/>
    <w:basedOn w:val="Normal"/>
    <w:next w:val="Normal"/>
    <w:uiPriority w:val="39"/>
    <w:pPr>
      <w:tabs>
        <w:tab w:val="right" w:leader="dot" w:pos="9071"/>
      </w:tabs>
      <w:spacing w:before="60" w:after="120"/>
      <w:ind w:left="850" w:hanging="850"/>
    </w:pPr>
    <w:rPr>
      <w:kern w:val="0"/>
      <w:lang w:eastAsia="en-US"/>
      <w14:ligatures w14:val="none"/>
    </w:rPr>
  </w:style>
  <w:style w:type="paragraph" w:styleId="TOC4">
    <w:name w:val="toc 4"/>
    <w:basedOn w:val="Normal"/>
    <w:next w:val="Normal"/>
    <w:uiPriority w:val="39"/>
    <w:pPr>
      <w:tabs>
        <w:tab w:val="right" w:leader="dot" w:pos="9071"/>
      </w:tabs>
      <w:spacing w:before="60" w:after="120"/>
      <w:ind w:left="850" w:hanging="850"/>
    </w:pPr>
    <w:rPr>
      <w:kern w:val="0"/>
      <w:lang w:eastAsia="en-US"/>
      <w14:ligatures w14:val="none"/>
    </w:rPr>
  </w:style>
  <w:style w:type="paragraph" w:styleId="TOC5">
    <w:name w:val="toc 5"/>
    <w:basedOn w:val="Normal"/>
    <w:next w:val="Normal"/>
    <w:uiPriority w:val="39"/>
    <w:pPr>
      <w:tabs>
        <w:tab w:val="right" w:leader="dot" w:pos="9071"/>
      </w:tabs>
      <w:spacing w:before="300" w:after="120"/>
    </w:pPr>
    <w:rPr>
      <w:kern w:val="0"/>
      <w:lang w:eastAsia="en-US"/>
      <w14:ligatures w14:val="none"/>
    </w:rPr>
  </w:style>
  <w:style w:type="paragraph" w:styleId="TOC6">
    <w:name w:val="toc 6"/>
    <w:basedOn w:val="Normal"/>
    <w:next w:val="Normal"/>
    <w:uiPriority w:val="39"/>
    <w:pPr>
      <w:tabs>
        <w:tab w:val="right" w:leader="dot" w:pos="9071"/>
      </w:tabs>
      <w:spacing w:before="240" w:after="120"/>
    </w:pPr>
    <w:rPr>
      <w:kern w:val="0"/>
      <w:lang w:eastAsia="en-US"/>
      <w14:ligatures w14:val="none"/>
    </w:rPr>
  </w:style>
  <w:style w:type="paragraph" w:styleId="TOC7">
    <w:name w:val="toc 7"/>
    <w:basedOn w:val="Normal"/>
    <w:next w:val="Normal"/>
    <w:uiPriority w:val="39"/>
    <w:pPr>
      <w:tabs>
        <w:tab w:val="right" w:leader="dot" w:pos="9071"/>
      </w:tabs>
      <w:spacing w:before="180" w:after="120"/>
    </w:pPr>
    <w:rPr>
      <w:kern w:val="0"/>
      <w:lang w:eastAsia="en-US"/>
      <w14:ligatures w14:val="none"/>
    </w:rPr>
  </w:style>
  <w:style w:type="paragraph" w:styleId="TOC8">
    <w:name w:val="toc 8"/>
    <w:basedOn w:val="Normal"/>
    <w:next w:val="Normal"/>
    <w:uiPriority w:val="39"/>
    <w:pPr>
      <w:tabs>
        <w:tab w:val="right" w:leader="dot" w:pos="9071"/>
      </w:tabs>
      <w:spacing w:before="120" w:after="120"/>
    </w:pPr>
    <w:rPr>
      <w:kern w:val="0"/>
      <w:lang w:eastAsia="en-US"/>
      <w14:ligatures w14:val="none"/>
    </w:rPr>
  </w:style>
  <w:style w:type="paragraph" w:styleId="TOC9">
    <w:name w:val="toc 9"/>
    <w:basedOn w:val="Normal"/>
    <w:next w:val="Normal"/>
    <w:uiPriority w:val="39"/>
    <w:pPr>
      <w:tabs>
        <w:tab w:val="right" w:leader="dot" w:pos="9071"/>
      </w:tabs>
      <w:spacing w:before="120" w:after="120"/>
      <w:jc w:val="both"/>
    </w:pPr>
    <w:rPr>
      <w:kern w:val="0"/>
      <w:lang w:eastAsia="en-US"/>
      <w14:ligatures w14:val="none"/>
    </w:rPr>
  </w:style>
  <w:style w:type="paragraph" w:customStyle="1" w:styleId="HeaderLandscape">
    <w:name w:val="HeaderLandscape"/>
    <w:basedOn w:val="Normal"/>
    <w:pPr>
      <w:tabs>
        <w:tab w:val="center" w:pos="7285"/>
        <w:tab w:val="right" w:pos="14003"/>
      </w:tabs>
      <w:spacing w:after="120"/>
      <w:jc w:val="both"/>
    </w:pPr>
    <w:rPr>
      <w:kern w:val="0"/>
      <w:szCs w:val="22"/>
      <w:lang w:eastAsia="en-US"/>
      <w14:ligatures w14:val="none"/>
    </w:rPr>
  </w:style>
  <w:style w:type="paragraph" w:customStyle="1" w:styleId="FooterLandscape">
    <w:name w:val="FooterLandscape"/>
    <w:basedOn w:val="Normal"/>
    <w:pPr>
      <w:tabs>
        <w:tab w:val="center" w:pos="7285"/>
        <w:tab w:val="center" w:pos="10913"/>
        <w:tab w:val="right" w:pos="15137"/>
      </w:tabs>
      <w:spacing w:before="360"/>
      <w:ind w:left="-567" w:right="-567"/>
    </w:pPr>
    <w:rPr>
      <w:kern w:val="0"/>
      <w:szCs w:val="22"/>
      <w:lang w:eastAsia="en-US"/>
      <w14:ligatures w14:val="none"/>
    </w:rPr>
  </w:style>
  <w:style w:type="character" w:styleId="FootnoteReference">
    <w:name w:val="footnote reference"/>
    <w:basedOn w:val="DefaultParagraphFont"/>
    <w:rPr>
      <w:shd w:val="clear" w:color="auto" w:fill="auto"/>
      <w:vertAlign w:val="superscript"/>
    </w:rPr>
  </w:style>
  <w:style w:type="paragraph" w:customStyle="1" w:styleId="Text2">
    <w:name w:val="Text 2"/>
    <w:basedOn w:val="Normal"/>
    <w:pPr>
      <w:spacing w:before="120" w:after="120"/>
      <w:ind w:left="1417"/>
      <w:jc w:val="both"/>
    </w:pPr>
    <w:rPr>
      <w:kern w:val="0"/>
      <w:lang w:eastAsia="en-US"/>
      <w14:ligatures w14:val="none"/>
    </w:rPr>
  </w:style>
  <w:style w:type="paragraph" w:customStyle="1" w:styleId="Text3">
    <w:name w:val="Text 3"/>
    <w:basedOn w:val="Normal"/>
    <w:pPr>
      <w:spacing w:before="120" w:after="120"/>
      <w:ind w:left="1984"/>
      <w:jc w:val="both"/>
    </w:pPr>
    <w:rPr>
      <w:kern w:val="0"/>
      <w:lang w:eastAsia="en-US"/>
      <w14:ligatures w14:val="none"/>
    </w:rPr>
  </w:style>
  <w:style w:type="paragraph" w:customStyle="1" w:styleId="Text4">
    <w:name w:val="Text 4"/>
    <w:basedOn w:val="Normal"/>
    <w:pPr>
      <w:spacing w:before="120" w:after="120"/>
      <w:ind w:left="2551"/>
      <w:jc w:val="both"/>
    </w:pPr>
    <w:rPr>
      <w:kern w:val="0"/>
      <w:lang w:eastAsia="en-US"/>
      <w14:ligatures w14:val="none"/>
    </w:rPr>
  </w:style>
  <w:style w:type="paragraph" w:customStyle="1" w:styleId="NormalCentered">
    <w:name w:val="Normal Centered"/>
    <w:basedOn w:val="Normal"/>
    <w:pPr>
      <w:spacing w:before="120" w:after="120"/>
      <w:jc w:val="center"/>
    </w:pPr>
    <w:rPr>
      <w:kern w:val="0"/>
      <w:lang w:eastAsia="en-US"/>
      <w14:ligatures w14:val="none"/>
    </w:rPr>
  </w:style>
  <w:style w:type="paragraph" w:customStyle="1" w:styleId="NormalLeft">
    <w:name w:val="Normal Left"/>
    <w:basedOn w:val="Normal"/>
    <w:pPr>
      <w:spacing w:before="120" w:after="120"/>
    </w:pPr>
    <w:rPr>
      <w:kern w:val="0"/>
      <w:lang w:eastAsia="en-US"/>
      <w14:ligatures w14:val="none"/>
    </w:rPr>
  </w:style>
  <w:style w:type="paragraph" w:customStyle="1" w:styleId="NormalRight">
    <w:name w:val="Normal Right"/>
    <w:basedOn w:val="Normal"/>
    <w:pPr>
      <w:spacing w:before="120" w:after="120"/>
      <w:jc w:val="right"/>
    </w:pPr>
    <w:rPr>
      <w:kern w:val="0"/>
      <w:lang w:eastAsia="en-US"/>
      <w14:ligatures w14:val="none"/>
    </w:rPr>
  </w:style>
  <w:style w:type="paragraph" w:customStyle="1" w:styleId="QuotedText">
    <w:name w:val="Quoted Text"/>
    <w:basedOn w:val="Normal"/>
    <w:pPr>
      <w:spacing w:before="120" w:after="120"/>
      <w:ind w:left="1417"/>
      <w:jc w:val="both"/>
    </w:pPr>
    <w:rPr>
      <w:kern w:val="0"/>
      <w:lang w:eastAsia="en-US"/>
      <w14:ligatures w14:val="none"/>
    </w:rPr>
  </w:style>
  <w:style w:type="paragraph" w:customStyle="1" w:styleId="Point0">
    <w:name w:val="Point 0"/>
    <w:basedOn w:val="Normal"/>
    <w:pPr>
      <w:spacing w:before="120" w:after="120"/>
      <w:ind w:left="850" w:hanging="850"/>
      <w:jc w:val="both"/>
    </w:pPr>
    <w:rPr>
      <w:kern w:val="0"/>
      <w:lang w:eastAsia="en-US"/>
      <w14:ligatures w14:val="none"/>
    </w:rPr>
  </w:style>
  <w:style w:type="paragraph" w:customStyle="1" w:styleId="Point1">
    <w:name w:val="Point 1"/>
    <w:basedOn w:val="Normal"/>
    <w:pPr>
      <w:spacing w:before="120" w:after="120"/>
      <w:ind w:left="1417" w:hanging="567"/>
      <w:jc w:val="both"/>
    </w:pPr>
    <w:rPr>
      <w:kern w:val="0"/>
      <w:lang w:eastAsia="en-US"/>
      <w14:ligatures w14:val="none"/>
    </w:rPr>
  </w:style>
  <w:style w:type="paragraph" w:customStyle="1" w:styleId="Point2">
    <w:name w:val="Point 2"/>
    <w:basedOn w:val="Normal"/>
    <w:pPr>
      <w:spacing w:before="120" w:after="120"/>
      <w:ind w:left="1984" w:hanging="567"/>
      <w:jc w:val="both"/>
    </w:pPr>
    <w:rPr>
      <w:kern w:val="0"/>
      <w:lang w:eastAsia="en-US"/>
      <w14:ligatures w14:val="none"/>
    </w:rPr>
  </w:style>
  <w:style w:type="paragraph" w:customStyle="1" w:styleId="Point3">
    <w:name w:val="Point 3"/>
    <w:basedOn w:val="Normal"/>
    <w:pPr>
      <w:spacing w:before="120" w:after="120"/>
      <w:ind w:left="2551" w:hanging="567"/>
      <w:jc w:val="both"/>
    </w:pPr>
    <w:rPr>
      <w:kern w:val="0"/>
      <w:lang w:eastAsia="en-US"/>
      <w14:ligatures w14:val="none"/>
    </w:rPr>
  </w:style>
  <w:style w:type="paragraph" w:customStyle="1" w:styleId="Point4">
    <w:name w:val="Point 4"/>
    <w:basedOn w:val="Normal"/>
    <w:pPr>
      <w:spacing w:before="120" w:after="120"/>
      <w:ind w:left="3118" w:hanging="567"/>
      <w:jc w:val="both"/>
    </w:pPr>
    <w:rPr>
      <w:kern w:val="0"/>
      <w:lang w:eastAsia="en-US"/>
      <w14:ligatures w14:val="none"/>
    </w:rPr>
  </w:style>
  <w:style w:type="paragraph" w:customStyle="1" w:styleId="Tiret0">
    <w:name w:val="Tiret 0"/>
    <w:basedOn w:val="Point0"/>
    <w:pPr>
      <w:numPr>
        <w:numId w:val="4"/>
      </w:numPr>
      <w:tabs>
        <w:tab w:val="clear" w:pos="850"/>
      </w:tabs>
      <w:ind w:left="0" w:firstLine="0"/>
    </w:pPr>
  </w:style>
  <w:style w:type="paragraph" w:customStyle="1" w:styleId="Tiret1">
    <w:name w:val="Tiret 1"/>
    <w:basedOn w:val="Point1"/>
    <w:pPr>
      <w:numPr>
        <w:numId w:val="5"/>
      </w:numPr>
      <w:tabs>
        <w:tab w:val="clear" w:pos="1417"/>
      </w:tabs>
      <w:ind w:left="0" w:firstLine="0"/>
    </w:pPr>
  </w:style>
  <w:style w:type="paragraph" w:customStyle="1" w:styleId="Tiret2">
    <w:name w:val="Tiret 2"/>
    <w:basedOn w:val="Point2"/>
    <w:pPr>
      <w:numPr>
        <w:numId w:val="6"/>
      </w:numPr>
      <w:tabs>
        <w:tab w:val="clear" w:pos="1984"/>
      </w:tabs>
      <w:ind w:left="0" w:firstLine="0"/>
    </w:pPr>
  </w:style>
  <w:style w:type="paragraph" w:customStyle="1" w:styleId="Tiret3">
    <w:name w:val="Tiret 3"/>
    <w:basedOn w:val="Point3"/>
    <w:pPr>
      <w:numPr>
        <w:numId w:val="7"/>
      </w:numPr>
      <w:tabs>
        <w:tab w:val="clear" w:pos="2551"/>
      </w:tabs>
      <w:ind w:left="0" w:firstLine="0"/>
    </w:pPr>
  </w:style>
  <w:style w:type="paragraph" w:customStyle="1" w:styleId="Tiret4">
    <w:name w:val="Tiret 4"/>
    <w:basedOn w:val="Point4"/>
    <w:pPr>
      <w:numPr>
        <w:numId w:val="8"/>
      </w:numPr>
      <w:tabs>
        <w:tab w:val="clear" w:pos="3118"/>
      </w:tabs>
      <w:ind w:left="0" w:firstLine="0"/>
    </w:pPr>
  </w:style>
  <w:style w:type="paragraph" w:customStyle="1" w:styleId="PointDouble0">
    <w:name w:val="PointDouble 0"/>
    <w:basedOn w:val="Normal"/>
    <w:pPr>
      <w:tabs>
        <w:tab w:val="left" w:pos="850"/>
      </w:tabs>
      <w:spacing w:before="120" w:after="120"/>
      <w:ind w:left="1417" w:hanging="1417"/>
      <w:jc w:val="both"/>
    </w:pPr>
    <w:rPr>
      <w:kern w:val="0"/>
      <w:lang w:eastAsia="en-US"/>
      <w14:ligatures w14:val="none"/>
    </w:rPr>
  </w:style>
  <w:style w:type="paragraph" w:customStyle="1" w:styleId="PointDouble1">
    <w:name w:val="PointDouble 1"/>
    <w:basedOn w:val="Normal"/>
    <w:pPr>
      <w:tabs>
        <w:tab w:val="left" w:pos="1417"/>
      </w:tabs>
      <w:spacing w:before="120" w:after="120"/>
      <w:ind w:left="1984" w:hanging="1134"/>
      <w:jc w:val="both"/>
    </w:pPr>
    <w:rPr>
      <w:kern w:val="0"/>
      <w:lang w:eastAsia="en-US"/>
      <w14:ligatures w14:val="none"/>
    </w:rPr>
  </w:style>
  <w:style w:type="paragraph" w:customStyle="1" w:styleId="PointDouble2">
    <w:name w:val="PointDouble 2"/>
    <w:basedOn w:val="Normal"/>
    <w:pPr>
      <w:tabs>
        <w:tab w:val="left" w:pos="1984"/>
      </w:tabs>
      <w:spacing w:before="120" w:after="120"/>
      <w:ind w:left="2551" w:hanging="1134"/>
      <w:jc w:val="both"/>
    </w:pPr>
    <w:rPr>
      <w:kern w:val="0"/>
      <w:lang w:eastAsia="en-US"/>
      <w14:ligatures w14:val="none"/>
    </w:rPr>
  </w:style>
  <w:style w:type="paragraph" w:customStyle="1" w:styleId="PointDouble3">
    <w:name w:val="PointDouble 3"/>
    <w:basedOn w:val="Normal"/>
    <w:pPr>
      <w:tabs>
        <w:tab w:val="left" w:pos="2551"/>
      </w:tabs>
      <w:spacing w:before="120" w:after="120"/>
      <w:ind w:left="3118" w:hanging="1134"/>
      <w:jc w:val="both"/>
    </w:pPr>
    <w:rPr>
      <w:kern w:val="0"/>
      <w:lang w:eastAsia="en-US"/>
      <w14:ligatures w14:val="none"/>
    </w:rPr>
  </w:style>
  <w:style w:type="paragraph" w:customStyle="1" w:styleId="PointDouble4">
    <w:name w:val="PointDouble 4"/>
    <w:basedOn w:val="Normal"/>
    <w:pPr>
      <w:tabs>
        <w:tab w:val="left" w:pos="3118"/>
      </w:tabs>
      <w:spacing w:before="120" w:after="120"/>
      <w:ind w:left="3685" w:hanging="1134"/>
      <w:jc w:val="both"/>
    </w:pPr>
    <w:rPr>
      <w:kern w:val="0"/>
      <w:lang w:eastAsia="en-US"/>
      <w14:ligatures w14:val="none"/>
    </w:rPr>
  </w:style>
  <w:style w:type="paragraph" w:customStyle="1" w:styleId="PointTriple0">
    <w:name w:val="PointTriple 0"/>
    <w:basedOn w:val="Normal"/>
    <w:pPr>
      <w:tabs>
        <w:tab w:val="left" w:pos="850"/>
        <w:tab w:val="left" w:pos="1417"/>
      </w:tabs>
      <w:spacing w:before="120" w:after="120"/>
      <w:ind w:left="1984" w:hanging="1984"/>
      <w:jc w:val="both"/>
    </w:pPr>
    <w:rPr>
      <w:kern w:val="0"/>
      <w:lang w:eastAsia="en-US"/>
      <w14:ligatures w14:val="none"/>
    </w:rPr>
  </w:style>
  <w:style w:type="paragraph" w:customStyle="1" w:styleId="PointTriple1">
    <w:name w:val="PointTriple 1"/>
    <w:basedOn w:val="Normal"/>
    <w:pPr>
      <w:tabs>
        <w:tab w:val="left" w:pos="1417"/>
        <w:tab w:val="left" w:pos="1984"/>
      </w:tabs>
      <w:spacing w:before="120" w:after="120"/>
      <w:ind w:left="2551" w:hanging="1701"/>
      <w:jc w:val="both"/>
    </w:pPr>
    <w:rPr>
      <w:kern w:val="0"/>
      <w:lang w:eastAsia="en-US"/>
      <w14:ligatures w14:val="none"/>
    </w:rPr>
  </w:style>
  <w:style w:type="paragraph" w:customStyle="1" w:styleId="PointTriple2">
    <w:name w:val="PointTriple 2"/>
    <w:basedOn w:val="Normal"/>
    <w:pPr>
      <w:tabs>
        <w:tab w:val="left" w:pos="1984"/>
        <w:tab w:val="left" w:pos="2551"/>
      </w:tabs>
      <w:spacing w:before="120" w:after="120"/>
      <w:ind w:left="3118" w:hanging="1701"/>
      <w:jc w:val="both"/>
    </w:pPr>
    <w:rPr>
      <w:kern w:val="0"/>
      <w:lang w:eastAsia="en-US"/>
      <w14:ligatures w14:val="none"/>
    </w:rPr>
  </w:style>
  <w:style w:type="paragraph" w:customStyle="1" w:styleId="PointTriple3">
    <w:name w:val="PointTriple 3"/>
    <w:basedOn w:val="Normal"/>
    <w:pPr>
      <w:tabs>
        <w:tab w:val="left" w:pos="2551"/>
        <w:tab w:val="left" w:pos="3118"/>
      </w:tabs>
      <w:spacing w:before="120" w:after="120"/>
      <w:ind w:left="3685" w:hanging="1701"/>
      <w:jc w:val="both"/>
    </w:pPr>
    <w:rPr>
      <w:kern w:val="0"/>
      <w:lang w:eastAsia="en-US"/>
      <w14:ligatures w14:val="none"/>
    </w:rPr>
  </w:style>
  <w:style w:type="paragraph" w:customStyle="1" w:styleId="PointTriple4">
    <w:name w:val="PointTriple 4"/>
    <w:basedOn w:val="Normal"/>
    <w:pPr>
      <w:tabs>
        <w:tab w:val="left" w:pos="3118"/>
        <w:tab w:val="left" w:pos="3685"/>
      </w:tabs>
      <w:spacing w:before="120" w:after="120"/>
      <w:ind w:left="4252" w:hanging="1701"/>
      <w:jc w:val="both"/>
    </w:pPr>
    <w:rPr>
      <w:kern w:val="0"/>
      <w:lang w:eastAsia="en-US"/>
      <w14:ligatures w14:val="none"/>
    </w:rPr>
  </w:style>
  <w:style w:type="paragraph" w:customStyle="1" w:styleId="NumPar1">
    <w:name w:val="NumPar 1"/>
    <w:basedOn w:val="Normal"/>
    <w:next w:val="Text1"/>
    <w:pPr>
      <w:numPr>
        <w:numId w:val="9"/>
      </w:numPr>
      <w:tabs>
        <w:tab w:val="clear" w:pos="850"/>
      </w:tabs>
      <w:spacing w:before="120" w:after="120"/>
      <w:ind w:left="0" w:firstLine="0"/>
      <w:jc w:val="both"/>
    </w:pPr>
    <w:rPr>
      <w:kern w:val="0"/>
      <w:lang w:eastAsia="en-US"/>
      <w14:ligatures w14:val="none"/>
    </w:rPr>
  </w:style>
  <w:style w:type="paragraph" w:customStyle="1" w:styleId="NumPar2">
    <w:name w:val="NumPar 2"/>
    <w:basedOn w:val="Normal"/>
    <w:next w:val="Text1"/>
    <w:pPr>
      <w:numPr>
        <w:ilvl w:val="1"/>
        <w:numId w:val="9"/>
      </w:numPr>
      <w:tabs>
        <w:tab w:val="clear" w:pos="850"/>
      </w:tabs>
      <w:spacing w:before="120" w:after="120"/>
      <w:ind w:left="0" w:firstLine="0"/>
      <w:jc w:val="both"/>
    </w:pPr>
    <w:rPr>
      <w:kern w:val="0"/>
      <w:lang w:eastAsia="en-US"/>
      <w14:ligatures w14:val="none"/>
    </w:rPr>
  </w:style>
  <w:style w:type="paragraph" w:customStyle="1" w:styleId="NumPar3">
    <w:name w:val="NumPar 3"/>
    <w:basedOn w:val="Normal"/>
    <w:next w:val="Text1"/>
    <w:pPr>
      <w:numPr>
        <w:ilvl w:val="2"/>
        <w:numId w:val="9"/>
      </w:numPr>
      <w:tabs>
        <w:tab w:val="clear" w:pos="850"/>
      </w:tabs>
      <w:spacing w:before="120" w:after="120"/>
      <w:ind w:left="0" w:firstLine="0"/>
      <w:jc w:val="both"/>
    </w:pPr>
    <w:rPr>
      <w:kern w:val="0"/>
      <w:lang w:eastAsia="en-US"/>
      <w14:ligatures w14:val="none"/>
    </w:rPr>
  </w:style>
  <w:style w:type="paragraph" w:customStyle="1" w:styleId="NumPar4">
    <w:name w:val="NumPar 4"/>
    <w:basedOn w:val="Normal"/>
    <w:next w:val="Text1"/>
    <w:pPr>
      <w:numPr>
        <w:ilvl w:val="3"/>
        <w:numId w:val="9"/>
      </w:numPr>
      <w:tabs>
        <w:tab w:val="clear" w:pos="850"/>
      </w:tabs>
      <w:spacing w:before="120" w:after="120"/>
      <w:ind w:left="0" w:firstLine="0"/>
      <w:jc w:val="both"/>
    </w:pPr>
    <w:rPr>
      <w:kern w:val="0"/>
      <w:lang w:eastAsia="en-US"/>
      <w14:ligatures w14:val="none"/>
    </w:rPr>
  </w:style>
  <w:style w:type="paragraph" w:customStyle="1" w:styleId="ManualNumPar1">
    <w:name w:val="Manual NumPar 1"/>
    <w:basedOn w:val="Normal"/>
    <w:next w:val="Text1"/>
    <w:pPr>
      <w:spacing w:before="120" w:after="120"/>
      <w:ind w:left="850" w:hanging="850"/>
      <w:jc w:val="both"/>
    </w:pPr>
    <w:rPr>
      <w:kern w:val="0"/>
      <w:lang w:eastAsia="en-US"/>
      <w14:ligatures w14:val="none"/>
    </w:rPr>
  </w:style>
  <w:style w:type="paragraph" w:customStyle="1" w:styleId="ManualNumPar2">
    <w:name w:val="Manual NumPar 2"/>
    <w:basedOn w:val="Normal"/>
    <w:next w:val="Text1"/>
    <w:pPr>
      <w:spacing w:before="120" w:after="120"/>
      <w:ind w:left="850" w:hanging="850"/>
      <w:jc w:val="both"/>
    </w:pPr>
    <w:rPr>
      <w:kern w:val="0"/>
      <w:lang w:eastAsia="en-US"/>
      <w14:ligatures w14:val="none"/>
    </w:rPr>
  </w:style>
  <w:style w:type="paragraph" w:customStyle="1" w:styleId="ManualNumPar3">
    <w:name w:val="Manual NumPar 3"/>
    <w:basedOn w:val="Normal"/>
    <w:next w:val="Text1"/>
    <w:pPr>
      <w:spacing w:before="120" w:after="120"/>
      <w:ind w:left="850" w:hanging="850"/>
      <w:jc w:val="both"/>
    </w:pPr>
    <w:rPr>
      <w:kern w:val="0"/>
      <w:lang w:eastAsia="en-US"/>
      <w14:ligatures w14:val="none"/>
    </w:rPr>
  </w:style>
  <w:style w:type="paragraph" w:customStyle="1" w:styleId="ManualNumPar4">
    <w:name w:val="Manual NumPar 4"/>
    <w:basedOn w:val="Normal"/>
    <w:next w:val="Text1"/>
    <w:pPr>
      <w:spacing w:before="120" w:after="120"/>
      <w:ind w:left="850" w:hanging="850"/>
      <w:jc w:val="both"/>
    </w:pPr>
    <w:rPr>
      <w:kern w:val="0"/>
      <w:lang w:eastAsia="en-US"/>
      <w14:ligatures w14:val="none"/>
    </w:rPr>
  </w:style>
  <w:style w:type="paragraph" w:customStyle="1" w:styleId="QuotedNumPar">
    <w:name w:val="Quoted NumPar"/>
    <w:basedOn w:val="Normal"/>
    <w:pPr>
      <w:spacing w:before="120" w:after="120"/>
      <w:ind w:left="1417" w:hanging="567"/>
      <w:jc w:val="both"/>
    </w:pPr>
    <w:rPr>
      <w:kern w:val="0"/>
      <w:lang w:eastAsia="en-US"/>
      <w14:ligatures w14:val="none"/>
    </w:rPr>
  </w:style>
  <w:style w:type="paragraph" w:customStyle="1" w:styleId="ManualHeading1">
    <w:name w:val="Manual Heading 1"/>
    <w:basedOn w:val="Normal"/>
    <w:next w:val="Text1"/>
    <w:pPr>
      <w:keepNext/>
      <w:tabs>
        <w:tab w:val="left" w:pos="850"/>
      </w:tabs>
      <w:spacing w:before="360" w:after="120"/>
      <w:ind w:left="850" w:hanging="850"/>
      <w:jc w:val="both"/>
      <w:outlineLvl w:val="0"/>
    </w:pPr>
    <w:rPr>
      <w:b/>
      <w:smallCaps/>
      <w:kern w:val="0"/>
      <w:lang w:eastAsia="en-US"/>
      <w14:ligatures w14:val="none"/>
    </w:rPr>
  </w:style>
  <w:style w:type="paragraph" w:customStyle="1" w:styleId="ManualHeading2">
    <w:name w:val="Manual Heading 2"/>
    <w:basedOn w:val="Normal"/>
    <w:next w:val="Text1"/>
    <w:pPr>
      <w:keepNext/>
      <w:tabs>
        <w:tab w:val="left" w:pos="850"/>
      </w:tabs>
      <w:spacing w:before="120" w:after="120"/>
      <w:ind w:left="850" w:hanging="850"/>
      <w:jc w:val="both"/>
      <w:outlineLvl w:val="1"/>
    </w:pPr>
    <w:rPr>
      <w:b/>
      <w:kern w:val="0"/>
      <w:lang w:eastAsia="en-US"/>
      <w14:ligatures w14:val="none"/>
    </w:rPr>
  </w:style>
  <w:style w:type="paragraph" w:customStyle="1" w:styleId="ManualHeading3">
    <w:name w:val="Manual Heading 3"/>
    <w:basedOn w:val="Normal"/>
    <w:next w:val="Text1"/>
    <w:pPr>
      <w:keepNext/>
      <w:tabs>
        <w:tab w:val="left" w:pos="850"/>
      </w:tabs>
      <w:spacing w:before="120" w:after="120"/>
      <w:ind w:left="850" w:hanging="850"/>
      <w:jc w:val="both"/>
      <w:outlineLvl w:val="2"/>
    </w:pPr>
    <w:rPr>
      <w:i/>
      <w:kern w:val="0"/>
      <w:lang w:eastAsia="en-US"/>
      <w14:ligatures w14:val="none"/>
    </w:rPr>
  </w:style>
  <w:style w:type="paragraph" w:customStyle="1" w:styleId="ManualHeading4">
    <w:name w:val="Manual Heading 4"/>
    <w:basedOn w:val="Normal"/>
    <w:next w:val="Text1"/>
    <w:pPr>
      <w:keepNext/>
      <w:tabs>
        <w:tab w:val="left" w:pos="850"/>
      </w:tabs>
      <w:spacing w:before="120" w:after="120"/>
      <w:ind w:left="850" w:hanging="850"/>
      <w:jc w:val="both"/>
      <w:outlineLvl w:val="3"/>
    </w:pPr>
    <w:rPr>
      <w:kern w:val="0"/>
      <w:lang w:eastAsia="en-US"/>
      <w14:ligatures w14:val="none"/>
    </w:rPr>
  </w:style>
  <w:style w:type="paragraph" w:customStyle="1" w:styleId="ChapterTitle">
    <w:name w:val="ChapterTitle"/>
    <w:basedOn w:val="Normal"/>
    <w:next w:val="Normal"/>
    <w:pPr>
      <w:keepNext/>
      <w:spacing w:before="120" w:after="360"/>
      <w:jc w:val="center"/>
    </w:pPr>
    <w:rPr>
      <w:b/>
      <w:kern w:val="0"/>
      <w:sz w:val="32"/>
      <w:lang w:eastAsia="en-US"/>
      <w14:ligatures w14:val="none"/>
    </w:rPr>
  </w:style>
  <w:style w:type="paragraph" w:customStyle="1" w:styleId="PartTitle">
    <w:name w:val="PartTitle"/>
    <w:basedOn w:val="Normal"/>
    <w:next w:val="ChapterTitle"/>
    <w:pPr>
      <w:keepNext/>
      <w:pageBreakBefore/>
      <w:spacing w:before="120" w:after="360"/>
      <w:jc w:val="center"/>
    </w:pPr>
    <w:rPr>
      <w:b/>
      <w:kern w:val="0"/>
      <w:sz w:val="36"/>
      <w:lang w:eastAsia="en-US"/>
      <w14:ligatures w14:val="none"/>
    </w:rPr>
  </w:style>
  <w:style w:type="paragraph" w:customStyle="1" w:styleId="SectionTitle">
    <w:name w:val="SectionTitle"/>
    <w:basedOn w:val="Normal"/>
    <w:next w:val="Heading1"/>
    <w:pPr>
      <w:keepNext/>
      <w:spacing w:before="120" w:after="360"/>
      <w:jc w:val="center"/>
    </w:pPr>
    <w:rPr>
      <w:b/>
      <w:smallCaps/>
      <w:kern w:val="0"/>
      <w:sz w:val="28"/>
      <w:lang w:eastAsia="en-US"/>
      <w14:ligatures w14:val="none"/>
    </w:rPr>
  </w:style>
  <w:style w:type="paragraph" w:customStyle="1" w:styleId="TableTitle">
    <w:name w:val="Table Title"/>
    <w:basedOn w:val="Normal"/>
    <w:next w:val="Normal"/>
    <w:pPr>
      <w:spacing w:before="120" w:after="120"/>
      <w:jc w:val="center"/>
    </w:pPr>
    <w:rPr>
      <w:b/>
      <w:kern w:val="0"/>
      <w:lang w:eastAsia="en-US"/>
      <w14:ligatures w14:val="none"/>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styleId="TOCHeading">
    <w:name w:val="TOC Heading"/>
    <w:basedOn w:val="Heading1"/>
    <w:next w:val="Normal"/>
    <w:uiPriority w:val="39"/>
    <w:unhideWhenUsed/>
    <w:qFormat/>
    <w:pPr>
      <w:spacing w:before="400" w:after="40"/>
      <w:outlineLvl w:val="9"/>
    </w:pPr>
    <w:rPr>
      <w:color w:val="244061" w:themeColor="accent1" w:themeShade="80"/>
      <w:kern w:val="0"/>
      <w:sz w:val="36"/>
      <w:szCs w:val="36"/>
      <w:lang w:eastAsia="en-US"/>
      <w14:ligatures w14:val="none"/>
    </w:rPr>
  </w:style>
  <w:style w:type="paragraph" w:customStyle="1" w:styleId="Point0number">
    <w:name w:val="Point 0 (number)"/>
    <w:basedOn w:val="Normal"/>
    <w:pPr>
      <w:numPr>
        <w:numId w:val="10"/>
      </w:numPr>
      <w:tabs>
        <w:tab w:val="clear" w:pos="850"/>
      </w:tabs>
      <w:spacing w:before="120" w:after="120"/>
      <w:ind w:left="0" w:firstLine="0"/>
      <w:jc w:val="both"/>
    </w:pPr>
    <w:rPr>
      <w:kern w:val="0"/>
      <w:lang w:eastAsia="en-US"/>
      <w14:ligatures w14:val="none"/>
    </w:rPr>
  </w:style>
  <w:style w:type="paragraph" w:customStyle="1" w:styleId="Point1number">
    <w:name w:val="Point 1 (number)"/>
    <w:basedOn w:val="Normal"/>
    <w:pPr>
      <w:numPr>
        <w:ilvl w:val="2"/>
        <w:numId w:val="10"/>
      </w:numPr>
      <w:tabs>
        <w:tab w:val="clear" w:pos="1417"/>
      </w:tabs>
      <w:spacing w:before="120" w:after="120"/>
      <w:ind w:left="0" w:firstLine="0"/>
      <w:jc w:val="both"/>
    </w:pPr>
    <w:rPr>
      <w:kern w:val="0"/>
      <w:lang w:eastAsia="en-US"/>
      <w14:ligatures w14:val="none"/>
    </w:rPr>
  </w:style>
  <w:style w:type="paragraph" w:customStyle="1" w:styleId="Point2number">
    <w:name w:val="Point 2 (number)"/>
    <w:basedOn w:val="Normal"/>
    <w:pPr>
      <w:numPr>
        <w:ilvl w:val="4"/>
        <w:numId w:val="10"/>
      </w:numPr>
      <w:tabs>
        <w:tab w:val="clear" w:pos="1984"/>
      </w:tabs>
      <w:spacing w:before="120" w:after="120"/>
      <w:ind w:left="0" w:firstLine="0"/>
      <w:jc w:val="both"/>
    </w:pPr>
    <w:rPr>
      <w:kern w:val="0"/>
      <w:lang w:eastAsia="en-US"/>
      <w14:ligatures w14:val="none"/>
    </w:rPr>
  </w:style>
  <w:style w:type="paragraph" w:customStyle="1" w:styleId="Point3number">
    <w:name w:val="Point 3 (number)"/>
    <w:basedOn w:val="Normal"/>
    <w:pPr>
      <w:numPr>
        <w:ilvl w:val="6"/>
        <w:numId w:val="10"/>
      </w:numPr>
      <w:tabs>
        <w:tab w:val="clear" w:pos="2551"/>
      </w:tabs>
      <w:spacing w:before="120" w:after="120"/>
      <w:ind w:left="0" w:firstLine="0"/>
      <w:jc w:val="both"/>
    </w:pPr>
    <w:rPr>
      <w:kern w:val="0"/>
      <w:lang w:eastAsia="en-US"/>
      <w14:ligatures w14:val="none"/>
    </w:rPr>
  </w:style>
  <w:style w:type="paragraph" w:customStyle="1" w:styleId="Point0letter">
    <w:name w:val="Point 0 (letter)"/>
    <w:basedOn w:val="Normal"/>
    <w:pPr>
      <w:numPr>
        <w:ilvl w:val="1"/>
        <w:numId w:val="10"/>
      </w:numPr>
      <w:tabs>
        <w:tab w:val="clear" w:pos="850"/>
      </w:tabs>
      <w:spacing w:before="120" w:after="120"/>
      <w:ind w:left="0" w:firstLine="0"/>
      <w:jc w:val="both"/>
    </w:pPr>
    <w:rPr>
      <w:kern w:val="0"/>
      <w:lang w:eastAsia="en-US"/>
      <w14:ligatures w14:val="none"/>
    </w:rPr>
  </w:style>
  <w:style w:type="paragraph" w:customStyle="1" w:styleId="Point1letter">
    <w:name w:val="Point 1 (letter)"/>
    <w:basedOn w:val="Normal"/>
    <w:pPr>
      <w:numPr>
        <w:ilvl w:val="3"/>
        <w:numId w:val="10"/>
      </w:numPr>
      <w:tabs>
        <w:tab w:val="clear" w:pos="1417"/>
      </w:tabs>
      <w:spacing w:before="120" w:after="120"/>
      <w:ind w:left="0" w:firstLine="0"/>
      <w:jc w:val="both"/>
    </w:pPr>
    <w:rPr>
      <w:kern w:val="0"/>
      <w:lang w:eastAsia="en-US"/>
      <w14:ligatures w14:val="none"/>
    </w:rPr>
  </w:style>
  <w:style w:type="paragraph" w:customStyle="1" w:styleId="Point2letter">
    <w:name w:val="Point 2 (letter)"/>
    <w:basedOn w:val="Normal"/>
    <w:pPr>
      <w:numPr>
        <w:ilvl w:val="5"/>
        <w:numId w:val="10"/>
      </w:numPr>
      <w:tabs>
        <w:tab w:val="clear" w:pos="1984"/>
      </w:tabs>
      <w:spacing w:before="120" w:after="120"/>
      <w:ind w:left="0" w:firstLine="0"/>
      <w:jc w:val="both"/>
    </w:pPr>
    <w:rPr>
      <w:kern w:val="0"/>
      <w:lang w:eastAsia="en-US"/>
      <w14:ligatures w14:val="none"/>
    </w:rPr>
  </w:style>
  <w:style w:type="paragraph" w:customStyle="1" w:styleId="Point3letter">
    <w:name w:val="Point 3 (letter)"/>
    <w:basedOn w:val="Normal"/>
    <w:pPr>
      <w:numPr>
        <w:ilvl w:val="7"/>
        <w:numId w:val="10"/>
      </w:numPr>
      <w:tabs>
        <w:tab w:val="clear" w:pos="2551"/>
      </w:tabs>
      <w:spacing w:before="120" w:after="120"/>
      <w:ind w:left="0" w:firstLine="0"/>
      <w:jc w:val="both"/>
    </w:pPr>
    <w:rPr>
      <w:kern w:val="0"/>
      <w:lang w:eastAsia="en-US"/>
      <w14:ligatures w14:val="none"/>
    </w:rPr>
  </w:style>
  <w:style w:type="paragraph" w:customStyle="1" w:styleId="Point4letter">
    <w:name w:val="Point 4 (letter)"/>
    <w:basedOn w:val="Normal"/>
    <w:pPr>
      <w:numPr>
        <w:ilvl w:val="8"/>
        <w:numId w:val="10"/>
      </w:numPr>
      <w:tabs>
        <w:tab w:val="clear" w:pos="3118"/>
      </w:tabs>
      <w:spacing w:before="120" w:after="120"/>
      <w:ind w:left="0" w:firstLine="0"/>
      <w:jc w:val="both"/>
    </w:pPr>
    <w:rPr>
      <w:kern w:val="0"/>
      <w:lang w:eastAsia="en-US"/>
      <w14:ligatures w14:val="none"/>
    </w:rPr>
  </w:style>
  <w:style w:type="paragraph" w:customStyle="1" w:styleId="Bullet0">
    <w:name w:val="Bullet 0"/>
    <w:basedOn w:val="Normal"/>
    <w:pPr>
      <w:numPr>
        <w:numId w:val="11"/>
      </w:numPr>
      <w:tabs>
        <w:tab w:val="clear" w:pos="850"/>
      </w:tabs>
      <w:spacing w:before="120" w:after="120"/>
      <w:ind w:left="0" w:firstLine="0"/>
      <w:jc w:val="both"/>
    </w:pPr>
    <w:rPr>
      <w:kern w:val="0"/>
      <w:lang w:eastAsia="en-US"/>
      <w14:ligatures w14:val="none"/>
    </w:rPr>
  </w:style>
  <w:style w:type="paragraph" w:customStyle="1" w:styleId="Bullet1">
    <w:name w:val="Bullet 1"/>
    <w:basedOn w:val="Normal"/>
    <w:pPr>
      <w:numPr>
        <w:numId w:val="12"/>
      </w:numPr>
      <w:tabs>
        <w:tab w:val="clear" w:pos="1417"/>
      </w:tabs>
      <w:spacing w:before="120" w:after="120"/>
      <w:ind w:left="0" w:firstLine="0"/>
      <w:jc w:val="both"/>
    </w:pPr>
    <w:rPr>
      <w:kern w:val="0"/>
      <w:lang w:eastAsia="en-US"/>
      <w14:ligatures w14:val="none"/>
    </w:rPr>
  </w:style>
  <w:style w:type="paragraph" w:customStyle="1" w:styleId="Bullet2">
    <w:name w:val="Bullet 2"/>
    <w:basedOn w:val="Normal"/>
    <w:pPr>
      <w:numPr>
        <w:numId w:val="13"/>
      </w:numPr>
      <w:tabs>
        <w:tab w:val="clear" w:pos="1984"/>
      </w:tabs>
      <w:spacing w:before="120" w:after="120"/>
      <w:ind w:left="0" w:firstLine="0"/>
      <w:jc w:val="both"/>
    </w:pPr>
    <w:rPr>
      <w:kern w:val="0"/>
      <w:lang w:eastAsia="en-US"/>
      <w14:ligatures w14:val="none"/>
    </w:rPr>
  </w:style>
  <w:style w:type="paragraph" w:customStyle="1" w:styleId="Bullet3">
    <w:name w:val="Bullet 3"/>
    <w:basedOn w:val="Normal"/>
    <w:pPr>
      <w:numPr>
        <w:numId w:val="14"/>
      </w:numPr>
      <w:tabs>
        <w:tab w:val="clear" w:pos="2551"/>
      </w:tabs>
      <w:spacing w:before="120" w:after="120"/>
      <w:ind w:left="0" w:firstLine="0"/>
      <w:jc w:val="both"/>
    </w:pPr>
    <w:rPr>
      <w:kern w:val="0"/>
      <w:lang w:eastAsia="en-US"/>
      <w14:ligatures w14:val="none"/>
    </w:rPr>
  </w:style>
  <w:style w:type="paragraph" w:customStyle="1" w:styleId="Bullet4">
    <w:name w:val="Bullet 4"/>
    <w:basedOn w:val="Normal"/>
    <w:pPr>
      <w:numPr>
        <w:numId w:val="15"/>
      </w:numPr>
      <w:tabs>
        <w:tab w:val="clear" w:pos="3118"/>
      </w:tabs>
      <w:spacing w:before="120" w:after="120"/>
      <w:ind w:left="0" w:firstLine="0"/>
      <w:jc w:val="both"/>
    </w:pPr>
    <w:rPr>
      <w:kern w:val="0"/>
      <w:lang w:eastAsia="en-US"/>
      <w14:ligatures w14:val="none"/>
    </w:rPr>
  </w:style>
  <w:style w:type="paragraph" w:customStyle="1" w:styleId="Annexetitreexpos">
    <w:name w:val="Annexe titre (exposé)"/>
    <w:basedOn w:val="Normal"/>
    <w:next w:val="Normal"/>
    <w:pPr>
      <w:spacing w:before="120" w:after="120"/>
      <w:jc w:val="center"/>
    </w:pPr>
    <w:rPr>
      <w:b/>
      <w:kern w:val="0"/>
      <w:u w:val="single"/>
      <w:lang w:eastAsia="en-US"/>
      <w14:ligatures w14:val="none"/>
    </w:rPr>
  </w:style>
  <w:style w:type="paragraph" w:customStyle="1" w:styleId="Annexetitrefichefinancire">
    <w:name w:val="Annexe titre (fiche financière)"/>
    <w:basedOn w:val="Normal"/>
    <w:next w:val="Normal"/>
    <w:pPr>
      <w:spacing w:before="120" w:after="120"/>
      <w:jc w:val="center"/>
    </w:pPr>
    <w:rPr>
      <w:b/>
      <w:kern w:val="0"/>
      <w:u w:val="single"/>
      <w:lang w:eastAsia="en-US"/>
      <w14:ligatures w14:val="none"/>
    </w:rPr>
  </w:style>
  <w:style w:type="paragraph" w:customStyle="1" w:styleId="Applicationdirecte">
    <w:name w:val="Application directe"/>
    <w:basedOn w:val="Normal"/>
    <w:next w:val="Fait"/>
    <w:pPr>
      <w:spacing w:before="480" w:after="120"/>
      <w:jc w:val="both"/>
    </w:pPr>
    <w:rPr>
      <w:kern w:val="0"/>
      <w:lang w:eastAsia="en-US"/>
      <w14:ligatures w14:val="none"/>
    </w:rPr>
  </w:style>
  <w:style w:type="paragraph" w:customStyle="1" w:styleId="Avertissementtitre">
    <w:name w:val="Avertissement titre"/>
    <w:basedOn w:val="Normal"/>
    <w:next w:val="Normal"/>
    <w:pPr>
      <w:keepNext/>
      <w:spacing w:before="480" w:after="120"/>
      <w:jc w:val="both"/>
    </w:pPr>
    <w:rPr>
      <w:kern w:val="0"/>
      <w:u w:val="single"/>
      <w:lang w:eastAsia="en-US"/>
      <w14:ligatures w14:val="none"/>
    </w:rPr>
  </w:style>
  <w:style w:type="paragraph" w:customStyle="1" w:styleId="Confidence">
    <w:name w:val="Confidence"/>
    <w:basedOn w:val="Normal"/>
    <w:next w:val="Normal"/>
    <w:pPr>
      <w:spacing w:before="360" w:after="120"/>
      <w:jc w:val="center"/>
    </w:pPr>
    <w:rPr>
      <w:kern w:val="0"/>
      <w:lang w:eastAsia="en-US"/>
      <w14:ligatures w14:val="none"/>
    </w:rPr>
  </w:style>
  <w:style w:type="paragraph" w:customStyle="1" w:styleId="Confidentialit">
    <w:name w:val="Confidentialité"/>
    <w:basedOn w:val="Normal"/>
    <w:next w:val="TypedudocumentPagedecouverture"/>
    <w:pPr>
      <w:spacing w:before="240" w:after="240"/>
      <w:ind w:left="5103"/>
      <w:jc w:val="both"/>
    </w:pPr>
    <w:rPr>
      <w:i/>
      <w:kern w:val="0"/>
      <w:sz w:val="32"/>
      <w:lang w:eastAsia="en-US"/>
      <w14:ligatures w14:val="none"/>
    </w:rPr>
  </w:style>
  <w:style w:type="paragraph" w:customStyle="1" w:styleId="Considrant">
    <w:name w:val="Considérant"/>
    <w:basedOn w:val="Normal"/>
    <w:pPr>
      <w:numPr>
        <w:numId w:val="16"/>
      </w:numPr>
      <w:tabs>
        <w:tab w:val="clear" w:pos="709"/>
      </w:tabs>
      <w:spacing w:before="120" w:after="120"/>
      <w:ind w:left="0" w:firstLine="0"/>
      <w:jc w:val="both"/>
    </w:pPr>
    <w:rPr>
      <w:kern w:val="0"/>
      <w:lang w:eastAsia="en-US"/>
      <w14:ligatures w14:val="none"/>
    </w:rPr>
  </w:style>
  <w:style w:type="paragraph" w:customStyle="1" w:styleId="Corrigendum">
    <w:name w:val="Corrigendum"/>
    <w:basedOn w:val="Normal"/>
    <w:next w:val="Normal"/>
    <w:pPr>
      <w:spacing w:after="240"/>
    </w:pPr>
    <w:rPr>
      <w:kern w:val="0"/>
      <w:lang w:eastAsia="en-US"/>
      <w14:ligatures w14:val="none"/>
    </w:rPr>
  </w:style>
  <w:style w:type="paragraph" w:customStyle="1" w:styleId="Datedadoption">
    <w:name w:val="Date d'adoption"/>
    <w:basedOn w:val="Normal"/>
    <w:next w:val="Titreobjet"/>
    <w:pPr>
      <w:spacing w:before="360"/>
      <w:jc w:val="center"/>
    </w:pPr>
    <w:rPr>
      <w:b/>
      <w:kern w:val="0"/>
      <w:lang w:eastAsia="en-US"/>
      <w14:ligatures w14:val="none"/>
    </w:rPr>
  </w:style>
  <w:style w:type="paragraph" w:customStyle="1" w:styleId="Emission">
    <w:name w:val="Emission"/>
    <w:basedOn w:val="Normal"/>
    <w:next w:val="Rfrenceinstitutionnelle"/>
    <w:pPr>
      <w:ind w:left="5103"/>
    </w:pPr>
    <w:rPr>
      <w:kern w:val="0"/>
      <w:lang w:eastAsia="en-US"/>
      <w14:ligatures w14:val="none"/>
    </w:rPr>
  </w:style>
  <w:style w:type="paragraph" w:customStyle="1" w:styleId="Exposdesmotifstitre">
    <w:name w:val="Exposé des motifs titre"/>
    <w:basedOn w:val="Normal"/>
    <w:next w:val="Normal"/>
    <w:pPr>
      <w:spacing w:before="120" w:after="120"/>
      <w:jc w:val="center"/>
    </w:pPr>
    <w:rPr>
      <w:b/>
      <w:kern w:val="0"/>
      <w:u w:val="single"/>
      <w:lang w:eastAsia="en-US"/>
      <w14:ligatures w14:val="none"/>
    </w:rPr>
  </w:style>
  <w:style w:type="paragraph" w:customStyle="1" w:styleId="Fait">
    <w:name w:val="Fait à"/>
    <w:basedOn w:val="Normal"/>
    <w:next w:val="Institutionquisigne"/>
    <w:pPr>
      <w:keepNext/>
      <w:spacing w:before="120"/>
      <w:jc w:val="both"/>
    </w:pPr>
    <w:rPr>
      <w:kern w:val="0"/>
      <w:lang w:eastAsia="en-US"/>
      <w14:ligatures w14:val="none"/>
    </w:rPr>
  </w:style>
  <w:style w:type="paragraph" w:customStyle="1" w:styleId="Formuledadoption">
    <w:name w:val="Formule d'adoption"/>
    <w:basedOn w:val="Normal"/>
    <w:next w:val="Titrearticle"/>
    <w:pPr>
      <w:keepNext/>
      <w:spacing w:before="120" w:after="120"/>
      <w:jc w:val="both"/>
    </w:pPr>
    <w:rPr>
      <w:kern w:val="0"/>
      <w:lang w:eastAsia="en-US"/>
      <w14:ligatures w14:val="none"/>
    </w:rPr>
  </w:style>
  <w:style w:type="paragraph" w:customStyle="1" w:styleId="Institutionquiagit">
    <w:name w:val="Institution qui agit"/>
    <w:basedOn w:val="Normal"/>
    <w:next w:val="Normal"/>
    <w:pPr>
      <w:keepNext/>
      <w:spacing w:before="600" w:after="120"/>
      <w:jc w:val="both"/>
    </w:pPr>
    <w:rPr>
      <w:kern w:val="0"/>
      <w:lang w:eastAsia="en-US"/>
      <w14:ligatures w14:val="none"/>
    </w:rPr>
  </w:style>
  <w:style w:type="paragraph" w:customStyle="1" w:styleId="Institutionquisigne">
    <w:name w:val="Institution qui signe"/>
    <w:basedOn w:val="Normal"/>
    <w:next w:val="Personnequisigne"/>
    <w:pPr>
      <w:keepNext/>
      <w:tabs>
        <w:tab w:val="left" w:pos="4252"/>
      </w:tabs>
      <w:spacing w:before="720"/>
      <w:jc w:val="both"/>
    </w:pPr>
    <w:rPr>
      <w:i/>
      <w:kern w:val="0"/>
      <w:lang w:eastAsia="en-US"/>
      <w14:ligatures w14:val="none"/>
    </w:rPr>
  </w:style>
  <w:style w:type="paragraph" w:customStyle="1" w:styleId="Langue">
    <w:name w:val="Langue"/>
    <w:basedOn w:val="Normal"/>
    <w:next w:val="Rfrenceinterne"/>
    <w:pPr>
      <w:framePr w:wrap="around" w:vAnchor="page" w:hAnchor="text" w:xAlign="center" w:y="14741"/>
      <w:spacing w:after="600"/>
      <w:jc w:val="center"/>
    </w:pPr>
    <w:rPr>
      <w:b/>
      <w:caps/>
      <w:kern w:val="0"/>
      <w:lang w:eastAsia="en-US"/>
      <w14:ligatures w14:val="none"/>
    </w:rPr>
  </w:style>
  <w:style w:type="paragraph" w:customStyle="1" w:styleId="ManualConsidrant">
    <w:name w:val="Manual Considérant"/>
    <w:basedOn w:val="Normal"/>
    <w:pPr>
      <w:spacing w:before="120" w:after="120"/>
      <w:ind w:left="709" w:hanging="709"/>
      <w:jc w:val="both"/>
    </w:pPr>
    <w:rPr>
      <w:kern w:val="0"/>
      <w:lang w:eastAsia="en-US"/>
      <w14:ligatures w14:val="none"/>
    </w:rPr>
  </w:style>
  <w:style w:type="paragraph" w:customStyle="1" w:styleId="Nomdelinstitution">
    <w:name w:val="Nom de l'institution"/>
    <w:basedOn w:val="Normal"/>
    <w:next w:val="Emission"/>
    <w:rPr>
      <w:rFonts w:ascii="Arial" w:hAnsi="Arial" w:cs="Arial"/>
      <w:kern w:val="0"/>
      <w:lang w:eastAsia="en-US"/>
      <w14:ligatures w14:val="none"/>
    </w:rPr>
  </w:style>
  <w:style w:type="paragraph" w:customStyle="1" w:styleId="Personnequisigne">
    <w:name w:val="Personne qui signe"/>
    <w:basedOn w:val="Normal"/>
    <w:next w:val="Institutionquisigne"/>
    <w:pPr>
      <w:tabs>
        <w:tab w:val="left" w:pos="4252"/>
      </w:tabs>
    </w:pPr>
    <w:rPr>
      <w:i/>
      <w:kern w:val="0"/>
      <w:lang w:eastAsia="en-US"/>
      <w14:ligatures w14:val="none"/>
    </w:rPr>
  </w:style>
  <w:style w:type="paragraph" w:customStyle="1" w:styleId="Rfrenceinstitutionnelle">
    <w:name w:val="Référence institutionnelle"/>
    <w:basedOn w:val="Normal"/>
    <w:next w:val="Confidentialit"/>
    <w:pPr>
      <w:spacing w:after="240"/>
      <w:ind w:left="5103"/>
    </w:pPr>
    <w:rPr>
      <w:kern w:val="0"/>
      <w:lang w:eastAsia="en-US"/>
      <w14:ligatures w14:val="none"/>
    </w:rPr>
  </w:style>
  <w:style w:type="paragraph" w:customStyle="1" w:styleId="Rfrenceinterinstitutionnelle">
    <w:name w:val="Référence interinstitutionnelle"/>
    <w:basedOn w:val="Normal"/>
    <w:next w:val="Statut"/>
    <w:pPr>
      <w:ind w:left="5103"/>
    </w:pPr>
    <w:rPr>
      <w:kern w:val="0"/>
      <w:lang w:eastAsia="en-US"/>
      <w14:ligatures w14:val="none"/>
    </w:rPr>
  </w:style>
  <w:style w:type="paragraph" w:customStyle="1" w:styleId="Rfrenceinterne">
    <w:name w:val="Référence interne"/>
    <w:basedOn w:val="Normal"/>
    <w:next w:val="Rfrenceinterinstitutionnelle"/>
    <w:pPr>
      <w:ind w:left="5103"/>
    </w:pPr>
    <w:rPr>
      <w:kern w:val="0"/>
      <w:lang w:eastAsia="en-US"/>
      <w14:ligatures w14:val="none"/>
    </w:rPr>
  </w:style>
  <w:style w:type="paragraph" w:customStyle="1" w:styleId="Sous-titreobjet">
    <w:name w:val="Sous-titre objet"/>
    <w:basedOn w:val="Normal"/>
    <w:pPr>
      <w:jc w:val="center"/>
    </w:pPr>
    <w:rPr>
      <w:b/>
      <w:kern w:val="0"/>
      <w:lang w:eastAsia="en-US"/>
      <w14:ligatures w14:val="none"/>
    </w:rPr>
  </w:style>
  <w:style w:type="paragraph" w:customStyle="1" w:styleId="Statut">
    <w:name w:val="Statut"/>
    <w:basedOn w:val="Normal"/>
    <w:next w:val="Typedudocument"/>
    <w:pPr>
      <w:spacing w:before="360"/>
      <w:jc w:val="center"/>
    </w:pPr>
    <w:rPr>
      <w:kern w:val="0"/>
      <w:lang w:eastAsia="en-US"/>
      <w14:ligatures w14:val="none"/>
    </w:rPr>
  </w:style>
  <w:style w:type="paragraph" w:customStyle="1" w:styleId="Titrearticle">
    <w:name w:val="Titre article"/>
    <w:basedOn w:val="Normal"/>
    <w:next w:val="Normal"/>
    <w:pPr>
      <w:keepNext/>
      <w:spacing w:before="360" w:after="120"/>
      <w:jc w:val="center"/>
    </w:pPr>
    <w:rPr>
      <w:i/>
      <w:kern w:val="0"/>
      <w:lang w:eastAsia="en-US"/>
      <w14:ligatures w14:val="none"/>
    </w:rPr>
  </w:style>
  <w:style w:type="paragraph" w:customStyle="1" w:styleId="Titreobjet">
    <w:name w:val="Titre objet"/>
    <w:basedOn w:val="Normal"/>
    <w:next w:val="Sous-titreobjet"/>
    <w:pPr>
      <w:spacing w:before="360" w:after="360"/>
      <w:jc w:val="center"/>
    </w:pPr>
    <w:rPr>
      <w:b/>
      <w:kern w:val="0"/>
      <w:lang w:eastAsia="en-US"/>
      <w14:ligatures w14:val="none"/>
    </w:rPr>
  </w:style>
  <w:style w:type="paragraph" w:customStyle="1" w:styleId="Typedudocument">
    <w:name w:val="Type du document"/>
    <w:basedOn w:val="Normal"/>
    <w:next w:val="Titreobjet"/>
    <w:pPr>
      <w:spacing w:before="360"/>
      <w:jc w:val="center"/>
    </w:pPr>
    <w:rPr>
      <w:b/>
      <w:kern w:val="0"/>
      <w:lang w:eastAsia="en-US"/>
      <w14:ligatures w14:val="none"/>
    </w:rPr>
  </w:style>
  <w:style w:type="character" w:customStyle="1" w:styleId="Added">
    <w:name w:val="Added"/>
    <w:rPr>
      <w:b/>
      <w:u w:val="single"/>
      <w:shd w:val="clear" w:color="auto" w:fill="auto"/>
    </w:rPr>
  </w:style>
  <w:style w:type="character" w:customStyle="1" w:styleId="Deleted">
    <w:name w:val="Deleted"/>
    <w:rPr>
      <w:strike/>
      <w:shd w:val="clear" w:color="auto" w:fill="auto"/>
    </w:rPr>
  </w:style>
  <w:style w:type="paragraph" w:customStyle="1" w:styleId="Address">
    <w:name w:val="Address"/>
    <w:basedOn w:val="Normal"/>
    <w:next w:val="Normal"/>
    <w:pPr>
      <w:keepLines/>
      <w:spacing w:before="120" w:after="120" w:line="360" w:lineRule="auto"/>
      <w:ind w:left="3402"/>
    </w:pPr>
    <w:rPr>
      <w:kern w:val="0"/>
      <w:lang w:eastAsia="en-US"/>
      <w14:ligatures w14:val="none"/>
    </w:rPr>
  </w:style>
  <w:style w:type="paragraph" w:customStyle="1" w:styleId="Objetexterne">
    <w:name w:val="Objet externe"/>
    <w:basedOn w:val="Normal"/>
    <w:next w:val="Normal"/>
    <w:pPr>
      <w:spacing w:before="120" w:after="120"/>
      <w:jc w:val="both"/>
    </w:pPr>
    <w:rPr>
      <w:i/>
      <w:caps/>
      <w:kern w:val="0"/>
      <w:lang w:eastAsia="en-US"/>
      <w14:ligatures w14:val="none"/>
    </w:rPr>
  </w:style>
  <w:style w:type="paragraph" w:customStyle="1" w:styleId="Supertitre">
    <w:name w:val="Supertitre"/>
    <w:basedOn w:val="Normal"/>
    <w:next w:val="Normal"/>
    <w:pPr>
      <w:spacing w:after="600"/>
      <w:jc w:val="center"/>
    </w:pPr>
    <w:rPr>
      <w:b/>
      <w:kern w:val="0"/>
      <w:lang w:eastAsia="en-US"/>
      <w14:ligatures w14:val="none"/>
    </w:rPr>
  </w:style>
  <w:style w:type="paragraph" w:customStyle="1" w:styleId="Languesfaisantfoi">
    <w:name w:val="Langues faisant foi"/>
    <w:basedOn w:val="Normal"/>
    <w:next w:val="Normal"/>
    <w:pPr>
      <w:spacing w:before="360" w:after="240"/>
      <w:jc w:val="center"/>
    </w:pPr>
    <w:rPr>
      <w:rFonts w:eastAsiaTheme="minorHAnsi"/>
      <w:kern w:val="0"/>
      <w:szCs w:val="22"/>
      <w:lang w:eastAsia="en-US"/>
      <w14:ligatures w14:val="none"/>
    </w:rPr>
  </w:style>
  <w:style w:type="paragraph" w:customStyle="1" w:styleId="Rfrencecroise">
    <w:name w:val="Référence croisée"/>
    <w:basedOn w:val="Normal"/>
    <w:pPr>
      <w:jc w:val="center"/>
    </w:pPr>
    <w:rPr>
      <w:kern w:val="0"/>
      <w:lang w:eastAsia="en-US"/>
      <w14:ligatures w14:val="none"/>
    </w:rPr>
  </w:style>
  <w:style w:type="paragraph" w:customStyle="1" w:styleId="Fichefinanciretitre">
    <w:name w:val="Fiche financière titre"/>
    <w:basedOn w:val="Normal"/>
    <w:next w:val="Normal"/>
    <w:pPr>
      <w:spacing w:before="120" w:after="120"/>
      <w:jc w:val="center"/>
    </w:pPr>
    <w:rPr>
      <w:b/>
      <w:kern w:val="0"/>
      <w:u w:val="single"/>
      <w:lang w:eastAsia="en-US"/>
      <w14:ligatures w14:val="non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after="240"/>
      <w:ind w:left="5103"/>
    </w:pPr>
    <w:rPr>
      <w:kern w:val="0"/>
      <w:lang w:eastAsia="en-US"/>
      <w14:ligatures w14:val="none"/>
    </w:r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after="240"/>
      <w:jc w:val="center"/>
    </w:pPr>
    <w:rPr>
      <w:b/>
      <w:i/>
      <w:kern w:val="0"/>
      <w:lang w:eastAsia="en-US"/>
      <w14:ligatures w14:val="none"/>
    </w:rPr>
  </w:style>
  <w:style w:type="paragraph" w:customStyle="1" w:styleId="Typeacteprincipal">
    <w:name w:val="Type acte principal"/>
    <w:basedOn w:val="Normal"/>
    <w:next w:val="Objetacteprincipal"/>
    <w:pPr>
      <w:spacing w:after="240"/>
      <w:jc w:val="center"/>
    </w:pPr>
    <w:rPr>
      <w:b/>
      <w:kern w:val="0"/>
      <w:lang w:eastAsia="en-US"/>
      <w14:ligatures w14:val="none"/>
    </w:rPr>
  </w:style>
  <w:style w:type="paragraph" w:customStyle="1" w:styleId="Objetacteprincipal">
    <w:name w:val="Objet acte principal"/>
    <w:basedOn w:val="Normal"/>
    <w:next w:val="Titrearticle"/>
    <w:pPr>
      <w:spacing w:after="360"/>
      <w:jc w:val="center"/>
    </w:pPr>
    <w:rPr>
      <w:b/>
      <w:kern w:val="0"/>
      <w:lang w:eastAsia="en-US"/>
      <w14:ligatures w14:val="none"/>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rPr>
      <w:rFonts w:eastAsiaTheme="minorHAnsi"/>
      <w:kern w:val="0"/>
      <w:szCs w:val="22"/>
      <w:lang w:eastAsia="en-US"/>
      <w14:ligatures w14:val="none"/>
    </w:rPr>
  </w:style>
  <w:style w:type="paragraph" w:styleId="ListBullet">
    <w:name w:val="List Bullet"/>
    <w:basedOn w:val="Normal"/>
    <w:uiPriority w:val="99"/>
    <w:pPr>
      <w:numPr>
        <w:numId w:val="23"/>
      </w:numPr>
      <w:tabs>
        <w:tab w:val="clear" w:pos="283"/>
      </w:tabs>
      <w:spacing w:before="120" w:after="120"/>
      <w:ind w:left="0" w:firstLine="0"/>
      <w:jc w:val="both"/>
    </w:pPr>
    <w:rPr>
      <w:kern w:val="0"/>
      <w:lang w:eastAsia="de-DE"/>
      <w14:ligatures w14:val="none"/>
    </w:rPr>
  </w:style>
  <w:style w:type="paragraph" w:styleId="ListBullet2">
    <w:name w:val="List Bullet 2"/>
    <w:basedOn w:val="Normal"/>
    <w:uiPriority w:val="99"/>
    <w:pPr>
      <w:numPr>
        <w:numId w:val="25"/>
      </w:numPr>
      <w:tabs>
        <w:tab w:val="clear" w:pos="1134"/>
      </w:tabs>
      <w:spacing w:before="120" w:after="120"/>
      <w:ind w:left="0" w:firstLine="0"/>
      <w:jc w:val="both"/>
    </w:pPr>
    <w:rPr>
      <w:kern w:val="0"/>
      <w:lang w:eastAsia="de-DE"/>
      <w14:ligatures w14:val="none"/>
    </w:rPr>
  </w:style>
  <w:style w:type="paragraph" w:styleId="ListBullet3">
    <w:name w:val="List Bullet 3"/>
    <w:basedOn w:val="Normal"/>
    <w:uiPriority w:val="99"/>
    <w:pPr>
      <w:numPr>
        <w:numId w:val="26"/>
      </w:numPr>
      <w:tabs>
        <w:tab w:val="clear" w:pos="1134"/>
      </w:tabs>
      <w:spacing w:before="120" w:after="120"/>
      <w:ind w:left="0" w:firstLine="0"/>
      <w:jc w:val="both"/>
    </w:pPr>
    <w:rPr>
      <w:kern w:val="0"/>
      <w:lang w:eastAsia="de-DE"/>
      <w14:ligatures w14:val="none"/>
    </w:rPr>
  </w:style>
  <w:style w:type="paragraph" w:styleId="ListBullet4">
    <w:name w:val="List Bullet 4"/>
    <w:basedOn w:val="Normal"/>
    <w:uiPriority w:val="99"/>
    <w:pPr>
      <w:numPr>
        <w:numId w:val="27"/>
      </w:numPr>
      <w:tabs>
        <w:tab w:val="clear" w:pos="1134"/>
      </w:tabs>
      <w:spacing w:before="120" w:after="120"/>
      <w:ind w:left="0" w:firstLine="0"/>
      <w:jc w:val="both"/>
    </w:pPr>
    <w:rPr>
      <w:kern w:val="0"/>
      <w:lang w:eastAsia="de-DE"/>
      <w14:ligatures w14:val="none"/>
    </w:rPr>
  </w:style>
  <w:style w:type="paragraph" w:styleId="ListNumber">
    <w:name w:val="List Number"/>
    <w:basedOn w:val="Normal"/>
    <w:uiPriority w:val="99"/>
    <w:pPr>
      <w:numPr>
        <w:numId w:val="18"/>
      </w:numPr>
      <w:tabs>
        <w:tab w:val="clear" w:pos="709"/>
      </w:tabs>
      <w:spacing w:before="120" w:after="120"/>
      <w:ind w:left="0" w:firstLine="0"/>
      <w:jc w:val="both"/>
    </w:pPr>
    <w:rPr>
      <w:kern w:val="0"/>
      <w:lang w:eastAsia="de-DE"/>
      <w14:ligatures w14:val="none"/>
    </w:rPr>
  </w:style>
  <w:style w:type="paragraph" w:styleId="ListNumber2">
    <w:name w:val="List Number 2"/>
    <w:basedOn w:val="Normal"/>
    <w:uiPriority w:val="99"/>
    <w:pPr>
      <w:numPr>
        <w:numId w:val="20"/>
      </w:numPr>
      <w:tabs>
        <w:tab w:val="clear" w:pos="1560"/>
      </w:tabs>
      <w:spacing w:before="120" w:after="120"/>
      <w:ind w:left="0" w:firstLine="0"/>
      <w:jc w:val="both"/>
    </w:pPr>
    <w:rPr>
      <w:kern w:val="0"/>
      <w:lang w:eastAsia="de-DE"/>
      <w14:ligatures w14:val="none"/>
    </w:rPr>
  </w:style>
  <w:style w:type="paragraph" w:styleId="ListNumber3">
    <w:name w:val="List Number 3"/>
    <w:basedOn w:val="Normal"/>
    <w:uiPriority w:val="99"/>
    <w:pPr>
      <w:numPr>
        <w:numId w:val="21"/>
      </w:numPr>
      <w:tabs>
        <w:tab w:val="clear" w:pos="1560"/>
      </w:tabs>
      <w:spacing w:before="120" w:after="120"/>
      <w:ind w:left="0" w:firstLine="0"/>
      <w:jc w:val="both"/>
    </w:pPr>
    <w:rPr>
      <w:kern w:val="0"/>
      <w:lang w:eastAsia="de-DE"/>
      <w14:ligatures w14:val="none"/>
    </w:rPr>
  </w:style>
  <w:style w:type="paragraph" w:styleId="ListNumber4">
    <w:name w:val="List Number 4"/>
    <w:basedOn w:val="Normal"/>
    <w:uiPriority w:val="99"/>
    <w:pPr>
      <w:numPr>
        <w:numId w:val="22"/>
      </w:numPr>
      <w:tabs>
        <w:tab w:val="clear" w:pos="1560"/>
      </w:tabs>
      <w:spacing w:before="120" w:after="120"/>
      <w:ind w:left="0" w:firstLine="0"/>
      <w:jc w:val="both"/>
    </w:pPr>
    <w:rPr>
      <w:kern w:val="0"/>
      <w:lang w:eastAsia="de-DE"/>
      <w14:ligatures w14:val="none"/>
    </w:rPr>
  </w:style>
  <w:style w:type="paragraph" w:customStyle="1" w:styleId="ListBullet1">
    <w:name w:val="List Bullet 1"/>
    <w:basedOn w:val="Normal"/>
    <w:pPr>
      <w:numPr>
        <w:numId w:val="24"/>
      </w:numPr>
      <w:tabs>
        <w:tab w:val="clear" w:pos="1134"/>
      </w:tabs>
      <w:spacing w:before="120" w:after="120"/>
      <w:ind w:left="0" w:firstLine="0"/>
      <w:jc w:val="both"/>
    </w:pPr>
    <w:rPr>
      <w:kern w:val="0"/>
      <w:lang w:eastAsia="de-DE"/>
      <w14:ligatures w14:val="none"/>
    </w:rPr>
  </w:style>
  <w:style w:type="paragraph" w:customStyle="1" w:styleId="ListDash">
    <w:name w:val="List Dash"/>
    <w:basedOn w:val="Normal"/>
    <w:pPr>
      <w:numPr>
        <w:numId w:val="28"/>
      </w:numPr>
      <w:tabs>
        <w:tab w:val="clear" w:pos="283"/>
      </w:tabs>
      <w:spacing w:before="120" w:after="120"/>
      <w:ind w:left="0" w:firstLine="0"/>
      <w:jc w:val="both"/>
    </w:pPr>
    <w:rPr>
      <w:kern w:val="0"/>
      <w:lang w:eastAsia="de-DE"/>
      <w14:ligatures w14:val="none"/>
    </w:rPr>
  </w:style>
  <w:style w:type="paragraph" w:customStyle="1" w:styleId="ListDash1">
    <w:name w:val="List Dash 1"/>
    <w:basedOn w:val="Normal"/>
    <w:pPr>
      <w:numPr>
        <w:numId w:val="29"/>
      </w:numPr>
      <w:tabs>
        <w:tab w:val="clear" w:pos="1134"/>
      </w:tabs>
      <w:spacing w:before="120" w:after="120"/>
      <w:ind w:left="0" w:firstLine="0"/>
      <w:jc w:val="both"/>
    </w:pPr>
    <w:rPr>
      <w:kern w:val="0"/>
      <w:lang w:eastAsia="de-DE"/>
      <w14:ligatures w14:val="none"/>
    </w:rPr>
  </w:style>
  <w:style w:type="paragraph" w:customStyle="1" w:styleId="ListDash2">
    <w:name w:val="List Dash 2"/>
    <w:basedOn w:val="Normal"/>
    <w:pPr>
      <w:numPr>
        <w:numId w:val="30"/>
      </w:numPr>
      <w:tabs>
        <w:tab w:val="clear" w:pos="1134"/>
      </w:tabs>
      <w:spacing w:before="120" w:after="120"/>
      <w:ind w:left="0" w:firstLine="0"/>
      <w:jc w:val="both"/>
    </w:pPr>
    <w:rPr>
      <w:kern w:val="0"/>
      <w:lang w:eastAsia="de-DE"/>
      <w14:ligatures w14:val="none"/>
    </w:rPr>
  </w:style>
  <w:style w:type="paragraph" w:customStyle="1" w:styleId="ListDash3">
    <w:name w:val="List Dash 3"/>
    <w:basedOn w:val="Normal"/>
    <w:pPr>
      <w:numPr>
        <w:numId w:val="31"/>
      </w:numPr>
      <w:tabs>
        <w:tab w:val="clear" w:pos="1134"/>
      </w:tabs>
      <w:spacing w:before="120" w:after="120"/>
      <w:ind w:left="0" w:firstLine="0"/>
      <w:jc w:val="both"/>
    </w:pPr>
    <w:rPr>
      <w:kern w:val="0"/>
      <w:lang w:eastAsia="de-DE"/>
      <w14:ligatures w14:val="none"/>
    </w:rPr>
  </w:style>
  <w:style w:type="paragraph" w:customStyle="1" w:styleId="ListDash4">
    <w:name w:val="List Dash 4"/>
    <w:basedOn w:val="Normal"/>
    <w:pPr>
      <w:numPr>
        <w:numId w:val="32"/>
      </w:numPr>
      <w:tabs>
        <w:tab w:val="clear" w:pos="1134"/>
      </w:tabs>
      <w:spacing w:before="120" w:after="120"/>
      <w:ind w:left="0" w:firstLine="0"/>
      <w:jc w:val="both"/>
    </w:pPr>
    <w:rPr>
      <w:kern w:val="0"/>
      <w:lang w:eastAsia="de-DE"/>
      <w14:ligatures w14:val="none"/>
    </w:rPr>
  </w:style>
  <w:style w:type="paragraph" w:customStyle="1" w:styleId="ListNumber1">
    <w:name w:val="List Number 1"/>
    <w:basedOn w:val="Text1"/>
    <w:pPr>
      <w:numPr>
        <w:numId w:val="19"/>
      </w:numPr>
      <w:tabs>
        <w:tab w:val="clear" w:pos="1560"/>
        <w:tab w:val="num" w:pos="360"/>
      </w:tabs>
      <w:ind w:left="0" w:firstLine="0"/>
    </w:pPr>
    <w:rPr>
      <w:lang w:eastAsia="de-DE"/>
    </w:rPr>
  </w:style>
  <w:style w:type="paragraph" w:customStyle="1" w:styleId="ListNumberLevel2">
    <w:name w:val="List Number (Level 2)"/>
    <w:basedOn w:val="Normal"/>
    <w:pPr>
      <w:numPr>
        <w:ilvl w:val="1"/>
        <w:numId w:val="18"/>
      </w:numPr>
      <w:tabs>
        <w:tab w:val="clear" w:pos="1417"/>
      </w:tabs>
      <w:spacing w:before="120" w:after="120"/>
      <w:ind w:left="0" w:firstLine="0"/>
      <w:jc w:val="both"/>
    </w:pPr>
    <w:rPr>
      <w:kern w:val="0"/>
      <w:lang w:eastAsia="de-DE"/>
      <w14:ligatures w14:val="none"/>
    </w:rPr>
  </w:style>
  <w:style w:type="paragraph" w:customStyle="1" w:styleId="ListNumber1Level2">
    <w:name w:val="List Number 1 (Level 2)"/>
    <w:basedOn w:val="Text1"/>
    <w:pPr>
      <w:numPr>
        <w:ilvl w:val="1"/>
        <w:numId w:val="19"/>
      </w:numPr>
      <w:tabs>
        <w:tab w:val="clear" w:pos="2268"/>
        <w:tab w:val="num" w:pos="360"/>
      </w:tabs>
      <w:ind w:left="0" w:firstLine="0"/>
    </w:pPr>
    <w:rPr>
      <w:lang w:eastAsia="de-DE"/>
    </w:rPr>
  </w:style>
  <w:style w:type="paragraph" w:customStyle="1" w:styleId="ListNumber2Level2">
    <w:name w:val="List Number 2 (Level 2)"/>
    <w:basedOn w:val="Text2"/>
    <w:pPr>
      <w:numPr>
        <w:ilvl w:val="1"/>
        <w:numId w:val="20"/>
      </w:numPr>
      <w:tabs>
        <w:tab w:val="clear" w:pos="2268"/>
      </w:tabs>
      <w:ind w:left="0" w:firstLine="0"/>
    </w:pPr>
    <w:rPr>
      <w:lang w:eastAsia="de-DE"/>
    </w:rPr>
  </w:style>
  <w:style w:type="paragraph" w:customStyle="1" w:styleId="ListNumber3Level2">
    <w:name w:val="List Number 3 (Level 2)"/>
    <w:basedOn w:val="Text3"/>
    <w:pPr>
      <w:numPr>
        <w:ilvl w:val="1"/>
        <w:numId w:val="21"/>
      </w:numPr>
      <w:tabs>
        <w:tab w:val="clear" w:pos="2268"/>
      </w:tabs>
      <w:ind w:left="0" w:firstLine="0"/>
    </w:pPr>
    <w:rPr>
      <w:lang w:eastAsia="de-DE"/>
    </w:rPr>
  </w:style>
  <w:style w:type="paragraph" w:customStyle="1" w:styleId="ListNumber4Level2">
    <w:name w:val="List Number 4 (Level 2)"/>
    <w:basedOn w:val="Text4"/>
    <w:pPr>
      <w:numPr>
        <w:ilvl w:val="1"/>
        <w:numId w:val="22"/>
      </w:numPr>
      <w:tabs>
        <w:tab w:val="clear" w:pos="2268"/>
      </w:tabs>
      <w:ind w:left="0" w:firstLine="0"/>
    </w:pPr>
    <w:rPr>
      <w:lang w:eastAsia="de-DE"/>
    </w:rPr>
  </w:style>
  <w:style w:type="paragraph" w:customStyle="1" w:styleId="ListNumberLevel3">
    <w:name w:val="List Number (Level 3)"/>
    <w:basedOn w:val="Normal"/>
    <w:pPr>
      <w:numPr>
        <w:ilvl w:val="2"/>
        <w:numId w:val="18"/>
      </w:numPr>
      <w:tabs>
        <w:tab w:val="clear" w:pos="2126"/>
      </w:tabs>
      <w:spacing w:before="120" w:after="120"/>
      <w:ind w:left="0" w:firstLine="0"/>
      <w:jc w:val="both"/>
    </w:pPr>
    <w:rPr>
      <w:kern w:val="0"/>
      <w:lang w:eastAsia="de-DE"/>
      <w14:ligatures w14:val="none"/>
    </w:rPr>
  </w:style>
  <w:style w:type="paragraph" w:customStyle="1" w:styleId="ListNumber1Level3">
    <w:name w:val="List Number 1 (Level 3)"/>
    <w:basedOn w:val="Text1"/>
    <w:pPr>
      <w:numPr>
        <w:ilvl w:val="2"/>
        <w:numId w:val="19"/>
      </w:numPr>
      <w:tabs>
        <w:tab w:val="clear" w:pos="2977"/>
        <w:tab w:val="num" w:pos="360"/>
      </w:tabs>
      <w:ind w:left="0" w:firstLine="0"/>
    </w:pPr>
    <w:rPr>
      <w:lang w:eastAsia="de-DE"/>
    </w:rPr>
  </w:style>
  <w:style w:type="paragraph" w:customStyle="1" w:styleId="ListNumber2Level3">
    <w:name w:val="List Number 2 (Level 3)"/>
    <w:basedOn w:val="Text2"/>
    <w:pPr>
      <w:numPr>
        <w:ilvl w:val="2"/>
        <w:numId w:val="20"/>
      </w:numPr>
      <w:tabs>
        <w:tab w:val="clear" w:pos="2977"/>
      </w:tabs>
      <w:ind w:left="0" w:firstLine="0"/>
    </w:pPr>
    <w:rPr>
      <w:lang w:eastAsia="de-DE"/>
    </w:rPr>
  </w:style>
  <w:style w:type="paragraph" w:customStyle="1" w:styleId="ListNumber3Level3">
    <w:name w:val="List Number 3 (Level 3)"/>
    <w:basedOn w:val="Text3"/>
    <w:pPr>
      <w:numPr>
        <w:ilvl w:val="2"/>
        <w:numId w:val="21"/>
      </w:numPr>
      <w:tabs>
        <w:tab w:val="clear" w:pos="2977"/>
      </w:tabs>
      <w:ind w:left="0" w:firstLine="0"/>
    </w:pPr>
    <w:rPr>
      <w:lang w:eastAsia="de-DE"/>
    </w:rPr>
  </w:style>
  <w:style w:type="paragraph" w:customStyle="1" w:styleId="ListNumber4Level3">
    <w:name w:val="List Number 4 (Level 3)"/>
    <w:basedOn w:val="Text4"/>
    <w:pPr>
      <w:numPr>
        <w:ilvl w:val="2"/>
        <w:numId w:val="22"/>
      </w:numPr>
      <w:tabs>
        <w:tab w:val="clear" w:pos="2977"/>
      </w:tabs>
      <w:ind w:left="0" w:firstLine="0"/>
    </w:pPr>
    <w:rPr>
      <w:lang w:eastAsia="de-DE"/>
    </w:rPr>
  </w:style>
  <w:style w:type="paragraph" w:customStyle="1" w:styleId="ListNumberLevel4">
    <w:name w:val="List Number (Level 4)"/>
    <w:basedOn w:val="Normal"/>
    <w:pPr>
      <w:numPr>
        <w:ilvl w:val="3"/>
        <w:numId w:val="18"/>
      </w:numPr>
      <w:tabs>
        <w:tab w:val="clear" w:pos="2835"/>
      </w:tabs>
      <w:spacing w:before="120" w:after="120"/>
      <w:ind w:left="0" w:firstLine="0"/>
      <w:jc w:val="both"/>
    </w:pPr>
    <w:rPr>
      <w:kern w:val="0"/>
      <w:lang w:eastAsia="de-DE"/>
      <w14:ligatures w14:val="none"/>
    </w:rPr>
  </w:style>
  <w:style w:type="paragraph" w:customStyle="1" w:styleId="ListNumber1Level4">
    <w:name w:val="List Number 1 (Level 4)"/>
    <w:basedOn w:val="Text1"/>
    <w:pPr>
      <w:numPr>
        <w:ilvl w:val="3"/>
        <w:numId w:val="19"/>
      </w:numPr>
      <w:tabs>
        <w:tab w:val="clear" w:pos="3686"/>
        <w:tab w:val="num" w:pos="360"/>
      </w:tabs>
      <w:ind w:left="0" w:firstLine="0"/>
    </w:pPr>
    <w:rPr>
      <w:lang w:eastAsia="de-DE"/>
    </w:rPr>
  </w:style>
  <w:style w:type="paragraph" w:customStyle="1" w:styleId="ListNumber2Level4">
    <w:name w:val="List Number 2 (Level 4)"/>
    <w:basedOn w:val="Text2"/>
    <w:pPr>
      <w:numPr>
        <w:ilvl w:val="3"/>
        <w:numId w:val="20"/>
      </w:numPr>
      <w:tabs>
        <w:tab w:val="clear" w:pos="3686"/>
      </w:tabs>
      <w:ind w:left="0" w:firstLine="0"/>
    </w:pPr>
    <w:rPr>
      <w:lang w:eastAsia="de-DE"/>
    </w:rPr>
  </w:style>
  <w:style w:type="paragraph" w:customStyle="1" w:styleId="ListNumber3Level4">
    <w:name w:val="List Number 3 (Level 4)"/>
    <w:basedOn w:val="Text3"/>
    <w:pPr>
      <w:numPr>
        <w:ilvl w:val="3"/>
        <w:numId w:val="21"/>
      </w:numPr>
      <w:tabs>
        <w:tab w:val="clear" w:pos="3686"/>
      </w:tabs>
      <w:ind w:left="0" w:firstLine="0"/>
    </w:pPr>
    <w:rPr>
      <w:lang w:eastAsia="de-DE"/>
    </w:rPr>
  </w:style>
  <w:style w:type="paragraph" w:customStyle="1" w:styleId="ListNumber4Level4">
    <w:name w:val="List Number 4 (Level 4)"/>
    <w:basedOn w:val="Text4"/>
    <w:pPr>
      <w:numPr>
        <w:ilvl w:val="3"/>
        <w:numId w:val="22"/>
      </w:numPr>
      <w:tabs>
        <w:tab w:val="clear" w:pos="3686"/>
      </w:tabs>
      <w:ind w:left="0" w:firstLine="0"/>
    </w:pPr>
    <w:rPr>
      <w:lang w:eastAsia="de-DE"/>
    </w:rPr>
  </w:style>
  <w:style w:type="paragraph" w:customStyle="1" w:styleId="Rfrenceinterinstitutionelleprliminaire">
    <w:name w:val="Référence interinstitutionelle (préliminaire)"/>
    <w:basedOn w:val="Normal"/>
    <w:next w:val="Normal"/>
    <w:pPr>
      <w:ind w:left="5103"/>
    </w:pPr>
    <w:rPr>
      <w:kern w:val="0"/>
      <w:lang w:eastAsia="de-DE"/>
      <w14:ligatures w14:val="none"/>
    </w:rPr>
  </w:style>
  <w:style w:type="paragraph" w:customStyle="1" w:styleId="Sous-titreobjetprliminaire">
    <w:name w:val="Sous-titre objet (préliminaire)"/>
    <w:basedOn w:val="Normal"/>
    <w:pPr>
      <w:jc w:val="center"/>
    </w:pPr>
    <w:rPr>
      <w:b/>
      <w:kern w:val="0"/>
      <w:lang w:eastAsia="de-DE"/>
      <w14:ligatures w14:val="none"/>
    </w:rPr>
  </w:style>
  <w:style w:type="paragraph" w:customStyle="1" w:styleId="Statutprliminaire">
    <w:name w:val="Statut (préliminaire)"/>
    <w:basedOn w:val="Normal"/>
    <w:next w:val="Normal"/>
    <w:pPr>
      <w:spacing w:before="360"/>
      <w:jc w:val="center"/>
    </w:pPr>
    <w:rPr>
      <w:kern w:val="0"/>
      <w:lang w:eastAsia="de-DE"/>
      <w14:ligatures w14:val="none"/>
    </w:rPr>
  </w:style>
  <w:style w:type="paragraph" w:customStyle="1" w:styleId="Titreobjetprliminaire">
    <w:name w:val="Titre objet (préliminaire)"/>
    <w:basedOn w:val="Normal"/>
    <w:next w:val="Normal"/>
    <w:pPr>
      <w:spacing w:before="360" w:after="360"/>
      <w:jc w:val="center"/>
    </w:pPr>
    <w:rPr>
      <w:b/>
      <w:kern w:val="0"/>
      <w:lang w:eastAsia="de-DE"/>
      <w14:ligatures w14:val="none"/>
    </w:rPr>
  </w:style>
  <w:style w:type="paragraph" w:customStyle="1" w:styleId="Typedudocumentprliminaire">
    <w:name w:val="Type du document (préliminaire)"/>
    <w:basedOn w:val="Normal"/>
    <w:next w:val="Normal"/>
    <w:pPr>
      <w:spacing w:before="360"/>
      <w:jc w:val="center"/>
    </w:pPr>
    <w:rPr>
      <w:b/>
      <w:kern w:val="0"/>
      <w:lang w:eastAsia="de-DE"/>
      <w14:ligatures w14:val="none"/>
    </w:rPr>
  </w:style>
  <w:style w:type="paragraph" w:customStyle="1" w:styleId="FichedimpactPMEtitre">
    <w:name w:val="Fiche d'impact PME titre"/>
    <w:basedOn w:val="Normal"/>
    <w:next w:val="Normal"/>
    <w:pPr>
      <w:spacing w:before="120" w:after="120"/>
      <w:jc w:val="center"/>
    </w:pPr>
    <w:rPr>
      <w:b/>
      <w:kern w:val="0"/>
      <w:szCs w:val="20"/>
      <w:lang w:eastAsia="zh-CN"/>
      <w14:ligatures w14:val="none"/>
    </w:rPr>
  </w:style>
  <w:style w:type="paragraph" w:customStyle="1" w:styleId="Fichefinanciretextetable">
    <w:name w:val="Fiche financière texte (table)"/>
    <w:basedOn w:val="Normal"/>
    <w:rPr>
      <w:kern w:val="0"/>
      <w:sz w:val="20"/>
      <w:szCs w:val="20"/>
      <w:lang w:eastAsia="zh-CN"/>
      <w14:ligatures w14:val="none"/>
    </w:rPr>
  </w:style>
  <w:style w:type="paragraph" w:customStyle="1" w:styleId="Fichefinanciretitreactetable">
    <w:name w:val="Fiche financière titre (acte table)"/>
    <w:basedOn w:val="Normal"/>
    <w:next w:val="Normal"/>
    <w:pPr>
      <w:spacing w:before="120" w:after="120"/>
      <w:jc w:val="center"/>
    </w:pPr>
    <w:rPr>
      <w:b/>
      <w:kern w:val="0"/>
      <w:sz w:val="40"/>
      <w:szCs w:val="20"/>
      <w:lang w:eastAsia="zh-CN"/>
      <w14:ligatures w14:val="none"/>
    </w:rPr>
  </w:style>
  <w:style w:type="paragraph" w:customStyle="1" w:styleId="Fichefinanciretitretable">
    <w:name w:val="Fiche financière titre (table)"/>
    <w:basedOn w:val="Normal"/>
    <w:pPr>
      <w:spacing w:before="120" w:after="120"/>
      <w:jc w:val="center"/>
    </w:pPr>
    <w:rPr>
      <w:b/>
      <w:kern w:val="0"/>
      <w:sz w:val="40"/>
      <w:szCs w:val="20"/>
      <w:lang w:eastAsia="zh-CN"/>
      <w14:ligatures w14:val="none"/>
    </w:rPr>
  </w:style>
  <w:style w:type="character" w:styleId="PageNumber">
    <w:name w:val="page number"/>
    <w:basedOn w:val="DefaultParagraphFont"/>
    <w:uiPriority w:val="99"/>
    <w:rPr>
      <w:shd w:val="clear" w:color="auto" w:fill="auto"/>
    </w:rPr>
  </w:style>
  <w:style w:type="paragraph" w:styleId="ListBullet5">
    <w:name w:val="List Bullet 5"/>
    <w:basedOn w:val="Normal"/>
    <w:autoRedefine/>
    <w:uiPriority w:val="99"/>
    <w:pPr>
      <w:numPr>
        <w:numId w:val="2"/>
      </w:numPr>
      <w:tabs>
        <w:tab w:val="clear" w:pos="1492"/>
        <w:tab w:val="num" w:pos="360"/>
      </w:tabs>
      <w:spacing w:after="240"/>
      <w:ind w:left="0" w:firstLine="0"/>
      <w:jc w:val="both"/>
    </w:pPr>
    <w:rPr>
      <w:kern w:val="0"/>
      <w:szCs w:val="20"/>
      <w:lang w:eastAsia="zh-CN"/>
      <w14:ligatures w14:val="none"/>
    </w:rPr>
  </w:style>
  <w:style w:type="paragraph" w:styleId="ListNumber5">
    <w:name w:val="List Number 5"/>
    <w:basedOn w:val="Normal"/>
    <w:uiPriority w:val="99"/>
    <w:pPr>
      <w:numPr>
        <w:numId w:val="3"/>
      </w:numPr>
      <w:tabs>
        <w:tab w:val="clear" w:pos="1492"/>
        <w:tab w:val="num" w:pos="643"/>
      </w:tabs>
      <w:spacing w:after="240"/>
      <w:ind w:left="0" w:firstLine="0"/>
      <w:jc w:val="both"/>
    </w:pPr>
    <w:rPr>
      <w:kern w:val="0"/>
      <w:szCs w:val="20"/>
      <w:lang w:eastAsia="zh-CN"/>
      <w14:ligatures w14:val="none"/>
    </w:rPr>
  </w:style>
  <w:style w:type="paragraph" w:styleId="DocumentMap">
    <w:name w:val="Document Map"/>
    <w:basedOn w:val="Normal"/>
    <w:link w:val="DocumentMapChar"/>
    <w:uiPriority w:val="99"/>
    <w:pPr>
      <w:shd w:val="clear" w:color="auto" w:fill="000080"/>
      <w:spacing w:before="120" w:after="120"/>
      <w:jc w:val="both"/>
    </w:pPr>
    <w:rPr>
      <w:rFonts w:ascii="Tahoma" w:hAnsi="Tahoma"/>
      <w:kern w:val="0"/>
      <w:szCs w:val="20"/>
      <w:lang w:eastAsia="zh-CN"/>
      <w14:ligatures w14:val="none"/>
    </w:rPr>
  </w:style>
  <w:style w:type="character" w:customStyle="1" w:styleId="DocumentMapChar">
    <w:name w:val="Document Map Char"/>
    <w:basedOn w:val="DefaultParagraphFont"/>
    <w:link w:val="DocumentMap"/>
    <w:uiPriority w:val="99"/>
    <w:rPr>
      <w:rFonts w:ascii="Tahoma" w:hAnsi="Tahoma"/>
      <w:kern w:val="0"/>
      <w:sz w:val="24"/>
      <w:shd w:val="clear" w:color="auto" w:fill="000080"/>
      <w:lang w:val="fr-FR" w:eastAsia="zh-CN"/>
      <w14:ligatures w14:val="none"/>
    </w:rPr>
  </w:style>
  <w:style w:type="paragraph" w:customStyle="1" w:styleId="AddressTL">
    <w:name w:val="AddressTL"/>
    <w:basedOn w:val="Normal"/>
    <w:next w:val="Normal"/>
    <w:pPr>
      <w:spacing w:after="720"/>
    </w:pPr>
    <w:rPr>
      <w:kern w:val="0"/>
      <w:szCs w:val="20"/>
      <w:lang w:eastAsia="zh-CN"/>
      <w14:ligatures w14:val="none"/>
    </w:rPr>
  </w:style>
  <w:style w:type="paragraph" w:customStyle="1" w:styleId="AddressTR">
    <w:name w:val="AddressTR"/>
    <w:basedOn w:val="Normal"/>
    <w:next w:val="Normal"/>
    <w:pPr>
      <w:spacing w:after="720"/>
      <w:ind w:left="5103"/>
    </w:pPr>
    <w:rPr>
      <w:kern w:val="0"/>
      <w:szCs w:val="20"/>
      <w:lang w:eastAsia="zh-CN"/>
      <w14:ligatures w14:val="none"/>
    </w:rPr>
  </w:style>
  <w:style w:type="paragraph" w:styleId="BlockText">
    <w:name w:val="Block Text"/>
    <w:basedOn w:val="Normal"/>
    <w:uiPriority w:val="99"/>
    <w:pPr>
      <w:spacing w:after="120"/>
      <w:ind w:left="1440" w:right="1440"/>
      <w:jc w:val="both"/>
    </w:pPr>
    <w:rPr>
      <w:kern w:val="0"/>
      <w:szCs w:val="20"/>
      <w:lang w:eastAsia="zh-CN"/>
      <w14:ligatures w14:val="none"/>
    </w:rPr>
  </w:style>
  <w:style w:type="paragraph" w:styleId="BodyText">
    <w:name w:val="Body Text"/>
    <w:basedOn w:val="Normal"/>
    <w:link w:val="BodyTextChar"/>
    <w:uiPriority w:val="99"/>
    <w:pPr>
      <w:spacing w:after="120"/>
      <w:jc w:val="both"/>
    </w:pPr>
    <w:rPr>
      <w:kern w:val="0"/>
      <w:szCs w:val="20"/>
      <w:lang w:eastAsia="zh-CN"/>
      <w14:ligatures w14:val="none"/>
    </w:rPr>
  </w:style>
  <w:style w:type="character" w:customStyle="1" w:styleId="BodyTextChar">
    <w:name w:val="Body Text Char"/>
    <w:basedOn w:val="DefaultParagraphFont"/>
    <w:link w:val="BodyText"/>
    <w:uiPriority w:val="99"/>
    <w:rPr>
      <w:kern w:val="0"/>
      <w:sz w:val="24"/>
      <w:lang w:val="fr-FR" w:eastAsia="zh-CN"/>
      <w14:ligatures w14:val="none"/>
    </w:rPr>
  </w:style>
  <w:style w:type="paragraph" w:styleId="BodyText2">
    <w:name w:val="Body Text 2"/>
    <w:basedOn w:val="Normal"/>
    <w:link w:val="BodyText2Char"/>
    <w:uiPriority w:val="99"/>
    <w:pPr>
      <w:spacing w:after="120" w:line="480" w:lineRule="auto"/>
      <w:jc w:val="both"/>
    </w:pPr>
    <w:rPr>
      <w:kern w:val="0"/>
      <w:szCs w:val="20"/>
      <w:lang w:eastAsia="zh-CN"/>
      <w14:ligatures w14:val="none"/>
    </w:rPr>
  </w:style>
  <w:style w:type="character" w:customStyle="1" w:styleId="BodyText2Char">
    <w:name w:val="Body Text 2 Char"/>
    <w:basedOn w:val="DefaultParagraphFont"/>
    <w:link w:val="BodyText2"/>
    <w:uiPriority w:val="99"/>
    <w:rPr>
      <w:kern w:val="0"/>
      <w:sz w:val="24"/>
      <w:lang w:val="fr-FR" w:eastAsia="zh-CN"/>
      <w14:ligatures w14:val="none"/>
    </w:rPr>
  </w:style>
  <w:style w:type="paragraph" w:styleId="BodyText3">
    <w:name w:val="Body Text 3"/>
    <w:basedOn w:val="Normal"/>
    <w:link w:val="BodyText3Char"/>
    <w:uiPriority w:val="99"/>
    <w:pPr>
      <w:spacing w:after="120"/>
      <w:jc w:val="both"/>
    </w:pPr>
    <w:rPr>
      <w:kern w:val="0"/>
      <w:sz w:val="16"/>
      <w:szCs w:val="20"/>
      <w:lang w:eastAsia="zh-CN"/>
      <w14:ligatures w14:val="none"/>
    </w:rPr>
  </w:style>
  <w:style w:type="character" w:customStyle="1" w:styleId="BodyText3Char">
    <w:name w:val="Body Text 3 Char"/>
    <w:basedOn w:val="DefaultParagraphFont"/>
    <w:link w:val="BodyText3"/>
    <w:uiPriority w:val="99"/>
    <w:rPr>
      <w:kern w:val="0"/>
      <w:sz w:val="16"/>
      <w:lang w:val="fr-FR" w:eastAsia="zh-CN"/>
      <w14:ligatures w14:val="none"/>
    </w:rPr>
  </w:style>
  <w:style w:type="paragraph" w:styleId="BodyTextFirstIndent">
    <w:name w:val="Body Text First Indent"/>
    <w:basedOn w:val="BodyText"/>
    <w:link w:val="BodyTextFirstIndentChar"/>
    <w:uiPriority w:val="99"/>
    <w:pPr>
      <w:ind w:firstLine="210"/>
    </w:pPr>
  </w:style>
  <w:style w:type="character" w:customStyle="1" w:styleId="BodyTextFirstIndentChar">
    <w:name w:val="Body Text First Indent Char"/>
    <w:basedOn w:val="BodyTextChar"/>
    <w:link w:val="BodyTextFirstIndent"/>
    <w:uiPriority w:val="99"/>
    <w:rPr>
      <w:kern w:val="0"/>
      <w:sz w:val="24"/>
      <w:lang w:val="fr-FR" w:eastAsia="zh-CN"/>
      <w14:ligatures w14:val="none"/>
    </w:rPr>
  </w:style>
  <w:style w:type="paragraph" w:styleId="BodyTextIndent">
    <w:name w:val="Body Text Indent"/>
    <w:basedOn w:val="Normal"/>
    <w:link w:val="BodyTextIndentChar"/>
    <w:uiPriority w:val="99"/>
    <w:pPr>
      <w:spacing w:after="120"/>
      <w:ind w:left="283"/>
      <w:jc w:val="both"/>
    </w:pPr>
    <w:rPr>
      <w:kern w:val="0"/>
      <w:szCs w:val="20"/>
      <w:lang w:eastAsia="zh-CN"/>
      <w14:ligatures w14:val="none"/>
    </w:rPr>
  </w:style>
  <w:style w:type="character" w:customStyle="1" w:styleId="BodyTextIndentChar">
    <w:name w:val="Body Text Indent Char"/>
    <w:basedOn w:val="DefaultParagraphFont"/>
    <w:link w:val="BodyTextIndent"/>
    <w:uiPriority w:val="99"/>
    <w:rPr>
      <w:kern w:val="0"/>
      <w:sz w:val="24"/>
      <w:lang w:val="fr-FR" w:eastAsia="zh-CN"/>
      <w14:ligatures w14:val="none"/>
    </w:rPr>
  </w:style>
  <w:style w:type="paragraph" w:styleId="BodyTextFirstIndent2">
    <w:name w:val="Body Text First Indent 2"/>
    <w:basedOn w:val="BodyTextIndent"/>
    <w:link w:val="BodyTextFirstIndent2Char"/>
    <w:uiPriority w:val="99"/>
    <w:pPr>
      <w:ind w:firstLine="210"/>
    </w:pPr>
  </w:style>
  <w:style w:type="character" w:customStyle="1" w:styleId="BodyTextFirstIndent2Char">
    <w:name w:val="Body Text First Indent 2 Char"/>
    <w:basedOn w:val="BodyTextIndentChar"/>
    <w:link w:val="BodyTextFirstIndent2"/>
    <w:uiPriority w:val="99"/>
    <w:rPr>
      <w:kern w:val="0"/>
      <w:sz w:val="24"/>
      <w:lang w:val="fr-FR" w:eastAsia="zh-CN"/>
      <w14:ligatures w14:val="none"/>
    </w:rPr>
  </w:style>
  <w:style w:type="paragraph" w:styleId="BodyTextIndent2">
    <w:name w:val="Body Text Indent 2"/>
    <w:basedOn w:val="Normal"/>
    <w:link w:val="BodyTextIndent2Char"/>
    <w:uiPriority w:val="99"/>
    <w:pPr>
      <w:spacing w:after="120" w:line="480" w:lineRule="auto"/>
      <w:ind w:left="283"/>
      <w:jc w:val="both"/>
    </w:pPr>
    <w:rPr>
      <w:kern w:val="0"/>
      <w:szCs w:val="20"/>
      <w:lang w:eastAsia="zh-CN"/>
      <w14:ligatures w14:val="none"/>
    </w:rPr>
  </w:style>
  <w:style w:type="character" w:customStyle="1" w:styleId="BodyTextIndent2Char">
    <w:name w:val="Body Text Indent 2 Char"/>
    <w:basedOn w:val="DefaultParagraphFont"/>
    <w:link w:val="BodyTextIndent2"/>
    <w:uiPriority w:val="99"/>
    <w:rPr>
      <w:kern w:val="0"/>
      <w:sz w:val="24"/>
      <w:lang w:val="fr-FR" w:eastAsia="zh-CN"/>
      <w14:ligatures w14:val="none"/>
    </w:rPr>
  </w:style>
  <w:style w:type="paragraph" w:styleId="BodyTextIndent3">
    <w:name w:val="Body Text Indent 3"/>
    <w:basedOn w:val="Normal"/>
    <w:link w:val="BodyTextIndent3Char"/>
    <w:uiPriority w:val="99"/>
    <w:pPr>
      <w:spacing w:after="120"/>
      <w:ind w:left="283"/>
      <w:jc w:val="both"/>
    </w:pPr>
    <w:rPr>
      <w:kern w:val="0"/>
      <w:sz w:val="16"/>
      <w:szCs w:val="20"/>
      <w:lang w:eastAsia="zh-CN"/>
      <w14:ligatures w14:val="none"/>
    </w:rPr>
  </w:style>
  <w:style w:type="character" w:customStyle="1" w:styleId="BodyTextIndent3Char">
    <w:name w:val="Body Text Indent 3 Char"/>
    <w:basedOn w:val="DefaultParagraphFont"/>
    <w:link w:val="BodyTextIndent3"/>
    <w:uiPriority w:val="99"/>
    <w:rPr>
      <w:kern w:val="0"/>
      <w:sz w:val="16"/>
      <w:lang w:val="fr-FR" w:eastAsia="zh-CN"/>
      <w14:ligatures w14:val="none"/>
    </w:rPr>
  </w:style>
  <w:style w:type="paragraph" w:styleId="Closing">
    <w:name w:val="Closing"/>
    <w:basedOn w:val="Normal"/>
    <w:next w:val="Signature"/>
    <w:link w:val="ClosingChar"/>
    <w:uiPriority w:val="99"/>
    <w:pPr>
      <w:tabs>
        <w:tab w:val="left" w:pos="5103"/>
      </w:tabs>
      <w:spacing w:before="240" w:after="240"/>
      <w:ind w:left="5103"/>
    </w:pPr>
    <w:rPr>
      <w:kern w:val="0"/>
      <w:szCs w:val="20"/>
      <w:lang w:eastAsia="zh-CN"/>
      <w14:ligatures w14:val="none"/>
    </w:rPr>
  </w:style>
  <w:style w:type="character" w:customStyle="1" w:styleId="ClosingChar">
    <w:name w:val="Closing Char"/>
    <w:basedOn w:val="DefaultParagraphFont"/>
    <w:link w:val="Closing"/>
    <w:uiPriority w:val="99"/>
    <w:rPr>
      <w:kern w:val="0"/>
      <w:sz w:val="24"/>
      <w:lang w:val="fr-FR" w:eastAsia="zh-CN"/>
      <w14:ligatures w14:val="none"/>
    </w:rPr>
  </w:style>
  <w:style w:type="paragraph" w:styleId="Signature">
    <w:name w:val="Signature"/>
    <w:basedOn w:val="Normal"/>
    <w:next w:val="Contact"/>
    <w:link w:val="SignatureChar"/>
    <w:uiPriority w:val="99"/>
    <w:pPr>
      <w:tabs>
        <w:tab w:val="left" w:pos="5103"/>
      </w:tabs>
      <w:spacing w:before="1200"/>
      <w:ind w:left="5103"/>
      <w:jc w:val="center"/>
    </w:pPr>
    <w:rPr>
      <w:kern w:val="0"/>
      <w:szCs w:val="20"/>
      <w:lang w:eastAsia="zh-CN"/>
      <w14:ligatures w14:val="none"/>
    </w:rPr>
  </w:style>
  <w:style w:type="character" w:customStyle="1" w:styleId="SignatureChar">
    <w:name w:val="Signature Char"/>
    <w:basedOn w:val="DefaultParagraphFont"/>
    <w:link w:val="Signature"/>
    <w:uiPriority w:val="99"/>
    <w:rPr>
      <w:kern w:val="0"/>
      <w:sz w:val="24"/>
      <w:lang w:val="fr-FR" w:eastAsia="zh-CN"/>
      <w14:ligatures w14:val="none"/>
    </w:rPr>
  </w:style>
  <w:style w:type="paragraph" w:customStyle="1" w:styleId="Contact">
    <w:name w:val="Contact"/>
    <w:basedOn w:val="Normal"/>
    <w:next w:val="Enclosures"/>
    <w:pPr>
      <w:spacing w:before="480"/>
      <w:ind w:left="567" w:hanging="567"/>
    </w:pPr>
    <w:rPr>
      <w:kern w:val="0"/>
      <w:szCs w:val="20"/>
      <w:lang w:eastAsia="zh-CN"/>
      <w14:ligatures w14:val="none"/>
    </w:rPr>
  </w:style>
  <w:style w:type="paragraph" w:customStyle="1" w:styleId="Enclosures">
    <w:name w:val="Enclosures"/>
    <w:basedOn w:val="Normal"/>
    <w:next w:val="Participants"/>
    <w:pPr>
      <w:keepNext/>
      <w:keepLines/>
      <w:tabs>
        <w:tab w:val="left" w:pos="5642"/>
      </w:tabs>
      <w:spacing w:before="480"/>
      <w:ind w:left="1792" w:hanging="1792"/>
    </w:pPr>
    <w:rPr>
      <w:kern w:val="0"/>
      <w:szCs w:val="20"/>
      <w:lang w:eastAsia="zh-CN"/>
      <w14:ligatures w14:val="none"/>
    </w:r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ind w:left="1792" w:hanging="1792"/>
    </w:pPr>
    <w:rPr>
      <w:kern w:val="0"/>
      <w:szCs w:val="20"/>
      <w:lang w:eastAsia="zh-CN"/>
      <w14:ligatures w14:val="none"/>
    </w:rPr>
  </w:style>
  <w:style w:type="paragraph" w:customStyle="1" w:styleId="Copies">
    <w:name w:val="Copies"/>
    <w:basedOn w:val="Normal"/>
    <w:next w:val="Normal"/>
    <w:pPr>
      <w:tabs>
        <w:tab w:val="left" w:pos="2512"/>
        <w:tab w:val="left" w:pos="2762"/>
        <w:tab w:val="left" w:pos="5642"/>
        <w:tab w:val="left" w:pos="6362"/>
        <w:tab w:val="left" w:pos="6720"/>
      </w:tabs>
      <w:spacing w:before="480"/>
      <w:ind w:left="1792" w:hanging="1792"/>
    </w:pPr>
    <w:rPr>
      <w:kern w:val="0"/>
      <w:szCs w:val="20"/>
      <w:lang w:eastAsia="zh-CN"/>
      <w14:ligatures w14:val="none"/>
    </w:rPr>
  </w:style>
  <w:style w:type="paragraph" w:styleId="Date">
    <w:name w:val="Date"/>
    <w:basedOn w:val="Normal"/>
    <w:next w:val="References"/>
    <w:link w:val="DateChar"/>
    <w:uiPriority w:val="99"/>
    <w:pPr>
      <w:ind w:left="5103" w:right="-567"/>
    </w:pPr>
    <w:rPr>
      <w:kern w:val="0"/>
      <w:szCs w:val="20"/>
      <w:lang w:eastAsia="zh-CN"/>
      <w14:ligatures w14:val="none"/>
    </w:rPr>
  </w:style>
  <w:style w:type="character" w:customStyle="1" w:styleId="DateChar">
    <w:name w:val="Date Char"/>
    <w:basedOn w:val="DefaultParagraphFont"/>
    <w:link w:val="Date"/>
    <w:uiPriority w:val="99"/>
    <w:rPr>
      <w:kern w:val="0"/>
      <w:sz w:val="24"/>
      <w:lang w:val="fr-FR" w:eastAsia="zh-CN"/>
      <w14:ligatures w14:val="none"/>
    </w:rPr>
  </w:style>
  <w:style w:type="paragraph" w:customStyle="1" w:styleId="References">
    <w:name w:val="References"/>
    <w:basedOn w:val="Normal"/>
    <w:next w:val="AddressTR"/>
    <w:pPr>
      <w:spacing w:after="240"/>
      <w:ind w:left="5103"/>
    </w:pPr>
    <w:rPr>
      <w:kern w:val="0"/>
      <w:sz w:val="20"/>
      <w:szCs w:val="20"/>
      <w:lang w:eastAsia="zh-CN"/>
      <w14:ligatures w14:val="none"/>
    </w:rPr>
  </w:style>
  <w:style w:type="paragraph" w:customStyle="1" w:styleId="DoubSign">
    <w:name w:val="DoubSign"/>
    <w:basedOn w:val="Normal"/>
    <w:next w:val="Contact"/>
    <w:pPr>
      <w:tabs>
        <w:tab w:val="left" w:pos="5103"/>
      </w:tabs>
      <w:spacing w:before="1200"/>
    </w:pPr>
    <w:rPr>
      <w:kern w:val="0"/>
      <w:szCs w:val="20"/>
      <w:lang w:eastAsia="zh-CN"/>
      <w14:ligatures w14:val="none"/>
    </w:rPr>
  </w:style>
  <w:style w:type="paragraph" w:styleId="EnvelopeAddress">
    <w:name w:val="envelope address"/>
    <w:basedOn w:val="Normal"/>
    <w:uiPriority w:val="99"/>
    <w:pPr>
      <w:framePr w:w="7920" w:h="1980" w:hRule="exact" w:hSpace="180" w:wrap="auto" w:hAnchor="page" w:xAlign="center" w:yAlign="bottom"/>
      <w:jc w:val="both"/>
    </w:pPr>
    <w:rPr>
      <w:kern w:val="0"/>
      <w:szCs w:val="20"/>
      <w:lang w:eastAsia="zh-CN"/>
      <w14:ligatures w14:val="none"/>
    </w:rPr>
  </w:style>
  <w:style w:type="paragraph" w:styleId="EnvelopeReturn">
    <w:name w:val="envelope return"/>
    <w:basedOn w:val="Normal"/>
    <w:uiPriority w:val="99"/>
    <w:pPr>
      <w:jc w:val="both"/>
    </w:pPr>
    <w:rPr>
      <w:kern w:val="0"/>
      <w:sz w:val="20"/>
      <w:szCs w:val="20"/>
      <w:lang w:eastAsia="zh-CN"/>
      <w14:ligatures w14:val="none"/>
    </w:rPr>
  </w:style>
  <w:style w:type="paragraph" w:styleId="Index8">
    <w:name w:val="index 8"/>
    <w:basedOn w:val="Normal"/>
    <w:next w:val="Normal"/>
    <w:autoRedefine/>
    <w:uiPriority w:val="99"/>
    <w:pPr>
      <w:spacing w:after="240"/>
      <w:ind w:left="1920" w:hanging="240"/>
      <w:jc w:val="both"/>
    </w:pPr>
    <w:rPr>
      <w:kern w:val="0"/>
      <w:szCs w:val="20"/>
      <w:lang w:eastAsia="zh-CN"/>
      <w14:ligatures w14:val="none"/>
    </w:rPr>
  </w:style>
  <w:style w:type="paragraph" w:styleId="Index1">
    <w:name w:val="index 1"/>
    <w:basedOn w:val="Normal"/>
    <w:next w:val="Normal"/>
    <w:autoRedefine/>
    <w:uiPriority w:val="99"/>
    <w:pPr>
      <w:spacing w:after="240"/>
      <w:ind w:left="240" w:hanging="240"/>
      <w:jc w:val="both"/>
    </w:pPr>
    <w:rPr>
      <w:kern w:val="0"/>
      <w:szCs w:val="20"/>
      <w:lang w:eastAsia="zh-CN"/>
      <w14:ligatures w14:val="none"/>
    </w:rPr>
  </w:style>
  <w:style w:type="paragraph" w:styleId="IndexHeading">
    <w:name w:val="index heading"/>
    <w:basedOn w:val="Normal"/>
    <w:next w:val="Index1"/>
    <w:uiPriority w:val="99"/>
    <w:pPr>
      <w:spacing w:after="240"/>
      <w:jc w:val="both"/>
    </w:pPr>
    <w:rPr>
      <w:rFonts w:ascii="Arial" w:hAnsi="Arial"/>
      <w:b/>
      <w:kern w:val="0"/>
      <w:szCs w:val="20"/>
      <w:lang w:eastAsia="zh-CN"/>
      <w14:ligatures w14:val="none"/>
    </w:rPr>
  </w:style>
  <w:style w:type="paragraph" w:styleId="List">
    <w:name w:val="List"/>
    <w:basedOn w:val="Normal"/>
    <w:uiPriority w:val="99"/>
    <w:pPr>
      <w:spacing w:after="240"/>
      <w:ind w:left="283" w:hanging="283"/>
      <w:jc w:val="both"/>
    </w:pPr>
    <w:rPr>
      <w:kern w:val="0"/>
      <w:szCs w:val="20"/>
      <w:lang w:eastAsia="zh-CN"/>
      <w14:ligatures w14:val="none"/>
    </w:rPr>
  </w:style>
  <w:style w:type="paragraph" w:styleId="List2">
    <w:name w:val="List 2"/>
    <w:basedOn w:val="Normal"/>
    <w:uiPriority w:val="99"/>
    <w:pPr>
      <w:spacing w:after="240"/>
      <w:ind w:left="566" w:hanging="283"/>
      <w:jc w:val="both"/>
    </w:pPr>
    <w:rPr>
      <w:kern w:val="0"/>
      <w:szCs w:val="20"/>
      <w:lang w:eastAsia="zh-CN"/>
      <w14:ligatures w14:val="none"/>
    </w:rPr>
  </w:style>
  <w:style w:type="paragraph" w:styleId="List3">
    <w:name w:val="List 3"/>
    <w:basedOn w:val="Normal"/>
    <w:uiPriority w:val="99"/>
    <w:pPr>
      <w:spacing w:after="240"/>
      <w:ind w:left="849" w:hanging="283"/>
      <w:jc w:val="both"/>
    </w:pPr>
    <w:rPr>
      <w:kern w:val="0"/>
      <w:szCs w:val="20"/>
      <w:lang w:eastAsia="zh-CN"/>
      <w14:ligatures w14:val="none"/>
    </w:rPr>
  </w:style>
  <w:style w:type="paragraph" w:styleId="List4">
    <w:name w:val="List 4"/>
    <w:basedOn w:val="Normal"/>
    <w:uiPriority w:val="99"/>
    <w:pPr>
      <w:spacing w:after="240"/>
      <w:ind w:left="1132" w:hanging="283"/>
      <w:jc w:val="both"/>
    </w:pPr>
    <w:rPr>
      <w:kern w:val="0"/>
      <w:szCs w:val="20"/>
      <w:lang w:eastAsia="zh-CN"/>
      <w14:ligatures w14:val="none"/>
    </w:rPr>
  </w:style>
  <w:style w:type="paragraph" w:styleId="List5">
    <w:name w:val="List 5"/>
    <w:basedOn w:val="Normal"/>
    <w:uiPriority w:val="99"/>
    <w:pPr>
      <w:spacing w:after="240"/>
      <w:ind w:left="1415" w:hanging="283"/>
      <w:jc w:val="both"/>
    </w:pPr>
    <w:rPr>
      <w:kern w:val="0"/>
      <w:szCs w:val="20"/>
      <w:lang w:eastAsia="zh-CN"/>
      <w14:ligatures w14:val="none"/>
    </w:rPr>
  </w:style>
  <w:style w:type="paragraph" w:styleId="ListContinue">
    <w:name w:val="List Continue"/>
    <w:basedOn w:val="Normal"/>
    <w:uiPriority w:val="99"/>
    <w:pPr>
      <w:spacing w:after="120"/>
      <w:ind w:left="283"/>
      <w:jc w:val="both"/>
    </w:pPr>
    <w:rPr>
      <w:kern w:val="0"/>
      <w:szCs w:val="20"/>
      <w:lang w:eastAsia="zh-CN"/>
      <w14:ligatures w14:val="none"/>
    </w:rPr>
  </w:style>
  <w:style w:type="paragraph" w:styleId="ListContinue2">
    <w:name w:val="List Continue 2"/>
    <w:basedOn w:val="Normal"/>
    <w:uiPriority w:val="99"/>
    <w:pPr>
      <w:spacing w:after="120"/>
      <w:ind w:left="566"/>
      <w:jc w:val="both"/>
    </w:pPr>
    <w:rPr>
      <w:kern w:val="0"/>
      <w:szCs w:val="20"/>
      <w:lang w:eastAsia="zh-CN"/>
      <w14:ligatures w14:val="none"/>
    </w:rPr>
  </w:style>
  <w:style w:type="paragraph" w:styleId="ListContinue3">
    <w:name w:val="List Continue 3"/>
    <w:basedOn w:val="Normal"/>
    <w:uiPriority w:val="99"/>
    <w:pPr>
      <w:spacing w:after="120"/>
      <w:ind w:left="849"/>
      <w:jc w:val="both"/>
    </w:pPr>
    <w:rPr>
      <w:kern w:val="0"/>
      <w:szCs w:val="20"/>
      <w:lang w:eastAsia="zh-CN"/>
      <w14:ligatures w14:val="none"/>
    </w:rPr>
  </w:style>
  <w:style w:type="paragraph" w:styleId="ListContinue4">
    <w:name w:val="List Continue 4"/>
    <w:basedOn w:val="Normal"/>
    <w:uiPriority w:val="99"/>
    <w:pPr>
      <w:spacing w:after="120"/>
      <w:ind w:left="1132"/>
      <w:jc w:val="both"/>
    </w:pPr>
    <w:rPr>
      <w:kern w:val="0"/>
      <w:szCs w:val="20"/>
      <w:lang w:eastAsia="zh-CN"/>
      <w14:ligatures w14:val="none"/>
    </w:rPr>
  </w:style>
  <w:style w:type="paragraph" w:styleId="ListContinue5">
    <w:name w:val="List Continue 5"/>
    <w:basedOn w:val="Normal"/>
    <w:uiPriority w:val="99"/>
    <w:pPr>
      <w:spacing w:after="120"/>
      <w:ind w:left="1415"/>
      <w:jc w:val="both"/>
    </w:pPr>
    <w:rPr>
      <w:kern w:val="0"/>
      <w:szCs w:val="20"/>
      <w:lang w:eastAsia="zh-CN"/>
      <w14:ligatures w14:val="none"/>
    </w:rPr>
  </w:style>
  <w:style w:type="paragraph" w:styleId="MacroText">
    <w:name w:val="macro"/>
    <w:link w:val="MacroTextChar"/>
    <w:uiPriority w:val="99"/>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kern w:val="0"/>
      <w:lang w:eastAsia="en-US"/>
      <w14:ligatures w14:val="none"/>
    </w:rPr>
  </w:style>
  <w:style w:type="character" w:customStyle="1" w:styleId="MacroTextChar">
    <w:name w:val="Macro Text Char"/>
    <w:basedOn w:val="DefaultParagraphFont"/>
    <w:link w:val="MacroText"/>
    <w:uiPriority w:val="99"/>
    <w:rPr>
      <w:rFonts w:ascii="Courier New" w:hAnsi="Courier New"/>
      <w:kern w:val="0"/>
      <w:lang w:eastAsia="en-US"/>
      <w14:ligatures w14:val="none"/>
    </w:rPr>
  </w:style>
  <w:style w:type="paragraph" w:styleId="MessageHeader">
    <w:name w:val="Message Header"/>
    <w:basedOn w:val="Normal"/>
    <w:link w:val="MessageHeaderChar"/>
    <w:uiPriority w:val="99"/>
    <w:pPr>
      <w:pBdr>
        <w:top w:val="single" w:sz="6" w:space="1" w:color="auto"/>
        <w:left w:val="single" w:sz="6" w:space="1" w:color="auto"/>
        <w:bottom w:val="single" w:sz="6" w:space="1" w:color="auto"/>
        <w:right w:val="single" w:sz="6" w:space="1" w:color="auto"/>
      </w:pBdr>
      <w:shd w:val="pct20" w:color="auto" w:fill="auto"/>
      <w:spacing w:after="240"/>
      <w:ind w:left="1134" w:hanging="1134"/>
      <w:jc w:val="both"/>
    </w:pPr>
    <w:rPr>
      <w:rFonts w:ascii="Arial" w:hAnsi="Arial"/>
      <w:kern w:val="0"/>
      <w:szCs w:val="20"/>
      <w:lang w:eastAsia="zh-CN"/>
      <w14:ligatures w14:val="none"/>
    </w:rPr>
  </w:style>
  <w:style w:type="character" w:customStyle="1" w:styleId="MessageHeaderChar">
    <w:name w:val="Message Header Char"/>
    <w:basedOn w:val="DefaultParagraphFont"/>
    <w:link w:val="MessageHeader"/>
    <w:uiPriority w:val="99"/>
    <w:rPr>
      <w:rFonts w:ascii="Arial" w:hAnsi="Arial"/>
      <w:kern w:val="0"/>
      <w:sz w:val="24"/>
      <w:shd w:val="pct20" w:color="auto" w:fill="auto"/>
      <w:lang w:val="fr-FR" w:eastAsia="zh-CN"/>
      <w14:ligatures w14:val="none"/>
    </w:rPr>
  </w:style>
  <w:style w:type="paragraph" w:styleId="NormalIndent">
    <w:name w:val="Normal Indent"/>
    <w:basedOn w:val="Normal"/>
    <w:uiPriority w:val="99"/>
    <w:pPr>
      <w:spacing w:after="240"/>
      <w:ind w:left="720"/>
      <w:jc w:val="both"/>
    </w:pPr>
    <w:rPr>
      <w:kern w:val="0"/>
      <w:szCs w:val="20"/>
      <w:lang w:eastAsia="zh-CN"/>
      <w14:ligatures w14:val="none"/>
    </w:rPr>
  </w:style>
  <w:style w:type="paragraph" w:styleId="NoteHeading">
    <w:name w:val="Note Heading"/>
    <w:basedOn w:val="Normal"/>
    <w:next w:val="Normal"/>
    <w:link w:val="NoteHeadingChar"/>
    <w:uiPriority w:val="99"/>
    <w:pPr>
      <w:spacing w:after="240"/>
      <w:jc w:val="both"/>
    </w:pPr>
    <w:rPr>
      <w:kern w:val="0"/>
      <w:szCs w:val="20"/>
      <w:lang w:eastAsia="zh-CN"/>
      <w14:ligatures w14:val="none"/>
    </w:rPr>
  </w:style>
  <w:style w:type="character" w:customStyle="1" w:styleId="NoteHeadingChar">
    <w:name w:val="Note Heading Char"/>
    <w:basedOn w:val="DefaultParagraphFont"/>
    <w:link w:val="NoteHeading"/>
    <w:uiPriority w:val="99"/>
    <w:rPr>
      <w:kern w:val="0"/>
      <w:sz w:val="24"/>
      <w:lang w:val="fr-FR" w:eastAsia="zh-CN"/>
      <w14:ligatures w14:val="none"/>
    </w:rPr>
  </w:style>
  <w:style w:type="paragraph" w:customStyle="1" w:styleId="NoteHead">
    <w:name w:val="NoteHead"/>
    <w:basedOn w:val="Normal"/>
    <w:next w:val="Subject"/>
    <w:pPr>
      <w:spacing w:before="720" w:after="720"/>
      <w:jc w:val="center"/>
    </w:pPr>
    <w:rPr>
      <w:b/>
      <w:smallCaps/>
      <w:kern w:val="0"/>
      <w:szCs w:val="20"/>
      <w:lang w:eastAsia="zh-CN"/>
      <w14:ligatures w14:val="none"/>
    </w:rPr>
  </w:style>
  <w:style w:type="paragraph" w:customStyle="1" w:styleId="Subject">
    <w:name w:val="Subject"/>
    <w:basedOn w:val="Normal"/>
    <w:next w:val="Normal"/>
    <w:pPr>
      <w:spacing w:after="480"/>
      <w:ind w:left="1191" w:hanging="1191"/>
    </w:pPr>
    <w:rPr>
      <w:b/>
      <w:kern w:val="0"/>
      <w:szCs w:val="20"/>
      <w:lang w:eastAsia="zh-CN"/>
      <w14:ligatures w14:val="none"/>
    </w:rPr>
  </w:style>
  <w:style w:type="paragraph" w:customStyle="1" w:styleId="NoteList">
    <w:name w:val="NoteList"/>
    <w:basedOn w:val="Normal"/>
    <w:next w:val="Subject"/>
    <w:pPr>
      <w:tabs>
        <w:tab w:val="left" w:pos="5823"/>
      </w:tabs>
      <w:spacing w:before="720" w:after="720"/>
      <w:ind w:left="5104" w:hanging="3119"/>
    </w:pPr>
    <w:rPr>
      <w:b/>
      <w:smallCaps/>
      <w:kern w:val="0"/>
      <w:szCs w:val="20"/>
      <w:lang w:eastAsia="zh-CN"/>
      <w14:ligatures w14:val="none"/>
    </w:rPr>
  </w:style>
  <w:style w:type="paragraph" w:styleId="PlainText">
    <w:name w:val="Plain Text"/>
    <w:basedOn w:val="Normal"/>
    <w:link w:val="PlainTextChar"/>
    <w:uiPriority w:val="99"/>
    <w:pPr>
      <w:spacing w:after="240"/>
      <w:jc w:val="both"/>
    </w:pPr>
    <w:rPr>
      <w:rFonts w:ascii="Courier New" w:hAnsi="Courier New"/>
      <w:kern w:val="0"/>
      <w:sz w:val="20"/>
      <w:szCs w:val="20"/>
      <w:lang w:eastAsia="zh-CN"/>
      <w14:ligatures w14:val="none"/>
    </w:rPr>
  </w:style>
  <w:style w:type="character" w:customStyle="1" w:styleId="PlainTextChar">
    <w:name w:val="Plain Text Char"/>
    <w:basedOn w:val="DefaultParagraphFont"/>
    <w:link w:val="PlainText"/>
    <w:uiPriority w:val="99"/>
    <w:rPr>
      <w:rFonts w:ascii="Courier New" w:hAnsi="Courier New"/>
      <w:kern w:val="0"/>
      <w:lang w:val="fr-FR" w:eastAsia="zh-CN"/>
      <w14:ligatures w14:val="none"/>
    </w:rPr>
  </w:style>
  <w:style w:type="paragraph" w:styleId="Salutation">
    <w:name w:val="Salutation"/>
    <w:basedOn w:val="Normal"/>
    <w:next w:val="Normal"/>
    <w:link w:val="SalutationChar"/>
    <w:uiPriority w:val="99"/>
    <w:pPr>
      <w:spacing w:after="240"/>
      <w:jc w:val="both"/>
    </w:pPr>
    <w:rPr>
      <w:kern w:val="0"/>
      <w:szCs w:val="20"/>
      <w:lang w:eastAsia="zh-CN"/>
      <w14:ligatures w14:val="none"/>
    </w:rPr>
  </w:style>
  <w:style w:type="character" w:customStyle="1" w:styleId="SalutationChar">
    <w:name w:val="Salutation Char"/>
    <w:basedOn w:val="DefaultParagraphFont"/>
    <w:link w:val="Salutation"/>
    <w:uiPriority w:val="99"/>
    <w:rPr>
      <w:kern w:val="0"/>
      <w:sz w:val="24"/>
      <w:lang w:val="fr-FR" w:eastAsia="zh-CN"/>
      <w14:ligatures w14:val="none"/>
    </w:rPr>
  </w:style>
  <w:style w:type="paragraph" w:customStyle="1" w:styleId="YReferences">
    <w:name w:val="YReferences"/>
    <w:basedOn w:val="Normal"/>
    <w:next w:val="Normal"/>
    <w:pPr>
      <w:spacing w:after="480"/>
      <w:ind w:left="1191" w:hanging="1191"/>
      <w:jc w:val="both"/>
    </w:pPr>
    <w:rPr>
      <w:kern w:val="0"/>
      <w:szCs w:val="20"/>
      <w:lang w:eastAsia="zh-CN"/>
      <w14:ligatures w14:val="none"/>
    </w:rPr>
  </w:style>
  <w:style w:type="paragraph" w:customStyle="1" w:styleId="DisclaimerNotice">
    <w:name w:val="Disclaimer Notice"/>
    <w:basedOn w:val="Normal"/>
    <w:next w:val="AddressTR"/>
    <w:pPr>
      <w:spacing w:after="240"/>
      <w:ind w:left="5103"/>
    </w:pPr>
    <w:rPr>
      <w:b/>
      <w:smallCaps/>
      <w:kern w:val="0"/>
      <w:sz w:val="20"/>
      <w:szCs w:val="20"/>
      <w:u w:val="single"/>
      <w:lang w:eastAsia="zh-CN"/>
      <w14:ligatures w14:val="none"/>
    </w:rPr>
  </w:style>
  <w:style w:type="paragraph" w:customStyle="1" w:styleId="Disclaimer">
    <w:name w:val="Disclaimer"/>
    <w:basedOn w:val="Normal"/>
    <w:pPr>
      <w:keepLines/>
      <w:pBdr>
        <w:top w:val="single" w:sz="4" w:space="1" w:color="auto"/>
      </w:pBdr>
      <w:spacing w:before="480"/>
      <w:jc w:val="both"/>
    </w:pPr>
    <w:rPr>
      <w:i/>
      <w:kern w:val="0"/>
      <w:szCs w:val="20"/>
      <w:lang w:eastAsia="zh-CN"/>
      <w14:ligatures w14:val="none"/>
    </w:rPr>
  </w:style>
  <w:style w:type="character" w:styleId="FollowedHyperlink">
    <w:name w:val="FollowedHyperlink"/>
    <w:basedOn w:val="DefaultParagraphFont"/>
    <w:uiPriority w:val="99"/>
    <w:rPr>
      <w:color w:val="800080"/>
      <w:u w:val="single"/>
      <w:shd w:val="clear" w:color="auto" w:fill="auto"/>
    </w:rPr>
  </w:style>
  <w:style w:type="paragraph" w:customStyle="1" w:styleId="DisclaimerSJ">
    <w:name w:val="Disclaimer_SJ"/>
    <w:basedOn w:val="Normal"/>
    <w:next w:val="Normal"/>
    <w:pPr>
      <w:jc w:val="both"/>
    </w:pPr>
    <w:rPr>
      <w:rFonts w:ascii="Arial" w:hAnsi="Arial"/>
      <w:b/>
      <w:kern w:val="0"/>
      <w:sz w:val="16"/>
      <w:szCs w:val="20"/>
      <w:lang w:eastAsia="zh-CN"/>
      <w14:ligatures w14:val="none"/>
    </w:rPr>
  </w:style>
  <w:style w:type="paragraph" w:customStyle="1" w:styleId="ZCom">
    <w:name w:val="Z_Com"/>
    <w:basedOn w:val="Normal"/>
    <w:next w:val="ZDGName"/>
    <w:pPr>
      <w:widowControl w:val="0"/>
      <w:ind w:right="85"/>
      <w:jc w:val="both"/>
    </w:pPr>
    <w:rPr>
      <w:rFonts w:ascii="Arial" w:hAnsi="Arial"/>
      <w:kern w:val="0"/>
      <w:szCs w:val="20"/>
      <w:lang w:eastAsia="en-US"/>
      <w14:ligatures w14:val="none"/>
    </w:rPr>
  </w:style>
  <w:style w:type="paragraph" w:customStyle="1" w:styleId="ZDGName">
    <w:name w:val="Z_DGName"/>
    <w:basedOn w:val="Normal"/>
    <w:pPr>
      <w:widowControl w:val="0"/>
      <w:ind w:right="85"/>
    </w:pPr>
    <w:rPr>
      <w:rFonts w:ascii="Arial" w:hAnsi="Arial"/>
      <w:kern w:val="0"/>
      <w:sz w:val="16"/>
      <w:szCs w:val="20"/>
      <w:lang w:eastAsia="en-US"/>
      <w14:ligatures w14:val="none"/>
    </w:rPr>
  </w:style>
  <w:style w:type="paragraph" w:customStyle="1" w:styleId="Style91">
    <w:name w:val="Style91"/>
    <w:rPr>
      <w:rFonts w:ascii="Arial" w:hAnsi="Arial"/>
      <w:kern w:val="0"/>
      <w:sz w:val="24"/>
      <w:lang w:eastAsia="en-US"/>
      <w14:ligatures w14:val="none"/>
    </w:rPr>
  </w:style>
  <w:style w:type="paragraph" w:customStyle="1" w:styleId="texte">
    <w:name w:val="texte"/>
    <w:basedOn w:val="Normal"/>
    <w:pPr>
      <w:spacing w:before="100" w:beforeAutospacing="1" w:after="100" w:afterAutospacing="1"/>
      <w:jc w:val="both"/>
    </w:pPr>
    <w:rPr>
      <w:rFonts w:ascii="Arial" w:hAnsi="Arial" w:cs="Arial"/>
      <w:color w:val="333399"/>
      <w:kern w:val="0"/>
      <w:sz w:val="18"/>
      <w:szCs w:val="18"/>
      <w:lang w:eastAsia="zh-CN"/>
      <w14:ligatures w14:val="none"/>
    </w:rPr>
  </w:style>
  <w:style w:type="table" w:styleId="TableGrid">
    <w:name w:val="Table Grid"/>
    <w:basedOn w:val="TableNormal"/>
    <w:uiPriority w:val="39"/>
    <w:pPr>
      <w:spacing w:before="120" w:after="12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Pr>
      <w:sz w:val="16"/>
      <w:shd w:val="clear" w:color="auto" w:fill="auto"/>
    </w:rPr>
  </w:style>
  <w:style w:type="paragraph" w:styleId="CommentText">
    <w:name w:val="annotation text"/>
    <w:basedOn w:val="Normal"/>
    <w:link w:val="CommentTextChar"/>
    <w:uiPriority w:val="99"/>
    <w:pPr>
      <w:spacing w:before="120" w:after="120"/>
      <w:jc w:val="both"/>
    </w:pPr>
    <w:rPr>
      <w:kern w:val="0"/>
      <w:sz w:val="20"/>
      <w:szCs w:val="20"/>
      <w:lang w:eastAsia="zh-CN"/>
      <w14:ligatures w14:val="none"/>
    </w:rPr>
  </w:style>
  <w:style w:type="character" w:customStyle="1" w:styleId="CommentTextChar">
    <w:name w:val="Comment Text Char"/>
    <w:basedOn w:val="DefaultParagraphFont"/>
    <w:link w:val="CommentText"/>
    <w:uiPriority w:val="99"/>
    <w:rPr>
      <w:kern w:val="0"/>
      <w:lang w:val="fr-FR" w:eastAsia="zh-CN"/>
      <w14:ligatures w14:val="none"/>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kern w:val="0"/>
      <w:lang w:val="fr-FR" w:eastAsia="zh-CN"/>
      <w14:ligatures w14:val="none"/>
    </w:rPr>
  </w:style>
  <w:style w:type="paragraph" w:customStyle="1" w:styleId="Style1">
    <w:name w:val="Style1"/>
    <w:basedOn w:val="Heading1"/>
    <w:pPr>
      <w:tabs>
        <w:tab w:val="left" w:pos="709"/>
      </w:tabs>
      <w:spacing w:before="240" w:after="0"/>
      <w:ind w:left="851" w:hanging="851"/>
    </w:pPr>
    <w:rPr>
      <w:bCs/>
      <w:color w:val="244061" w:themeColor="accent1" w:themeShade="80"/>
      <w:kern w:val="0"/>
      <w:sz w:val="36"/>
      <w:szCs w:val="20"/>
      <w:lang w:eastAsia="zh-CN"/>
      <w14:ligatures w14:val="none"/>
    </w:rPr>
  </w:style>
  <w:style w:type="paragraph" w:customStyle="1" w:styleId="Normal10pt">
    <w:name w:val="Normal + 10 pt"/>
    <w:aliases w:val="Condensed by  0,15 pt"/>
    <w:basedOn w:val="Normal"/>
    <w:pPr>
      <w:keepNext/>
      <w:suppressAutoHyphens/>
      <w:ind w:left="255"/>
    </w:pPr>
    <w:rPr>
      <w:spacing w:val="-3"/>
      <w:kern w:val="0"/>
      <w:sz w:val="18"/>
      <w:szCs w:val="18"/>
      <w:lang w:eastAsia="zh-CN"/>
      <w14:ligatures w14:val="none"/>
    </w:rPr>
  </w:style>
  <w:style w:type="paragraph" w:customStyle="1" w:styleId="5Normal">
    <w:name w:val="5 Normal"/>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kern w:val="0"/>
      <w:sz w:val="22"/>
      <w14:ligatures w14:val="none"/>
    </w:rPr>
  </w:style>
  <w:style w:type="character" w:styleId="Emphasis">
    <w:name w:val="Emphasis"/>
    <w:basedOn w:val="DefaultParagraphFont"/>
    <w:uiPriority w:val="20"/>
    <w:qFormat/>
    <w:rPr>
      <w:i/>
      <w:iCs/>
    </w:rPr>
  </w:style>
  <w:style w:type="paragraph" w:styleId="Caption">
    <w:name w:val="caption"/>
    <w:basedOn w:val="Normal"/>
    <w:next w:val="Normal"/>
    <w:uiPriority w:val="35"/>
    <w:unhideWhenUsed/>
    <w:qFormat/>
    <w:pPr>
      <w:spacing w:after="160"/>
    </w:pPr>
    <w:rPr>
      <w:rFonts w:asciiTheme="minorHAnsi" w:eastAsiaTheme="minorEastAsia" w:hAnsiTheme="minorHAnsi" w:cstheme="minorBidi"/>
      <w:b/>
      <w:bCs/>
      <w:smallCaps/>
      <w:color w:val="1F497D" w:themeColor="text2"/>
      <w:kern w:val="0"/>
      <w:sz w:val="22"/>
      <w:szCs w:val="22"/>
      <w:lang w:eastAsia="en-US"/>
      <w14:ligatures w14:val="none"/>
    </w:rPr>
  </w:style>
  <w:style w:type="paragraph" w:styleId="EndnoteText">
    <w:name w:val="endnote text"/>
    <w:basedOn w:val="Normal"/>
    <w:link w:val="EndnoteTextChar"/>
    <w:uiPriority w:val="99"/>
    <w:pPr>
      <w:spacing w:after="240"/>
      <w:jc w:val="both"/>
    </w:pPr>
    <w:rPr>
      <w:kern w:val="0"/>
      <w:sz w:val="20"/>
      <w:szCs w:val="20"/>
      <w:lang w:eastAsia="en-US"/>
      <w14:ligatures w14:val="none"/>
    </w:rPr>
  </w:style>
  <w:style w:type="character" w:customStyle="1" w:styleId="EndnoteTextChar">
    <w:name w:val="Endnote Text Char"/>
    <w:basedOn w:val="DefaultParagraphFont"/>
    <w:link w:val="EndnoteText"/>
    <w:uiPriority w:val="99"/>
    <w:rPr>
      <w:kern w:val="0"/>
      <w:lang w:val="fr-FR" w:eastAsia="en-US"/>
      <w14:ligatures w14:val="none"/>
    </w:rPr>
  </w:style>
  <w:style w:type="paragraph" w:styleId="Index2">
    <w:name w:val="index 2"/>
    <w:basedOn w:val="Normal"/>
    <w:next w:val="Normal"/>
    <w:autoRedefine/>
    <w:uiPriority w:val="99"/>
    <w:pPr>
      <w:spacing w:after="240"/>
      <w:ind w:left="480" w:hanging="240"/>
      <w:jc w:val="both"/>
    </w:pPr>
    <w:rPr>
      <w:kern w:val="0"/>
      <w:szCs w:val="20"/>
      <w:lang w:eastAsia="en-US"/>
      <w14:ligatures w14:val="none"/>
    </w:rPr>
  </w:style>
  <w:style w:type="paragraph" w:styleId="Index3">
    <w:name w:val="index 3"/>
    <w:basedOn w:val="Normal"/>
    <w:next w:val="Normal"/>
    <w:autoRedefine/>
    <w:uiPriority w:val="99"/>
    <w:pPr>
      <w:spacing w:after="240"/>
      <w:ind w:left="720" w:hanging="240"/>
      <w:jc w:val="both"/>
    </w:pPr>
    <w:rPr>
      <w:kern w:val="0"/>
      <w:szCs w:val="20"/>
      <w:lang w:eastAsia="en-US"/>
      <w14:ligatures w14:val="none"/>
    </w:rPr>
  </w:style>
  <w:style w:type="paragraph" w:styleId="Index4">
    <w:name w:val="index 4"/>
    <w:basedOn w:val="Normal"/>
    <w:next w:val="Normal"/>
    <w:autoRedefine/>
    <w:uiPriority w:val="99"/>
    <w:pPr>
      <w:spacing w:after="240"/>
      <w:ind w:left="960" w:hanging="240"/>
      <w:jc w:val="both"/>
    </w:pPr>
    <w:rPr>
      <w:kern w:val="0"/>
      <w:szCs w:val="20"/>
      <w:lang w:eastAsia="en-US"/>
      <w14:ligatures w14:val="none"/>
    </w:rPr>
  </w:style>
  <w:style w:type="paragraph" w:styleId="Index5">
    <w:name w:val="index 5"/>
    <w:basedOn w:val="Normal"/>
    <w:next w:val="Normal"/>
    <w:autoRedefine/>
    <w:uiPriority w:val="99"/>
    <w:pPr>
      <w:spacing w:after="240"/>
      <w:ind w:left="1200" w:hanging="240"/>
      <w:jc w:val="both"/>
    </w:pPr>
    <w:rPr>
      <w:kern w:val="0"/>
      <w:szCs w:val="20"/>
      <w:lang w:eastAsia="en-US"/>
      <w14:ligatures w14:val="none"/>
    </w:rPr>
  </w:style>
  <w:style w:type="paragraph" w:styleId="Index6">
    <w:name w:val="index 6"/>
    <w:basedOn w:val="Normal"/>
    <w:next w:val="Normal"/>
    <w:autoRedefine/>
    <w:uiPriority w:val="99"/>
    <w:pPr>
      <w:spacing w:after="240"/>
      <w:ind w:left="1440" w:hanging="240"/>
      <w:jc w:val="both"/>
    </w:pPr>
    <w:rPr>
      <w:kern w:val="0"/>
      <w:szCs w:val="20"/>
      <w:lang w:eastAsia="en-US"/>
      <w14:ligatures w14:val="none"/>
    </w:rPr>
  </w:style>
  <w:style w:type="paragraph" w:styleId="Index7">
    <w:name w:val="index 7"/>
    <w:basedOn w:val="Normal"/>
    <w:next w:val="Normal"/>
    <w:autoRedefine/>
    <w:uiPriority w:val="99"/>
    <w:pPr>
      <w:spacing w:after="240"/>
      <w:ind w:left="1680" w:hanging="240"/>
      <w:jc w:val="both"/>
    </w:pPr>
    <w:rPr>
      <w:kern w:val="0"/>
      <w:szCs w:val="20"/>
      <w:lang w:eastAsia="en-US"/>
      <w14:ligatures w14:val="none"/>
    </w:rPr>
  </w:style>
  <w:style w:type="paragraph" w:styleId="Index9">
    <w:name w:val="index 9"/>
    <w:basedOn w:val="Normal"/>
    <w:next w:val="Normal"/>
    <w:autoRedefine/>
    <w:uiPriority w:val="99"/>
    <w:pPr>
      <w:spacing w:after="240"/>
      <w:ind w:left="2160" w:hanging="240"/>
      <w:jc w:val="both"/>
    </w:pPr>
    <w:rPr>
      <w:kern w:val="0"/>
      <w:szCs w:val="20"/>
      <w:lang w:eastAsia="en-US"/>
      <w14:ligatures w14:val="none"/>
    </w:rPr>
  </w:style>
  <w:style w:type="paragraph" w:styleId="TableofAuthorities">
    <w:name w:val="table of authorities"/>
    <w:basedOn w:val="Normal"/>
    <w:next w:val="Normal"/>
    <w:uiPriority w:val="99"/>
    <w:pPr>
      <w:spacing w:after="240"/>
      <w:ind w:left="240" w:hanging="240"/>
      <w:jc w:val="both"/>
    </w:pPr>
    <w:rPr>
      <w:kern w:val="0"/>
      <w:szCs w:val="20"/>
      <w:lang w:eastAsia="en-US"/>
      <w14:ligatures w14:val="none"/>
    </w:rPr>
  </w:style>
  <w:style w:type="paragraph" w:styleId="TableofFigures">
    <w:name w:val="table of figures"/>
    <w:basedOn w:val="Normal"/>
    <w:next w:val="Normal"/>
    <w:uiPriority w:val="99"/>
    <w:pPr>
      <w:spacing w:after="240"/>
      <w:ind w:left="480" w:hanging="480"/>
      <w:jc w:val="both"/>
    </w:pPr>
    <w:rPr>
      <w:kern w:val="0"/>
      <w:szCs w:val="20"/>
      <w:lang w:eastAsia="en-US"/>
      <w14:ligatures w14:val="none"/>
    </w:rPr>
  </w:style>
  <w:style w:type="paragraph" w:styleId="TOAHeading">
    <w:name w:val="toa heading"/>
    <w:basedOn w:val="Normal"/>
    <w:next w:val="Normal"/>
    <w:uiPriority w:val="99"/>
    <w:pPr>
      <w:spacing w:before="120" w:after="240"/>
      <w:jc w:val="both"/>
    </w:pPr>
    <w:rPr>
      <w:rFonts w:ascii="Arial" w:hAnsi="Arial"/>
      <w:b/>
      <w:kern w:val="0"/>
      <w:szCs w:val="20"/>
      <w:lang w:eastAsia="en-US"/>
      <w14:ligatures w14:val="none"/>
    </w:rPr>
  </w:style>
  <w:style w:type="paragraph" w:customStyle="1" w:styleId="Heading">
    <w:name w:val="Heading"/>
    <w:basedOn w:val="Heading1"/>
    <w:pPr>
      <w:tabs>
        <w:tab w:val="num" w:pos="480"/>
        <w:tab w:val="left" w:pos="709"/>
      </w:tabs>
      <w:spacing w:before="240" w:after="40"/>
      <w:ind w:left="480" w:hanging="480"/>
    </w:pPr>
    <w:rPr>
      <w:bCs/>
      <w:color w:val="244061" w:themeColor="accent1" w:themeShade="80"/>
      <w:kern w:val="0"/>
      <w:sz w:val="22"/>
      <w:szCs w:val="22"/>
      <w:lang w:eastAsia="en-US"/>
      <w14:ligatures w14:val="none"/>
    </w:rPr>
  </w:style>
  <w:style w:type="paragraph" w:customStyle="1" w:styleId="Normal1">
    <w:name w:val="Normal1"/>
    <w:basedOn w:val="Normal"/>
    <w:pPr>
      <w:spacing w:before="100" w:beforeAutospacing="1" w:after="100" w:afterAutospacing="1"/>
    </w:pPr>
    <w:rPr>
      <w:kern w:val="0"/>
      <w14:ligatures w14:val="none"/>
    </w:rPr>
  </w:style>
  <w:style w:type="paragraph" w:styleId="NormalWeb">
    <w:name w:val="Normal (Web)"/>
    <w:basedOn w:val="Normal"/>
    <w:uiPriority w:val="99"/>
    <w:pPr>
      <w:spacing w:before="60" w:after="60"/>
    </w:pPr>
    <w:rPr>
      <w:kern w:val="0"/>
      <w:sz w:val="20"/>
      <w:szCs w:val="20"/>
      <w14:ligatures w14:val="none"/>
    </w:rPr>
  </w:style>
  <w:style w:type="paragraph" w:customStyle="1" w:styleId="EntInstit">
    <w:name w:val="EntInstit"/>
    <w:basedOn w:val="NormalConseil"/>
    <w:pPr>
      <w:jc w:val="right"/>
    </w:pPr>
    <w:rPr>
      <w:b/>
    </w:rPr>
  </w:style>
  <w:style w:type="paragraph" w:customStyle="1" w:styleId="NormalConseil">
    <w:name w:val="NormalConseil"/>
    <w:basedOn w:val="Normal"/>
    <w:rPr>
      <w:kern w:val="0"/>
      <w:szCs w:val="20"/>
      <w:lang w:eastAsia="fr-BE"/>
      <w14:ligatures w14:val="none"/>
    </w:rPr>
  </w:style>
  <w:style w:type="paragraph" w:customStyle="1" w:styleId="EntRefer">
    <w:name w:val="EntRefer"/>
    <w:basedOn w:val="NormalConseil"/>
    <w:rPr>
      <w:b/>
    </w:rPr>
  </w:style>
  <w:style w:type="paragraph" w:customStyle="1" w:styleId="EntEmet">
    <w:name w:val="EntEmet"/>
    <w:basedOn w:val="NormalConseil"/>
    <w:pPr>
      <w:tabs>
        <w:tab w:val="left" w:pos="284"/>
        <w:tab w:val="left" w:pos="567"/>
        <w:tab w:val="left" w:pos="851"/>
        <w:tab w:val="left" w:pos="1134"/>
        <w:tab w:val="left" w:pos="1418"/>
      </w:tabs>
      <w:spacing w:before="40"/>
    </w:pPr>
  </w:style>
  <w:style w:type="paragraph" w:customStyle="1" w:styleId="EntLogo">
    <w:name w:val="EntLogo"/>
    <w:basedOn w:val="NormalConseil"/>
    <w:next w:val="EntInstit"/>
    <w:pPr>
      <w:spacing w:line="360" w:lineRule="auto"/>
    </w:pPr>
    <w:rPr>
      <w:b/>
    </w:rPr>
  </w:style>
  <w:style w:type="paragraph" w:customStyle="1" w:styleId="FooterConseil">
    <w:name w:val="FooterConseil"/>
    <w:basedOn w:val="NormalConseil"/>
    <w:pPr>
      <w:tabs>
        <w:tab w:val="center" w:pos="4820"/>
        <w:tab w:val="center" w:pos="7371"/>
        <w:tab w:val="right" w:pos="9639"/>
      </w:tabs>
    </w:pPr>
  </w:style>
  <w:style w:type="character" w:styleId="Strong">
    <w:name w:val="Strong"/>
    <w:basedOn w:val="DefaultParagraphFont"/>
    <w:uiPriority w:val="22"/>
    <w:qFormat/>
    <w:rPr>
      <w:b/>
      <w:bCs/>
    </w:rPr>
  </w:style>
  <w:style w:type="paragraph" w:customStyle="1" w:styleId="Annexetitrefichefinacte">
    <w:name w:val="Annexe titre (fiche fin. acte)"/>
    <w:basedOn w:val="Normal"/>
    <w:next w:val="Normal"/>
    <w:pPr>
      <w:spacing w:before="120" w:after="120"/>
      <w:jc w:val="center"/>
    </w:pPr>
    <w:rPr>
      <w:b/>
      <w:kern w:val="0"/>
      <w:u w:val="single"/>
      <w:lang w:eastAsia="de-DE"/>
      <w14:ligatures w14:val="none"/>
    </w:rPr>
  </w:style>
  <w:style w:type="character" w:customStyle="1" w:styleId="Text1Char">
    <w:name w:val="Text 1 Char"/>
    <w:link w:val="Text1"/>
    <w:locked/>
    <w:rPr>
      <w:rFonts w:eastAsia="MS PGothic"/>
      <w:noProof/>
      <w:kern w:val="0"/>
      <w:sz w:val="24"/>
      <w:szCs w:val="24"/>
      <w:lang w:val="fr-FR" w:eastAsia="en-US"/>
      <w14:ligatures w14:val="none"/>
    </w:rPr>
  </w:style>
  <w:style w:type="paragraph" w:customStyle="1" w:styleId="Declassification">
    <w:name w:val="Declassification"/>
    <w:basedOn w:val="Normal"/>
    <w:next w:val="Normal"/>
    <w:pPr>
      <w:jc w:val="both"/>
    </w:pPr>
    <w:rPr>
      <w:kern w:val="0"/>
      <w:szCs w:val="22"/>
      <w:lang w:eastAsia="en-US"/>
      <w14:ligatures w14:val="none"/>
    </w:rPr>
  </w:style>
  <w:style w:type="paragraph" w:styleId="Revision">
    <w:name w:val="Revision"/>
    <w:hidden/>
    <w:uiPriority w:val="99"/>
    <w:semiHidden/>
    <w:rPr>
      <w:kern w:val="0"/>
      <w:sz w:val="24"/>
      <w:szCs w:val="24"/>
      <w14:ligatures w14:val="none"/>
    </w:rPr>
  </w:style>
  <w:style w:type="paragraph" w:customStyle="1" w:styleId="SecurityMarking">
    <w:name w:val="SecurityMarking"/>
    <w:basedOn w:val="Normal"/>
    <w:pPr>
      <w:spacing w:line="259" w:lineRule="auto"/>
      <w:ind w:left="5103"/>
    </w:pPr>
    <w:rPr>
      <w:kern w:val="0"/>
      <w:sz w:val="28"/>
      <w:szCs w:val="22"/>
      <w:lang w:eastAsia="en-US"/>
      <w14:ligatures w14:val="none"/>
    </w:rPr>
  </w:style>
  <w:style w:type="paragraph" w:customStyle="1" w:styleId="DateMarking">
    <w:name w:val="DateMarking"/>
    <w:basedOn w:val="Normal"/>
    <w:pPr>
      <w:spacing w:line="259" w:lineRule="auto"/>
      <w:ind w:left="5103"/>
    </w:pPr>
    <w:rPr>
      <w:i/>
      <w:kern w:val="0"/>
      <w:sz w:val="28"/>
      <w:szCs w:val="22"/>
      <w:lang w:eastAsia="en-US"/>
      <w14:ligatures w14:val="none"/>
    </w:rPr>
  </w:style>
  <w:style w:type="paragraph" w:customStyle="1" w:styleId="ReleasableTo">
    <w:name w:val="ReleasableTo"/>
    <w:basedOn w:val="Normal"/>
    <w:pPr>
      <w:spacing w:line="259" w:lineRule="auto"/>
      <w:ind w:left="5103"/>
    </w:pPr>
    <w:rPr>
      <w:i/>
      <w:kern w:val="0"/>
      <w:sz w:val="28"/>
      <w:szCs w:val="22"/>
      <w:lang w:eastAsia="en-US"/>
      <w14:ligatures w14:val="none"/>
    </w:rPr>
  </w:style>
  <w:style w:type="numbering" w:styleId="111111">
    <w:name w:val="Outline List 2"/>
    <w:basedOn w:val="NoList"/>
    <w:uiPriority w:val="99"/>
    <w:semiHidden/>
    <w:unhideWhenUsed/>
    <w:pPr>
      <w:numPr>
        <w:numId w:val="17"/>
      </w:numPr>
    </w:pPr>
  </w:style>
  <w:style w:type="paragraph" w:customStyle="1" w:styleId="title-fam-member-star">
    <w:name w:val="title-fam-member-star"/>
    <w:basedOn w:val="Normal"/>
    <w:pPr>
      <w:spacing w:before="100" w:beforeAutospacing="1" w:after="100" w:afterAutospacing="1"/>
    </w:pPr>
    <w:rPr>
      <w:kern w:val="0"/>
      <w:lang w:eastAsia="en-US"/>
      <w14:ligatures w14:val="none"/>
    </w:rPr>
  </w:style>
  <w:style w:type="paragraph" w:customStyle="1" w:styleId="toc-1">
    <w:name w:val="toc-1"/>
    <w:basedOn w:val="Normal"/>
    <w:pPr>
      <w:spacing w:before="100" w:beforeAutospacing="1" w:after="100" w:afterAutospacing="1"/>
    </w:pPr>
    <w:rPr>
      <w:kern w:val="0"/>
      <w:lang w:eastAsia="en-US"/>
      <w14:ligatures w14:val="none"/>
    </w:rPr>
  </w:style>
  <w:style w:type="paragraph" w:customStyle="1" w:styleId="toc-2">
    <w:name w:val="toc-2"/>
    <w:basedOn w:val="Normal"/>
    <w:pPr>
      <w:spacing w:before="100" w:beforeAutospacing="1" w:after="100" w:afterAutospacing="1"/>
    </w:pPr>
    <w:rPr>
      <w:kern w:val="0"/>
      <w:lang w:eastAsia="en-US"/>
      <w14:ligatures w14:val="none"/>
    </w:rPr>
  </w:style>
  <w:style w:type="character" w:styleId="EndnoteReference">
    <w:name w:val="endnote reference"/>
    <w:basedOn w:val="DefaultParagraphFont"/>
    <w:uiPriority w:val="99"/>
    <w:semiHidden/>
    <w:unhideWhenUsed/>
    <w:rPr>
      <w:vertAlign w:val="superscript"/>
    </w:rPr>
  </w:style>
  <w:style w:type="table" w:customStyle="1" w:styleId="TableGrid1">
    <w:name w:val="Table Grid1"/>
    <w:basedOn w:val="TableNormal"/>
    <w:next w:val="TableGrid"/>
    <w:uiPriority w:val="39"/>
    <w:pPr>
      <w:spacing w:before="120" w:after="12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NoSpacing">
    <w:name w:val="No Spacing"/>
    <w:uiPriority w:val="1"/>
    <w:qFormat/>
    <w:rPr>
      <w:rFonts w:asciiTheme="minorHAnsi" w:eastAsiaTheme="minorEastAsia" w:hAnsiTheme="minorHAnsi" w:cstheme="minorBidi"/>
      <w:kern w:val="0"/>
      <w:sz w:val="22"/>
      <w:szCs w:val="22"/>
      <w:lang w:eastAsia="en-US"/>
      <w14:ligatures w14:val="none"/>
    </w:rPr>
  </w:style>
  <w:style w:type="character" w:styleId="SubtleEmphasis">
    <w:name w:val="Subtle Emphasis"/>
    <w:basedOn w:val="DefaultParagraphFont"/>
    <w:uiPriority w:val="19"/>
    <w:qFormat/>
    <w:rPr>
      <w:i/>
      <w:iCs/>
      <w:color w:val="595959" w:themeColor="text1" w:themeTint="A6"/>
    </w:rPr>
  </w:style>
  <w:style w:type="character" w:styleId="SubtleReference">
    <w:name w:val="Subtle Reference"/>
    <w:basedOn w:val="DefaultParagraphFont"/>
    <w:uiPriority w:val="31"/>
    <w:qFormat/>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Pr>
      <w:b/>
      <w:bCs/>
      <w:smallCaps/>
      <w:spacing w:val="10"/>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pPr>
    <w:rPr>
      <w:kern w:val="0"/>
      <w:lang w:eastAsia="en-IE"/>
      <w14:ligatures w14:val="none"/>
    </w:rPr>
  </w:style>
  <w:style w:type="character" w:customStyle="1" w:styleId="normaltextrun">
    <w:name w:val="normaltextrun"/>
    <w:basedOn w:val="DefaultParagraphFont"/>
  </w:style>
  <w:style w:type="character" w:customStyle="1" w:styleId="eop">
    <w:name w:val="eop"/>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emf"/><Relationship Id="rId3" Type="http://schemas.openxmlformats.org/officeDocument/2006/relationships/styles" Target="styles.xml"/><Relationship Id="rId21" Type="http://schemas.openxmlformats.org/officeDocument/2006/relationships/image" Target="media/image2.emf"/><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emf"/><Relationship Id="rId33"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emf"/><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emf"/><Relationship Id="rId28" Type="http://schemas.openxmlformats.org/officeDocument/2006/relationships/image" Target="media/image9.emf"/><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emf"/><Relationship Id="rId27" Type="http://schemas.openxmlformats.org/officeDocument/2006/relationships/image" Target="media/image8.emf"/><Relationship Id="rId30" Type="http://schemas.openxmlformats.org/officeDocument/2006/relationships/header" Target="header8.xml"/><Relationship Id="rId35" Type="http://schemas.openxmlformats.org/officeDocument/2006/relationships/fontTable" Target="fontTable.xml"/><Relationship Id="rId8" Type="http://schemas.openxmlformats.org/officeDocument/2006/relationships/image" Target="media/image1.emf"/></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14/809/oj" TargetMode="External"/><Relationship Id="rId3" Type="http://schemas.openxmlformats.org/officeDocument/2006/relationships/hyperlink" Target="http://data.europa.eu/eli/reg_impl/2021/128/oj" TargetMode="External"/><Relationship Id="rId7" Type="http://schemas.openxmlformats.org/officeDocument/2006/relationships/hyperlink" Target="http://data.europa.eu/eli/reg_del/2014/640/oj" TargetMode="External"/><Relationship Id="rId2" Type="http://schemas.openxmlformats.org/officeDocument/2006/relationships/hyperlink" Target="http://data.europa.eu/eli/reg/2024/765/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reg/2013/1307/oj" TargetMode="External"/><Relationship Id="rId11" Type="http://schemas.openxmlformats.org/officeDocument/2006/relationships/hyperlink" Target="https://commission.europa.eu/publications/annual-activity-report-2025-agriculture-and-rural-development_en" TargetMode="External"/><Relationship Id="rId5" Type="http://schemas.openxmlformats.org/officeDocument/2006/relationships/hyperlink" Target="http://data.europa.eu/eli/reg/2013/1306/oj" TargetMode="External"/><Relationship Id="rId10" Type="http://schemas.openxmlformats.org/officeDocument/2006/relationships/hyperlink" Target="http://data.europa.eu/eli/reg_impl/2022/1173/oj" TargetMode="External"/><Relationship Id="rId4" Type="http://schemas.openxmlformats.org/officeDocument/2006/relationships/hyperlink" Target="http://data.europa.eu/eli/reg/2021/2116/oj" TargetMode="External"/><Relationship Id="rId9" Type="http://schemas.openxmlformats.org/officeDocument/2006/relationships/hyperlink" Target="http://data.europa.eu/eli/reg_del/2022/11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88F476-5230-425C-A25F-194A57A15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4280</Words>
  <Characters>24396</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5</cp:revision>
  <cp:lastPrinted>2026-06-16T18:31:00Z</cp:lastPrinted>
  <dcterms:created xsi:type="dcterms:W3CDTF">2026-08-28T08:46:00Z</dcterms:created>
  <dcterms:modified xsi:type="dcterms:W3CDTF">2026-09-03T12:19:00Z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2026-03-26T14:29:44Z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70880732-fe59-495c-8380-73da9b2cb5fa</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ies>
</file>