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Pagedecouverture"/>
        <w:rPr>
          <w:noProof/>
        </w:rPr>
      </w:pPr>
      <w:bookmarkStart w:id="0" w:name="LW_BM_COVERPAGE"/>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A93A59CC-33C2-4B88-929B-BAE6FDCAB59C" style="width:455.25pt;height:327.75pt">
            <v:imagedata r:id="rId8" o:title=""/>
          </v:shape>
        </w:pict>
      </w:r>
    </w:p>
    <w:bookmarkEnd w:id="0"/>
    <w:p>
      <w:pPr>
        <w:rPr>
          <w:noProof/>
        </w:rPr>
        <w:sectPr>
          <w:headerReference w:type="even" r:id="rId9"/>
          <w:headerReference w:type="default" r:id="rId10"/>
          <w:footerReference w:type="even" r:id="rId11"/>
          <w:footerReference w:type="default" r:id="rId12"/>
          <w:headerReference w:type="first" r:id="rId13"/>
          <w:footerReference w:type="first" r:id="rId14"/>
          <w:pgSz w:w="11906" w:h="16838"/>
          <w:pgMar w:top="1134" w:right="1417" w:bottom="1134" w:left="1417" w:header="709" w:footer="709" w:gutter="0"/>
          <w:pgNumType w:start="0"/>
          <w:cols w:space="720"/>
          <w:docGrid w:linePitch="360"/>
        </w:sectPr>
      </w:pPr>
    </w:p>
    <w:p>
      <w:pPr>
        <w:pStyle w:val="TOCHeading"/>
        <w:spacing w:after="240"/>
        <w:jc w:val="center"/>
        <w:rPr>
          <w:rFonts w:ascii="Times New Roman" w:hAnsi="Times New Roman" w:cs="Times New Roman"/>
          <w:b/>
          <w:bCs/>
          <w:noProof/>
          <w:color w:val="auto"/>
          <w:sz w:val="24"/>
          <w:szCs w:val="24"/>
        </w:rPr>
      </w:pPr>
      <w:r>
        <w:rPr>
          <w:rFonts w:ascii="Times New Roman" w:hAnsi="Times New Roman"/>
          <w:b/>
          <w:noProof/>
          <w:color w:val="auto"/>
          <w:sz w:val="24"/>
        </w:rPr>
        <w:lastRenderedPageBreak/>
        <w:t>CUPRINS</w:t>
      </w:r>
    </w:p>
    <w:p>
      <w:pPr>
        <w:pStyle w:val="TOC1"/>
        <w:rPr>
          <w:rFonts w:asciiTheme="minorHAnsi" w:eastAsiaTheme="minorEastAsia" w:hAnsiTheme="minorHAnsi" w:cstheme="minorBidi"/>
          <w:noProof/>
          <w:kern w:val="2"/>
          <w:lang w:eastAsia="en-IE"/>
          <w14:ligatures w14:val="standardContextual"/>
        </w:rPr>
      </w:pPr>
      <w:r>
        <w:rPr>
          <w:noProof/>
        </w:rPr>
        <w:fldChar w:fldCharType="begin"/>
      </w:r>
      <w:r>
        <w:rPr>
          <w:noProof/>
        </w:rPr>
        <w:instrText>TOC \o "1-4" \z \u \h</w:instrText>
      </w:r>
      <w:r>
        <w:rPr>
          <w:noProof/>
        </w:rPr>
        <w:fldChar w:fldCharType="separate"/>
      </w:r>
      <w:hyperlink w:anchor="_Toc238729357" w:history="1">
        <w:r>
          <w:rPr>
            <w:rStyle w:val="Hyperlink"/>
            <w:noProof/>
          </w:rPr>
          <w:t>1.</w:t>
        </w:r>
        <w:r>
          <w:rPr>
            <w:rFonts w:asciiTheme="minorHAnsi" w:eastAsiaTheme="minorEastAsia" w:hAnsiTheme="minorHAnsi" w:cstheme="minorBidi"/>
            <w:noProof/>
            <w:kern w:val="2"/>
            <w:lang w:eastAsia="en-IE"/>
            <w14:ligatures w14:val="standardContextual"/>
          </w:rPr>
          <w:tab/>
        </w:r>
        <w:r>
          <w:rPr>
            <w:rStyle w:val="Hyperlink"/>
            <w:noProof/>
          </w:rPr>
          <w:t>PROCEDURA BUGETARĂ</w:t>
        </w:r>
        <w:r>
          <w:rPr>
            <w:noProof/>
            <w:webHidden/>
          </w:rPr>
          <w:tab/>
        </w:r>
        <w:r>
          <w:rPr>
            <w:noProof/>
            <w:webHidden/>
          </w:rPr>
          <w:fldChar w:fldCharType="begin"/>
        </w:r>
        <w:r>
          <w:rPr>
            <w:noProof/>
            <w:webHidden/>
          </w:rPr>
          <w:instrText xml:space="preserve"> PAGEREF _Toc238729357 \h </w:instrText>
        </w:r>
        <w:r>
          <w:rPr>
            <w:noProof/>
            <w:webHidden/>
          </w:rPr>
        </w:r>
        <w:r>
          <w:rPr>
            <w:noProof/>
            <w:webHidden/>
          </w:rPr>
          <w:fldChar w:fldCharType="separate"/>
        </w:r>
        <w:r>
          <w:rPr>
            <w:noProof/>
            <w:webHidden/>
          </w:rPr>
          <w:t>2</w:t>
        </w:r>
        <w:r>
          <w:rPr>
            <w:noProof/>
            <w:webHidden/>
          </w:rPr>
          <w:fldChar w:fldCharType="end"/>
        </w:r>
      </w:hyperlink>
    </w:p>
    <w:p>
      <w:pPr>
        <w:pStyle w:val="TOC2"/>
        <w:rPr>
          <w:rFonts w:asciiTheme="minorHAnsi" w:eastAsiaTheme="minorEastAsia" w:hAnsiTheme="minorHAnsi" w:cstheme="minorBidi"/>
          <w:noProof/>
          <w:kern w:val="2"/>
          <w:lang w:eastAsia="en-IE"/>
          <w14:ligatures w14:val="standardContextual"/>
        </w:rPr>
      </w:pPr>
      <w:hyperlink w:anchor="_Toc238729358" w:history="1">
        <w:r>
          <w:rPr>
            <w:rStyle w:val="Hyperlink"/>
            <w:noProof/>
          </w:rPr>
          <w:t>1.1.</w:t>
        </w:r>
        <w:r>
          <w:rPr>
            <w:rFonts w:asciiTheme="minorHAnsi" w:eastAsiaTheme="minorEastAsia" w:hAnsiTheme="minorHAnsi" w:cstheme="minorBidi"/>
            <w:noProof/>
            <w:kern w:val="2"/>
            <w:lang w:eastAsia="en-IE"/>
            <w14:ligatures w14:val="standardContextual"/>
          </w:rPr>
          <w:tab/>
        </w:r>
        <w:r>
          <w:rPr>
            <w:rStyle w:val="Hyperlink"/>
            <w:noProof/>
          </w:rPr>
          <w:t>Cadrul financiar 2021-2027</w:t>
        </w:r>
        <w:r>
          <w:rPr>
            <w:noProof/>
            <w:webHidden/>
          </w:rPr>
          <w:tab/>
        </w:r>
        <w:r>
          <w:rPr>
            <w:noProof/>
            <w:webHidden/>
          </w:rPr>
          <w:fldChar w:fldCharType="begin"/>
        </w:r>
        <w:r>
          <w:rPr>
            <w:noProof/>
            <w:webHidden/>
          </w:rPr>
          <w:instrText xml:space="preserve"> PAGEREF _Toc238729358 \h </w:instrText>
        </w:r>
        <w:r>
          <w:rPr>
            <w:noProof/>
            <w:webHidden/>
          </w:rPr>
        </w:r>
        <w:r>
          <w:rPr>
            <w:noProof/>
            <w:webHidden/>
          </w:rPr>
          <w:fldChar w:fldCharType="separate"/>
        </w:r>
        <w:r>
          <w:rPr>
            <w:noProof/>
            <w:webHidden/>
          </w:rPr>
          <w:t>2</w:t>
        </w:r>
        <w:r>
          <w:rPr>
            <w:noProof/>
            <w:webHidden/>
          </w:rPr>
          <w:fldChar w:fldCharType="end"/>
        </w:r>
      </w:hyperlink>
    </w:p>
    <w:p>
      <w:pPr>
        <w:pStyle w:val="TOC2"/>
        <w:rPr>
          <w:rFonts w:asciiTheme="minorHAnsi" w:eastAsiaTheme="minorEastAsia" w:hAnsiTheme="minorHAnsi" w:cstheme="minorBidi"/>
          <w:noProof/>
          <w:kern w:val="2"/>
          <w:lang w:eastAsia="en-IE"/>
          <w14:ligatures w14:val="standardContextual"/>
        </w:rPr>
      </w:pPr>
      <w:hyperlink w:anchor="_Toc238729359" w:history="1">
        <w:r>
          <w:rPr>
            <w:rStyle w:val="Hyperlink"/>
            <w:noProof/>
          </w:rPr>
          <w:t>1.2.</w:t>
        </w:r>
        <w:r>
          <w:rPr>
            <w:rFonts w:asciiTheme="minorHAnsi" w:eastAsiaTheme="minorEastAsia" w:hAnsiTheme="minorHAnsi" w:cstheme="minorBidi"/>
            <w:noProof/>
            <w:kern w:val="2"/>
            <w:lang w:eastAsia="en-IE"/>
            <w14:ligatures w14:val="standardContextual"/>
          </w:rPr>
          <w:tab/>
        </w:r>
        <w:r>
          <w:rPr>
            <w:rStyle w:val="Hyperlink"/>
            <w:noProof/>
          </w:rPr>
          <w:t>Proiectul de buget pentru 2025, scrisoarea rectificativă nr. 1/2025 și adoptarea bugetului pentru 2025</w:t>
        </w:r>
        <w:r>
          <w:rPr>
            <w:noProof/>
            <w:webHidden/>
          </w:rPr>
          <w:tab/>
        </w:r>
        <w:r>
          <w:rPr>
            <w:noProof/>
            <w:webHidden/>
          </w:rPr>
          <w:fldChar w:fldCharType="begin"/>
        </w:r>
        <w:r>
          <w:rPr>
            <w:noProof/>
            <w:webHidden/>
          </w:rPr>
          <w:instrText xml:space="preserve"> PAGEREF _Toc238729359 \h </w:instrText>
        </w:r>
        <w:r>
          <w:rPr>
            <w:noProof/>
            <w:webHidden/>
          </w:rPr>
        </w:r>
        <w:r>
          <w:rPr>
            <w:noProof/>
            <w:webHidden/>
          </w:rPr>
          <w:fldChar w:fldCharType="separate"/>
        </w:r>
        <w:r>
          <w:rPr>
            <w:noProof/>
            <w:webHidden/>
          </w:rPr>
          <w:t>3</w:t>
        </w:r>
        <w:r>
          <w:rPr>
            <w:noProof/>
            <w:webHidden/>
          </w:rPr>
          <w:fldChar w:fldCharType="end"/>
        </w:r>
      </w:hyperlink>
    </w:p>
    <w:p>
      <w:pPr>
        <w:pStyle w:val="TOC1"/>
        <w:rPr>
          <w:rFonts w:asciiTheme="minorHAnsi" w:eastAsiaTheme="minorEastAsia" w:hAnsiTheme="minorHAnsi" w:cstheme="minorBidi"/>
          <w:noProof/>
          <w:kern w:val="2"/>
          <w:lang w:eastAsia="en-IE"/>
          <w14:ligatures w14:val="standardContextual"/>
        </w:rPr>
      </w:pPr>
      <w:hyperlink w:anchor="_Toc238729360" w:history="1">
        <w:r>
          <w:rPr>
            <w:rStyle w:val="Hyperlink"/>
            <w:noProof/>
          </w:rPr>
          <w:t>2.</w:t>
        </w:r>
        <w:r>
          <w:rPr>
            <w:rFonts w:asciiTheme="minorHAnsi" w:eastAsiaTheme="minorEastAsia" w:hAnsiTheme="minorHAnsi" w:cstheme="minorBidi"/>
            <w:noProof/>
            <w:kern w:val="2"/>
            <w:lang w:eastAsia="en-IE"/>
            <w14:ligatures w14:val="standardContextual"/>
          </w:rPr>
          <w:tab/>
        </w:r>
        <w:r>
          <w:rPr>
            <w:rStyle w:val="Hyperlink"/>
            <w:noProof/>
          </w:rPr>
          <w:t>EXECUȚIA BUGETULUI 2025 PENTRU FEGA ȘI FEADR</w:t>
        </w:r>
        <w:r>
          <w:rPr>
            <w:noProof/>
            <w:webHidden/>
          </w:rPr>
          <w:tab/>
        </w:r>
        <w:r>
          <w:rPr>
            <w:noProof/>
            <w:webHidden/>
          </w:rPr>
          <w:fldChar w:fldCharType="begin"/>
        </w:r>
        <w:r>
          <w:rPr>
            <w:noProof/>
            <w:webHidden/>
          </w:rPr>
          <w:instrText xml:space="preserve"> PAGEREF _Toc238729360 \h </w:instrText>
        </w:r>
        <w:r>
          <w:rPr>
            <w:noProof/>
            <w:webHidden/>
          </w:rPr>
        </w:r>
        <w:r>
          <w:rPr>
            <w:noProof/>
            <w:webHidden/>
          </w:rPr>
          <w:fldChar w:fldCharType="separate"/>
        </w:r>
        <w:r>
          <w:rPr>
            <w:noProof/>
            <w:webHidden/>
          </w:rPr>
          <w:t>4</w:t>
        </w:r>
        <w:r>
          <w:rPr>
            <w:noProof/>
            <w:webHidden/>
          </w:rPr>
          <w:fldChar w:fldCharType="end"/>
        </w:r>
      </w:hyperlink>
    </w:p>
    <w:p>
      <w:pPr>
        <w:pStyle w:val="TOC2"/>
        <w:rPr>
          <w:rFonts w:asciiTheme="minorHAnsi" w:eastAsiaTheme="minorEastAsia" w:hAnsiTheme="minorHAnsi" w:cstheme="minorBidi"/>
          <w:noProof/>
          <w:kern w:val="2"/>
          <w:lang w:eastAsia="en-IE"/>
          <w14:ligatures w14:val="standardContextual"/>
        </w:rPr>
      </w:pPr>
      <w:hyperlink w:anchor="_Toc238729361" w:history="1">
        <w:r>
          <w:rPr>
            <w:rStyle w:val="Hyperlink"/>
            <w:noProof/>
          </w:rPr>
          <w:t>2.1.</w:t>
        </w:r>
        <w:r>
          <w:rPr>
            <w:rFonts w:asciiTheme="minorHAnsi" w:eastAsiaTheme="minorEastAsia" w:hAnsiTheme="minorHAnsi" w:cstheme="minorBidi"/>
            <w:noProof/>
            <w:kern w:val="2"/>
            <w:lang w:eastAsia="en-IE"/>
            <w14:ligatures w14:val="standardContextual"/>
          </w:rPr>
          <w:tab/>
        </w:r>
        <w:r>
          <w:rPr>
            <w:rStyle w:val="Hyperlink"/>
            <w:noProof/>
          </w:rPr>
          <w:t>Fondul european de garantare agricolă (FEGA)</w:t>
        </w:r>
        <w:r>
          <w:rPr>
            <w:noProof/>
            <w:webHidden/>
          </w:rPr>
          <w:tab/>
        </w:r>
        <w:r>
          <w:rPr>
            <w:noProof/>
            <w:webHidden/>
          </w:rPr>
          <w:fldChar w:fldCharType="begin"/>
        </w:r>
        <w:r>
          <w:rPr>
            <w:noProof/>
            <w:webHidden/>
          </w:rPr>
          <w:instrText xml:space="preserve"> PAGEREF _Toc238729361 \h </w:instrText>
        </w:r>
        <w:r>
          <w:rPr>
            <w:noProof/>
            <w:webHidden/>
          </w:rPr>
        </w:r>
        <w:r>
          <w:rPr>
            <w:noProof/>
            <w:webHidden/>
          </w:rPr>
          <w:fldChar w:fldCharType="separate"/>
        </w:r>
        <w:r>
          <w:rPr>
            <w:noProof/>
            <w:webHidden/>
          </w:rPr>
          <w:t>4</w:t>
        </w:r>
        <w:r>
          <w:rPr>
            <w:noProof/>
            <w:webHidden/>
          </w:rPr>
          <w:fldChar w:fldCharType="end"/>
        </w:r>
      </w:hyperlink>
    </w:p>
    <w:p>
      <w:pPr>
        <w:pStyle w:val="TOC2"/>
        <w:rPr>
          <w:rFonts w:asciiTheme="minorHAnsi" w:eastAsiaTheme="minorEastAsia" w:hAnsiTheme="minorHAnsi" w:cstheme="minorBidi"/>
          <w:noProof/>
          <w:kern w:val="2"/>
          <w:lang w:eastAsia="en-IE"/>
          <w14:ligatures w14:val="standardContextual"/>
        </w:rPr>
      </w:pPr>
      <w:hyperlink w:anchor="_Toc238729362" w:history="1">
        <w:r>
          <w:rPr>
            <w:rStyle w:val="Hyperlink"/>
            <w:noProof/>
          </w:rPr>
          <w:t>2.1.1.</w:t>
        </w:r>
        <w:r>
          <w:rPr>
            <w:rFonts w:asciiTheme="minorHAnsi" w:eastAsiaTheme="minorEastAsia" w:hAnsiTheme="minorHAnsi" w:cstheme="minorBidi"/>
            <w:noProof/>
            <w:kern w:val="2"/>
            <w:lang w:eastAsia="en-IE"/>
            <w14:ligatures w14:val="standardContextual"/>
          </w:rPr>
          <w:tab/>
        </w:r>
        <w:r>
          <w:rPr>
            <w:rStyle w:val="Hyperlink"/>
            <w:noProof/>
          </w:rPr>
          <w:t>Plăți lunare</w:t>
        </w:r>
        <w:r>
          <w:rPr>
            <w:noProof/>
            <w:webHidden/>
          </w:rPr>
          <w:tab/>
        </w:r>
        <w:r>
          <w:rPr>
            <w:noProof/>
            <w:webHidden/>
          </w:rPr>
          <w:fldChar w:fldCharType="begin"/>
        </w:r>
        <w:r>
          <w:rPr>
            <w:noProof/>
            <w:webHidden/>
          </w:rPr>
          <w:instrText xml:space="preserve"> PAGEREF _Toc238729362 \h </w:instrText>
        </w:r>
        <w:r>
          <w:rPr>
            <w:noProof/>
            <w:webHidden/>
          </w:rPr>
        </w:r>
        <w:r>
          <w:rPr>
            <w:noProof/>
            <w:webHidden/>
          </w:rPr>
          <w:fldChar w:fldCharType="separate"/>
        </w:r>
        <w:r>
          <w:rPr>
            <w:noProof/>
            <w:webHidden/>
          </w:rPr>
          <w:t>4</w:t>
        </w:r>
        <w:r>
          <w:rPr>
            <w:noProof/>
            <w:webHidden/>
          </w:rPr>
          <w:fldChar w:fldCharType="end"/>
        </w:r>
      </w:hyperlink>
    </w:p>
    <w:p>
      <w:pPr>
        <w:pStyle w:val="TOC2"/>
        <w:rPr>
          <w:rFonts w:asciiTheme="minorHAnsi" w:eastAsiaTheme="minorEastAsia" w:hAnsiTheme="minorHAnsi" w:cstheme="minorBidi"/>
          <w:noProof/>
          <w:kern w:val="2"/>
          <w:lang w:eastAsia="en-IE"/>
          <w14:ligatures w14:val="standardContextual"/>
        </w:rPr>
      </w:pPr>
      <w:hyperlink w:anchor="_Toc238729363" w:history="1">
        <w:r>
          <w:rPr>
            <w:rStyle w:val="Hyperlink"/>
            <w:noProof/>
          </w:rPr>
          <w:t>2.1.2.</w:t>
        </w:r>
        <w:r>
          <w:rPr>
            <w:rFonts w:asciiTheme="minorHAnsi" w:eastAsiaTheme="minorEastAsia" w:hAnsiTheme="minorHAnsi" w:cstheme="minorBidi"/>
            <w:noProof/>
            <w:kern w:val="2"/>
            <w:lang w:eastAsia="en-IE"/>
            <w14:ligatures w14:val="standardContextual"/>
          </w:rPr>
          <w:tab/>
        </w:r>
        <w:r>
          <w:rPr>
            <w:rStyle w:val="Hyperlink"/>
            <w:noProof/>
          </w:rPr>
          <w:t>Reduceri ale plăților lunare</w:t>
        </w:r>
        <w:r>
          <w:rPr>
            <w:noProof/>
            <w:webHidden/>
          </w:rPr>
          <w:tab/>
        </w:r>
        <w:r>
          <w:rPr>
            <w:noProof/>
            <w:webHidden/>
          </w:rPr>
          <w:fldChar w:fldCharType="begin"/>
        </w:r>
        <w:r>
          <w:rPr>
            <w:noProof/>
            <w:webHidden/>
          </w:rPr>
          <w:instrText xml:space="preserve"> PAGEREF _Toc238729363 \h </w:instrText>
        </w:r>
        <w:r>
          <w:rPr>
            <w:noProof/>
            <w:webHidden/>
          </w:rPr>
        </w:r>
        <w:r>
          <w:rPr>
            <w:noProof/>
            <w:webHidden/>
          </w:rPr>
          <w:fldChar w:fldCharType="separate"/>
        </w:r>
        <w:r>
          <w:rPr>
            <w:noProof/>
            <w:webHidden/>
          </w:rPr>
          <w:t>4</w:t>
        </w:r>
        <w:r>
          <w:rPr>
            <w:noProof/>
            <w:webHidden/>
          </w:rPr>
          <w:fldChar w:fldCharType="end"/>
        </w:r>
      </w:hyperlink>
    </w:p>
    <w:p>
      <w:pPr>
        <w:pStyle w:val="TOC2"/>
        <w:rPr>
          <w:rFonts w:asciiTheme="minorHAnsi" w:eastAsiaTheme="minorEastAsia" w:hAnsiTheme="minorHAnsi" w:cstheme="minorBidi"/>
          <w:noProof/>
          <w:kern w:val="2"/>
          <w:lang w:eastAsia="en-IE"/>
          <w14:ligatures w14:val="standardContextual"/>
        </w:rPr>
      </w:pPr>
      <w:hyperlink w:anchor="_Toc238729364" w:history="1">
        <w:r>
          <w:rPr>
            <w:rStyle w:val="Hyperlink"/>
            <w:noProof/>
          </w:rPr>
          <w:t>2.1.3.</w:t>
        </w:r>
        <w:r>
          <w:rPr>
            <w:rFonts w:asciiTheme="minorHAnsi" w:eastAsiaTheme="minorEastAsia" w:hAnsiTheme="minorHAnsi" w:cstheme="minorBidi"/>
            <w:noProof/>
            <w:kern w:val="2"/>
            <w:lang w:eastAsia="en-IE"/>
            <w14:ligatures w14:val="standardContextual"/>
          </w:rPr>
          <w:tab/>
        </w:r>
        <w:r>
          <w:rPr>
            <w:rStyle w:val="Hyperlink"/>
            <w:noProof/>
          </w:rPr>
          <w:t>Cheltuieli în gestiune directă efectuate de Comisie</w:t>
        </w:r>
        <w:r>
          <w:rPr>
            <w:noProof/>
            <w:webHidden/>
          </w:rPr>
          <w:tab/>
        </w:r>
        <w:r>
          <w:rPr>
            <w:noProof/>
            <w:webHidden/>
          </w:rPr>
          <w:fldChar w:fldCharType="begin"/>
        </w:r>
        <w:r>
          <w:rPr>
            <w:noProof/>
            <w:webHidden/>
          </w:rPr>
          <w:instrText xml:space="preserve"> PAGEREF _Toc238729364 \h </w:instrText>
        </w:r>
        <w:r>
          <w:rPr>
            <w:noProof/>
            <w:webHidden/>
          </w:rPr>
        </w:r>
        <w:r>
          <w:rPr>
            <w:noProof/>
            <w:webHidden/>
          </w:rPr>
          <w:fldChar w:fldCharType="separate"/>
        </w:r>
        <w:r>
          <w:rPr>
            <w:noProof/>
            <w:webHidden/>
          </w:rPr>
          <w:t>4</w:t>
        </w:r>
        <w:r>
          <w:rPr>
            <w:noProof/>
            <w:webHidden/>
          </w:rPr>
          <w:fldChar w:fldCharType="end"/>
        </w:r>
      </w:hyperlink>
    </w:p>
    <w:p>
      <w:pPr>
        <w:pStyle w:val="TOC2"/>
        <w:rPr>
          <w:rFonts w:asciiTheme="minorHAnsi" w:eastAsiaTheme="minorEastAsia" w:hAnsiTheme="minorHAnsi" w:cstheme="minorBidi"/>
          <w:noProof/>
          <w:kern w:val="2"/>
          <w:lang w:eastAsia="en-IE"/>
          <w14:ligatures w14:val="standardContextual"/>
        </w:rPr>
      </w:pPr>
      <w:hyperlink w:anchor="_Toc238729365" w:history="1">
        <w:r>
          <w:rPr>
            <w:rStyle w:val="Hyperlink"/>
            <w:noProof/>
          </w:rPr>
          <w:t>2.2.</w:t>
        </w:r>
        <w:r>
          <w:rPr>
            <w:rFonts w:asciiTheme="minorHAnsi" w:eastAsiaTheme="minorEastAsia" w:hAnsiTheme="minorHAnsi" w:cstheme="minorBidi"/>
            <w:noProof/>
            <w:kern w:val="2"/>
            <w:lang w:eastAsia="en-IE"/>
            <w14:ligatures w14:val="standardContextual"/>
          </w:rPr>
          <w:tab/>
        </w:r>
        <w:r>
          <w:rPr>
            <w:rStyle w:val="Hyperlink"/>
            <w:noProof/>
          </w:rPr>
          <w:t>Fondul european agricol pentru dezvoltare rurală (FEADR) și Instrumentul de redresare al Uniunii Europene (EURI)</w:t>
        </w:r>
        <w:r>
          <w:rPr>
            <w:noProof/>
            <w:webHidden/>
          </w:rPr>
          <w:tab/>
        </w:r>
        <w:r>
          <w:rPr>
            <w:noProof/>
            <w:webHidden/>
          </w:rPr>
          <w:fldChar w:fldCharType="begin"/>
        </w:r>
        <w:r>
          <w:rPr>
            <w:noProof/>
            <w:webHidden/>
          </w:rPr>
          <w:instrText xml:space="preserve"> PAGEREF _Toc238729365 \h </w:instrText>
        </w:r>
        <w:r>
          <w:rPr>
            <w:noProof/>
            <w:webHidden/>
          </w:rPr>
        </w:r>
        <w:r>
          <w:rPr>
            <w:noProof/>
            <w:webHidden/>
          </w:rPr>
          <w:fldChar w:fldCharType="separate"/>
        </w:r>
        <w:r>
          <w:rPr>
            <w:noProof/>
            <w:webHidden/>
          </w:rPr>
          <w:t>6</w:t>
        </w:r>
        <w:r>
          <w:rPr>
            <w:noProof/>
            <w:webHidden/>
          </w:rPr>
          <w:fldChar w:fldCharType="end"/>
        </w:r>
      </w:hyperlink>
    </w:p>
    <w:p>
      <w:pPr>
        <w:pStyle w:val="TOC2"/>
        <w:rPr>
          <w:rFonts w:asciiTheme="minorHAnsi" w:eastAsiaTheme="minorEastAsia" w:hAnsiTheme="minorHAnsi" w:cstheme="minorBidi"/>
          <w:noProof/>
          <w:kern w:val="2"/>
          <w:lang w:eastAsia="en-IE"/>
          <w14:ligatures w14:val="standardContextual"/>
        </w:rPr>
      </w:pPr>
      <w:hyperlink w:anchor="_Toc238729366" w:history="1">
        <w:r>
          <w:rPr>
            <w:rStyle w:val="Hyperlink"/>
            <w:noProof/>
          </w:rPr>
          <w:t>2.2.1.</w:t>
        </w:r>
        <w:r>
          <w:rPr>
            <w:rFonts w:asciiTheme="minorHAnsi" w:eastAsiaTheme="minorEastAsia" w:hAnsiTheme="minorHAnsi" w:cstheme="minorBidi"/>
            <w:noProof/>
            <w:kern w:val="2"/>
            <w:lang w:eastAsia="en-IE"/>
            <w14:ligatures w14:val="standardContextual"/>
          </w:rPr>
          <w:tab/>
        </w:r>
        <w:r>
          <w:rPr>
            <w:rStyle w:val="Hyperlink"/>
            <w:noProof/>
          </w:rPr>
          <w:t>Plăți</w:t>
        </w:r>
        <w:r>
          <w:rPr>
            <w:noProof/>
            <w:webHidden/>
          </w:rPr>
          <w:tab/>
        </w:r>
        <w:r>
          <w:rPr>
            <w:noProof/>
            <w:webHidden/>
          </w:rPr>
          <w:fldChar w:fldCharType="begin"/>
        </w:r>
        <w:r>
          <w:rPr>
            <w:noProof/>
            <w:webHidden/>
          </w:rPr>
          <w:instrText xml:space="preserve"> PAGEREF _Toc238729366 \h </w:instrText>
        </w:r>
        <w:r>
          <w:rPr>
            <w:noProof/>
            <w:webHidden/>
          </w:rPr>
        </w:r>
        <w:r>
          <w:rPr>
            <w:noProof/>
            <w:webHidden/>
          </w:rPr>
          <w:fldChar w:fldCharType="separate"/>
        </w:r>
        <w:r>
          <w:rPr>
            <w:noProof/>
            <w:webHidden/>
          </w:rPr>
          <w:t>7</w:t>
        </w:r>
        <w:r>
          <w:rPr>
            <w:noProof/>
            <w:webHidden/>
          </w:rPr>
          <w:fldChar w:fldCharType="end"/>
        </w:r>
      </w:hyperlink>
    </w:p>
    <w:p>
      <w:pPr>
        <w:pStyle w:val="TOC2"/>
        <w:rPr>
          <w:rFonts w:asciiTheme="minorHAnsi" w:eastAsiaTheme="minorEastAsia" w:hAnsiTheme="minorHAnsi" w:cstheme="minorBidi"/>
          <w:noProof/>
          <w:kern w:val="2"/>
          <w:lang w:eastAsia="en-IE"/>
          <w14:ligatures w14:val="standardContextual"/>
        </w:rPr>
      </w:pPr>
      <w:hyperlink w:anchor="_Toc238729367" w:history="1">
        <w:r>
          <w:rPr>
            <w:rStyle w:val="Hyperlink"/>
            <w:noProof/>
          </w:rPr>
          <w:t>2.2.2.</w:t>
        </w:r>
        <w:r>
          <w:rPr>
            <w:rFonts w:asciiTheme="minorHAnsi" w:eastAsiaTheme="minorEastAsia" w:hAnsiTheme="minorHAnsi" w:cstheme="minorBidi"/>
            <w:noProof/>
            <w:kern w:val="2"/>
            <w:lang w:eastAsia="en-IE"/>
            <w14:ligatures w14:val="standardContextual"/>
          </w:rPr>
          <w:tab/>
        </w:r>
        <w:r>
          <w:rPr>
            <w:rStyle w:val="Hyperlink"/>
            <w:noProof/>
          </w:rPr>
          <w:t>Reduceri ale plăților</w:t>
        </w:r>
        <w:r>
          <w:rPr>
            <w:noProof/>
            <w:webHidden/>
          </w:rPr>
          <w:tab/>
        </w:r>
        <w:r>
          <w:rPr>
            <w:noProof/>
            <w:webHidden/>
          </w:rPr>
          <w:fldChar w:fldCharType="begin"/>
        </w:r>
        <w:r>
          <w:rPr>
            <w:noProof/>
            <w:webHidden/>
          </w:rPr>
          <w:instrText xml:space="preserve"> PAGEREF _Toc238729367 \h </w:instrText>
        </w:r>
        <w:r>
          <w:rPr>
            <w:noProof/>
            <w:webHidden/>
          </w:rPr>
        </w:r>
        <w:r>
          <w:rPr>
            <w:noProof/>
            <w:webHidden/>
          </w:rPr>
          <w:fldChar w:fldCharType="separate"/>
        </w:r>
        <w:r>
          <w:rPr>
            <w:noProof/>
            <w:webHidden/>
          </w:rPr>
          <w:t>7</w:t>
        </w:r>
        <w:r>
          <w:rPr>
            <w:noProof/>
            <w:webHidden/>
          </w:rPr>
          <w:fldChar w:fldCharType="end"/>
        </w:r>
      </w:hyperlink>
    </w:p>
    <w:p>
      <w:pPr>
        <w:pStyle w:val="TOC2"/>
        <w:rPr>
          <w:rFonts w:asciiTheme="minorHAnsi" w:eastAsiaTheme="minorEastAsia" w:hAnsiTheme="minorHAnsi" w:cstheme="minorBidi"/>
          <w:noProof/>
          <w:kern w:val="2"/>
          <w:lang w:eastAsia="en-IE"/>
          <w14:ligatures w14:val="standardContextual"/>
        </w:rPr>
      </w:pPr>
      <w:hyperlink w:anchor="_Toc238729368" w:history="1">
        <w:r>
          <w:rPr>
            <w:rStyle w:val="Hyperlink"/>
            <w:noProof/>
          </w:rPr>
          <w:t>2.2.3.</w:t>
        </w:r>
        <w:r>
          <w:rPr>
            <w:rFonts w:asciiTheme="minorHAnsi" w:eastAsiaTheme="minorEastAsia" w:hAnsiTheme="minorHAnsi" w:cstheme="minorBidi"/>
            <w:noProof/>
            <w:kern w:val="2"/>
            <w:lang w:eastAsia="en-IE"/>
            <w14:ligatures w14:val="standardContextual"/>
          </w:rPr>
          <w:tab/>
        </w:r>
        <w:r>
          <w:rPr>
            <w:rStyle w:val="Hyperlink"/>
            <w:noProof/>
          </w:rPr>
          <w:t>Cheltuieli în gestiunea directă a Comisiei</w:t>
        </w:r>
        <w:r>
          <w:rPr>
            <w:noProof/>
            <w:webHidden/>
          </w:rPr>
          <w:tab/>
        </w:r>
        <w:r>
          <w:rPr>
            <w:noProof/>
            <w:webHidden/>
          </w:rPr>
          <w:fldChar w:fldCharType="begin"/>
        </w:r>
        <w:r>
          <w:rPr>
            <w:noProof/>
            <w:webHidden/>
          </w:rPr>
          <w:instrText xml:space="preserve"> PAGEREF _Toc238729368 \h </w:instrText>
        </w:r>
        <w:r>
          <w:rPr>
            <w:noProof/>
            <w:webHidden/>
          </w:rPr>
        </w:r>
        <w:r>
          <w:rPr>
            <w:noProof/>
            <w:webHidden/>
          </w:rPr>
          <w:fldChar w:fldCharType="separate"/>
        </w:r>
        <w:r>
          <w:rPr>
            <w:noProof/>
            <w:webHidden/>
          </w:rPr>
          <w:t>7</w:t>
        </w:r>
        <w:r>
          <w:rPr>
            <w:noProof/>
            <w:webHidden/>
          </w:rPr>
          <w:fldChar w:fldCharType="end"/>
        </w:r>
      </w:hyperlink>
    </w:p>
    <w:p>
      <w:pPr>
        <w:pStyle w:val="TOC1"/>
        <w:rPr>
          <w:rFonts w:asciiTheme="minorHAnsi" w:eastAsiaTheme="minorEastAsia" w:hAnsiTheme="minorHAnsi" w:cstheme="minorBidi"/>
          <w:noProof/>
          <w:kern w:val="2"/>
          <w:lang w:eastAsia="en-IE"/>
          <w14:ligatures w14:val="standardContextual"/>
        </w:rPr>
      </w:pPr>
      <w:hyperlink w:anchor="_Toc238729369" w:history="1">
        <w:r>
          <w:rPr>
            <w:rStyle w:val="Hyperlink"/>
            <w:noProof/>
          </w:rPr>
          <w:t>3.</w:t>
        </w:r>
        <w:r>
          <w:rPr>
            <w:rFonts w:asciiTheme="minorHAnsi" w:eastAsiaTheme="minorEastAsia" w:hAnsiTheme="minorHAnsi" w:cstheme="minorBidi"/>
            <w:noProof/>
            <w:kern w:val="2"/>
            <w:lang w:eastAsia="en-IE"/>
            <w14:ligatures w14:val="standardContextual"/>
          </w:rPr>
          <w:tab/>
        </w:r>
        <w:r>
          <w:rPr>
            <w:rStyle w:val="Hyperlink"/>
            <w:noProof/>
          </w:rPr>
          <w:t>UTILIZAREA CREDITELOR FEGA ȘI FEADR</w:t>
        </w:r>
        <w:r>
          <w:rPr>
            <w:noProof/>
            <w:webHidden/>
          </w:rPr>
          <w:tab/>
        </w:r>
        <w:r>
          <w:rPr>
            <w:noProof/>
            <w:webHidden/>
          </w:rPr>
          <w:fldChar w:fldCharType="begin"/>
        </w:r>
        <w:r>
          <w:rPr>
            <w:noProof/>
            <w:webHidden/>
          </w:rPr>
          <w:instrText xml:space="preserve"> PAGEREF _Toc238729369 \h </w:instrText>
        </w:r>
        <w:r>
          <w:rPr>
            <w:noProof/>
            <w:webHidden/>
          </w:rPr>
        </w:r>
        <w:r>
          <w:rPr>
            <w:noProof/>
            <w:webHidden/>
          </w:rPr>
          <w:fldChar w:fldCharType="separate"/>
        </w:r>
        <w:r>
          <w:rPr>
            <w:noProof/>
            <w:webHidden/>
          </w:rPr>
          <w:t>9</w:t>
        </w:r>
        <w:r>
          <w:rPr>
            <w:noProof/>
            <w:webHidden/>
          </w:rPr>
          <w:fldChar w:fldCharType="end"/>
        </w:r>
      </w:hyperlink>
    </w:p>
    <w:p>
      <w:pPr>
        <w:pStyle w:val="TOC2"/>
        <w:rPr>
          <w:rFonts w:asciiTheme="minorHAnsi" w:eastAsiaTheme="minorEastAsia" w:hAnsiTheme="minorHAnsi" w:cstheme="minorBidi"/>
          <w:noProof/>
          <w:kern w:val="2"/>
          <w:lang w:eastAsia="en-IE"/>
          <w14:ligatures w14:val="standardContextual"/>
        </w:rPr>
      </w:pPr>
      <w:hyperlink w:anchor="_Toc238729370" w:history="1">
        <w:r>
          <w:rPr>
            <w:rStyle w:val="Hyperlink"/>
            <w:noProof/>
          </w:rPr>
          <w:t>3.1.</w:t>
        </w:r>
        <w:r>
          <w:rPr>
            <w:rFonts w:asciiTheme="minorHAnsi" w:eastAsiaTheme="minorEastAsia" w:hAnsiTheme="minorHAnsi" w:cstheme="minorBidi"/>
            <w:noProof/>
            <w:kern w:val="2"/>
            <w:lang w:eastAsia="en-IE"/>
            <w14:ligatures w14:val="standardContextual"/>
          </w:rPr>
          <w:tab/>
        </w:r>
        <w:r>
          <w:rPr>
            <w:rStyle w:val="Hyperlink"/>
            <w:noProof/>
          </w:rPr>
          <w:t>Fondul european de garantare agricolă (FEGA)</w:t>
        </w:r>
        <w:r>
          <w:rPr>
            <w:noProof/>
            <w:webHidden/>
          </w:rPr>
          <w:tab/>
        </w:r>
        <w:r>
          <w:rPr>
            <w:noProof/>
            <w:webHidden/>
          </w:rPr>
          <w:fldChar w:fldCharType="begin"/>
        </w:r>
        <w:r>
          <w:rPr>
            <w:noProof/>
            <w:webHidden/>
          </w:rPr>
          <w:instrText xml:space="preserve"> PAGEREF _Toc238729370 \h </w:instrText>
        </w:r>
        <w:r>
          <w:rPr>
            <w:noProof/>
            <w:webHidden/>
          </w:rPr>
        </w:r>
        <w:r>
          <w:rPr>
            <w:noProof/>
            <w:webHidden/>
          </w:rPr>
          <w:fldChar w:fldCharType="separate"/>
        </w:r>
        <w:r>
          <w:rPr>
            <w:noProof/>
            <w:webHidden/>
          </w:rPr>
          <w:t>9</w:t>
        </w:r>
        <w:r>
          <w:rPr>
            <w:noProof/>
            <w:webHidden/>
          </w:rPr>
          <w:fldChar w:fldCharType="end"/>
        </w:r>
      </w:hyperlink>
    </w:p>
    <w:p>
      <w:pPr>
        <w:pStyle w:val="TOC2"/>
        <w:rPr>
          <w:rFonts w:asciiTheme="minorHAnsi" w:eastAsiaTheme="minorEastAsia" w:hAnsiTheme="minorHAnsi" w:cstheme="minorBidi"/>
          <w:noProof/>
          <w:kern w:val="2"/>
          <w:lang w:eastAsia="en-IE"/>
          <w14:ligatures w14:val="standardContextual"/>
        </w:rPr>
      </w:pPr>
      <w:hyperlink w:anchor="_Toc238729371" w:history="1">
        <w:r>
          <w:rPr>
            <w:rStyle w:val="Hyperlink"/>
            <w:noProof/>
          </w:rPr>
          <w:t>3.2.</w:t>
        </w:r>
        <w:r>
          <w:rPr>
            <w:rFonts w:asciiTheme="minorHAnsi" w:eastAsiaTheme="minorEastAsia" w:hAnsiTheme="minorHAnsi" w:cstheme="minorBidi"/>
            <w:noProof/>
            <w:kern w:val="2"/>
            <w:lang w:eastAsia="en-IE"/>
            <w14:ligatures w14:val="standardContextual"/>
          </w:rPr>
          <w:tab/>
        </w:r>
        <w:r>
          <w:rPr>
            <w:rStyle w:val="Hyperlink"/>
            <w:noProof/>
          </w:rPr>
          <w:t>Fondul european agricol pentru dezvoltare rurală (FEADR) și Instrumentul de redresare al Uniunii Europene (EURI)</w:t>
        </w:r>
        <w:r>
          <w:rPr>
            <w:noProof/>
            <w:webHidden/>
          </w:rPr>
          <w:tab/>
        </w:r>
        <w:r>
          <w:rPr>
            <w:noProof/>
            <w:webHidden/>
          </w:rPr>
          <w:fldChar w:fldCharType="begin"/>
        </w:r>
        <w:r>
          <w:rPr>
            <w:noProof/>
            <w:webHidden/>
          </w:rPr>
          <w:instrText xml:space="preserve"> PAGEREF _Toc238729371 \h </w:instrText>
        </w:r>
        <w:r>
          <w:rPr>
            <w:noProof/>
            <w:webHidden/>
          </w:rPr>
        </w:r>
        <w:r>
          <w:rPr>
            <w:noProof/>
            <w:webHidden/>
          </w:rPr>
          <w:fldChar w:fldCharType="separate"/>
        </w:r>
        <w:r>
          <w:rPr>
            <w:noProof/>
            <w:webHidden/>
          </w:rPr>
          <w:t>9</w:t>
        </w:r>
        <w:r>
          <w:rPr>
            <w:noProof/>
            <w:webHidden/>
          </w:rPr>
          <w:fldChar w:fldCharType="end"/>
        </w:r>
      </w:hyperlink>
    </w:p>
    <w:p>
      <w:pPr>
        <w:pStyle w:val="TOC1"/>
        <w:rPr>
          <w:rFonts w:asciiTheme="minorHAnsi" w:eastAsiaTheme="minorEastAsia" w:hAnsiTheme="minorHAnsi" w:cstheme="minorBidi"/>
          <w:noProof/>
          <w:kern w:val="2"/>
          <w:lang w:eastAsia="en-IE"/>
          <w14:ligatures w14:val="standardContextual"/>
        </w:rPr>
      </w:pPr>
      <w:hyperlink w:anchor="_Toc238729372" w:history="1">
        <w:r>
          <w:rPr>
            <w:rStyle w:val="Hyperlink"/>
            <w:noProof/>
          </w:rPr>
          <w:t>4.</w:t>
        </w:r>
        <w:r>
          <w:rPr>
            <w:rFonts w:asciiTheme="minorHAnsi" w:eastAsiaTheme="minorEastAsia" w:hAnsiTheme="minorHAnsi" w:cstheme="minorBidi"/>
            <w:noProof/>
            <w:kern w:val="2"/>
            <w:lang w:eastAsia="en-IE"/>
            <w14:ligatures w14:val="standardContextual"/>
          </w:rPr>
          <w:tab/>
        </w:r>
        <w:r>
          <w:rPr>
            <w:rStyle w:val="Hyperlink"/>
            <w:noProof/>
          </w:rPr>
          <w:t>MĂSURI DE CONTROL</w:t>
        </w:r>
        <w:r>
          <w:rPr>
            <w:noProof/>
            <w:webHidden/>
          </w:rPr>
          <w:tab/>
        </w:r>
        <w:r>
          <w:rPr>
            <w:noProof/>
            <w:webHidden/>
          </w:rPr>
          <w:fldChar w:fldCharType="begin"/>
        </w:r>
        <w:r>
          <w:rPr>
            <w:noProof/>
            <w:webHidden/>
          </w:rPr>
          <w:instrText xml:space="preserve"> PAGEREF _Toc238729372 \h </w:instrText>
        </w:r>
        <w:r>
          <w:rPr>
            <w:noProof/>
            <w:webHidden/>
          </w:rPr>
        </w:r>
        <w:r>
          <w:rPr>
            <w:noProof/>
            <w:webHidden/>
          </w:rPr>
          <w:fldChar w:fldCharType="separate"/>
        </w:r>
        <w:r>
          <w:rPr>
            <w:noProof/>
            <w:webHidden/>
          </w:rPr>
          <w:t>13</w:t>
        </w:r>
        <w:r>
          <w:rPr>
            <w:noProof/>
            <w:webHidden/>
          </w:rPr>
          <w:fldChar w:fldCharType="end"/>
        </w:r>
      </w:hyperlink>
    </w:p>
    <w:p>
      <w:pPr>
        <w:pStyle w:val="TOC2"/>
        <w:rPr>
          <w:rFonts w:asciiTheme="minorHAnsi" w:eastAsiaTheme="minorEastAsia" w:hAnsiTheme="minorHAnsi" w:cstheme="minorBidi"/>
          <w:noProof/>
          <w:kern w:val="2"/>
          <w:lang w:eastAsia="en-IE"/>
          <w14:ligatures w14:val="standardContextual"/>
        </w:rPr>
      </w:pPr>
      <w:hyperlink w:anchor="_Toc238729373" w:history="1">
        <w:r>
          <w:rPr>
            <w:rStyle w:val="Hyperlink"/>
            <w:noProof/>
          </w:rPr>
          <w:t>4.1.</w:t>
        </w:r>
        <w:r>
          <w:rPr>
            <w:rFonts w:asciiTheme="minorHAnsi" w:eastAsiaTheme="minorEastAsia" w:hAnsiTheme="minorHAnsi" w:cstheme="minorBidi"/>
            <w:noProof/>
            <w:kern w:val="2"/>
            <w:lang w:eastAsia="en-IE"/>
            <w14:ligatures w14:val="standardContextual"/>
          </w:rPr>
          <w:tab/>
        </w:r>
        <w:r>
          <w:rPr>
            <w:rStyle w:val="Hyperlink"/>
            <w:noProof/>
          </w:rPr>
          <w:t>Introducere</w:t>
        </w:r>
        <w:r>
          <w:rPr>
            <w:noProof/>
            <w:webHidden/>
          </w:rPr>
          <w:tab/>
        </w:r>
        <w:r>
          <w:rPr>
            <w:noProof/>
            <w:webHidden/>
          </w:rPr>
          <w:fldChar w:fldCharType="begin"/>
        </w:r>
        <w:r>
          <w:rPr>
            <w:noProof/>
            <w:webHidden/>
          </w:rPr>
          <w:instrText xml:space="preserve"> PAGEREF _Toc238729373 \h </w:instrText>
        </w:r>
        <w:r>
          <w:rPr>
            <w:noProof/>
            <w:webHidden/>
          </w:rPr>
        </w:r>
        <w:r>
          <w:rPr>
            <w:noProof/>
            <w:webHidden/>
          </w:rPr>
          <w:fldChar w:fldCharType="separate"/>
        </w:r>
        <w:r>
          <w:rPr>
            <w:noProof/>
            <w:webHidden/>
          </w:rPr>
          <w:t>13</w:t>
        </w:r>
        <w:r>
          <w:rPr>
            <w:noProof/>
            <w:webHidden/>
          </w:rPr>
          <w:fldChar w:fldCharType="end"/>
        </w:r>
      </w:hyperlink>
    </w:p>
    <w:p>
      <w:pPr>
        <w:pStyle w:val="TOC2"/>
        <w:rPr>
          <w:rFonts w:asciiTheme="minorHAnsi" w:eastAsiaTheme="minorEastAsia" w:hAnsiTheme="minorHAnsi" w:cstheme="minorBidi"/>
          <w:noProof/>
          <w:kern w:val="2"/>
          <w:lang w:eastAsia="en-IE"/>
          <w14:ligatures w14:val="standardContextual"/>
        </w:rPr>
      </w:pPr>
      <w:hyperlink w:anchor="_Toc238729374" w:history="1">
        <w:r>
          <w:rPr>
            <w:rStyle w:val="Hyperlink"/>
            <w:noProof/>
          </w:rPr>
          <w:t>4.2.</w:t>
        </w:r>
        <w:r>
          <w:rPr>
            <w:rFonts w:asciiTheme="minorHAnsi" w:eastAsiaTheme="minorEastAsia" w:hAnsiTheme="minorHAnsi" w:cstheme="minorBidi"/>
            <w:noProof/>
            <w:kern w:val="2"/>
            <w:lang w:eastAsia="en-IE"/>
            <w14:ligatures w14:val="standardContextual"/>
          </w:rPr>
          <w:tab/>
        </w:r>
        <w:r>
          <w:rPr>
            <w:rStyle w:val="Hyperlink"/>
            <w:noProof/>
          </w:rPr>
          <w:t>Sistemul integrat de administrare și control (IACS)</w:t>
        </w:r>
        <w:r>
          <w:rPr>
            <w:noProof/>
            <w:webHidden/>
          </w:rPr>
          <w:tab/>
        </w:r>
        <w:r>
          <w:rPr>
            <w:noProof/>
            <w:webHidden/>
          </w:rPr>
          <w:fldChar w:fldCharType="begin"/>
        </w:r>
        <w:r>
          <w:rPr>
            <w:noProof/>
            <w:webHidden/>
          </w:rPr>
          <w:instrText xml:space="preserve"> PAGEREF _Toc238729374 \h </w:instrText>
        </w:r>
        <w:r>
          <w:rPr>
            <w:noProof/>
            <w:webHidden/>
          </w:rPr>
        </w:r>
        <w:r>
          <w:rPr>
            <w:noProof/>
            <w:webHidden/>
          </w:rPr>
          <w:fldChar w:fldCharType="separate"/>
        </w:r>
        <w:r>
          <w:rPr>
            <w:noProof/>
            <w:webHidden/>
          </w:rPr>
          <w:t>13</w:t>
        </w:r>
        <w:r>
          <w:rPr>
            <w:noProof/>
            <w:webHidden/>
          </w:rPr>
          <w:fldChar w:fldCharType="end"/>
        </w:r>
      </w:hyperlink>
    </w:p>
    <w:p>
      <w:pPr>
        <w:pStyle w:val="TOC2"/>
        <w:rPr>
          <w:rFonts w:asciiTheme="minorHAnsi" w:eastAsiaTheme="minorEastAsia" w:hAnsiTheme="minorHAnsi" w:cstheme="minorBidi"/>
          <w:noProof/>
          <w:kern w:val="2"/>
          <w:lang w:eastAsia="en-IE"/>
          <w14:ligatures w14:val="standardContextual"/>
        </w:rPr>
      </w:pPr>
      <w:hyperlink w:anchor="_Toc238729375" w:history="1">
        <w:r>
          <w:rPr>
            <w:rStyle w:val="Hyperlink"/>
            <w:noProof/>
          </w:rPr>
          <w:t>4.3.</w:t>
        </w:r>
        <w:r>
          <w:rPr>
            <w:rFonts w:asciiTheme="minorHAnsi" w:eastAsiaTheme="minorEastAsia" w:hAnsiTheme="minorHAnsi" w:cstheme="minorBidi"/>
            <w:noProof/>
            <w:kern w:val="2"/>
            <w:lang w:eastAsia="en-IE"/>
            <w14:ligatures w14:val="standardContextual"/>
          </w:rPr>
          <w:tab/>
        </w:r>
        <w:r>
          <w:rPr>
            <w:rStyle w:val="Hyperlink"/>
            <w:noProof/>
          </w:rPr>
          <w:t>Aplicarea titlului IV capitolul III din Regulamentul (UE) 2021/2116 (verificarea tranzacțiilor)</w:t>
        </w:r>
        <w:r>
          <w:rPr>
            <w:noProof/>
            <w:webHidden/>
          </w:rPr>
          <w:tab/>
        </w:r>
        <w:r>
          <w:rPr>
            <w:noProof/>
            <w:webHidden/>
          </w:rPr>
          <w:fldChar w:fldCharType="begin"/>
        </w:r>
        <w:r>
          <w:rPr>
            <w:noProof/>
            <w:webHidden/>
          </w:rPr>
          <w:instrText xml:space="preserve"> PAGEREF _Toc238729375 \h </w:instrText>
        </w:r>
        <w:r>
          <w:rPr>
            <w:noProof/>
            <w:webHidden/>
          </w:rPr>
        </w:r>
        <w:r>
          <w:rPr>
            <w:noProof/>
            <w:webHidden/>
          </w:rPr>
          <w:fldChar w:fldCharType="separate"/>
        </w:r>
        <w:r>
          <w:rPr>
            <w:noProof/>
            <w:webHidden/>
          </w:rPr>
          <w:t>13</w:t>
        </w:r>
        <w:r>
          <w:rPr>
            <w:noProof/>
            <w:webHidden/>
          </w:rPr>
          <w:fldChar w:fldCharType="end"/>
        </w:r>
      </w:hyperlink>
    </w:p>
    <w:p>
      <w:pPr>
        <w:pStyle w:val="TOC1"/>
        <w:rPr>
          <w:rFonts w:asciiTheme="minorHAnsi" w:eastAsiaTheme="minorEastAsia" w:hAnsiTheme="minorHAnsi" w:cstheme="minorBidi"/>
          <w:noProof/>
          <w:kern w:val="2"/>
          <w:lang w:eastAsia="en-IE"/>
          <w14:ligatures w14:val="standardContextual"/>
        </w:rPr>
      </w:pPr>
      <w:hyperlink w:anchor="_Toc238729376" w:history="1">
        <w:r>
          <w:rPr>
            <w:rStyle w:val="Hyperlink"/>
            <w:noProof/>
          </w:rPr>
          <w:t>5.</w:t>
        </w:r>
        <w:r>
          <w:rPr>
            <w:rFonts w:asciiTheme="minorHAnsi" w:eastAsiaTheme="minorEastAsia" w:hAnsiTheme="minorHAnsi" w:cstheme="minorBidi"/>
            <w:noProof/>
            <w:kern w:val="2"/>
            <w:lang w:eastAsia="en-IE"/>
            <w14:ligatures w14:val="standardContextual"/>
          </w:rPr>
          <w:tab/>
        </w:r>
        <w:r>
          <w:rPr>
            <w:rStyle w:val="Hyperlink"/>
            <w:noProof/>
          </w:rPr>
          <w:t>VERIFICAREA CONTURILOR</w:t>
        </w:r>
        <w:r>
          <w:rPr>
            <w:noProof/>
            <w:webHidden/>
          </w:rPr>
          <w:tab/>
        </w:r>
        <w:r>
          <w:rPr>
            <w:noProof/>
            <w:webHidden/>
          </w:rPr>
          <w:fldChar w:fldCharType="begin"/>
        </w:r>
        <w:r>
          <w:rPr>
            <w:noProof/>
            <w:webHidden/>
          </w:rPr>
          <w:instrText xml:space="preserve"> PAGEREF _Toc238729376 \h </w:instrText>
        </w:r>
        <w:r>
          <w:rPr>
            <w:noProof/>
            <w:webHidden/>
          </w:rPr>
        </w:r>
        <w:r>
          <w:rPr>
            <w:noProof/>
            <w:webHidden/>
          </w:rPr>
          <w:fldChar w:fldCharType="separate"/>
        </w:r>
        <w:r>
          <w:rPr>
            <w:noProof/>
            <w:webHidden/>
          </w:rPr>
          <w:t>14</w:t>
        </w:r>
        <w:r>
          <w:rPr>
            <w:noProof/>
            <w:webHidden/>
          </w:rPr>
          <w:fldChar w:fldCharType="end"/>
        </w:r>
      </w:hyperlink>
    </w:p>
    <w:p>
      <w:pPr>
        <w:pStyle w:val="TOC2"/>
        <w:rPr>
          <w:rFonts w:asciiTheme="minorHAnsi" w:eastAsiaTheme="minorEastAsia" w:hAnsiTheme="minorHAnsi" w:cstheme="minorBidi"/>
          <w:noProof/>
          <w:kern w:val="2"/>
          <w:lang w:eastAsia="en-IE"/>
          <w14:ligatures w14:val="standardContextual"/>
        </w:rPr>
      </w:pPr>
      <w:hyperlink w:anchor="_Toc238729377" w:history="1">
        <w:r>
          <w:rPr>
            <w:rStyle w:val="Hyperlink"/>
            <w:noProof/>
          </w:rPr>
          <w:t>5.1.</w:t>
        </w:r>
        <w:r>
          <w:rPr>
            <w:rFonts w:asciiTheme="minorHAnsi" w:eastAsiaTheme="minorEastAsia" w:hAnsiTheme="minorHAnsi" w:cstheme="minorBidi"/>
            <w:noProof/>
            <w:kern w:val="2"/>
            <w:lang w:eastAsia="en-IE"/>
            <w14:ligatures w14:val="standardContextual"/>
          </w:rPr>
          <w:tab/>
        </w:r>
        <w:r>
          <w:rPr>
            <w:rStyle w:val="Hyperlink"/>
            <w:noProof/>
          </w:rPr>
          <w:t>Verificarea conformității</w:t>
        </w:r>
        <w:r>
          <w:rPr>
            <w:noProof/>
            <w:webHidden/>
          </w:rPr>
          <w:tab/>
        </w:r>
        <w:r>
          <w:rPr>
            <w:noProof/>
            <w:webHidden/>
          </w:rPr>
          <w:fldChar w:fldCharType="begin"/>
        </w:r>
        <w:r>
          <w:rPr>
            <w:noProof/>
            <w:webHidden/>
          </w:rPr>
          <w:instrText xml:space="preserve"> PAGEREF _Toc238729377 \h </w:instrText>
        </w:r>
        <w:r>
          <w:rPr>
            <w:noProof/>
            <w:webHidden/>
          </w:rPr>
        </w:r>
        <w:r>
          <w:rPr>
            <w:noProof/>
            <w:webHidden/>
          </w:rPr>
          <w:fldChar w:fldCharType="separate"/>
        </w:r>
        <w:r>
          <w:rPr>
            <w:noProof/>
            <w:webHidden/>
          </w:rPr>
          <w:t>14</w:t>
        </w:r>
        <w:r>
          <w:rPr>
            <w:noProof/>
            <w:webHidden/>
          </w:rPr>
          <w:fldChar w:fldCharType="end"/>
        </w:r>
      </w:hyperlink>
    </w:p>
    <w:p>
      <w:pPr>
        <w:pStyle w:val="TOC2"/>
        <w:rPr>
          <w:rFonts w:asciiTheme="minorHAnsi" w:eastAsiaTheme="minorEastAsia" w:hAnsiTheme="minorHAnsi" w:cstheme="minorBidi"/>
          <w:noProof/>
          <w:kern w:val="2"/>
          <w:lang w:eastAsia="en-IE"/>
          <w14:ligatures w14:val="standardContextual"/>
        </w:rPr>
      </w:pPr>
      <w:hyperlink w:anchor="_Toc238729378" w:history="1">
        <w:r>
          <w:rPr>
            <w:rStyle w:val="Hyperlink"/>
            <w:noProof/>
          </w:rPr>
          <w:t>5.2.</w:t>
        </w:r>
        <w:r>
          <w:rPr>
            <w:rFonts w:asciiTheme="minorHAnsi" w:eastAsiaTheme="minorEastAsia" w:hAnsiTheme="minorHAnsi" w:cstheme="minorBidi"/>
            <w:noProof/>
            <w:kern w:val="2"/>
            <w:lang w:eastAsia="en-IE"/>
            <w14:ligatures w14:val="standardContextual"/>
          </w:rPr>
          <w:tab/>
        </w:r>
        <w:r>
          <w:rPr>
            <w:rStyle w:val="Hyperlink"/>
            <w:noProof/>
          </w:rPr>
          <w:t>Verificarea financiară</w:t>
        </w:r>
        <w:r>
          <w:rPr>
            <w:noProof/>
            <w:webHidden/>
          </w:rPr>
          <w:tab/>
        </w:r>
        <w:r>
          <w:rPr>
            <w:noProof/>
            <w:webHidden/>
          </w:rPr>
          <w:fldChar w:fldCharType="begin"/>
        </w:r>
        <w:r>
          <w:rPr>
            <w:noProof/>
            <w:webHidden/>
          </w:rPr>
          <w:instrText xml:space="preserve"> PAGEREF _Toc238729378 \h </w:instrText>
        </w:r>
        <w:r>
          <w:rPr>
            <w:noProof/>
            <w:webHidden/>
          </w:rPr>
        </w:r>
        <w:r>
          <w:rPr>
            <w:noProof/>
            <w:webHidden/>
          </w:rPr>
          <w:fldChar w:fldCharType="separate"/>
        </w:r>
        <w:r>
          <w:rPr>
            <w:noProof/>
            <w:webHidden/>
          </w:rPr>
          <w:t>15</w:t>
        </w:r>
        <w:r>
          <w:rPr>
            <w:noProof/>
            <w:webHidden/>
          </w:rPr>
          <w:fldChar w:fldCharType="end"/>
        </w:r>
      </w:hyperlink>
    </w:p>
    <w:p>
      <w:pPr>
        <w:pStyle w:val="TOC2"/>
        <w:rPr>
          <w:rFonts w:asciiTheme="minorHAnsi" w:eastAsiaTheme="minorEastAsia" w:hAnsiTheme="minorHAnsi" w:cstheme="minorBidi"/>
          <w:noProof/>
          <w:kern w:val="2"/>
          <w:lang w:eastAsia="en-IE"/>
          <w14:ligatures w14:val="standardContextual"/>
        </w:rPr>
      </w:pPr>
      <w:hyperlink w:anchor="_Toc238729379" w:history="1">
        <w:r>
          <w:rPr>
            <w:rStyle w:val="Hyperlink"/>
            <w:noProof/>
          </w:rPr>
          <w:t>5.3.</w:t>
        </w:r>
        <w:r>
          <w:rPr>
            <w:rFonts w:asciiTheme="minorHAnsi" w:eastAsiaTheme="minorEastAsia" w:hAnsiTheme="minorHAnsi" w:cstheme="minorBidi"/>
            <w:noProof/>
            <w:kern w:val="2"/>
            <w:lang w:eastAsia="en-IE"/>
            <w14:ligatures w14:val="standardContextual"/>
          </w:rPr>
          <w:tab/>
        </w:r>
        <w:r>
          <w:rPr>
            <w:rStyle w:val="Hyperlink"/>
            <w:noProof/>
          </w:rPr>
          <w:t>Acțiunile înaintate Curții de Justiție a Uniunii Europene împotriva deciziilor privind verificarea</w:t>
        </w:r>
        <w:r>
          <w:rPr>
            <w:noProof/>
            <w:webHidden/>
          </w:rPr>
          <w:tab/>
        </w:r>
        <w:r>
          <w:rPr>
            <w:noProof/>
            <w:webHidden/>
          </w:rPr>
          <w:fldChar w:fldCharType="begin"/>
        </w:r>
        <w:r>
          <w:rPr>
            <w:noProof/>
            <w:webHidden/>
          </w:rPr>
          <w:instrText xml:space="preserve"> PAGEREF _Toc238729379 \h </w:instrText>
        </w:r>
        <w:r>
          <w:rPr>
            <w:noProof/>
            <w:webHidden/>
          </w:rPr>
        </w:r>
        <w:r>
          <w:rPr>
            <w:noProof/>
            <w:webHidden/>
          </w:rPr>
          <w:fldChar w:fldCharType="separate"/>
        </w:r>
        <w:r>
          <w:rPr>
            <w:noProof/>
            <w:webHidden/>
          </w:rPr>
          <w:t>16</w:t>
        </w:r>
        <w:r>
          <w:rPr>
            <w:noProof/>
            <w:webHidden/>
          </w:rPr>
          <w:fldChar w:fldCharType="end"/>
        </w:r>
      </w:hyperlink>
    </w:p>
    <w:p>
      <w:pPr>
        <w:pStyle w:val="TOC1"/>
        <w:rPr>
          <w:rFonts w:asciiTheme="minorHAnsi" w:eastAsiaTheme="minorEastAsia" w:hAnsiTheme="minorHAnsi" w:cstheme="minorBidi"/>
          <w:noProof/>
          <w:kern w:val="2"/>
          <w:lang w:eastAsia="en-IE"/>
          <w14:ligatures w14:val="standardContextual"/>
        </w:rPr>
      </w:pPr>
      <w:hyperlink w:anchor="_Toc238729380" w:history="1">
        <w:r>
          <w:rPr>
            <w:rStyle w:val="Hyperlink"/>
            <w:noProof/>
          </w:rPr>
          <w:t>6.</w:t>
        </w:r>
        <w:r>
          <w:rPr>
            <w:rFonts w:asciiTheme="minorHAnsi" w:eastAsiaTheme="minorEastAsia" w:hAnsiTheme="minorHAnsi" w:cstheme="minorBidi"/>
            <w:noProof/>
            <w:kern w:val="2"/>
            <w:lang w:eastAsia="en-IE"/>
            <w14:ligatures w14:val="standardContextual"/>
          </w:rPr>
          <w:tab/>
        </w:r>
        <w:r>
          <w:rPr>
            <w:rStyle w:val="Hyperlink"/>
            <w:noProof/>
          </w:rPr>
          <w:t>RELAȚIILE CU PARLAMENTUL ȘI CU CURTEA DE CONTURI EUROPEANĂ</w:t>
        </w:r>
        <w:r>
          <w:rPr>
            <w:noProof/>
            <w:webHidden/>
          </w:rPr>
          <w:tab/>
        </w:r>
        <w:r>
          <w:rPr>
            <w:noProof/>
            <w:webHidden/>
          </w:rPr>
          <w:fldChar w:fldCharType="begin"/>
        </w:r>
        <w:r>
          <w:rPr>
            <w:noProof/>
            <w:webHidden/>
          </w:rPr>
          <w:instrText xml:space="preserve"> PAGEREF _Toc238729380 \h </w:instrText>
        </w:r>
        <w:r>
          <w:rPr>
            <w:noProof/>
            <w:webHidden/>
          </w:rPr>
        </w:r>
        <w:r>
          <w:rPr>
            <w:noProof/>
            <w:webHidden/>
          </w:rPr>
          <w:fldChar w:fldCharType="separate"/>
        </w:r>
        <w:r>
          <w:rPr>
            <w:noProof/>
            <w:webHidden/>
          </w:rPr>
          <w:t>17</w:t>
        </w:r>
        <w:r>
          <w:rPr>
            <w:noProof/>
            <w:webHidden/>
          </w:rPr>
          <w:fldChar w:fldCharType="end"/>
        </w:r>
      </w:hyperlink>
    </w:p>
    <w:p>
      <w:pPr>
        <w:pStyle w:val="TOC2"/>
        <w:rPr>
          <w:rFonts w:asciiTheme="minorHAnsi" w:eastAsiaTheme="minorEastAsia" w:hAnsiTheme="minorHAnsi" w:cstheme="minorBidi"/>
          <w:noProof/>
          <w:kern w:val="2"/>
          <w:lang w:eastAsia="en-IE"/>
          <w14:ligatures w14:val="standardContextual"/>
        </w:rPr>
      </w:pPr>
      <w:hyperlink w:anchor="_Toc238729381" w:history="1">
        <w:r>
          <w:rPr>
            <w:rStyle w:val="Hyperlink"/>
            <w:noProof/>
          </w:rPr>
          <w:t>6.1.</w:t>
        </w:r>
        <w:r>
          <w:rPr>
            <w:rFonts w:asciiTheme="minorHAnsi" w:eastAsiaTheme="minorEastAsia" w:hAnsiTheme="minorHAnsi" w:cstheme="minorBidi"/>
            <w:noProof/>
            <w:kern w:val="2"/>
            <w:lang w:eastAsia="en-IE"/>
            <w14:ligatures w14:val="standardContextual"/>
          </w:rPr>
          <w:tab/>
        </w:r>
        <w:r>
          <w:rPr>
            <w:rStyle w:val="Hyperlink"/>
            <w:noProof/>
          </w:rPr>
          <w:t>Relațiile cu Parlamentul</w:t>
        </w:r>
        <w:r>
          <w:rPr>
            <w:noProof/>
            <w:webHidden/>
          </w:rPr>
          <w:tab/>
        </w:r>
        <w:r>
          <w:rPr>
            <w:noProof/>
            <w:webHidden/>
          </w:rPr>
          <w:fldChar w:fldCharType="begin"/>
        </w:r>
        <w:r>
          <w:rPr>
            <w:noProof/>
            <w:webHidden/>
          </w:rPr>
          <w:instrText xml:space="preserve"> PAGEREF _Toc238729381 \h </w:instrText>
        </w:r>
        <w:r>
          <w:rPr>
            <w:noProof/>
            <w:webHidden/>
          </w:rPr>
        </w:r>
        <w:r>
          <w:rPr>
            <w:noProof/>
            <w:webHidden/>
          </w:rPr>
          <w:fldChar w:fldCharType="separate"/>
        </w:r>
        <w:r>
          <w:rPr>
            <w:noProof/>
            <w:webHidden/>
          </w:rPr>
          <w:t>17</w:t>
        </w:r>
        <w:r>
          <w:rPr>
            <w:noProof/>
            <w:webHidden/>
          </w:rPr>
          <w:fldChar w:fldCharType="end"/>
        </w:r>
      </w:hyperlink>
    </w:p>
    <w:p>
      <w:pPr>
        <w:pStyle w:val="TOC2"/>
        <w:rPr>
          <w:rFonts w:asciiTheme="minorHAnsi" w:eastAsiaTheme="minorEastAsia" w:hAnsiTheme="minorHAnsi" w:cstheme="minorBidi"/>
          <w:noProof/>
          <w:kern w:val="2"/>
          <w:lang w:eastAsia="en-IE"/>
          <w14:ligatures w14:val="standardContextual"/>
        </w:rPr>
      </w:pPr>
      <w:hyperlink w:anchor="_Toc238729382" w:history="1">
        <w:r>
          <w:rPr>
            <w:rStyle w:val="Hyperlink"/>
            <w:noProof/>
          </w:rPr>
          <w:t>6.2.</w:t>
        </w:r>
        <w:r>
          <w:rPr>
            <w:rFonts w:asciiTheme="minorHAnsi" w:eastAsiaTheme="minorEastAsia" w:hAnsiTheme="minorHAnsi" w:cstheme="minorBidi"/>
            <w:noProof/>
            <w:kern w:val="2"/>
            <w:lang w:eastAsia="en-IE"/>
            <w14:ligatures w14:val="standardContextual"/>
          </w:rPr>
          <w:tab/>
        </w:r>
        <w:r>
          <w:rPr>
            <w:rStyle w:val="Hyperlink"/>
            <w:noProof/>
          </w:rPr>
          <w:t>Relațiile cu Curtea de Conturi Europeană</w:t>
        </w:r>
        <w:r>
          <w:rPr>
            <w:noProof/>
            <w:webHidden/>
          </w:rPr>
          <w:tab/>
        </w:r>
        <w:r>
          <w:rPr>
            <w:noProof/>
            <w:webHidden/>
          </w:rPr>
          <w:fldChar w:fldCharType="begin"/>
        </w:r>
        <w:r>
          <w:rPr>
            <w:noProof/>
            <w:webHidden/>
          </w:rPr>
          <w:instrText xml:space="preserve"> PAGEREF _Toc238729382 \h </w:instrText>
        </w:r>
        <w:r>
          <w:rPr>
            <w:noProof/>
            <w:webHidden/>
          </w:rPr>
        </w:r>
        <w:r>
          <w:rPr>
            <w:noProof/>
            <w:webHidden/>
          </w:rPr>
          <w:fldChar w:fldCharType="separate"/>
        </w:r>
        <w:r>
          <w:rPr>
            <w:noProof/>
            <w:webHidden/>
          </w:rPr>
          <w:t>17</w:t>
        </w:r>
        <w:r>
          <w:rPr>
            <w:noProof/>
            <w:webHidden/>
          </w:rPr>
          <w:fldChar w:fldCharType="end"/>
        </w:r>
      </w:hyperlink>
    </w:p>
    <w:p>
      <w:pPr>
        <w:pStyle w:val="TOC1"/>
        <w:rPr>
          <w:noProof/>
        </w:rPr>
      </w:pPr>
      <w:r>
        <w:rPr>
          <w:noProof/>
        </w:rPr>
        <w:fldChar w:fldCharType="end"/>
      </w:r>
    </w:p>
    <w:p>
      <w:pPr>
        <w:pStyle w:val="TOCHeading"/>
        <w:rPr>
          <w:noProof/>
        </w:rPr>
        <w:sectPr>
          <w:headerReference w:type="even" r:id="rId15"/>
          <w:headerReference w:type="default" r:id="rId16"/>
          <w:footerReference w:type="even" r:id="rId17"/>
          <w:footerReference w:type="default" r:id="rId18"/>
          <w:headerReference w:type="first" r:id="rId19"/>
          <w:footerReference w:type="first" r:id="rId20"/>
          <w:pgSz w:w="11906" w:h="16838" w:code="9"/>
          <w:pgMar w:top="1106" w:right="1389" w:bottom="1077" w:left="1389" w:header="680" w:footer="624" w:gutter="0"/>
          <w:pgNumType w:start="1"/>
          <w:cols w:space="720"/>
          <w:docGrid w:linePitch="326"/>
        </w:sectPr>
      </w:pPr>
    </w:p>
    <w:p>
      <w:pPr>
        <w:pStyle w:val="ManualHeading1"/>
        <w:spacing w:after="160"/>
        <w:ind w:left="851" w:hanging="851"/>
        <w:rPr>
          <w:noProof/>
          <w:color w:val="FF0000"/>
        </w:rPr>
      </w:pPr>
      <w:bookmarkStart w:id="1" w:name="_Toc322938550"/>
      <w:bookmarkStart w:id="2" w:name="_Toc102661828"/>
      <w:bookmarkStart w:id="3" w:name="_Toc105773176"/>
      <w:bookmarkStart w:id="4" w:name="_Toc238729357"/>
      <w:r>
        <w:rPr>
          <w:noProof/>
        </w:rPr>
        <w:lastRenderedPageBreak/>
        <w:t>1.</w:t>
      </w:r>
      <w:r>
        <w:rPr>
          <w:noProof/>
        </w:rPr>
        <w:tab/>
        <w:t>PROCEDURA BUGETARĂ</w:t>
      </w:r>
      <w:bookmarkEnd w:id="1"/>
      <w:bookmarkEnd w:id="2"/>
      <w:bookmarkEnd w:id="3"/>
      <w:bookmarkEnd w:id="4"/>
      <w:r>
        <w:rPr>
          <w:noProof/>
        </w:rPr>
        <w:t xml:space="preserve"> </w:t>
      </w:r>
    </w:p>
    <w:p>
      <w:pPr>
        <w:pStyle w:val="Text1"/>
      </w:pPr>
      <w:r>
        <w:t xml:space="preserve">PAC reformată pentru perioada 2023-2027 a introdus o abordare strategică și un nou model de performanță axat pe performanță și rezultate. Aceasta consolidează în mare măsură cele două fonduri existente – Fondul european de garantare agricolă (FEGA) și Fondul european agricol pentru dezvoltare rurală (FEADR) – sub egida unică a planurilor strategice PAC care acoperă finanțarea sprijinului pentru venit, a dezvoltării rurale și a sprijinului pentru anumite sectoare. </w:t>
      </w:r>
    </w:p>
    <w:p>
      <w:pPr>
        <w:pStyle w:val="ManualHeading2"/>
        <w:spacing w:before="360" w:after="160"/>
        <w:ind w:left="851" w:hanging="851"/>
        <w:rPr>
          <w:noProof/>
        </w:rPr>
      </w:pPr>
      <w:bookmarkStart w:id="5" w:name="_Toc322938551"/>
      <w:bookmarkStart w:id="6" w:name="_Toc102661829"/>
      <w:bookmarkStart w:id="7" w:name="_Toc105773177"/>
      <w:bookmarkStart w:id="8" w:name="_Toc238729358"/>
      <w:r>
        <w:rPr>
          <w:noProof/>
        </w:rPr>
        <w:t>1.1.</w:t>
      </w:r>
      <w:r>
        <w:rPr>
          <w:noProof/>
        </w:rPr>
        <w:tab/>
        <w:t>Cadrul financiar 2021-</w:t>
      </w:r>
      <w:bookmarkEnd w:id="5"/>
      <w:r>
        <w:rPr>
          <w:noProof/>
        </w:rPr>
        <w:t>2027</w:t>
      </w:r>
      <w:bookmarkEnd w:id="6"/>
      <w:bookmarkEnd w:id="7"/>
      <w:bookmarkEnd w:id="8"/>
      <w:r>
        <w:rPr>
          <w:noProof/>
        </w:rPr>
        <w:t xml:space="preserve"> </w:t>
      </w:r>
    </w:p>
    <w:p>
      <w:pPr>
        <w:pStyle w:val="Text1"/>
      </w:pPr>
      <w:r>
        <w:t>Cheltuielile aferente politicii agricole comune (PAC) sunt finanțate în cadrul financiar multianual pentru perioada 2021-2027, astfel cum se prevede în Regulamentul (UE, Euratom) 2020/2093 al Consiliului</w:t>
      </w:r>
      <w:r>
        <w:rPr>
          <w:vertAlign w:val="superscript"/>
        </w:rPr>
        <w:footnoteReference w:id="1"/>
      </w:r>
      <w:r>
        <w:t>. Mai precis, cheltuielile aferente PAC fac parte din plafonul stabilit pentru rubrica 3 – Resurse naturale și mediu. În cadrul acestui plafon global s-a stabilit un subplafon specific pentru cheltuielile de piață și plățile directe finanțate din FEGA.</w:t>
      </w:r>
    </w:p>
    <w:p>
      <w:pPr>
        <w:pStyle w:val="Text1"/>
      </w:pPr>
      <w:r>
        <w:t>Subplafonul FEGA a fost ajustat ca urmare a deciziei unor state membre să transfere anumite sume din plățile directe către dezvoltarea rurală finanțate din FEADR, sau să facă transferul de la dezvoltarea rurală la plățile directe. În plus, au fost efectuate unele ajustări în cadrul revizuirii la jumătatea perioadei a CFM în 2024, astfel cum se prevede în Regulamentul (UE, Euratom) 2024/765 al Consiliului</w:t>
      </w:r>
      <w:r>
        <w:rPr>
          <w:rStyle w:val="FootnoteReference"/>
        </w:rPr>
        <w:footnoteReference w:id="2"/>
      </w:r>
      <w:r>
        <w:t>. Prin urmare, pe baza Regulamentului de punere în aplicare (UE) 2021/128 al Comisiei</w:t>
      </w:r>
      <w:r>
        <w:rPr>
          <w:vertAlign w:val="superscript"/>
        </w:rPr>
        <w:footnoteReference w:id="3"/>
      </w:r>
      <w:r>
        <w:t xml:space="preserve"> de stabilire a soldului net disponibil pentru cheltuielile FEGA și a modificărilor ulterioare, sumele PAC incluse la rubrica 3 din cadrul financiar multianual (2021-2027) sunt: </w:t>
      </w:r>
    </w:p>
    <w:p>
      <w:pPr>
        <w:pStyle w:val="Text1"/>
        <w:rPr>
          <w:i/>
          <w:iCs/>
        </w:rPr>
      </w:pPr>
      <w:r>
        <w:t xml:space="preserve">Tabelul 1 </w:t>
      </w:r>
      <w:r>
        <w:tab/>
      </w:r>
      <w:r>
        <w:tab/>
      </w:r>
      <w:r>
        <w:tab/>
      </w:r>
      <w:r>
        <w:tab/>
      </w:r>
      <w:r>
        <w:tab/>
      </w:r>
      <w:r>
        <w:tab/>
      </w:r>
      <w:r>
        <w:rPr>
          <w:i/>
        </w:rPr>
        <w:t>(în milioane EUR; prețuri curente)</w:t>
      </w:r>
    </w:p>
    <w:tbl>
      <w:tblPr>
        <w:tblpPr w:leftFromText="180" w:rightFromText="180" w:vertAnchor="text" w:horzAnchor="page" w:tblpX="1351" w:tblpY="37"/>
        <w:tblW w:w="10286" w:type="dxa"/>
        <w:tblLook w:val="04A0" w:firstRow="1" w:lastRow="0" w:firstColumn="1" w:lastColumn="0" w:noHBand="0" w:noVBand="1"/>
      </w:tblPr>
      <w:tblGrid>
        <w:gridCol w:w="2880"/>
        <w:gridCol w:w="1026"/>
        <w:gridCol w:w="1078"/>
        <w:gridCol w:w="1007"/>
        <w:gridCol w:w="1167"/>
        <w:gridCol w:w="1027"/>
        <w:gridCol w:w="1045"/>
        <w:gridCol w:w="1056"/>
      </w:tblGrid>
      <w:tr>
        <w:trPr>
          <w:trHeight w:val="300"/>
        </w:trPr>
        <w:tc>
          <w:tcPr>
            <w:tcW w:w="2880" w:type="dxa"/>
            <w:tcBorders>
              <w:top w:val="double" w:sz="6" w:space="0" w:color="auto"/>
              <w:left w:val="double" w:sz="6" w:space="0" w:color="auto"/>
              <w:bottom w:val="single" w:sz="8" w:space="0" w:color="auto"/>
              <w:right w:val="single" w:sz="8" w:space="0" w:color="000000" w:themeColor="text1"/>
            </w:tcBorders>
            <w:shd w:val="clear" w:color="auto" w:fill="99CC00"/>
            <w:vAlign w:val="center"/>
            <w:hideMark/>
          </w:tcPr>
          <w:p>
            <w:pPr>
              <w:rPr>
                <w:b/>
                <w:bCs/>
                <w:noProof/>
                <w:color w:val="000000"/>
                <w:sz w:val="20"/>
                <w:szCs w:val="20"/>
              </w:rPr>
            </w:pPr>
            <w:r>
              <w:rPr>
                <w:b/>
                <w:noProof/>
                <w:color w:val="000000"/>
                <w:sz w:val="20"/>
              </w:rPr>
              <w:t xml:space="preserve">Rubrica 3* </w:t>
            </w:r>
          </w:p>
        </w:tc>
        <w:tc>
          <w:tcPr>
            <w:tcW w:w="1026" w:type="dxa"/>
            <w:tcBorders>
              <w:top w:val="double" w:sz="6" w:space="0" w:color="auto"/>
              <w:left w:val="nil"/>
              <w:bottom w:val="single" w:sz="8" w:space="0" w:color="auto"/>
              <w:right w:val="single" w:sz="8" w:space="0" w:color="auto"/>
            </w:tcBorders>
            <w:shd w:val="clear" w:color="auto" w:fill="99CC00"/>
            <w:vAlign w:val="center"/>
            <w:hideMark/>
          </w:tcPr>
          <w:p>
            <w:pPr>
              <w:jc w:val="center"/>
              <w:rPr>
                <w:noProof/>
                <w:color w:val="000000"/>
                <w:sz w:val="20"/>
                <w:szCs w:val="20"/>
              </w:rPr>
            </w:pPr>
            <w:r>
              <w:rPr>
                <w:noProof/>
                <w:color w:val="000000"/>
                <w:sz w:val="20"/>
              </w:rPr>
              <w:t>2021</w:t>
            </w:r>
          </w:p>
        </w:tc>
        <w:tc>
          <w:tcPr>
            <w:tcW w:w="1078" w:type="dxa"/>
            <w:tcBorders>
              <w:top w:val="double" w:sz="6" w:space="0" w:color="auto"/>
              <w:left w:val="nil"/>
              <w:bottom w:val="single" w:sz="8" w:space="0" w:color="auto"/>
              <w:right w:val="single" w:sz="8" w:space="0" w:color="auto"/>
            </w:tcBorders>
            <w:shd w:val="clear" w:color="auto" w:fill="99CC00"/>
            <w:vAlign w:val="center"/>
            <w:hideMark/>
          </w:tcPr>
          <w:p>
            <w:pPr>
              <w:jc w:val="center"/>
              <w:rPr>
                <w:noProof/>
                <w:color w:val="000000"/>
                <w:sz w:val="20"/>
                <w:szCs w:val="20"/>
              </w:rPr>
            </w:pPr>
            <w:r>
              <w:rPr>
                <w:noProof/>
                <w:color w:val="000000"/>
                <w:sz w:val="20"/>
              </w:rPr>
              <w:t>2022</w:t>
            </w:r>
          </w:p>
        </w:tc>
        <w:tc>
          <w:tcPr>
            <w:tcW w:w="1007" w:type="dxa"/>
            <w:tcBorders>
              <w:top w:val="double" w:sz="6" w:space="0" w:color="auto"/>
              <w:left w:val="nil"/>
              <w:bottom w:val="single" w:sz="8" w:space="0" w:color="auto"/>
              <w:right w:val="single" w:sz="8" w:space="0" w:color="auto"/>
            </w:tcBorders>
            <w:shd w:val="clear" w:color="auto" w:fill="99CC00"/>
            <w:vAlign w:val="center"/>
            <w:hideMark/>
          </w:tcPr>
          <w:p>
            <w:pPr>
              <w:jc w:val="center"/>
              <w:rPr>
                <w:noProof/>
                <w:color w:val="000000"/>
                <w:sz w:val="20"/>
                <w:szCs w:val="20"/>
              </w:rPr>
            </w:pPr>
            <w:r>
              <w:rPr>
                <w:noProof/>
                <w:color w:val="000000"/>
                <w:sz w:val="20"/>
              </w:rPr>
              <w:t>2023</w:t>
            </w:r>
          </w:p>
        </w:tc>
        <w:tc>
          <w:tcPr>
            <w:tcW w:w="1167" w:type="dxa"/>
            <w:tcBorders>
              <w:top w:val="double" w:sz="6" w:space="0" w:color="auto"/>
              <w:left w:val="nil"/>
              <w:bottom w:val="single" w:sz="8" w:space="0" w:color="auto"/>
              <w:right w:val="single" w:sz="8" w:space="0" w:color="auto"/>
            </w:tcBorders>
            <w:shd w:val="clear" w:color="auto" w:fill="99CC00"/>
            <w:vAlign w:val="center"/>
            <w:hideMark/>
          </w:tcPr>
          <w:p>
            <w:pPr>
              <w:jc w:val="center"/>
              <w:rPr>
                <w:noProof/>
                <w:color w:val="000000"/>
                <w:sz w:val="20"/>
                <w:szCs w:val="20"/>
              </w:rPr>
            </w:pPr>
            <w:r>
              <w:rPr>
                <w:noProof/>
                <w:color w:val="000000"/>
                <w:sz w:val="20"/>
              </w:rPr>
              <w:t>2024</w:t>
            </w:r>
          </w:p>
        </w:tc>
        <w:tc>
          <w:tcPr>
            <w:tcW w:w="1027" w:type="dxa"/>
            <w:tcBorders>
              <w:top w:val="double" w:sz="6" w:space="0" w:color="auto"/>
              <w:left w:val="nil"/>
              <w:bottom w:val="single" w:sz="8" w:space="0" w:color="auto"/>
              <w:right w:val="single" w:sz="8" w:space="0" w:color="auto"/>
            </w:tcBorders>
            <w:shd w:val="clear" w:color="auto" w:fill="99CC00"/>
            <w:vAlign w:val="center"/>
            <w:hideMark/>
          </w:tcPr>
          <w:p>
            <w:pPr>
              <w:jc w:val="center"/>
              <w:rPr>
                <w:noProof/>
                <w:color w:val="000000"/>
                <w:sz w:val="20"/>
                <w:szCs w:val="20"/>
              </w:rPr>
            </w:pPr>
            <w:r>
              <w:rPr>
                <w:noProof/>
                <w:color w:val="000000"/>
                <w:sz w:val="20"/>
              </w:rPr>
              <w:t>2025</w:t>
            </w:r>
          </w:p>
        </w:tc>
        <w:tc>
          <w:tcPr>
            <w:tcW w:w="1045" w:type="dxa"/>
            <w:tcBorders>
              <w:top w:val="double" w:sz="6" w:space="0" w:color="auto"/>
              <w:left w:val="nil"/>
              <w:bottom w:val="single" w:sz="8" w:space="0" w:color="auto"/>
              <w:right w:val="single" w:sz="8" w:space="0" w:color="auto"/>
            </w:tcBorders>
            <w:shd w:val="clear" w:color="auto" w:fill="99CC00"/>
            <w:vAlign w:val="center"/>
            <w:hideMark/>
          </w:tcPr>
          <w:p>
            <w:pPr>
              <w:jc w:val="center"/>
              <w:rPr>
                <w:noProof/>
                <w:color w:val="000000"/>
                <w:sz w:val="20"/>
                <w:szCs w:val="20"/>
              </w:rPr>
            </w:pPr>
            <w:r>
              <w:rPr>
                <w:noProof/>
                <w:color w:val="000000"/>
                <w:sz w:val="20"/>
              </w:rPr>
              <w:t>2026</w:t>
            </w:r>
          </w:p>
        </w:tc>
        <w:tc>
          <w:tcPr>
            <w:tcW w:w="1056" w:type="dxa"/>
            <w:tcBorders>
              <w:top w:val="double" w:sz="6" w:space="0" w:color="auto"/>
              <w:left w:val="nil"/>
              <w:bottom w:val="single" w:sz="8" w:space="0" w:color="auto"/>
              <w:right w:val="double" w:sz="6" w:space="0" w:color="auto"/>
            </w:tcBorders>
            <w:shd w:val="clear" w:color="auto" w:fill="99CC00"/>
            <w:vAlign w:val="center"/>
            <w:hideMark/>
          </w:tcPr>
          <w:p>
            <w:pPr>
              <w:jc w:val="center"/>
              <w:rPr>
                <w:noProof/>
                <w:color w:val="000000"/>
                <w:sz w:val="20"/>
                <w:szCs w:val="20"/>
              </w:rPr>
            </w:pPr>
            <w:r>
              <w:rPr>
                <w:noProof/>
                <w:color w:val="000000" w:themeColor="text1"/>
                <w:sz w:val="20"/>
              </w:rPr>
              <w:t>2027</w:t>
            </w:r>
          </w:p>
        </w:tc>
      </w:tr>
      <w:tr>
        <w:trPr>
          <w:trHeight w:val="300"/>
        </w:trPr>
        <w:tc>
          <w:tcPr>
            <w:tcW w:w="2880" w:type="dxa"/>
            <w:tcBorders>
              <w:top w:val="single" w:sz="8" w:space="0" w:color="auto"/>
              <w:left w:val="double" w:sz="6" w:space="0" w:color="auto"/>
              <w:bottom w:val="nil"/>
              <w:right w:val="single" w:sz="8" w:space="0" w:color="000000" w:themeColor="text1"/>
            </w:tcBorders>
            <w:vAlign w:val="center"/>
            <w:hideMark/>
          </w:tcPr>
          <w:p>
            <w:pPr>
              <w:rPr>
                <w:b/>
                <w:bCs/>
                <w:noProof/>
                <w:sz w:val="20"/>
                <w:szCs w:val="20"/>
              </w:rPr>
            </w:pPr>
            <w:r>
              <w:rPr>
                <w:b/>
                <w:noProof/>
                <w:sz w:val="20"/>
              </w:rPr>
              <w:t xml:space="preserve">Total </w:t>
            </w:r>
          </w:p>
        </w:tc>
        <w:tc>
          <w:tcPr>
            <w:tcW w:w="1026" w:type="dxa"/>
            <w:tcBorders>
              <w:top w:val="nil"/>
              <w:left w:val="nil"/>
              <w:bottom w:val="nil"/>
              <w:right w:val="single" w:sz="8" w:space="0" w:color="auto"/>
            </w:tcBorders>
            <w:vAlign w:val="center"/>
            <w:hideMark/>
          </w:tcPr>
          <w:p>
            <w:pPr>
              <w:jc w:val="center"/>
              <w:rPr>
                <w:b/>
                <w:bCs/>
                <w:noProof/>
                <w:sz w:val="18"/>
                <w:szCs w:val="18"/>
              </w:rPr>
            </w:pPr>
            <w:r>
              <w:rPr>
                <w:b/>
                <w:noProof/>
                <w:sz w:val="18"/>
              </w:rPr>
              <w:t>55 713,0</w:t>
            </w:r>
          </w:p>
        </w:tc>
        <w:tc>
          <w:tcPr>
            <w:tcW w:w="1078" w:type="dxa"/>
            <w:tcBorders>
              <w:top w:val="nil"/>
              <w:left w:val="nil"/>
              <w:bottom w:val="nil"/>
              <w:right w:val="single" w:sz="8" w:space="0" w:color="auto"/>
            </w:tcBorders>
            <w:vAlign w:val="center"/>
            <w:hideMark/>
          </w:tcPr>
          <w:p>
            <w:pPr>
              <w:jc w:val="center"/>
              <w:rPr>
                <w:b/>
                <w:bCs/>
                <w:noProof/>
                <w:sz w:val="18"/>
                <w:szCs w:val="18"/>
              </w:rPr>
            </w:pPr>
            <w:r>
              <w:rPr>
                <w:b/>
                <w:noProof/>
                <w:sz w:val="18"/>
              </w:rPr>
              <w:t>53 365,9</w:t>
            </w:r>
          </w:p>
        </w:tc>
        <w:tc>
          <w:tcPr>
            <w:tcW w:w="1007" w:type="dxa"/>
            <w:tcBorders>
              <w:top w:val="nil"/>
              <w:left w:val="nil"/>
              <w:bottom w:val="nil"/>
              <w:right w:val="single" w:sz="8" w:space="0" w:color="auto"/>
            </w:tcBorders>
            <w:vAlign w:val="center"/>
            <w:hideMark/>
          </w:tcPr>
          <w:p>
            <w:pPr>
              <w:jc w:val="center"/>
              <w:rPr>
                <w:b/>
                <w:bCs/>
                <w:noProof/>
                <w:sz w:val="18"/>
                <w:szCs w:val="18"/>
              </w:rPr>
            </w:pPr>
            <w:r>
              <w:rPr>
                <w:b/>
                <w:noProof/>
                <w:sz w:val="18"/>
              </w:rPr>
              <w:t>53 626,9</w:t>
            </w:r>
          </w:p>
        </w:tc>
        <w:tc>
          <w:tcPr>
            <w:tcW w:w="1167" w:type="dxa"/>
            <w:tcBorders>
              <w:top w:val="nil"/>
              <w:left w:val="nil"/>
              <w:bottom w:val="nil"/>
              <w:right w:val="single" w:sz="8" w:space="0" w:color="auto"/>
            </w:tcBorders>
            <w:vAlign w:val="center"/>
            <w:hideMark/>
          </w:tcPr>
          <w:p>
            <w:pPr>
              <w:jc w:val="center"/>
              <w:rPr>
                <w:b/>
                <w:bCs/>
                <w:noProof/>
                <w:sz w:val="18"/>
                <w:szCs w:val="18"/>
              </w:rPr>
            </w:pPr>
            <w:r>
              <w:rPr>
                <w:b/>
                <w:noProof/>
                <w:sz w:val="18"/>
              </w:rPr>
              <w:t>53 757,9</w:t>
            </w:r>
          </w:p>
        </w:tc>
        <w:tc>
          <w:tcPr>
            <w:tcW w:w="1027" w:type="dxa"/>
            <w:tcBorders>
              <w:top w:val="nil"/>
              <w:left w:val="nil"/>
              <w:bottom w:val="nil"/>
              <w:right w:val="single" w:sz="8" w:space="0" w:color="auto"/>
            </w:tcBorders>
            <w:vAlign w:val="center"/>
            <w:hideMark/>
          </w:tcPr>
          <w:p>
            <w:pPr>
              <w:jc w:val="center"/>
              <w:rPr>
                <w:b/>
                <w:bCs/>
                <w:noProof/>
                <w:sz w:val="18"/>
                <w:szCs w:val="18"/>
              </w:rPr>
            </w:pPr>
            <w:r>
              <w:rPr>
                <w:b/>
                <w:noProof/>
                <w:sz w:val="18"/>
              </w:rPr>
              <w:t>53 890,9</w:t>
            </w:r>
          </w:p>
        </w:tc>
        <w:tc>
          <w:tcPr>
            <w:tcW w:w="1045" w:type="dxa"/>
            <w:tcBorders>
              <w:top w:val="nil"/>
              <w:left w:val="nil"/>
              <w:bottom w:val="nil"/>
              <w:right w:val="single" w:sz="8" w:space="0" w:color="auto"/>
            </w:tcBorders>
            <w:vAlign w:val="center"/>
            <w:hideMark/>
          </w:tcPr>
          <w:p>
            <w:pPr>
              <w:jc w:val="center"/>
              <w:rPr>
                <w:b/>
                <w:bCs/>
                <w:noProof/>
                <w:sz w:val="18"/>
                <w:szCs w:val="18"/>
              </w:rPr>
            </w:pPr>
            <w:r>
              <w:rPr>
                <w:b/>
                <w:noProof/>
                <w:sz w:val="18"/>
              </w:rPr>
              <w:t>54 021,9</w:t>
            </w:r>
          </w:p>
        </w:tc>
        <w:tc>
          <w:tcPr>
            <w:tcW w:w="1056" w:type="dxa"/>
            <w:tcBorders>
              <w:top w:val="nil"/>
              <w:left w:val="nil"/>
              <w:bottom w:val="nil"/>
              <w:right w:val="double" w:sz="6" w:space="0" w:color="auto"/>
            </w:tcBorders>
            <w:vAlign w:val="center"/>
            <w:hideMark/>
          </w:tcPr>
          <w:p>
            <w:pPr>
              <w:jc w:val="center"/>
              <w:rPr>
                <w:b/>
                <w:bCs/>
                <w:noProof/>
                <w:sz w:val="18"/>
                <w:szCs w:val="18"/>
              </w:rPr>
            </w:pPr>
            <w:r>
              <w:rPr>
                <w:b/>
                <w:noProof/>
                <w:sz w:val="18"/>
              </w:rPr>
              <w:t>54 000,9</w:t>
            </w:r>
          </w:p>
        </w:tc>
      </w:tr>
      <w:tr>
        <w:trPr>
          <w:trHeight w:val="300"/>
        </w:trPr>
        <w:tc>
          <w:tcPr>
            <w:tcW w:w="2880" w:type="dxa"/>
            <w:tcBorders>
              <w:top w:val="nil"/>
              <w:left w:val="double" w:sz="6" w:space="0" w:color="auto"/>
              <w:bottom w:val="nil"/>
              <w:right w:val="single" w:sz="8" w:space="0" w:color="000000" w:themeColor="text1"/>
            </w:tcBorders>
            <w:vAlign w:val="center"/>
            <w:hideMark/>
          </w:tcPr>
          <w:p>
            <w:pPr>
              <w:rPr>
                <w:noProof/>
                <w:sz w:val="20"/>
                <w:szCs w:val="20"/>
              </w:rPr>
            </w:pPr>
            <w:r>
              <w:rPr>
                <w:noProof/>
                <w:sz w:val="20"/>
              </w:rPr>
              <w:t>din care:</w:t>
            </w:r>
          </w:p>
        </w:tc>
        <w:tc>
          <w:tcPr>
            <w:tcW w:w="1026" w:type="dxa"/>
            <w:tcBorders>
              <w:top w:val="nil"/>
              <w:left w:val="nil"/>
              <w:bottom w:val="nil"/>
              <w:right w:val="single" w:sz="8" w:space="0" w:color="auto"/>
            </w:tcBorders>
            <w:vAlign w:val="center"/>
            <w:hideMark/>
          </w:tcPr>
          <w:p>
            <w:pPr>
              <w:jc w:val="center"/>
              <w:rPr>
                <w:b/>
                <w:bCs/>
                <w:noProof/>
                <w:sz w:val="18"/>
                <w:szCs w:val="18"/>
              </w:rPr>
            </w:pPr>
            <w:r>
              <w:rPr>
                <w:b/>
                <w:noProof/>
                <w:sz w:val="18"/>
              </w:rPr>
              <w:t xml:space="preserve"> </w:t>
            </w:r>
          </w:p>
        </w:tc>
        <w:tc>
          <w:tcPr>
            <w:tcW w:w="1078" w:type="dxa"/>
            <w:tcBorders>
              <w:top w:val="nil"/>
              <w:left w:val="nil"/>
              <w:bottom w:val="nil"/>
              <w:right w:val="single" w:sz="8" w:space="0" w:color="auto"/>
            </w:tcBorders>
            <w:vAlign w:val="center"/>
            <w:hideMark/>
          </w:tcPr>
          <w:p>
            <w:pPr>
              <w:jc w:val="center"/>
              <w:rPr>
                <w:b/>
                <w:bCs/>
                <w:noProof/>
                <w:sz w:val="18"/>
                <w:szCs w:val="18"/>
              </w:rPr>
            </w:pPr>
            <w:r>
              <w:rPr>
                <w:b/>
                <w:noProof/>
                <w:sz w:val="18"/>
              </w:rPr>
              <w:t xml:space="preserve"> </w:t>
            </w:r>
          </w:p>
        </w:tc>
        <w:tc>
          <w:tcPr>
            <w:tcW w:w="1007" w:type="dxa"/>
            <w:tcBorders>
              <w:top w:val="nil"/>
              <w:left w:val="nil"/>
              <w:bottom w:val="nil"/>
              <w:right w:val="single" w:sz="8" w:space="0" w:color="auto"/>
            </w:tcBorders>
            <w:vAlign w:val="center"/>
            <w:hideMark/>
          </w:tcPr>
          <w:p>
            <w:pPr>
              <w:jc w:val="center"/>
              <w:rPr>
                <w:b/>
                <w:bCs/>
                <w:noProof/>
                <w:sz w:val="18"/>
                <w:szCs w:val="18"/>
              </w:rPr>
            </w:pPr>
            <w:r>
              <w:rPr>
                <w:b/>
                <w:noProof/>
                <w:sz w:val="18"/>
              </w:rPr>
              <w:t xml:space="preserve"> </w:t>
            </w:r>
          </w:p>
        </w:tc>
        <w:tc>
          <w:tcPr>
            <w:tcW w:w="1167" w:type="dxa"/>
            <w:tcBorders>
              <w:top w:val="nil"/>
              <w:left w:val="nil"/>
              <w:bottom w:val="nil"/>
              <w:right w:val="single" w:sz="8" w:space="0" w:color="auto"/>
            </w:tcBorders>
            <w:vAlign w:val="center"/>
            <w:hideMark/>
          </w:tcPr>
          <w:p>
            <w:pPr>
              <w:jc w:val="center"/>
              <w:rPr>
                <w:b/>
                <w:bCs/>
                <w:noProof/>
                <w:sz w:val="18"/>
                <w:szCs w:val="18"/>
              </w:rPr>
            </w:pPr>
            <w:r>
              <w:rPr>
                <w:b/>
                <w:noProof/>
                <w:sz w:val="18"/>
              </w:rPr>
              <w:t xml:space="preserve"> </w:t>
            </w:r>
          </w:p>
        </w:tc>
        <w:tc>
          <w:tcPr>
            <w:tcW w:w="1027" w:type="dxa"/>
            <w:tcBorders>
              <w:top w:val="nil"/>
              <w:left w:val="nil"/>
              <w:bottom w:val="nil"/>
              <w:right w:val="single" w:sz="8" w:space="0" w:color="auto"/>
            </w:tcBorders>
            <w:vAlign w:val="center"/>
            <w:hideMark/>
          </w:tcPr>
          <w:p>
            <w:pPr>
              <w:jc w:val="center"/>
              <w:rPr>
                <w:b/>
                <w:bCs/>
                <w:noProof/>
                <w:sz w:val="18"/>
                <w:szCs w:val="18"/>
              </w:rPr>
            </w:pPr>
            <w:r>
              <w:rPr>
                <w:b/>
                <w:noProof/>
                <w:sz w:val="18"/>
              </w:rPr>
              <w:t xml:space="preserve"> </w:t>
            </w:r>
          </w:p>
        </w:tc>
        <w:tc>
          <w:tcPr>
            <w:tcW w:w="1045" w:type="dxa"/>
            <w:tcBorders>
              <w:top w:val="nil"/>
              <w:left w:val="nil"/>
              <w:bottom w:val="nil"/>
              <w:right w:val="single" w:sz="8" w:space="0" w:color="auto"/>
            </w:tcBorders>
            <w:vAlign w:val="center"/>
            <w:hideMark/>
          </w:tcPr>
          <w:p>
            <w:pPr>
              <w:jc w:val="center"/>
              <w:rPr>
                <w:b/>
                <w:bCs/>
                <w:noProof/>
                <w:sz w:val="18"/>
                <w:szCs w:val="18"/>
              </w:rPr>
            </w:pPr>
            <w:r>
              <w:rPr>
                <w:b/>
                <w:noProof/>
                <w:sz w:val="18"/>
              </w:rPr>
              <w:t xml:space="preserve"> </w:t>
            </w:r>
          </w:p>
        </w:tc>
        <w:tc>
          <w:tcPr>
            <w:tcW w:w="1056" w:type="dxa"/>
            <w:tcBorders>
              <w:top w:val="nil"/>
              <w:left w:val="nil"/>
              <w:bottom w:val="nil"/>
              <w:right w:val="double" w:sz="6" w:space="0" w:color="auto"/>
            </w:tcBorders>
            <w:vAlign w:val="center"/>
            <w:hideMark/>
          </w:tcPr>
          <w:p>
            <w:pPr>
              <w:jc w:val="center"/>
              <w:rPr>
                <w:b/>
                <w:bCs/>
                <w:noProof/>
                <w:sz w:val="18"/>
                <w:szCs w:val="18"/>
              </w:rPr>
            </w:pPr>
            <w:r>
              <w:rPr>
                <w:b/>
                <w:noProof/>
                <w:sz w:val="18"/>
              </w:rPr>
              <w:t xml:space="preserve"> </w:t>
            </w:r>
          </w:p>
        </w:tc>
      </w:tr>
      <w:tr>
        <w:trPr>
          <w:trHeight w:val="300"/>
        </w:trPr>
        <w:tc>
          <w:tcPr>
            <w:tcW w:w="2880" w:type="dxa"/>
            <w:tcBorders>
              <w:top w:val="nil"/>
              <w:left w:val="double" w:sz="6" w:space="0" w:color="auto"/>
              <w:bottom w:val="nil"/>
              <w:right w:val="single" w:sz="8" w:space="0" w:color="000000" w:themeColor="text1"/>
            </w:tcBorders>
            <w:vAlign w:val="center"/>
            <w:hideMark/>
          </w:tcPr>
          <w:p>
            <w:pPr>
              <w:rPr>
                <w:noProof/>
                <w:sz w:val="20"/>
                <w:szCs w:val="20"/>
              </w:rPr>
            </w:pPr>
            <w:r>
              <w:rPr>
                <w:noProof/>
                <w:sz w:val="20"/>
              </w:rPr>
              <w:t>- Cheltuieli de piață și plăți directe, a), b), c), d)</w:t>
            </w:r>
          </w:p>
        </w:tc>
        <w:tc>
          <w:tcPr>
            <w:tcW w:w="1026" w:type="dxa"/>
            <w:tcBorders>
              <w:top w:val="nil"/>
              <w:left w:val="nil"/>
              <w:bottom w:val="nil"/>
              <w:right w:val="single" w:sz="8" w:space="0" w:color="auto"/>
            </w:tcBorders>
            <w:vAlign w:val="center"/>
            <w:hideMark/>
          </w:tcPr>
          <w:p>
            <w:pPr>
              <w:jc w:val="center"/>
              <w:rPr>
                <w:b/>
                <w:bCs/>
                <w:noProof/>
                <w:sz w:val="18"/>
                <w:szCs w:val="18"/>
              </w:rPr>
            </w:pPr>
            <w:r>
              <w:rPr>
                <w:b/>
                <w:noProof/>
                <w:sz w:val="18"/>
              </w:rPr>
              <w:t>40 368,0</w:t>
            </w:r>
          </w:p>
        </w:tc>
        <w:tc>
          <w:tcPr>
            <w:tcW w:w="1078" w:type="dxa"/>
            <w:tcBorders>
              <w:top w:val="nil"/>
              <w:left w:val="nil"/>
              <w:bottom w:val="nil"/>
              <w:right w:val="single" w:sz="8" w:space="0" w:color="auto"/>
            </w:tcBorders>
            <w:vAlign w:val="center"/>
            <w:hideMark/>
          </w:tcPr>
          <w:p>
            <w:pPr>
              <w:jc w:val="center"/>
              <w:rPr>
                <w:b/>
                <w:bCs/>
                <w:noProof/>
                <w:sz w:val="18"/>
                <w:szCs w:val="18"/>
              </w:rPr>
            </w:pPr>
            <w:r>
              <w:rPr>
                <w:b/>
                <w:noProof/>
                <w:sz w:val="18"/>
              </w:rPr>
              <w:t>40 638,2</w:t>
            </w:r>
          </w:p>
        </w:tc>
        <w:tc>
          <w:tcPr>
            <w:tcW w:w="1007" w:type="dxa"/>
            <w:tcBorders>
              <w:top w:val="nil"/>
              <w:left w:val="nil"/>
              <w:bottom w:val="nil"/>
              <w:right w:val="single" w:sz="8" w:space="0" w:color="auto"/>
            </w:tcBorders>
            <w:vAlign w:val="center"/>
            <w:hideMark/>
          </w:tcPr>
          <w:p>
            <w:pPr>
              <w:jc w:val="center"/>
              <w:rPr>
                <w:b/>
                <w:bCs/>
                <w:noProof/>
                <w:sz w:val="18"/>
                <w:szCs w:val="18"/>
              </w:rPr>
            </w:pPr>
            <w:r>
              <w:rPr>
                <w:b/>
                <w:noProof/>
                <w:sz w:val="18"/>
              </w:rPr>
              <w:t>40 692,2</w:t>
            </w:r>
          </w:p>
        </w:tc>
        <w:tc>
          <w:tcPr>
            <w:tcW w:w="1167" w:type="dxa"/>
            <w:tcBorders>
              <w:top w:val="nil"/>
              <w:left w:val="nil"/>
              <w:bottom w:val="nil"/>
              <w:right w:val="single" w:sz="8" w:space="0" w:color="auto"/>
            </w:tcBorders>
            <w:vAlign w:val="center"/>
            <w:hideMark/>
          </w:tcPr>
          <w:p>
            <w:pPr>
              <w:jc w:val="center"/>
              <w:rPr>
                <w:b/>
                <w:bCs/>
                <w:noProof/>
                <w:sz w:val="18"/>
                <w:szCs w:val="18"/>
              </w:rPr>
            </w:pPr>
            <w:r>
              <w:rPr>
                <w:b/>
                <w:noProof/>
                <w:sz w:val="18"/>
              </w:rPr>
              <w:t>40 602,1</w:t>
            </w:r>
          </w:p>
        </w:tc>
        <w:tc>
          <w:tcPr>
            <w:tcW w:w="1027" w:type="dxa"/>
            <w:tcBorders>
              <w:top w:val="nil"/>
              <w:left w:val="nil"/>
              <w:bottom w:val="nil"/>
              <w:right w:val="single" w:sz="8" w:space="0" w:color="auto"/>
            </w:tcBorders>
            <w:vAlign w:val="center"/>
            <w:hideMark/>
          </w:tcPr>
          <w:p>
            <w:pPr>
              <w:jc w:val="center"/>
              <w:rPr>
                <w:b/>
                <w:bCs/>
                <w:noProof/>
                <w:sz w:val="18"/>
                <w:szCs w:val="18"/>
              </w:rPr>
            </w:pPr>
            <w:r>
              <w:rPr>
                <w:b/>
                <w:noProof/>
                <w:sz w:val="18"/>
              </w:rPr>
              <w:t>40 528,9</w:t>
            </w:r>
          </w:p>
        </w:tc>
        <w:tc>
          <w:tcPr>
            <w:tcW w:w="1045" w:type="dxa"/>
            <w:tcBorders>
              <w:top w:val="nil"/>
              <w:left w:val="nil"/>
              <w:bottom w:val="nil"/>
              <w:right w:val="single" w:sz="8" w:space="0" w:color="auto"/>
            </w:tcBorders>
            <w:vAlign w:val="center"/>
            <w:hideMark/>
          </w:tcPr>
          <w:p>
            <w:pPr>
              <w:jc w:val="center"/>
              <w:rPr>
                <w:b/>
                <w:bCs/>
                <w:noProof/>
                <w:sz w:val="18"/>
                <w:szCs w:val="18"/>
              </w:rPr>
            </w:pPr>
            <w:r>
              <w:rPr>
                <w:b/>
                <w:noProof/>
                <w:sz w:val="18"/>
              </w:rPr>
              <w:t>40 541,2</w:t>
            </w:r>
          </w:p>
        </w:tc>
        <w:tc>
          <w:tcPr>
            <w:tcW w:w="1056" w:type="dxa"/>
            <w:tcBorders>
              <w:top w:val="nil"/>
              <w:left w:val="nil"/>
              <w:bottom w:val="nil"/>
              <w:right w:val="double" w:sz="6" w:space="0" w:color="auto"/>
            </w:tcBorders>
            <w:vAlign w:val="center"/>
            <w:hideMark/>
          </w:tcPr>
          <w:p>
            <w:pPr>
              <w:jc w:val="center"/>
              <w:rPr>
                <w:b/>
                <w:bCs/>
                <w:noProof/>
                <w:sz w:val="18"/>
                <w:szCs w:val="18"/>
              </w:rPr>
            </w:pPr>
            <w:r>
              <w:rPr>
                <w:b/>
                <w:noProof/>
                <w:sz w:val="18"/>
              </w:rPr>
              <w:t>40 590,5</w:t>
            </w:r>
          </w:p>
        </w:tc>
      </w:tr>
      <w:tr>
        <w:trPr>
          <w:trHeight w:val="300"/>
        </w:trPr>
        <w:tc>
          <w:tcPr>
            <w:tcW w:w="2880" w:type="dxa"/>
            <w:tcBorders>
              <w:top w:val="nil"/>
              <w:left w:val="double" w:sz="6" w:space="0" w:color="auto"/>
              <w:bottom w:val="double" w:sz="6" w:space="0" w:color="auto"/>
              <w:right w:val="single" w:sz="8" w:space="0" w:color="000000" w:themeColor="text1"/>
            </w:tcBorders>
            <w:vAlign w:val="center"/>
            <w:hideMark/>
          </w:tcPr>
          <w:p>
            <w:pPr>
              <w:rPr>
                <w:noProof/>
                <w:sz w:val="20"/>
                <w:szCs w:val="20"/>
              </w:rPr>
            </w:pPr>
            <w:r>
              <w:rPr>
                <w:noProof/>
                <w:sz w:val="20"/>
              </w:rPr>
              <w:t>- Dezvoltare rurală a), b), c)</w:t>
            </w:r>
          </w:p>
        </w:tc>
        <w:tc>
          <w:tcPr>
            <w:tcW w:w="1026" w:type="dxa"/>
            <w:tcBorders>
              <w:top w:val="nil"/>
              <w:left w:val="nil"/>
              <w:bottom w:val="double" w:sz="6" w:space="0" w:color="auto"/>
              <w:right w:val="single" w:sz="8" w:space="0" w:color="auto"/>
            </w:tcBorders>
            <w:vAlign w:val="center"/>
            <w:hideMark/>
          </w:tcPr>
          <w:p>
            <w:pPr>
              <w:jc w:val="center"/>
              <w:rPr>
                <w:b/>
                <w:bCs/>
                <w:noProof/>
                <w:sz w:val="18"/>
                <w:szCs w:val="18"/>
              </w:rPr>
            </w:pPr>
            <w:r>
              <w:rPr>
                <w:b/>
                <w:noProof/>
                <w:sz w:val="18"/>
              </w:rPr>
              <w:t>15 345,0</w:t>
            </w:r>
          </w:p>
        </w:tc>
        <w:tc>
          <w:tcPr>
            <w:tcW w:w="1078" w:type="dxa"/>
            <w:tcBorders>
              <w:top w:val="nil"/>
              <w:left w:val="nil"/>
              <w:bottom w:val="double" w:sz="6" w:space="0" w:color="auto"/>
              <w:right w:val="single" w:sz="8" w:space="0" w:color="auto"/>
            </w:tcBorders>
            <w:vAlign w:val="center"/>
            <w:hideMark/>
          </w:tcPr>
          <w:p>
            <w:pPr>
              <w:jc w:val="center"/>
              <w:rPr>
                <w:b/>
                <w:bCs/>
                <w:noProof/>
                <w:sz w:val="18"/>
                <w:szCs w:val="18"/>
              </w:rPr>
            </w:pPr>
            <w:r>
              <w:rPr>
                <w:b/>
                <w:noProof/>
                <w:sz w:val="18"/>
              </w:rPr>
              <w:t>12 727,7</w:t>
            </w:r>
          </w:p>
        </w:tc>
        <w:tc>
          <w:tcPr>
            <w:tcW w:w="1007" w:type="dxa"/>
            <w:tcBorders>
              <w:top w:val="nil"/>
              <w:left w:val="nil"/>
              <w:bottom w:val="double" w:sz="6" w:space="0" w:color="auto"/>
              <w:right w:val="single" w:sz="8" w:space="0" w:color="auto"/>
            </w:tcBorders>
            <w:vAlign w:val="center"/>
            <w:hideMark/>
          </w:tcPr>
          <w:p>
            <w:pPr>
              <w:jc w:val="center"/>
              <w:rPr>
                <w:b/>
                <w:bCs/>
                <w:noProof/>
                <w:sz w:val="18"/>
                <w:szCs w:val="18"/>
              </w:rPr>
            </w:pPr>
            <w:r>
              <w:rPr>
                <w:b/>
                <w:noProof/>
                <w:sz w:val="18"/>
              </w:rPr>
              <w:t>12 934,7</w:t>
            </w:r>
          </w:p>
        </w:tc>
        <w:tc>
          <w:tcPr>
            <w:tcW w:w="1167" w:type="dxa"/>
            <w:tcBorders>
              <w:top w:val="nil"/>
              <w:left w:val="nil"/>
              <w:bottom w:val="double" w:sz="6" w:space="0" w:color="auto"/>
              <w:right w:val="single" w:sz="8" w:space="0" w:color="auto"/>
            </w:tcBorders>
            <w:vAlign w:val="center"/>
            <w:hideMark/>
          </w:tcPr>
          <w:p>
            <w:pPr>
              <w:jc w:val="center"/>
              <w:rPr>
                <w:b/>
                <w:bCs/>
                <w:noProof/>
                <w:sz w:val="18"/>
                <w:szCs w:val="18"/>
              </w:rPr>
            </w:pPr>
            <w:r>
              <w:rPr>
                <w:b/>
                <w:noProof/>
                <w:sz w:val="18"/>
              </w:rPr>
              <w:t>13 155,8</w:t>
            </w:r>
          </w:p>
        </w:tc>
        <w:tc>
          <w:tcPr>
            <w:tcW w:w="1027" w:type="dxa"/>
            <w:tcBorders>
              <w:top w:val="nil"/>
              <w:left w:val="nil"/>
              <w:bottom w:val="double" w:sz="6" w:space="0" w:color="auto"/>
              <w:right w:val="single" w:sz="8" w:space="0" w:color="auto"/>
            </w:tcBorders>
            <w:vAlign w:val="center"/>
            <w:hideMark/>
          </w:tcPr>
          <w:p>
            <w:pPr>
              <w:jc w:val="center"/>
              <w:rPr>
                <w:b/>
                <w:bCs/>
                <w:noProof/>
                <w:sz w:val="18"/>
                <w:szCs w:val="18"/>
              </w:rPr>
            </w:pPr>
            <w:r>
              <w:rPr>
                <w:b/>
                <w:noProof/>
                <w:sz w:val="18"/>
              </w:rPr>
              <w:t>13 226,0</w:t>
            </w:r>
          </w:p>
        </w:tc>
        <w:tc>
          <w:tcPr>
            <w:tcW w:w="1045" w:type="dxa"/>
            <w:tcBorders>
              <w:top w:val="nil"/>
              <w:left w:val="nil"/>
              <w:bottom w:val="double" w:sz="6" w:space="0" w:color="auto"/>
              <w:right w:val="single" w:sz="8" w:space="0" w:color="auto"/>
            </w:tcBorders>
            <w:vAlign w:val="center"/>
            <w:hideMark/>
          </w:tcPr>
          <w:p>
            <w:pPr>
              <w:jc w:val="center"/>
              <w:rPr>
                <w:b/>
                <w:bCs/>
                <w:noProof/>
                <w:sz w:val="18"/>
                <w:szCs w:val="18"/>
              </w:rPr>
            </w:pPr>
            <w:r>
              <w:rPr>
                <w:b/>
                <w:noProof/>
                <w:sz w:val="18"/>
              </w:rPr>
              <w:t>13 331,7</w:t>
            </w:r>
          </w:p>
        </w:tc>
        <w:tc>
          <w:tcPr>
            <w:tcW w:w="1056" w:type="dxa"/>
            <w:tcBorders>
              <w:top w:val="nil"/>
              <w:left w:val="nil"/>
              <w:bottom w:val="double" w:sz="6" w:space="0" w:color="auto"/>
              <w:right w:val="double" w:sz="6" w:space="0" w:color="auto"/>
            </w:tcBorders>
            <w:vAlign w:val="center"/>
            <w:hideMark/>
          </w:tcPr>
          <w:p>
            <w:pPr>
              <w:jc w:val="center"/>
              <w:rPr>
                <w:b/>
                <w:bCs/>
                <w:noProof/>
                <w:sz w:val="18"/>
                <w:szCs w:val="18"/>
              </w:rPr>
            </w:pPr>
            <w:r>
              <w:rPr>
                <w:b/>
                <w:noProof/>
                <w:sz w:val="18"/>
              </w:rPr>
              <w:t>13 410,4</w:t>
            </w:r>
          </w:p>
        </w:tc>
      </w:tr>
      <w:tr>
        <w:trPr>
          <w:trHeight w:val="300"/>
        </w:trPr>
        <w:tc>
          <w:tcPr>
            <w:tcW w:w="2880" w:type="dxa"/>
            <w:tcBorders>
              <w:top w:val="double" w:sz="6" w:space="0" w:color="auto"/>
              <w:left w:val="double" w:sz="6" w:space="0" w:color="auto"/>
              <w:bottom w:val="single" w:sz="8" w:space="0" w:color="auto"/>
              <w:right w:val="single" w:sz="8" w:space="0" w:color="000000" w:themeColor="text1"/>
            </w:tcBorders>
            <w:shd w:val="clear" w:color="auto" w:fill="99CC00"/>
            <w:vAlign w:val="center"/>
            <w:hideMark/>
          </w:tcPr>
          <w:p>
            <w:pPr>
              <w:rPr>
                <w:b/>
                <w:bCs/>
                <w:noProof/>
                <w:color w:val="000000"/>
                <w:sz w:val="20"/>
                <w:szCs w:val="20"/>
              </w:rPr>
            </w:pPr>
            <w:r>
              <w:rPr>
                <w:b/>
                <w:noProof/>
                <w:color w:val="000000"/>
                <w:sz w:val="20"/>
              </w:rPr>
              <w:t xml:space="preserve">Venituri alocate externe </w:t>
            </w:r>
          </w:p>
        </w:tc>
        <w:tc>
          <w:tcPr>
            <w:tcW w:w="1026" w:type="dxa"/>
            <w:tcBorders>
              <w:top w:val="nil"/>
              <w:left w:val="nil"/>
              <w:bottom w:val="single" w:sz="8" w:space="0" w:color="auto"/>
              <w:right w:val="single" w:sz="8" w:space="0" w:color="auto"/>
            </w:tcBorders>
            <w:shd w:val="clear" w:color="auto" w:fill="99CC00"/>
            <w:vAlign w:val="center"/>
            <w:hideMark/>
          </w:tcPr>
          <w:p>
            <w:pPr>
              <w:jc w:val="center"/>
              <w:rPr>
                <w:noProof/>
                <w:color w:val="000000"/>
                <w:sz w:val="20"/>
                <w:szCs w:val="20"/>
              </w:rPr>
            </w:pPr>
            <w:r>
              <w:rPr>
                <w:noProof/>
                <w:color w:val="000000"/>
                <w:sz w:val="20"/>
              </w:rPr>
              <w:t>2021</w:t>
            </w:r>
          </w:p>
        </w:tc>
        <w:tc>
          <w:tcPr>
            <w:tcW w:w="1078" w:type="dxa"/>
            <w:tcBorders>
              <w:top w:val="nil"/>
              <w:left w:val="nil"/>
              <w:bottom w:val="single" w:sz="8" w:space="0" w:color="auto"/>
              <w:right w:val="single" w:sz="8" w:space="0" w:color="auto"/>
            </w:tcBorders>
            <w:shd w:val="clear" w:color="auto" w:fill="99CC00"/>
            <w:vAlign w:val="center"/>
            <w:hideMark/>
          </w:tcPr>
          <w:p>
            <w:pPr>
              <w:jc w:val="center"/>
              <w:rPr>
                <w:noProof/>
                <w:color w:val="000000"/>
                <w:sz w:val="20"/>
                <w:szCs w:val="20"/>
              </w:rPr>
            </w:pPr>
            <w:r>
              <w:rPr>
                <w:noProof/>
                <w:color w:val="000000"/>
                <w:sz w:val="20"/>
              </w:rPr>
              <w:t>2022</w:t>
            </w:r>
          </w:p>
        </w:tc>
        <w:tc>
          <w:tcPr>
            <w:tcW w:w="1007" w:type="dxa"/>
            <w:tcBorders>
              <w:top w:val="nil"/>
              <w:left w:val="nil"/>
              <w:bottom w:val="single" w:sz="8" w:space="0" w:color="auto"/>
              <w:right w:val="single" w:sz="8" w:space="0" w:color="auto"/>
            </w:tcBorders>
            <w:shd w:val="clear" w:color="auto" w:fill="99CC00"/>
            <w:vAlign w:val="center"/>
            <w:hideMark/>
          </w:tcPr>
          <w:p>
            <w:pPr>
              <w:jc w:val="center"/>
              <w:rPr>
                <w:noProof/>
                <w:color w:val="000000"/>
                <w:sz w:val="20"/>
                <w:szCs w:val="20"/>
              </w:rPr>
            </w:pPr>
            <w:r>
              <w:rPr>
                <w:noProof/>
                <w:color w:val="000000"/>
                <w:sz w:val="20"/>
              </w:rPr>
              <w:t>2023</w:t>
            </w:r>
          </w:p>
        </w:tc>
        <w:tc>
          <w:tcPr>
            <w:tcW w:w="1167" w:type="dxa"/>
            <w:tcBorders>
              <w:top w:val="nil"/>
              <w:left w:val="nil"/>
              <w:bottom w:val="single" w:sz="8" w:space="0" w:color="auto"/>
              <w:right w:val="single" w:sz="8" w:space="0" w:color="auto"/>
            </w:tcBorders>
            <w:shd w:val="clear" w:color="auto" w:fill="99CC00"/>
            <w:vAlign w:val="center"/>
            <w:hideMark/>
          </w:tcPr>
          <w:p>
            <w:pPr>
              <w:jc w:val="center"/>
              <w:rPr>
                <w:noProof/>
                <w:color w:val="000000"/>
                <w:sz w:val="20"/>
                <w:szCs w:val="20"/>
              </w:rPr>
            </w:pPr>
            <w:r>
              <w:rPr>
                <w:noProof/>
                <w:color w:val="000000"/>
                <w:sz w:val="20"/>
              </w:rPr>
              <w:t>2024</w:t>
            </w:r>
          </w:p>
        </w:tc>
        <w:tc>
          <w:tcPr>
            <w:tcW w:w="1027" w:type="dxa"/>
            <w:tcBorders>
              <w:top w:val="nil"/>
              <w:left w:val="nil"/>
              <w:bottom w:val="single" w:sz="8" w:space="0" w:color="auto"/>
              <w:right w:val="single" w:sz="8" w:space="0" w:color="auto"/>
            </w:tcBorders>
            <w:shd w:val="clear" w:color="auto" w:fill="99CC00"/>
            <w:vAlign w:val="center"/>
            <w:hideMark/>
          </w:tcPr>
          <w:p>
            <w:pPr>
              <w:jc w:val="center"/>
              <w:rPr>
                <w:noProof/>
                <w:color w:val="000000"/>
                <w:sz w:val="20"/>
                <w:szCs w:val="20"/>
              </w:rPr>
            </w:pPr>
            <w:r>
              <w:rPr>
                <w:noProof/>
                <w:color w:val="000000"/>
                <w:sz w:val="20"/>
              </w:rPr>
              <w:t>2025</w:t>
            </w:r>
          </w:p>
        </w:tc>
        <w:tc>
          <w:tcPr>
            <w:tcW w:w="1045" w:type="dxa"/>
            <w:tcBorders>
              <w:top w:val="nil"/>
              <w:left w:val="nil"/>
              <w:bottom w:val="single" w:sz="8" w:space="0" w:color="auto"/>
              <w:right w:val="single" w:sz="8" w:space="0" w:color="auto"/>
            </w:tcBorders>
            <w:shd w:val="clear" w:color="auto" w:fill="99CC00"/>
            <w:vAlign w:val="center"/>
            <w:hideMark/>
          </w:tcPr>
          <w:p>
            <w:pPr>
              <w:jc w:val="center"/>
              <w:rPr>
                <w:noProof/>
                <w:color w:val="000000"/>
                <w:sz w:val="20"/>
                <w:szCs w:val="20"/>
              </w:rPr>
            </w:pPr>
            <w:r>
              <w:rPr>
                <w:noProof/>
                <w:color w:val="000000"/>
                <w:sz w:val="20"/>
              </w:rPr>
              <w:t>2026</w:t>
            </w:r>
          </w:p>
        </w:tc>
        <w:tc>
          <w:tcPr>
            <w:tcW w:w="1056" w:type="dxa"/>
            <w:tcBorders>
              <w:top w:val="nil"/>
              <w:left w:val="nil"/>
              <w:bottom w:val="single" w:sz="8" w:space="0" w:color="auto"/>
              <w:right w:val="double" w:sz="6" w:space="0" w:color="auto"/>
            </w:tcBorders>
            <w:shd w:val="clear" w:color="auto" w:fill="99CC00"/>
            <w:vAlign w:val="center"/>
            <w:hideMark/>
          </w:tcPr>
          <w:p>
            <w:pPr>
              <w:jc w:val="center"/>
              <w:rPr>
                <w:noProof/>
                <w:color w:val="000000"/>
                <w:sz w:val="20"/>
                <w:szCs w:val="20"/>
              </w:rPr>
            </w:pPr>
            <w:r>
              <w:rPr>
                <w:noProof/>
                <w:color w:val="000000"/>
                <w:sz w:val="20"/>
              </w:rPr>
              <w:t>2027</w:t>
            </w:r>
          </w:p>
        </w:tc>
      </w:tr>
      <w:tr>
        <w:trPr>
          <w:trHeight w:val="300"/>
        </w:trPr>
        <w:tc>
          <w:tcPr>
            <w:tcW w:w="2880" w:type="dxa"/>
            <w:tcBorders>
              <w:top w:val="single" w:sz="8" w:space="0" w:color="auto"/>
              <w:left w:val="double" w:sz="6" w:space="0" w:color="auto"/>
              <w:bottom w:val="double" w:sz="6" w:space="0" w:color="auto"/>
              <w:right w:val="single" w:sz="8" w:space="0" w:color="000000" w:themeColor="text1"/>
            </w:tcBorders>
            <w:vAlign w:val="center"/>
            <w:hideMark/>
          </w:tcPr>
          <w:p>
            <w:pPr>
              <w:rPr>
                <w:noProof/>
                <w:sz w:val="20"/>
                <w:szCs w:val="20"/>
              </w:rPr>
            </w:pPr>
            <w:r>
              <w:rPr>
                <w:noProof/>
                <w:sz w:val="20"/>
              </w:rPr>
              <w:t>NGEU e)</w:t>
            </w:r>
          </w:p>
        </w:tc>
        <w:tc>
          <w:tcPr>
            <w:tcW w:w="1026" w:type="dxa"/>
            <w:tcBorders>
              <w:top w:val="nil"/>
              <w:left w:val="nil"/>
              <w:bottom w:val="double" w:sz="6" w:space="0" w:color="auto"/>
              <w:right w:val="single" w:sz="8" w:space="0" w:color="auto"/>
            </w:tcBorders>
            <w:vAlign w:val="center"/>
            <w:hideMark/>
          </w:tcPr>
          <w:p>
            <w:pPr>
              <w:jc w:val="center"/>
              <w:rPr>
                <w:b/>
                <w:bCs/>
                <w:noProof/>
                <w:sz w:val="18"/>
                <w:szCs w:val="18"/>
              </w:rPr>
            </w:pPr>
            <w:r>
              <w:rPr>
                <w:b/>
                <w:noProof/>
                <w:sz w:val="18"/>
              </w:rPr>
              <w:t>2 387,70</w:t>
            </w:r>
          </w:p>
        </w:tc>
        <w:tc>
          <w:tcPr>
            <w:tcW w:w="1078" w:type="dxa"/>
            <w:tcBorders>
              <w:top w:val="nil"/>
              <w:left w:val="nil"/>
              <w:bottom w:val="double" w:sz="6" w:space="0" w:color="auto"/>
              <w:right w:val="single" w:sz="8" w:space="0" w:color="auto"/>
            </w:tcBorders>
            <w:vAlign w:val="center"/>
            <w:hideMark/>
          </w:tcPr>
          <w:p>
            <w:pPr>
              <w:jc w:val="center"/>
              <w:rPr>
                <w:b/>
                <w:bCs/>
                <w:noProof/>
                <w:sz w:val="18"/>
                <w:szCs w:val="18"/>
              </w:rPr>
            </w:pPr>
            <w:r>
              <w:rPr>
                <w:b/>
                <w:noProof/>
                <w:sz w:val="18"/>
              </w:rPr>
              <w:t>5 682,80</w:t>
            </w:r>
          </w:p>
        </w:tc>
        <w:tc>
          <w:tcPr>
            <w:tcW w:w="1007" w:type="dxa"/>
            <w:tcBorders>
              <w:top w:val="nil"/>
              <w:left w:val="nil"/>
              <w:bottom w:val="double" w:sz="6" w:space="0" w:color="auto"/>
              <w:right w:val="single" w:sz="8" w:space="0" w:color="auto"/>
            </w:tcBorders>
            <w:vAlign w:val="center"/>
            <w:hideMark/>
          </w:tcPr>
          <w:p>
            <w:pPr>
              <w:jc w:val="center"/>
              <w:rPr>
                <w:b/>
                <w:bCs/>
                <w:noProof/>
                <w:sz w:val="18"/>
                <w:szCs w:val="18"/>
              </w:rPr>
            </w:pPr>
            <w:r>
              <w:rPr>
                <w:b/>
                <w:noProof/>
                <w:sz w:val="18"/>
              </w:rPr>
              <w:t xml:space="preserve"> </w:t>
            </w:r>
          </w:p>
        </w:tc>
        <w:tc>
          <w:tcPr>
            <w:tcW w:w="1167" w:type="dxa"/>
            <w:tcBorders>
              <w:top w:val="nil"/>
              <w:left w:val="nil"/>
              <w:bottom w:val="double" w:sz="6" w:space="0" w:color="auto"/>
              <w:right w:val="single" w:sz="8" w:space="0" w:color="auto"/>
            </w:tcBorders>
            <w:vAlign w:val="center"/>
            <w:hideMark/>
          </w:tcPr>
          <w:p>
            <w:pPr>
              <w:jc w:val="center"/>
              <w:rPr>
                <w:b/>
                <w:bCs/>
                <w:noProof/>
                <w:sz w:val="18"/>
                <w:szCs w:val="18"/>
              </w:rPr>
            </w:pPr>
            <w:r>
              <w:rPr>
                <w:b/>
                <w:noProof/>
                <w:sz w:val="18"/>
              </w:rPr>
              <w:t xml:space="preserve"> </w:t>
            </w:r>
          </w:p>
        </w:tc>
        <w:tc>
          <w:tcPr>
            <w:tcW w:w="1027" w:type="dxa"/>
            <w:tcBorders>
              <w:top w:val="nil"/>
              <w:left w:val="nil"/>
              <w:bottom w:val="double" w:sz="6" w:space="0" w:color="auto"/>
              <w:right w:val="single" w:sz="8" w:space="0" w:color="auto"/>
            </w:tcBorders>
            <w:vAlign w:val="center"/>
            <w:hideMark/>
          </w:tcPr>
          <w:p>
            <w:pPr>
              <w:jc w:val="center"/>
              <w:rPr>
                <w:b/>
                <w:bCs/>
                <w:noProof/>
                <w:sz w:val="18"/>
                <w:szCs w:val="18"/>
              </w:rPr>
            </w:pPr>
            <w:r>
              <w:rPr>
                <w:b/>
                <w:noProof/>
                <w:sz w:val="18"/>
              </w:rPr>
              <w:t xml:space="preserve"> </w:t>
            </w:r>
          </w:p>
        </w:tc>
        <w:tc>
          <w:tcPr>
            <w:tcW w:w="1045" w:type="dxa"/>
            <w:tcBorders>
              <w:top w:val="nil"/>
              <w:left w:val="nil"/>
              <w:bottom w:val="double" w:sz="6" w:space="0" w:color="auto"/>
              <w:right w:val="single" w:sz="8" w:space="0" w:color="auto"/>
            </w:tcBorders>
            <w:vAlign w:val="center"/>
            <w:hideMark/>
          </w:tcPr>
          <w:p>
            <w:pPr>
              <w:jc w:val="center"/>
              <w:rPr>
                <w:b/>
                <w:bCs/>
                <w:noProof/>
                <w:sz w:val="18"/>
                <w:szCs w:val="18"/>
              </w:rPr>
            </w:pPr>
            <w:r>
              <w:rPr>
                <w:b/>
                <w:noProof/>
                <w:sz w:val="18"/>
              </w:rPr>
              <w:t xml:space="preserve"> </w:t>
            </w:r>
          </w:p>
        </w:tc>
        <w:tc>
          <w:tcPr>
            <w:tcW w:w="1056" w:type="dxa"/>
            <w:tcBorders>
              <w:top w:val="nil"/>
              <w:left w:val="nil"/>
              <w:bottom w:val="double" w:sz="6" w:space="0" w:color="auto"/>
              <w:right w:val="double" w:sz="6" w:space="0" w:color="auto"/>
            </w:tcBorders>
            <w:vAlign w:val="center"/>
            <w:hideMark/>
          </w:tcPr>
          <w:p>
            <w:pPr>
              <w:jc w:val="center"/>
              <w:rPr>
                <w:b/>
                <w:bCs/>
                <w:noProof/>
                <w:sz w:val="18"/>
                <w:szCs w:val="18"/>
              </w:rPr>
            </w:pPr>
            <w:r>
              <w:rPr>
                <w:b/>
                <w:noProof/>
                <w:sz w:val="18"/>
              </w:rPr>
              <w:t xml:space="preserve"> </w:t>
            </w:r>
          </w:p>
        </w:tc>
      </w:tr>
      <w:tr>
        <w:trPr>
          <w:trHeight w:val="300"/>
        </w:trPr>
        <w:tc>
          <w:tcPr>
            <w:tcW w:w="10286" w:type="dxa"/>
            <w:gridSpan w:val="8"/>
            <w:tcBorders>
              <w:top w:val="double" w:sz="6" w:space="0" w:color="auto"/>
              <w:left w:val="nil"/>
              <w:bottom w:val="nil"/>
              <w:right w:val="nil"/>
            </w:tcBorders>
            <w:noWrap/>
            <w:vAlign w:val="center"/>
            <w:hideMark/>
          </w:tcPr>
          <w:p>
            <w:pPr>
              <w:rPr>
                <w:noProof/>
                <w:sz w:val="18"/>
                <w:szCs w:val="18"/>
              </w:rPr>
            </w:pPr>
            <w:r>
              <w:rPr>
                <w:noProof/>
                <w:sz w:val="18"/>
              </w:rPr>
              <w:t xml:space="preserve">* Resurse naturale și mediu legate de PAC </w:t>
            </w:r>
          </w:p>
        </w:tc>
      </w:tr>
      <w:tr>
        <w:trPr>
          <w:trHeight w:val="300"/>
        </w:trPr>
        <w:tc>
          <w:tcPr>
            <w:tcW w:w="10286" w:type="dxa"/>
            <w:gridSpan w:val="8"/>
            <w:tcBorders>
              <w:top w:val="nil"/>
              <w:left w:val="nil"/>
              <w:bottom w:val="nil"/>
              <w:right w:val="nil"/>
            </w:tcBorders>
            <w:hideMark/>
          </w:tcPr>
          <w:p>
            <w:pPr>
              <w:pStyle w:val="ListParagraph"/>
              <w:numPr>
                <w:ilvl w:val="0"/>
                <w:numId w:val="43"/>
              </w:numPr>
              <w:spacing w:after="120"/>
              <w:jc w:val="both"/>
              <w:rPr>
                <w:noProof/>
                <w:sz w:val="18"/>
                <w:szCs w:val="18"/>
              </w:rPr>
            </w:pPr>
            <w:r>
              <w:rPr>
                <w:noProof/>
                <w:sz w:val="18"/>
              </w:rPr>
              <w:t>După transferurile anuale din FEGA către FEADR pentru exercițiile bugetare 2021-2023 în cuantum total de 3 463,1 milioane EUR în temeiul articolului 14 alineatul (1) din Regulamentul (UE) nr. 1307/2013, iar pentru exercițiile bugetare 2024-2027</w:t>
            </w:r>
            <w:bookmarkStart w:id="9" w:name="_Int_bRcBiOM7"/>
            <w:r>
              <w:rPr>
                <w:noProof/>
                <w:sz w:val="18"/>
              </w:rPr>
              <w:t>, în cuantum total de</w:t>
            </w:r>
            <w:bookmarkEnd w:id="9"/>
            <w:r>
              <w:rPr>
                <w:noProof/>
              </w:rPr>
              <w:t xml:space="preserve"> </w:t>
            </w:r>
            <w:r>
              <w:rPr>
                <w:noProof/>
                <w:sz w:val="18"/>
              </w:rPr>
              <w:t>7 076,4 milioane EUR în temeiul articolului 103 alineatul (1) litera (a) și al articolului 103 alineatul (2) din Regulamentul (UE) 2021/2115.</w:t>
            </w:r>
          </w:p>
          <w:p>
            <w:pPr>
              <w:pStyle w:val="ListParagraph"/>
              <w:numPr>
                <w:ilvl w:val="0"/>
                <w:numId w:val="43"/>
              </w:numPr>
              <w:spacing w:after="120"/>
              <w:jc w:val="both"/>
              <w:rPr>
                <w:noProof/>
                <w:sz w:val="18"/>
                <w:szCs w:val="18"/>
              </w:rPr>
            </w:pPr>
            <w:r>
              <w:rPr>
                <w:noProof/>
                <w:sz w:val="18"/>
              </w:rPr>
              <w:t xml:space="preserve">După transferurile anuale din FEADR către FEGA pentru exercițiile financiare 2021-2023, în cuantum total de 1 633,4 milioane EUR, în temeiul articolului 14 alineatul (2) din Regulamentul (UE) nr. 1307/2013, și, pentru exercițiile financiare 2024-2027, în cuantum total de 2 408,1 milioane EUR, în temeiul articolului 103 alineatul (1) litera (b) și al </w:t>
            </w:r>
            <w:r>
              <w:rPr>
                <w:noProof/>
                <w:sz w:val="18"/>
              </w:rPr>
              <w:lastRenderedPageBreak/>
              <w:t>articolului 103 alineatul (3) din Regulamentul (UE) 2021/2115.</w:t>
            </w:r>
          </w:p>
          <w:p>
            <w:pPr>
              <w:pStyle w:val="ListParagraph"/>
              <w:numPr>
                <w:ilvl w:val="0"/>
                <w:numId w:val="43"/>
              </w:numPr>
              <w:spacing w:after="120"/>
              <w:jc w:val="both"/>
              <w:rPr>
                <w:rStyle w:val="eop"/>
                <w:noProof/>
                <w:sz w:val="18"/>
                <w:szCs w:val="18"/>
              </w:rPr>
            </w:pPr>
            <w:r>
              <w:rPr>
                <w:rStyle w:val="normaltextrun"/>
                <w:noProof/>
                <w:sz w:val="18"/>
              </w:rPr>
              <w:t>După transferurile anuale din FEGA către FEADR pentru exercițiile bugetare 2021-2023 în cuantum total de 171,9 milioane EUR în temeiul articolului 7 alineatul (2) din Regulamentul (UE) nr. 1307/2013, iar pentru exercițiile bugetare 2024-2027, în cuantum total de 20 de milioane EUR în temeiul articolului 17 alineatul (5) din Regulamentul (UE) 2021/2115.</w:t>
            </w:r>
            <w:r>
              <w:rPr>
                <w:rStyle w:val="eop"/>
                <w:noProof/>
                <w:sz w:val="18"/>
              </w:rPr>
              <w:t xml:space="preserve"> </w:t>
            </w:r>
          </w:p>
          <w:p>
            <w:pPr>
              <w:pStyle w:val="ListParagraph"/>
              <w:numPr>
                <w:ilvl w:val="0"/>
                <w:numId w:val="43"/>
              </w:numPr>
              <w:spacing w:after="120"/>
              <w:jc w:val="both"/>
              <w:rPr>
                <w:noProof/>
                <w:sz w:val="18"/>
                <w:szCs w:val="18"/>
              </w:rPr>
            </w:pPr>
            <w:r>
              <w:rPr>
                <w:noProof/>
                <w:sz w:val="18"/>
              </w:rPr>
              <w:t>După o reducere totală de 440 milioane EUR pentru perioada 2025-2027, în urma revizuirii la jumătatea perioadei a CFM.</w:t>
            </w:r>
          </w:p>
          <w:p>
            <w:pPr>
              <w:pStyle w:val="ListParagraph"/>
              <w:numPr>
                <w:ilvl w:val="0"/>
                <w:numId w:val="43"/>
              </w:numPr>
              <w:spacing w:after="120"/>
              <w:jc w:val="both"/>
              <w:rPr>
                <w:noProof/>
                <w:sz w:val="18"/>
                <w:szCs w:val="18"/>
              </w:rPr>
            </w:pPr>
            <w:r>
              <w:rPr>
                <w:noProof/>
                <w:sz w:val="18"/>
              </w:rPr>
              <w:t>Articolul 58a din Regulamentul (UE) nr. 1305/2013.</w:t>
            </w:r>
          </w:p>
        </w:tc>
      </w:tr>
    </w:tbl>
    <w:p>
      <w:pPr>
        <w:rPr>
          <w:noProof/>
        </w:rPr>
      </w:pPr>
    </w:p>
    <w:p>
      <w:pPr>
        <w:pStyle w:val="ManualHeading2"/>
        <w:spacing w:before="360" w:after="160"/>
        <w:ind w:left="851" w:hanging="851"/>
        <w:rPr>
          <w:noProof/>
        </w:rPr>
      </w:pPr>
      <w:bookmarkStart w:id="10" w:name="_Toc393364826"/>
      <w:bookmarkStart w:id="11" w:name="_Toc102661830"/>
      <w:bookmarkStart w:id="12" w:name="_Toc105773178"/>
      <w:bookmarkStart w:id="13" w:name="_Toc238729359"/>
      <w:bookmarkStart w:id="14" w:name="_Toc322938555"/>
      <w:r>
        <w:rPr>
          <w:noProof/>
        </w:rPr>
        <w:t>1.2.</w:t>
      </w:r>
      <w:r>
        <w:rPr>
          <w:noProof/>
        </w:rPr>
        <w:tab/>
        <w:t>Proiectul de buget pentru 2025, scrisoarea rectificativă nr. 1/2025</w:t>
      </w:r>
      <w:bookmarkEnd w:id="10"/>
      <w:bookmarkEnd w:id="11"/>
      <w:bookmarkEnd w:id="12"/>
      <w:r>
        <w:rPr>
          <w:noProof/>
        </w:rPr>
        <w:t xml:space="preserve"> și adoptarea bugetului pentru 2025</w:t>
      </w:r>
      <w:bookmarkEnd w:id="13"/>
    </w:p>
    <w:p>
      <w:pPr>
        <w:pStyle w:val="Text1"/>
      </w:pPr>
      <w:bookmarkStart w:id="15" w:name="_Toc393364829"/>
      <w:bookmarkEnd w:id="14"/>
      <w:r>
        <w:t xml:space="preserve">Proiectul inițial de buget pentru 2025 a fost adoptat de Comisia Europeană și propus autorității bugetare la 19 iunie 2024. La 13 septembrie 2024, Consiliul și-a adoptat poziția privind proiectul de buget pe 2025. Comisia a prezentat scrisoarea rectificativă nr. 1/2025 la proiectul de buget general al Uniunii Europene la 10 octombrie 2024, iar Parlamentul European și-a adoptat poziția la 23 octombrie 2024. </w:t>
      </w:r>
    </w:p>
    <w:p>
      <w:pPr>
        <w:pStyle w:val="Text1"/>
      </w:pPr>
      <w:r>
        <w:t>Președintele Consiliului a convocat Comitetul de conciliere la 28 octombrie 2024. Comitetul de conciliere a convenit asupra unui text comun care a fost aprobat de Consiliu la 25 noiembrie 2024 și de Parlamentul European la 27 noiembrie 2024.</w:t>
      </w:r>
    </w:p>
    <w:p>
      <w:pPr>
        <w:pStyle w:val="Text1"/>
      </w:pPr>
      <w:r>
        <w:t>Totalul creditelor de angajament pentru FEGA prevăzute în bugetul votat s-a ridicat la 39 975,9 milioane EUR, iar creditele de plată au însumat 40 030,7 milioane EUR.</w:t>
      </w:r>
    </w:p>
    <w:p>
      <w:pPr>
        <w:pStyle w:val="Text1"/>
      </w:pPr>
      <w:r>
        <w:t xml:space="preserve">Totalul creditelor de angajament pentru FEADR prevăzute în bugetul votat s-a ridicat la 13 226 milioane EUR, iar creditele de plată au însumat 10 497 milioane EUR. </w:t>
      </w:r>
    </w:p>
    <w:p>
      <w:pPr>
        <w:pStyle w:val="Text1"/>
      </w:pPr>
      <w:r>
        <w:t>Detalii suplimentare privind sumele aferente proiectului de buget al Comisiei pentru 2025, precum și poziția Consiliului și a Parlamentului European, scrisoarea rectificativă și bugetul aprobat sunt prezentate în anexa 1.</w:t>
      </w:r>
    </w:p>
    <w:p>
      <w:pPr>
        <w:pStyle w:val="Text1"/>
      </w:pPr>
      <w:r>
        <w:t>În ceea ce privește veniturile alocate, la momentul întocmirii bugetului pe 2025, cuantumul preconizat a fi colectat în cursul exercițiului bugetar 2025 a fost estimat la 395 de milioane EUR pentru FEGA și la 225 de milioane EUR pentru FEADR.</w:t>
      </w:r>
    </w:p>
    <w:p>
      <w:pPr>
        <w:pStyle w:val="Text1"/>
        <w:spacing w:before="0" w:after="0"/>
        <w:ind w:left="851"/>
      </w:pPr>
      <w:r>
        <w:t>Veniturile alocate estimate provenite din FEGA au fost luate în considerare pentru nevoile de finanțare ale sprijinului de bază pentru venit în scopul sustenabilității atunci când autoritatea bugetară a adoptat bugetul pentru 2025. Pentru detalii privind încasarea, utilizarea și eventuala reportare a veniturilor alocate, vă rugăm să consultați anexele 2 și 3.</w:t>
      </w:r>
    </w:p>
    <w:p>
      <w:pPr>
        <w:pStyle w:val="Text1"/>
      </w:pPr>
      <w:r>
        <w:t>La 27 noiembrie 2025, a fost adoptat bugetul rectificativ nr. 2/2025. Acesta a inclus, printre altele, o majorare a creditelor de plată pentru FEADR, în urma unei accelerări a nevoilor de plată. A fost aprobată o majorare totală de 3 514 milioane EUR pentru FEADR, din care 1 784 de milioane EUR pentru tipurile de intervenții în ceea ce privește dezvoltarea rurală din cadrul planurilor strategice PAC și 1 730 de milioane EUR pentru tipurile de intervenții în ceea ce privește dezvoltarea rurală din cadrul programelor pentru perioada 2014-2022.</w:t>
      </w:r>
    </w:p>
    <w:p>
      <w:pPr>
        <w:pStyle w:val="ManualHeading1"/>
        <w:spacing w:after="160"/>
        <w:ind w:left="851" w:hanging="851"/>
        <w:rPr>
          <w:noProof/>
        </w:rPr>
      </w:pPr>
      <w:bookmarkStart w:id="16" w:name="_Toc102661833"/>
      <w:bookmarkStart w:id="17" w:name="_Toc105773181"/>
      <w:bookmarkStart w:id="18" w:name="_Toc322938559"/>
      <w:bookmarkStart w:id="19" w:name="_Toc238729360"/>
      <w:bookmarkEnd w:id="15"/>
      <w:r>
        <w:rPr>
          <w:noProof/>
        </w:rPr>
        <w:lastRenderedPageBreak/>
        <w:t>2.</w:t>
      </w:r>
      <w:bookmarkEnd w:id="16"/>
      <w:bookmarkEnd w:id="17"/>
      <w:bookmarkEnd w:id="18"/>
      <w:r>
        <w:rPr>
          <w:noProof/>
        </w:rPr>
        <w:tab/>
        <w:t>EXECUȚIA BUGETULUI 2025 PENTRU FEGA ȘI FEADR</w:t>
      </w:r>
      <w:bookmarkEnd w:id="19"/>
      <w:r>
        <w:rPr>
          <w:noProof/>
        </w:rPr>
        <w:t xml:space="preserve"> </w:t>
      </w:r>
    </w:p>
    <w:p>
      <w:pPr>
        <w:pStyle w:val="ManualHeading2"/>
        <w:spacing w:before="360" w:after="160"/>
        <w:ind w:left="851" w:hanging="851"/>
        <w:rPr>
          <w:noProof/>
        </w:rPr>
      </w:pPr>
      <w:bookmarkStart w:id="20" w:name="_Toc238729361"/>
      <w:r>
        <w:rPr>
          <w:noProof/>
        </w:rPr>
        <w:t>2.1.</w:t>
      </w:r>
      <w:r>
        <w:rPr>
          <w:noProof/>
        </w:rPr>
        <w:tab/>
        <w:t>Fondul european de garantare agricolă (FEGA)</w:t>
      </w:r>
      <w:bookmarkEnd w:id="20"/>
      <w:r>
        <w:rPr>
          <w:noProof/>
        </w:rPr>
        <w:t xml:space="preserve"> </w:t>
      </w:r>
    </w:p>
    <w:p>
      <w:pPr>
        <w:pStyle w:val="Text1"/>
      </w:pPr>
      <w:r>
        <w:t>Articolul 21 alineatul (1) din Regulamentul (UE) nr. 2021/2116</w:t>
      </w:r>
      <w:r>
        <w:rPr>
          <w:rFonts w:asciiTheme="minorHAnsi" w:eastAsiaTheme="minorEastAsia" w:hAnsiTheme="minorHAnsi" w:cstheme="minorBidi"/>
          <w:sz w:val="22"/>
          <w:szCs w:val="22"/>
          <w:vertAlign w:val="superscript"/>
        </w:rPr>
        <w:footnoteReference w:id="4"/>
      </w:r>
      <w:r>
        <w:t xml:space="preserve"> prevede că Comisia efectuează plățile lunare pentru cheltuielile efectuate de agențiile de plăți acreditate din statele membre în cursul unei luni de referință. Plățile lunare se efectuează către fiecare stat membru cel târziu în a treia zi lucrătoare din cea de a doua lună care urmează celei în care s-au efectuat cheltuielile.</w:t>
      </w:r>
    </w:p>
    <w:p>
      <w:pPr>
        <w:pStyle w:val="Text1"/>
      </w:pPr>
      <w:r>
        <w:t>Plățile lunare constituie o rambursare a cheltuielilor nete (după deducerea veniturilor) care au fost deja efectuate și sunt puse la dispoziție pe baza declarațiilor lunare prezentate de statele membre</w:t>
      </w:r>
      <w:r>
        <w:rPr>
          <w:vertAlign w:val="superscript"/>
        </w:rPr>
        <w:footnoteReference w:id="5"/>
      </w:r>
      <w:r>
        <w:t>. Contabilizarea lunară a cheltuielilor și a veniturilor face obiectul unor verificări și corecții pe baza declarațiilor respective. În plus, aceste plăți devin definitive în urma verificărilor Comisiei din cadrul procedurii de verificare a conturilor.</w:t>
      </w:r>
    </w:p>
    <w:p>
      <w:pPr>
        <w:pStyle w:val="Text1"/>
      </w:pPr>
      <w:r>
        <w:t xml:space="preserve">Sistemul plăților lunare se aplică plăților efectuate de statele membre în perioada 16 octombrie 2024 - 15 octombrie 2025. </w:t>
      </w:r>
    </w:p>
    <w:p>
      <w:pPr>
        <w:pStyle w:val="Text1"/>
      </w:pPr>
      <w:r>
        <w:t>Pentru întregul exercițiu bugetar, suma netă totală a plăților lunare decise a fost de 40 524,4 milioane EUR. Având în vedere sumele recuperate ca urmare a deciziilor privind verificarea conturilor, a venitului alocat declarat și a cheltuielilor negative, statelor membre le-au fost plătite efectiv un total de 40 292,3 milioane EUR.</w:t>
      </w:r>
    </w:p>
    <w:p>
      <w:pPr>
        <w:pStyle w:val="ManualHeading2"/>
        <w:spacing w:before="360" w:after="160"/>
        <w:ind w:left="851" w:hanging="851"/>
        <w:rPr>
          <w:noProof/>
        </w:rPr>
      </w:pPr>
      <w:bookmarkStart w:id="21" w:name="_Toc7010706"/>
      <w:bookmarkStart w:id="22" w:name="_Toc102661846"/>
      <w:bookmarkStart w:id="23" w:name="_Toc105773194"/>
      <w:bookmarkStart w:id="24" w:name="_Toc238729362"/>
      <w:r>
        <w:rPr>
          <w:noProof/>
        </w:rPr>
        <w:t>2.1.1.</w:t>
      </w:r>
      <w:r>
        <w:rPr>
          <w:noProof/>
        </w:rPr>
        <w:tab/>
        <w:t>Plăți lunare</w:t>
      </w:r>
      <w:bookmarkEnd w:id="21"/>
      <w:bookmarkEnd w:id="22"/>
      <w:bookmarkEnd w:id="23"/>
      <w:bookmarkEnd w:id="24"/>
    </w:p>
    <w:p>
      <w:pPr>
        <w:pStyle w:val="Text1"/>
      </w:pPr>
      <w:r>
        <w:t xml:space="preserve">Comisia a adoptat o decizie de plată pentru fiecare dintre cele douăsprezece perioade ale exercițiului financiar. </w:t>
      </w:r>
    </w:p>
    <w:p>
      <w:pPr>
        <w:pStyle w:val="Text1"/>
      </w:pPr>
      <w:r>
        <w:t>Pentru detalii, a se vedea anexa 4.</w:t>
      </w:r>
    </w:p>
    <w:p>
      <w:pPr>
        <w:pStyle w:val="ManualHeading2"/>
        <w:spacing w:before="360" w:after="160"/>
        <w:ind w:left="851" w:hanging="851"/>
        <w:rPr>
          <w:noProof/>
        </w:rPr>
      </w:pPr>
      <w:bookmarkStart w:id="25" w:name="_Toc7010707"/>
      <w:bookmarkStart w:id="26" w:name="_Toc102661847"/>
      <w:bookmarkStart w:id="27" w:name="_Toc105773195"/>
      <w:bookmarkStart w:id="28" w:name="_Toc238729363"/>
      <w:r>
        <w:rPr>
          <w:noProof/>
        </w:rPr>
        <w:t>2.1.2.</w:t>
      </w:r>
      <w:r>
        <w:rPr>
          <w:noProof/>
        </w:rPr>
        <w:tab/>
        <w:t>Reduceri ale plăților lunare</w:t>
      </w:r>
      <w:bookmarkEnd w:id="25"/>
      <w:bookmarkEnd w:id="26"/>
      <w:bookmarkEnd w:id="27"/>
      <w:bookmarkEnd w:id="28"/>
    </w:p>
    <w:p>
      <w:pPr>
        <w:pStyle w:val="Text1"/>
        <w:spacing w:before="60"/>
      </w:pPr>
      <w:r>
        <w:t>Pentru unele măsuri finanțate din FEGA, plafoanele financiare sunt stabilite în legislația Uniunii. Cheltuielile care depășesc aceste plafoane sunt considerate „cheltuieli neeligibile” și conduc la reduceri ale plăților lunare. În cazul în care se stabilește, pe baza declarației de cheltuieli, că a fost depășit un plafon, suma care depășește plafonul respectiv se deduce din plata lunară. În 2025, aceste reduceri s-au ridicat la o sumă netă de 6,6 milioane EUR.</w:t>
      </w:r>
    </w:p>
    <w:p>
      <w:pPr>
        <w:pStyle w:val="ManualHeading2"/>
        <w:spacing w:before="360" w:after="160"/>
        <w:ind w:left="851" w:hanging="851"/>
        <w:rPr>
          <w:noProof/>
        </w:rPr>
      </w:pPr>
      <w:bookmarkStart w:id="29" w:name="_Toc7010708"/>
      <w:bookmarkStart w:id="30" w:name="_Toc102661848"/>
      <w:bookmarkStart w:id="31" w:name="_Toc105773196"/>
      <w:bookmarkStart w:id="32" w:name="_Toc238729364"/>
      <w:r>
        <w:rPr>
          <w:noProof/>
        </w:rPr>
        <w:t>2.1.3.</w:t>
      </w:r>
      <w:r>
        <w:rPr>
          <w:noProof/>
        </w:rPr>
        <w:tab/>
        <w:t>Cheltuieli în gestiune directă efectuate de Comisie</w:t>
      </w:r>
      <w:bookmarkEnd w:id="29"/>
      <w:bookmarkEnd w:id="30"/>
      <w:bookmarkEnd w:id="31"/>
      <w:bookmarkEnd w:id="32"/>
      <w:r>
        <w:rPr>
          <w:noProof/>
          <w:color w:val="FF0000"/>
        </w:rPr>
        <w:t xml:space="preserve"> </w:t>
      </w:r>
    </w:p>
    <w:p>
      <w:pPr>
        <w:pStyle w:val="Text1"/>
        <w:spacing w:after="160"/>
        <w:ind w:left="851"/>
      </w:pPr>
      <w:r>
        <w:t xml:space="preserve">Comisia efectuează plăți în cadrul gestiunii directe pentru anumite măsuri. Acestea sunt legate în principal de asistența tehnică operațională și de măsurile de promovare puse în aplicare prin programe și alte acțiuni multinaționale. Pentru detalii, a se vedea tabelele 2 </w:t>
      </w:r>
      <w:r>
        <w:lastRenderedPageBreak/>
        <w:t>și 3. Detaliile privind creditele votate executate în gestiune directă de către Comisie în cursul exercițiului financiar 2025 pentru cheltuieli operaționale și administrative sunt prezentate în anexele 5 și 6.</w:t>
      </w:r>
    </w:p>
    <w:p>
      <w:pPr>
        <w:pStyle w:val="Text1"/>
      </w:pPr>
    </w:p>
    <w:p>
      <w:pPr>
        <w:pStyle w:val="Text1"/>
      </w:pPr>
    </w:p>
    <w:p>
      <w:pPr>
        <w:pStyle w:val="Text1"/>
        <w:rPr>
          <w:i/>
          <w:iCs/>
        </w:rPr>
      </w:pPr>
      <w:r>
        <w:t xml:space="preserve">Tabelul 2 </w:t>
      </w:r>
      <w:r>
        <w:tab/>
      </w:r>
      <w:r>
        <w:tab/>
      </w:r>
      <w:r>
        <w:tab/>
      </w:r>
      <w:r>
        <w:tab/>
      </w:r>
      <w:r>
        <w:tab/>
      </w:r>
      <w:r>
        <w:tab/>
      </w:r>
      <w:r>
        <w:tab/>
      </w:r>
      <w:r>
        <w:rPr>
          <w:i/>
        </w:rPr>
        <w:t>(în EUR; prețuri curente)</w:t>
      </w:r>
    </w:p>
    <w:p>
      <w:pPr>
        <w:pStyle w:val="Text1"/>
      </w:pPr>
      <w:r>
        <w:drawing>
          <wp:inline distT="0" distB="0" distL="0" distR="0">
            <wp:extent cx="5471160" cy="3942272"/>
            <wp:effectExtent l="0" t="0" r="0" b="1270"/>
            <wp:docPr id="1932272585"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5485033" cy="3952268"/>
                    </a:xfrm>
                    <a:prstGeom prst="rect">
                      <a:avLst/>
                    </a:prstGeom>
                    <a:noFill/>
                    <a:ln>
                      <a:noFill/>
                    </a:ln>
                  </pic:spPr>
                </pic:pic>
              </a:graphicData>
            </a:graphic>
          </wp:inline>
        </w:drawing>
      </w:r>
    </w:p>
    <w:p>
      <w:pPr>
        <w:pStyle w:val="Text1"/>
      </w:pPr>
    </w:p>
    <w:p>
      <w:pPr>
        <w:pStyle w:val="Text1"/>
        <w:rPr>
          <w:iCs/>
        </w:rPr>
      </w:pPr>
    </w:p>
    <w:p>
      <w:pPr>
        <w:pStyle w:val="Text1"/>
        <w:rPr>
          <w:iCs/>
        </w:rPr>
      </w:pPr>
    </w:p>
    <w:p>
      <w:pPr>
        <w:pStyle w:val="Text1"/>
        <w:rPr>
          <w:iCs/>
        </w:rPr>
      </w:pPr>
    </w:p>
    <w:p>
      <w:pPr>
        <w:pStyle w:val="Text1"/>
        <w:rPr>
          <w:iCs/>
        </w:rPr>
      </w:pPr>
    </w:p>
    <w:p>
      <w:pPr>
        <w:pStyle w:val="Text1"/>
        <w:rPr>
          <w:iCs/>
        </w:rPr>
      </w:pPr>
    </w:p>
    <w:p>
      <w:pPr>
        <w:pStyle w:val="Text1"/>
        <w:rPr>
          <w:iCs/>
        </w:rPr>
      </w:pPr>
    </w:p>
    <w:p>
      <w:pPr>
        <w:pStyle w:val="Text1"/>
        <w:rPr>
          <w:iCs/>
        </w:rPr>
      </w:pPr>
    </w:p>
    <w:p>
      <w:pPr>
        <w:pStyle w:val="Text1"/>
        <w:rPr>
          <w:iCs/>
        </w:rPr>
      </w:pPr>
    </w:p>
    <w:p>
      <w:pPr>
        <w:pStyle w:val="Text1"/>
        <w:rPr>
          <w:iCs/>
        </w:rPr>
      </w:pPr>
    </w:p>
    <w:p>
      <w:pPr>
        <w:pStyle w:val="Text1"/>
        <w:rPr>
          <w:iCs/>
        </w:rPr>
      </w:pPr>
    </w:p>
    <w:p>
      <w:pPr>
        <w:pStyle w:val="Text1"/>
        <w:rPr>
          <w:i/>
        </w:rPr>
      </w:pPr>
      <w:r>
        <w:lastRenderedPageBreak/>
        <w:t xml:space="preserve">Tabelul 3 </w:t>
      </w:r>
      <w:r>
        <w:tab/>
      </w:r>
      <w:r>
        <w:tab/>
      </w:r>
      <w:r>
        <w:tab/>
      </w:r>
      <w:r>
        <w:tab/>
      </w:r>
      <w:r>
        <w:tab/>
      </w:r>
      <w:r>
        <w:tab/>
      </w:r>
      <w:r>
        <w:rPr>
          <w:i/>
        </w:rPr>
        <w:t>(în EUR; prețuri curente)</w:t>
      </w:r>
      <w:r>
        <w:t xml:space="preserve"> </w:t>
      </w:r>
    </w:p>
    <w:p>
      <w:pPr>
        <w:pStyle w:val="Text1"/>
      </w:pPr>
      <w:r>
        <w:drawing>
          <wp:inline distT="0" distB="0" distL="0" distR="0">
            <wp:extent cx="5136542" cy="2814802"/>
            <wp:effectExtent l="0" t="0" r="6985" b="5080"/>
            <wp:docPr id="716354973"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5153019" cy="2823832"/>
                    </a:xfrm>
                    <a:prstGeom prst="rect">
                      <a:avLst/>
                    </a:prstGeom>
                    <a:noFill/>
                    <a:ln>
                      <a:noFill/>
                    </a:ln>
                  </pic:spPr>
                </pic:pic>
              </a:graphicData>
            </a:graphic>
          </wp:inline>
        </w:drawing>
      </w:r>
    </w:p>
    <w:p>
      <w:pPr>
        <w:pStyle w:val="ManualHeading2"/>
        <w:spacing w:before="360" w:after="160"/>
        <w:ind w:left="851" w:hanging="851"/>
        <w:rPr>
          <w:noProof/>
          <w:color w:val="FF0000"/>
        </w:rPr>
      </w:pPr>
      <w:bookmarkStart w:id="33" w:name="_Toc238729365"/>
      <w:r>
        <w:rPr>
          <w:noProof/>
        </w:rPr>
        <w:t>2.2.</w:t>
      </w:r>
      <w:r>
        <w:rPr>
          <w:noProof/>
        </w:rPr>
        <w:tab/>
        <w:t>Fondul european agricol pentru dezvoltare rurală (FEADR) și Instrumentul de redresare al Uniunii Europene (EURI)</w:t>
      </w:r>
      <w:bookmarkEnd w:id="33"/>
    </w:p>
    <w:p>
      <w:pPr>
        <w:pStyle w:val="Text1"/>
      </w:pPr>
      <w:r>
        <w:t xml:space="preserve">Articolul 31 alineatul (1) din </w:t>
      </w:r>
      <w:bookmarkStart w:id="34" w:name="_Hlk173174003"/>
      <w:r>
        <w:t>Regulamentul (UE) 2021/2116</w:t>
      </w:r>
      <w:bookmarkEnd w:id="34"/>
      <w:r>
        <w:t xml:space="preserve"> prevede că, în urma deciziei sale de punere în aplicare de aprobare a planului strategic PAC, Comisia plătește statului membru o sumă inițială de prefinanțare pentru întreaga durată a planului strategic PAC. Articolul 32 din Regulamentul (UE) 2021/2116 prevede, de asemenea, efectuarea de plăți intermediare pentru fiecare plan strategic PAC în vederea rambursării cheltuielilor efectuate de agențiile de plăți acreditate în punerea în aplicare a planurilor strategice PAC.</w:t>
      </w:r>
    </w:p>
    <w:p>
      <w:pPr>
        <w:pStyle w:val="Text1"/>
      </w:pPr>
      <w:r>
        <w:t>În ceea ce privește finalizarea programelor de dezvoltare rurală aprobate în temeiul Regulamentului (UE) nr. 1306/2013</w:t>
      </w:r>
      <w:r>
        <w:rPr>
          <w:rStyle w:val="FootnoteReference"/>
        </w:rPr>
        <w:footnoteReference w:id="6"/>
      </w:r>
      <w:r>
        <w:t>, articolul 34 alineatul (2) din regulamentul menționat prevede că totalul combinat al prefinanţării și al plăților intermediare nu poate depăși 95 % din contribuția FEADR la fiecare program de dezvoltare rurală. În temeiul articolului 36 alineatul (2) din Regulamentul (UE) nr. 1306/2013 și în funcție de disponibilitatea resurselor, Comisia efectuează plăți intermediare cu scopul de a rambursa cheltuielile efectuate de agențiile de plăți acreditate pentru punerea în aplicare a programelor, luând în considerare reducerile sau suspendările aplicate în temeiul articolului 41.</w:t>
      </w:r>
    </w:p>
    <w:p>
      <w:pPr>
        <w:pStyle w:val="Text1"/>
      </w:pPr>
      <w:r>
        <w:t>Conform celor menționate la articolul 37 alineatul (1) din Regulamentul (UE) nr. 1306/2013, după primirea ultimului raport intermediar anual privind aplicarea unui program de dezvoltare rurală, Comisia trebuie să efectueze plata soldului, în funcție de disponibilitatea resurselor, pe baza planului de finanțare în vigoare, a conturilor anuale pentru ultimul an de execuție a programului de dezvoltare rurală în cauză și a deciziei de verificare aferente.</w:t>
      </w:r>
    </w:p>
    <w:p>
      <w:pPr>
        <w:pStyle w:val="ManualHeading2"/>
        <w:spacing w:before="360" w:after="160"/>
        <w:ind w:left="851" w:hanging="851"/>
        <w:rPr>
          <w:noProof/>
        </w:rPr>
      </w:pPr>
      <w:bookmarkStart w:id="35" w:name="_Toc238729366"/>
      <w:r>
        <w:rPr>
          <w:noProof/>
        </w:rPr>
        <w:lastRenderedPageBreak/>
        <w:t>2.2.1.</w:t>
      </w:r>
      <w:r>
        <w:rPr>
          <w:noProof/>
        </w:rPr>
        <w:tab/>
        <w:t>Plăți</w:t>
      </w:r>
      <w:bookmarkEnd w:id="35"/>
    </w:p>
    <w:p>
      <w:pPr>
        <w:pStyle w:val="Text1"/>
      </w:pPr>
      <w:r>
        <w:t xml:space="preserve">Comisia procedează la rambursarea fiecărei declarații trimestriale de cheltuieli din exercițiul financiar. </w:t>
      </w:r>
    </w:p>
    <w:p>
      <w:pPr>
        <w:pStyle w:val="Text1"/>
      </w:pPr>
      <w:r>
        <w:t>Pentru detalii, a se vedea anexa 7.</w:t>
      </w:r>
    </w:p>
    <w:p>
      <w:pPr>
        <w:pStyle w:val="ManualHeading2"/>
        <w:spacing w:before="360" w:after="160"/>
        <w:ind w:left="851" w:hanging="851"/>
        <w:rPr>
          <w:noProof/>
        </w:rPr>
      </w:pPr>
      <w:bookmarkStart w:id="36" w:name="_Toc238729367"/>
      <w:r>
        <w:rPr>
          <w:noProof/>
        </w:rPr>
        <w:t>2.2.2.</w:t>
      </w:r>
      <w:r>
        <w:rPr>
          <w:noProof/>
        </w:rPr>
        <w:tab/>
        <w:t>Reduceri ale plăților</w:t>
      </w:r>
      <w:bookmarkEnd w:id="36"/>
      <w:r>
        <w:rPr>
          <w:noProof/>
        </w:rPr>
        <w:t xml:space="preserve"> </w:t>
      </w:r>
    </w:p>
    <w:p>
      <w:pPr>
        <w:pStyle w:val="Text1"/>
      </w:pPr>
      <w:r>
        <w:t>Pentru măsurile finanțate din FEADR, plafoanele financiare sunt stabilite în conformitate cu legislația Uniunii. Cheltuielile care depășesc aceste plafoane sunt considerate „cheltuieli neeligibile” și conduc la reduceri ale plăților. În 2025, s-au înregistrat reduceri în cuantum net de 57,5 milioane EUR ale plăților lunare efectuate către statele membre, pe baza declarațiilor trimestriale de cheltuieli pentru 2025.</w:t>
      </w:r>
    </w:p>
    <w:p>
      <w:pPr>
        <w:pStyle w:val="ManualHeading2"/>
        <w:spacing w:before="360" w:after="160"/>
        <w:ind w:left="851" w:hanging="851"/>
        <w:rPr>
          <w:noProof/>
        </w:rPr>
      </w:pPr>
      <w:bookmarkStart w:id="37" w:name="_Toc238729368"/>
      <w:r>
        <w:rPr>
          <w:noProof/>
        </w:rPr>
        <w:t>2.2.3.</w:t>
      </w:r>
      <w:r>
        <w:rPr>
          <w:noProof/>
        </w:rPr>
        <w:tab/>
        <w:t>Cheltuieli în gestiunea directă a Comisiei</w:t>
      </w:r>
      <w:bookmarkEnd w:id="37"/>
      <w:r>
        <w:rPr>
          <w:noProof/>
          <w:color w:val="FF0000"/>
        </w:rPr>
        <w:t xml:space="preserve"> </w:t>
      </w:r>
    </w:p>
    <w:p>
      <w:pPr>
        <w:pStyle w:val="Text1"/>
      </w:pPr>
      <w:r>
        <w:t xml:space="preserve">Comisia pune în aplicare anumite măsuri și acțiuni în cadrul gestiunii directe, legate în principal de asistența tehnică operațională. Pentru detalii, a se vedea tabelele 4 și 5. Detaliile privind creditele votate executate în gestiune directă de către Comisie în cursul exercițiului financiar 2025 pentru cheltuieli operaționale sunt prezentate în anexele 5 și 6. </w:t>
      </w:r>
    </w:p>
    <w:p>
      <w:pPr>
        <w:rPr>
          <w:rFonts w:eastAsia="MS PGothic"/>
          <w:noProof/>
          <w:kern w:val="0"/>
          <w14:ligatures w14:val="none"/>
        </w:rPr>
      </w:pPr>
      <w:r>
        <w:rPr>
          <w:noProof/>
        </w:rPr>
        <w:br w:type="page"/>
      </w:r>
    </w:p>
    <w:p>
      <w:pPr>
        <w:pStyle w:val="Text1"/>
        <w:rPr>
          <w:i/>
        </w:rPr>
      </w:pPr>
      <w:r>
        <w:lastRenderedPageBreak/>
        <w:t xml:space="preserve">Tabelul 4 </w:t>
      </w:r>
      <w:r>
        <w:tab/>
      </w:r>
      <w:r>
        <w:tab/>
      </w:r>
      <w:r>
        <w:tab/>
      </w:r>
      <w:r>
        <w:tab/>
      </w:r>
      <w:r>
        <w:tab/>
      </w:r>
      <w:r>
        <w:tab/>
      </w:r>
      <w:r>
        <w:tab/>
      </w:r>
      <w:r>
        <w:rPr>
          <w:i/>
        </w:rPr>
        <w:t>(în EUR; prețuri curente)</w:t>
      </w:r>
    </w:p>
    <w:p>
      <w:pPr>
        <w:pStyle w:val="Text1"/>
        <w:ind w:left="567"/>
        <w:jc w:val="center"/>
        <w:rPr>
          <w:i/>
          <w:iCs/>
        </w:rPr>
      </w:pPr>
      <w:r>
        <w:drawing>
          <wp:inline distT="0" distB="0" distL="0" distR="0">
            <wp:extent cx="5422079" cy="3571336"/>
            <wp:effectExtent l="0" t="0" r="7620" b="0"/>
            <wp:docPr id="1736594122"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5444144" cy="3585869"/>
                    </a:xfrm>
                    <a:prstGeom prst="rect">
                      <a:avLst/>
                    </a:prstGeom>
                    <a:noFill/>
                    <a:ln>
                      <a:noFill/>
                    </a:ln>
                  </pic:spPr>
                </pic:pic>
              </a:graphicData>
            </a:graphic>
          </wp:inline>
        </w:drawing>
      </w:r>
    </w:p>
    <w:p>
      <w:pPr>
        <w:pStyle w:val="Text1"/>
        <w:rPr>
          <w:iCs/>
        </w:rPr>
      </w:pPr>
    </w:p>
    <w:p>
      <w:pPr>
        <w:pStyle w:val="Text1"/>
        <w:rPr>
          <w:i/>
        </w:rPr>
      </w:pPr>
      <w:r>
        <w:t xml:space="preserve">Tabelul 5 </w:t>
      </w:r>
      <w:r>
        <w:tab/>
      </w:r>
      <w:r>
        <w:tab/>
      </w:r>
      <w:r>
        <w:tab/>
      </w:r>
      <w:r>
        <w:tab/>
      </w:r>
      <w:r>
        <w:tab/>
      </w:r>
      <w:r>
        <w:tab/>
      </w:r>
      <w:r>
        <w:tab/>
      </w:r>
      <w:r>
        <w:rPr>
          <w:i/>
        </w:rPr>
        <w:t>(în EUR; prețuri curente)</w:t>
      </w:r>
    </w:p>
    <w:p>
      <w:pPr>
        <w:pStyle w:val="Text1"/>
      </w:pPr>
      <w:r>
        <w:drawing>
          <wp:inline distT="0" distB="0" distL="0" distR="0">
            <wp:extent cx="5321847" cy="2113280"/>
            <wp:effectExtent l="0" t="0" r="0" b="1270"/>
            <wp:docPr id="2101337163"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5371511" cy="2133001"/>
                    </a:xfrm>
                    <a:prstGeom prst="rect">
                      <a:avLst/>
                    </a:prstGeom>
                    <a:noFill/>
                    <a:ln>
                      <a:noFill/>
                    </a:ln>
                  </pic:spPr>
                </pic:pic>
              </a:graphicData>
            </a:graphic>
          </wp:inline>
        </w:drawing>
      </w:r>
    </w:p>
    <w:p>
      <w:pPr>
        <w:rPr>
          <w:rFonts w:eastAsia="MS PGothic"/>
          <w:noProof/>
        </w:rPr>
      </w:pPr>
      <w:r>
        <w:rPr>
          <w:noProof/>
        </w:rPr>
        <w:br w:type="page"/>
      </w:r>
    </w:p>
    <w:p>
      <w:pPr>
        <w:pStyle w:val="ManualHeading1"/>
        <w:spacing w:after="160"/>
        <w:ind w:left="851" w:hanging="851"/>
        <w:rPr>
          <w:noProof/>
        </w:rPr>
      </w:pPr>
      <w:bookmarkStart w:id="38" w:name="_Toc7010710"/>
      <w:bookmarkStart w:id="39" w:name="_Toc102661850"/>
      <w:bookmarkStart w:id="40" w:name="_Toc105773198"/>
      <w:bookmarkStart w:id="41" w:name="_Toc139622279"/>
      <w:bookmarkStart w:id="42" w:name="_Toc238729369"/>
      <w:r>
        <w:rPr>
          <w:noProof/>
        </w:rPr>
        <w:lastRenderedPageBreak/>
        <w:t>3.</w:t>
      </w:r>
      <w:r>
        <w:rPr>
          <w:noProof/>
        </w:rPr>
        <w:tab/>
        <w:t>UTILIZAREA CREDITELOR FEGA ȘI FEADR</w:t>
      </w:r>
      <w:bookmarkEnd w:id="38"/>
      <w:bookmarkEnd w:id="39"/>
      <w:bookmarkEnd w:id="40"/>
      <w:bookmarkEnd w:id="41"/>
      <w:bookmarkEnd w:id="42"/>
      <w:r>
        <w:rPr>
          <w:noProof/>
        </w:rPr>
        <w:t xml:space="preserve"> </w:t>
      </w:r>
    </w:p>
    <w:p>
      <w:pPr>
        <w:pStyle w:val="ManualHeading2"/>
        <w:rPr>
          <w:noProof/>
        </w:rPr>
      </w:pPr>
      <w:bookmarkStart w:id="43" w:name="_Toc238729370"/>
      <w:r>
        <w:rPr>
          <w:noProof/>
        </w:rPr>
        <w:t>3.1.</w:t>
      </w:r>
      <w:r>
        <w:rPr>
          <w:noProof/>
        </w:rPr>
        <w:tab/>
        <w:t>Fondul european de garantare agricolă (FEGA)</w:t>
      </w:r>
      <w:bookmarkEnd w:id="43"/>
    </w:p>
    <w:p>
      <w:pPr>
        <w:pStyle w:val="Text1"/>
        <w:ind w:left="851"/>
      </w:pPr>
      <w:bookmarkStart w:id="44" w:name="_Hlk200465182"/>
      <w:r>
        <w:t>Utilizarea creditelor FEGA a fost de 40 875,4 milioane EUR</w:t>
      </w:r>
      <w:bookmarkEnd w:id="44"/>
      <w:r>
        <w:t>. Aceste cheltuieli au fost finanțate prin creditele bugetare inițiale, precum și utilizând veniturile alocate FEGA. Din veniturile în cuantum de 995,3 milioane EUR alocate FEGA, colectate în 2025 și reportate din 2024 (din care 983,6 milioane EUR în cadrul gestiunii partajate), 924,6 milioane EUR au fost utilizate pentru a acoperi nevoile de plată.</w:t>
      </w:r>
    </w:p>
    <w:p>
      <w:pPr>
        <w:pStyle w:val="Text1"/>
        <w:ind w:left="851"/>
      </w:pPr>
      <w:r>
        <w:t>În cadrul capitolului 08 01, angajamentele FEGA pentru cheltuielile de sprijin administrativ în temeiul articolului 08 01 01 s-au ridicat la 12,4 milioane EUR (inclusiv 9,7 milioane EUR reprezentând venituri alocate reportate din exercițiul financiar 2024).</w:t>
      </w:r>
    </w:p>
    <w:p>
      <w:pPr>
        <w:pStyle w:val="Text1"/>
        <w:ind w:left="851"/>
      </w:pPr>
      <w:bookmarkStart w:id="45" w:name="_Hlk200465359"/>
      <w:r>
        <w:t xml:space="preserve">Suma de 255,3 milioane EUR a fost utilizată din rezerva pentru agricultură pentru a finanța diverse măsuri excepționale de sprijin. </w:t>
      </w:r>
    </w:p>
    <w:p>
      <w:pPr>
        <w:pStyle w:val="Text1"/>
        <w:ind w:left="851"/>
      </w:pPr>
      <w:r>
        <w:t>În cadrul capitolului 08 02, cheltuielile totale FEGA pentru intervențiile legate de piață, în cadrul planurilor PAC (articolul bugetar 08 02 02) și în afara planurilor PAC (articolul 08 02 03 din buget) s-au ridicat la 2 802,7 milioane EUR</w:t>
      </w:r>
      <w:bookmarkEnd w:id="45"/>
      <w:r>
        <w:t xml:space="preserve">. </w:t>
      </w:r>
    </w:p>
    <w:p>
      <w:pPr>
        <w:pStyle w:val="Text1"/>
        <w:ind w:left="851"/>
      </w:pPr>
      <w:r>
        <w:t>Plățile directe în exercițiul financiar 2025 au fost executate în cadrul planurilor PAC (articolul bugetar 08 02 04) în conformitate cu normele prevăzute în Regulamentul (UE) 2021/2115 și în afara planurilor PAC (articolul bugetar 08 02 05), în conformitate cu normele prevăzute în Regulamentul (UE) nr. 1307/2013</w:t>
      </w:r>
      <w:r>
        <w:rPr>
          <w:rStyle w:val="FootnoteReference"/>
        </w:rPr>
        <w:footnoteReference w:id="7"/>
      </w:r>
      <w:r>
        <w:t xml:space="preserve">. Cheltuielile totale aferente s-au ridicat la 37 683,3 milioane EUR. </w:t>
      </w:r>
    </w:p>
    <w:p>
      <w:pPr>
        <w:pStyle w:val="Text1"/>
        <w:ind w:left="851"/>
      </w:pPr>
      <w:r>
        <w:t>În fine, 119,1 milioane EUR au fost angajate în temeiul articolului 08 02 06 – Strategie politică, coordonare și audit (din care 101,6 milioane EUR pentru asistență tehnică) și 2,7 milioane EUR în temeiul articolului 08 02 99 – Finalizarea programelor și activităților anterioare.</w:t>
      </w:r>
    </w:p>
    <w:p>
      <w:pPr>
        <w:pStyle w:val="Text1"/>
        <w:ind w:left="851"/>
      </w:pPr>
      <w:r>
        <w:t>Subutilizarea aferentă FEGA a fost de 70,7 milioane EUR în credite din venituri alocate (din care 70,2 milioane în cadrul gestiunii partajate), care au fost reportate în exercițiul financiar 2026. În plus, creditele neutilizate din rezerva pentru agricultură s-au ridicat la 391,4 milioane EUR. Întreaga sumă a fost reportată în rezerva pentru agricultură pentru 2026, în conformitate cu dispozițiile articolului 16 alineatul (2) din Regulamentul (UE) 2021/2116, parțial pentru a finanța cheltuielile rămase legate de măsurile excepționale adoptate în 2025.</w:t>
      </w:r>
    </w:p>
    <w:p>
      <w:pPr>
        <w:pStyle w:val="Text1"/>
        <w:ind w:left="851"/>
      </w:pPr>
      <w:r>
        <w:t>Pentru detalii privind execuția bugetară pe domenii de politică, precum și privind utilizarea veniturilor alocate, vă rugăm să consultați anexele 8, 9, 10, 11 și 12.</w:t>
      </w:r>
    </w:p>
    <w:p>
      <w:pPr>
        <w:pStyle w:val="ManualHeading2"/>
        <w:spacing w:before="360" w:after="160"/>
        <w:ind w:left="851" w:hanging="851"/>
        <w:rPr>
          <w:noProof/>
        </w:rPr>
      </w:pPr>
      <w:bookmarkStart w:id="46" w:name="_Toc238729371"/>
      <w:r>
        <w:rPr>
          <w:noProof/>
        </w:rPr>
        <w:t>3.2.</w:t>
      </w:r>
      <w:r>
        <w:rPr>
          <w:noProof/>
        </w:rPr>
        <w:tab/>
        <w:t>Fondul european agricol pentru dezvoltare rurală (FEADR) și Instrumentul de redresare al Uniunii Europene (EURI)</w:t>
      </w:r>
      <w:bookmarkEnd w:id="46"/>
      <w:r>
        <w:rPr>
          <w:noProof/>
          <w:color w:val="FF0000"/>
        </w:rPr>
        <w:t xml:space="preserve"> </w:t>
      </w:r>
    </w:p>
    <w:p>
      <w:pPr>
        <w:pStyle w:val="Text1"/>
        <w:ind w:left="851"/>
      </w:pPr>
      <w:r>
        <w:t xml:space="preserve">Execuția creditelor de angajament FEADR s-a ridicat la 13 226,7 milioane EUR (anexa 13), utilizând creditele bugetare inițiale votate și veniturile alocate interne și externe ale FEADR. </w:t>
      </w:r>
    </w:p>
    <w:p>
      <w:pPr>
        <w:pStyle w:val="Text1"/>
        <w:ind w:left="851"/>
      </w:pPr>
      <w:r>
        <w:lastRenderedPageBreak/>
        <w:t xml:space="preserve">În cadrul capitolului 08 01, suma angajată din FEADR a fost de 2,4 milioane EUR pentru sprijin administrativ pentru program. </w:t>
      </w:r>
    </w:p>
    <w:p>
      <w:pPr>
        <w:pStyle w:val="Text1"/>
        <w:ind w:left="851"/>
      </w:pPr>
      <w:r>
        <w:t>În cadrul capitolului 08 03, pe lângă suma angajată pentru punerea în aplicare a tipurilor de intervenții în temeiul planurilor strategice PAC (13 195,7 milioane EUR):</w:t>
      </w:r>
    </w:p>
    <w:p>
      <w:pPr>
        <w:pStyle w:val="Text1"/>
        <w:numPr>
          <w:ilvl w:val="0"/>
          <w:numId w:val="40"/>
        </w:numPr>
      </w:pPr>
      <w:r>
        <w:t>suma de 28,2 milioane EUR a fost angajată pentru asistență tehnică operațională</w:t>
      </w:r>
    </w:p>
    <w:p>
      <w:pPr>
        <w:pStyle w:val="Text1"/>
        <w:numPr>
          <w:ilvl w:val="0"/>
          <w:numId w:val="40"/>
        </w:numPr>
      </w:pPr>
      <w:r>
        <w:t>suma de 0,3 milioane EUR a fost angajată pentru operațiunile de rambursare pentru programele de dezvoltare rurală din perioadele anterioare (înainte de 2023).</w:t>
      </w:r>
    </w:p>
    <w:p>
      <w:pPr>
        <w:pStyle w:val="Text1"/>
        <w:ind w:left="851"/>
      </w:pPr>
      <w:r>
        <w:t xml:space="preserve">Utilizarea creditelor de angajament FEADR a fost de 15 852,4 milioane EUR (anexa 13). Această plată a fost finanțată prin creditele bugetare votate, precum și utilizând veniturile alocate interne și externe ale FEADR. </w:t>
      </w:r>
    </w:p>
    <w:p>
      <w:pPr>
        <w:pStyle w:val="Text1"/>
        <w:ind w:left="851"/>
      </w:pPr>
      <w:r>
        <w:t xml:space="preserve">În cadrul capitolului 08 01, suma plătită din FEADR a fost de 2,2 milioane EUR pentru sprijin administrativ pentru program. </w:t>
      </w:r>
    </w:p>
    <w:p>
      <w:pPr>
        <w:pStyle w:val="Text1"/>
        <w:ind w:left="851"/>
      </w:pPr>
      <w:r>
        <w:t>În cadrul capitolului 08 03, plățile s-au ridicat la:</w:t>
      </w:r>
    </w:p>
    <w:p>
      <w:pPr>
        <w:pStyle w:val="Text1"/>
        <w:numPr>
          <w:ilvl w:val="0"/>
          <w:numId w:val="40"/>
        </w:numPr>
      </w:pPr>
      <w:r>
        <w:t>7 969,8 milioane EUR pentru tipurile de intervenții din cadrul planurilor strategice PAC</w:t>
      </w:r>
    </w:p>
    <w:p>
      <w:pPr>
        <w:pStyle w:val="Text1"/>
        <w:numPr>
          <w:ilvl w:val="0"/>
          <w:numId w:val="40"/>
        </w:numPr>
      </w:pPr>
      <w:r>
        <w:t>7 854,3 milioane EUR pentru operațiunile pentru programele de dezvoltare rurală din perioadele anterioare (înainte de 2023)</w:t>
      </w:r>
    </w:p>
    <w:p>
      <w:pPr>
        <w:pStyle w:val="Text1"/>
        <w:numPr>
          <w:ilvl w:val="0"/>
          <w:numId w:val="40"/>
        </w:numPr>
      </w:pPr>
      <w:r>
        <w:t>26,1 milioane EUR pentru asistență tehnică operațională.</w:t>
      </w:r>
    </w:p>
    <w:p>
      <w:pPr>
        <w:pStyle w:val="Text1"/>
        <w:ind w:left="851"/>
      </w:pPr>
      <w:r>
        <w:t>Majoritatea cheltuielilor FEADR sunt executate în cadrul gestiunii partajate, în timp ce o mică parte sunt executate în cadrul gestiunii directe.</w:t>
      </w:r>
    </w:p>
    <w:p>
      <w:pPr>
        <w:pStyle w:val="Text1"/>
      </w:pPr>
      <w:r>
        <w:t>Gestiune partajată: rata de absorbție a FEADR 2014-2022 și FEADR 2023-2027 per stat membru (graficele 1a-d):</w:t>
      </w:r>
    </w:p>
    <w:p>
      <w:pPr>
        <w:pStyle w:val="Text1"/>
        <w:ind w:left="851"/>
      </w:pPr>
    </w:p>
    <w:p>
      <w:pPr>
        <w:pStyle w:val="Text1"/>
        <w:ind w:left="851"/>
      </w:pPr>
      <w:r>
        <w:lastRenderedPageBreak/>
        <w:drawing>
          <wp:inline distT="0" distB="0" distL="0" distR="0">
            <wp:extent cx="5943600" cy="4173855"/>
            <wp:effectExtent l="0" t="0" r="0" b="0"/>
            <wp:docPr id="1314805494"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5943600" cy="4173855"/>
                    </a:xfrm>
                    <a:prstGeom prst="rect">
                      <a:avLst/>
                    </a:prstGeom>
                    <a:noFill/>
                    <a:ln>
                      <a:noFill/>
                    </a:ln>
                  </pic:spPr>
                </pic:pic>
              </a:graphicData>
            </a:graphic>
          </wp:inline>
        </w:drawing>
      </w:r>
    </w:p>
    <w:p>
      <w:pPr>
        <w:pStyle w:val="Text1"/>
        <w:ind w:left="851"/>
      </w:pPr>
    </w:p>
    <w:p>
      <w:pPr>
        <w:pStyle w:val="Text1"/>
        <w:ind w:left="851"/>
      </w:pPr>
      <w:r>
        <w:drawing>
          <wp:inline distT="0" distB="0" distL="0" distR="0">
            <wp:extent cx="5943600" cy="3519805"/>
            <wp:effectExtent l="0" t="0" r="0" b="4445"/>
            <wp:docPr id="724552718"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5943600" cy="3519805"/>
                    </a:xfrm>
                    <a:prstGeom prst="rect">
                      <a:avLst/>
                    </a:prstGeom>
                    <a:noFill/>
                    <a:ln>
                      <a:noFill/>
                    </a:ln>
                  </pic:spPr>
                </pic:pic>
              </a:graphicData>
            </a:graphic>
          </wp:inline>
        </w:drawing>
      </w:r>
    </w:p>
    <w:p>
      <w:pPr>
        <w:pStyle w:val="Text1"/>
        <w:ind w:left="851"/>
      </w:pPr>
    </w:p>
    <w:p>
      <w:pPr>
        <w:pStyle w:val="Text1"/>
        <w:ind w:left="851"/>
      </w:pPr>
      <w:r>
        <w:drawing>
          <wp:inline distT="0" distB="0" distL="0" distR="0">
            <wp:extent cx="5943600" cy="3786505"/>
            <wp:effectExtent l="0" t="0" r="0" b="4445"/>
            <wp:docPr id="419057835"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5943600" cy="3786505"/>
                    </a:xfrm>
                    <a:prstGeom prst="rect">
                      <a:avLst/>
                    </a:prstGeom>
                    <a:noFill/>
                    <a:ln>
                      <a:noFill/>
                    </a:ln>
                  </pic:spPr>
                </pic:pic>
              </a:graphicData>
            </a:graphic>
          </wp:inline>
        </w:drawing>
      </w:r>
    </w:p>
    <w:p>
      <w:pPr>
        <w:pStyle w:val="Text1"/>
        <w:ind w:left="851"/>
      </w:pPr>
    </w:p>
    <w:p>
      <w:pPr>
        <w:pStyle w:val="Text1"/>
        <w:ind w:left="851"/>
      </w:pPr>
      <w:r>
        <w:drawing>
          <wp:inline distT="0" distB="0" distL="0" distR="0">
            <wp:extent cx="5943600" cy="3473450"/>
            <wp:effectExtent l="0" t="0" r="0" b="0"/>
            <wp:docPr id="120270368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5943600" cy="3473450"/>
                    </a:xfrm>
                    <a:prstGeom prst="rect">
                      <a:avLst/>
                    </a:prstGeom>
                    <a:noFill/>
                    <a:ln>
                      <a:noFill/>
                    </a:ln>
                  </pic:spPr>
                </pic:pic>
              </a:graphicData>
            </a:graphic>
          </wp:inline>
        </w:drawing>
      </w:r>
    </w:p>
    <w:p>
      <w:pPr>
        <w:pStyle w:val="Text1"/>
        <w:ind w:left="851"/>
      </w:pPr>
      <w:r>
        <w:lastRenderedPageBreak/>
        <w:t>Pentru detalii privind execuția bugetară per stat membru și per domeniu de politică, precum și privind utilizarea veniturilor alocate, vă rugăm să consultați anexele 14-17.</w:t>
      </w:r>
    </w:p>
    <w:p>
      <w:pPr>
        <w:pStyle w:val="ManualHeading1"/>
        <w:spacing w:after="160"/>
        <w:ind w:left="851" w:hanging="851"/>
        <w:rPr>
          <w:noProof/>
        </w:rPr>
      </w:pPr>
      <w:bookmarkStart w:id="47" w:name="DQC4262"/>
      <w:bookmarkStart w:id="48" w:name="DQC4263"/>
      <w:bookmarkStart w:id="49" w:name="_Toc322938639"/>
      <w:bookmarkStart w:id="50" w:name="_Toc102661874"/>
      <w:bookmarkStart w:id="51" w:name="_Toc105773228"/>
      <w:bookmarkStart w:id="52" w:name="_Toc139622280"/>
      <w:bookmarkStart w:id="53" w:name="_Toc238729372"/>
      <w:bookmarkEnd w:id="47"/>
      <w:bookmarkEnd w:id="48"/>
      <w:r>
        <w:rPr>
          <w:noProof/>
        </w:rPr>
        <w:t>4.</w:t>
      </w:r>
      <w:r>
        <w:rPr>
          <w:noProof/>
        </w:rPr>
        <w:tab/>
        <w:t>MĂSURI DE CONTROL</w:t>
      </w:r>
      <w:bookmarkEnd w:id="49"/>
      <w:bookmarkEnd w:id="50"/>
      <w:bookmarkEnd w:id="51"/>
      <w:bookmarkEnd w:id="52"/>
      <w:bookmarkEnd w:id="53"/>
      <w:r>
        <w:rPr>
          <w:noProof/>
        </w:rPr>
        <w:t xml:space="preserve"> </w:t>
      </w:r>
    </w:p>
    <w:p>
      <w:pPr>
        <w:pStyle w:val="ManualHeading2"/>
        <w:spacing w:after="160"/>
        <w:ind w:left="851" w:hanging="851"/>
        <w:rPr>
          <w:noProof/>
        </w:rPr>
      </w:pPr>
      <w:bookmarkStart w:id="54" w:name="_Toc322938640"/>
      <w:bookmarkStart w:id="55" w:name="_Toc102661875"/>
      <w:bookmarkStart w:id="56" w:name="_Toc105773229"/>
      <w:bookmarkStart w:id="57" w:name="_Toc139622281"/>
      <w:bookmarkStart w:id="58" w:name="_Toc238729373"/>
      <w:r>
        <w:rPr>
          <w:noProof/>
        </w:rPr>
        <w:t>4.1.</w:t>
      </w:r>
      <w:r>
        <w:rPr>
          <w:noProof/>
        </w:rPr>
        <w:tab/>
        <w:t>Introducere</w:t>
      </w:r>
      <w:bookmarkEnd w:id="54"/>
      <w:bookmarkEnd w:id="55"/>
      <w:bookmarkEnd w:id="56"/>
      <w:bookmarkEnd w:id="57"/>
      <w:bookmarkEnd w:id="58"/>
    </w:p>
    <w:p>
      <w:pPr>
        <w:pStyle w:val="Text1"/>
      </w:pPr>
      <w:r>
        <w:t>În conformitate cu legislația UE și la fel ca în anii precedenți, cheltuielile agricole din 2025 au fost supuse unui sistem cuprinzător de măsuri de control.</w:t>
      </w:r>
    </w:p>
    <w:p>
      <w:pPr>
        <w:pStyle w:val="Text1"/>
      </w:pPr>
      <w:r>
        <w:t>Controalele sunt efectuate de agențiile de plăți sau de organismele delegate care își desfășoară activitatea sub supravegherea acestora și sunt impuse sancțiuni eficace, disuasive și proporționale în cazul în care controalele indică nerespectarea normelor UE. În plus, pentru majoritatea regimurilor care nu fac obiectul sistemului integrat de administrare și control, pe lângă controalele primare și secundare, trebuie efectuate și controale ex post.</w:t>
      </w:r>
    </w:p>
    <w:p>
      <w:pPr>
        <w:pStyle w:val="ManualHeading2"/>
        <w:spacing w:before="360" w:after="160"/>
        <w:ind w:left="851" w:hanging="851"/>
        <w:rPr>
          <w:noProof/>
        </w:rPr>
      </w:pPr>
      <w:bookmarkStart w:id="59" w:name="_Toc322938641"/>
      <w:bookmarkStart w:id="60" w:name="_Toc102661876"/>
      <w:bookmarkStart w:id="61" w:name="_Toc105773230"/>
      <w:bookmarkStart w:id="62" w:name="_Toc139622282"/>
      <w:bookmarkStart w:id="63" w:name="_Toc238729374"/>
      <w:r>
        <w:rPr>
          <w:noProof/>
        </w:rPr>
        <w:t>4.2.</w:t>
      </w:r>
      <w:r>
        <w:rPr>
          <w:noProof/>
        </w:rPr>
        <w:tab/>
        <w:t>Sistemul integrat de administrare și control (IACS)</w:t>
      </w:r>
      <w:bookmarkEnd w:id="59"/>
      <w:bookmarkEnd w:id="60"/>
      <w:bookmarkEnd w:id="61"/>
      <w:bookmarkEnd w:id="62"/>
      <w:bookmarkEnd w:id="63"/>
    </w:p>
    <w:p>
      <w:pPr>
        <w:pStyle w:val="Text1"/>
      </w:pPr>
      <w:r>
        <w:t>Regulamentul (UE) nr. 1306/2013, Regulamentul delegat (UE) nr. 640/2014 al Comisiei</w:t>
      </w:r>
      <w:r>
        <w:rPr>
          <w:vertAlign w:val="superscript"/>
        </w:rPr>
        <w:footnoteReference w:id="8"/>
      </w:r>
      <w:r>
        <w:t xml:space="preserve"> și Regulamentul de punere în aplicare (UE) nr. 809/2014 al Comisiei</w:t>
      </w:r>
      <w:r>
        <w:rPr>
          <w:rStyle w:val="FootnoteReference"/>
        </w:rPr>
        <w:footnoteReference w:id="9"/>
      </w:r>
      <w:r>
        <w:t>, precum și Regulamentul (UE) 2021/2116, Regulamentul delegat (UE) 2022/1172 al Comisiei</w:t>
      </w:r>
      <w:r>
        <w:rPr>
          <w:rStyle w:val="FootnoteReference"/>
        </w:rPr>
        <w:footnoteReference w:id="10"/>
      </w:r>
      <w:r>
        <w:t xml:space="preserve"> și Regulamentul de punere în aplicare (UE) 2022/1173 al Comisiei</w:t>
      </w:r>
      <w:r>
        <w:rPr>
          <w:rStyle w:val="FootnoteReference"/>
        </w:rPr>
        <w:footnoteReference w:id="11"/>
      </w:r>
      <w:r>
        <w:t xml:space="preserve"> conțin normele privind IACS.</w:t>
      </w:r>
    </w:p>
    <w:p>
      <w:pPr>
        <w:pStyle w:val="Text1"/>
      </w:pPr>
      <w:r>
        <w:t>Raportul anual de activitate al DG AGRI</w:t>
      </w:r>
      <w:r>
        <w:rPr>
          <w:vertAlign w:val="superscript"/>
        </w:rPr>
        <w:footnoteReference w:id="12"/>
      </w:r>
      <w:r>
        <w:t xml:space="preserve"> (AAR) pentru 2025 conține informații detaliate privind cheltuielile acoperite de IACS în anexa 7, partea 2, A.2.3.a). De asemenea, componentele relevante ale IACS se aplică măsurilor de dezvoltare rurală, care au la bază suprafața sau numărul de animale. Astfel de măsuri includ, printre altele, măsuri de agromediu și de bunăstare a animalelor, zone defavorizate și zone cu restricții de mediu, precum și împădurirea terenurilor agricole. </w:t>
      </w:r>
    </w:p>
    <w:p>
      <w:pPr>
        <w:pStyle w:val="ManualHeading2"/>
        <w:spacing w:after="160"/>
        <w:ind w:left="851" w:hanging="851"/>
        <w:rPr>
          <w:noProof/>
        </w:rPr>
      </w:pPr>
      <w:bookmarkStart w:id="64" w:name="_Toc139622283"/>
      <w:bookmarkStart w:id="65" w:name="_Toc238729375"/>
      <w:r>
        <w:rPr>
          <w:noProof/>
        </w:rPr>
        <w:t>4.3.</w:t>
      </w:r>
      <w:r>
        <w:rPr>
          <w:noProof/>
        </w:rPr>
        <w:tab/>
      </w:r>
      <w:bookmarkStart w:id="66" w:name="_Hlk169880891"/>
      <w:r>
        <w:rPr>
          <w:noProof/>
        </w:rPr>
        <w:t>Aplicarea titlului IV capitolul III din Regulamentul (UE) 2021/2116 (verificarea tranzacțiilor)</w:t>
      </w:r>
      <w:bookmarkEnd w:id="64"/>
      <w:bookmarkEnd w:id="65"/>
    </w:p>
    <w:p>
      <w:pPr>
        <w:pStyle w:val="Text1"/>
      </w:pPr>
      <w:r>
        <w:t xml:space="preserve">În 2025, s-a aplicat sistemul de control privind verificarea tranzacțiilor prevăzut la titlul IV capitolul III din Regulamentul (UE) 2021/2116. Acesta cuprindea un sistem de control ex post care completa sistemele de control sectorial descrise mai sus. </w:t>
      </w:r>
    </w:p>
    <w:p>
      <w:pPr>
        <w:pStyle w:val="Text1"/>
      </w:pPr>
      <w:bookmarkStart w:id="67" w:name="_Hlk169880845"/>
      <w:r>
        <w:t xml:space="preserve">În 2025, serviciile de control ale statelor membre au finalizat controale cu privire la operațiunile pentru care s-au efectuat plăți în exercițiul financiar 2023. Rapoartele anuale referitoare la perioada de verificare respectivă (iulie 2024 - iunie 2025) arată că </w:t>
      </w:r>
      <w:r>
        <w:lastRenderedPageBreak/>
        <w:t>statele membre au finalizat 89 % din verificările planificate la sfârșitul perioadei de raportare</w:t>
      </w:r>
      <w:bookmarkEnd w:id="67"/>
      <w:r>
        <w:t xml:space="preserve"> a verificărilor. Rata neregulilor constatate în urma verificărilor finalizate este mai mică de 1 %. </w:t>
      </w:r>
    </w:p>
    <w:p>
      <w:pPr>
        <w:pStyle w:val="ManualHeading1"/>
        <w:spacing w:after="160"/>
        <w:ind w:left="851" w:hanging="851"/>
        <w:rPr>
          <w:noProof/>
          <w:color w:val="FF0000"/>
        </w:rPr>
      </w:pPr>
      <w:bookmarkStart w:id="68" w:name="_Toc322938644"/>
      <w:bookmarkStart w:id="69" w:name="_Toc102661879"/>
      <w:bookmarkStart w:id="70" w:name="_Toc105773233"/>
      <w:bookmarkStart w:id="71" w:name="_Toc139622284"/>
      <w:bookmarkStart w:id="72" w:name="_Toc238729376"/>
      <w:bookmarkEnd w:id="66"/>
      <w:r>
        <w:rPr>
          <w:noProof/>
        </w:rPr>
        <w:t>5.</w:t>
      </w:r>
      <w:r>
        <w:rPr>
          <w:noProof/>
        </w:rPr>
        <w:tab/>
        <w:t>VERIFICAREA CONTURILOR</w:t>
      </w:r>
      <w:bookmarkEnd w:id="68"/>
      <w:bookmarkEnd w:id="69"/>
      <w:bookmarkEnd w:id="70"/>
      <w:bookmarkEnd w:id="71"/>
      <w:bookmarkEnd w:id="72"/>
      <w:r>
        <w:rPr>
          <w:noProof/>
        </w:rPr>
        <w:t xml:space="preserve"> </w:t>
      </w:r>
    </w:p>
    <w:p>
      <w:pPr>
        <w:pStyle w:val="ManualHeading2"/>
        <w:spacing w:after="160"/>
        <w:ind w:left="851" w:hanging="851"/>
        <w:rPr>
          <w:noProof/>
        </w:rPr>
      </w:pPr>
      <w:bookmarkStart w:id="73" w:name="_Toc102661880"/>
      <w:bookmarkStart w:id="74" w:name="_Toc105773234"/>
      <w:bookmarkStart w:id="75" w:name="_Toc139622285"/>
      <w:bookmarkStart w:id="76" w:name="_Toc238729377"/>
      <w:bookmarkStart w:id="77" w:name="_Toc322938645"/>
      <w:r>
        <w:rPr>
          <w:noProof/>
        </w:rPr>
        <w:t>5.1.</w:t>
      </w:r>
      <w:r>
        <w:rPr>
          <w:noProof/>
        </w:rPr>
        <w:tab/>
        <w:t>Verificarea conformității</w:t>
      </w:r>
      <w:bookmarkEnd w:id="73"/>
      <w:bookmarkEnd w:id="74"/>
      <w:bookmarkEnd w:id="75"/>
      <w:bookmarkEnd w:id="76"/>
    </w:p>
    <w:bookmarkEnd w:id="77"/>
    <w:p>
      <w:pPr>
        <w:pStyle w:val="Text1"/>
      </w:pPr>
      <w:r>
        <w:t>Este în primul rând responsabilitatea statelor membre să se asigure că tranzacțiile sunt efectuate și executate corect prin intermediul unui sistem de control și sancțiuni disuasive. În cazul în care statele membre nu îndeplinesc această cerință, Comisia aplică anumite corecții financiare pentru a proteja interesele financiare ale UE.</w:t>
      </w:r>
    </w:p>
    <w:p>
      <w:pPr>
        <w:pStyle w:val="Text1"/>
      </w:pPr>
      <w:r>
        <w:t xml:space="preserve">Verificarea conformității în cadrul PAC, aplicabilă în exercițiul bugetar 2025, se referă la legalitatea și regularitatea operațiunilor. Scopul acesteia este de a exclude de la finanțarea UE cheltuielile care nu au fost efectuate în conformitate cu normele UE. </w:t>
      </w:r>
    </w:p>
    <w:p>
      <w:pPr>
        <w:pStyle w:val="Text1"/>
      </w:pPr>
      <w:bookmarkStart w:id="78" w:name="_Toc322938648"/>
      <w:r>
        <w:t>Detalii privind auditurile efectuate în 2025 pot fi găsite în Raportul anual de activitate, tabelul 2.1.2a).1-2.</w:t>
      </w:r>
    </w:p>
    <w:bookmarkEnd w:id="78"/>
    <w:p>
      <w:pPr>
        <w:pStyle w:val="Text1"/>
      </w:pPr>
      <w:r>
        <w:t>Deciziile de verificare a conformității adoptate în 2025, inclusiv corecțiile financiare într-o serie de sectoare, sunt enumerate în Raportul anual de activitate, tabelul anexa 7 – partea 3 A.b.1)-1.</w:t>
      </w:r>
    </w:p>
    <w:p>
      <w:pPr>
        <w:pStyle w:val="Text1"/>
      </w:pPr>
      <w:r>
        <w:t>Următoarele decizii de verificare a conformității au avut un impact financiar asupra bugetului 2025:</w:t>
      </w:r>
    </w:p>
    <w:p>
      <w:pPr>
        <w:pStyle w:val="ListBullet1"/>
        <w:tabs>
          <w:tab w:val="num" w:pos="1134"/>
        </w:tabs>
        <w:ind w:left="1134" w:hanging="283"/>
        <w:rPr>
          <w:noProof/>
        </w:rPr>
      </w:pPr>
      <w:r>
        <w:rPr>
          <w:noProof/>
        </w:rPr>
        <w:t>Decizia (UE) 2024/2879 din 13 noiembrie 2024 – decizia ad-hoc 74, cu suma netă decisă de 178,8 milioane EUR în favoarea FEGA și de 39,9 milioane EUR în favoarea FEADR.</w:t>
      </w:r>
    </w:p>
    <w:p>
      <w:pPr>
        <w:pStyle w:val="ListBullet1"/>
        <w:tabs>
          <w:tab w:val="num" w:pos="1134"/>
        </w:tabs>
        <w:ind w:left="1134" w:hanging="283"/>
        <w:rPr>
          <w:noProof/>
        </w:rPr>
      </w:pPr>
      <w:r>
        <w:rPr>
          <w:noProof/>
        </w:rPr>
        <w:t>Decizia (UE) 2025/209 din 5 februarie 2025 – decizia ad-hoc 75 (doar Regatul Unit), cu suma netă decisă de 3,7 milioane EUR în favoarea FEADR.</w:t>
      </w:r>
    </w:p>
    <w:p>
      <w:pPr>
        <w:pStyle w:val="ListBullet1"/>
        <w:tabs>
          <w:tab w:val="num" w:pos="1134"/>
        </w:tabs>
        <w:ind w:left="1134" w:hanging="283"/>
        <w:rPr>
          <w:noProof/>
        </w:rPr>
      </w:pPr>
      <w:r>
        <w:rPr>
          <w:noProof/>
        </w:rPr>
        <w:t>Decizia (UE) UE 2025/1147 din 11 iunie 2025 – decizia ad-hoc 76, cu suma netă decisă de 475,3 milioane EUR în favoarea FEGA și de 46 milioane EUR în favoarea FEADR.</w:t>
      </w:r>
    </w:p>
    <w:p>
      <w:pPr>
        <w:pStyle w:val="ListBullet1"/>
        <w:numPr>
          <w:ilvl w:val="0"/>
          <w:numId w:val="0"/>
        </w:numPr>
        <w:ind w:left="851"/>
        <w:rPr>
          <w:noProof/>
        </w:rPr>
      </w:pPr>
      <w:r>
        <w:rPr>
          <w:noProof/>
        </w:rPr>
        <w:t>După luarea în considerare a executării unei serii de hotărâri ale Curții de Justiție a Uniunii Europene în favoarea statelor membre și a deblocării suspendărilor plăților, impactul financiar global al acestor decizii asupra fondurilor a fost de 653,1 milioane EUR în favoarea FEGA și de 89,4 milioane EUR în favoarea FEADR.</w:t>
      </w:r>
    </w:p>
    <w:p>
      <w:pPr>
        <w:pStyle w:val="ListBullet1"/>
        <w:numPr>
          <w:ilvl w:val="0"/>
          <w:numId w:val="0"/>
        </w:numPr>
        <w:spacing w:after="160"/>
        <w:ind w:left="851"/>
        <w:rPr>
          <w:noProof/>
        </w:rPr>
      </w:pPr>
      <w:r>
        <w:rPr>
          <w:noProof/>
        </w:rPr>
        <w:t>Corecțiile financiare din deciziile de verificare a conformității până în 2025 sunt detaliate în anexa 18.</w:t>
      </w:r>
    </w:p>
    <w:p>
      <w:pPr>
        <w:pStyle w:val="ListBullet1"/>
        <w:numPr>
          <w:ilvl w:val="0"/>
          <w:numId w:val="0"/>
        </w:numPr>
        <w:ind w:left="851"/>
        <w:rPr>
          <w:noProof/>
        </w:rPr>
      </w:pPr>
      <w:r>
        <w:rPr>
          <w:noProof/>
        </w:rPr>
        <w:t xml:space="preserve">În ceea ce privește </w:t>
      </w:r>
      <w:bookmarkStart w:id="79" w:name="_Hlk173175440"/>
      <w:r>
        <w:rPr>
          <w:noProof/>
        </w:rPr>
        <w:t>Decizia de punere în aplicare (UE) 2024/2879</w:t>
      </w:r>
      <w:bookmarkEnd w:id="79"/>
      <w:r>
        <w:rPr>
          <w:noProof/>
        </w:rPr>
        <w:t xml:space="preserve"> a Comisiei și Decizia de punere în aplicare (UE) 2025/1147 a Comisiei, având în vedere amploarea relativă a corecțiilor în comparație cu produsul intern brut al anumitor state membre, la cererea statelor membre în cauză, Comisia a decis că următoarele corecții ar putea fi plătite în 3 tranșe anuale egale.</w:t>
      </w:r>
    </w:p>
    <w:p>
      <w:pPr>
        <w:pStyle w:val="ListBullet1"/>
        <w:numPr>
          <w:ilvl w:val="0"/>
          <w:numId w:val="0"/>
        </w:numPr>
        <w:ind w:left="851"/>
        <w:rPr>
          <w:noProof/>
        </w:rPr>
      </w:pPr>
    </w:p>
    <w:p>
      <w:pPr>
        <w:pStyle w:val="ListBullet1"/>
        <w:numPr>
          <w:ilvl w:val="0"/>
          <w:numId w:val="0"/>
        </w:numPr>
        <w:ind w:left="851"/>
        <w:rPr>
          <w:noProof/>
        </w:rPr>
      </w:pPr>
    </w:p>
    <w:p>
      <w:pPr>
        <w:pStyle w:val="Text1"/>
        <w:rPr>
          <w:iCs/>
        </w:rPr>
      </w:pPr>
    </w:p>
    <w:p>
      <w:pPr>
        <w:pStyle w:val="Text1"/>
        <w:keepNext/>
        <w:ind w:left="851"/>
        <w:rPr>
          <w:i/>
        </w:rPr>
      </w:pPr>
      <w:r>
        <w:t xml:space="preserve">Tabelul 6 </w:t>
      </w:r>
      <w:r>
        <w:tab/>
      </w:r>
      <w:r>
        <w:tab/>
      </w:r>
      <w:r>
        <w:tab/>
      </w:r>
      <w:r>
        <w:tab/>
      </w:r>
      <w:r>
        <w:tab/>
      </w:r>
      <w:r>
        <w:rPr>
          <w:i/>
        </w:rPr>
        <w:t>(în milioane EUR; prețuri curente)</w:t>
      </w:r>
    </w:p>
    <w:tbl>
      <w:tblPr>
        <w:tblStyle w:val="TableGrid1"/>
        <w:tblW w:w="0" w:type="auto"/>
        <w:tblInd w:w="851" w:type="dxa"/>
        <w:tblLook w:val="04A0" w:firstRow="1" w:lastRow="0" w:firstColumn="1" w:lastColumn="0" w:noHBand="0" w:noVBand="1"/>
      </w:tblPr>
      <w:tblGrid>
        <w:gridCol w:w="1951"/>
        <w:gridCol w:w="2268"/>
        <w:gridCol w:w="2037"/>
        <w:gridCol w:w="2038"/>
      </w:tblGrid>
      <w:tr>
        <w:tc>
          <w:tcPr>
            <w:tcW w:w="1951" w:type="dxa"/>
            <w:vMerge w:val="restart"/>
            <w:shd w:val="clear" w:color="auto" w:fill="92D050"/>
            <w:vAlign w:val="center"/>
          </w:tcPr>
          <w:p>
            <w:pPr>
              <w:keepNext/>
              <w:keepLines/>
              <w:spacing w:before="0"/>
              <w:jc w:val="center"/>
              <w:rPr>
                <w:rFonts w:eastAsia="Calibri"/>
                <w:b/>
                <w:bCs/>
                <w:noProof/>
                <w:sz w:val="22"/>
                <w:szCs w:val="22"/>
              </w:rPr>
            </w:pPr>
            <w:r>
              <w:rPr>
                <w:b/>
                <w:noProof/>
                <w:sz w:val="22"/>
              </w:rPr>
              <w:t>Numărul deciziei</w:t>
            </w:r>
          </w:p>
          <w:p>
            <w:pPr>
              <w:rPr>
                <w:rFonts w:eastAsia="Calibri"/>
                <w:b/>
                <w:bCs/>
                <w:noProof/>
                <w:sz w:val="22"/>
                <w:szCs w:val="22"/>
                <w:lang w:eastAsia="en-US"/>
              </w:rPr>
            </w:pPr>
          </w:p>
        </w:tc>
        <w:tc>
          <w:tcPr>
            <w:tcW w:w="2268" w:type="dxa"/>
            <w:vMerge w:val="restart"/>
            <w:shd w:val="clear" w:color="auto" w:fill="92D050"/>
            <w:vAlign w:val="center"/>
          </w:tcPr>
          <w:p>
            <w:pPr>
              <w:keepNext/>
              <w:keepLines/>
              <w:spacing w:before="0"/>
              <w:jc w:val="center"/>
              <w:rPr>
                <w:rFonts w:eastAsia="Calibri"/>
                <w:b/>
                <w:bCs/>
                <w:noProof/>
                <w:sz w:val="22"/>
                <w:szCs w:val="22"/>
              </w:rPr>
            </w:pPr>
            <w:r>
              <w:rPr>
                <w:b/>
                <w:noProof/>
                <w:sz w:val="22"/>
              </w:rPr>
              <w:t>Statul membru</w:t>
            </w:r>
          </w:p>
        </w:tc>
        <w:tc>
          <w:tcPr>
            <w:tcW w:w="4075" w:type="dxa"/>
            <w:gridSpan w:val="2"/>
            <w:shd w:val="clear" w:color="auto" w:fill="92D050"/>
            <w:vAlign w:val="center"/>
          </w:tcPr>
          <w:p>
            <w:pPr>
              <w:keepNext/>
              <w:keepLines/>
              <w:spacing w:before="0"/>
              <w:jc w:val="center"/>
              <w:rPr>
                <w:rFonts w:eastAsia="Calibri"/>
                <w:b/>
                <w:bCs/>
                <w:noProof/>
                <w:sz w:val="22"/>
                <w:szCs w:val="22"/>
              </w:rPr>
            </w:pPr>
            <w:r>
              <w:rPr>
                <w:b/>
                <w:noProof/>
                <w:sz w:val="22"/>
              </w:rPr>
              <w:t>Sumă plătibilă în mai multe tranșe</w:t>
            </w:r>
          </w:p>
        </w:tc>
      </w:tr>
      <w:tr>
        <w:tc>
          <w:tcPr>
            <w:tcW w:w="1951" w:type="dxa"/>
            <w:vMerge/>
            <w:vAlign w:val="center"/>
          </w:tcPr>
          <w:p>
            <w:pPr>
              <w:rPr>
                <w:rFonts w:eastAsia="Calibri"/>
                <w:noProof/>
              </w:rPr>
            </w:pPr>
          </w:p>
        </w:tc>
        <w:tc>
          <w:tcPr>
            <w:tcW w:w="2268" w:type="dxa"/>
            <w:vMerge/>
            <w:vAlign w:val="center"/>
          </w:tcPr>
          <w:p>
            <w:pPr>
              <w:rPr>
                <w:rFonts w:eastAsia="Calibri"/>
                <w:noProof/>
              </w:rPr>
            </w:pPr>
          </w:p>
        </w:tc>
        <w:tc>
          <w:tcPr>
            <w:tcW w:w="2037" w:type="dxa"/>
            <w:shd w:val="clear" w:color="auto" w:fill="92D050"/>
            <w:vAlign w:val="center"/>
          </w:tcPr>
          <w:p>
            <w:pPr>
              <w:keepNext/>
              <w:keepLines/>
              <w:spacing w:before="0"/>
              <w:jc w:val="center"/>
              <w:rPr>
                <w:rFonts w:eastAsia="Calibri"/>
                <w:b/>
                <w:bCs/>
                <w:noProof/>
                <w:sz w:val="22"/>
                <w:szCs w:val="22"/>
              </w:rPr>
            </w:pPr>
            <w:r>
              <w:rPr>
                <w:b/>
                <w:noProof/>
              </w:rPr>
              <w:t>FEGA</w:t>
            </w:r>
          </w:p>
        </w:tc>
        <w:tc>
          <w:tcPr>
            <w:tcW w:w="2038" w:type="dxa"/>
            <w:shd w:val="clear" w:color="auto" w:fill="92D050"/>
            <w:vAlign w:val="center"/>
          </w:tcPr>
          <w:p>
            <w:pPr>
              <w:keepNext/>
              <w:keepLines/>
              <w:spacing w:before="0"/>
              <w:jc w:val="center"/>
              <w:rPr>
                <w:rFonts w:eastAsia="Calibri"/>
                <w:b/>
                <w:bCs/>
                <w:noProof/>
                <w:sz w:val="22"/>
                <w:szCs w:val="22"/>
              </w:rPr>
            </w:pPr>
            <w:r>
              <w:rPr>
                <w:b/>
                <w:noProof/>
              </w:rPr>
              <w:t>FEADR</w:t>
            </w:r>
          </w:p>
        </w:tc>
      </w:tr>
      <w:tr>
        <w:tc>
          <w:tcPr>
            <w:tcW w:w="1951" w:type="dxa"/>
            <w:vAlign w:val="center"/>
          </w:tcPr>
          <w:p>
            <w:pPr>
              <w:spacing w:before="0"/>
              <w:jc w:val="center"/>
              <w:rPr>
                <w:rFonts w:eastAsia="Calibri"/>
                <w:noProof/>
              </w:rPr>
            </w:pPr>
            <w:r>
              <w:rPr>
                <w:noProof/>
              </w:rPr>
              <w:t>74</w:t>
            </w:r>
          </w:p>
        </w:tc>
        <w:tc>
          <w:tcPr>
            <w:tcW w:w="2268" w:type="dxa"/>
            <w:vAlign w:val="center"/>
          </w:tcPr>
          <w:p>
            <w:pPr>
              <w:keepNext/>
              <w:spacing w:before="0"/>
              <w:jc w:val="center"/>
              <w:rPr>
                <w:rFonts w:eastAsia="Calibri"/>
                <w:noProof/>
              </w:rPr>
            </w:pPr>
            <w:r>
              <w:rPr>
                <w:noProof/>
              </w:rPr>
              <w:t>Grecia</w:t>
            </w:r>
          </w:p>
        </w:tc>
        <w:tc>
          <w:tcPr>
            <w:tcW w:w="2037" w:type="dxa"/>
            <w:vAlign w:val="center"/>
          </w:tcPr>
          <w:p>
            <w:pPr>
              <w:jc w:val="center"/>
              <w:rPr>
                <w:rFonts w:eastAsia="Calibri"/>
                <w:noProof/>
              </w:rPr>
            </w:pPr>
            <w:r>
              <w:rPr>
                <w:noProof/>
              </w:rPr>
              <w:t>57,1</w:t>
            </w:r>
          </w:p>
        </w:tc>
        <w:tc>
          <w:tcPr>
            <w:tcW w:w="2038" w:type="dxa"/>
            <w:vAlign w:val="center"/>
          </w:tcPr>
          <w:p>
            <w:pPr>
              <w:jc w:val="center"/>
              <w:rPr>
                <w:rFonts w:eastAsia="Calibri"/>
                <w:noProof/>
              </w:rPr>
            </w:pPr>
            <w:r>
              <w:rPr>
                <w:noProof/>
              </w:rPr>
              <w:t>13,2</w:t>
            </w:r>
          </w:p>
        </w:tc>
      </w:tr>
      <w:tr>
        <w:tc>
          <w:tcPr>
            <w:tcW w:w="1951" w:type="dxa"/>
            <w:vAlign w:val="center"/>
          </w:tcPr>
          <w:p>
            <w:pPr>
              <w:jc w:val="center"/>
              <w:rPr>
                <w:rFonts w:eastAsia="Calibri"/>
                <w:noProof/>
              </w:rPr>
            </w:pPr>
            <w:r>
              <w:rPr>
                <w:noProof/>
              </w:rPr>
              <w:t>74</w:t>
            </w:r>
          </w:p>
        </w:tc>
        <w:tc>
          <w:tcPr>
            <w:tcW w:w="2268" w:type="dxa"/>
            <w:vAlign w:val="center"/>
          </w:tcPr>
          <w:p>
            <w:pPr>
              <w:jc w:val="center"/>
              <w:rPr>
                <w:rFonts w:eastAsia="Calibri"/>
                <w:noProof/>
              </w:rPr>
            </w:pPr>
            <w:r>
              <w:rPr>
                <w:noProof/>
              </w:rPr>
              <w:t>România</w:t>
            </w:r>
          </w:p>
        </w:tc>
        <w:tc>
          <w:tcPr>
            <w:tcW w:w="2037" w:type="dxa"/>
            <w:vAlign w:val="center"/>
          </w:tcPr>
          <w:p>
            <w:pPr>
              <w:jc w:val="center"/>
              <w:rPr>
                <w:rFonts w:eastAsia="Calibri"/>
                <w:noProof/>
              </w:rPr>
            </w:pPr>
            <w:r>
              <w:rPr>
                <w:noProof/>
              </w:rPr>
              <w:t>40,4</w:t>
            </w:r>
          </w:p>
        </w:tc>
        <w:tc>
          <w:tcPr>
            <w:tcW w:w="2038" w:type="dxa"/>
            <w:vAlign w:val="center"/>
          </w:tcPr>
          <w:p>
            <w:pPr>
              <w:jc w:val="center"/>
              <w:rPr>
                <w:rFonts w:eastAsia="Calibri"/>
                <w:noProof/>
              </w:rPr>
            </w:pPr>
            <w:r>
              <w:rPr>
                <w:noProof/>
              </w:rPr>
              <w:t>5,6</w:t>
            </w:r>
          </w:p>
        </w:tc>
      </w:tr>
      <w:tr>
        <w:tc>
          <w:tcPr>
            <w:tcW w:w="1951" w:type="dxa"/>
            <w:vAlign w:val="center"/>
          </w:tcPr>
          <w:p>
            <w:pPr>
              <w:jc w:val="center"/>
              <w:rPr>
                <w:rFonts w:eastAsia="Calibri"/>
                <w:noProof/>
              </w:rPr>
            </w:pPr>
            <w:r>
              <w:rPr>
                <w:noProof/>
              </w:rPr>
              <w:t>75</w:t>
            </w:r>
          </w:p>
        </w:tc>
        <w:tc>
          <w:tcPr>
            <w:tcW w:w="2268" w:type="dxa"/>
            <w:vAlign w:val="center"/>
          </w:tcPr>
          <w:p>
            <w:pPr>
              <w:jc w:val="center"/>
              <w:rPr>
                <w:rFonts w:eastAsia="Calibri"/>
                <w:noProof/>
              </w:rPr>
            </w:pPr>
            <w:r>
              <w:rPr>
                <w:noProof/>
              </w:rPr>
              <w:t>Grecia</w:t>
            </w:r>
          </w:p>
        </w:tc>
        <w:tc>
          <w:tcPr>
            <w:tcW w:w="2037" w:type="dxa"/>
            <w:vAlign w:val="center"/>
          </w:tcPr>
          <w:p>
            <w:pPr>
              <w:jc w:val="center"/>
              <w:rPr>
                <w:rFonts w:eastAsia="Calibri"/>
                <w:noProof/>
              </w:rPr>
            </w:pPr>
            <w:r>
              <w:rPr>
                <w:noProof/>
              </w:rPr>
              <w:t>411,0</w:t>
            </w:r>
          </w:p>
        </w:tc>
        <w:tc>
          <w:tcPr>
            <w:tcW w:w="2038" w:type="dxa"/>
            <w:vAlign w:val="center"/>
          </w:tcPr>
          <w:p>
            <w:pPr>
              <w:jc w:val="center"/>
              <w:rPr>
                <w:rFonts w:eastAsia="Calibri"/>
                <w:noProof/>
              </w:rPr>
            </w:pPr>
            <w:r>
              <w:rPr>
                <w:noProof/>
              </w:rPr>
              <w:t>3,9</w:t>
            </w:r>
          </w:p>
        </w:tc>
      </w:tr>
      <w:tr>
        <w:tc>
          <w:tcPr>
            <w:tcW w:w="1951" w:type="dxa"/>
            <w:vAlign w:val="center"/>
          </w:tcPr>
          <w:p>
            <w:pPr>
              <w:spacing w:before="0"/>
              <w:jc w:val="center"/>
              <w:rPr>
                <w:rFonts w:eastAsia="Calibri"/>
                <w:noProof/>
              </w:rPr>
            </w:pPr>
            <w:r>
              <w:rPr>
                <w:noProof/>
              </w:rPr>
              <w:t>75</w:t>
            </w:r>
          </w:p>
        </w:tc>
        <w:tc>
          <w:tcPr>
            <w:tcW w:w="2268" w:type="dxa"/>
            <w:vAlign w:val="center"/>
          </w:tcPr>
          <w:p>
            <w:pPr>
              <w:spacing w:before="0"/>
              <w:jc w:val="center"/>
              <w:rPr>
                <w:rFonts w:eastAsia="Calibri"/>
                <w:noProof/>
              </w:rPr>
            </w:pPr>
            <w:r>
              <w:rPr>
                <w:noProof/>
              </w:rPr>
              <w:t>Portugalia</w:t>
            </w:r>
          </w:p>
        </w:tc>
        <w:tc>
          <w:tcPr>
            <w:tcW w:w="2037" w:type="dxa"/>
            <w:vAlign w:val="center"/>
          </w:tcPr>
          <w:p>
            <w:pPr>
              <w:jc w:val="center"/>
              <w:rPr>
                <w:rFonts w:eastAsia="Calibri"/>
                <w:noProof/>
              </w:rPr>
            </w:pPr>
            <w:r>
              <w:rPr>
                <w:noProof/>
              </w:rPr>
              <w:t>35,0</w:t>
            </w:r>
          </w:p>
        </w:tc>
        <w:tc>
          <w:tcPr>
            <w:tcW w:w="2038" w:type="dxa"/>
            <w:vAlign w:val="center"/>
          </w:tcPr>
          <w:p>
            <w:pPr>
              <w:jc w:val="center"/>
              <w:rPr>
                <w:rFonts w:eastAsia="Calibri"/>
                <w:noProof/>
              </w:rPr>
            </w:pPr>
            <w:r>
              <w:rPr>
                <w:noProof/>
              </w:rPr>
              <w:t>27,0</w:t>
            </w:r>
          </w:p>
        </w:tc>
      </w:tr>
    </w:tbl>
    <w:p>
      <w:pPr>
        <w:pStyle w:val="ListBullet1"/>
        <w:numPr>
          <w:ilvl w:val="0"/>
          <w:numId w:val="0"/>
        </w:numPr>
        <w:spacing w:after="160"/>
        <w:ind w:left="851"/>
        <w:rPr>
          <w:noProof/>
        </w:rPr>
      </w:pPr>
      <w:bookmarkStart w:id="80" w:name="_Toc322938649"/>
    </w:p>
    <w:p>
      <w:pPr>
        <w:pStyle w:val="ListBullet1"/>
        <w:numPr>
          <w:ilvl w:val="0"/>
          <w:numId w:val="0"/>
        </w:numPr>
        <w:spacing w:after="160"/>
        <w:ind w:left="851"/>
        <w:rPr>
          <w:rFonts w:eastAsia="MS PGothic"/>
          <w:noProof/>
        </w:rPr>
      </w:pPr>
      <w:r>
        <w:rPr>
          <w:noProof/>
        </w:rPr>
        <w:t>La 15 februarie 2025, statele membre au raportat informațiile privind sumele restante care trebuiau recuperate la sfârșitul exercițiului financiar 2024. Acestea se ridică la 414,004 milioane EUR pentru FEGA, FEADR și Instrumentul temporar pentru dezvoltare rurală (ITDR) și sunt prezentate în raportul anual de activitate, tabelul anexa 7 – partea 3 A.b.2)-1.</w:t>
      </w:r>
    </w:p>
    <w:p>
      <w:pPr>
        <w:pStyle w:val="Text1"/>
        <w:rPr>
          <w:b/>
          <w:bCs/>
        </w:rPr>
      </w:pPr>
      <w:r>
        <w:t>Suma restantă care nu a fost încă recuperată de la beneficiari la sfârșitul exercițiului bugetar 2025 era de 2 014 milioane EUR pentru toate fondurile. Consecințele financiare pentru statele membre în ceea ce privește cazurile de nerecuperare a sumelor aferente FEGA, FEADR și ITDR în termen de patru ani de la data solicitării de recuperare (pentru cazurile noi</w:t>
      </w:r>
      <w:r>
        <w:rPr>
          <w:rStyle w:val="FootnoteReference"/>
        </w:rPr>
        <w:footnoteReference w:id="13"/>
      </w:r>
      <w:r>
        <w:t>) sau a constatării primare administrative sau judiciare (PACA) (pentru cazurile vechi) sau în termen de opt ani de la data inițierii unei acțiuni în fața unei instanțe naționale în vederea recuperării, s-au ridicat la 31,1 milioane EUR. În cursul exercițiului bugetar 2025, aproximativ 11,6 milioane EUR au fost suportate în proporție de 100 % din bugetul UE</w:t>
      </w:r>
      <w:r>
        <w:rPr>
          <w:rStyle w:val="FootnoteReference"/>
        </w:rPr>
        <w:footnoteReference w:id="14"/>
      </w:r>
      <w:r>
        <w:t xml:space="preserve"> pentru FEGA, FEADR și ITDR. </w:t>
      </w:r>
    </w:p>
    <w:p>
      <w:pPr>
        <w:pStyle w:val="ManualHeading2"/>
        <w:spacing w:before="360" w:after="160"/>
        <w:ind w:left="851" w:hanging="851"/>
        <w:rPr>
          <w:noProof/>
        </w:rPr>
      </w:pPr>
      <w:bookmarkStart w:id="81" w:name="_Toc102661885"/>
      <w:bookmarkStart w:id="82" w:name="_Toc105773239"/>
      <w:bookmarkStart w:id="83" w:name="_Toc139622288"/>
      <w:bookmarkStart w:id="84" w:name="_Toc238729378"/>
      <w:r>
        <w:rPr>
          <w:noProof/>
        </w:rPr>
        <w:t>5.2.</w:t>
      </w:r>
      <w:r>
        <w:rPr>
          <w:noProof/>
        </w:rPr>
        <w:tab/>
        <w:t>Verificarea financiară</w:t>
      </w:r>
      <w:bookmarkEnd w:id="80"/>
      <w:bookmarkEnd w:id="81"/>
      <w:bookmarkEnd w:id="82"/>
      <w:bookmarkEnd w:id="83"/>
      <w:bookmarkEnd w:id="84"/>
    </w:p>
    <w:p>
      <w:pPr>
        <w:pStyle w:val="Text1"/>
      </w:pPr>
      <w:bookmarkStart w:id="85" w:name="_Toc105773243"/>
      <w:bookmarkStart w:id="86" w:name="_Toc102661889"/>
      <w:bookmarkStart w:id="87" w:name="_Toc105773244"/>
      <w:r>
        <w:t>O prezentare generală a deciziilor de verificare financiară adoptate în 2025</w:t>
      </w:r>
      <w:bookmarkEnd w:id="85"/>
      <w:bookmarkEnd w:id="86"/>
      <w:r>
        <w:t xml:space="preserve"> poate fi găsită în tabelul 7. </w:t>
      </w:r>
    </w:p>
    <w:p>
      <w:pPr>
        <w:pStyle w:val="Text1"/>
      </w:pPr>
    </w:p>
    <w:p>
      <w:pPr>
        <w:pStyle w:val="Text1"/>
      </w:pPr>
    </w:p>
    <w:p>
      <w:pPr>
        <w:pStyle w:val="Text1"/>
      </w:pPr>
    </w:p>
    <w:p>
      <w:pPr>
        <w:pStyle w:val="Text1"/>
      </w:pPr>
    </w:p>
    <w:p>
      <w:pPr>
        <w:pStyle w:val="Text1"/>
      </w:pPr>
    </w:p>
    <w:p>
      <w:pPr>
        <w:pStyle w:val="Text1"/>
      </w:pPr>
    </w:p>
    <w:p>
      <w:pPr>
        <w:pStyle w:val="Text1"/>
      </w:pPr>
    </w:p>
    <w:p>
      <w:pPr>
        <w:pStyle w:val="Text1"/>
        <w:rPr>
          <w:i/>
        </w:rPr>
      </w:pPr>
      <w:r>
        <w:t xml:space="preserve">Tabelul 7 </w:t>
      </w:r>
      <w:r>
        <w:tab/>
      </w:r>
      <w:r>
        <w:tab/>
      </w:r>
      <w:r>
        <w:tab/>
      </w:r>
      <w:r>
        <w:tab/>
      </w:r>
      <w:r>
        <w:tab/>
      </w:r>
      <w:r>
        <w:rPr>
          <w:i/>
        </w:rPr>
        <w:t>(în milioane EUR; prețuri curente)</w:t>
      </w:r>
    </w:p>
    <w:tbl>
      <w:tblPr>
        <w:tblW w:w="8647" w:type="dxa"/>
        <w:tblInd w:w="343" w:type="dxa"/>
        <w:tblBorders>
          <w:top w:val="single" w:sz="6" w:space="0" w:color="auto"/>
          <w:left w:val="single" w:sz="6" w:space="0" w:color="auto"/>
          <w:bottom w:val="single" w:sz="6" w:space="0" w:color="auto"/>
          <w:right w:val="single" w:sz="6" w:space="0" w:color="auto"/>
        </w:tblBorders>
        <w:tblLayout w:type="fixed"/>
        <w:tblLook w:val="04A0" w:firstRow="1" w:lastRow="0" w:firstColumn="1" w:lastColumn="0" w:noHBand="0" w:noVBand="1"/>
      </w:tblPr>
      <w:tblGrid>
        <w:gridCol w:w="1276"/>
        <w:gridCol w:w="1547"/>
        <w:gridCol w:w="1337"/>
        <w:gridCol w:w="1245"/>
        <w:gridCol w:w="1472"/>
        <w:gridCol w:w="1770"/>
      </w:tblGrid>
      <w:tr>
        <w:trPr>
          <w:trHeight w:val="900"/>
        </w:trPr>
        <w:tc>
          <w:tcPr>
            <w:tcW w:w="1276" w:type="dxa"/>
            <w:tcBorders>
              <w:top w:val="single" w:sz="8" w:space="0" w:color="auto"/>
              <w:left w:val="single" w:sz="8" w:space="0" w:color="auto"/>
              <w:bottom w:val="single" w:sz="8" w:space="0" w:color="auto"/>
              <w:right w:val="single" w:sz="8" w:space="0" w:color="auto"/>
            </w:tcBorders>
            <w:shd w:val="clear" w:color="auto" w:fill="92D050"/>
            <w:vAlign w:val="center"/>
          </w:tcPr>
          <w:p>
            <w:pPr>
              <w:contextualSpacing/>
              <w:jc w:val="center"/>
              <w:rPr>
                <w:noProof/>
                <w:color w:val="000000" w:themeColor="text1"/>
              </w:rPr>
            </w:pPr>
            <w:r>
              <w:rPr>
                <w:b/>
                <w:noProof/>
                <w:color w:val="000000" w:themeColor="text1"/>
              </w:rPr>
              <w:t>Fond</w:t>
            </w:r>
            <w:r>
              <w:rPr>
                <w:noProof/>
                <w:color w:val="000000" w:themeColor="text1"/>
              </w:rPr>
              <w:t xml:space="preserve"> </w:t>
            </w:r>
          </w:p>
        </w:tc>
        <w:tc>
          <w:tcPr>
            <w:tcW w:w="1547" w:type="dxa"/>
            <w:tcBorders>
              <w:top w:val="single" w:sz="8" w:space="0" w:color="auto"/>
              <w:left w:val="single" w:sz="8" w:space="0" w:color="auto"/>
              <w:bottom w:val="single" w:sz="8" w:space="0" w:color="auto"/>
              <w:right w:val="single" w:sz="8" w:space="0" w:color="auto"/>
            </w:tcBorders>
            <w:shd w:val="clear" w:color="auto" w:fill="92D050"/>
            <w:vAlign w:val="center"/>
          </w:tcPr>
          <w:p>
            <w:pPr>
              <w:jc w:val="center"/>
              <w:rPr>
                <w:noProof/>
                <w:color w:val="000000" w:themeColor="text1"/>
              </w:rPr>
            </w:pPr>
            <w:r>
              <w:rPr>
                <w:b/>
                <w:noProof/>
                <w:color w:val="000000" w:themeColor="text1"/>
              </w:rPr>
              <w:t>Numărul deciziei</w:t>
            </w:r>
            <w:r>
              <w:rPr>
                <w:noProof/>
                <w:color w:val="000000" w:themeColor="text1"/>
              </w:rPr>
              <w:t xml:space="preserve"> </w:t>
            </w:r>
          </w:p>
        </w:tc>
        <w:tc>
          <w:tcPr>
            <w:tcW w:w="1337" w:type="dxa"/>
            <w:tcBorders>
              <w:top w:val="single" w:sz="8" w:space="0" w:color="auto"/>
              <w:left w:val="single" w:sz="8" w:space="0" w:color="auto"/>
              <w:bottom w:val="single" w:sz="8" w:space="0" w:color="auto"/>
              <w:right w:val="single" w:sz="8" w:space="0" w:color="auto"/>
            </w:tcBorders>
            <w:shd w:val="clear" w:color="auto" w:fill="92D050"/>
            <w:vAlign w:val="center"/>
          </w:tcPr>
          <w:p>
            <w:pPr>
              <w:jc w:val="center"/>
              <w:rPr>
                <w:noProof/>
                <w:color w:val="000000" w:themeColor="text1"/>
              </w:rPr>
            </w:pPr>
            <w:r>
              <w:rPr>
                <w:b/>
                <w:noProof/>
                <w:color w:val="000000" w:themeColor="text1"/>
              </w:rPr>
              <w:t>Data adoptării</w:t>
            </w:r>
            <w:r>
              <w:rPr>
                <w:noProof/>
                <w:color w:val="000000" w:themeColor="text1"/>
              </w:rPr>
              <w:t xml:space="preserve"> </w:t>
            </w:r>
          </w:p>
        </w:tc>
        <w:tc>
          <w:tcPr>
            <w:tcW w:w="1245" w:type="dxa"/>
            <w:tcBorders>
              <w:top w:val="single" w:sz="8" w:space="0" w:color="auto"/>
              <w:left w:val="single" w:sz="8" w:space="0" w:color="auto"/>
              <w:bottom w:val="single" w:sz="8" w:space="0" w:color="auto"/>
              <w:right w:val="single" w:sz="8" w:space="0" w:color="auto"/>
            </w:tcBorders>
            <w:shd w:val="clear" w:color="auto" w:fill="92D050"/>
            <w:vAlign w:val="center"/>
          </w:tcPr>
          <w:p>
            <w:pPr>
              <w:jc w:val="center"/>
              <w:rPr>
                <w:noProof/>
                <w:color w:val="000000" w:themeColor="text1"/>
              </w:rPr>
            </w:pPr>
            <w:r>
              <w:rPr>
                <w:b/>
                <w:noProof/>
                <w:color w:val="000000" w:themeColor="text1"/>
              </w:rPr>
              <w:t>Exercițiul financiar</w:t>
            </w:r>
            <w:r>
              <w:rPr>
                <w:noProof/>
                <w:color w:val="000000" w:themeColor="text1"/>
              </w:rPr>
              <w:t xml:space="preserve"> </w:t>
            </w:r>
          </w:p>
        </w:tc>
        <w:tc>
          <w:tcPr>
            <w:tcW w:w="1472" w:type="dxa"/>
            <w:tcBorders>
              <w:top w:val="single" w:sz="8" w:space="0" w:color="auto"/>
              <w:left w:val="single" w:sz="8" w:space="0" w:color="auto"/>
              <w:bottom w:val="single" w:sz="8" w:space="0" w:color="auto"/>
              <w:right w:val="single" w:sz="8" w:space="0" w:color="auto"/>
            </w:tcBorders>
            <w:shd w:val="clear" w:color="auto" w:fill="92D050"/>
            <w:vAlign w:val="center"/>
          </w:tcPr>
          <w:p>
            <w:pPr>
              <w:jc w:val="center"/>
              <w:rPr>
                <w:noProof/>
                <w:color w:val="000000" w:themeColor="text1"/>
              </w:rPr>
            </w:pPr>
            <w:r>
              <w:rPr>
                <w:b/>
                <w:noProof/>
                <w:color w:val="000000" w:themeColor="text1"/>
              </w:rPr>
              <w:t xml:space="preserve">Cheltuieli declarate și închise </w:t>
            </w:r>
          </w:p>
        </w:tc>
        <w:tc>
          <w:tcPr>
            <w:tcW w:w="1770" w:type="dxa"/>
            <w:tcBorders>
              <w:top w:val="single" w:sz="8" w:space="0" w:color="auto"/>
              <w:left w:val="single" w:sz="8" w:space="0" w:color="auto"/>
              <w:bottom w:val="single" w:sz="8" w:space="0" w:color="auto"/>
              <w:right w:val="single" w:sz="8" w:space="0" w:color="auto"/>
            </w:tcBorders>
            <w:shd w:val="clear" w:color="auto" w:fill="92D050"/>
            <w:vAlign w:val="center"/>
          </w:tcPr>
          <w:p>
            <w:pPr>
              <w:jc w:val="center"/>
              <w:rPr>
                <w:noProof/>
                <w:color w:val="000000" w:themeColor="text1"/>
              </w:rPr>
            </w:pPr>
            <w:r>
              <w:rPr>
                <w:b/>
                <w:noProof/>
                <w:color w:val="000000" w:themeColor="text1"/>
              </w:rPr>
              <w:t>AP în cauză</w:t>
            </w:r>
            <w:r>
              <w:rPr>
                <w:noProof/>
                <w:color w:val="000000" w:themeColor="text1"/>
              </w:rPr>
              <w:t xml:space="preserve"> </w:t>
            </w:r>
          </w:p>
        </w:tc>
      </w:tr>
      <w:tr>
        <w:trPr>
          <w:trHeight w:val="539"/>
        </w:trPr>
        <w:tc>
          <w:tcPr>
            <w:tcW w:w="1276" w:type="dxa"/>
            <w:tcBorders>
              <w:top w:val="single" w:sz="8" w:space="0" w:color="auto"/>
              <w:left w:val="single" w:sz="8" w:space="0" w:color="auto"/>
              <w:bottom w:val="single" w:sz="8" w:space="0" w:color="auto"/>
              <w:right w:val="single" w:sz="8" w:space="0" w:color="auto"/>
            </w:tcBorders>
            <w:vAlign w:val="center"/>
          </w:tcPr>
          <w:p>
            <w:pPr>
              <w:jc w:val="center"/>
              <w:rPr>
                <w:noProof/>
              </w:rPr>
            </w:pPr>
            <w:r>
              <w:rPr>
                <w:noProof/>
              </w:rPr>
              <w:t>FEGA</w:t>
            </w:r>
          </w:p>
        </w:tc>
        <w:tc>
          <w:tcPr>
            <w:tcW w:w="1547" w:type="dxa"/>
            <w:tcBorders>
              <w:top w:val="single" w:sz="8" w:space="0" w:color="auto"/>
              <w:left w:val="single" w:sz="8" w:space="0" w:color="auto"/>
              <w:bottom w:val="single" w:sz="8" w:space="0" w:color="auto"/>
              <w:right w:val="single" w:sz="8" w:space="0" w:color="auto"/>
            </w:tcBorders>
            <w:vAlign w:val="center"/>
          </w:tcPr>
          <w:p>
            <w:pPr>
              <w:jc w:val="center"/>
              <w:rPr>
                <w:noProof/>
              </w:rPr>
            </w:pPr>
            <w:r>
              <w:rPr>
                <w:noProof/>
              </w:rPr>
              <w:t>Decizia (UE) 2025/972</w:t>
            </w:r>
          </w:p>
        </w:tc>
        <w:tc>
          <w:tcPr>
            <w:tcW w:w="1337" w:type="dxa"/>
            <w:tcBorders>
              <w:top w:val="single" w:sz="8" w:space="0" w:color="auto"/>
              <w:left w:val="single" w:sz="8" w:space="0" w:color="auto"/>
              <w:bottom w:val="single" w:sz="8" w:space="0" w:color="auto"/>
              <w:right w:val="single" w:sz="8" w:space="0" w:color="auto"/>
            </w:tcBorders>
            <w:vAlign w:val="center"/>
          </w:tcPr>
          <w:p>
            <w:pPr>
              <w:jc w:val="center"/>
              <w:rPr>
                <w:noProof/>
              </w:rPr>
            </w:pPr>
            <w:r>
              <w:rPr>
                <w:noProof/>
              </w:rPr>
              <w:t>23.5.2025</w:t>
            </w:r>
          </w:p>
        </w:tc>
        <w:tc>
          <w:tcPr>
            <w:tcW w:w="1245" w:type="dxa"/>
            <w:tcBorders>
              <w:top w:val="single" w:sz="8" w:space="0" w:color="auto"/>
              <w:left w:val="single" w:sz="8" w:space="0" w:color="auto"/>
              <w:bottom w:val="single" w:sz="8" w:space="0" w:color="auto"/>
              <w:right w:val="single" w:sz="8" w:space="0" w:color="auto"/>
            </w:tcBorders>
            <w:vAlign w:val="center"/>
          </w:tcPr>
          <w:p>
            <w:pPr>
              <w:jc w:val="center"/>
              <w:rPr>
                <w:noProof/>
              </w:rPr>
            </w:pPr>
            <w:r>
              <w:rPr>
                <w:noProof/>
              </w:rPr>
              <w:t>2024</w:t>
            </w:r>
          </w:p>
        </w:tc>
        <w:tc>
          <w:tcPr>
            <w:tcW w:w="1472" w:type="dxa"/>
            <w:tcBorders>
              <w:top w:val="single" w:sz="8" w:space="0" w:color="auto"/>
              <w:left w:val="single" w:sz="8" w:space="0" w:color="auto"/>
              <w:bottom w:val="single" w:sz="8" w:space="0" w:color="auto"/>
              <w:right w:val="single" w:sz="8" w:space="0" w:color="auto"/>
            </w:tcBorders>
            <w:vAlign w:val="center"/>
          </w:tcPr>
          <w:p>
            <w:pPr>
              <w:jc w:val="center"/>
              <w:rPr>
                <w:noProof/>
              </w:rPr>
            </w:pPr>
            <w:r>
              <w:rPr>
                <w:noProof/>
              </w:rPr>
              <w:t>40 408,76</w:t>
            </w:r>
          </w:p>
        </w:tc>
        <w:tc>
          <w:tcPr>
            <w:tcW w:w="1770" w:type="dxa"/>
            <w:tcBorders>
              <w:top w:val="single" w:sz="8" w:space="0" w:color="auto"/>
              <w:left w:val="single" w:sz="8" w:space="0" w:color="auto"/>
              <w:bottom w:val="single" w:sz="8" w:space="0" w:color="auto"/>
              <w:right w:val="single" w:sz="8" w:space="0" w:color="auto"/>
            </w:tcBorders>
            <w:vAlign w:val="center"/>
          </w:tcPr>
          <w:p>
            <w:pPr>
              <w:jc w:val="center"/>
              <w:rPr>
                <w:noProof/>
              </w:rPr>
            </w:pPr>
            <w:r>
              <w:rPr>
                <w:noProof/>
              </w:rPr>
              <w:t>FEADR</w:t>
            </w:r>
          </w:p>
        </w:tc>
      </w:tr>
      <w:tr>
        <w:trPr>
          <w:trHeight w:val="539"/>
        </w:trPr>
        <w:tc>
          <w:tcPr>
            <w:tcW w:w="1276" w:type="dxa"/>
            <w:tcBorders>
              <w:top w:val="single" w:sz="8" w:space="0" w:color="auto"/>
              <w:left w:val="single" w:sz="8" w:space="0" w:color="auto"/>
              <w:bottom w:val="single" w:sz="8" w:space="0" w:color="auto"/>
              <w:right w:val="single" w:sz="8" w:space="0" w:color="auto"/>
            </w:tcBorders>
            <w:vAlign w:val="center"/>
          </w:tcPr>
          <w:p>
            <w:pPr>
              <w:jc w:val="center"/>
              <w:rPr>
                <w:noProof/>
              </w:rPr>
            </w:pPr>
            <w:r>
              <w:rPr>
                <w:noProof/>
              </w:rPr>
              <w:t>FEADR 2014-2022</w:t>
            </w:r>
          </w:p>
        </w:tc>
        <w:tc>
          <w:tcPr>
            <w:tcW w:w="1547" w:type="dxa"/>
            <w:tcBorders>
              <w:top w:val="single" w:sz="8" w:space="0" w:color="auto"/>
              <w:left w:val="single" w:sz="8" w:space="0" w:color="auto"/>
              <w:bottom w:val="single" w:sz="8" w:space="0" w:color="auto"/>
              <w:right w:val="single" w:sz="8" w:space="0" w:color="auto"/>
            </w:tcBorders>
            <w:vAlign w:val="center"/>
          </w:tcPr>
          <w:p>
            <w:pPr>
              <w:jc w:val="center"/>
              <w:rPr>
                <w:noProof/>
              </w:rPr>
            </w:pPr>
            <w:r>
              <w:rPr>
                <w:noProof/>
              </w:rPr>
              <w:t>Decizia (UE) 2025/971</w:t>
            </w:r>
          </w:p>
        </w:tc>
        <w:tc>
          <w:tcPr>
            <w:tcW w:w="1337" w:type="dxa"/>
            <w:tcBorders>
              <w:top w:val="single" w:sz="8" w:space="0" w:color="auto"/>
              <w:left w:val="single" w:sz="8" w:space="0" w:color="auto"/>
              <w:bottom w:val="single" w:sz="8" w:space="0" w:color="auto"/>
              <w:right w:val="single" w:sz="8" w:space="0" w:color="auto"/>
            </w:tcBorders>
            <w:vAlign w:val="center"/>
          </w:tcPr>
          <w:p>
            <w:pPr>
              <w:jc w:val="center"/>
              <w:rPr>
                <w:noProof/>
              </w:rPr>
            </w:pPr>
            <w:r>
              <w:rPr>
                <w:noProof/>
              </w:rPr>
              <w:t>23.5.2025</w:t>
            </w:r>
          </w:p>
        </w:tc>
        <w:tc>
          <w:tcPr>
            <w:tcW w:w="1245" w:type="dxa"/>
            <w:tcBorders>
              <w:top w:val="single" w:sz="8" w:space="0" w:color="auto"/>
              <w:left w:val="single" w:sz="8" w:space="0" w:color="auto"/>
              <w:bottom w:val="single" w:sz="8" w:space="0" w:color="auto"/>
              <w:right w:val="single" w:sz="8" w:space="0" w:color="auto"/>
            </w:tcBorders>
            <w:vAlign w:val="center"/>
          </w:tcPr>
          <w:p>
            <w:pPr>
              <w:jc w:val="center"/>
              <w:rPr>
                <w:noProof/>
              </w:rPr>
            </w:pPr>
            <w:r>
              <w:rPr>
                <w:noProof/>
              </w:rPr>
              <w:t>2024</w:t>
            </w:r>
          </w:p>
        </w:tc>
        <w:tc>
          <w:tcPr>
            <w:tcW w:w="1472" w:type="dxa"/>
            <w:tcBorders>
              <w:top w:val="single" w:sz="8" w:space="0" w:color="auto"/>
              <w:left w:val="single" w:sz="8" w:space="0" w:color="auto"/>
              <w:bottom w:val="single" w:sz="8" w:space="0" w:color="auto"/>
              <w:right w:val="single" w:sz="8" w:space="0" w:color="auto"/>
            </w:tcBorders>
            <w:vAlign w:val="center"/>
          </w:tcPr>
          <w:p>
            <w:pPr>
              <w:jc w:val="center"/>
              <w:rPr>
                <w:noProof/>
              </w:rPr>
            </w:pPr>
            <w:r>
              <w:rPr>
                <w:noProof/>
              </w:rPr>
              <w:t>10 078,76</w:t>
            </w:r>
          </w:p>
        </w:tc>
        <w:tc>
          <w:tcPr>
            <w:tcW w:w="1770" w:type="dxa"/>
            <w:tcBorders>
              <w:top w:val="single" w:sz="8" w:space="0" w:color="auto"/>
              <w:left w:val="single" w:sz="8" w:space="0" w:color="auto"/>
              <w:bottom w:val="single" w:sz="8" w:space="0" w:color="auto"/>
              <w:right w:val="single" w:sz="8" w:space="0" w:color="auto"/>
            </w:tcBorders>
            <w:vAlign w:val="center"/>
          </w:tcPr>
          <w:p>
            <w:pPr>
              <w:jc w:val="center"/>
              <w:rPr>
                <w:noProof/>
              </w:rPr>
            </w:pPr>
            <w:r>
              <w:rPr>
                <w:noProof/>
              </w:rPr>
              <w:t>FEADR</w:t>
            </w:r>
          </w:p>
        </w:tc>
      </w:tr>
      <w:tr>
        <w:trPr>
          <w:trHeight w:val="539"/>
        </w:trPr>
        <w:tc>
          <w:tcPr>
            <w:tcW w:w="1276" w:type="dxa"/>
            <w:tcBorders>
              <w:top w:val="single" w:sz="8" w:space="0" w:color="auto"/>
              <w:left w:val="single" w:sz="8" w:space="0" w:color="auto"/>
              <w:bottom w:val="single" w:sz="8" w:space="0" w:color="auto"/>
              <w:right w:val="single" w:sz="8" w:space="0" w:color="auto"/>
            </w:tcBorders>
            <w:vAlign w:val="center"/>
          </w:tcPr>
          <w:p>
            <w:pPr>
              <w:jc w:val="center"/>
              <w:rPr>
                <w:noProof/>
              </w:rPr>
            </w:pPr>
            <w:r>
              <w:rPr>
                <w:noProof/>
              </w:rPr>
              <w:t>FEADR 2023-2027</w:t>
            </w:r>
          </w:p>
        </w:tc>
        <w:tc>
          <w:tcPr>
            <w:tcW w:w="1547" w:type="dxa"/>
            <w:tcBorders>
              <w:top w:val="single" w:sz="8" w:space="0" w:color="auto"/>
              <w:left w:val="single" w:sz="8" w:space="0" w:color="auto"/>
              <w:bottom w:val="single" w:sz="8" w:space="0" w:color="auto"/>
              <w:right w:val="single" w:sz="8" w:space="0" w:color="auto"/>
            </w:tcBorders>
            <w:vAlign w:val="center"/>
          </w:tcPr>
          <w:p>
            <w:pPr>
              <w:jc w:val="center"/>
              <w:rPr>
                <w:noProof/>
              </w:rPr>
            </w:pPr>
            <w:r>
              <w:rPr>
                <w:noProof/>
              </w:rPr>
              <w:t>Decizia (UE) 2025/997</w:t>
            </w:r>
          </w:p>
        </w:tc>
        <w:tc>
          <w:tcPr>
            <w:tcW w:w="1337" w:type="dxa"/>
            <w:tcBorders>
              <w:top w:val="single" w:sz="8" w:space="0" w:color="auto"/>
              <w:left w:val="single" w:sz="8" w:space="0" w:color="auto"/>
              <w:bottom w:val="single" w:sz="8" w:space="0" w:color="auto"/>
              <w:right w:val="single" w:sz="8" w:space="0" w:color="auto"/>
            </w:tcBorders>
            <w:vAlign w:val="center"/>
          </w:tcPr>
          <w:p>
            <w:pPr>
              <w:jc w:val="center"/>
              <w:rPr>
                <w:noProof/>
              </w:rPr>
            </w:pPr>
            <w:r>
              <w:rPr>
                <w:noProof/>
              </w:rPr>
              <w:t>23.5.2025</w:t>
            </w:r>
          </w:p>
        </w:tc>
        <w:tc>
          <w:tcPr>
            <w:tcW w:w="1245" w:type="dxa"/>
            <w:tcBorders>
              <w:top w:val="single" w:sz="8" w:space="0" w:color="auto"/>
              <w:left w:val="single" w:sz="8" w:space="0" w:color="auto"/>
              <w:bottom w:val="single" w:sz="8" w:space="0" w:color="auto"/>
              <w:right w:val="single" w:sz="8" w:space="0" w:color="auto"/>
            </w:tcBorders>
            <w:vAlign w:val="center"/>
          </w:tcPr>
          <w:p>
            <w:pPr>
              <w:jc w:val="center"/>
              <w:rPr>
                <w:noProof/>
              </w:rPr>
            </w:pPr>
            <w:r>
              <w:rPr>
                <w:noProof/>
              </w:rPr>
              <w:t>2024</w:t>
            </w:r>
          </w:p>
        </w:tc>
        <w:tc>
          <w:tcPr>
            <w:tcW w:w="1472" w:type="dxa"/>
            <w:tcBorders>
              <w:top w:val="single" w:sz="8" w:space="0" w:color="auto"/>
              <w:left w:val="single" w:sz="8" w:space="0" w:color="auto"/>
              <w:bottom w:val="single" w:sz="8" w:space="0" w:color="auto"/>
              <w:right w:val="single" w:sz="8" w:space="0" w:color="auto"/>
            </w:tcBorders>
            <w:vAlign w:val="center"/>
          </w:tcPr>
          <w:p>
            <w:pPr>
              <w:jc w:val="center"/>
              <w:rPr>
                <w:noProof/>
              </w:rPr>
            </w:pPr>
            <w:r>
              <w:rPr>
                <w:noProof/>
              </w:rPr>
              <w:t>4 943,68</w:t>
            </w:r>
          </w:p>
        </w:tc>
        <w:tc>
          <w:tcPr>
            <w:tcW w:w="1770" w:type="dxa"/>
            <w:tcBorders>
              <w:top w:val="single" w:sz="8" w:space="0" w:color="auto"/>
              <w:left w:val="single" w:sz="8" w:space="0" w:color="auto"/>
              <w:bottom w:val="single" w:sz="8" w:space="0" w:color="auto"/>
              <w:right w:val="single" w:sz="8" w:space="0" w:color="auto"/>
            </w:tcBorders>
            <w:vAlign w:val="center"/>
          </w:tcPr>
          <w:p>
            <w:pPr>
              <w:jc w:val="center"/>
              <w:rPr>
                <w:noProof/>
              </w:rPr>
            </w:pPr>
            <w:r>
              <w:rPr>
                <w:noProof/>
              </w:rPr>
              <w:t>FEADR</w:t>
            </w:r>
          </w:p>
        </w:tc>
      </w:tr>
    </w:tbl>
    <w:p>
      <w:pPr>
        <w:pStyle w:val="Text1"/>
      </w:pPr>
    </w:p>
    <w:p>
      <w:pPr>
        <w:pStyle w:val="ManualHeading2"/>
        <w:rPr>
          <w:noProof/>
        </w:rPr>
      </w:pPr>
      <w:bookmarkStart w:id="88" w:name="_Toc322938654"/>
      <w:bookmarkStart w:id="89" w:name="_Toc102661890"/>
      <w:bookmarkStart w:id="90" w:name="_Toc139622289"/>
      <w:bookmarkStart w:id="91" w:name="_Toc238729379"/>
      <w:r>
        <w:rPr>
          <w:noProof/>
        </w:rPr>
        <w:t>5.3.</w:t>
      </w:r>
      <w:r>
        <w:rPr>
          <w:noProof/>
        </w:rPr>
        <w:tab/>
        <w:t>Acțiunile înaintate Curții de Justiție a Uniunii Europene împotriva deciziilor privind verificarea</w:t>
      </w:r>
      <w:bookmarkEnd w:id="87"/>
      <w:bookmarkEnd w:id="88"/>
      <w:bookmarkEnd w:id="89"/>
      <w:bookmarkEnd w:id="90"/>
      <w:bookmarkEnd w:id="91"/>
    </w:p>
    <w:p>
      <w:pPr>
        <w:pStyle w:val="Text1"/>
        <w:ind w:left="851"/>
      </w:pPr>
      <w:r>
        <w:t>O sinteză a cauzelor înaintate</w:t>
      </w:r>
      <w:bookmarkStart w:id="92" w:name="_Toc322938655"/>
      <w:bookmarkStart w:id="93" w:name="_Toc102661891"/>
      <w:bookmarkStart w:id="94" w:name="_Toc105773245"/>
      <w:r>
        <w:t xml:space="preserve"> </w:t>
      </w:r>
      <w:bookmarkStart w:id="95" w:name="_Toc322938656"/>
      <w:bookmarkEnd w:id="92"/>
      <w:bookmarkEnd w:id="93"/>
      <w:bookmarkEnd w:id="94"/>
      <w:r>
        <w:t>Tribunalului și Curții de Justiție figurează în anexa 19.</w:t>
      </w:r>
      <w:bookmarkStart w:id="96" w:name="_Toc322938658"/>
      <w:bookmarkStart w:id="97" w:name="_Toc102661894"/>
      <w:bookmarkStart w:id="98" w:name="_Toc105773248"/>
      <w:bookmarkEnd w:id="95"/>
    </w:p>
    <w:p>
      <w:pPr>
        <w:rPr>
          <w:rFonts w:eastAsia="MS PGothic"/>
          <w:noProof/>
        </w:rPr>
      </w:pPr>
      <w:r>
        <w:rPr>
          <w:noProof/>
        </w:rPr>
        <w:br w:type="page"/>
      </w:r>
    </w:p>
    <w:p>
      <w:pPr>
        <w:pStyle w:val="ManualHeading1"/>
        <w:ind w:left="851" w:hanging="851"/>
        <w:jc w:val="left"/>
        <w:rPr>
          <w:noProof/>
          <w:color w:val="FF0000"/>
        </w:rPr>
      </w:pPr>
      <w:bookmarkStart w:id="99" w:name="_Toc139622290"/>
      <w:bookmarkStart w:id="100" w:name="_Toc238729380"/>
      <w:r>
        <w:rPr>
          <w:noProof/>
        </w:rPr>
        <w:lastRenderedPageBreak/>
        <w:t>6.</w:t>
      </w:r>
      <w:r>
        <w:rPr>
          <w:noProof/>
        </w:rPr>
        <w:tab/>
        <w:t>RELAȚIILE CU PARLAMENTUL ȘI CU CURTEA DE CONTURI EUROPEANĂ</w:t>
      </w:r>
      <w:bookmarkEnd w:id="96"/>
      <w:bookmarkEnd w:id="97"/>
      <w:bookmarkEnd w:id="98"/>
      <w:bookmarkEnd w:id="99"/>
      <w:bookmarkEnd w:id="100"/>
      <w:r>
        <w:rPr>
          <w:noProof/>
        </w:rPr>
        <w:t xml:space="preserve"> </w:t>
      </w:r>
    </w:p>
    <w:p>
      <w:pPr>
        <w:pStyle w:val="ManualHeading2"/>
        <w:rPr>
          <w:noProof/>
        </w:rPr>
      </w:pPr>
      <w:bookmarkStart w:id="101" w:name="_Toc322938659"/>
      <w:bookmarkStart w:id="102" w:name="_Toc102661895"/>
      <w:bookmarkStart w:id="103" w:name="_Toc105773249"/>
      <w:bookmarkStart w:id="104" w:name="_Toc139622291"/>
      <w:bookmarkStart w:id="105" w:name="_Toc238729381"/>
      <w:r>
        <w:rPr>
          <w:noProof/>
        </w:rPr>
        <w:t>6.1.</w:t>
      </w:r>
      <w:r>
        <w:rPr>
          <w:noProof/>
        </w:rPr>
        <w:tab/>
        <w:t>Relațiile cu Parlamentul</w:t>
      </w:r>
      <w:bookmarkEnd w:id="101"/>
      <w:bookmarkEnd w:id="102"/>
      <w:bookmarkEnd w:id="103"/>
      <w:bookmarkEnd w:id="104"/>
      <w:bookmarkEnd w:id="105"/>
      <w:r>
        <w:rPr>
          <w:noProof/>
        </w:rPr>
        <w:t xml:space="preserve"> </w:t>
      </w:r>
    </w:p>
    <w:p>
      <w:pPr>
        <w:pStyle w:val="Text1"/>
      </w:pPr>
      <w:r>
        <w:t>Parlamentul European (PE) face parte, împreună cu Consiliul, din autoritatea bugetară a UE. Prin urmare, acesta este unul dintre cei mai importanți parteneri de discuție ai Comisiei cu privire la chestiuni bugetare și, prin urmare, cu privire la FEGA și FEADR.</w:t>
      </w:r>
    </w:p>
    <w:p>
      <w:pPr>
        <w:pStyle w:val="Text1"/>
      </w:pPr>
      <w:r>
        <w:t>Trei comisii ale PE sunt implicate în discuții și în pregătirea sesiunii plenare privind chestiunile bugetare din domeniul agricol. Acestea sunt Comisia pentru agricultură și dezvoltare rurală, Comisia pentru bugete și Comisia pentru control bugetar.</w:t>
      </w:r>
    </w:p>
    <w:p>
      <w:pPr>
        <w:pStyle w:val="Text1"/>
      </w:pPr>
      <w:r>
        <w:t>Începând din 2014, Comisia pentru agricultură și dezvoltare rurală prezintă Comisiei pentru control bugetar un aviz cu privire la procedura de descărcare de gestiune.</w:t>
      </w:r>
    </w:p>
    <w:p>
      <w:pPr>
        <w:pStyle w:val="Text1"/>
      </w:pPr>
      <w:r>
        <w:t xml:space="preserve">Comisia pentru control bugetar (CONT) controlează execuția corectă a bugetului și elaborează raportul prin care propune Parlamentului să acorde descărcarea de gestiune și face recomandări Comisiei sau statelor membre. </w:t>
      </w:r>
    </w:p>
    <w:p>
      <w:pPr>
        <w:pStyle w:val="Text1"/>
      </w:pPr>
      <w:r>
        <w:t>Parlamentul European a acordat Comisiei descărcarea de gestiune pentru execuția bugetului general al Uniunii Europene aferent exercițiului bugetar 2024, printr-un vot în plen cu privire la o decizie parlamentară, care a avut loc la 29 aprilie 2026.</w:t>
      </w:r>
    </w:p>
    <w:p>
      <w:pPr>
        <w:pStyle w:val="ManualHeading2"/>
        <w:rPr>
          <w:noProof/>
        </w:rPr>
      </w:pPr>
      <w:bookmarkStart w:id="106" w:name="_Toc322938660"/>
      <w:bookmarkStart w:id="107" w:name="_Toc102661896"/>
      <w:bookmarkStart w:id="108" w:name="_Toc105773250"/>
      <w:bookmarkStart w:id="109" w:name="_Toc139622292"/>
      <w:bookmarkStart w:id="110" w:name="_Toc238729382"/>
      <w:r>
        <w:rPr>
          <w:noProof/>
        </w:rPr>
        <w:t>6.2.</w:t>
      </w:r>
      <w:r>
        <w:rPr>
          <w:noProof/>
        </w:rPr>
        <w:tab/>
        <w:t>Relațiile cu Curtea de Conturi Europeană</w:t>
      </w:r>
      <w:bookmarkEnd w:id="106"/>
      <w:bookmarkEnd w:id="107"/>
      <w:bookmarkEnd w:id="108"/>
      <w:bookmarkEnd w:id="109"/>
      <w:bookmarkEnd w:id="110"/>
    </w:p>
    <w:p>
      <w:pPr>
        <w:pStyle w:val="Text1"/>
      </w:pPr>
      <w:r>
        <w:t>Curtea de Conturi Europeană (CCE) este auditorul extern independent al Uniunii Europene. Un rezumat al constatărilor și concluziilor CCE pentru exercițiul bugetar 2023 este prezentat în</w:t>
      </w:r>
      <w:bookmarkStart w:id="111" w:name="_Toc134214511"/>
      <w:bookmarkStart w:id="112" w:name="_Toc322938663"/>
      <w:bookmarkEnd w:id="111"/>
      <w:r>
        <w:t xml:space="preserve"> Raportul anual de activitate, punctul 2.2. </w:t>
      </w:r>
      <w:bookmarkEnd w:id="112"/>
    </w:p>
    <w:p>
      <w:pPr>
        <w:pStyle w:val="ManualHeading1"/>
        <w:spacing w:before="0"/>
        <w:ind w:left="0" w:firstLine="0"/>
        <w:rPr>
          <w:noProof/>
        </w:rPr>
      </w:pPr>
    </w:p>
    <w:p>
      <w:pPr>
        <w:rPr>
          <w:noProof/>
        </w:rPr>
      </w:pPr>
    </w:p>
    <w:sectPr>
      <w:headerReference w:type="even" r:id="rId29"/>
      <w:headerReference w:type="default" r:id="rId30"/>
      <w:footerReference w:type="even" r:id="rId31"/>
      <w:footerReference w:type="default" r:id="rId32"/>
      <w:headerReference w:type="first" r:id="rId33"/>
      <w:footerReference w:type="first" r:id="rId34"/>
      <w:pgSz w:w="12240" w:h="15840"/>
      <w:pgMar w:top="1440" w:right="1440" w:bottom="1440" w:left="1440" w:header="720" w:footer="720"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MS PGothic">
    <w:panose1 w:val="020B0600070205080204"/>
    <w:charset w:val="80"/>
    <w:family w:val="swiss"/>
    <w:pitch w:val="variable"/>
    <w:sig w:usb0="E00002FF" w:usb1="6AC7FDFB" w:usb2="08000012" w:usb3="00000000" w:csb0="0002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CoverPage"/>
      <w:rPr>
        <w:rFonts w:ascii="Arial" w:hAnsi="Arial" w:cs="Arial"/>
        <w:b/>
        <w:sz w:val="48"/>
      </w:rPr>
    </w:pPr>
    <w:r>
      <w:rPr>
        <w:rFonts w:ascii="Arial" w:hAnsi="Arial" w:cs="Arial"/>
        <w:b/>
        <w:sz w:val="48"/>
      </w:rPr>
      <w:t>RO</w:t>
    </w:r>
    <w:r>
      <w:rPr>
        <w:rFonts w:ascii="Arial" w:hAnsi="Arial" w:cs="Arial"/>
        <w:b/>
        <w:sz w:val="48"/>
      </w:rPr>
      <w:tab/>
    </w:r>
    <w:r>
      <w:rPr>
        <w:rFonts w:ascii="Arial" w:hAnsi="Arial" w:cs="Arial"/>
        <w:b/>
        <w:sz w:val="48"/>
      </w:rPr>
      <w:tab/>
    </w:r>
    <w:r>
      <w:tab/>
    </w:r>
    <w:r>
      <w:rPr>
        <w:rFonts w:ascii="Arial" w:hAnsi="Arial" w:cs="Arial"/>
        <w:b/>
        <w:sz w:val="48"/>
      </w:rPr>
      <w:t>RO</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CoverPage"/>
      <w:rPr>
        <w:rFonts w:ascii="Arial" w:hAnsi="Arial" w:cs="Arial"/>
        <w:b/>
        <w:sz w:val="48"/>
      </w:rPr>
    </w:pPr>
    <w:r>
      <w:rPr>
        <w:rFonts w:ascii="Arial" w:hAnsi="Arial" w:cs="Arial"/>
        <w:b/>
        <w:sz w:val="48"/>
      </w:rPr>
      <w:t>RO</w:t>
    </w:r>
    <w:r>
      <w:rPr>
        <w:rFonts w:ascii="Arial" w:hAnsi="Arial" w:cs="Arial"/>
        <w:b/>
        <w:sz w:val="48"/>
      </w:rPr>
      <w:tab/>
    </w:r>
    <w:r>
      <w:rPr>
        <w:rFonts w:ascii="Arial" w:hAnsi="Arial" w:cs="Arial"/>
        <w:b/>
        <w:sz w:val="48"/>
      </w:rPr>
      <w:tab/>
    </w:r>
    <w:r>
      <w:tab/>
    </w:r>
    <w:r>
      <w:rPr>
        <w:rFonts w:ascii="Arial" w:hAnsi="Arial" w:cs="Arial"/>
        <w:b/>
        <w:sz w:val="48"/>
      </w:rPr>
      <w:t>RO</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jc w:val="center"/>
    </w:pPr>
    <w:r>
      <w:fldChar w:fldCharType="begin"/>
    </w:r>
    <w:r>
      <w:instrText xml:space="preserve"> PAGE   \* MERGEFORMAT </w:instrText>
    </w:r>
    <w:r>
      <w:fldChar w:fldCharType="separate"/>
    </w:r>
    <w:r>
      <w:t>1</w:t>
    </w:r>
    <w: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jc w:val="center"/>
    </w:pPr>
    <w:r>
      <w:fldChar w:fldCharType="begin"/>
    </w:r>
    <w:r>
      <w:instrText xml:space="preserve"> PAGE   \* MERGEFORMAT </w:instrText>
    </w:r>
    <w:r>
      <w:fldChar w:fldCharType="separate"/>
    </w:r>
    <w:r>
      <w:t>31</w:t>
    </w:r>
    <w: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 w:id="1">
    <w:p>
      <w:pPr>
        <w:pStyle w:val="FootnoteText"/>
      </w:pPr>
      <w:r>
        <w:rPr>
          <w:rStyle w:val="FootnoteReference"/>
        </w:rPr>
        <w:footnoteRef/>
      </w:r>
      <w:r>
        <w:tab/>
        <w:t xml:space="preserve">JO L 433I, 22.12.2020, p. 11, ELI: </w:t>
      </w:r>
      <w:hyperlink r:id="rId1" w:history="1">
        <w:r>
          <w:rPr>
            <w:rStyle w:val="Hyperlink"/>
            <w:i/>
          </w:rPr>
          <w:t>http://data.europa.eu/eli/reg/2020/2093/oj</w:t>
        </w:r>
      </w:hyperlink>
      <w:r>
        <w:t>.</w:t>
      </w:r>
    </w:p>
  </w:footnote>
  <w:footnote w:id="2">
    <w:p>
      <w:pPr>
        <w:pStyle w:val="FootnoteText"/>
      </w:pPr>
      <w:r>
        <w:rPr>
          <w:rStyle w:val="FootnoteReference"/>
        </w:rPr>
        <w:footnoteRef/>
      </w:r>
      <w:r>
        <w:tab/>
        <w:t>JO L, 2024/765, 29.2.2024, ELI:</w:t>
      </w:r>
      <w:r>
        <w:rPr>
          <w:i/>
        </w:rPr>
        <w:t xml:space="preserve"> </w:t>
      </w:r>
      <w:hyperlink r:id="rId2" w:history="1">
        <w:r>
          <w:rPr>
            <w:rStyle w:val="Hyperlink"/>
            <w:i/>
          </w:rPr>
          <w:t>http://data.europa.eu/eli/reg/2024/765/oj</w:t>
        </w:r>
      </w:hyperlink>
      <w:r>
        <w:t>.</w:t>
      </w:r>
    </w:p>
  </w:footnote>
  <w:footnote w:id="3">
    <w:p>
      <w:pPr>
        <w:pStyle w:val="FootnoteText"/>
      </w:pPr>
      <w:r>
        <w:rPr>
          <w:rStyle w:val="FootnoteReference"/>
        </w:rPr>
        <w:footnoteRef/>
      </w:r>
      <w:r>
        <w:tab/>
        <w:t xml:space="preserve">JO L 40, 4.2.2021, p. 8, ELI: </w:t>
      </w:r>
      <w:hyperlink r:id="rId3" w:history="1">
        <w:r>
          <w:rPr>
            <w:rStyle w:val="Hyperlink"/>
            <w:i/>
          </w:rPr>
          <w:t>http://data.europa.eu/eli/reg_impl/2021/128/oj</w:t>
        </w:r>
      </w:hyperlink>
      <w:r>
        <w:t>.</w:t>
      </w:r>
    </w:p>
  </w:footnote>
  <w:footnote w:id="4">
    <w:p>
      <w:pPr>
        <w:pStyle w:val="FootnoteText"/>
      </w:pPr>
      <w:r>
        <w:rPr>
          <w:rStyle w:val="FootnoteReference"/>
        </w:rPr>
        <w:footnoteRef/>
      </w:r>
      <w:r>
        <w:tab/>
        <w:t>JO L 435, 6.12.2021, p. 187, ELI:</w:t>
      </w:r>
      <w:r>
        <w:rPr>
          <w:i/>
        </w:rPr>
        <w:t xml:space="preserve"> </w:t>
      </w:r>
      <w:hyperlink r:id="rId4" w:history="1">
        <w:r>
          <w:rPr>
            <w:rStyle w:val="Hyperlink"/>
            <w:i/>
          </w:rPr>
          <w:t>http://data.europa.eu/eli/reg/2021/2116/oj</w:t>
        </w:r>
      </w:hyperlink>
      <w:r>
        <w:t>.</w:t>
      </w:r>
    </w:p>
  </w:footnote>
  <w:footnote w:id="5">
    <w:p>
      <w:pPr>
        <w:pStyle w:val="FootnoteText"/>
      </w:pPr>
      <w:r>
        <w:rPr>
          <w:rStyle w:val="FootnoteReference"/>
        </w:rPr>
        <w:footnoteRef/>
      </w:r>
      <w:r>
        <w:tab/>
        <w:t>Aceste declarații lunare de cheltuieli sunt transmise de statele membre până la data de 7 a lunii următoare lunii în care au fost efectuate cheltuielile.</w:t>
      </w:r>
    </w:p>
  </w:footnote>
  <w:footnote w:id="6">
    <w:p>
      <w:pPr>
        <w:pStyle w:val="FootnoteText"/>
      </w:pPr>
      <w:r>
        <w:rPr>
          <w:rStyle w:val="FootnoteReference"/>
        </w:rPr>
        <w:footnoteRef/>
      </w:r>
      <w:r>
        <w:tab/>
        <w:t>JO L 347, 20.12.2013, p. 549, ELI:</w:t>
      </w:r>
      <w:r>
        <w:rPr>
          <w:i/>
        </w:rPr>
        <w:t xml:space="preserve"> </w:t>
      </w:r>
      <w:hyperlink r:id="rId5" w:history="1">
        <w:r>
          <w:rPr>
            <w:rStyle w:val="Hyperlink"/>
            <w:i/>
          </w:rPr>
          <w:t>http://data.europa.eu/eli/reg/2013/1306/oj</w:t>
        </w:r>
      </w:hyperlink>
      <w:r>
        <w:t>.</w:t>
      </w:r>
    </w:p>
  </w:footnote>
  <w:footnote w:id="7">
    <w:p>
      <w:pPr>
        <w:pStyle w:val="FootnoteText"/>
      </w:pPr>
      <w:r>
        <w:rPr>
          <w:rStyle w:val="FootnoteReference"/>
        </w:rPr>
        <w:footnoteRef/>
      </w:r>
      <w:r>
        <w:tab/>
        <w:t>JO L 347, 20.12.2013, p. 608, ELI:</w:t>
      </w:r>
      <w:r>
        <w:rPr>
          <w:i/>
        </w:rPr>
        <w:t xml:space="preserve"> </w:t>
      </w:r>
      <w:hyperlink r:id="rId6" w:history="1">
        <w:r>
          <w:rPr>
            <w:rStyle w:val="Hyperlink"/>
            <w:i/>
          </w:rPr>
          <w:t>http://data.europa.eu/eli/reg/2013/1307/oj</w:t>
        </w:r>
      </w:hyperlink>
      <w:r>
        <w:t>.</w:t>
      </w:r>
    </w:p>
  </w:footnote>
  <w:footnote w:id="8">
    <w:p>
      <w:pPr>
        <w:pStyle w:val="FootnoteText"/>
        <w:ind w:left="0" w:firstLine="0"/>
      </w:pPr>
      <w:r>
        <w:rPr>
          <w:rStyle w:val="FootnoteReference"/>
        </w:rPr>
        <w:footnoteRef/>
      </w:r>
      <w:r>
        <w:tab/>
        <w:t>JO L 181, 20.6.2014, p. 48, ELI: </w:t>
      </w:r>
      <w:hyperlink r:id="rId7" w:tooltip="Oferă acces la acest document prin identificatorul său uniform de resurse ELI." w:history="1">
        <w:r>
          <w:rPr>
            <w:rStyle w:val="Hyperlink"/>
          </w:rPr>
          <w:t>http://data.europa.eu/eli/reg_del/2014/640/oj</w:t>
        </w:r>
      </w:hyperlink>
      <w:r>
        <w:t>.</w:t>
      </w:r>
    </w:p>
  </w:footnote>
  <w:footnote w:id="9">
    <w:p>
      <w:pPr>
        <w:pStyle w:val="FootnoteText"/>
      </w:pPr>
      <w:r>
        <w:rPr>
          <w:rStyle w:val="FootnoteReference"/>
        </w:rPr>
        <w:footnoteRef/>
      </w:r>
      <w:r>
        <w:tab/>
        <w:t>JO L 227, 31.7.2014, p. 69, ELI: </w:t>
      </w:r>
      <w:hyperlink r:id="rId8" w:tooltip="Oferă acces la acest document prin identificatorul său uniform de resurse ELI." w:history="1">
        <w:r>
          <w:rPr>
            <w:rStyle w:val="Hyperlink"/>
          </w:rPr>
          <w:t>http://data.europa.eu/eli/reg_impl/2014/809/oj</w:t>
        </w:r>
      </w:hyperlink>
      <w:r>
        <w:t>.</w:t>
      </w:r>
    </w:p>
  </w:footnote>
  <w:footnote w:id="10">
    <w:p>
      <w:pPr>
        <w:pStyle w:val="FootnoteText"/>
      </w:pPr>
      <w:r>
        <w:rPr>
          <w:rStyle w:val="FootnoteReference"/>
        </w:rPr>
        <w:footnoteRef/>
      </w:r>
      <w:r>
        <w:tab/>
        <w:t>JO L 183, 8.7.2022, p. 12, ELI: </w:t>
      </w:r>
      <w:hyperlink r:id="rId9" w:tooltip="Oferă acces la acest document prin identificatorul său uniform de resurse ELI." w:history="1">
        <w:r>
          <w:rPr>
            <w:rStyle w:val="Hyperlink"/>
          </w:rPr>
          <w:t>http://data.europa.eu/eli/reg_del/2022/1172/oj</w:t>
        </w:r>
      </w:hyperlink>
      <w:r>
        <w:t>.</w:t>
      </w:r>
    </w:p>
  </w:footnote>
  <w:footnote w:id="11">
    <w:p>
      <w:pPr>
        <w:pStyle w:val="FootnoteText"/>
      </w:pPr>
      <w:r>
        <w:rPr>
          <w:rStyle w:val="FootnoteReference"/>
        </w:rPr>
        <w:footnoteRef/>
      </w:r>
      <w:r>
        <w:tab/>
        <w:t>JO L 183, 8.7.2022, p. 23, ELI: </w:t>
      </w:r>
      <w:hyperlink r:id="rId10" w:tooltip="Oferă acces la acest document prin identificatorul său uniform de resurse ELI." w:history="1">
        <w:r>
          <w:rPr>
            <w:rStyle w:val="Hyperlink"/>
          </w:rPr>
          <w:t>http://data.europa.eu/eli/reg_impl/2022/1173/oj</w:t>
        </w:r>
      </w:hyperlink>
      <w:r>
        <w:t>.</w:t>
      </w:r>
    </w:p>
  </w:footnote>
  <w:footnote w:id="12">
    <w:p>
      <w:pPr>
        <w:ind w:left="720" w:hanging="720"/>
      </w:pPr>
      <w:r>
        <w:rPr>
          <w:rStyle w:val="FootnoteReference"/>
        </w:rPr>
        <w:footnoteRef/>
      </w:r>
      <w:r>
        <w:tab/>
      </w:r>
      <w:r>
        <w:rPr>
          <w:sz w:val="20"/>
        </w:rPr>
        <w:t>Rapoartele anuale ale DG AGRI pot fi găsite la adresa</w:t>
      </w:r>
      <w:r>
        <w:t>:</w:t>
      </w:r>
      <w:r>
        <w:rPr>
          <w:sz w:val="20"/>
        </w:rPr>
        <w:t xml:space="preserve"> </w:t>
      </w:r>
      <w:hyperlink r:id="rId11" w:history="1">
        <w:r>
          <w:rPr>
            <w:rStyle w:val="Hyperlink"/>
            <w:sz w:val="20"/>
          </w:rPr>
          <w:t>https://commission.europa.eu/publications/annual-activity-report-2025-agriculture-and-rural-development_en</w:t>
        </w:r>
      </w:hyperlink>
      <w:r>
        <w:rPr>
          <w:sz w:val="20"/>
        </w:rPr>
        <w:t>.</w:t>
      </w:r>
      <w:r>
        <w:t xml:space="preserve"> </w:t>
      </w:r>
    </w:p>
    <w:p/>
    <w:p>
      <w:pPr>
        <w:pStyle w:val="FootnoteText"/>
      </w:pPr>
    </w:p>
  </w:footnote>
  <w:footnote w:id="13">
    <w:p>
      <w:pPr>
        <w:pStyle w:val="FootnoteText"/>
      </w:pPr>
      <w:r>
        <w:rPr>
          <w:rStyle w:val="FootnoteReference"/>
        </w:rPr>
        <w:footnoteRef/>
      </w:r>
      <w:r>
        <w:tab/>
        <w:t>Cazuri de nereguli pentru care constatarea primară administrativă sau judiciară (PACA) nu a fost stabilită înainte de 16 octombrie 2014. În cazul în care constatarea primară administrativă sau judiciară a avut loc înainte de această dată, cazurile trebuie clasificate drept „cazuri vechi”.</w:t>
      </w:r>
    </w:p>
  </w:footnote>
  <w:footnote w:id="14">
    <w:p>
      <w:pPr>
        <w:pStyle w:val="FootnoteText"/>
      </w:pPr>
      <w:r>
        <w:rPr>
          <w:rStyle w:val="FootnoteReference"/>
        </w:rPr>
        <w:footnoteRef/>
      </w:r>
      <w:r>
        <w:tab/>
        <w:t>Cazuri declarate nerecuperabile în conformitate cu articolul 54 alineatul (3) din Regulamentul (UE) nr. 1306/2013.</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CoverPag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C6FAFEA2"/>
    <w:lvl w:ilvl="0">
      <w:start w:val="1"/>
      <w:numFmt w:val="decimal"/>
      <w:pStyle w:val="ListNumber5"/>
      <w:lvlText w:val="%1."/>
      <w:lvlJc w:val="left"/>
      <w:pPr>
        <w:tabs>
          <w:tab w:val="num" w:pos="1492"/>
        </w:tabs>
        <w:ind w:left="1492" w:hanging="360"/>
      </w:pPr>
      <w:rPr>
        <w:rFonts w:cs="Times New Roman"/>
      </w:rPr>
    </w:lvl>
  </w:abstractNum>
  <w:abstractNum w:abstractNumId="1" w15:restartNumberingAfterBreak="0">
    <w:nsid w:val="FFFFFF80"/>
    <w:multiLevelType w:val="singleLevel"/>
    <w:tmpl w:val="3C40B182"/>
    <w:lvl w:ilvl="0">
      <w:start w:val="1"/>
      <w:numFmt w:val="bullet"/>
      <w:pStyle w:val="ListBullet5"/>
      <w:lvlText w:val=""/>
      <w:lvlJc w:val="left"/>
      <w:pPr>
        <w:tabs>
          <w:tab w:val="num" w:pos="1492"/>
        </w:tabs>
        <w:ind w:left="1492" w:hanging="360"/>
      </w:pPr>
      <w:rPr>
        <w:rFonts w:ascii="Symbol" w:hAnsi="Symbol" w:hint="default"/>
      </w:rPr>
    </w:lvl>
  </w:abstractNum>
  <w:abstractNum w:abstractNumId="2" w15:restartNumberingAfterBreak="0">
    <w:nsid w:val="00350FB1"/>
    <w:multiLevelType w:val="multilevel"/>
    <w:tmpl w:val="30847FD6"/>
    <w:lvl w:ilvl="0">
      <w:start w:val="1"/>
      <w:numFmt w:val="decimal"/>
      <w:lvlRestart w:val="0"/>
      <w:pStyle w:val="ListNumber4"/>
      <w:lvlText w:val="(%1)"/>
      <w:lvlJc w:val="left"/>
      <w:pPr>
        <w:tabs>
          <w:tab w:val="num" w:pos="1560"/>
        </w:tabs>
        <w:ind w:left="1560" w:hanging="709"/>
      </w:pPr>
      <w:rPr>
        <w:rFonts w:cs="Times New Roman"/>
      </w:rPr>
    </w:lvl>
    <w:lvl w:ilvl="1">
      <w:start w:val="1"/>
      <w:numFmt w:val="lowerLetter"/>
      <w:pStyle w:val="ListNumber4Level2"/>
      <w:lvlText w:val="(%2)"/>
      <w:lvlJc w:val="left"/>
      <w:pPr>
        <w:tabs>
          <w:tab w:val="num" w:pos="2268"/>
        </w:tabs>
        <w:ind w:left="2268" w:hanging="708"/>
      </w:pPr>
      <w:rPr>
        <w:rFonts w:cs="Times New Roman"/>
      </w:rPr>
    </w:lvl>
    <w:lvl w:ilvl="2">
      <w:start w:val="1"/>
      <w:numFmt w:val="bullet"/>
      <w:pStyle w:val="ListNumber4Level3"/>
      <w:lvlText w:val="–"/>
      <w:lvlJc w:val="left"/>
      <w:pPr>
        <w:tabs>
          <w:tab w:val="num" w:pos="2977"/>
        </w:tabs>
        <w:ind w:left="2977" w:hanging="709"/>
      </w:pPr>
      <w:rPr>
        <w:rFonts w:ascii="Times New Roman" w:hAnsi="Times New Roman"/>
      </w:rPr>
    </w:lvl>
    <w:lvl w:ilvl="3">
      <w:start w:val="1"/>
      <w:numFmt w:val="bullet"/>
      <w:pStyle w:val="ListNumber4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3" w15:restartNumberingAfterBreak="0">
    <w:nsid w:val="05E43525"/>
    <w:multiLevelType w:val="multilevel"/>
    <w:tmpl w:val="76202BFE"/>
    <w:lvl w:ilvl="0">
      <w:start w:val="1"/>
      <w:numFmt w:val="decimal"/>
      <w:lvlRestart w:val="0"/>
      <w:pStyle w:val="ListNumber3"/>
      <w:lvlText w:val="(%1)"/>
      <w:lvlJc w:val="left"/>
      <w:pPr>
        <w:tabs>
          <w:tab w:val="num" w:pos="1560"/>
        </w:tabs>
        <w:ind w:left="1560" w:hanging="709"/>
      </w:pPr>
      <w:rPr>
        <w:rFonts w:cs="Times New Roman"/>
      </w:rPr>
    </w:lvl>
    <w:lvl w:ilvl="1">
      <w:start w:val="1"/>
      <w:numFmt w:val="lowerLetter"/>
      <w:pStyle w:val="ListNumber3Level2"/>
      <w:lvlText w:val="(%2)"/>
      <w:lvlJc w:val="left"/>
      <w:pPr>
        <w:tabs>
          <w:tab w:val="num" w:pos="2268"/>
        </w:tabs>
        <w:ind w:left="2268" w:hanging="708"/>
      </w:pPr>
      <w:rPr>
        <w:rFonts w:cs="Times New Roman"/>
      </w:rPr>
    </w:lvl>
    <w:lvl w:ilvl="2">
      <w:start w:val="1"/>
      <w:numFmt w:val="bullet"/>
      <w:pStyle w:val="ListNumber3Level3"/>
      <w:lvlText w:val="–"/>
      <w:lvlJc w:val="left"/>
      <w:pPr>
        <w:tabs>
          <w:tab w:val="num" w:pos="2977"/>
        </w:tabs>
        <w:ind w:left="2977" w:hanging="709"/>
      </w:pPr>
      <w:rPr>
        <w:rFonts w:ascii="Times New Roman" w:hAnsi="Times New Roman"/>
      </w:rPr>
    </w:lvl>
    <w:lvl w:ilvl="3">
      <w:start w:val="1"/>
      <w:numFmt w:val="bullet"/>
      <w:pStyle w:val="ListNumber3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4" w15:restartNumberingAfterBreak="0">
    <w:nsid w:val="07836D43"/>
    <w:multiLevelType w:val="hybridMultilevel"/>
    <w:tmpl w:val="9A203E98"/>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F212747"/>
    <w:multiLevelType w:val="multilevel"/>
    <w:tmpl w:val="FBD0F488"/>
    <w:lvl w:ilvl="0">
      <w:start w:val="1"/>
      <w:numFmt w:val="decimal"/>
      <w:lvlRestart w:val="0"/>
      <w:pStyle w:val="NumPar1"/>
      <w:lvlText w:val="%1."/>
      <w:lvlJc w:val="left"/>
      <w:pPr>
        <w:tabs>
          <w:tab w:val="num" w:pos="850"/>
        </w:tabs>
        <w:ind w:left="850" w:hanging="850"/>
      </w:pPr>
      <w:rPr>
        <w:rFonts w:cs="Times New Roman"/>
      </w:rPr>
    </w:lvl>
    <w:lvl w:ilvl="1">
      <w:start w:val="1"/>
      <w:numFmt w:val="decimal"/>
      <w:pStyle w:val="NumPar2"/>
      <w:lvlText w:val="%1.%2."/>
      <w:lvlJc w:val="left"/>
      <w:pPr>
        <w:tabs>
          <w:tab w:val="num" w:pos="850"/>
        </w:tabs>
        <w:ind w:left="850" w:hanging="850"/>
      </w:pPr>
      <w:rPr>
        <w:rFonts w:cs="Times New Roman"/>
      </w:rPr>
    </w:lvl>
    <w:lvl w:ilvl="2">
      <w:start w:val="1"/>
      <w:numFmt w:val="decimal"/>
      <w:pStyle w:val="NumPar3"/>
      <w:lvlText w:val="%1.%2.%3."/>
      <w:lvlJc w:val="left"/>
      <w:pPr>
        <w:tabs>
          <w:tab w:val="num" w:pos="850"/>
        </w:tabs>
        <w:ind w:left="850" w:hanging="850"/>
      </w:pPr>
      <w:rPr>
        <w:rFonts w:cs="Times New Roman"/>
      </w:rPr>
    </w:lvl>
    <w:lvl w:ilvl="3">
      <w:start w:val="1"/>
      <w:numFmt w:val="decimal"/>
      <w:pStyle w:val="NumPar4"/>
      <w:lvlText w:val="%1.%2.%3.%4."/>
      <w:lvlJc w:val="left"/>
      <w:pPr>
        <w:tabs>
          <w:tab w:val="num" w:pos="850"/>
        </w:tabs>
        <w:ind w:left="850" w:hanging="85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6" w15:restartNumberingAfterBreak="0">
    <w:nsid w:val="11274355"/>
    <w:multiLevelType w:val="hybridMultilevel"/>
    <w:tmpl w:val="BE903E60"/>
    <w:lvl w:ilvl="0" w:tplc="DF14A648">
      <w:start w:val="1"/>
      <w:numFmt w:val="decimal"/>
      <w:lvlText w:val="(%1)"/>
      <w:lvlJc w:val="left"/>
      <w:pPr>
        <w:ind w:left="1210" w:hanging="360"/>
      </w:pPr>
      <w:rPr>
        <w:rFonts w:cs="Times New Roman" w:hint="default"/>
      </w:rPr>
    </w:lvl>
    <w:lvl w:ilvl="1" w:tplc="08090019" w:tentative="1">
      <w:start w:val="1"/>
      <w:numFmt w:val="lowerLetter"/>
      <w:lvlText w:val="%2."/>
      <w:lvlJc w:val="left"/>
      <w:pPr>
        <w:ind w:left="1930" w:hanging="360"/>
      </w:pPr>
      <w:rPr>
        <w:rFonts w:cs="Times New Roman"/>
      </w:rPr>
    </w:lvl>
    <w:lvl w:ilvl="2" w:tplc="0809001B" w:tentative="1">
      <w:start w:val="1"/>
      <w:numFmt w:val="lowerRoman"/>
      <w:lvlText w:val="%3."/>
      <w:lvlJc w:val="right"/>
      <w:pPr>
        <w:ind w:left="2650" w:hanging="180"/>
      </w:pPr>
      <w:rPr>
        <w:rFonts w:cs="Times New Roman"/>
      </w:rPr>
    </w:lvl>
    <w:lvl w:ilvl="3" w:tplc="0809000F" w:tentative="1">
      <w:start w:val="1"/>
      <w:numFmt w:val="decimal"/>
      <w:lvlText w:val="%4."/>
      <w:lvlJc w:val="left"/>
      <w:pPr>
        <w:ind w:left="3370" w:hanging="360"/>
      </w:pPr>
      <w:rPr>
        <w:rFonts w:cs="Times New Roman"/>
      </w:rPr>
    </w:lvl>
    <w:lvl w:ilvl="4" w:tplc="08090019" w:tentative="1">
      <w:start w:val="1"/>
      <w:numFmt w:val="lowerLetter"/>
      <w:lvlText w:val="%5."/>
      <w:lvlJc w:val="left"/>
      <w:pPr>
        <w:ind w:left="4090" w:hanging="360"/>
      </w:pPr>
      <w:rPr>
        <w:rFonts w:cs="Times New Roman"/>
      </w:rPr>
    </w:lvl>
    <w:lvl w:ilvl="5" w:tplc="0809001B" w:tentative="1">
      <w:start w:val="1"/>
      <w:numFmt w:val="lowerRoman"/>
      <w:lvlText w:val="%6."/>
      <w:lvlJc w:val="right"/>
      <w:pPr>
        <w:ind w:left="4810" w:hanging="180"/>
      </w:pPr>
      <w:rPr>
        <w:rFonts w:cs="Times New Roman"/>
      </w:rPr>
    </w:lvl>
    <w:lvl w:ilvl="6" w:tplc="0809000F" w:tentative="1">
      <w:start w:val="1"/>
      <w:numFmt w:val="decimal"/>
      <w:lvlText w:val="%7."/>
      <w:lvlJc w:val="left"/>
      <w:pPr>
        <w:ind w:left="5530" w:hanging="360"/>
      </w:pPr>
      <w:rPr>
        <w:rFonts w:cs="Times New Roman"/>
      </w:rPr>
    </w:lvl>
    <w:lvl w:ilvl="7" w:tplc="08090019" w:tentative="1">
      <w:start w:val="1"/>
      <w:numFmt w:val="lowerLetter"/>
      <w:lvlText w:val="%8."/>
      <w:lvlJc w:val="left"/>
      <w:pPr>
        <w:ind w:left="6250" w:hanging="360"/>
      </w:pPr>
      <w:rPr>
        <w:rFonts w:cs="Times New Roman"/>
      </w:rPr>
    </w:lvl>
    <w:lvl w:ilvl="8" w:tplc="0809001B" w:tentative="1">
      <w:start w:val="1"/>
      <w:numFmt w:val="lowerRoman"/>
      <w:lvlText w:val="%9."/>
      <w:lvlJc w:val="right"/>
      <w:pPr>
        <w:ind w:left="6970" w:hanging="180"/>
      </w:pPr>
      <w:rPr>
        <w:rFonts w:cs="Times New Roman"/>
      </w:rPr>
    </w:lvl>
  </w:abstractNum>
  <w:abstractNum w:abstractNumId="7" w15:restartNumberingAfterBreak="0">
    <w:nsid w:val="12DD5905"/>
    <w:multiLevelType w:val="singleLevel"/>
    <w:tmpl w:val="6CB4B73E"/>
    <w:lvl w:ilvl="0">
      <w:start w:val="1"/>
      <w:numFmt w:val="bullet"/>
      <w:lvlRestart w:val="0"/>
      <w:pStyle w:val="ListBullet2"/>
      <w:lvlText w:val=""/>
      <w:lvlJc w:val="left"/>
      <w:pPr>
        <w:tabs>
          <w:tab w:val="num" w:pos="1134"/>
        </w:tabs>
        <w:ind w:left="1134" w:hanging="283"/>
      </w:pPr>
      <w:rPr>
        <w:rFonts w:ascii="Symbol" w:hAnsi="Symbol" w:hint="default"/>
      </w:rPr>
    </w:lvl>
  </w:abstractNum>
  <w:abstractNum w:abstractNumId="8" w15:restartNumberingAfterBreak="0">
    <w:nsid w:val="149674C4"/>
    <w:multiLevelType w:val="singleLevel"/>
    <w:tmpl w:val="1C5C3756"/>
    <w:name w:val="0,6340992"/>
    <w:lvl w:ilvl="0">
      <w:start w:val="1"/>
      <w:numFmt w:val="bullet"/>
      <w:lvlRestart w:val="0"/>
      <w:pStyle w:val="Tiret1"/>
      <w:lvlText w:val="–"/>
      <w:lvlJc w:val="left"/>
      <w:pPr>
        <w:tabs>
          <w:tab w:val="num" w:pos="1417"/>
        </w:tabs>
        <w:ind w:left="1417" w:hanging="567"/>
      </w:pPr>
    </w:lvl>
  </w:abstractNum>
  <w:abstractNum w:abstractNumId="9" w15:restartNumberingAfterBreak="0">
    <w:nsid w:val="15592001"/>
    <w:multiLevelType w:val="singleLevel"/>
    <w:tmpl w:val="3C6C7C7E"/>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0" w15:restartNumberingAfterBreak="0">
    <w:nsid w:val="158411A6"/>
    <w:multiLevelType w:val="singleLevel"/>
    <w:tmpl w:val="891A2EB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11" w15:restartNumberingAfterBreak="0">
    <w:nsid w:val="241162DB"/>
    <w:multiLevelType w:val="singleLevel"/>
    <w:tmpl w:val="B27E1B54"/>
    <w:lvl w:ilvl="0">
      <w:start w:val="1"/>
      <w:numFmt w:val="bullet"/>
      <w:lvlRestart w:val="0"/>
      <w:pStyle w:val="Tiret2"/>
      <w:lvlText w:val="–"/>
      <w:lvlJc w:val="left"/>
      <w:pPr>
        <w:tabs>
          <w:tab w:val="num" w:pos="1984"/>
        </w:tabs>
        <w:ind w:left="1984" w:hanging="567"/>
      </w:pPr>
    </w:lvl>
  </w:abstractNum>
  <w:abstractNum w:abstractNumId="12" w15:restartNumberingAfterBreak="0">
    <w:nsid w:val="24E930D7"/>
    <w:multiLevelType w:val="multilevel"/>
    <w:tmpl w:val="EFD2E05E"/>
    <w:lvl w:ilvl="0">
      <w:start w:val="1"/>
      <w:numFmt w:val="decimal"/>
      <w:lvlRestart w:val="0"/>
      <w:pStyle w:val="ListNumber2"/>
      <w:lvlText w:val="(%1)"/>
      <w:lvlJc w:val="left"/>
      <w:pPr>
        <w:tabs>
          <w:tab w:val="num" w:pos="1560"/>
        </w:tabs>
        <w:ind w:left="1560" w:hanging="709"/>
      </w:pPr>
      <w:rPr>
        <w:rFonts w:cs="Times New Roman"/>
      </w:rPr>
    </w:lvl>
    <w:lvl w:ilvl="1">
      <w:start w:val="1"/>
      <w:numFmt w:val="lowerLetter"/>
      <w:pStyle w:val="ListNumber2Level2"/>
      <w:lvlText w:val="(%2)"/>
      <w:lvlJc w:val="left"/>
      <w:pPr>
        <w:tabs>
          <w:tab w:val="num" w:pos="2268"/>
        </w:tabs>
        <w:ind w:left="2268" w:hanging="708"/>
      </w:pPr>
      <w:rPr>
        <w:rFonts w:cs="Times New Roman"/>
      </w:rPr>
    </w:lvl>
    <w:lvl w:ilvl="2">
      <w:start w:val="1"/>
      <w:numFmt w:val="bullet"/>
      <w:pStyle w:val="ListNumber2Level3"/>
      <w:lvlText w:val="–"/>
      <w:lvlJc w:val="left"/>
      <w:pPr>
        <w:tabs>
          <w:tab w:val="num" w:pos="2977"/>
        </w:tabs>
        <w:ind w:left="2977" w:hanging="709"/>
      </w:pPr>
      <w:rPr>
        <w:rFonts w:ascii="Times New Roman" w:hAnsi="Times New Roman"/>
      </w:rPr>
    </w:lvl>
    <w:lvl w:ilvl="3">
      <w:start w:val="1"/>
      <w:numFmt w:val="bullet"/>
      <w:pStyle w:val="ListNumber2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3" w15:restartNumberingAfterBreak="0">
    <w:nsid w:val="2F076C74"/>
    <w:multiLevelType w:val="multilevel"/>
    <w:tmpl w:val="CC8EDB14"/>
    <w:lvl w:ilvl="0">
      <w:start w:val="1"/>
      <w:numFmt w:val="decimal"/>
      <w:lvlRestart w:val="0"/>
      <w:pStyle w:val="Point0number"/>
      <w:lvlText w:val="(%1)"/>
      <w:lvlJc w:val="left"/>
      <w:pPr>
        <w:tabs>
          <w:tab w:val="num" w:pos="850"/>
        </w:tabs>
        <w:ind w:left="850" w:hanging="850"/>
      </w:pPr>
      <w:rPr>
        <w:rFonts w:cs="Times New Roman"/>
      </w:rPr>
    </w:lvl>
    <w:lvl w:ilvl="1">
      <w:start w:val="1"/>
      <w:numFmt w:val="lowerLetter"/>
      <w:pStyle w:val="Point0letter"/>
      <w:lvlText w:val="(%2)"/>
      <w:lvlJc w:val="left"/>
      <w:pPr>
        <w:tabs>
          <w:tab w:val="num" w:pos="850"/>
        </w:tabs>
        <w:ind w:left="850" w:hanging="850"/>
      </w:pPr>
      <w:rPr>
        <w:rFonts w:cs="Times New Roman"/>
      </w:rPr>
    </w:lvl>
    <w:lvl w:ilvl="2">
      <w:start w:val="1"/>
      <w:numFmt w:val="decimal"/>
      <w:pStyle w:val="Point1number"/>
      <w:lvlText w:val="(%3)"/>
      <w:lvlJc w:val="left"/>
      <w:pPr>
        <w:tabs>
          <w:tab w:val="num" w:pos="1417"/>
        </w:tabs>
        <w:ind w:left="1417" w:hanging="567"/>
      </w:pPr>
      <w:rPr>
        <w:rFonts w:cs="Times New Roman"/>
      </w:rPr>
    </w:lvl>
    <w:lvl w:ilvl="3">
      <w:start w:val="1"/>
      <w:numFmt w:val="lowerLetter"/>
      <w:pStyle w:val="Point1letter"/>
      <w:lvlText w:val="(%4)"/>
      <w:lvlJc w:val="left"/>
      <w:pPr>
        <w:tabs>
          <w:tab w:val="num" w:pos="1417"/>
        </w:tabs>
        <w:ind w:left="1417" w:hanging="567"/>
      </w:pPr>
      <w:rPr>
        <w:rFonts w:cs="Times New Roman"/>
      </w:rPr>
    </w:lvl>
    <w:lvl w:ilvl="4">
      <w:start w:val="1"/>
      <w:numFmt w:val="decimal"/>
      <w:pStyle w:val="Point2number"/>
      <w:lvlText w:val="(%5)"/>
      <w:lvlJc w:val="left"/>
      <w:pPr>
        <w:tabs>
          <w:tab w:val="num" w:pos="1984"/>
        </w:tabs>
        <w:ind w:left="1984" w:hanging="567"/>
      </w:pPr>
      <w:rPr>
        <w:rFonts w:cs="Times New Roman"/>
      </w:rPr>
    </w:lvl>
    <w:lvl w:ilvl="5">
      <w:start w:val="1"/>
      <w:numFmt w:val="lowerLetter"/>
      <w:pStyle w:val="Point2letter"/>
      <w:lvlText w:val="(%6)"/>
      <w:lvlJc w:val="left"/>
      <w:pPr>
        <w:tabs>
          <w:tab w:val="num" w:pos="1984"/>
        </w:tabs>
        <w:ind w:left="1984" w:hanging="567"/>
      </w:pPr>
      <w:rPr>
        <w:rFonts w:cs="Times New Roman"/>
      </w:rPr>
    </w:lvl>
    <w:lvl w:ilvl="6">
      <w:start w:val="1"/>
      <w:numFmt w:val="decimal"/>
      <w:pStyle w:val="Point3number"/>
      <w:lvlText w:val="(%7)"/>
      <w:lvlJc w:val="left"/>
      <w:pPr>
        <w:tabs>
          <w:tab w:val="num" w:pos="2551"/>
        </w:tabs>
        <w:ind w:left="2551" w:hanging="567"/>
      </w:pPr>
      <w:rPr>
        <w:rFonts w:cs="Times New Roman"/>
      </w:rPr>
    </w:lvl>
    <w:lvl w:ilvl="7">
      <w:start w:val="1"/>
      <w:numFmt w:val="lowerLetter"/>
      <w:pStyle w:val="Point3letter"/>
      <w:lvlText w:val="(%8)"/>
      <w:lvlJc w:val="left"/>
      <w:pPr>
        <w:tabs>
          <w:tab w:val="num" w:pos="2551"/>
        </w:tabs>
        <w:ind w:left="2551" w:hanging="567"/>
      </w:pPr>
      <w:rPr>
        <w:rFonts w:cs="Times New Roman"/>
      </w:rPr>
    </w:lvl>
    <w:lvl w:ilvl="8">
      <w:start w:val="1"/>
      <w:numFmt w:val="lowerLetter"/>
      <w:pStyle w:val="Point4letter"/>
      <w:lvlText w:val="(%9)"/>
      <w:lvlJc w:val="left"/>
      <w:pPr>
        <w:tabs>
          <w:tab w:val="num" w:pos="3118"/>
        </w:tabs>
        <w:ind w:left="3118" w:hanging="567"/>
      </w:pPr>
      <w:rPr>
        <w:rFonts w:cs="Times New Roman"/>
      </w:rPr>
    </w:lvl>
  </w:abstractNum>
  <w:abstractNum w:abstractNumId="14" w15:restartNumberingAfterBreak="0">
    <w:nsid w:val="30ED4279"/>
    <w:multiLevelType w:val="hybridMultilevel"/>
    <w:tmpl w:val="8228AC36"/>
    <w:lvl w:ilvl="0" w:tplc="7C6CAEFC">
      <w:start w:val="3"/>
      <w:numFmt w:val="bullet"/>
      <w:lvlText w:val="-"/>
      <w:lvlJc w:val="left"/>
      <w:pPr>
        <w:ind w:left="1211" w:hanging="360"/>
      </w:pPr>
      <w:rPr>
        <w:rFonts w:ascii="Times New Roman" w:eastAsia="MS PGothic" w:hAnsi="Times New Roman" w:cs="Times New Roman" w:hint="default"/>
      </w:rPr>
    </w:lvl>
    <w:lvl w:ilvl="1" w:tplc="18090003" w:tentative="1">
      <w:start w:val="1"/>
      <w:numFmt w:val="bullet"/>
      <w:lvlText w:val="o"/>
      <w:lvlJc w:val="left"/>
      <w:pPr>
        <w:ind w:left="1931" w:hanging="360"/>
      </w:pPr>
      <w:rPr>
        <w:rFonts w:ascii="Courier New" w:hAnsi="Courier New" w:cs="Courier New" w:hint="default"/>
      </w:rPr>
    </w:lvl>
    <w:lvl w:ilvl="2" w:tplc="18090005" w:tentative="1">
      <w:start w:val="1"/>
      <w:numFmt w:val="bullet"/>
      <w:lvlText w:val=""/>
      <w:lvlJc w:val="left"/>
      <w:pPr>
        <w:ind w:left="2651" w:hanging="360"/>
      </w:pPr>
      <w:rPr>
        <w:rFonts w:ascii="Wingdings" w:hAnsi="Wingdings" w:hint="default"/>
      </w:rPr>
    </w:lvl>
    <w:lvl w:ilvl="3" w:tplc="18090001" w:tentative="1">
      <w:start w:val="1"/>
      <w:numFmt w:val="bullet"/>
      <w:lvlText w:val=""/>
      <w:lvlJc w:val="left"/>
      <w:pPr>
        <w:ind w:left="3371" w:hanging="360"/>
      </w:pPr>
      <w:rPr>
        <w:rFonts w:ascii="Symbol" w:hAnsi="Symbol" w:hint="default"/>
      </w:rPr>
    </w:lvl>
    <w:lvl w:ilvl="4" w:tplc="18090003" w:tentative="1">
      <w:start w:val="1"/>
      <w:numFmt w:val="bullet"/>
      <w:lvlText w:val="o"/>
      <w:lvlJc w:val="left"/>
      <w:pPr>
        <w:ind w:left="4091" w:hanging="360"/>
      </w:pPr>
      <w:rPr>
        <w:rFonts w:ascii="Courier New" w:hAnsi="Courier New" w:cs="Courier New" w:hint="default"/>
      </w:rPr>
    </w:lvl>
    <w:lvl w:ilvl="5" w:tplc="18090005" w:tentative="1">
      <w:start w:val="1"/>
      <w:numFmt w:val="bullet"/>
      <w:lvlText w:val=""/>
      <w:lvlJc w:val="left"/>
      <w:pPr>
        <w:ind w:left="4811" w:hanging="360"/>
      </w:pPr>
      <w:rPr>
        <w:rFonts w:ascii="Wingdings" w:hAnsi="Wingdings" w:hint="default"/>
      </w:rPr>
    </w:lvl>
    <w:lvl w:ilvl="6" w:tplc="18090001" w:tentative="1">
      <w:start w:val="1"/>
      <w:numFmt w:val="bullet"/>
      <w:lvlText w:val=""/>
      <w:lvlJc w:val="left"/>
      <w:pPr>
        <w:ind w:left="5531" w:hanging="360"/>
      </w:pPr>
      <w:rPr>
        <w:rFonts w:ascii="Symbol" w:hAnsi="Symbol" w:hint="default"/>
      </w:rPr>
    </w:lvl>
    <w:lvl w:ilvl="7" w:tplc="18090003" w:tentative="1">
      <w:start w:val="1"/>
      <w:numFmt w:val="bullet"/>
      <w:lvlText w:val="o"/>
      <w:lvlJc w:val="left"/>
      <w:pPr>
        <w:ind w:left="6251" w:hanging="360"/>
      </w:pPr>
      <w:rPr>
        <w:rFonts w:ascii="Courier New" w:hAnsi="Courier New" w:cs="Courier New" w:hint="default"/>
      </w:rPr>
    </w:lvl>
    <w:lvl w:ilvl="8" w:tplc="18090005" w:tentative="1">
      <w:start w:val="1"/>
      <w:numFmt w:val="bullet"/>
      <w:lvlText w:val=""/>
      <w:lvlJc w:val="left"/>
      <w:pPr>
        <w:ind w:left="6971" w:hanging="360"/>
      </w:pPr>
      <w:rPr>
        <w:rFonts w:ascii="Wingdings" w:hAnsi="Wingdings" w:hint="default"/>
      </w:rPr>
    </w:lvl>
  </w:abstractNum>
  <w:abstractNum w:abstractNumId="15" w15:restartNumberingAfterBreak="0">
    <w:nsid w:val="322F797B"/>
    <w:multiLevelType w:val="hybridMultilevel"/>
    <w:tmpl w:val="98EC018E"/>
    <w:lvl w:ilvl="0" w:tplc="E698F6CE">
      <w:start w:val="1"/>
      <w:numFmt w:val="bullet"/>
      <w:lvlText w:val="–"/>
      <w:lvlJc w:val="left"/>
      <w:pPr>
        <w:ind w:left="720" w:hanging="360"/>
      </w:pPr>
      <w:rPr>
        <w:rFonts w:ascii="Times New Roman" w:hAnsi="Times New Roman" w:hint="default"/>
      </w:rPr>
    </w:lvl>
    <w:lvl w:ilvl="1" w:tplc="DE90F62A">
      <w:start w:val="1"/>
      <w:numFmt w:val="bullet"/>
      <w:lvlText w:val="o"/>
      <w:lvlJc w:val="left"/>
      <w:pPr>
        <w:ind w:left="1440" w:hanging="360"/>
      </w:pPr>
      <w:rPr>
        <w:rFonts w:ascii="Courier New" w:hAnsi="Courier New" w:hint="default"/>
      </w:rPr>
    </w:lvl>
    <w:lvl w:ilvl="2" w:tplc="428A1ED8">
      <w:start w:val="1"/>
      <w:numFmt w:val="bullet"/>
      <w:lvlText w:val=""/>
      <w:lvlJc w:val="left"/>
      <w:pPr>
        <w:ind w:left="2160" w:hanging="360"/>
      </w:pPr>
      <w:rPr>
        <w:rFonts w:ascii="Wingdings" w:hAnsi="Wingdings" w:hint="default"/>
      </w:rPr>
    </w:lvl>
    <w:lvl w:ilvl="3" w:tplc="AC5E15D6">
      <w:start w:val="1"/>
      <w:numFmt w:val="bullet"/>
      <w:lvlText w:val=""/>
      <w:lvlJc w:val="left"/>
      <w:pPr>
        <w:ind w:left="2880" w:hanging="360"/>
      </w:pPr>
      <w:rPr>
        <w:rFonts w:ascii="Symbol" w:hAnsi="Symbol" w:hint="default"/>
      </w:rPr>
    </w:lvl>
    <w:lvl w:ilvl="4" w:tplc="0F14B35A">
      <w:start w:val="1"/>
      <w:numFmt w:val="bullet"/>
      <w:lvlText w:val="o"/>
      <w:lvlJc w:val="left"/>
      <w:pPr>
        <w:ind w:left="3600" w:hanging="360"/>
      </w:pPr>
      <w:rPr>
        <w:rFonts w:ascii="Courier New" w:hAnsi="Courier New" w:hint="default"/>
      </w:rPr>
    </w:lvl>
    <w:lvl w:ilvl="5" w:tplc="175C94B8">
      <w:start w:val="1"/>
      <w:numFmt w:val="bullet"/>
      <w:lvlText w:val=""/>
      <w:lvlJc w:val="left"/>
      <w:pPr>
        <w:ind w:left="4320" w:hanging="360"/>
      </w:pPr>
      <w:rPr>
        <w:rFonts w:ascii="Wingdings" w:hAnsi="Wingdings" w:hint="default"/>
      </w:rPr>
    </w:lvl>
    <w:lvl w:ilvl="6" w:tplc="F90490B4">
      <w:start w:val="1"/>
      <w:numFmt w:val="bullet"/>
      <w:lvlText w:val=""/>
      <w:lvlJc w:val="left"/>
      <w:pPr>
        <w:ind w:left="5040" w:hanging="360"/>
      </w:pPr>
      <w:rPr>
        <w:rFonts w:ascii="Symbol" w:hAnsi="Symbol" w:hint="default"/>
      </w:rPr>
    </w:lvl>
    <w:lvl w:ilvl="7" w:tplc="AC1C242E">
      <w:start w:val="1"/>
      <w:numFmt w:val="bullet"/>
      <w:lvlText w:val="o"/>
      <w:lvlJc w:val="left"/>
      <w:pPr>
        <w:ind w:left="5760" w:hanging="360"/>
      </w:pPr>
      <w:rPr>
        <w:rFonts w:ascii="Courier New" w:hAnsi="Courier New" w:hint="default"/>
      </w:rPr>
    </w:lvl>
    <w:lvl w:ilvl="8" w:tplc="7CC04884">
      <w:start w:val="1"/>
      <w:numFmt w:val="bullet"/>
      <w:lvlText w:val=""/>
      <w:lvlJc w:val="left"/>
      <w:pPr>
        <w:ind w:left="6480" w:hanging="360"/>
      </w:pPr>
      <w:rPr>
        <w:rFonts w:ascii="Wingdings" w:hAnsi="Wingdings" w:hint="default"/>
      </w:rPr>
    </w:lvl>
  </w:abstractNum>
  <w:abstractNum w:abstractNumId="16" w15:restartNumberingAfterBreak="0">
    <w:nsid w:val="3E191884"/>
    <w:multiLevelType w:val="singleLevel"/>
    <w:tmpl w:val="3020C764"/>
    <w:lvl w:ilvl="0">
      <w:start w:val="1"/>
      <w:numFmt w:val="bullet"/>
      <w:lvlRestart w:val="0"/>
      <w:pStyle w:val="ListBullet3"/>
      <w:lvlText w:val=""/>
      <w:lvlJc w:val="left"/>
      <w:pPr>
        <w:tabs>
          <w:tab w:val="num" w:pos="1134"/>
        </w:tabs>
        <w:ind w:left="1134" w:hanging="283"/>
      </w:pPr>
      <w:rPr>
        <w:rFonts w:ascii="Symbol" w:hAnsi="Symbol" w:hint="default"/>
      </w:rPr>
    </w:lvl>
  </w:abstractNum>
  <w:abstractNum w:abstractNumId="17" w15:restartNumberingAfterBreak="0">
    <w:nsid w:val="40315490"/>
    <w:multiLevelType w:val="singleLevel"/>
    <w:tmpl w:val="1F86C700"/>
    <w:lvl w:ilvl="0">
      <w:start w:val="1"/>
      <w:numFmt w:val="bullet"/>
      <w:lvlRestart w:val="0"/>
      <w:pStyle w:val="ListDash"/>
      <w:lvlText w:val="–"/>
      <w:lvlJc w:val="left"/>
      <w:pPr>
        <w:tabs>
          <w:tab w:val="num" w:pos="283"/>
        </w:tabs>
        <w:ind w:left="283" w:hanging="283"/>
      </w:pPr>
      <w:rPr>
        <w:rFonts w:ascii="Times New Roman" w:hAnsi="Times New Roman"/>
      </w:rPr>
    </w:lvl>
  </w:abstractNum>
  <w:abstractNum w:abstractNumId="18" w15:restartNumberingAfterBreak="0">
    <w:nsid w:val="40FF3500"/>
    <w:multiLevelType w:val="singleLevel"/>
    <w:tmpl w:val="84DA1EE8"/>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9" w15:restartNumberingAfterBreak="0">
    <w:nsid w:val="4BF12751"/>
    <w:multiLevelType w:val="multilevel"/>
    <w:tmpl w:val="0809001F"/>
    <w:name w:val="NumPar"/>
    <w:styleLink w:val="111111"/>
    <w:lvl w:ilvl="0">
      <w:start w:val="1"/>
      <w:numFmt w:val="decimal"/>
      <w:lvlText w:val="%1."/>
      <w:lvlJc w:val="left"/>
      <w:pPr>
        <w:tabs>
          <w:tab w:val="num" w:pos="360"/>
        </w:tabs>
        <w:ind w:left="360" w:hanging="360"/>
      </w:pPr>
      <w:rPr>
        <w:rFonts w:cs="Times New Roman"/>
      </w:rPr>
    </w:lvl>
    <w:lvl w:ilvl="1">
      <w:start w:val="1"/>
      <w:numFmt w:val="decimal"/>
      <w:lvlText w:val="%1.%2."/>
      <w:lvlJc w:val="left"/>
      <w:pPr>
        <w:tabs>
          <w:tab w:val="num" w:pos="792"/>
        </w:tabs>
        <w:ind w:left="792" w:hanging="432"/>
      </w:pPr>
      <w:rPr>
        <w:rFonts w:cs="Times New Roman"/>
      </w:rPr>
    </w:lvl>
    <w:lvl w:ilvl="2">
      <w:start w:val="1"/>
      <w:numFmt w:val="decimal"/>
      <w:lvlText w:val="%1.%2.%3."/>
      <w:lvlJc w:val="left"/>
      <w:pPr>
        <w:tabs>
          <w:tab w:val="num" w:pos="1440"/>
        </w:tabs>
        <w:ind w:left="1224" w:hanging="504"/>
      </w:pPr>
      <w:rPr>
        <w:rFonts w:cs="Times New Roman"/>
      </w:rPr>
    </w:lvl>
    <w:lvl w:ilvl="3">
      <w:start w:val="1"/>
      <w:numFmt w:val="decimal"/>
      <w:lvlText w:val="%1.%2.%3.%4."/>
      <w:lvlJc w:val="left"/>
      <w:pPr>
        <w:tabs>
          <w:tab w:val="num" w:pos="180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288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396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20" w15:restartNumberingAfterBreak="0">
    <w:nsid w:val="4F262DEB"/>
    <w:multiLevelType w:val="hybridMultilevel"/>
    <w:tmpl w:val="FFFFFFFF"/>
    <w:lvl w:ilvl="0" w:tplc="927C182A">
      <w:start w:val="1"/>
      <w:numFmt w:val="decimal"/>
      <w:lvlText w:val="%1."/>
      <w:lvlJc w:val="left"/>
      <w:pPr>
        <w:ind w:left="1210" w:hanging="360"/>
      </w:pPr>
    </w:lvl>
    <w:lvl w:ilvl="1" w:tplc="6ABC175C">
      <w:start w:val="1"/>
      <w:numFmt w:val="lowerLetter"/>
      <w:lvlText w:val="%2."/>
      <w:lvlJc w:val="left"/>
      <w:pPr>
        <w:ind w:left="1930" w:hanging="360"/>
      </w:pPr>
    </w:lvl>
    <w:lvl w:ilvl="2" w:tplc="84CAE222">
      <w:start w:val="1"/>
      <w:numFmt w:val="lowerRoman"/>
      <w:lvlText w:val="%3."/>
      <w:lvlJc w:val="right"/>
      <w:pPr>
        <w:ind w:left="2650" w:hanging="180"/>
      </w:pPr>
    </w:lvl>
    <w:lvl w:ilvl="3" w:tplc="DD5EF540">
      <w:start w:val="1"/>
      <w:numFmt w:val="decimal"/>
      <w:lvlText w:val="%4."/>
      <w:lvlJc w:val="left"/>
      <w:pPr>
        <w:ind w:left="3370" w:hanging="360"/>
      </w:pPr>
    </w:lvl>
    <w:lvl w:ilvl="4" w:tplc="5914ADCE">
      <w:start w:val="1"/>
      <w:numFmt w:val="lowerLetter"/>
      <w:lvlText w:val="%5."/>
      <w:lvlJc w:val="left"/>
      <w:pPr>
        <w:ind w:left="4090" w:hanging="360"/>
      </w:pPr>
    </w:lvl>
    <w:lvl w:ilvl="5" w:tplc="2C9E32F8">
      <w:start w:val="1"/>
      <w:numFmt w:val="lowerRoman"/>
      <w:lvlText w:val="%6."/>
      <w:lvlJc w:val="right"/>
      <w:pPr>
        <w:ind w:left="4810" w:hanging="180"/>
      </w:pPr>
    </w:lvl>
    <w:lvl w:ilvl="6" w:tplc="BFDE5A24">
      <w:start w:val="1"/>
      <w:numFmt w:val="decimal"/>
      <w:lvlText w:val="%7."/>
      <w:lvlJc w:val="left"/>
      <w:pPr>
        <w:ind w:left="5530" w:hanging="360"/>
      </w:pPr>
    </w:lvl>
    <w:lvl w:ilvl="7" w:tplc="7B5850AC">
      <w:start w:val="1"/>
      <w:numFmt w:val="lowerLetter"/>
      <w:lvlText w:val="%8."/>
      <w:lvlJc w:val="left"/>
      <w:pPr>
        <w:ind w:left="6250" w:hanging="360"/>
      </w:pPr>
    </w:lvl>
    <w:lvl w:ilvl="8" w:tplc="323C7C66">
      <w:start w:val="1"/>
      <w:numFmt w:val="lowerRoman"/>
      <w:lvlText w:val="%9."/>
      <w:lvlJc w:val="right"/>
      <w:pPr>
        <w:ind w:left="6970" w:hanging="180"/>
      </w:pPr>
    </w:lvl>
  </w:abstractNum>
  <w:abstractNum w:abstractNumId="21" w15:restartNumberingAfterBreak="0">
    <w:nsid w:val="4FE679FC"/>
    <w:multiLevelType w:val="hybridMultilevel"/>
    <w:tmpl w:val="3578ABC2"/>
    <w:lvl w:ilvl="0" w:tplc="0B38CBBA">
      <w:start w:val="1"/>
      <w:numFmt w:val="bullet"/>
      <w:lvlText w:val=""/>
      <w:lvlJc w:val="left"/>
      <w:pPr>
        <w:ind w:left="1570" w:hanging="360"/>
      </w:pPr>
      <w:rPr>
        <w:rFonts w:ascii="Symbol" w:hAnsi="Symbol" w:hint="default"/>
      </w:rPr>
    </w:lvl>
    <w:lvl w:ilvl="1" w:tplc="040E0003" w:tentative="1">
      <w:start w:val="1"/>
      <w:numFmt w:val="bullet"/>
      <w:lvlText w:val="o"/>
      <w:lvlJc w:val="left"/>
      <w:pPr>
        <w:ind w:left="2290" w:hanging="360"/>
      </w:pPr>
      <w:rPr>
        <w:rFonts w:ascii="Courier New" w:hAnsi="Courier New" w:cs="Courier New" w:hint="default"/>
      </w:rPr>
    </w:lvl>
    <w:lvl w:ilvl="2" w:tplc="040E0005" w:tentative="1">
      <w:start w:val="1"/>
      <w:numFmt w:val="bullet"/>
      <w:lvlText w:val=""/>
      <w:lvlJc w:val="left"/>
      <w:pPr>
        <w:ind w:left="3010" w:hanging="360"/>
      </w:pPr>
      <w:rPr>
        <w:rFonts w:ascii="Wingdings" w:hAnsi="Wingdings" w:hint="default"/>
      </w:rPr>
    </w:lvl>
    <w:lvl w:ilvl="3" w:tplc="040E0001" w:tentative="1">
      <w:start w:val="1"/>
      <w:numFmt w:val="bullet"/>
      <w:lvlText w:val=""/>
      <w:lvlJc w:val="left"/>
      <w:pPr>
        <w:ind w:left="3730" w:hanging="360"/>
      </w:pPr>
      <w:rPr>
        <w:rFonts w:ascii="Symbol" w:hAnsi="Symbol" w:hint="default"/>
      </w:rPr>
    </w:lvl>
    <w:lvl w:ilvl="4" w:tplc="040E0003" w:tentative="1">
      <w:start w:val="1"/>
      <w:numFmt w:val="bullet"/>
      <w:lvlText w:val="o"/>
      <w:lvlJc w:val="left"/>
      <w:pPr>
        <w:ind w:left="4450" w:hanging="360"/>
      </w:pPr>
      <w:rPr>
        <w:rFonts w:ascii="Courier New" w:hAnsi="Courier New" w:cs="Courier New" w:hint="default"/>
      </w:rPr>
    </w:lvl>
    <w:lvl w:ilvl="5" w:tplc="040E0005" w:tentative="1">
      <w:start w:val="1"/>
      <w:numFmt w:val="bullet"/>
      <w:lvlText w:val=""/>
      <w:lvlJc w:val="left"/>
      <w:pPr>
        <w:ind w:left="5170" w:hanging="360"/>
      </w:pPr>
      <w:rPr>
        <w:rFonts w:ascii="Wingdings" w:hAnsi="Wingdings" w:hint="default"/>
      </w:rPr>
    </w:lvl>
    <w:lvl w:ilvl="6" w:tplc="040E0001" w:tentative="1">
      <w:start w:val="1"/>
      <w:numFmt w:val="bullet"/>
      <w:lvlText w:val=""/>
      <w:lvlJc w:val="left"/>
      <w:pPr>
        <w:ind w:left="5890" w:hanging="360"/>
      </w:pPr>
      <w:rPr>
        <w:rFonts w:ascii="Symbol" w:hAnsi="Symbol" w:hint="default"/>
      </w:rPr>
    </w:lvl>
    <w:lvl w:ilvl="7" w:tplc="040E0003" w:tentative="1">
      <w:start w:val="1"/>
      <w:numFmt w:val="bullet"/>
      <w:lvlText w:val="o"/>
      <w:lvlJc w:val="left"/>
      <w:pPr>
        <w:ind w:left="6610" w:hanging="360"/>
      </w:pPr>
      <w:rPr>
        <w:rFonts w:ascii="Courier New" w:hAnsi="Courier New" w:cs="Courier New" w:hint="default"/>
      </w:rPr>
    </w:lvl>
    <w:lvl w:ilvl="8" w:tplc="040E0005" w:tentative="1">
      <w:start w:val="1"/>
      <w:numFmt w:val="bullet"/>
      <w:lvlText w:val=""/>
      <w:lvlJc w:val="left"/>
      <w:pPr>
        <w:ind w:left="7330" w:hanging="360"/>
      </w:pPr>
      <w:rPr>
        <w:rFonts w:ascii="Wingdings" w:hAnsi="Wingdings" w:hint="default"/>
      </w:rPr>
    </w:lvl>
  </w:abstractNum>
  <w:abstractNum w:abstractNumId="22" w15:restartNumberingAfterBreak="0">
    <w:nsid w:val="57C85C6C"/>
    <w:multiLevelType w:val="hybridMultilevel"/>
    <w:tmpl w:val="721C3FF6"/>
    <w:lvl w:ilvl="0" w:tplc="0B38CBBA">
      <w:start w:val="1"/>
      <w:numFmt w:val="bullet"/>
      <w:lvlText w:val=""/>
      <w:lvlJc w:val="left"/>
      <w:pPr>
        <w:ind w:left="1570" w:hanging="360"/>
      </w:pPr>
      <w:rPr>
        <w:rFonts w:ascii="Symbol" w:hAnsi="Symbol" w:hint="default"/>
      </w:rPr>
    </w:lvl>
    <w:lvl w:ilvl="1" w:tplc="040E0003" w:tentative="1">
      <w:start w:val="1"/>
      <w:numFmt w:val="bullet"/>
      <w:lvlText w:val="o"/>
      <w:lvlJc w:val="left"/>
      <w:pPr>
        <w:ind w:left="2290" w:hanging="360"/>
      </w:pPr>
      <w:rPr>
        <w:rFonts w:ascii="Courier New" w:hAnsi="Courier New" w:cs="Courier New" w:hint="default"/>
      </w:rPr>
    </w:lvl>
    <w:lvl w:ilvl="2" w:tplc="040E0005" w:tentative="1">
      <w:start w:val="1"/>
      <w:numFmt w:val="bullet"/>
      <w:lvlText w:val=""/>
      <w:lvlJc w:val="left"/>
      <w:pPr>
        <w:ind w:left="3010" w:hanging="360"/>
      </w:pPr>
      <w:rPr>
        <w:rFonts w:ascii="Wingdings" w:hAnsi="Wingdings" w:hint="default"/>
      </w:rPr>
    </w:lvl>
    <w:lvl w:ilvl="3" w:tplc="040E0001" w:tentative="1">
      <w:start w:val="1"/>
      <w:numFmt w:val="bullet"/>
      <w:lvlText w:val=""/>
      <w:lvlJc w:val="left"/>
      <w:pPr>
        <w:ind w:left="3730" w:hanging="360"/>
      </w:pPr>
      <w:rPr>
        <w:rFonts w:ascii="Symbol" w:hAnsi="Symbol" w:hint="default"/>
      </w:rPr>
    </w:lvl>
    <w:lvl w:ilvl="4" w:tplc="040E0003" w:tentative="1">
      <w:start w:val="1"/>
      <w:numFmt w:val="bullet"/>
      <w:lvlText w:val="o"/>
      <w:lvlJc w:val="left"/>
      <w:pPr>
        <w:ind w:left="4450" w:hanging="360"/>
      </w:pPr>
      <w:rPr>
        <w:rFonts w:ascii="Courier New" w:hAnsi="Courier New" w:cs="Courier New" w:hint="default"/>
      </w:rPr>
    </w:lvl>
    <w:lvl w:ilvl="5" w:tplc="040E0005" w:tentative="1">
      <w:start w:val="1"/>
      <w:numFmt w:val="bullet"/>
      <w:lvlText w:val=""/>
      <w:lvlJc w:val="left"/>
      <w:pPr>
        <w:ind w:left="5170" w:hanging="360"/>
      </w:pPr>
      <w:rPr>
        <w:rFonts w:ascii="Wingdings" w:hAnsi="Wingdings" w:hint="default"/>
      </w:rPr>
    </w:lvl>
    <w:lvl w:ilvl="6" w:tplc="040E0001" w:tentative="1">
      <w:start w:val="1"/>
      <w:numFmt w:val="bullet"/>
      <w:lvlText w:val=""/>
      <w:lvlJc w:val="left"/>
      <w:pPr>
        <w:ind w:left="5890" w:hanging="360"/>
      </w:pPr>
      <w:rPr>
        <w:rFonts w:ascii="Symbol" w:hAnsi="Symbol" w:hint="default"/>
      </w:rPr>
    </w:lvl>
    <w:lvl w:ilvl="7" w:tplc="040E0003" w:tentative="1">
      <w:start w:val="1"/>
      <w:numFmt w:val="bullet"/>
      <w:lvlText w:val="o"/>
      <w:lvlJc w:val="left"/>
      <w:pPr>
        <w:ind w:left="6610" w:hanging="360"/>
      </w:pPr>
      <w:rPr>
        <w:rFonts w:ascii="Courier New" w:hAnsi="Courier New" w:cs="Courier New" w:hint="default"/>
      </w:rPr>
    </w:lvl>
    <w:lvl w:ilvl="8" w:tplc="040E0005" w:tentative="1">
      <w:start w:val="1"/>
      <w:numFmt w:val="bullet"/>
      <w:lvlText w:val=""/>
      <w:lvlJc w:val="left"/>
      <w:pPr>
        <w:ind w:left="7330" w:hanging="360"/>
      </w:pPr>
      <w:rPr>
        <w:rFonts w:ascii="Wingdings" w:hAnsi="Wingdings" w:hint="default"/>
      </w:rPr>
    </w:lvl>
  </w:abstractNum>
  <w:abstractNum w:abstractNumId="23" w15:restartNumberingAfterBreak="0">
    <w:nsid w:val="596D67A1"/>
    <w:multiLevelType w:val="singleLevel"/>
    <w:tmpl w:val="9AC8831A"/>
    <w:name w:val="Tiret 1"/>
    <w:lvl w:ilvl="0">
      <w:start w:val="1"/>
      <w:numFmt w:val="bullet"/>
      <w:lvlRestart w:val="0"/>
      <w:pStyle w:val="ListDash2"/>
      <w:lvlText w:val="–"/>
      <w:lvlJc w:val="left"/>
      <w:pPr>
        <w:tabs>
          <w:tab w:val="num" w:pos="1134"/>
        </w:tabs>
        <w:ind w:left="1134" w:hanging="283"/>
      </w:pPr>
      <w:rPr>
        <w:rFonts w:ascii="Times New Roman" w:hAnsi="Times New Roman"/>
      </w:rPr>
    </w:lvl>
  </w:abstractNum>
  <w:abstractNum w:abstractNumId="24" w15:restartNumberingAfterBreak="0">
    <w:nsid w:val="5F8C3B69"/>
    <w:multiLevelType w:val="multilevel"/>
    <w:tmpl w:val="9B14DAA8"/>
    <w:name w:val="Bullet 0"/>
    <w:lvl w:ilvl="0">
      <w:start w:val="1"/>
      <w:numFmt w:val="decimal"/>
      <w:lvlRestart w:val="0"/>
      <w:pStyle w:val="ListNumber"/>
      <w:lvlText w:val="(%1)"/>
      <w:lvlJc w:val="left"/>
      <w:pPr>
        <w:tabs>
          <w:tab w:val="num" w:pos="709"/>
        </w:tabs>
        <w:ind w:left="709" w:hanging="709"/>
      </w:pPr>
      <w:rPr>
        <w:rFonts w:cs="Times New Roman"/>
      </w:rPr>
    </w:lvl>
    <w:lvl w:ilvl="1">
      <w:start w:val="1"/>
      <w:numFmt w:val="lowerLetter"/>
      <w:pStyle w:val="ListNumberLevel2"/>
      <w:lvlText w:val="(%2)"/>
      <w:lvlJc w:val="left"/>
      <w:pPr>
        <w:tabs>
          <w:tab w:val="num" w:pos="1417"/>
        </w:tabs>
        <w:ind w:left="1417" w:hanging="708"/>
      </w:pPr>
      <w:rPr>
        <w:rFonts w:cs="Times New Roman"/>
      </w:rPr>
    </w:lvl>
    <w:lvl w:ilvl="2">
      <w:start w:val="1"/>
      <w:numFmt w:val="bullet"/>
      <w:pStyle w:val="ListNumberLevel3"/>
      <w:lvlText w:val="–"/>
      <w:lvlJc w:val="left"/>
      <w:pPr>
        <w:tabs>
          <w:tab w:val="num" w:pos="2126"/>
        </w:tabs>
        <w:ind w:left="2126" w:hanging="709"/>
      </w:pPr>
      <w:rPr>
        <w:rFonts w:ascii="Times New Roman" w:hAnsi="Times New Roman"/>
      </w:rPr>
    </w:lvl>
    <w:lvl w:ilvl="3">
      <w:start w:val="1"/>
      <w:numFmt w:val="bullet"/>
      <w:pStyle w:val="ListNumberLevel4"/>
      <w:lvlText w:val=""/>
      <w:lvlJc w:val="left"/>
      <w:pPr>
        <w:tabs>
          <w:tab w:val="num" w:pos="2835"/>
        </w:tabs>
        <w:ind w:left="2835"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25" w15:restartNumberingAfterBreak="0">
    <w:nsid w:val="612064BE"/>
    <w:multiLevelType w:val="hybridMultilevel"/>
    <w:tmpl w:val="CE22AD48"/>
    <w:lvl w:ilvl="0" w:tplc="0B38CBBA">
      <w:start w:val="1"/>
      <w:numFmt w:val="bullet"/>
      <w:lvlText w:val=""/>
      <w:lvlJc w:val="left"/>
      <w:pPr>
        <w:ind w:left="1570" w:hanging="360"/>
      </w:pPr>
      <w:rPr>
        <w:rFonts w:ascii="Symbol" w:hAnsi="Symbol" w:hint="default"/>
      </w:rPr>
    </w:lvl>
    <w:lvl w:ilvl="1" w:tplc="040E0003" w:tentative="1">
      <w:start w:val="1"/>
      <w:numFmt w:val="bullet"/>
      <w:lvlText w:val="o"/>
      <w:lvlJc w:val="left"/>
      <w:pPr>
        <w:ind w:left="2290" w:hanging="360"/>
      </w:pPr>
      <w:rPr>
        <w:rFonts w:ascii="Courier New" w:hAnsi="Courier New" w:cs="Courier New" w:hint="default"/>
      </w:rPr>
    </w:lvl>
    <w:lvl w:ilvl="2" w:tplc="040E0005" w:tentative="1">
      <w:start w:val="1"/>
      <w:numFmt w:val="bullet"/>
      <w:lvlText w:val=""/>
      <w:lvlJc w:val="left"/>
      <w:pPr>
        <w:ind w:left="3010" w:hanging="360"/>
      </w:pPr>
      <w:rPr>
        <w:rFonts w:ascii="Wingdings" w:hAnsi="Wingdings" w:hint="default"/>
      </w:rPr>
    </w:lvl>
    <w:lvl w:ilvl="3" w:tplc="040E0001" w:tentative="1">
      <w:start w:val="1"/>
      <w:numFmt w:val="bullet"/>
      <w:lvlText w:val=""/>
      <w:lvlJc w:val="left"/>
      <w:pPr>
        <w:ind w:left="3730" w:hanging="360"/>
      </w:pPr>
      <w:rPr>
        <w:rFonts w:ascii="Symbol" w:hAnsi="Symbol" w:hint="default"/>
      </w:rPr>
    </w:lvl>
    <w:lvl w:ilvl="4" w:tplc="040E0003" w:tentative="1">
      <w:start w:val="1"/>
      <w:numFmt w:val="bullet"/>
      <w:lvlText w:val="o"/>
      <w:lvlJc w:val="left"/>
      <w:pPr>
        <w:ind w:left="4450" w:hanging="360"/>
      </w:pPr>
      <w:rPr>
        <w:rFonts w:ascii="Courier New" w:hAnsi="Courier New" w:cs="Courier New" w:hint="default"/>
      </w:rPr>
    </w:lvl>
    <w:lvl w:ilvl="5" w:tplc="040E0005" w:tentative="1">
      <w:start w:val="1"/>
      <w:numFmt w:val="bullet"/>
      <w:lvlText w:val=""/>
      <w:lvlJc w:val="left"/>
      <w:pPr>
        <w:ind w:left="5170" w:hanging="360"/>
      </w:pPr>
      <w:rPr>
        <w:rFonts w:ascii="Wingdings" w:hAnsi="Wingdings" w:hint="default"/>
      </w:rPr>
    </w:lvl>
    <w:lvl w:ilvl="6" w:tplc="040E0001" w:tentative="1">
      <w:start w:val="1"/>
      <w:numFmt w:val="bullet"/>
      <w:lvlText w:val=""/>
      <w:lvlJc w:val="left"/>
      <w:pPr>
        <w:ind w:left="5890" w:hanging="360"/>
      </w:pPr>
      <w:rPr>
        <w:rFonts w:ascii="Symbol" w:hAnsi="Symbol" w:hint="default"/>
      </w:rPr>
    </w:lvl>
    <w:lvl w:ilvl="7" w:tplc="040E0003" w:tentative="1">
      <w:start w:val="1"/>
      <w:numFmt w:val="bullet"/>
      <w:lvlText w:val="o"/>
      <w:lvlJc w:val="left"/>
      <w:pPr>
        <w:ind w:left="6610" w:hanging="360"/>
      </w:pPr>
      <w:rPr>
        <w:rFonts w:ascii="Courier New" w:hAnsi="Courier New" w:cs="Courier New" w:hint="default"/>
      </w:rPr>
    </w:lvl>
    <w:lvl w:ilvl="8" w:tplc="040E0005" w:tentative="1">
      <w:start w:val="1"/>
      <w:numFmt w:val="bullet"/>
      <w:lvlText w:val=""/>
      <w:lvlJc w:val="left"/>
      <w:pPr>
        <w:ind w:left="7330" w:hanging="360"/>
      </w:pPr>
      <w:rPr>
        <w:rFonts w:ascii="Wingdings" w:hAnsi="Wingdings" w:hint="default"/>
      </w:rPr>
    </w:lvl>
  </w:abstractNum>
  <w:abstractNum w:abstractNumId="26" w15:restartNumberingAfterBreak="0">
    <w:nsid w:val="62A8042C"/>
    <w:multiLevelType w:val="singleLevel"/>
    <w:tmpl w:val="CCF20C06"/>
    <w:name w:val="Bullet 2"/>
    <w:lvl w:ilvl="0">
      <w:start w:val="1"/>
      <w:numFmt w:val="bullet"/>
      <w:lvlRestart w:val="0"/>
      <w:pStyle w:val="ListDash1"/>
      <w:lvlText w:val="–"/>
      <w:lvlJc w:val="left"/>
      <w:pPr>
        <w:tabs>
          <w:tab w:val="num" w:pos="1134"/>
        </w:tabs>
        <w:ind w:left="1134" w:hanging="283"/>
      </w:pPr>
      <w:rPr>
        <w:rFonts w:ascii="Times New Roman" w:hAnsi="Times New Roman"/>
      </w:rPr>
    </w:lvl>
  </w:abstractNum>
  <w:abstractNum w:abstractNumId="27" w15:restartNumberingAfterBreak="0">
    <w:nsid w:val="63B26268"/>
    <w:multiLevelType w:val="singleLevel"/>
    <w:tmpl w:val="491E6360"/>
    <w:name w:val="Tiret 2"/>
    <w:lvl w:ilvl="0">
      <w:start w:val="1"/>
      <w:numFmt w:val="decimal"/>
      <w:lvlRestart w:val="0"/>
      <w:pStyle w:val="Considrant"/>
      <w:lvlText w:val="(%1)"/>
      <w:lvlJc w:val="left"/>
      <w:pPr>
        <w:tabs>
          <w:tab w:val="num" w:pos="709"/>
        </w:tabs>
        <w:ind w:left="709" w:hanging="709"/>
      </w:pPr>
      <w:rPr>
        <w:rFonts w:cs="Times New Roman"/>
      </w:rPr>
    </w:lvl>
  </w:abstractNum>
  <w:abstractNum w:abstractNumId="28" w15:restartNumberingAfterBreak="0">
    <w:nsid w:val="64304DA4"/>
    <w:multiLevelType w:val="hybridMultilevel"/>
    <w:tmpl w:val="AFAA88FE"/>
    <w:lvl w:ilvl="0" w:tplc="08090001">
      <w:start w:val="1"/>
      <w:numFmt w:val="bullet"/>
      <w:lvlText w:val=""/>
      <w:lvlJc w:val="left"/>
      <w:pPr>
        <w:ind w:left="1570" w:hanging="360"/>
      </w:pPr>
      <w:rPr>
        <w:rFonts w:ascii="Symbol" w:hAnsi="Symbol" w:hint="default"/>
      </w:rPr>
    </w:lvl>
    <w:lvl w:ilvl="1" w:tplc="08090003" w:tentative="1">
      <w:start w:val="1"/>
      <w:numFmt w:val="bullet"/>
      <w:lvlText w:val="o"/>
      <w:lvlJc w:val="left"/>
      <w:pPr>
        <w:ind w:left="2290" w:hanging="360"/>
      </w:pPr>
      <w:rPr>
        <w:rFonts w:ascii="Courier New" w:hAnsi="Courier New" w:hint="default"/>
      </w:rPr>
    </w:lvl>
    <w:lvl w:ilvl="2" w:tplc="08090005" w:tentative="1">
      <w:start w:val="1"/>
      <w:numFmt w:val="bullet"/>
      <w:lvlText w:val=""/>
      <w:lvlJc w:val="left"/>
      <w:pPr>
        <w:ind w:left="3010" w:hanging="360"/>
      </w:pPr>
      <w:rPr>
        <w:rFonts w:ascii="Wingdings" w:hAnsi="Wingdings" w:hint="default"/>
      </w:rPr>
    </w:lvl>
    <w:lvl w:ilvl="3" w:tplc="08090001" w:tentative="1">
      <w:start w:val="1"/>
      <w:numFmt w:val="bullet"/>
      <w:lvlText w:val=""/>
      <w:lvlJc w:val="left"/>
      <w:pPr>
        <w:ind w:left="3730" w:hanging="360"/>
      </w:pPr>
      <w:rPr>
        <w:rFonts w:ascii="Symbol" w:hAnsi="Symbol" w:hint="default"/>
      </w:rPr>
    </w:lvl>
    <w:lvl w:ilvl="4" w:tplc="08090003" w:tentative="1">
      <w:start w:val="1"/>
      <w:numFmt w:val="bullet"/>
      <w:lvlText w:val="o"/>
      <w:lvlJc w:val="left"/>
      <w:pPr>
        <w:ind w:left="4450" w:hanging="360"/>
      </w:pPr>
      <w:rPr>
        <w:rFonts w:ascii="Courier New" w:hAnsi="Courier New" w:hint="default"/>
      </w:rPr>
    </w:lvl>
    <w:lvl w:ilvl="5" w:tplc="08090005" w:tentative="1">
      <w:start w:val="1"/>
      <w:numFmt w:val="bullet"/>
      <w:lvlText w:val=""/>
      <w:lvlJc w:val="left"/>
      <w:pPr>
        <w:ind w:left="5170" w:hanging="360"/>
      </w:pPr>
      <w:rPr>
        <w:rFonts w:ascii="Wingdings" w:hAnsi="Wingdings" w:hint="default"/>
      </w:rPr>
    </w:lvl>
    <w:lvl w:ilvl="6" w:tplc="08090001" w:tentative="1">
      <w:start w:val="1"/>
      <w:numFmt w:val="bullet"/>
      <w:lvlText w:val=""/>
      <w:lvlJc w:val="left"/>
      <w:pPr>
        <w:ind w:left="5890" w:hanging="360"/>
      </w:pPr>
      <w:rPr>
        <w:rFonts w:ascii="Symbol" w:hAnsi="Symbol" w:hint="default"/>
      </w:rPr>
    </w:lvl>
    <w:lvl w:ilvl="7" w:tplc="08090003" w:tentative="1">
      <w:start w:val="1"/>
      <w:numFmt w:val="bullet"/>
      <w:lvlText w:val="o"/>
      <w:lvlJc w:val="left"/>
      <w:pPr>
        <w:ind w:left="6610" w:hanging="360"/>
      </w:pPr>
      <w:rPr>
        <w:rFonts w:ascii="Courier New" w:hAnsi="Courier New" w:hint="default"/>
      </w:rPr>
    </w:lvl>
    <w:lvl w:ilvl="8" w:tplc="08090005" w:tentative="1">
      <w:start w:val="1"/>
      <w:numFmt w:val="bullet"/>
      <w:lvlText w:val=""/>
      <w:lvlJc w:val="left"/>
      <w:pPr>
        <w:ind w:left="7330" w:hanging="360"/>
      </w:pPr>
      <w:rPr>
        <w:rFonts w:ascii="Wingdings" w:hAnsi="Wingdings" w:hint="default"/>
      </w:rPr>
    </w:lvl>
  </w:abstractNum>
  <w:abstractNum w:abstractNumId="29" w15:restartNumberingAfterBreak="0">
    <w:nsid w:val="65221EBE"/>
    <w:multiLevelType w:val="hybridMultilevel"/>
    <w:tmpl w:val="EC7AB760"/>
    <w:lvl w:ilvl="0" w:tplc="51409574">
      <w:start w:val="3"/>
      <w:numFmt w:val="bullet"/>
      <w:lvlText w:val="-"/>
      <w:lvlJc w:val="left"/>
      <w:pPr>
        <w:ind w:left="1211" w:hanging="360"/>
      </w:pPr>
      <w:rPr>
        <w:rFonts w:ascii="Times New Roman" w:eastAsia="MS PGothic" w:hAnsi="Times New Roman" w:cs="Times New Roman" w:hint="default"/>
      </w:rPr>
    </w:lvl>
    <w:lvl w:ilvl="1" w:tplc="18090003" w:tentative="1">
      <w:start w:val="1"/>
      <w:numFmt w:val="bullet"/>
      <w:lvlText w:val="o"/>
      <w:lvlJc w:val="left"/>
      <w:pPr>
        <w:ind w:left="1931" w:hanging="360"/>
      </w:pPr>
      <w:rPr>
        <w:rFonts w:ascii="Courier New" w:hAnsi="Courier New" w:cs="Courier New" w:hint="default"/>
      </w:rPr>
    </w:lvl>
    <w:lvl w:ilvl="2" w:tplc="18090005" w:tentative="1">
      <w:start w:val="1"/>
      <w:numFmt w:val="bullet"/>
      <w:lvlText w:val=""/>
      <w:lvlJc w:val="left"/>
      <w:pPr>
        <w:ind w:left="2651" w:hanging="360"/>
      </w:pPr>
      <w:rPr>
        <w:rFonts w:ascii="Wingdings" w:hAnsi="Wingdings" w:hint="default"/>
      </w:rPr>
    </w:lvl>
    <w:lvl w:ilvl="3" w:tplc="18090001" w:tentative="1">
      <w:start w:val="1"/>
      <w:numFmt w:val="bullet"/>
      <w:lvlText w:val=""/>
      <w:lvlJc w:val="left"/>
      <w:pPr>
        <w:ind w:left="3371" w:hanging="360"/>
      </w:pPr>
      <w:rPr>
        <w:rFonts w:ascii="Symbol" w:hAnsi="Symbol" w:hint="default"/>
      </w:rPr>
    </w:lvl>
    <w:lvl w:ilvl="4" w:tplc="18090003" w:tentative="1">
      <w:start w:val="1"/>
      <w:numFmt w:val="bullet"/>
      <w:lvlText w:val="o"/>
      <w:lvlJc w:val="left"/>
      <w:pPr>
        <w:ind w:left="4091" w:hanging="360"/>
      </w:pPr>
      <w:rPr>
        <w:rFonts w:ascii="Courier New" w:hAnsi="Courier New" w:cs="Courier New" w:hint="default"/>
      </w:rPr>
    </w:lvl>
    <w:lvl w:ilvl="5" w:tplc="18090005" w:tentative="1">
      <w:start w:val="1"/>
      <w:numFmt w:val="bullet"/>
      <w:lvlText w:val=""/>
      <w:lvlJc w:val="left"/>
      <w:pPr>
        <w:ind w:left="4811" w:hanging="360"/>
      </w:pPr>
      <w:rPr>
        <w:rFonts w:ascii="Wingdings" w:hAnsi="Wingdings" w:hint="default"/>
      </w:rPr>
    </w:lvl>
    <w:lvl w:ilvl="6" w:tplc="18090001" w:tentative="1">
      <w:start w:val="1"/>
      <w:numFmt w:val="bullet"/>
      <w:lvlText w:val=""/>
      <w:lvlJc w:val="left"/>
      <w:pPr>
        <w:ind w:left="5531" w:hanging="360"/>
      </w:pPr>
      <w:rPr>
        <w:rFonts w:ascii="Symbol" w:hAnsi="Symbol" w:hint="default"/>
      </w:rPr>
    </w:lvl>
    <w:lvl w:ilvl="7" w:tplc="18090003" w:tentative="1">
      <w:start w:val="1"/>
      <w:numFmt w:val="bullet"/>
      <w:lvlText w:val="o"/>
      <w:lvlJc w:val="left"/>
      <w:pPr>
        <w:ind w:left="6251" w:hanging="360"/>
      </w:pPr>
      <w:rPr>
        <w:rFonts w:ascii="Courier New" w:hAnsi="Courier New" w:cs="Courier New" w:hint="default"/>
      </w:rPr>
    </w:lvl>
    <w:lvl w:ilvl="8" w:tplc="18090005" w:tentative="1">
      <w:start w:val="1"/>
      <w:numFmt w:val="bullet"/>
      <w:lvlText w:val=""/>
      <w:lvlJc w:val="left"/>
      <w:pPr>
        <w:ind w:left="6971" w:hanging="360"/>
      </w:pPr>
      <w:rPr>
        <w:rFonts w:ascii="Wingdings" w:hAnsi="Wingdings" w:hint="default"/>
      </w:rPr>
    </w:lvl>
  </w:abstractNum>
  <w:abstractNum w:abstractNumId="30" w15:restartNumberingAfterBreak="0">
    <w:nsid w:val="67917F1D"/>
    <w:multiLevelType w:val="hybridMultilevel"/>
    <w:tmpl w:val="4B6495F6"/>
    <w:lvl w:ilvl="0" w:tplc="0B38CBBA">
      <w:start w:val="1"/>
      <w:numFmt w:val="bullet"/>
      <w:lvlText w:val=""/>
      <w:lvlJc w:val="left"/>
      <w:pPr>
        <w:ind w:left="1570" w:hanging="360"/>
      </w:pPr>
      <w:rPr>
        <w:rFonts w:ascii="Symbol" w:hAnsi="Symbol" w:hint="default"/>
      </w:rPr>
    </w:lvl>
    <w:lvl w:ilvl="1" w:tplc="040E0003" w:tentative="1">
      <w:start w:val="1"/>
      <w:numFmt w:val="bullet"/>
      <w:lvlText w:val="o"/>
      <w:lvlJc w:val="left"/>
      <w:pPr>
        <w:ind w:left="2290" w:hanging="360"/>
      </w:pPr>
      <w:rPr>
        <w:rFonts w:ascii="Courier New" w:hAnsi="Courier New" w:cs="Courier New" w:hint="default"/>
      </w:rPr>
    </w:lvl>
    <w:lvl w:ilvl="2" w:tplc="040E0005" w:tentative="1">
      <w:start w:val="1"/>
      <w:numFmt w:val="bullet"/>
      <w:lvlText w:val=""/>
      <w:lvlJc w:val="left"/>
      <w:pPr>
        <w:ind w:left="3010" w:hanging="360"/>
      </w:pPr>
      <w:rPr>
        <w:rFonts w:ascii="Wingdings" w:hAnsi="Wingdings" w:hint="default"/>
      </w:rPr>
    </w:lvl>
    <w:lvl w:ilvl="3" w:tplc="040E0001" w:tentative="1">
      <w:start w:val="1"/>
      <w:numFmt w:val="bullet"/>
      <w:lvlText w:val=""/>
      <w:lvlJc w:val="left"/>
      <w:pPr>
        <w:ind w:left="3730" w:hanging="360"/>
      </w:pPr>
      <w:rPr>
        <w:rFonts w:ascii="Symbol" w:hAnsi="Symbol" w:hint="default"/>
      </w:rPr>
    </w:lvl>
    <w:lvl w:ilvl="4" w:tplc="040E0003" w:tentative="1">
      <w:start w:val="1"/>
      <w:numFmt w:val="bullet"/>
      <w:lvlText w:val="o"/>
      <w:lvlJc w:val="left"/>
      <w:pPr>
        <w:ind w:left="4450" w:hanging="360"/>
      </w:pPr>
      <w:rPr>
        <w:rFonts w:ascii="Courier New" w:hAnsi="Courier New" w:cs="Courier New" w:hint="default"/>
      </w:rPr>
    </w:lvl>
    <w:lvl w:ilvl="5" w:tplc="040E0005" w:tentative="1">
      <w:start w:val="1"/>
      <w:numFmt w:val="bullet"/>
      <w:lvlText w:val=""/>
      <w:lvlJc w:val="left"/>
      <w:pPr>
        <w:ind w:left="5170" w:hanging="360"/>
      </w:pPr>
      <w:rPr>
        <w:rFonts w:ascii="Wingdings" w:hAnsi="Wingdings" w:hint="default"/>
      </w:rPr>
    </w:lvl>
    <w:lvl w:ilvl="6" w:tplc="040E0001" w:tentative="1">
      <w:start w:val="1"/>
      <w:numFmt w:val="bullet"/>
      <w:lvlText w:val=""/>
      <w:lvlJc w:val="left"/>
      <w:pPr>
        <w:ind w:left="5890" w:hanging="360"/>
      </w:pPr>
      <w:rPr>
        <w:rFonts w:ascii="Symbol" w:hAnsi="Symbol" w:hint="default"/>
      </w:rPr>
    </w:lvl>
    <w:lvl w:ilvl="7" w:tplc="040E0003" w:tentative="1">
      <w:start w:val="1"/>
      <w:numFmt w:val="bullet"/>
      <w:lvlText w:val="o"/>
      <w:lvlJc w:val="left"/>
      <w:pPr>
        <w:ind w:left="6610" w:hanging="360"/>
      </w:pPr>
      <w:rPr>
        <w:rFonts w:ascii="Courier New" w:hAnsi="Courier New" w:cs="Courier New" w:hint="default"/>
      </w:rPr>
    </w:lvl>
    <w:lvl w:ilvl="8" w:tplc="040E0005" w:tentative="1">
      <w:start w:val="1"/>
      <w:numFmt w:val="bullet"/>
      <w:lvlText w:val=""/>
      <w:lvlJc w:val="left"/>
      <w:pPr>
        <w:ind w:left="7330" w:hanging="360"/>
      </w:pPr>
      <w:rPr>
        <w:rFonts w:ascii="Wingdings" w:hAnsi="Wingdings" w:hint="default"/>
      </w:rPr>
    </w:lvl>
  </w:abstractNum>
  <w:abstractNum w:abstractNumId="31" w15:restartNumberingAfterBreak="0">
    <w:nsid w:val="6A6901C1"/>
    <w:multiLevelType w:val="singleLevel"/>
    <w:tmpl w:val="208841AE"/>
    <w:name w:val="0,8228368"/>
    <w:lvl w:ilvl="0">
      <w:start w:val="1"/>
      <w:numFmt w:val="bullet"/>
      <w:lvlRestart w:val="0"/>
      <w:pStyle w:val="ListBullet1"/>
      <w:lvlText w:val=""/>
      <w:lvlJc w:val="left"/>
      <w:pPr>
        <w:tabs>
          <w:tab w:val="num" w:pos="1134"/>
        </w:tabs>
        <w:ind w:left="1134" w:hanging="283"/>
      </w:pPr>
      <w:rPr>
        <w:rFonts w:ascii="Symbol" w:hAnsi="Symbol" w:hint="default"/>
      </w:rPr>
    </w:lvl>
  </w:abstractNum>
  <w:abstractNum w:abstractNumId="32" w15:restartNumberingAfterBreak="0">
    <w:nsid w:val="6D2B5511"/>
    <w:multiLevelType w:val="singleLevel"/>
    <w:tmpl w:val="74A09970"/>
    <w:name w:val="5,794489E-02"/>
    <w:lvl w:ilvl="0">
      <w:start w:val="1"/>
      <w:numFmt w:val="bullet"/>
      <w:lvlRestart w:val="0"/>
      <w:pStyle w:val="ListBullet"/>
      <w:lvlText w:val=""/>
      <w:lvlJc w:val="left"/>
      <w:pPr>
        <w:tabs>
          <w:tab w:val="num" w:pos="283"/>
        </w:tabs>
        <w:ind w:left="283" w:hanging="283"/>
      </w:pPr>
      <w:rPr>
        <w:rFonts w:ascii="Symbol" w:hAnsi="Symbol" w:hint="default"/>
      </w:rPr>
    </w:lvl>
  </w:abstractNum>
  <w:abstractNum w:abstractNumId="33" w15:restartNumberingAfterBreak="0">
    <w:nsid w:val="6EC300CA"/>
    <w:multiLevelType w:val="singleLevel"/>
    <w:tmpl w:val="055ABBD0"/>
    <w:name w:val="Point"/>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34" w15:restartNumberingAfterBreak="0">
    <w:nsid w:val="70542883"/>
    <w:multiLevelType w:val="hybridMultilevel"/>
    <w:tmpl w:val="EA78B5D2"/>
    <w:lvl w:ilvl="0" w:tplc="0B38CBBA">
      <w:start w:val="1"/>
      <w:numFmt w:val="bullet"/>
      <w:lvlText w:val=""/>
      <w:lvlJc w:val="left"/>
      <w:pPr>
        <w:ind w:left="1570" w:hanging="360"/>
      </w:pPr>
      <w:rPr>
        <w:rFonts w:ascii="Symbol" w:hAnsi="Symbol" w:hint="default"/>
      </w:rPr>
    </w:lvl>
    <w:lvl w:ilvl="1" w:tplc="040E0003" w:tentative="1">
      <w:start w:val="1"/>
      <w:numFmt w:val="bullet"/>
      <w:lvlText w:val="o"/>
      <w:lvlJc w:val="left"/>
      <w:pPr>
        <w:ind w:left="2290" w:hanging="360"/>
      </w:pPr>
      <w:rPr>
        <w:rFonts w:ascii="Courier New" w:hAnsi="Courier New" w:cs="Courier New" w:hint="default"/>
      </w:rPr>
    </w:lvl>
    <w:lvl w:ilvl="2" w:tplc="040E0005" w:tentative="1">
      <w:start w:val="1"/>
      <w:numFmt w:val="bullet"/>
      <w:lvlText w:val=""/>
      <w:lvlJc w:val="left"/>
      <w:pPr>
        <w:ind w:left="3010" w:hanging="360"/>
      </w:pPr>
      <w:rPr>
        <w:rFonts w:ascii="Wingdings" w:hAnsi="Wingdings" w:hint="default"/>
      </w:rPr>
    </w:lvl>
    <w:lvl w:ilvl="3" w:tplc="040E0001" w:tentative="1">
      <w:start w:val="1"/>
      <w:numFmt w:val="bullet"/>
      <w:lvlText w:val=""/>
      <w:lvlJc w:val="left"/>
      <w:pPr>
        <w:ind w:left="3730" w:hanging="360"/>
      </w:pPr>
      <w:rPr>
        <w:rFonts w:ascii="Symbol" w:hAnsi="Symbol" w:hint="default"/>
      </w:rPr>
    </w:lvl>
    <w:lvl w:ilvl="4" w:tplc="040E0003" w:tentative="1">
      <w:start w:val="1"/>
      <w:numFmt w:val="bullet"/>
      <w:lvlText w:val="o"/>
      <w:lvlJc w:val="left"/>
      <w:pPr>
        <w:ind w:left="4450" w:hanging="360"/>
      </w:pPr>
      <w:rPr>
        <w:rFonts w:ascii="Courier New" w:hAnsi="Courier New" w:cs="Courier New" w:hint="default"/>
      </w:rPr>
    </w:lvl>
    <w:lvl w:ilvl="5" w:tplc="040E0005" w:tentative="1">
      <w:start w:val="1"/>
      <w:numFmt w:val="bullet"/>
      <w:lvlText w:val=""/>
      <w:lvlJc w:val="left"/>
      <w:pPr>
        <w:ind w:left="5170" w:hanging="360"/>
      </w:pPr>
      <w:rPr>
        <w:rFonts w:ascii="Wingdings" w:hAnsi="Wingdings" w:hint="default"/>
      </w:rPr>
    </w:lvl>
    <w:lvl w:ilvl="6" w:tplc="040E0001" w:tentative="1">
      <w:start w:val="1"/>
      <w:numFmt w:val="bullet"/>
      <w:lvlText w:val=""/>
      <w:lvlJc w:val="left"/>
      <w:pPr>
        <w:ind w:left="5890" w:hanging="360"/>
      </w:pPr>
      <w:rPr>
        <w:rFonts w:ascii="Symbol" w:hAnsi="Symbol" w:hint="default"/>
      </w:rPr>
    </w:lvl>
    <w:lvl w:ilvl="7" w:tplc="040E0003" w:tentative="1">
      <w:start w:val="1"/>
      <w:numFmt w:val="bullet"/>
      <w:lvlText w:val="o"/>
      <w:lvlJc w:val="left"/>
      <w:pPr>
        <w:ind w:left="6610" w:hanging="360"/>
      </w:pPr>
      <w:rPr>
        <w:rFonts w:ascii="Courier New" w:hAnsi="Courier New" w:cs="Courier New" w:hint="default"/>
      </w:rPr>
    </w:lvl>
    <w:lvl w:ilvl="8" w:tplc="040E0005" w:tentative="1">
      <w:start w:val="1"/>
      <w:numFmt w:val="bullet"/>
      <w:lvlText w:val=""/>
      <w:lvlJc w:val="left"/>
      <w:pPr>
        <w:ind w:left="7330" w:hanging="360"/>
      </w:pPr>
      <w:rPr>
        <w:rFonts w:ascii="Wingdings" w:hAnsi="Wingdings" w:hint="default"/>
      </w:rPr>
    </w:lvl>
  </w:abstractNum>
  <w:abstractNum w:abstractNumId="35" w15:restartNumberingAfterBreak="0">
    <w:nsid w:val="712E4B18"/>
    <w:multiLevelType w:val="singleLevel"/>
    <w:tmpl w:val="66ECC298"/>
    <w:lvl w:ilvl="0">
      <w:start w:val="1"/>
      <w:numFmt w:val="bullet"/>
      <w:lvlRestart w:val="0"/>
      <w:pStyle w:val="Tiret3"/>
      <w:lvlText w:val="–"/>
      <w:lvlJc w:val="left"/>
      <w:pPr>
        <w:tabs>
          <w:tab w:val="num" w:pos="2551"/>
        </w:tabs>
        <w:ind w:left="2551" w:hanging="567"/>
      </w:pPr>
    </w:lvl>
  </w:abstractNum>
  <w:abstractNum w:abstractNumId="36" w15:restartNumberingAfterBreak="0">
    <w:nsid w:val="729504D5"/>
    <w:multiLevelType w:val="singleLevel"/>
    <w:tmpl w:val="1BC6DBFC"/>
    <w:name w:val="0,1023829"/>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37" w15:restartNumberingAfterBreak="0">
    <w:nsid w:val="78A241BD"/>
    <w:multiLevelType w:val="singleLevel"/>
    <w:tmpl w:val="53C4DF32"/>
    <w:name w:val="0,4901348"/>
    <w:lvl w:ilvl="0">
      <w:start w:val="1"/>
      <w:numFmt w:val="bullet"/>
      <w:lvlRestart w:val="0"/>
      <w:pStyle w:val="ListDash3"/>
      <w:lvlText w:val="–"/>
      <w:lvlJc w:val="left"/>
      <w:pPr>
        <w:tabs>
          <w:tab w:val="num" w:pos="1134"/>
        </w:tabs>
        <w:ind w:left="1134" w:hanging="283"/>
      </w:pPr>
      <w:rPr>
        <w:rFonts w:ascii="Times New Roman" w:hAnsi="Times New Roman"/>
      </w:rPr>
    </w:lvl>
  </w:abstractNum>
  <w:abstractNum w:abstractNumId="38" w15:restartNumberingAfterBreak="0">
    <w:nsid w:val="79C96D36"/>
    <w:multiLevelType w:val="multilevel"/>
    <w:tmpl w:val="BE983CE4"/>
    <w:name w:val="0,389671"/>
    <w:lvl w:ilvl="0">
      <w:start w:val="1"/>
      <w:numFmt w:val="decimal"/>
      <w:lvlRestart w:val="0"/>
      <w:pStyle w:val="ListNumber1"/>
      <w:lvlText w:val="(%1)"/>
      <w:lvlJc w:val="left"/>
      <w:pPr>
        <w:tabs>
          <w:tab w:val="num" w:pos="1560"/>
        </w:tabs>
        <w:ind w:left="1560" w:hanging="709"/>
      </w:pPr>
      <w:rPr>
        <w:rFonts w:cs="Times New Roman"/>
      </w:rPr>
    </w:lvl>
    <w:lvl w:ilvl="1">
      <w:start w:val="1"/>
      <w:numFmt w:val="lowerLetter"/>
      <w:pStyle w:val="ListNumber1Level2"/>
      <w:lvlText w:val="(%2)"/>
      <w:lvlJc w:val="left"/>
      <w:pPr>
        <w:tabs>
          <w:tab w:val="num" w:pos="2268"/>
        </w:tabs>
        <w:ind w:left="2268" w:hanging="708"/>
      </w:pPr>
      <w:rPr>
        <w:rFonts w:cs="Times New Roman"/>
      </w:rPr>
    </w:lvl>
    <w:lvl w:ilvl="2">
      <w:start w:val="1"/>
      <w:numFmt w:val="bullet"/>
      <w:pStyle w:val="ListNumber1Level3"/>
      <w:lvlText w:val="–"/>
      <w:lvlJc w:val="left"/>
      <w:pPr>
        <w:tabs>
          <w:tab w:val="num" w:pos="2977"/>
        </w:tabs>
        <w:ind w:left="2977" w:hanging="709"/>
      </w:pPr>
      <w:rPr>
        <w:rFonts w:ascii="Times New Roman" w:hAnsi="Times New Roman"/>
      </w:rPr>
    </w:lvl>
    <w:lvl w:ilvl="3">
      <w:start w:val="1"/>
      <w:numFmt w:val="bullet"/>
      <w:pStyle w:val="ListNumber1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39" w15:restartNumberingAfterBreak="0">
    <w:nsid w:val="7B454D54"/>
    <w:multiLevelType w:val="singleLevel"/>
    <w:tmpl w:val="8A02E4B2"/>
    <w:lvl w:ilvl="0">
      <w:start w:val="1"/>
      <w:numFmt w:val="bullet"/>
      <w:lvlRestart w:val="0"/>
      <w:pStyle w:val="Tiret4"/>
      <w:lvlText w:val="–"/>
      <w:lvlJc w:val="left"/>
      <w:pPr>
        <w:tabs>
          <w:tab w:val="num" w:pos="3118"/>
        </w:tabs>
        <w:ind w:left="3118" w:hanging="567"/>
      </w:pPr>
    </w:lvl>
  </w:abstractNum>
  <w:abstractNum w:abstractNumId="40" w15:restartNumberingAfterBreak="0">
    <w:nsid w:val="7D8820A0"/>
    <w:multiLevelType w:val="singleLevel"/>
    <w:tmpl w:val="54F6C7B4"/>
    <w:lvl w:ilvl="0">
      <w:start w:val="1"/>
      <w:numFmt w:val="bullet"/>
      <w:lvlRestart w:val="0"/>
      <w:pStyle w:val="ListDash4"/>
      <w:lvlText w:val="–"/>
      <w:lvlJc w:val="left"/>
      <w:pPr>
        <w:tabs>
          <w:tab w:val="num" w:pos="1134"/>
        </w:tabs>
        <w:ind w:left="1134" w:hanging="283"/>
      </w:pPr>
      <w:rPr>
        <w:rFonts w:ascii="Times New Roman" w:hAnsi="Times New Roman"/>
      </w:rPr>
    </w:lvl>
  </w:abstractNum>
  <w:abstractNum w:abstractNumId="41" w15:restartNumberingAfterBreak="0">
    <w:nsid w:val="7E8224EA"/>
    <w:multiLevelType w:val="singleLevel"/>
    <w:tmpl w:val="34DEB8CE"/>
    <w:lvl w:ilvl="0">
      <w:start w:val="1"/>
      <w:numFmt w:val="bullet"/>
      <w:lvlRestart w:val="0"/>
      <w:pStyle w:val="Tiret0"/>
      <w:lvlText w:val="–"/>
      <w:lvlJc w:val="left"/>
      <w:pPr>
        <w:tabs>
          <w:tab w:val="num" w:pos="850"/>
        </w:tabs>
        <w:ind w:left="850" w:hanging="850"/>
      </w:pPr>
    </w:lvl>
  </w:abstractNum>
  <w:abstractNum w:abstractNumId="42" w15:restartNumberingAfterBreak="0">
    <w:nsid w:val="7F7154E1"/>
    <w:multiLevelType w:val="singleLevel"/>
    <w:tmpl w:val="E3F6D2C6"/>
    <w:name w:val="0,109158"/>
    <w:lvl w:ilvl="0">
      <w:start w:val="1"/>
      <w:numFmt w:val="bullet"/>
      <w:lvlRestart w:val="0"/>
      <w:pStyle w:val="ListBullet4"/>
      <w:lvlText w:val=""/>
      <w:lvlJc w:val="left"/>
      <w:pPr>
        <w:tabs>
          <w:tab w:val="num" w:pos="1134"/>
        </w:tabs>
        <w:ind w:left="1134" w:hanging="283"/>
      </w:pPr>
      <w:rPr>
        <w:rFonts w:ascii="Symbol" w:hAnsi="Symbol" w:hint="default"/>
      </w:rPr>
    </w:lvl>
  </w:abstractNum>
  <w:num w:numId="1">
    <w:abstractNumId w:val="15"/>
  </w:num>
  <w:num w:numId="2">
    <w:abstractNumId w:val="1"/>
  </w:num>
  <w:num w:numId="3">
    <w:abstractNumId w:val="0"/>
  </w:num>
  <w:num w:numId="4">
    <w:abstractNumId w:val="41"/>
  </w:num>
  <w:num w:numId="5">
    <w:abstractNumId w:val="8"/>
  </w:num>
  <w:num w:numId="6">
    <w:abstractNumId w:val="11"/>
  </w:num>
  <w:num w:numId="7">
    <w:abstractNumId w:val="35"/>
  </w:num>
  <w:num w:numId="8">
    <w:abstractNumId w:val="39"/>
  </w:num>
  <w:num w:numId="9">
    <w:abstractNumId w:val="5"/>
  </w:num>
  <w:num w:numId="10">
    <w:abstractNumId w:val="13"/>
  </w:num>
  <w:num w:numId="11">
    <w:abstractNumId w:val="9"/>
  </w:num>
  <w:num w:numId="12">
    <w:abstractNumId w:val="18"/>
  </w:num>
  <w:num w:numId="13">
    <w:abstractNumId w:val="10"/>
  </w:num>
  <w:num w:numId="14">
    <w:abstractNumId w:val="36"/>
  </w:num>
  <w:num w:numId="15">
    <w:abstractNumId w:val="33"/>
  </w:num>
  <w:num w:numId="16">
    <w:abstractNumId w:val="27"/>
  </w:num>
  <w:num w:numId="17">
    <w:abstractNumId w:val="19"/>
  </w:num>
  <w:num w:numId="18">
    <w:abstractNumId w:val="24"/>
  </w:num>
  <w:num w:numId="19">
    <w:abstractNumId w:val="38"/>
  </w:num>
  <w:num w:numId="20">
    <w:abstractNumId w:val="12"/>
  </w:num>
  <w:num w:numId="21">
    <w:abstractNumId w:val="3"/>
  </w:num>
  <w:num w:numId="22">
    <w:abstractNumId w:val="2"/>
  </w:num>
  <w:num w:numId="23">
    <w:abstractNumId w:val="32"/>
  </w:num>
  <w:num w:numId="24">
    <w:abstractNumId w:val="31"/>
  </w:num>
  <w:num w:numId="25">
    <w:abstractNumId w:val="7"/>
  </w:num>
  <w:num w:numId="26">
    <w:abstractNumId w:val="16"/>
  </w:num>
  <w:num w:numId="27">
    <w:abstractNumId w:val="42"/>
  </w:num>
  <w:num w:numId="28">
    <w:abstractNumId w:val="17"/>
  </w:num>
  <w:num w:numId="29">
    <w:abstractNumId w:val="26"/>
  </w:num>
  <w:num w:numId="30">
    <w:abstractNumId w:val="23"/>
  </w:num>
  <w:num w:numId="31">
    <w:abstractNumId w:val="37"/>
  </w:num>
  <w:num w:numId="32">
    <w:abstractNumId w:val="40"/>
  </w:num>
  <w:num w:numId="33">
    <w:abstractNumId w:val="28"/>
  </w:num>
  <w:num w:numId="34">
    <w:abstractNumId w:val="6"/>
  </w:num>
  <w:num w:numId="35">
    <w:abstractNumId w:val="21"/>
  </w:num>
  <w:num w:numId="36">
    <w:abstractNumId w:val="34"/>
  </w:num>
  <w:num w:numId="37">
    <w:abstractNumId w:val="25"/>
  </w:num>
  <w:num w:numId="38">
    <w:abstractNumId w:val="22"/>
  </w:num>
  <w:num w:numId="39">
    <w:abstractNumId w:val="30"/>
  </w:num>
  <w:num w:numId="40">
    <w:abstractNumId w:val="14"/>
  </w:num>
  <w:num w:numId="41">
    <w:abstractNumId w:val="29"/>
  </w:num>
  <w:num w:numId="42">
    <w:abstractNumId w:val="20"/>
  </w:num>
  <w:num w:numId="43">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zoom w:percent="100"/>
  <w:doNotDisplayPageBoundaries/>
  <w:embedSystemFonts/>
  <w:hideSpellingErrors/>
  <w:hideGrammaticalErrors/>
  <w:stylePaneFormatFilter w:val="7F24" w:allStyles="0" w:customStyles="0" w:latentStyles="1" w:stylesInUse="0" w:headingStyles="1" w:numberingStyles="0" w:tableStyles="0" w:directFormattingOnRuns="1" w:directFormattingOnParagraphs="1" w:directFormattingOnNumbering="1" w:directFormattingOnTables="1" w:clearFormatting="1" w:top3HeadingStyles="1" w:visibleStyles="1" w:alternateStyleNames="0"/>
  <w:stylePaneSortMethod w:val="0000"/>
  <w:revisionView w:markup="0"/>
  <w:defaultTabStop w:val="720"/>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0"/>
  </w:compat>
  <w:docVars>
    <w:docVar w:name="DocStatus" w:val="Green"/>
    <w:docVar w:name="LW_CORRIGENDUM" w:val="&lt;UNUSED&gt;"/>
    <w:docVar w:name="LW_COVERPAGE_EXISTS" w:val="True"/>
    <w:docVar w:name="LW_COVERPAGE_GUID" w:val="A93A59CC-33C2-4B88-929B-BAE6FDCAB59C"/>
    <w:docVar w:name="LW_COVERPAGE_TYPE" w:val="1"/>
    <w:docVar w:name="LW_CROSSREFERENCE" w:val="&lt;UNUSED&gt;"/>
    <w:docVar w:name="LW_DocType" w:val="NORMAL"/>
    <w:docVar w:name="LW_EMISSION" w:val="10.9.2026"/>
    <w:docVar w:name="LW_EMISSION_ISODATE" w:val="2026-09-10"/>
    <w:docVar w:name="LW_EMISSION_LOCATION" w:val="BRX"/>
    <w:docVar w:name="LW_EMISSION_PREFIX" w:val="Bruxelles, "/>
    <w:docVar w:name="LW_EMISSION_SUFFIX" w:val=" "/>
    <w:docVar w:name="LW_ID_DOCTYPE_NONLW" w:val="CP-006"/>
    <w:docVar w:name="LW_LANGUE" w:val="RO"/>
    <w:docVar w:name="LW_LEVEL_OF_SENSITIVITY" w:val="Standard treatment"/>
    <w:docVar w:name="LW_NOM.INST" w:val="COMISIA EUROPEAN\u258?"/>
    <w:docVar w:name="LW_NOM.INST_JOINTDOC" w:val="&lt;EMPTY&gt;"/>
    <w:docVar w:name="LW_PART_NBR" w:val="1"/>
    <w:docVar w:name="LW_PART_NBR_TOTAL" w:val="1"/>
    <w:docVar w:name="LW_REF.INST.NEW" w:val="COM"/>
    <w:docVar w:name="LW_REF.INST.NEW_ADOPTED" w:val="final"/>
    <w:docVar w:name="LW_REF.INST.NEW_TEXT" w:val="(2026) 466"/>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RAPORT FINANCIAR AL COMISIEI C\u258?TRE PARLAMENTUL EUROPEAN \u536?I CONSILIU PRIVIND FONDUL EUROPEAN DE GARANTARE AGRICOL\u258? \u536?I FONDUL EUROPEAN AGRICOL PENTRU DEZVOLTARE RURAL\u258?_x000d__x000b__x000d__x000b_EXERCI\u538?IUL FINANCIAR 2025"/>
    <w:docVar w:name="LW_TYPE.DOC.CP" w:val="RAPORT AL COMISIEI C\u258?TRE PARLAMENTUL EUROPEAN \u536?I CONSILIU"/>
    <w:docVar w:name="LwApiVersions" w:val="LW4CoDe 1.25.1.0; LW 9.2, Build 20260702"/>
  </w:docVar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1"/>
    <o:shapelayout v:ext="edit">
      <o:idmap v:ext="edit" data="2"/>
    </o:shapelayout>
  </w:shapeDefaults>
  <w:decimalSymbol w:val=","/>
  <w:listSeparator w:val=";"/>
  <w15:chartTrackingRefBased/>
  <w15:docId w15:val="{3FBA9E6E-EB43-4DF5-A618-6C90DD1388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kern w:val="2"/>
        <w:lang w:val="ro-RO" w:eastAsia="en-GB"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iPriority="0"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iPriority="0" w:unhideWhenUsed="1"/>
    <w:lsdException w:name="HTML Top of Form" w:semiHidden="1" w:uiPriority="0" w:unhideWhenUsed="1"/>
    <w:lsdException w:name="HTML Bottom of Form" w:semiHidden="1" w:uiPriority="0" w:unhideWhenUsed="1"/>
    <w:lsdException w:name="Normal (Web)" w:semiHidden="1" w:unhideWhenUsed="1"/>
    <w:lsdException w:name="HTML Acronym" w:semiHidden="1" w:uiPriority="0" w:unhideWhenUsed="1"/>
    <w:lsdException w:name="HTML Address" w:semiHidden="1" w:uiPriority="0" w:unhideWhenUsed="1"/>
    <w:lsdException w:name="HTML Cite" w:semiHidden="1" w:uiPriority="0" w:unhideWhenUsed="1"/>
    <w:lsdException w:name="HTML Code" w:semiHidden="1" w:uiPriority="0" w:unhideWhenUsed="1"/>
    <w:lsdException w:name="HTML Definition" w:semiHidden="1" w:uiPriority="0" w:unhideWhenUsed="1"/>
    <w:lsdException w:name="HTML Keyboard" w:semiHidden="1" w:uiPriority="0" w:unhideWhenUsed="1"/>
    <w:lsdException w:name="HTML Preformatted" w:semiHidden="1" w:uiPriority="0" w:unhideWhenUsed="1"/>
    <w:lsdException w:name="HTML Sample" w:semiHidden="1" w:uiPriority="0" w:unhideWhenUsed="1"/>
    <w:lsdException w:name="HTML Typewriter" w:semiHidden="1" w:uiPriority="0" w:unhideWhenUsed="1"/>
    <w:lsdException w:name="HTML Variable" w:semiHidden="1" w:uiPriority="0" w:unhideWhenUsed="1"/>
    <w:lsdException w:name="Normal Table" w:semiHidden="1" w:uiPriority="0" w:unhideWhenUsed="1"/>
    <w:lsdException w:name="annotation subject" w:semiHidden="1" w:unhideWhenUsed="1"/>
    <w:lsdException w:name="No List" w:semiHidden="1" w:uiPriority="0" w:unhideWhenUsed="1"/>
    <w:lsdException w:name="Outline List 1" w:semiHidden="1" w:uiPriority="0" w:unhideWhenUsed="1"/>
    <w:lsdException w:name="Outline List 2" w:semiHidden="1"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39"/>
    <w:lsdException w:name="Table Theme" w:semiHidden="1" w:uiPriority="0"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rPr>
  </w:style>
  <w:style w:type="paragraph" w:styleId="Heading1">
    <w:name w:val="heading 1"/>
    <w:basedOn w:val="Normal"/>
    <w:next w:val="Normal"/>
    <w:link w:val="Heading1Char"/>
    <w:uiPriority w:val="9"/>
    <w:qFormat/>
    <w:pPr>
      <w:keepNext/>
      <w:keepLines/>
      <w:spacing w:before="360" w:after="80"/>
      <w:outlineLvl w:val="0"/>
    </w:pPr>
    <w:rPr>
      <w:rFonts w:asciiTheme="majorHAnsi" w:eastAsiaTheme="majorEastAsia" w:hAnsiTheme="majorHAnsi" w:cstheme="majorBidi"/>
      <w:color w:val="365F91" w:themeColor="accent1" w:themeShade="BF"/>
      <w:sz w:val="40"/>
      <w:szCs w:val="40"/>
    </w:rPr>
  </w:style>
  <w:style w:type="paragraph" w:styleId="Heading2">
    <w:name w:val="heading 2"/>
    <w:basedOn w:val="Normal"/>
    <w:next w:val="Normal"/>
    <w:link w:val="Heading2Char"/>
    <w:uiPriority w:val="9"/>
    <w:unhideWhenUsed/>
    <w:qFormat/>
    <w:pPr>
      <w:keepNext/>
      <w:keepLines/>
      <w:spacing w:before="160" w:after="80"/>
      <w:outlineLvl w:val="1"/>
    </w:pPr>
    <w:rPr>
      <w:rFonts w:asciiTheme="majorHAnsi" w:eastAsiaTheme="majorEastAsia" w:hAnsiTheme="majorHAnsi" w:cstheme="majorBidi"/>
      <w:color w:val="365F91" w:themeColor="accent1" w:themeShade="BF"/>
      <w:sz w:val="32"/>
      <w:szCs w:val="32"/>
    </w:rPr>
  </w:style>
  <w:style w:type="paragraph" w:styleId="Heading3">
    <w:name w:val="heading 3"/>
    <w:basedOn w:val="Normal"/>
    <w:next w:val="Normal"/>
    <w:link w:val="Heading3Char"/>
    <w:uiPriority w:val="9"/>
    <w:unhideWhenUsed/>
    <w:qFormat/>
    <w:pPr>
      <w:keepNext/>
      <w:keepLines/>
      <w:spacing w:before="160" w:after="80"/>
      <w:outlineLvl w:val="2"/>
    </w:pPr>
    <w:rPr>
      <w:rFonts w:asciiTheme="minorHAnsi" w:eastAsiaTheme="majorEastAsia" w:hAnsiTheme="minorHAnsi" w:cstheme="majorBidi"/>
      <w:color w:val="365F91" w:themeColor="accent1" w:themeShade="BF"/>
      <w:sz w:val="28"/>
      <w:szCs w:val="28"/>
    </w:rPr>
  </w:style>
  <w:style w:type="paragraph" w:styleId="Heading4">
    <w:name w:val="heading 4"/>
    <w:basedOn w:val="Normal"/>
    <w:next w:val="Normal"/>
    <w:link w:val="Heading4Char"/>
    <w:uiPriority w:val="9"/>
    <w:unhideWhenUsed/>
    <w:qFormat/>
    <w:pPr>
      <w:keepNext/>
      <w:keepLines/>
      <w:spacing w:before="80" w:after="40"/>
      <w:outlineLvl w:val="3"/>
    </w:pPr>
    <w:rPr>
      <w:rFonts w:asciiTheme="minorHAnsi" w:eastAsiaTheme="majorEastAsia" w:hAnsiTheme="minorHAnsi" w:cstheme="majorBidi"/>
      <w:i/>
      <w:iCs/>
      <w:color w:val="365F91" w:themeColor="accent1" w:themeShade="BF"/>
    </w:rPr>
  </w:style>
  <w:style w:type="paragraph" w:styleId="Heading5">
    <w:name w:val="heading 5"/>
    <w:basedOn w:val="Normal"/>
    <w:next w:val="Normal"/>
    <w:link w:val="Heading5Char"/>
    <w:uiPriority w:val="9"/>
    <w:unhideWhenUsed/>
    <w:qFormat/>
    <w:pPr>
      <w:keepNext/>
      <w:keepLines/>
      <w:spacing w:before="80" w:after="40"/>
      <w:outlineLvl w:val="4"/>
    </w:pPr>
    <w:rPr>
      <w:rFonts w:asciiTheme="minorHAnsi" w:eastAsiaTheme="majorEastAsia" w:hAnsiTheme="minorHAnsi" w:cstheme="majorBidi"/>
      <w:color w:val="365F91" w:themeColor="accent1" w:themeShade="BF"/>
    </w:rPr>
  </w:style>
  <w:style w:type="paragraph" w:styleId="Heading6">
    <w:name w:val="heading 6"/>
    <w:basedOn w:val="Normal"/>
    <w:next w:val="Normal"/>
    <w:link w:val="Heading6Char"/>
    <w:uiPriority w:val="9"/>
    <w:unhideWhenUsed/>
    <w:qFormat/>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unhideWhenUsed/>
    <w:qFormat/>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unhideWhenUsed/>
    <w:qFormat/>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unhideWhenUsed/>
    <w:qFormat/>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Pr>
      <w:rFonts w:asciiTheme="majorHAnsi" w:eastAsiaTheme="majorEastAsia" w:hAnsiTheme="majorHAnsi" w:cstheme="majorBidi"/>
      <w:color w:val="365F91" w:themeColor="accent1" w:themeShade="BF"/>
      <w:sz w:val="40"/>
      <w:szCs w:val="40"/>
    </w:rPr>
  </w:style>
  <w:style w:type="character" w:customStyle="1" w:styleId="Heading2Char">
    <w:name w:val="Heading 2 Char"/>
    <w:basedOn w:val="DefaultParagraphFont"/>
    <w:link w:val="Heading2"/>
    <w:uiPriority w:val="9"/>
    <w:rPr>
      <w:rFonts w:asciiTheme="majorHAnsi" w:eastAsiaTheme="majorEastAsia" w:hAnsiTheme="majorHAnsi" w:cstheme="majorBidi"/>
      <w:color w:val="365F91" w:themeColor="accent1" w:themeShade="BF"/>
      <w:sz w:val="32"/>
      <w:szCs w:val="32"/>
    </w:rPr>
  </w:style>
  <w:style w:type="character" w:customStyle="1" w:styleId="Heading3Char">
    <w:name w:val="Heading 3 Char"/>
    <w:basedOn w:val="DefaultParagraphFont"/>
    <w:link w:val="Heading3"/>
    <w:uiPriority w:val="9"/>
    <w:rPr>
      <w:rFonts w:asciiTheme="minorHAnsi" w:eastAsiaTheme="majorEastAsia" w:hAnsiTheme="minorHAnsi" w:cstheme="majorBidi"/>
      <w:color w:val="365F91" w:themeColor="accent1" w:themeShade="BF"/>
      <w:sz w:val="28"/>
      <w:szCs w:val="28"/>
    </w:rPr>
  </w:style>
  <w:style w:type="character" w:customStyle="1" w:styleId="Heading4Char">
    <w:name w:val="Heading 4 Char"/>
    <w:basedOn w:val="DefaultParagraphFont"/>
    <w:link w:val="Heading4"/>
    <w:uiPriority w:val="9"/>
    <w:rPr>
      <w:rFonts w:asciiTheme="minorHAnsi" w:eastAsiaTheme="majorEastAsia" w:hAnsiTheme="minorHAnsi" w:cstheme="majorBidi"/>
      <w:i/>
      <w:iCs/>
      <w:color w:val="365F91" w:themeColor="accent1" w:themeShade="BF"/>
      <w:sz w:val="24"/>
      <w:szCs w:val="24"/>
    </w:rPr>
  </w:style>
  <w:style w:type="character" w:customStyle="1" w:styleId="Heading5Char">
    <w:name w:val="Heading 5 Char"/>
    <w:basedOn w:val="DefaultParagraphFont"/>
    <w:link w:val="Heading5"/>
    <w:uiPriority w:val="9"/>
    <w:rPr>
      <w:rFonts w:asciiTheme="minorHAnsi" w:eastAsiaTheme="majorEastAsia" w:hAnsiTheme="minorHAnsi" w:cstheme="majorBidi"/>
      <w:color w:val="365F91" w:themeColor="accent1" w:themeShade="BF"/>
      <w:sz w:val="24"/>
      <w:szCs w:val="24"/>
    </w:rPr>
  </w:style>
  <w:style w:type="character" w:customStyle="1" w:styleId="Heading6Char">
    <w:name w:val="Heading 6 Char"/>
    <w:basedOn w:val="DefaultParagraphFont"/>
    <w:link w:val="Heading6"/>
    <w:uiPriority w:val="9"/>
    <w:rPr>
      <w:rFonts w:asciiTheme="minorHAnsi" w:eastAsiaTheme="majorEastAsia" w:hAnsiTheme="minorHAnsi" w:cstheme="majorBidi"/>
      <w:i/>
      <w:iCs/>
      <w:color w:val="595959" w:themeColor="text1" w:themeTint="A6"/>
      <w:sz w:val="24"/>
      <w:szCs w:val="24"/>
    </w:rPr>
  </w:style>
  <w:style w:type="character" w:customStyle="1" w:styleId="Heading7Char">
    <w:name w:val="Heading 7 Char"/>
    <w:basedOn w:val="DefaultParagraphFont"/>
    <w:link w:val="Heading7"/>
    <w:uiPriority w:val="9"/>
    <w:rPr>
      <w:rFonts w:asciiTheme="minorHAnsi" w:eastAsiaTheme="majorEastAsia" w:hAnsiTheme="minorHAnsi" w:cstheme="majorBidi"/>
      <w:color w:val="595959" w:themeColor="text1" w:themeTint="A6"/>
      <w:sz w:val="24"/>
      <w:szCs w:val="24"/>
    </w:rPr>
  </w:style>
  <w:style w:type="character" w:customStyle="1" w:styleId="Heading8Char">
    <w:name w:val="Heading 8 Char"/>
    <w:basedOn w:val="DefaultParagraphFont"/>
    <w:link w:val="Heading8"/>
    <w:uiPriority w:val="9"/>
    <w:rPr>
      <w:rFonts w:asciiTheme="minorHAnsi" w:eastAsiaTheme="majorEastAsia" w:hAnsiTheme="minorHAnsi" w:cstheme="majorBidi"/>
      <w:i/>
      <w:iCs/>
      <w:color w:val="272727" w:themeColor="text1" w:themeTint="D8"/>
      <w:sz w:val="24"/>
      <w:szCs w:val="24"/>
    </w:rPr>
  </w:style>
  <w:style w:type="character" w:customStyle="1" w:styleId="Heading9Char">
    <w:name w:val="Heading 9 Char"/>
    <w:basedOn w:val="DefaultParagraphFont"/>
    <w:link w:val="Heading9"/>
    <w:uiPriority w:val="9"/>
    <w:rPr>
      <w:rFonts w:asciiTheme="minorHAnsi" w:eastAsiaTheme="majorEastAsia" w:hAnsiTheme="minorHAnsi" w:cstheme="majorBidi"/>
      <w:color w:val="272727" w:themeColor="text1" w:themeTint="D8"/>
      <w:sz w:val="24"/>
      <w:szCs w:val="24"/>
    </w:rPr>
  </w:style>
  <w:style w:type="paragraph" w:styleId="Title">
    <w:name w:val="Title"/>
    <w:basedOn w:val="Normal"/>
    <w:next w:val="Normal"/>
    <w:link w:val="TitleChar"/>
    <w:uiPriority w:val="10"/>
    <w:qFormat/>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pPr>
      <w:spacing w:before="160" w:after="160"/>
      <w:jc w:val="center"/>
    </w:pPr>
    <w:rPr>
      <w:i/>
      <w:iCs/>
      <w:color w:val="404040" w:themeColor="text1" w:themeTint="BF"/>
    </w:rPr>
  </w:style>
  <w:style w:type="character" w:customStyle="1" w:styleId="QuoteChar">
    <w:name w:val="Quote Char"/>
    <w:basedOn w:val="DefaultParagraphFont"/>
    <w:link w:val="Quote"/>
    <w:uiPriority w:val="29"/>
    <w:rPr>
      <w:i/>
      <w:iCs/>
      <w:color w:val="404040" w:themeColor="text1" w:themeTint="BF"/>
      <w:sz w:val="24"/>
      <w:szCs w:val="24"/>
    </w:rPr>
  </w:style>
  <w:style w:type="paragraph" w:styleId="ListParagraph">
    <w:name w:val="List Paragraph"/>
    <w:basedOn w:val="Normal"/>
    <w:uiPriority w:val="34"/>
    <w:qFormat/>
    <w:pPr>
      <w:ind w:left="720"/>
      <w:contextualSpacing/>
    </w:pPr>
  </w:style>
  <w:style w:type="character" w:styleId="IntenseEmphasis">
    <w:name w:val="Intense Emphasis"/>
    <w:basedOn w:val="DefaultParagraphFont"/>
    <w:uiPriority w:val="21"/>
    <w:qFormat/>
    <w:rPr>
      <w:i/>
      <w:iCs/>
      <w:color w:val="365F91" w:themeColor="accent1" w:themeShade="BF"/>
    </w:rPr>
  </w:style>
  <w:style w:type="paragraph" w:styleId="IntenseQuote">
    <w:name w:val="Intense Quote"/>
    <w:basedOn w:val="Normal"/>
    <w:next w:val="Normal"/>
    <w:link w:val="IntenseQuoteChar"/>
    <w:uiPriority w:val="30"/>
    <w:qFormat/>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eQuoteChar">
    <w:name w:val="Intense Quote Char"/>
    <w:basedOn w:val="DefaultParagraphFont"/>
    <w:link w:val="IntenseQuote"/>
    <w:uiPriority w:val="30"/>
    <w:rPr>
      <w:i/>
      <w:iCs/>
      <w:color w:val="365F91" w:themeColor="accent1" w:themeShade="BF"/>
      <w:sz w:val="24"/>
      <w:szCs w:val="24"/>
    </w:rPr>
  </w:style>
  <w:style w:type="character" w:styleId="IntenseReference">
    <w:name w:val="Intense Reference"/>
    <w:basedOn w:val="DefaultParagraphFont"/>
    <w:uiPriority w:val="32"/>
    <w:qFormat/>
    <w:rPr>
      <w:b/>
      <w:bCs/>
      <w:smallCaps/>
      <w:color w:val="365F91" w:themeColor="accent1" w:themeShade="BF"/>
      <w:spacing w:val="5"/>
    </w:rPr>
  </w:style>
  <w:style w:type="character" w:customStyle="1" w:styleId="Marker">
    <w:name w:val="Marker"/>
    <w:basedOn w:val="DefaultParagraphFont"/>
    <w:rPr>
      <w:color w:val="0000FF"/>
      <w:shd w:val="clear" w:color="auto" w:fill="auto"/>
    </w:rPr>
  </w:style>
  <w:style w:type="paragraph" w:styleId="Header">
    <w:name w:val="header"/>
    <w:basedOn w:val="Normal"/>
    <w:link w:val="HeaderChar"/>
    <w:uiPriority w:val="99"/>
    <w:unhideWhenUsed/>
    <w:pPr>
      <w:tabs>
        <w:tab w:val="center" w:pos="4680"/>
        <w:tab w:val="right" w:pos="9360"/>
      </w:tabs>
    </w:pPr>
  </w:style>
  <w:style w:type="character" w:customStyle="1" w:styleId="HeaderChar">
    <w:name w:val="Header Char"/>
    <w:basedOn w:val="DefaultParagraphFont"/>
    <w:link w:val="Header"/>
    <w:uiPriority w:val="99"/>
    <w:rPr>
      <w:sz w:val="24"/>
      <w:szCs w:val="24"/>
    </w:rPr>
  </w:style>
  <w:style w:type="paragraph" w:styleId="Footer">
    <w:name w:val="footer"/>
    <w:basedOn w:val="Normal"/>
    <w:link w:val="FooterChar"/>
    <w:uiPriority w:val="99"/>
    <w:unhideWhenUsed/>
    <w:pPr>
      <w:tabs>
        <w:tab w:val="center" w:pos="4680"/>
        <w:tab w:val="right" w:pos="9360"/>
      </w:tabs>
    </w:pPr>
  </w:style>
  <w:style w:type="character" w:customStyle="1" w:styleId="FooterChar">
    <w:name w:val="Footer Char"/>
    <w:basedOn w:val="DefaultParagraphFont"/>
    <w:link w:val="Footer"/>
    <w:uiPriority w:val="99"/>
    <w:rPr>
      <w:sz w:val="24"/>
      <w:szCs w:val="24"/>
    </w:rPr>
  </w:style>
  <w:style w:type="paragraph" w:customStyle="1" w:styleId="Pagedecouverture">
    <w:name w:val="Page de couverture"/>
    <w:basedOn w:val="Normal"/>
    <w:next w:val="Normal"/>
    <w:pPr>
      <w:jc w:val="both"/>
    </w:pPr>
    <w:rPr>
      <w:rFonts w:eastAsiaTheme="minorHAnsi"/>
      <w:kern w:val="0"/>
      <w:szCs w:val="22"/>
      <w:lang w:eastAsia="en-US"/>
      <w14:ligatures w14:val="none"/>
    </w:rPr>
  </w:style>
  <w:style w:type="paragraph" w:customStyle="1" w:styleId="FooterCoverPage">
    <w:name w:val="Footer Cover Page"/>
    <w:basedOn w:val="Normal"/>
    <w:link w:val="FooterCoverPageChar"/>
    <w:pPr>
      <w:tabs>
        <w:tab w:val="center" w:pos="4535"/>
        <w:tab w:val="right" w:pos="9071"/>
        <w:tab w:val="right" w:pos="9921"/>
      </w:tabs>
      <w:spacing w:before="360"/>
      <w:ind w:left="-850" w:right="-850"/>
    </w:pPr>
  </w:style>
  <w:style w:type="character" w:customStyle="1" w:styleId="FooterCoverPageChar">
    <w:name w:val="Footer Cover Page Char"/>
    <w:basedOn w:val="DefaultParagraphFont"/>
    <w:link w:val="FooterCoverPage"/>
    <w:rPr>
      <w:sz w:val="24"/>
      <w:szCs w:val="24"/>
    </w:rPr>
  </w:style>
  <w:style w:type="paragraph" w:customStyle="1" w:styleId="FooterSensitivity">
    <w:name w:val="Footer Sensitivity"/>
    <w:basedOn w:val="Normal"/>
    <w:link w:val="FooterSensitivityChar"/>
    <w:pPr>
      <w:pBdr>
        <w:top w:val="single" w:sz="4" w:space="1" w:color="auto"/>
        <w:left w:val="single" w:sz="4" w:space="4" w:color="auto"/>
        <w:bottom w:val="single" w:sz="4" w:space="1" w:color="auto"/>
        <w:right w:val="single" w:sz="4" w:space="4" w:color="auto"/>
      </w:pBdr>
      <w:spacing w:before="360"/>
      <w:ind w:left="113" w:right="113"/>
      <w:jc w:val="center"/>
    </w:pPr>
    <w:rPr>
      <w:b/>
      <w:sz w:val="32"/>
    </w:rPr>
  </w:style>
  <w:style w:type="character" w:customStyle="1" w:styleId="FooterSensitivityChar">
    <w:name w:val="Footer Sensitivity Char"/>
    <w:basedOn w:val="DefaultParagraphFont"/>
    <w:link w:val="FooterSensitivity"/>
    <w:rPr>
      <w:b/>
      <w:sz w:val="32"/>
      <w:szCs w:val="24"/>
    </w:rPr>
  </w:style>
  <w:style w:type="paragraph" w:customStyle="1" w:styleId="HeaderCoverPage">
    <w:name w:val="Header Cover Page"/>
    <w:basedOn w:val="Normal"/>
    <w:link w:val="HeaderCoverPageChar"/>
    <w:pPr>
      <w:tabs>
        <w:tab w:val="center" w:pos="4535"/>
        <w:tab w:val="right" w:pos="9071"/>
      </w:tabs>
      <w:spacing w:after="120"/>
      <w:jc w:val="both"/>
    </w:pPr>
  </w:style>
  <w:style w:type="character" w:customStyle="1" w:styleId="HeaderCoverPageChar">
    <w:name w:val="Header Cover Page Char"/>
    <w:basedOn w:val="DefaultParagraphFont"/>
    <w:link w:val="HeaderCoverPage"/>
    <w:rPr>
      <w:sz w:val="24"/>
      <w:szCs w:val="24"/>
    </w:rPr>
  </w:style>
  <w:style w:type="paragraph" w:customStyle="1" w:styleId="HeaderSensitivity">
    <w:name w:val="Header Sensitivity"/>
    <w:basedOn w:val="Normal"/>
    <w:link w:val="HeaderSensitivityChar"/>
    <w:pPr>
      <w:pBdr>
        <w:top w:val="single" w:sz="4" w:space="1" w:color="auto"/>
        <w:left w:val="single" w:sz="4" w:space="4" w:color="auto"/>
        <w:bottom w:val="single" w:sz="4" w:space="1" w:color="auto"/>
        <w:right w:val="single" w:sz="4" w:space="4" w:color="auto"/>
      </w:pBdr>
      <w:spacing w:after="120"/>
      <w:ind w:left="113" w:right="113"/>
      <w:jc w:val="center"/>
    </w:pPr>
    <w:rPr>
      <w:b/>
      <w:sz w:val="32"/>
    </w:rPr>
  </w:style>
  <w:style w:type="character" w:customStyle="1" w:styleId="HeaderSensitivityChar">
    <w:name w:val="Header Sensitivity Char"/>
    <w:basedOn w:val="DefaultParagraphFont"/>
    <w:link w:val="HeaderSensitivity"/>
    <w:rPr>
      <w:b/>
      <w:sz w:val="32"/>
      <w:szCs w:val="24"/>
    </w:rPr>
  </w:style>
  <w:style w:type="paragraph" w:customStyle="1" w:styleId="HeaderSensitivityRight">
    <w:name w:val="Header Sensitivity Right"/>
    <w:basedOn w:val="Normal"/>
    <w:link w:val="HeaderSensitivityRightChar"/>
    <w:pPr>
      <w:spacing w:after="120"/>
      <w:jc w:val="right"/>
    </w:pPr>
    <w:rPr>
      <w:sz w:val="28"/>
    </w:rPr>
  </w:style>
  <w:style w:type="character" w:customStyle="1" w:styleId="HeaderSensitivityRightChar">
    <w:name w:val="Header Sensitivity Right Char"/>
    <w:basedOn w:val="DefaultParagraphFont"/>
    <w:link w:val="HeaderSensitivityRight"/>
    <w:rPr>
      <w:sz w:val="28"/>
      <w:szCs w:val="24"/>
    </w:rPr>
  </w:style>
  <w:style w:type="character" w:styleId="Hyperlink">
    <w:name w:val="Hyperlink"/>
    <w:basedOn w:val="DefaultParagraphFont"/>
    <w:uiPriority w:val="99"/>
    <w:rPr>
      <w:color w:val="0000FF"/>
      <w:u w:val="single"/>
    </w:rPr>
  </w:style>
  <w:style w:type="paragraph" w:customStyle="1" w:styleId="Text1">
    <w:name w:val="Text 1"/>
    <w:basedOn w:val="Normal"/>
    <w:link w:val="Text1Char"/>
    <w:pPr>
      <w:spacing w:before="120" w:after="120"/>
      <w:ind w:left="850"/>
      <w:jc w:val="both"/>
    </w:pPr>
    <w:rPr>
      <w:rFonts w:eastAsia="MS PGothic"/>
      <w:noProof/>
      <w:kern w:val="0"/>
      <w:lang w:eastAsia="en-US"/>
      <w14:ligatures w14:val="none"/>
    </w:rPr>
  </w:style>
  <w:style w:type="paragraph" w:customStyle="1" w:styleId="Annexetitre">
    <w:name w:val="Annexe titre"/>
    <w:basedOn w:val="Normal"/>
    <w:next w:val="Normal"/>
    <w:pPr>
      <w:spacing w:before="120" w:after="120"/>
      <w:jc w:val="center"/>
    </w:pPr>
    <w:rPr>
      <w:b/>
      <w:kern w:val="0"/>
      <w:u w:val="single"/>
      <w:lang w:eastAsia="en-US"/>
      <w14:ligatures w14:val="none"/>
    </w:rPr>
  </w:style>
  <w:style w:type="paragraph" w:styleId="BalloonText">
    <w:name w:val="Balloon Text"/>
    <w:basedOn w:val="Normal"/>
    <w:link w:val="BalloonTextChar"/>
    <w:uiPriority w:val="99"/>
    <w:semiHidden/>
    <w:rPr>
      <w:rFonts w:ascii="Tahoma" w:hAnsi="Tahoma" w:cs="Tahoma"/>
      <w:kern w:val="0"/>
      <w:sz w:val="16"/>
      <w:szCs w:val="16"/>
      <w14:ligatures w14:val="none"/>
    </w:rPr>
  </w:style>
  <w:style w:type="character" w:customStyle="1" w:styleId="BalloonTextChar">
    <w:name w:val="Balloon Text Char"/>
    <w:basedOn w:val="DefaultParagraphFont"/>
    <w:link w:val="BalloonText"/>
    <w:uiPriority w:val="99"/>
    <w:semiHidden/>
    <w:rPr>
      <w:rFonts w:ascii="Tahoma" w:hAnsi="Tahoma" w:cs="Tahoma"/>
      <w:kern w:val="0"/>
      <w:sz w:val="16"/>
      <w:szCs w:val="16"/>
      <w:lang w:val="ro-RO"/>
      <w14:ligatures w14:val="none"/>
    </w:rPr>
  </w:style>
  <w:style w:type="paragraph" w:styleId="FootnoteText">
    <w:name w:val="footnote text"/>
    <w:basedOn w:val="Normal"/>
    <w:link w:val="FootnoteTextChar"/>
    <w:pPr>
      <w:ind w:left="720" w:hanging="720"/>
      <w:jc w:val="both"/>
    </w:pPr>
    <w:rPr>
      <w:kern w:val="0"/>
      <w:sz w:val="20"/>
      <w:szCs w:val="20"/>
      <w:lang w:eastAsia="en-US"/>
      <w14:ligatures w14:val="none"/>
    </w:rPr>
  </w:style>
  <w:style w:type="character" w:customStyle="1" w:styleId="FootnoteTextChar">
    <w:name w:val="Footnote Text Char"/>
    <w:basedOn w:val="DefaultParagraphFont"/>
    <w:link w:val="FootnoteText"/>
    <w:rPr>
      <w:kern w:val="0"/>
      <w:lang w:val="ro-RO" w:eastAsia="en-US"/>
      <w14:ligatures w14:val="none"/>
    </w:rPr>
  </w:style>
  <w:style w:type="paragraph" w:styleId="TOC1">
    <w:name w:val="toc 1"/>
    <w:basedOn w:val="Normal"/>
    <w:next w:val="Normal"/>
    <w:uiPriority w:val="39"/>
    <w:pPr>
      <w:tabs>
        <w:tab w:val="right" w:leader="dot" w:pos="9071"/>
      </w:tabs>
      <w:spacing w:before="60" w:after="120"/>
      <w:ind w:left="850" w:hanging="850"/>
    </w:pPr>
    <w:rPr>
      <w:kern w:val="0"/>
      <w:lang w:eastAsia="en-US"/>
      <w14:ligatures w14:val="none"/>
    </w:rPr>
  </w:style>
  <w:style w:type="paragraph" w:styleId="TOC2">
    <w:name w:val="toc 2"/>
    <w:basedOn w:val="Normal"/>
    <w:next w:val="Normal"/>
    <w:uiPriority w:val="39"/>
    <w:pPr>
      <w:tabs>
        <w:tab w:val="right" w:leader="dot" w:pos="9071"/>
      </w:tabs>
      <w:spacing w:before="60" w:after="120"/>
      <w:ind w:left="850" w:hanging="850"/>
    </w:pPr>
    <w:rPr>
      <w:kern w:val="0"/>
      <w:lang w:eastAsia="en-US"/>
      <w14:ligatures w14:val="none"/>
    </w:rPr>
  </w:style>
  <w:style w:type="paragraph" w:styleId="TOC3">
    <w:name w:val="toc 3"/>
    <w:basedOn w:val="Normal"/>
    <w:next w:val="Normal"/>
    <w:uiPriority w:val="39"/>
    <w:pPr>
      <w:tabs>
        <w:tab w:val="right" w:leader="dot" w:pos="9071"/>
      </w:tabs>
      <w:spacing w:before="60" w:after="120"/>
      <w:ind w:left="850" w:hanging="850"/>
    </w:pPr>
    <w:rPr>
      <w:kern w:val="0"/>
      <w:lang w:eastAsia="en-US"/>
      <w14:ligatures w14:val="none"/>
    </w:rPr>
  </w:style>
  <w:style w:type="paragraph" w:styleId="TOC4">
    <w:name w:val="toc 4"/>
    <w:basedOn w:val="Normal"/>
    <w:next w:val="Normal"/>
    <w:uiPriority w:val="39"/>
    <w:pPr>
      <w:tabs>
        <w:tab w:val="right" w:leader="dot" w:pos="9071"/>
      </w:tabs>
      <w:spacing w:before="60" w:after="120"/>
      <w:ind w:left="850" w:hanging="850"/>
    </w:pPr>
    <w:rPr>
      <w:kern w:val="0"/>
      <w:lang w:eastAsia="en-US"/>
      <w14:ligatures w14:val="none"/>
    </w:rPr>
  </w:style>
  <w:style w:type="paragraph" w:styleId="TOC5">
    <w:name w:val="toc 5"/>
    <w:basedOn w:val="Normal"/>
    <w:next w:val="Normal"/>
    <w:uiPriority w:val="39"/>
    <w:pPr>
      <w:tabs>
        <w:tab w:val="right" w:leader="dot" w:pos="9071"/>
      </w:tabs>
      <w:spacing w:before="300" w:after="120"/>
    </w:pPr>
    <w:rPr>
      <w:kern w:val="0"/>
      <w:lang w:eastAsia="en-US"/>
      <w14:ligatures w14:val="none"/>
    </w:rPr>
  </w:style>
  <w:style w:type="paragraph" w:styleId="TOC6">
    <w:name w:val="toc 6"/>
    <w:basedOn w:val="Normal"/>
    <w:next w:val="Normal"/>
    <w:uiPriority w:val="39"/>
    <w:pPr>
      <w:tabs>
        <w:tab w:val="right" w:leader="dot" w:pos="9071"/>
      </w:tabs>
      <w:spacing w:before="240" w:after="120"/>
    </w:pPr>
    <w:rPr>
      <w:kern w:val="0"/>
      <w:lang w:eastAsia="en-US"/>
      <w14:ligatures w14:val="none"/>
    </w:rPr>
  </w:style>
  <w:style w:type="paragraph" w:styleId="TOC7">
    <w:name w:val="toc 7"/>
    <w:basedOn w:val="Normal"/>
    <w:next w:val="Normal"/>
    <w:uiPriority w:val="39"/>
    <w:pPr>
      <w:tabs>
        <w:tab w:val="right" w:leader="dot" w:pos="9071"/>
      </w:tabs>
      <w:spacing w:before="180" w:after="120"/>
    </w:pPr>
    <w:rPr>
      <w:kern w:val="0"/>
      <w:lang w:eastAsia="en-US"/>
      <w14:ligatures w14:val="none"/>
    </w:rPr>
  </w:style>
  <w:style w:type="paragraph" w:styleId="TOC8">
    <w:name w:val="toc 8"/>
    <w:basedOn w:val="Normal"/>
    <w:next w:val="Normal"/>
    <w:uiPriority w:val="39"/>
    <w:pPr>
      <w:tabs>
        <w:tab w:val="right" w:leader="dot" w:pos="9071"/>
      </w:tabs>
      <w:spacing w:before="120" w:after="120"/>
    </w:pPr>
    <w:rPr>
      <w:kern w:val="0"/>
      <w:lang w:eastAsia="en-US"/>
      <w14:ligatures w14:val="none"/>
    </w:rPr>
  </w:style>
  <w:style w:type="paragraph" w:styleId="TOC9">
    <w:name w:val="toc 9"/>
    <w:basedOn w:val="Normal"/>
    <w:next w:val="Normal"/>
    <w:uiPriority w:val="39"/>
    <w:pPr>
      <w:tabs>
        <w:tab w:val="right" w:leader="dot" w:pos="9071"/>
      </w:tabs>
      <w:spacing w:before="120" w:after="120"/>
      <w:jc w:val="both"/>
    </w:pPr>
    <w:rPr>
      <w:kern w:val="0"/>
      <w:lang w:eastAsia="en-US"/>
      <w14:ligatures w14:val="none"/>
    </w:rPr>
  </w:style>
  <w:style w:type="paragraph" w:customStyle="1" w:styleId="HeaderLandscape">
    <w:name w:val="HeaderLandscape"/>
    <w:basedOn w:val="Normal"/>
    <w:pPr>
      <w:tabs>
        <w:tab w:val="center" w:pos="7285"/>
        <w:tab w:val="right" w:pos="14003"/>
      </w:tabs>
      <w:spacing w:after="120"/>
      <w:jc w:val="both"/>
    </w:pPr>
    <w:rPr>
      <w:kern w:val="0"/>
      <w:szCs w:val="22"/>
      <w:lang w:eastAsia="en-US"/>
      <w14:ligatures w14:val="none"/>
    </w:rPr>
  </w:style>
  <w:style w:type="paragraph" w:customStyle="1" w:styleId="FooterLandscape">
    <w:name w:val="FooterLandscape"/>
    <w:basedOn w:val="Normal"/>
    <w:pPr>
      <w:tabs>
        <w:tab w:val="center" w:pos="7285"/>
        <w:tab w:val="center" w:pos="10913"/>
        <w:tab w:val="right" w:pos="15137"/>
      </w:tabs>
      <w:spacing w:before="360"/>
      <w:ind w:left="-567" w:right="-567"/>
    </w:pPr>
    <w:rPr>
      <w:kern w:val="0"/>
      <w:szCs w:val="22"/>
      <w:lang w:eastAsia="en-US"/>
      <w14:ligatures w14:val="none"/>
    </w:rPr>
  </w:style>
  <w:style w:type="character" w:styleId="FootnoteReference">
    <w:name w:val="footnote reference"/>
    <w:basedOn w:val="DefaultParagraphFont"/>
    <w:rPr>
      <w:shd w:val="clear" w:color="auto" w:fill="auto"/>
      <w:vertAlign w:val="superscript"/>
    </w:rPr>
  </w:style>
  <w:style w:type="paragraph" w:customStyle="1" w:styleId="Text2">
    <w:name w:val="Text 2"/>
    <w:basedOn w:val="Normal"/>
    <w:pPr>
      <w:spacing w:before="120" w:after="120"/>
      <w:ind w:left="1417"/>
      <w:jc w:val="both"/>
    </w:pPr>
    <w:rPr>
      <w:kern w:val="0"/>
      <w:lang w:eastAsia="en-US"/>
      <w14:ligatures w14:val="none"/>
    </w:rPr>
  </w:style>
  <w:style w:type="paragraph" w:customStyle="1" w:styleId="Text3">
    <w:name w:val="Text 3"/>
    <w:basedOn w:val="Normal"/>
    <w:pPr>
      <w:spacing w:before="120" w:after="120"/>
      <w:ind w:left="1984"/>
      <w:jc w:val="both"/>
    </w:pPr>
    <w:rPr>
      <w:kern w:val="0"/>
      <w:lang w:eastAsia="en-US"/>
      <w14:ligatures w14:val="none"/>
    </w:rPr>
  </w:style>
  <w:style w:type="paragraph" w:customStyle="1" w:styleId="Text4">
    <w:name w:val="Text 4"/>
    <w:basedOn w:val="Normal"/>
    <w:pPr>
      <w:spacing w:before="120" w:after="120"/>
      <w:ind w:left="2551"/>
      <w:jc w:val="both"/>
    </w:pPr>
    <w:rPr>
      <w:kern w:val="0"/>
      <w:lang w:eastAsia="en-US"/>
      <w14:ligatures w14:val="none"/>
    </w:rPr>
  </w:style>
  <w:style w:type="paragraph" w:customStyle="1" w:styleId="NormalCentered">
    <w:name w:val="Normal Centered"/>
    <w:basedOn w:val="Normal"/>
    <w:pPr>
      <w:spacing w:before="120" w:after="120"/>
      <w:jc w:val="center"/>
    </w:pPr>
    <w:rPr>
      <w:kern w:val="0"/>
      <w:lang w:eastAsia="en-US"/>
      <w14:ligatures w14:val="none"/>
    </w:rPr>
  </w:style>
  <w:style w:type="paragraph" w:customStyle="1" w:styleId="NormalLeft">
    <w:name w:val="Normal Left"/>
    <w:basedOn w:val="Normal"/>
    <w:pPr>
      <w:spacing w:before="120" w:after="120"/>
    </w:pPr>
    <w:rPr>
      <w:kern w:val="0"/>
      <w:lang w:eastAsia="en-US"/>
      <w14:ligatures w14:val="none"/>
    </w:rPr>
  </w:style>
  <w:style w:type="paragraph" w:customStyle="1" w:styleId="NormalRight">
    <w:name w:val="Normal Right"/>
    <w:basedOn w:val="Normal"/>
    <w:pPr>
      <w:spacing w:before="120" w:after="120"/>
      <w:jc w:val="right"/>
    </w:pPr>
    <w:rPr>
      <w:kern w:val="0"/>
      <w:lang w:eastAsia="en-US"/>
      <w14:ligatures w14:val="none"/>
    </w:rPr>
  </w:style>
  <w:style w:type="paragraph" w:customStyle="1" w:styleId="QuotedText">
    <w:name w:val="Quoted Text"/>
    <w:basedOn w:val="Normal"/>
    <w:pPr>
      <w:spacing w:before="120" w:after="120"/>
      <w:ind w:left="1417"/>
      <w:jc w:val="both"/>
    </w:pPr>
    <w:rPr>
      <w:kern w:val="0"/>
      <w:lang w:eastAsia="en-US"/>
      <w14:ligatures w14:val="none"/>
    </w:rPr>
  </w:style>
  <w:style w:type="paragraph" w:customStyle="1" w:styleId="Point0">
    <w:name w:val="Point 0"/>
    <w:basedOn w:val="Normal"/>
    <w:pPr>
      <w:spacing w:before="120" w:after="120"/>
      <w:ind w:left="850" w:hanging="850"/>
      <w:jc w:val="both"/>
    </w:pPr>
    <w:rPr>
      <w:kern w:val="0"/>
      <w:lang w:eastAsia="en-US"/>
      <w14:ligatures w14:val="none"/>
    </w:rPr>
  </w:style>
  <w:style w:type="paragraph" w:customStyle="1" w:styleId="Point1">
    <w:name w:val="Point 1"/>
    <w:basedOn w:val="Normal"/>
    <w:pPr>
      <w:spacing w:before="120" w:after="120"/>
      <w:ind w:left="1417" w:hanging="567"/>
      <w:jc w:val="both"/>
    </w:pPr>
    <w:rPr>
      <w:kern w:val="0"/>
      <w:lang w:eastAsia="en-US"/>
      <w14:ligatures w14:val="none"/>
    </w:rPr>
  </w:style>
  <w:style w:type="paragraph" w:customStyle="1" w:styleId="Point2">
    <w:name w:val="Point 2"/>
    <w:basedOn w:val="Normal"/>
    <w:pPr>
      <w:spacing w:before="120" w:after="120"/>
      <w:ind w:left="1984" w:hanging="567"/>
      <w:jc w:val="both"/>
    </w:pPr>
    <w:rPr>
      <w:kern w:val="0"/>
      <w:lang w:eastAsia="en-US"/>
      <w14:ligatures w14:val="none"/>
    </w:rPr>
  </w:style>
  <w:style w:type="paragraph" w:customStyle="1" w:styleId="Point3">
    <w:name w:val="Point 3"/>
    <w:basedOn w:val="Normal"/>
    <w:pPr>
      <w:spacing w:before="120" w:after="120"/>
      <w:ind w:left="2551" w:hanging="567"/>
      <w:jc w:val="both"/>
    </w:pPr>
    <w:rPr>
      <w:kern w:val="0"/>
      <w:lang w:eastAsia="en-US"/>
      <w14:ligatures w14:val="none"/>
    </w:rPr>
  </w:style>
  <w:style w:type="paragraph" w:customStyle="1" w:styleId="Point4">
    <w:name w:val="Point 4"/>
    <w:basedOn w:val="Normal"/>
    <w:pPr>
      <w:spacing w:before="120" w:after="120"/>
      <w:ind w:left="3118" w:hanging="567"/>
      <w:jc w:val="both"/>
    </w:pPr>
    <w:rPr>
      <w:kern w:val="0"/>
      <w:lang w:eastAsia="en-US"/>
      <w14:ligatures w14:val="none"/>
    </w:rPr>
  </w:style>
  <w:style w:type="paragraph" w:customStyle="1" w:styleId="Tiret0">
    <w:name w:val="Tiret 0"/>
    <w:basedOn w:val="Point0"/>
    <w:pPr>
      <w:numPr>
        <w:numId w:val="4"/>
      </w:numPr>
      <w:tabs>
        <w:tab w:val="clear" w:pos="850"/>
      </w:tabs>
      <w:ind w:left="0" w:firstLine="0"/>
    </w:pPr>
  </w:style>
  <w:style w:type="paragraph" w:customStyle="1" w:styleId="Tiret1">
    <w:name w:val="Tiret 1"/>
    <w:basedOn w:val="Point1"/>
    <w:pPr>
      <w:numPr>
        <w:numId w:val="5"/>
      </w:numPr>
      <w:tabs>
        <w:tab w:val="clear" w:pos="1417"/>
      </w:tabs>
      <w:ind w:left="0" w:firstLine="0"/>
    </w:pPr>
  </w:style>
  <w:style w:type="paragraph" w:customStyle="1" w:styleId="Tiret2">
    <w:name w:val="Tiret 2"/>
    <w:basedOn w:val="Point2"/>
    <w:pPr>
      <w:numPr>
        <w:numId w:val="6"/>
      </w:numPr>
      <w:tabs>
        <w:tab w:val="clear" w:pos="1984"/>
      </w:tabs>
      <w:ind w:left="0" w:firstLine="0"/>
    </w:pPr>
  </w:style>
  <w:style w:type="paragraph" w:customStyle="1" w:styleId="Tiret3">
    <w:name w:val="Tiret 3"/>
    <w:basedOn w:val="Point3"/>
    <w:pPr>
      <w:numPr>
        <w:numId w:val="7"/>
      </w:numPr>
      <w:tabs>
        <w:tab w:val="clear" w:pos="2551"/>
      </w:tabs>
      <w:ind w:left="0" w:firstLine="0"/>
    </w:pPr>
  </w:style>
  <w:style w:type="paragraph" w:customStyle="1" w:styleId="Tiret4">
    <w:name w:val="Tiret 4"/>
    <w:basedOn w:val="Point4"/>
    <w:pPr>
      <w:numPr>
        <w:numId w:val="8"/>
      </w:numPr>
      <w:tabs>
        <w:tab w:val="clear" w:pos="3118"/>
      </w:tabs>
      <w:ind w:left="0" w:firstLine="0"/>
    </w:pPr>
  </w:style>
  <w:style w:type="paragraph" w:customStyle="1" w:styleId="PointDouble0">
    <w:name w:val="PointDouble 0"/>
    <w:basedOn w:val="Normal"/>
    <w:pPr>
      <w:tabs>
        <w:tab w:val="left" w:pos="850"/>
      </w:tabs>
      <w:spacing w:before="120" w:after="120"/>
      <w:ind w:left="1417" w:hanging="1417"/>
      <w:jc w:val="both"/>
    </w:pPr>
    <w:rPr>
      <w:kern w:val="0"/>
      <w:lang w:eastAsia="en-US"/>
      <w14:ligatures w14:val="none"/>
    </w:rPr>
  </w:style>
  <w:style w:type="paragraph" w:customStyle="1" w:styleId="PointDouble1">
    <w:name w:val="PointDouble 1"/>
    <w:basedOn w:val="Normal"/>
    <w:pPr>
      <w:tabs>
        <w:tab w:val="left" w:pos="1417"/>
      </w:tabs>
      <w:spacing w:before="120" w:after="120"/>
      <w:ind w:left="1984" w:hanging="1134"/>
      <w:jc w:val="both"/>
    </w:pPr>
    <w:rPr>
      <w:kern w:val="0"/>
      <w:lang w:eastAsia="en-US"/>
      <w14:ligatures w14:val="none"/>
    </w:rPr>
  </w:style>
  <w:style w:type="paragraph" w:customStyle="1" w:styleId="PointDouble2">
    <w:name w:val="PointDouble 2"/>
    <w:basedOn w:val="Normal"/>
    <w:pPr>
      <w:tabs>
        <w:tab w:val="left" w:pos="1984"/>
      </w:tabs>
      <w:spacing w:before="120" w:after="120"/>
      <w:ind w:left="2551" w:hanging="1134"/>
      <w:jc w:val="both"/>
    </w:pPr>
    <w:rPr>
      <w:kern w:val="0"/>
      <w:lang w:eastAsia="en-US"/>
      <w14:ligatures w14:val="none"/>
    </w:rPr>
  </w:style>
  <w:style w:type="paragraph" w:customStyle="1" w:styleId="PointDouble3">
    <w:name w:val="PointDouble 3"/>
    <w:basedOn w:val="Normal"/>
    <w:pPr>
      <w:tabs>
        <w:tab w:val="left" w:pos="2551"/>
      </w:tabs>
      <w:spacing w:before="120" w:after="120"/>
      <w:ind w:left="3118" w:hanging="1134"/>
      <w:jc w:val="both"/>
    </w:pPr>
    <w:rPr>
      <w:kern w:val="0"/>
      <w:lang w:eastAsia="en-US"/>
      <w14:ligatures w14:val="none"/>
    </w:rPr>
  </w:style>
  <w:style w:type="paragraph" w:customStyle="1" w:styleId="PointDouble4">
    <w:name w:val="PointDouble 4"/>
    <w:basedOn w:val="Normal"/>
    <w:pPr>
      <w:tabs>
        <w:tab w:val="left" w:pos="3118"/>
      </w:tabs>
      <w:spacing w:before="120" w:after="120"/>
      <w:ind w:left="3685" w:hanging="1134"/>
      <w:jc w:val="both"/>
    </w:pPr>
    <w:rPr>
      <w:kern w:val="0"/>
      <w:lang w:eastAsia="en-US"/>
      <w14:ligatures w14:val="none"/>
    </w:rPr>
  </w:style>
  <w:style w:type="paragraph" w:customStyle="1" w:styleId="PointTriple0">
    <w:name w:val="PointTriple 0"/>
    <w:basedOn w:val="Normal"/>
    <w:pPr>
      <w:tabs>
        <w:tab w:val="left" w:pos="850"/>
        <w:tab w:val="left" w:pos="1417"/>
      </w:tabs>
      <w:spacing w:before="120" w:after="120"/>
      <w:ind w:left="1984" w:hanging="1984"/>
      <w:jc w:val="both"/>
    </w:pPr>
    <w:rPr>
      <w:kern w:val="0"/>
      <w:lang w:eastAsia="en-US"/>
      <w14:ligatures w14:val="none"/>
    </w:rPr>
  </w:style>
  <w:style w:type="paragraph" w:customStyle="1" w:styleId="PointTriple1">
    <w:name w:val="PointTriple 1"/>
    <w:basedOn w:val="Normal"/>
    <w:pPr>
      <w:tabs>
        <w:tab w:val="left" w:pos="1417"/>
        <w:tab w:val="left" w:pos="1984"/>
      </w:tabs>
      <w:spacing w:before="120" w:after="120"/>
      <w:ind w:left="2551" w:hanging="1701"/>
      <w:jc w:val="both"/>
    </w:pPr>
    <w:rPr>
      <w:kern w:val="0"/>
      <w:lang w:eastAsia="en-US"/>
      <w14:ligatures w14:val="none"/>
    </w:rPr>
  </w:style>
  <w:style w:type="paragraph" w:customStyle="1" w:styleId="PointTriple2">
    <w:name w:val="PointTriple 2"/>
    <w:basedOn w:val="Normal"/>
    <w:pPr>
      <w:tabs>
        <w:tab w:val="left" w:pos="1984"/>
        <w:tab w:val="left" w:pos="2551"/>
      </w:tabs>
      <w:spacing w:before="120" w:after="120"/>
      <w:ind w:left="3118" w:hanging="1701"/>
      <w:jc w:val="both"/>
    </w:pPr>
    <w:rPr>
      <w:kern w:val="0"/>
      <w:lang w:eastAsia="en-US"/>
      <w14:ligatures w14:val="none"/>
    </w:rPr>
  </w:style>
  <w:style w:type="paragraph" w:customStyle="1" w:styleId="PointTriple3">
    <w:name w:val="PointTriple 3"/>
    <w:basedOn w:val="Normal"/>
    <w:pPr>
      <w:tabs>
        <w:tab w:val="left" w:pos="2551"/>
        <w:tab w:val="left" w:pos="3118"/>
      </w:tabs>
      <w:spacing w:before="120" w:after="120"/>
      <w:ind w:left="3685" w:hanging="1701"/>
      <w:jc w:val="both"/>
    </w:pPr>
    <w:rPr>
      <w:kern w:val="0"/>
      <w:lang w:eastAsia="en-US"/>
      <w14:ligatures w14:val="none"/>
    </w:rPr>
  </w:style>
  <w:style w:type="paragraph" w:customStyle="1" w:styleId="PointTriple4">
    <w:name w:val="PointTriple 4"/>
    <w:basedOn w:val="Normal"/>
    <w:pPr>
      <w:tabs>
        <w:tab w:val="left" w:pos="3118"/>
        <w:tab w:val="left" w:pos="3685"/>
      </w:tabs>
      <w:spacing w:before="120" w:after="120"/>
      <w:ind w:left="4252" w:hanging="1701"/>
      <w:jc w:val="both"/>
    </w:pPr>
    <w:rPr>
      <w:kern w:val="0"/>
      <w:lang w:eastAsia="en-US"/>
      <w14:ligatures w14:val="none"/>
    </w:rPr>
  </w:style>
  <w:style w:type="paragraph" w:customStyle="1" w:styleId="NumPar1">
    <w:name w:val="NumPar 1"/>
    <w:basedOn w:val="Normal"/>
    <w:next w:val="Text1"/>
    <w:pPr>
      <w:numPr>
        <w:numId w:val="9"/>
      </w:numPr>
      <w:tabs>
        <w:tab w:val="clear" w:pos="850"/>
      </w:tabs>
      <w:spacing w:before="120" w:after="120"/>
      <w:ind w:left="0" w:firstLine="0"/>
      <w:jc w:val="both"/>
    </w:pPr>
    <w:rPr>
      <w:kern w:val="0"/>
      <w:lang w:eastAsia="en-US"/>
      <w14:ligatures w14:val="none"/>
    </w:rPr>
  </w:style>
  <w:style w:type="paragraph" w:customStyle="1" w:styleId="NumPar2">
    <w:name w:val="NumPar 2"/>
    <w:basedOn w:val="Normal"/>
    <w:next w:val="Text1"/>
    <w:pPr>
      <w:numPr>
        <w:ilvl w:val="1"/>
        <w:numId w:val="9"/>
      </w:numPr>
      <w:tabs>
        <w:tab w:val="clear" w:pos="850"/>
      </w:tabs>
      <w:spacing w:before="120" w:after="120"/>
      <w:ind w:left="0" w:firstLine="0"/>
      <w:jc w:val="both"/>
    </w:pPr>
    <w:rPr>
      <w:kern w:val="0"/>
      <w:lang w:eastAsia="en-US"/>
      <w14:ligatures w14:val="none"/>
    </w:rPr>
  </w:style>
  <w:style w:type="paragraph" w:customStyle="1" w:styleId="NumPar3">
    <w:name w:val="NumPar 3"/>
    <w:basedOn w:val="Normal"/>
    <w:next w:val="Text1"/>
    <w:pPr>
      <w:numPr>
        <w:ilvl w:val="2"/>
        <w:numId w:val="9"/>
      </w:numPr>
      <w:tabs>
        <w:tab w:val="clear" w:pos="850"/>
      </w:tabs>
      <w:spacing w:before="120" w:after="120"/>
      <w:ind w:left="0" w:firstLine="0"/>
      <w:jc w:val="both"/>
    </w:pPr>
    <w:rPr>
      <w:kern w:val="0"/>
      <w:lang w:eastAsia="en-US"/>
      <w14:ligatures w14:val="none"/>
    </w:rPr>
  </w:style>
  <w:style w:type="paragraph" w:customStyle="1" w:styleId="NumPar4">
    <w:name w:val="NumPar 4"/>
    <w:basedOn w:val="Normal"/>
    <w:next w:val="Text1"/>
    <w:pPr>
      <w:numPr>
        <w:ilvl w:val="3"/>
        <w:numId w:val="9"/>
      </w:numPr>
      <w:tabs>
        <w:tab w:val="clear" w:pos="850"/>
      </w:tabs>
      <w:spacing w:before="120" w:after="120"/>
      <w:ind w:left="0" w:firstLine="0"/>
      <w:jc w:val="both"/>
    </w:pPr>
    <w:rPr>
      <w:kern w:val="0"/>
      <w:lang w:eastAsia="en-US"/>
      <w14:ligatures w14:val="none"/>
    </w:rPr>
  </w:style>
  <w:style w:type="paragraph" w:customStyle="1" w:styleId="ManualNumPar1">
    <w:name w:val="Manual NumPar 1"/>
    <w:basedOn w:val="Normal"/>
    <w:next w:val="Text1"/>
    <w:pPr>
      <w:spacing w:before="120" w:after="120"/>
      <w:ind w:left="850" w:hanging="850"/>
      <w:jc w:val="both"/>
    </w:pPr>
    <w:rPr>
      <w:kern w:val="0"/>
      <w:lang w:eastAsia="en-US"/>
      <w14:ligatures w14:val="none"/>
    </w:rPr>
  </w:style>
  <w:style w:type="paragraph" w:customStyle="1" w:styleId="ManualNumPar2">
    <w:name w:val="Manual NumPar 2"/>
    <w:basedOn w:val="Normal"/>
    <w:next w:val="Text1"/>
    <w:pPr>
      <w:spacing w:before="120" w:after="120"/>
      <w:ind w:left="850" w:hanging="850"/>
      <w:jc w:val="both"/>
    </w:pPr>
    <w:rPr>
      <w:kern w:val="0"/>
      <w:lang w:eastAsia="en-US"/>
      <w14:ligatures w14:val="none"/>
    </w:rPr>
  </w:style>
  <w:style w:type="paragraph" w:customStyle="1" w:styleId="ManualNumPar3">
    <w:name w:val="Manual NumPar 3"/>
    <w:basedOn w:val="Normal"/>
    <w:next w:val="Text1"/>
    <w:pPr>
      <w:spacing w:before="120" w:after="120"/>
      <w:ind w:left="850" w:hanging="850"/>
      <w:jc w:val="both"/>
    </w:pPr>
    <w:rPr>
      <w:kern w:val="0"/>
      <w:lang w:eastAsia="en-US"/>
      <w14:ligatures w14:val="none"/>
    </w:rPr>
  </w:style>
  <w:style w:type="paragraph" w:customStyle="1" w:styleId="ManualNumPar4">
    <w:name w:val="Manual NumPar 4"/>
    <w:basedOn w:val="Normal"/>
    <w:next w:val="Text1"/>
    <w:pPr>
      <w:spacing w:before="120" w:after="120"/>
      <w:ind w:left="850" w:hanging="850"/>
      <w:jc w:val="both"/>
    </w:pPr>
    <w:rPr>
      <w:kern w:val="0"/>
      <w:lang w:eastAsia="en-US"/>
      <w14:ligatures w14:val="none"/>
    </w:rPr>
  </w:style>
  <w:style w:type="paragraph" w:customStyle="1" w:styleId="QuotedNumPar">
    <w:name w:val="Quoted NumPar"/>
    <w:basedOn w:val="Normal"/>
    <w:pPr>
      <w:spacing w:before="120" w:after="120"/>
      <w:ind w:left="1417" w:hanging="567"/>
      <w:jc w:val="both"/>
    </w:pPr>
    <w:rPr>
      <w:kern w:val="0"/>
      <w:lang w:eastAsia="en-US"/>
      <w14:ligatures w14:val="none"/>
    </w:rPr>
  </w:style>
  <w:style w:type="paragraph" w:customStyle="1" w:styleId="ManualHeading1">
    <w:name w:val="Manual Heading 1"/>
    <w:basedOn w:val="Normal"/>
    <w:next w:val="Text1"/>
    <w:pPr>
      <w:keepNext/>
      <w:tabs>
        <w:tab w:val="left" w:pos="850"/>
      </w:tabs>
      <w:spacing w:before="360" w:after="120"/>
      <w:ind w:left="850" w:hanging="850"/>
      <w:jc w:val="both"/>
      <w:outlineLvl w:val="0"/>
    </w:pPr>
    <w:rPr>
      <w:b/>
      <w:smallCaps/>
      <w:kern w:val="0"/>
      <w:lang w:eastAsia="en-US"/>
      <w14:ligatures w14:val="none"/>
    </w:rPr>
  </w:style>
  <w:style w:type="paragraph" w:customStyle="1" w:styleId="ManualHeading2">
    <w:name w:val="Manual Heading 2"/>
    <w:basedOn w:val="Normal"/>
    <w:next w:val="Text1"/>
    <w:pPr>
      <w:keepNext/>
      <w:tabs>
        <w:tab w:val="left" w:pos="850"/>
      </w:tabs>
      <w:spacing w:before="120" w:after="120"/>
      <w:ind w:left="850" w:hanging="850"/>
      <w:jc w:val="both"/>
      <w:outlineLvl w:val="1"/>
    </w:pPr>
    <w:rPr>
      <w:b/>
      <w:kern w:val="0"/>
      <w:lang w:eastAsia="en-US"/>
      <w14:ligatures w14:val="none"/>
    </w:rPr>
  </w:style>
  <w:style w:type="paragraph" w:customStyle="1" w:styleId="ManualHeading3">
    <w:name w:val="Manual Heading 3"/>
    <w:basedOn w:val="Normal"/>
    <w:next w:val="Text1"/>
    <w:pPr>
      <w:keepNext/>
      <w:tabs>
        <w:tab w:val="left" w:pos="850"/>
      </w:tabs>
      <w:spacing w:before="120" w:after="120"/>
      <w:ind w:left="850" w:hanging="850"/>
      <w:jc w:val="both"/>
      <w:outlineLvl w:val="2"/>
    </w:pPr>
    <w:rPr>
      <w:i/>
      <w:kern w:val="0"/>
      <w:lang w:eastAsia="en-US"/>
      <w14:ligatures w14:val="none"/>
    </w:rPr>
  </w:style>
  <w:style w:type="paragraph" w:customStyle="1" w:styleId="ManualHeading4">
    <w:name w:val="Manual Heading 4"/>
    <w:basedOn w:val="Normal"/>
    <w:next w:val="Text1"/>
    <w:pPr>
      <w:keepNext/>
      <w:tabs>
        <w:tab w:val="left" w:pos="850"/>
      </w:tabs>
      <w:spacing w:before="120" w:after="120"/>
      <w:ind w:left="850" w:hanging="850"/>
      <w:jc w:val="both"/>
      <w:outlineLvl w:val="3"/>
    </w:pPr>
    <w:rPr>
      <w:kern w:val="0"/>
      <w:lang w:eastAsia="en-US"/>
      <w14:ligatures w14:val="none"/>
    </w:rPr>
  </w:style>
  <w:style w:type="paragraph" w:customStyle="1" w:styleId="ChapterTitle">
    <w:name w:val="ChapterTitle"/>
    <w:basedOn w:val="Normal"/>
    <w:next w:val="Normal"/>
    <w:pPr>
      <w:keepNext/>
      <w:spacing w:before="120" w:after="360"/>
      <w:jc w:val="center"/>
    </w:pPr>
    <w:rPr>
      <w:b/>
      <w:kern w:val="0"/>
      <w:sz w:val="32"/>
      <w:lang w:eastAsia="en-US"/>
      <w14:ligatures w14:val="none"/>
    </w:rPr>
  </w:style>
  <w:style w:type="paragraph" w:customStyle="1" w:styleId="PartTitle">
    <w:name w:val="PartTitle"/>
    <w:basedOn w:val="Normal"/>
    <w:next w:val="ChapterTitle"/>
    <w:pPr>
      <w:keepNext/>
      <w:pageBreakBefore/>
      <w:spacing w:before="120" w:after="360"/>
      <w:jc w:val="center"/>
    </w:pPr>
    <w:rPr>
      <w:b/>
      <w:kern w:val="0"/>
      <w:sz w:val="36"/>
      <w:lang w:eastAsia="en-US"/>
      <w14:ligatures w14:val="none"/>
    </w:rPr>
  </w:style>
  <w:style w:type="paragraph" w:customStyle="1" w:styleId="SectionTitle">
    <w:name w:val="SectionTitle"/>
    <w:basedOn w:val="Normal"/>
    <w:next w:val="Heading1"/>
    <w:pPr>
      <w:keepNext/>
      <w:spacing w:before="120" w:after="360"/>
      <w:jc w:val="center"/>
    </w:pPr>
    <w:rPr>
      <w:b/>
      <w:smallCaps/>
      <w:kern w:val="0"/>
      <w:sz w:val="28"/>
      <w:lang w:eastAsia="en-US"/>
      <w14:ligatures w14:val="none"/>
    </w:rPr>
  </w:style>
  <w:style w:type="paragraph" w:customStyle="1" w:styleId="TableTitle">
    <w:name w:val="Table Title"/>
    <w:basedOn w:val="Normal"/>
    <w:next w:val="Normal"/>
    <w:pPr>
      <w:spacing w:before="120" w:after="120"/>
      <w:jc w:val="center"/>
    </w:pPr>
    <w:rPr>
      <w:b/>
      <w:kern w:val="0"/>
      <w:lang w:eastAsia="en-US"/>
      <w14:ligatures w14:val="none"/>
    </w:rPr>
  </w:style>
  <w:style w:type="character" w:customStyle="1" w:styleId="Marker1">
    <w:name w:val="Marker1"/>
    <w:rPr>
      <w:color w:val="008000"/>
      <w:shd w:val="clear" w:color="auto" w:fill="auto"/>
    </w:rPr>
  </w:style>
  <w:style w:type="character" w:customStyle="1" w:styleId="Marker2">
    <w:name w:val="Marker2"/>
    <w:rPr>
      <w:color w:val="FF0000"/>
      <w:shd w:val="clear" w:color="auto" w:fill="auto"/>
    </w:rPr>
  </w:style>
  <w:style w:type="paragraph" w:styleId="TOCHeading">
    <w:name w:val="TOC Heading"/>
    <w:basedOn w:val="Heading1"/>
    <w:next w:val="Normal"/>
    <w:uiPriority w:val="39"/>
    <w:unhideWhenUsed/>
    <w:qFormat/>
    <w:pPr>
      <w:spacing w:before="400" w:after="40"/>
      <w:outlineLvl w:val="9"/>
    </w:pPr>
    <w:rPr>
      <w:color w:val="244061" w:themeColor="accent1" w:themeShade="80"/>
      <w:kern w:val="0"/>
      <w:sz w:val="36"/>
      <w:szCs w:val="36"/>
      <w:lang w:eastAsia="en-US"/>
      <w14:ligatures w14:val="none"/>
    </w:rPr>
  </w:style>
  <w:style w:type="paragraph" w:customStyle="1" w:styleId="Point0number">
    <w:name w:val="Point 0 (number)"/>
    <w:basedOn w:val="Normal"/>
    <w:pPr>
      <w:numPr>
        <w:numId w:val="10"/>
      </w:numPr>
      <w:tabs>
        <w:tab w:val="clear" w:pos="850"/>
      </w:tabs>
      <w:spacing w:before="120" w:after="120"/>
      <w:ind w:left="0" w:firstLine="0"/>
      <w:jc w:val="both"/>
    </w:pPr>
    <w:rPr>
      <w:kern w:val="0"/>
      <w:lang w:eastAsia="en-US"/>
      <w14:ligatures w14:val="none"/>
    </w:rPr>
  </w:style>
  <w:style w:type="paragraph" w:customStyle="1" w:styleId="Point1number">
    <w:name w:val="Point 1 (number)"/>
    <w:basedOn w:val="Normal"/>
    <w:pPr>
      <w:numPr>
        <w:ilvl w:val="2"/>
        <w:numId w:val="10"/>
      </w:numPr>
      <w:tabs>
        <w:tab w:val="clear" w:pos="1417"/>
      </w:tabs>
      <w:spacing w:before="120" w:after="120"/>
      <w:ind w:left="0" w:firstLine="0"/>
      <w:jc w:val="both"/>
    </w:pPr>
    <w:rPr>
      <w:kern w:val="0"/>
      <w:lang w:eastAsia="en-US"/>
      <w14:ligatures w14:val="none"/>
    </w:rPr>
  </w:style>
  <w:style w:type="paragraph" w:customStyle="1" w:styleId="Point2number">
    <w:name w:val="Point 2 (number)"/>
    <w:basedOn w:val="Normal"/>
    <w:pPr>
      <w:numPr>
        <w:ilvl w:val="4"/>
        <w:numId w:val="10"/>
      </w:numPr>
      <w:tabs>
        <w:tab w:val="clear" w:pos="1984"/>
      </w:tabs>
      <w:spacing w:before="120" w:after="120"/>
      <w:ind w:left="0" w:firstLine="0"/>
      <w:jc w:val="both"/>
    </w:pPr>
    <w:rPr>
      <w:kern w:val="0"/>
      <w:lang w:eastAsia="en-US"/>
      <w14:ligatures w14:val="none"/>
    </w:rPr>
  </w:style>
  <w:style w:type="paragraph" w:customStyle="1" w:styleId="Point3number">
    <w:name w:val="Point 3 (number)"/>
    <w:basedOn w:val="Normal"/>
    <w:pPr>
      <w:numPr>
        <w:ilvl w:val="6"/>
        <w:numId w:val="10"/>
      </w:numPr>
      <w:tabs>
        <w:tab w:val="clear" w:pos="2551"/>
      </w:tabs>
      <w:spacing w:before="120" w:after="120"/>
      <w:ind w:left="0" w:firstLine="0"/>
      <w:jc w:val="both"/>
    </w:pPr>
    <w:rPr>
      <w:kern w:val="0"/>
      <w:lang w:eastAsia="en-US"/>
      <w14:ligatures w14:val="none"/>
    </w:rPr>
  </w:style>
  <w:style w:type="paragraph" w:customStyle="1" w:styleId="Point0letter">
    <w:name w:val="Point 0 (letter)"/>
    <w:basedOn w:val="Normal"/>
    <w:pPr>
      <w:numPr>
        <w:ilvl w:val="1"/>
        <w:numId w:val="10"/>
      </w:numPr>
      <w:tabs>
        <w:tab w:val="clear" w:pos="850"/>
      </w:tabs>
      <w:spacing w:before="120" w:after="120"/>
      <w:ind w:left="0" w:firstLine="0"/>
      <w:jc w:val="both"/>
    </w:pPr>
    <w:rPr>
      <w:kern w:val="0"/>
      <w:lang w:eastAsia="en-US"/>
      <w14:ligatures w14:val="none"/>
    </w:rPr>
  </w:style>
  <w:style w:type="paragraph" w:customStyle="1" w:styleId="Point1letter">
    <w:name w:val="Point 1 (letter)"/>
    <w:basedOn w:val="Normal"/>
    <w:pPr>
      <w:numPr>
        <w:ilvl w:val="3"/>
        <w:numId w:val="10"/>
      </w:numPr>
      <w:tabs>
        <w:tab w:val="clear" w:pos="1417"/>
      </w:tabs>
      <w:spacing w:before="120" w:after="120"/>
      <w:ind w:left="0" w:firstLine="0"/>
      <w:jc w:val="both"/>
    </w:pPr>
    <w:rPr>
      <w:kern w:val="0"/>
      <w:lang w:eastAsia="en-US"/>
      <w14:ligatures w14:val="none"/>
    </w:rPr>
  </w:style>
  <w:style w:type="paragraph" w:customStyle="1" w:styleId="Point2letter">
    <w:name w:val="Point 2 (letter)"/>
    <w:basedOn w:val="Normal"/>
    <w:pPr>
      <w:numPr>
        <w:ilvl w:val="5"/>
        <w:numId w:val="10"/>
      </w:numPr>
      <w:tabs>
        <w:tab w:val="clear" w:pos="1984"/>
      </w:tabs>
      <w:spacing w:before="120" w:after="120"/>
      <w:ind w:left="0" w:firstLine="0"/>
      <w:jc w:val="both"/>
    </w:pPr>
    <w:rPr>
      <w:kern w:val="0"/>
      <w:lang w:eastAsia="en-US"/>
      <w14:ligatures w14:val="none"/>
    </w:rPr>
  </w:style>
  <w:style w:type="paragraph" w:customStyle="1" w:styleId="Point3letter">
    <w:name w:val="Point 3 (letter)"/>
    <w:basedOn w:val="Normal"/>
    <w:pPr>
      <w:numPr>
        <w:ilvl w:val="7"/>
        <w:numId w:val="10"/>
      </w:numPr>
      <w:tabs>
        <w:tab w:val="clear" w:pos="2551"/>
      </w:tabs>
      <w:spacing w:before="120" w:after="120"/>
      <w:ind w:left="0" w:firstLine="0"/>
      <w:jc w:val="both"/>
    </w:pPr>
    <w:rPr>
      <w:kern w:val="0"/>
      <w:lang w:eastAsia="en-US"/>
      <w14:ligatures w14:val="none"/>
    </w:rPr>
  </w:style>
  <w:style w:type="paragraph" w:customStyle="1" w:styleId="Point4letter">
    <w:name w:val="Point 4 (letter)"/>
    <w:basedOn w:val="Normal"/>
    <w:pPr>
      <w:numPr>
        <w:ilvl w:val="8"/>
        <w:numId w:val="10"/>
      </w:numPr>
      <w:tabs>
        <w:tab w:val="clear" w:pos="3118"/>
      </w:tabs>
      <w:spacing w:before="120" w:after="120"/>
      <w:ind w:left="0" w:firstLine="0"/>
      <w:jc w:val="both"/>
    </w:pPr>
    <w:rPr>
      <w:kern w:val="0"/>
      <w:lang w:eastAsia="en-US"/>
      <w14:ligatures w14:val="none"/>
    </w:rPr>
  </w:style>
  <w:style w:type="paragraph" w:customStyle="1" w:styleId="Bullet0">
    <w:name w:val="Bullet 0"/>
    <w:basedOn w:val="Normal"/>
    <w:pPr>
      <w:numPr>
        <w:numId w:val="11"/>
      </w:numPr>
      <w:tabs>
        <w:tab w:val="clear" w:pos="850"/>
      </w:tabs>
      <w:spacing w:before="120" w:after="120"/>
      <w:ind w:left="0" w:firstLine="0"/>
      <w:jc w:val="both"/>
    </w:pPr>
    <w:rPr>
      <w:kern w:val="0"/>
      <w:lang w:eastAsia="en-US"/>
      <w14:ligatures w14:val="none"/>
    </w:rPr>
  </w:style>
  <w:style w:type="paragraph" w:customStyle="1" w:styleId="Bullet1">
    <w:name w:val="Bullet 1"/>
    <w:basedOn w:val="Normal"/>
    <w:pPr>
      <w:numPr>
        <w:numId w:val="12"/>
      </w:numPr>
      <w:tabs>
        <w:tab w:val="clear" w:pos="1417"/>
      </w:tabs>
      <w:spacing w:before="120" w:after="120"/>
      <w:ind w:left="0" w:firstLine="0"/>
      <w:jc w:val="both"/>
    </w:pPr>
    <w:rPr>
      <w:kern w:val="0"/>
      <w:lang w:eastAsia="en-US"/>
      <w14:ligatures w14:val="none"/>
    </w:rPr>
  </w:style>
  <w:style w:type="paragraph" w:customStyle="1" w:styleId="Bullet2">
    <w:name w:val="Bullet 2"/>
    <w:basedOn w:val="Normal"/>
    <w:pPr>
      <w:numPr>
        <w:numId w:val="13"/>
      </w:numPr>
      <w:tabs>
        <w:tab w:val="clear" w:pos="1984"/>
      </w:tabs>
      <w:spacing w:before="120" w:after="120"/>
      <w:ind w:left="0" w:firstLine="0"/>
      <w:jc w:val="both"/>
    </w:pPr>
    <w:rPr>
      <w:kern w:val="0"/>
      <w:lang w:eastAsia="en-US"/>
      <w14:ligatures w14:val="none"/>
    </w:rPr>
  </w:style>
  <w:style w:type="paragraph" w:customStyle="1" w:styleId="Bullet3">
    <w:name w:val="Bullet 3"/>
    <w:basedOn w:val="Normal"/>
    <w:pPr>
      <w:numPr>
        <w:numId w:val="14"/>
      </w:numPr>
      <w:tabs>
        <w:tab w:val="clear" w:pos="2551"/>
      </w:tabs>
      <w:spacing w:before="120" w:after="120"/>
      <w:ind w:left="0" w:firstLine="0"/>
      <w:jc w:val="both"/>
    </w:pPr>
    <w:rPr>
      <w:kern w:val="0"/>
      <w:lang w:eastAsia="en-US"/>
      <w14:ligatures w14:val="none"/>
    </w:rPr>
  </w:style>
  <w:style w:type="paragraph" w:customStyle="1" w:styleId="Bullet4">
    <w:name w:val="Bullet 4"/>
    <w:basedOn w:val="Normal"/>
    <w:pPr>
      <w:numPr>
        <w:numId w:val="15"/>
      </w:numPr>
      <w:tabs>
        <w:tab w:val="clear" w:pos="3118"/>
      </w:tabs>
      <w:spacing w:before="120" w:after="120"/>
      <w:ind w:left="0" w:firstLine="0"/>
      <w:jc w:val="both"/>
    </w:pPr>
    <w:rPr>
      <w:kern w:val="0"/>
      <w:lang w:eastAsia="en-US"/>
      <w14:ligatures w14:val="none"/>
    </w:rPr>
  </w:style>
  <w:style w:type="paragraph" w:customStyle="1" w:styleId="Annexetitreexpos">
    <w:name w:val="Annexe titre (exposé)"/>
    <w:basedOn w:val="Normal"/>
    <w:next w:val="Normal"/>
    <w:pPr>
      <w:spacing w:before="120" w:after="120"/>
      <w:jc w:val="center"/>
    </w:pPr>
    <w:rPr>
      <w:b/>
      <w:kern w:val="0"/>
      <w:u w:val="single"/>
      <w:lang w:eastAsia="en-US"/>
      <w14:ligatures w14:val="none"/>
    </w:rPr>
  </w:style>
  <w:style w:type="paragraph" w:customStyle="1" w:styleId="Annexetitrefichefinancire">
    <w:name w:val="Annexe titre (fiche financière)"/>
    <w:basedOn w:val="Normal"/>
    <w:next w:val="Normal"/>
    <w:pPr>
      <w:spacing w:before="120" w:after="120"/>
      <w:jc w:val="center"/>
    </w:pPr>
    <w:rPr>
      <w:b/>
      <w:kern w:val="0"/>
      <w:u w:val="single"/>
      <w:lang w:eastAsia="en-US"/>
      <w14:ligatures w14:val="none"/>
    </w:rPr>
  </w:style>
  <w:style w:type="paragraph" w:customStyle="1" w:styleId="Applicationdirecte">
    <w:name w:val="Application directe"/>
    <w:basedOn w:val="Normal"/>
    <w:next w:val="Fait"/>
    <w:pPr>
      <w:spacing w:before="480" w:after="120"/>
      <w:jc w:val="both"/>
    </w:pPr>
    <w:rPr>
      <w:kern w:val="0"/>
      <w:lang w:eastAsia="en-US"/>
      <w14:ligatures w14:val="none"/>
    </w:rPr>
  </w:style>
  <w:style w:type="paragraph" w:customStyle="1" w:styleId="Avertissementtitre">
    <w:name w:val="Avertissement titre"/>
    <w:basedOn w:val="Normal"/>
    <w:next w:val="Normal"/>
    <w:pPr>
      <w:keepNext/>
      <w:spacing w:before="480" w:after="120"/>
      <w:jc w:val="both"/>
    </w:pPr>
    <w:rPr>
      <w:kern w:val="0"/>
      <w:u w:val="single"/>
      <w:lang w:eastAsia="en-US"/>
      <w14:ligatures w14:val="none"/>
    </w:rPr>
  </w:style>
  <w:style w:type="paragraph" w:customStyle="1" w:styleId="Confidence">
    <w:name w:val="Confidence"/>
    <w:basedOn w:val="Normal"/>
    <w:next w:val="Normal"/>
    <w:pPr>
      <w:spacing w:before="360" w:after="120"/>
      <w:jc w:val="center"/>
    </w:pPr>
    <w:rPr>
      <w:kern w:val="0"/>
      <w:lang w:eastAsia="en-US"/>
      <w14:ligatures w14:val="none"/>
    </w:rPr>
  </w:style>
  <w:style w:type="paragraph" w:customStyle="1" w:styleId="Confidentialit">
    <w:name w:val="Confidentialité"/>
    <w:basedOn w:val="Normal"/>
    <w:next w:val="TypedudocumentPagedecouverture"/>
    <w:pPr>
      <w:spacing w:before="240" w:after="240"/>
      <w:ind w:left="5103"/>
      <w:jc w:val="both"/>
    </w:pPr>
    <w:rPr>
      <w:i/>
      <w:kern w:val="0"/>
      <w:sz w:val="32"/>
      <w:lang w:eastAsia="en-US"/>
      <w14:ligatures w14:val="none"/>
    </w:rPr>
  </w:style>
  <w:style w:type="paragraph" w:customStyle="1" w:styleId="Considrant">
    <w:name w:val="Considérant"/>
    <w:basedOn w:val="Normal"/>
    <w:pPr>
      <w:numPr>
        <w:numId w:val="16"/>
      </w:numPr>
      <w:tabs>
        <w:tab w:val="clear" w:pos="709"/>
      </w:tabs>
      <w:spacing w:before="120" w:after="120"/>
      <w:ind w:left="0" w:firstLine="0"/>
      <w:jc w:val="both"/>
    </w:pPr>
    <w:rPr>
      <w:kern w:val="0"/>
      <w:lang w:eastAsia="en-US"/>
      <w14:ligatures w14:val="none"/>
    </w:rPr>
  </w:style>
  <w:style w:type="paragraph" w:customStyle="1" w:styleId="Corrigendum">
    <w:name w:val="Corrigendum"/>
    <w:basedOn w:val="Normal"/>
    <w:next w:val="Normal"/>
    <w:pPr>
      <w:spacing w:after="240"/>
    </w:pPr>
    <w:rPr>
      <w:kern w:val="0"/>
      <w:lang w:eastAsia="en-US"/>
      <w14:ligatures w14:val="none"/>
    </w:rPr>
  </w:style>
  <w:style w:type="paragraph" w:customStyle="1" w:styleId="Datedadoption">
    <w:name w:val="Date d'adoption"/>
    <w:basedOn w:val="Normal"/>
    <w:next w:val="Titreobjet"/>
    <w:pPr>
      <w:spacing w:before="360"/>
      <w:jc w:val="center"/>
    </w:pPr>
    <w:rPr>
      <w:b/>
      <w:kern w:val="0"/>
      <w:lang w:eastAsia="en-US"/>
      <w14:ligatures w14:val="none"/>
    </w:rPr>
  </w:style>
  <w:style w:type="paragraph" w:customStyle="1" w:styleId="Emission">
    <w:name w:val="Emission"/>
    <w:basedOn w:val="Normal"/>
    <w:next w:val="Rfrenceinstitutionnelle"/>
    <w:pPr>
      <w:ind w:left="5103"/>
    </w:pPr>
    <w:rPr>
      <w:kern w:val="0"/>
      <w:lang w:eastAsia="en-US"/>
      <w14:ligatures w14:val="none"/>
    </w:rPr>
  </w:style>
  <w:style w:type="paragraph" w:customStyle="1" w:styleId="Exposdesmotifstitre">
    <w:name w:val="Exposé des motifs titre"/>
    <w:basedOn w:val="Normal"/>
    <w:next w:val="Normal"/>
    <w:pPr>
      <w:spacing w:before="120" w:after="120"/>
      <w:jc w:val="center"/>
    </w:pPr>
    <w:rPr>
      <w:b/>
      <w:kern w:val="0"/>
      <w:u w:val="single"/>
      <w:lang w:eastAsia="en-US"/>
      <w14:ligatures w14:val="none"/>
    </w:rPr>
  </w:style>
  <w:style w:type="paragraph" w:customStyle="1" w:styleId="Fait">
    <w:name w:val="Fait à"/>
    <w:basedOn w:val="Normal"/>
    <w:next w:val="Institutionquisigne"/>
    <w:pPr>
      <w:keepNext/>
      <w:spacing w:before="120"/>
      <w:jc w:val="both"/>
    </w:pPr>
    <w:rPr>
      <w:kern w:val="0"/>
      <w:lang w:eastAsia="en-US"/>
      <w14:ligatures w14:val="none"/>
    </w:rPr>
  </w:style>
  <w:style w:type="paragraph" w:customStyle="1" w:styleId="Formuledadoption">
    <w:name w:val="Formule d'adoption"/>
    <w:basedOn w:val="Normal"/>
    <w:next w:val="Titrearticle"/>
    <w:pPr>
      <w:keepNext/>
      <w:spacing w:before="120" w:after="120"/>
      <w:jc w:val="both"/>
    </w:pPr>
    <w:rPr>
      <w:kern w:val="0"/>
      <w:lang w:eastAsia="en-US"/>
      <w14:ligatures w14:val="none"/>
    </w:rPr>
  </w:style>
  <w:style w:type="paragraph" w:customStyle="1" w:styleId="Institutionquiagit">
    <w:name w:val="Institution qui agit"/>
    <w:basedOn w:val="Normal"/>
    <w:next w:val="Normal"/>
    <w:pPr>
      <w:keepNext/>
      <w:spacing w:before="600" w:after="120"/>
      <w:jc w:val="both"/>
    </w:pPr>
    <w:rPr>
      <w:kern w:val="0"/>
      <w:lang w:eastAsia="en-US"/>
      <w14:ligatures w14:val="none"/>
    </w:rPr>
  </w:style>
  <w:style w:type="paragraph" w:customStyle="1" w:styleId="Institutionquisigne">
    <w:name w:val="Institution qui signe"/>
    <w:basedOn w:val="Normal"/>
    <w:next w:val="Personnequisigne"/>
    <w:pPr>
      <w:keepNext/>
      <w:tabs>
        <w:tab w:val="left" w:pos="4252"/>
      </w:tabs>
      <w:spacing w:before="720"/>
      <w:jc w:val="both"/>
    </w:pPr>
    <w:rPr>
      <w:i/>
      <w:kern w:val="0"/>
      <w:lang w:eastAsia="en-US"/>
      <w14:ligatures w14:val="none"/>
    </w:rPr>
  </w:style>
  <w:style w:type="paragraph" w:customStyle="1" w:styleId="Langue">
    <w:name w:val="Langue"/>
    <w:basedOn w:val="Normal"/>
    <w:next w:val="Rfrenceinterne"/>
    <w:pPr>
      <w:framePr w:wrap="around" w:vAnchor="page" w:hAnchor="text" w:xAlign="center" w:y="14741"/>
      <w:spacing w:after="600"/>
      <w:jc w:val="center"/>
    </w:pPr>
    <w:rPr>
      <w:b/>
      <w:caps/>
      <w:kern w:val="0"/>
      <w:lang w:eastAsia="en-US"/>
      <w14:ligatures w14:val="none"/>
    </w:rPr>
  </w:style>
  <w:style w:type="paragraph" w:customStyle="1" w:styleId="ManualConsidrant">
    <w:name w:val="Manual Considérant"/>
    <w:basedOn w:val="Normal"/>
    <w:pPr>
      <w:spacing w:before="120" w:after="120"/>
      <w:ind w:left="709" w:hanging="709"/>
      <w:jc w:val="both"/>
    </w:pPr>
    <w:rPr>
      <w:kern w:val="0"/>
      <w:lang w:eastAsia="en-US"/>
      <w14:ligatures w14:val="none"/>
    </w:rPr>
  </w:style>
  <w:style w:type="paragraph" w:customStyle="1" w:styleId="Nomdelinstitution">
    <w:name w:val="Nom de l'institution"/>
    <w:basedOn w:val="Normal"/>
    <w:next w:val="Emission"/>
    <w:rPr>
      <w:rFonts w:ascii="Arial" w:hAnsi="Arial" w:cs="Arial"/>
      <w:kern w:val="0"/>
      <w:lang w:eastAsia="en-US"/>
      <w14:ligatures w14:val="none"/>
    </w:rPr>
  </w:style>
  <w:style w:type="paragraph" w:customStyle="1" w:styleId="Personnequisigne">
    <w:name w:val="Personne qui signe"/>
    <w:basedOn w:val="Normal"/>
    <w:next w:val="Institutionquisigne"/>
    <w:pPr>
      <w:tabs>
        <w:tab w:val="left" w:pos="4252"/>
      </w:tabs>
    </w:pPr>
    <w:rPr>
      <w:i/>
      <w:kern w:val="0"/>
      <w:lang w:eastAsia="en-US"/>
      <w14:ligatures w14:val="none"/>
    </w:rPr>
  </w:style>
  <w:style w:type="paragraph" w:customStyle="1" w:styleId="Rfrenceinstitutionnelle">
    <w:name w:val="Référence institutionnelle"/>
    <w:basedOn w:val="Normal"/>
    <w:next w:val="Confidentialit"/>
    <w:pPr>
      <w:spacing w:after="240"/>
      <w:ind w:left="5103"/>
    </w:pPr>
    <w:rPr>
      <w:kern w:val="0"/>
      <w:lang w:eastAsia="en-US"/>
      <w14:ligatures w14:val="none"/>
    </w:rPr>
  </w:style>
  <w:style w:type="paragraph" w:customStyle="1" w:styleId="Rfrenceinterinstitutionnelle">
    <w:name w:val="Référence interinstitutionnelle"/>
    <w:basedOn w:val="Normal"/>
    <w:next w:val="Statut"/>
    <w:pPr>
      <w:ind w:left="5103"/>
    </w:pPr>
    <w:rPr>
      <w:kern w:val="0"/>
      <w:lang w:eastAsia="en-US"/>
      <w14:ligatures w14:val="none"/>
    </w:rPr>
  </w:style>
  <w:style w:type="paragraph" w:customStyle="1" w:styleId="Rfrenceinterne">
    <w:name w:val="Référence interne"/>
    <w:basedOn w:val="Normal"/>
    <w:next w:val="Rfrenceinterinstitutionnelle"/>
    <w:pPr>
      <w:ind w:left="5103"/>
    </w:pPr>
    <w:rPr>
      <w:kern w:val="0"/>
      <w:lang w:eastAsia="en-US"/>
      <w14:ligatures w14:val="none"/>
    </w:rPr>
  </w:style>
  <w:style w:type="paragraph" w:customStyle="1" w:styleId="Sous-titreobjet">
    <w:name w:val="Sous-titre objet"/>
    <w:basedOn w:val="Normal"/>
    <w:pPr>
      <w:jc w:val="center"/>
    </w:pPr>
    <w:rPr>
      <w:b/>
      <w:kern w:val="0"/>
      <w:lang w:eastAsia="en-US"/>
      <w14:ligatures w14:val="none"/>
    </w:rPr>
  </w:style>
  <w:style w:type="paragraph" w:customStyle="1" w:styleId="Statut">
    <w:name w:val="Statut"/>
    <w:basedOn w:val="Normal"/>
    <w:next w:val="Typedudocument"/>
    <w:pPr>
      <w:spacing w:before="360"/>
      <w:jc w:val="center"/>
    </w:pPr>
    <w:rPr>
      <w:kern w:val="0"/>
      <w:lang w:eastAsia="en-US"/>
      <w14:ligatures w14:val="none"/>
    </w:rPr>
  </w:style>
  <w:style w:type="paragraph" w:customStyle="1" w:styleId="Titrearticle">
    <w:name w:val="Titre article"/>
    <w:basedOn w:val="Normal"/>
    <w:next w:val="Normal"/>
    <w:pPr>
      <w:keepNext/>
      <w:spacing w:before="360" w:after="120"/>
      <w:jc w:val="center"/>
    </w:pPr>
    <w:rPr>
      <w:i/>
      <w:kern w:val="0"/>
      <w:lang w:eastAsia="en-US"/>
      <w14:ligatures w14:val="none"/>
    </w:rPr>
  </w:style>
  <w:style w:type="paragraph" w:customStyle="1" w:styleId="Titreobjet">
    <w:name w:val="Titre objet"/>
    <w:basedOn w:val="Normal"/>
    <w:next w:val="Sous-titreobjet"/>
    <w:pPr>
      <w:spacing w:before="360" w:after="360"/>
      <w:jc w:val="center"/>
    </w:pPr>
    <w:rPr>
      <w:b/>
      <w:kern w:val="0"/>
      <w:lang w:eastAsia="en-US"/>
      <w14:ligatures w14:val="none"/>
    </w:rPr>
  </w:style>
  <w:style w:type="paragraph" w:customStyle="1" w:styleId="Typedudocument">
    <w:name w:val="Type du document"/>
    <w:basedOn w:val="Normal"/>
    <w:next w:val="Titreobjet"/>
    <w:pPr>
      <w:spacing w:before="360"/>
      <w:jc w:val="center"/>
    </w:pPr>
    <w:rPr>
      <w:b/>
      <w:kern w:val="0"/>
      <w:lang w:eastAsia="en-US"/>
      <w14:ligatures w14:val="none"/>
    </w:rPr>
  </w:style>
  <w:style w:type="character" w:customStyle="1" w:styleId="Added">
    <w:name w:val="Added"/>
    <w:rPr>
      <w:b/>
      <w:u w:val="single"/>
      <w:shd w:val="clear" w:color="auto" w:fill="auto"/>
    </w:rPr>
  </w:style>
  <w:style w:type="character" w:customStyle="1" w:styleId="Deleted">
    <w:name w:val="Deleted"/>
    <w:rPr>
      <w:strike/>
      <w:shd w:val="clear" w:color="auto" w:fill="auto"/>
    </w:rPr>
  </w:style>
  <w:style w:type="paragraph" w:customStyle="1" w:styleId="Address">
    <w:name w:val="Address"/>
    <w:basedOn w:val="Normal"/>
    <w:next w:val="Normal"/>
    <w:pPr>
      <w:keepLines/>
      <w:spacing w:before="120" w:after="120" w:line="360" w:lineRule="auto"/>
      <w:ind w:left="3402"/>
    </w:pPr>
    <w:rPr>
      <w:kern w:val="0"/>
      <w:lang w:eastAsia="en-US"/>
      <w14:ligatures w14:val="none"/>
    </w:rPr>
  </w:style>
  <w:style w:type="paragraph" w:customStyle="1" w:styleId="Objetexterne">
    <w:name w:val="Objet externe"/>
    <w:basedOn w:val="Normal"/>
    <w:next w:val="Normal"/>
    <w:pPr>
      <w:spacing w:before="120" w:after="120"/>
      <w:jc w:val="both"/>
    </w:pPr>
    <w:rPr>
      <w:i/>
      <w:caps/>
      <w:kern w:val="0"/>
      <w:lang w:eastAsia="en-US"/>
      <w14:ligatures w14:val="none"/>
    </w:rPr>
  </w:style>
  <w:style w:type="paragraph" w:customStyle="1" w:styleId="Supertitre">
    <w:name w:val="Supertitre"/>
    <w:basedOn w:val="Normal"/>
    <w:next w:val="Normal"/>
    <w:pPr>
      <w:spacing w:after="600"/>
      <w:jc w:val="center"/>
    </w:pPr>
    <w:rPr>
      <w:b/>
      <w:kern w:val="0"/>
      <w:lang w:eastAsia="en-US"/>
      <w14:ligatures w14:val="none"/>
    </w:rPr>
  </w:style>
  <w:style w:type="paragraph" w:customStyle="1" w:styleId="Languesfaisantfoi">
    <w:name w:val="Langues faisant foi"/>
    <w:basedOn w:val="Normal"/>
    <w:next w:val="Normal"/>
    <w:pPr>
      <w:spacing w:before="360" w:after="240"/>
      <w:jc w:val="center"/>
    </w:pPr>
    <w:rPr>
      <w:rFonts w:eastAsiaTheme="minorHAnsi"/>
      <w:kern w:val="0"/>
      <w:szCs w:val="22"/>
      <w:lang w:eastAsia="en-US"/>
      <w14:ligatures w14:val="none"/>
    </w:rPr>
  </w:style>
  <w:style w:type="paragraph" w:customStyle="1" w:styleId="Rfrencecroise">
    <w:name w:val="Référence croisée"/>
    <w:basedOn w:val="Normal"/>
    <w:pPr>
      <w:jc w:val="center"/>
    </w:pPr>
    <w:rPr>
      <w:kern w:val="0"/>
      <w:lang w:eastAsia="en-US"/>
      <w14:ligatures w14:val="none"/>
    </w:rPr>
  </w:style>
  <w:style w:type="paragraph" w:customStyle="1" w:styleId="Fichefinanciretitre">
    <w:name w:val="Fiche financière titre"/>
    <w:basedOn w:val="Normal"/>
    <w:next w:val="Normal"/>
    <w:pPr>
      <w:spacing w:before="120" w:after="120"/>
      <w:jc w:val="center"/>
    </w:pPr>
    <w:rPr>
      <w:b/>
      <w:kern w:val="0"/>
      <w:u w:val="single"/>
      <w:lang w:eastAsia="en-US"/>
      <w14:ligatures w14:val="non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ous-titreobjetPagedecouverture">
    <w:name w:val="Sous-titre objet (Page de couverture)"/>
    <w:basedOn w:val="Sous-titreobje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Sous-titreobjet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after="240"/>
      <w:ind w:left="5103"/>
    </w:pPr>
    <w:rPr>
      <w:kern w:val="0"/>
      <w:lang w:eastAsia="en-US"/>
      <w14:ligatures w14:val="none"/>
    </w:rPr>
  </w:style>
  <w:style w:type="paragraph" w:customStyle="1" w:styleId="IntrtEEE">
    <w:name w:val="Intérêt EEE"/>
    <w:basedOn w:val="Languesfaisantfoi"/>
    <w:next w:val="Normal"/>
    <w:pPr>
      <w:spacing w:after="0"/>
    </w:pPr>
  </w:style>
  <w:style w:type="paragraph" w:customStyle="1" w:styleId="Accompagnant">
    <w:name w:val="Accompagnant"/>
    <w:basedOn w:val="Normal"/>
    <w:next w:val="Typeacteprincipal"/>
    <w:pPr>
      <w:spacing w:after="240"/>
      <w:jc w:val="center"/>
    </w:pPr>
    <w:rPr>
      <w:b/>
      <w:i/>
      <w:kern w:val="0"/>
      <w:lang w:eastAsia="en-US"/>
      <w14:ligatures w14:val="none"/>
    </w:rPr>
  </w:style>
  <w:style w:type="paragraph" w:customStyle="1" w:styleId="Typeacteprincipal">
    <w:name w:val="Type acte principal"/>
    <w:basedOn w:val="Normal"/>
    <w:next w:val="Objetacteprincipal"/>
    <w:pPr>
      <w:spacing w:after="240"/>
      <w:jc w:val="center"/>
    </w:pPr>
    <w:rPr>
      <w:b/>
      <w:kern w:val="0"/>
      <w:lang w:eastAsia="en-US"/>
      <w14:ligatures w14:val="none"/>
    </w:rPr>
  </w:style>
  <w:style w:type="paragraph" w:customStyle="1" w:styleId="Objetacteprincipal">
    <w:name w:val="Objet acte principal"/>
    <w:basedOn w:val="Normal"/>
    <w:next w:val="Titrearticle"/>
    <w:pPr>
      <w:spacing w:after="360"/>
      <w:jc w:val="center"/>
    </w:pPr>
    <w:rPr>
      <w:b/>
      <w:kern w:val="0"/>
      <w:lang w:eastAsia="en-US"/>
      <w14:ligatures w14:val="none"/>
    </w:rPr>
  </w:style>
  <w:style w:type="paragraph" w:customStyle="1" w:styleId="IntrtEEEPagedecouverture">
    <w:name w:val="Intérêt EEE (Page de couverture)"/>
    <w:basedOn w:val="IntrtEEE"/>
    <w:next w:val="Normal"/>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Rfrencecroise"/>
    <w:pPr>
      <w:spacing w:before="360" w:after="240"/>
      <w:jc w:val="center"/>
    </w:pPr>
    <w:rPr>
      <w:rFonts w:eastAsiaTheme="minorHAnsi"/>
      <w:kern w:val="0"/>
      <w:szCs w:val="22"/>
      <w:lang w:eastAsia="en-US"/>
      <w14:ligatures w14:val="none"/>
    </w:rPr>
  </w:style>
  <w:style w:type="paragraph" w:styleId="ListBullet">
    <w:name w:val="List Bullet"/>
    <w:basedOn w:val="Normal"/>
    <w:uiPriority w:val="99"/>
    <w:pPr>
      <w:numPr>
        <w:numId w:val="23"/>
      </w:numPr>
      <w:tabs>
        <w:tab w:val="clear" w:pos="283"/>
      </w:tabs>
      <w:spacing w:before="120" w:after="120"/>
      <w:ind w:left="0" w:firstLine="0"/>
      <w:jc w:val="both"/>
    </w:pPr>
    <w:rPr>
      <w:kern w:val="0"/>
      <w:lang w:eastAsia="de-DE"/>
      <w14:ligatures w14:val="none"/>
    </w:rPr>
  </w:style>
  <w:style w:type="paragraph" w:styleId="ListBullet2">
    <w:name w:val="List Bullet 2"/>
    <w:basedOn w:val="Normal"/>
    <w:uiPriority w:val="99"/>
    <w:pPr>
      <w:numPr>
        <w:numId w:val="25"/>
      </w:numPr>
      <w:tabs>
        <w:tab w:val="clear" w:pos="1134"/>
      </w:tabs>
      <w:spacing w:before="120" w:after="120"/>
      <w:ind w:left="0" w:firstLine="0"/>
      <w:jc w:val="both"/>
    </w:pPr>
    <w:rPr>
      <w:kern w:val="0"/>
      <w:lang w:eastAsia="de-DE"/>
      <w14:ligatures w14:val="none"/>
    </w:rPr>
  </w:style>
  <w:style w:type="paragraph" w:styleId="ListBullet3">
    <w:name w:val="List Bullet 3"/>
    <w:basedOn w:val="Normal"/>
    <w:uiPriority w:val="99"/>
    <w:pPr>
      <w:numPr>
        <w:numId w:val="26"/>
      </w:numPr>
      <w:tabs>
        <w:tab w:val="clear" w:pos="1134"/>
      </w:tabs>
      <w:spacing w:before="120" w:after="120"/>
      <w:ind w:left="0" w:firstLine="0"/>
      <w:jc w:val="both"/>
    </w:pPr>
    <w:rPr>
      <w:kern w:val="0"/>
      <w:lang w:eastAsia="de-DE"/>
      <w14:ligatures w14:val="none"/>
    </w:rPr>
  </w:style>
  <w:style w:type="paragraph" w:styleId="ListBullet4">
    <w:name w:val="List Bullet 4"/>
    <w:basedOn w:val="Normal"/>
    <w:uiPriority w:val="99"/>
    <w:pPr>
      <w:numPr>
        <w:numId w:val="27"/>
      </w:numPr>
      <w:tabs>
        <w:tab w:val="clear" w:pos="1134"/>
      </w:tabs>
      <w:spacing w:before="120" w:after="120"/>
      <w:ind w:left="0" w:firstLine="0"/>
      <w:jc w:val="both"/>
    </w:pPr>
    <w:rPr>
      <w:kern w:val="0"/>
      <w:lang w:eastAsia="de-DE"/>
      <w14:ligatures w14:val="none"/>
    </w:rPr>
  </w:style>
  <w:style w:type="paragraph" w:styleId="ListNumber">
    <w:name w:val="List Number"/>
    <w:basedOn w:val="Normal"/>
    <w:uiPriority w:val="99"/>
    <w:pPr>
      <w:numPr>
        <w:numId w:val="18"/>
      </w:numPr>
      <w:tabs>
        <w:tab w:val="clear" w:pos="709"/>
      </w:tabs>
      <w:spacing w:before="120" w:after="120"/>
      <w:ind w:left="0" w:firstLine="0"/>
      <w:jc w:val="both"/>
    </w:pPr>
    <w:rPr>
      <w:kern w:val="0"/>
      <w:lang w:eastAsia="de-DE"/>
      <w14:ligatures w14:val="none"/>
    </w:rPr>
  </w:style>
  <w:style w:type="paragraph" w:styleId="ListNumber2">
    <w:name w:val="List Number 2"/>
    <w:basedOn w:val="Normal"/>
    <w:uiPriority w:val="99"/>
    <w:pPr>
      <w:numPr>
        <w:numId w:val="20"/>
      </w:numPr>
      <w:tabs>
        <w:tab w:val="clear" w:pos="1560"/>
      </w:tabs>
      <w:spacing w:before="120" w:after="120"/>
      <w:ind w:left="0" w:firstLine="0"/>
      <w:jc w:val="both"/>
    </w:pPr>
    <w:rPr>
      <w:kern w:val="0"/>
      <w:lang w:eastAsia="de-DE"/>
      <w14:ligatures w14:val="none"/>
    </w:rPr>
  </w:style>
  <w:style w:type="paragraph" w:styleId="ListNumber3">
    <w:name w:val="List Number 3"/>
    <w:basedOn w:val="Normal"/>
    <w:uiPriority w:val="99"/>
    <w:pPr>
      <w:numPr>
        <w:numId w:val="21"/>
      </w:numPr>
      <w:tabs>
        <w:tab w:val="clear" w:pos="1560"/>
      </w:tabs>
      <w:spacing w:before="120" w:after="120"/>
      <w:ind w:left="0" w:firstLine="0"/>
      <w:jc w:val="both"/>
    </w:pPr>
    <w:rPr>
      <w:kern w:val="0"/>
      <w:lang w:eastAsia="de-DE"/>
      <w14:ligatures w14:val="none"/>
    </w:rPr>
  </w:style>
  <w:style w:type="paragraph" w:styleId="ListNumber4">
    <w:name w:val="List Number 4"/>
    <w:basedOn w:val="Normal"/>
    <w:uiPriority w:val="99"/>
    <w:pPr>
      <w:numPr>
        <w:numId w:val="22"/>
      </w:numPr>
      <w:tabs>
        <w:tab w:val="clear" w:pos="1560"/>
      </w:tabs>
      <w:spacing w:before="120" w:after="120"/>
      <w:ind w:left="0" w:firstLine="0"/>
      <w:jc w:val="both"/>
    </w:pPr>
    <w:rPr>
      <w:kern w:val="0"/>
      <w:lang w:eastAsia="de-DE"/>
      <w14:ligatures w14:val="none"/>
    </w:rPr>
  </w:style>
  <w:style w:type="paragraph" w:customStyle="1" w:styleId="ListBullet1">
    <w:name w:val="List Bullet 1"/>
    <w:basedOn w:val="Normal"/>
    <w:pPr>
      <w:numPr>
        <w:numId w:val="24"/>
      </w:numPr>
      <w:tabs>
        <w:tab w:val="clear" w:pos="1134"/>
      </w:tabs>
      <w:spacing w:before="120" w:after="120"/>
      <w:ind w:left="0" w:firstLine="0"/>
      <w:jc w:val="both"/>
    </w:pPr>
    <w:rPr>
      <w:kern w:val="0"/>
      <w:lang w:eastAsia="de-DE"/>
      <w14:ligatures w14:val="none"/>
    </w:rPr>
  </w:style>
  <w:style w:type="paragraph" w:customStyle="1" w:styleId="ListDash">
    <w:name w:val="List Dash"/>
    <w:basedOn w:val="Normal"/>
    <w:pPr>
      <w:numPr>
        <w:numId w:val="28"/>
      </w:numPr>
      <w:tabs>
        <w:tab w:val="clear" w:pos="283"/>
      </w:tabs>
      <w:spacing w:before="120" w:after="120"/>
      <w:ind w:left="0" w:firstLine="0"/>
      <w:jc w:val="both"/>
    </w:pPr>
    <w:rPr>
      <w:kern w:val="0"/>
      <w:lang w:eastAsia="de-DE"/>
      <w14:ligatures w14:val="none"/>
    </w:rPr>
  </w:style>
  <w:style w:type="paragraph" w:customStyle="1" w:styleId="ListDash1">
    <w:name w:val="List Dash 1"/>
    <w:basedOn w:val="Normal"/>
    <w:pPr>
      <w:numPr>
        <w:numId w:val="29"/>
      </w:numPr>
      <w:tabs>
        <w:tab w:val="clear" w:pos="1134"/>
      </w:tabs>
      <w:spacing w:before="120" w:after="120"/>
      <w:ind w:left="0" w:firstLine="0"/>
      <w:jc w:val="both"/>
    </w:pPr>
    <w:rPr>
      <w:kern w:val="0"/>
      <w:lang w:eastAsia="de-DE"/>
      <w14:ligatures w14:val="none"/>
    </w:rPr>
  </w:style>
  <w:style w:type="paragraph" w:customStyle="1" w:styleId="ListDash2">
    <w:name w:val="List Dash 2"/>
    <w:basedOn w:val="Normal"/>
    <w:pPr>
      <w:numPr>
        <w:numId w:val="30"/>
      </w:numPr>
      <w:tabs>
        <w:tab w:val="clear" w:pos="1134"/>
      </w:tabs>
      <w:spacing w:before="120" w:after="120"/>
      <w:ind w:left="0" w:firstLine="0"/>
      <w:jc w:val="both"/>
    </w:pPr>
    <w:rPr>
      <w:kern w:val="0"/>
      <w:lang w:eastAsia="de-DE"/>
      <w14:ligatures w14:val="none"/>
    </w:rPr>
  </w:style>
  <w:style w:type="paragraph" w:customStyle="1" w:styleId="ListDash3">
    <w:name w:val="List Dash 3"/>
    <w:basedOn w:val="Normal"/>
    <w:pPr>
      <w:numPr>
        <w:numId w:val="31"/>
      </w:numPr>
      <w:tabs>
        <w:tab w:val="clear" w:pos="1134"/>
      </w:tabs>
      <w:spacing w:before="120" w:after="120"/>
      <w:ind w:left="0" w:firstLine="0"/>
      <w:jc w:val="both"/>
    </w:pPr>
    <w:rPr>
      <w:kern w:val="0"/>
      <w:lang w:eastAsia="de-DE"/>
      <w14:ligatures w14:val="none"/>
    </w:rPr>
  </w:style>
  <w:style w:type="paragraph" w:customStyle="1" w:styleId="ListDash4">
    <w:name w:val="List Dash 4"/>
    <w:basedOn w:val="Normal"/>
    <w:pPr>
      <w:numPr>
        <w:numId w:val="32"/>
      </w:numPr>
      <w:tabs>
        <w:tab w:val="clear" w:pos="1134"/>
      </w:tabs>
      <w:spacing w:before="120" w:after="120"/>
      <w:ind w:left="0" w:firstLine="0"/>
      <w:jc w:val="both"/>
    </w:pPr>
    <w:rPr>
      <w:kern w:val="0"/>
      <w:lang w:eastAsia="de-DE"/>
      <w14:ligatures w14:val="none"/>
    </w:rPr>
  </w:style>
  <w:style w:type="paragraph" w:customStyle="1" w:styleId="ListNumber1">
    <w:name w:val="List Number 1"/>
    <w:basedOn w:val="Text1"/>
    <w:pPr>
      <w:numPr>
        <w:numId w:val="19"/>
      </w:numPr>
      <w:tabs>
        <w:tab w:val="clear" w:pos="1560"/>
        <w:tab w:val="num" w:pos="360"/>
      </w:tabs>
      <w:ind w:left="0" w:firstLine="0"/>
    </w:pPr>
    <w:rPr>
      <w:lang w:eastAsia="de-DE"/>
    </w:rPr>
  </w:style>
  <w:style w:type="paragraph" w:customStyle="1" w:styleId="ListNumberLevel2">
    <w:name w:val="List Number (Level 2)"/>
    <w:basedOn w:val="Normal"/>
    <w:pPr>
      <w:numPr>
        <w:ilvl w:val="1"/>
        <w:numId w:val="18"/>
      </w:numPr>
      <w:tabs>
        <w:tab w:val="clear" w:pos="1417"/>
      </w:tabs>
      <w:spacing w:before="120" w:after="120"/>
      <w:ind w:left="0" w:firstLine="0"/>
      <w:jc w:val="both"/>
    </w:pPr>
    <w:rPr>
      <w:kern w:val="0"/>
      <w:lang w:eastAsia="de-DE"/>
      <w14:ligatures w14:val="none"/>
    </w:rPr>
  </w:style>
  <w:style w:type="paragraph" w:customStyle="1" w:styleId="ListNumber1Level2">
    <w:name w:val="List Number 1 (Level 2)"/>
    <w:basedOn w:val="Text1"/>
    <w:pPr>
      <w:numPr>
        <w:ilvl w:val="1"/>
        <w:numId w:val="19"/>
      </w:numPr>
      <w:tabs>
        <w:tab w:val="clear" w:pos="2268"/>
        <w:tab w:val="num" w:pos="360"/>
      </w:tabs>
      <w:ind w:left="0" w:firstLine="0"/>
    </w:pPr>
    <w:rPr>
      <w:lang w:eastAsia="de-DE"/>
    </w:rPr>
  </w:style>
  <w:style w:type="paragraph" w:customStyle="1" w:styleId="ListNumber2Level2">
    <w:name w:val="List Number 2 (Level 2)"/>
    <w:basedOn w:val="Text2"/>
    <w:pPr>
      <w:numPr>
        <w:ilvl w:val="1"/>
        <w:numId w:val="20"/>
      </w:numPr>
      <w:tabs>
        <w:tab w:val="clear" w:pos="2268"/>
      </w:tabs>
      <w:ind w:left="0" w:firstLine="0"/>
    </w:pPr>
    <w:rPr>
      <w:lang w:eastAsia="de-DE"/>
    </w:rPr>
  </w:style>
  <w:style w:type="paragraph" w:customStyle="1" w:styleId="ListNumber3Level2">
    <w:name w:val="List Number 3 (Level 2)"/>
    <w:basedOn w:val="Text3"/>
    <w:pPr>
      <w:numPr>
        <w:ilvl w:val="1"/>
        <w:numId w:val="21"/>
      </w:numPr>
      <w:tabs>
        <w:tab w:val="clear" w:pos="2268"/>
      </w:tabs>
      <w:ind w:left="0" w:firstLine="0"/>
    </w:pPr>
    <w:rPr>
      <w:lang w:eastAsia="de-DE"/>
    </w:rPr>
  </w:style>
  <w:style w:type="paragraph" w:customStyle="1" w:styleId="ListNumber4Level2">
    <w:name w:val="List Number 4 (Level 2)"/>
    <w:basedOn w:val="Text4"/>
    <w:pPr>
      <w:numPr>
        <w:ilvl w:val="1"/>
        <w:numId w:val="22"/>
      </w:numPr>
      <w:tabs>
        <w:tab w:val="clear" w:pos="2268"/>
      </w:tabs>
      <w:ind w:left="0" w:firstLine="0"/>
    </w:pPr>
    <w:rPr>
      <w:lang w:eastAsia="de-DE"/>
    </w:rPr>
  </w:style>
  <w:style w:type="paragraph" w:customStyle="1" w:styleId="ListNumberLevel3">
    <w:name w:val="List Number (Level 3)"/>
    <w:basedOn w:val="Normal"/>
    <w:pPr>
      <w:numPr>
        <w:ilvl w:val="2"/>
        <w:numId w:val="18"/>
      </w:numPr>
      <w:tabs>
        <w:tab w:val="clear" w:pos="2126"/>
      </w:tabs>
      <w:spacing w:before="120" w:after="120"/>
      <w:ind w:left="0" w:firstLine="0"/>
      <w:jc w:val="both"/>
    </w:pPr>
    <w:rPr>
      <w:kern w:val="0"/>
      <w:lang w:eastAsia="de-DE"/>
      <w14:ligatures w14:val="none"/>
    </w:rPr>
  </w:style>
  <w:style w:type="paragraph" w:customStyle="1" w:styleId="ListNumber1Level3">
    <w:name w:val="List Number 1 (Level 3)"/>
    <w:basedOn w:val="Text1"/>
    <w:pPr>
      <w:numPr>
        <w:ilvl w:val="2"/>
        <w:numId w:val="19"/>
      </w:numPr>
      <w:tabs>
        <w:tab w:val="clear" w:pos="2977"/>
        <w:tab w:val="num" w:pos="360"/>
      </w:tabs>
      <w:ind w:left="0" w:firstLine="0"/>
    </w:pPr>
    <w:rPr>
      <w:lang w:eastAsia="de-DE"/>
    </w:rPr>
  </w:style>
  <w:style w:type="paragraph" w:customStyle="1" w:styleId="ListNumber2Level3">
    <w:name w:val="List Number 2 (Level 3)"/>
    <w:basedOn w:val="Text2"/>
    <w:pPr>
      <w:numPr>
        <w:ilvl w:val="2"/>
        <w:numId w:val="20"/>
      </w:numPr>
      <w:tabs>
        <w:tab w:val="clear" w:pos="2977"/>
      </w:tabs>
      <w:ind w:left="0" w:firstLine="0"/>
    </w:pPr>
    <w:rPr>
      <w:lang w:eastAsia="de-DE"/>
    </w:rPr>
  </w:style>
  <w:style w:type="paragraph" w:customStyle="1" w:styleId="ListNumber3Level3">
    <w:name w:val="List Number 3 (Level 3)"/>
    <w:basedOn w:val="Text3"/>
    <w:pPr>
      <w:numPr>
        <w:ilvl w:val="2"/>
        <w:numId w:val="21"/>
      </w:numPr>
      <w:tabs>
        <w:tab w:val="clear" w:pos="2977"/>
      </w:tabs>
      <w:ind w:left="0" w:firstLine="0"/>
    </w:pPr>
    <w:rPr>
      <w:lang w:eastAsia="de-DE"/>
    </w:rPr>
  </w:style>
  <w:style w:type="paragraph" w:customStyle="1" w:styleId="ListNumber4Level3">
    <w:name w:val="List Number 4 (Level 3)"/>
    <w:basedOn w:val="Text4"/>
    <w:pPr>
      <w:numPr>
        <w:ilvl w:val="2"/>
        <w:numId w:val="22"/>
      </w:numPr>
      <w:tabs>
        <w:tab w:val="clear" w:pos="2977"/>
      </w:tabs>
      <w:ind w:left="0" w:firstLine="0"/>
    </w:pPr>
    <w:rPr>
      <w:lang w:eastAsia="de-DE"/>
    </w:rPr>
  </w:style>
  <w:style w:type="paragraph" w:customStyle="1" w:styleId="ListNumberLevel4">
    <w:name w:val="List Number (Level 4)"/>
    <w:basedOn w:val="Normal"/>
    <w:pPr>
      <w:numPr>
        <w:ilvl w:val="3"/>
        <w:numId w:val="18"/>
      </w:numPr>
      <w:tabs>
        <w:tab w:val="clear" w:pos="2835"/>
      </w:tabs>
      <w:spacing w:before="120" w:after="120"/>
      <w:ind w:left="0" w:firstLine="0"/>
      <w:jc w:val="both"/>
    </w:pPr>
    <w:rPr>
      <w:kern w:val="0"/>
      <w:lang w:eastAsia="de-DE"/>
      <w14:ligatures w14:val="none"/>
    </w:rPr>
  </w:style>
  <w:style w:type="paragraph" w:customStyle="1" w:styleId="ListNumber1Level4">
    <w:name w:val="List Number 1 (Level 4)"/>
    <w:basedOn w:val="Text1"/>
    <w:pPr>
      <w:numPr>
        <w:ilvl w:val="3"/>
        <w:numId w:val="19"/>
      </w:numPr>
      <w:tabs>
        <w:tab w:val="clear" w:pos="3686"/>
        <w:tab w:val="num" w:pos="360"/>
      </w:tabs>
      <w:ind w:left="0" w:firstLine="0"/>
    </w:pPr>
    <w:rPr>
      <w:lang w:eastAsia="de-DE"/>
    </w:rPr>
  </w:style>
  <w:style w:type="paragraph" w:customStyle="1" w:styleId="ListNumber2Level4">
    <w:name w:val="List Number 2 (Level 4)"/>
    <w:basedOn w:val="Text2"/>
    <w:pPr>
      <w:numPr>
        <w:ilvl w:val="3"/>
        <w:numId w:val="20"/>
      </w:numPr>
      <w:tabs>
        <w:tab w:val="clear" w:pos="3686"/>
      </w:tabs>
      <w:ind w:left="0" w:firstLine="0"/>
    </w:pPr>
    <w:rPr>
      <w:lang w:eastAsia="de-DE"/>
    </w:rPr>
  </w:style>
  <w:style w:type="paragraph" w:customStyle="1" w:styleId="ListNumber3Level4">
    <w:name w:val="List Number 3 (Level 4)"/>
    <w:basedOn w:val="Text3"/>
    <w:pPr>
      <w:numPr>
        <w:ilvl w:val="3"/>
        <w:numId w:val="21"/>
      </w:numPr>
      <w:tabs>
        <w:tab w:val="clear" w:pos="3686"/>
      </w:tabs>
      <w:ind w:left="0" w:firstLine="0"/>
    </w:pPr>
    <w:rPr>
      <w:lang w:eastAsia="de-DE"/>
    </w:rPr>
  </w:style>
  <w:style w:type="paragraph" w:customStyle="1" w:styleId="ListNumber4Level4">
    <w:name w:val="List Number 4 (Level 4)"/>
    <w:basedOn w:val="Text4"/>
    <w:pPr>
      <w:numPr>
        <w:ilvl w:val="3"/>
        <w:numId w:val="22"/>
      </w:numPr>
      <w:tabs>
        <w:tab w:val="clear" w:pos="3686"/>
      </w:tabs>
      <w:ind w:left="0" w:firstLine="0"/>
    </w:pPr>
    <w:rPr>
      <w:lang w:eastAsia="de-DE"/>
    </w:rPr>
  </w:style>
  <w:style w:type="paragraph" w:customStyle="1" w:styleId="Rfrenceinterinstitutionelleprliminaire">
    <w:name w:val="Référence interinstitutionelle (préliminaire)"/>
    <w:basedOn w:val="Normal"/>
    <w:next w:val="Normal"/>
    <w:pPr>
      <w:ind w:left="5103"/>
    </w:pPr>
    <w:rPr>
      <w:kern w:val="0"/>
      <w:lang w:eastAsia="de-DE"/>
      <w14:ligatures w14:val="none"/>
    </w:rPr>
  </w:style>
  <w:style w:type="paragraph" w:customStyle="1" w:styleId="Sous-titreobjetprliminaire">
    <w:name w:val="Sous-titre objet (préliminaire)"/>
    <w:basedOn w:val="Normal"/>
    <w:pPr>
      <w:jc w:val="center"/>
    </w:pPr>
    <w:rPr>
      <w:b/>
      <w:kern w:val="0"/>
      <w:lang w:eastAsia="de-DE"/>
      <w14:ligatures w14:val="none"/>
    </w:rPr>
  </w:style>
  <w:style w:type="paragraph" w:customStyle="1" w:styleId="Statutprliminaire">
    <w:name w:val="Statut (préliminaire)"/>
    <w:basedOn w:val="Normal"/>
    <w:next w:val="Normal"/>
    <w:pPr>
      <w:spacing w:before="360"/>
      <w:jc w:val="center"/>
    </w:pPr>
    <w:rPr>
      <w:kern w:val="0"/>
      <w:lang w:eastAsia="de-DE"/>
      <w14:ligatures w14:val="none"/>
    </w:rPr>
  </w:style>
  <w:style w:type="paragraph" w:customStyle="1" w:styleId="Titreobjetprliminaire">
    <w:name w:val="Titre objet (préliminaire)"/>
    <w:basedOn w:val="Normal"/>
    <w:next w:val="Normal"/>
    <w:pPr>
      <w:spacing w:before="360" w:after="360"/>
      <w:jc w:val="center"/>
    </w:pPr>
    <w:rPr>
      <w:b/>
      <w:kern w:val="0"/>
      <w:lang w:eastAsia="de-DE"/>
      <w14:ligatures w14:val="none"/>
    </w:rPr>
  </w:style>
  <w:style w:type="paragraph" w:customStyle="1" w:styleId="Typedudocumentprliminaire">
    <w:name w:val="Type du document (préliminaire)"/>
    <w:basedOn w:val="Normal"/>
    <w:next w:val="Normal"/>
    <w:pPr>
      <w:spacing w:before="360"/>
      <w:jc w:val="center"/>
    </w:pPr>
    <w:rPr>
      <w:b/>
      <w:kern w:val="0"/>
      <w:lang w:eastAsia="de-DE"/>
      <w14:ligatures w14:val="none"/>
    </w:rPr>
  </w:style>
  <w:style w:type="paragraph" w:customStyle="1" w:styleId="FichedimpactPMEtitre">
    <w:name w:val="Fiche d'impact PME titre"/>
    <w:basedOn w:val="Normal"/>
    <w:next w:val="Normal"/>
    <w:pPr>
      <w:spacing w:before="120" w:after="120"/>
      <w:jc w:val="center"/>
    </w:pPr>
    <w:rPr>
      <w:b/>
      <w:kern w:val="0"/>
      <w:szCs w:val="20"/>
      <w:lang w:eastAsia="zh-CN"/>
      <w14:ligatures w14:val="none"/>
    </w:rPr>
  </w:style>
  <w:style w:type="paragraph" w:customStyle="1" w:styleId="Fichefinanciretextetable">
    <w:name w:val="Fiche financière texte (table)"/>
    <w:basedOn w:val="Normal"/>
    <w:rPr>
      <w:kern w:val="0"/>
      <w:sz w:val="20"/>
      <w:szCs w:val="20"/>
      <w:lang w:eastAsia="zh-CN"/>
      <w14:ligatures w14:val="none"/>
    </w:rPr>
  </w:style>
  <w:style w:type="paragraph" w:customStyle="1" w:styleId="Fichefinanciretitreactetable">
    <w:name w:val="Fiche financière titre (acte table)"/>
    <w:basedOn w:val="Normal"/>
    <w:next w:val="Normal"/>
    <w:pPr>
      <w:spacing w:before="120" w:after="120"/>
      <w:jc w:val="center"/>
    </w:pPr>
    <w:rPr>
      <w:b/>
      <w:kern w:val="0"/>
      <w:sz w:val="40"/>
      <w:szCs w:val="20"/>
      <w:lang w:eastAsia="zh-CN"/>
      <w14:ligatures w14:val="none"/>
    </w:rPr>
  </w:style>
  <w:style w:type="paragraph" w:customStyle="1" w:styleId="Fichefinanciretitretable">
    <w:name w:val="Fiche financière titre (table)"/>
    <w:basedOn w:val="Normal"/>
    <w:pPr>
      <w:spacing w:before="120" w:after="120"/>
      <w:jc w:val="center"/>
    </w:pPr>
    <w:rPr>
      <w:b/>
      <w:kern w:val="0"/>
      <w:sz w:val="40"/>
      <w:szCs w:val="20"/>
      <w:lang w:eastAsia="zh-CN"/>
      <w14:ligatures w14:val="none"/>
    </w:rPr>
  </w:style>
  <w:style w:type="character" w:styleId="PageNumber">
    <w:name w:val="page number"/>
    <w:basedOn w:val="DefaultParagraphFont"/>
    <w:uiPriority w:val="99"/>
    <w:rPr>
      <w:shd w:val="clear" w:color="auto" w:fill="auto"/>
    </w:rPr>
  </w:style>
  <w:style w:type="paragraph" w:styleId="ListBullet5">
    <w:name w:val="List Bullet 5"/>
    <w:basedOn w:val="Normal"/>
    <w:autoRedefine/>
    <w:uiPriority w:val="99"/>
    <w:pPr>
      <w:numPr>
        <w:numId w:val="2"/>
      </w:numPr>
      <w:tabs>
        <w:tab w:val="clear" w:pos="1492"/>
        <w:tab w:val="num" w:pos="360"/>
      </w:tabs>
      <w:spacing w:after="240"/>
      <w:ind w:left="0" w:firstLine="0"/>
      <w:jc w:val="both"/>
    </w:pPr>
    <w:rPr>
      <w:kern w:val="0"/>
      <w:szCs w:val="20"/>
      <w:lang w:eastAsia="zh-CN"/>
      <w14:ligatures w14:val="none"/>
    </w:rPr>
  </w:style>
  <w:style w:type="paragraph" w:styleId="ListNumber5">
    <w:name w:val="List Number 5"/>
    <w:basedOn w:val="Normal"/>
    <w:uiPriority w:val="99"/>
    <w:pPr>
      <w:numPr>
        <w:numId w:val="3"/>
      </w:numPr>
      <w:tabs>
        <w:tab w:val="clear" w:pos="1492"/>
        <w:tab w:val="num" w:pos="643"/>
      </w:tabs>
      <w:spacing w:after="240"/>
      <w:ind w:left="0" w:firstLine="0"/>
      <w:jc w:val="both"/>
    </w:pPr>
    <w:rPr>
      <w:kern w:val="0"/>
      <w:szCs w:val="20"/>
      <w:lang w:eastAsia="zh-CN"/>
      <w14:ligatures w14:val="none"/>
    </w:rPr>
  </w:style>
  <w:style w:type="paragraph" w:styleId="DocumentMap">
    <w:name w:val="Document Map"/>
    <w:basedOn w:val="Normal"/>
    <w:link w:val="DocumentMapChar"/>
    <w:uiPriority w:val="99"/>
    <w:pPr>
      <w:shd w:val="clear" w:color="auto" w:fill="000080"/>
      <w:spacing w:before="120" w:after="120"/>
      <w:jc w:val="both"/>
    </w:pPr>
    <w:rPr>
      <w:rFonts w:ascii="Tahoma" w:hAnsi="Tahoma"/>
      <w:kern w:val="0"/>
      <w:szCs w:val="20"/>
      <w:lang w:eastAsia="zh-CN"/>
      <w14:ligatures w14:val="none"/>
    </w:rPr>
  </w:style>
  <w:style w:type="character" w:customStyle="1" w:styleId="DocumentMapChar">
    <w:name w:val="Document Map Char"/>
    <w:basedOn w:val="DefaultParagraphFont"/>
    <w:link w:val="DocumentMap"/>
    <w:uiPriority w:val="99"/>
    <w:rPr>
      <w:rFonts w:ascii="Tahoma" w:hAnsi="Tahoma"/>
      <w:kern w:val="0"/>
      <w:sz w:val="24"/>
      <w:shd w:val="clear" w:color="auto" w:fill="000080"/>
      <w:lang w:val="ro-RO" w:eastAsia="zh-CN"/>
      <w14:ligatures w14:val="none"/>
    </w:rPr>
  </w:style>
  <w:style w:type="paragraph" w:customStyle="1" w:styleId="AddressTL">
    <w:name w:val="AddressTL"/>
    <w:basedOn w:val="Normal"/>
    <w:next w:val="Normal"/>
    <w:pPr>
      <w:spacing w:after="720"/>
    </w:pPr>
    <w:rPr>
      <w:kern w:val="0"/>
      <w:szCs w:val="20"/>
      <w:lang w:eastAsia="zh-CN"/>
      <w14:ligatures w14:val="none"/>
    </w:rPr>
  </w:style>
  <w:style w:type="paragraph" w:customStyle="1" w:styleId="AddressTR">
    <w:name w:val="AddressTR"/>
    <w:basedOn w:val="Normal"/>
    <w:next w:val="Normal"/>
    <w:pPr>
      <w:spacing w:after="720"/>
      <w:ind w:left="5103"/>
    </w:pPr>
    <w:rPr>
      <w:kern w:val="0"/>
      <w:szCs w:val="20"/>
      <w:lang w:eastAsia="zh-CN"/>
      <w14:ligatures w14:val="none"/>
    </w:rPr>
  </w:style>
  <w:style w:type="paragraph" w:styleId="BlockText">
    <w:name w:val="Block Text"/>
    <w:basedOn w:val="Normal"/>
    <w:uiPriority w:val="99"/>
    <w:pPr>
      <w:spacing w:after="120"/>
      <w:ind w:left="1440" w:right="1440"/>
      <w:jc w:val="both"/>
    </w:pPr>
    <w:rPr>
      <w:kern w:val="0"/>
      <w:szCs w:val="20"/>
      <w:lang w:eastAsia="zh-CN"/>
      <w14:ligatures w14:val="none"/>
    </w:rPr>
  </w:style>
  <w:style w:type="paragraph" w:styleId="BodyText">
    <w:name w:val="Body Text"/>
    <w:basedOn w:val="Normal"/>
    <w:link w:val="BodyTextChar"/>
    <w:uiPriority w:val="99"/>
    <w:pPr>
      <w:spacing w:after="120"/>
      <w:jc w:val="both"/>
    </w:pPr>
    <w:rPr>
      <w:kern w:val="0"/>
      <w:szCs w:val="20"/>
      <w:lang w:eastAsia="zh-CN"/>
      <w14:ligatures w14:val="none"/>
    </w:rPr>
  </w:style>
  <w:style w:type="character" w:customStyle="1" w:styleId="BodyTextChar">
    <w:name w:val="Body Text Char"/>
    <w:basedOn w:val="DefaultParagraphFont"/>
    <w:link w:val="BodyText"/>
    <w:uiPriority w:val="99"/>
    <w:rPr>
      <w:kern w:val="0"/>
      <w:sz w:val="24"/>
      <w:lang w:val="ro-RO" w:eastAsia="zh-CN"/>
      <w14:ligatures w14:val="none"/>
    </w:rPr>
  </w:style>
  <w:style w:type="paragraph" w:styleId="BodyText2">
    <w:name w:val="Body Text 2"/>
    <w:basedOn w:val="Normal"/>
    <w:link w:val="BodyText2Char"/>
    <w:uiPriority w:val="99"/>
    <w:pPr>
      <w:spacing w:after="120" w:line="480" w:lineRule="auto"/>
      <w:jc w:val="both"/>
    </w:pPr>
    <w:rPr>
      <w:kern w:val="0"/>
      <w:szCs w:val="20"/>
      <w:lang w:eastAsia="zh-CN"/>
      <w14:ligatures w14:val="none"/>
    </w:rPr>
  </w:style>
  <w:style w:type="character" w:customStyle="1" w:styleId="BodyText2Char">
    <w:name w:val="Body Text 2 Char"/>
    <w:basedOn w:val="DefaultParagraphFont"/>
    <w:link w:val="BodyText2"/>
    <w:uiPriority w:val="99"/>
    <w:rPr>
      <w:kern w:val="0"/>
      <w:sz w:val="24"/>
      <w:lang w:val="ro-RO" w:eastAsia="zh-CN"/>
      <w14:ligatures w14:val="none"/>
    </w:rPr>
  </w:style>
  <w:style w:type="paragraph" w:styleId="BodyText3">
    <w:name w:val="Body Text 3"/>
    <w:basedOn w:val="Normal"/>
    <w:link w:val="BodyText3Char"/>
    <w:uiPriority w:val="99"/>
    <w:pPr>
      <w:spacing w:after="120"/>
      <w:jc w:val="both"/>
    </w:pPr>
    <w:rPr>
      <w:kern w:val="0"/>
      <w:sz w:val="16"/>
      <w:szCs w:val="20"/>
      <w:lang w:eastAsia="zh-CN"/>
      <w14:ligatures w14:val="none"/>
    </w:rPr>
  </w:style>
  <w:style w:type="character" w:customStyle="1" w:styleId="BodyText3Char">
    <w:name w:val="Body Text 3 Char"/>
    <w:basedOn w:val="DefaultParagraphFont"/>
    <w:link w:val="BodyText3"/>
    <w:uiPriority w:val="99"/>
    <w:rPr>
      <w:kern w:val="0"/>
      <w:sz w:val="16"/>
      <w:lang w:val="ro-RO" w:eastAsia="zh-CN"/>
      <w14:ligatures w14:val="none"/>
    </w:rPr>
  </w:style>
  <w:style w:type="paragraph" w:styleId="BodyTextFirstIndent">
    <w:name w:val="Body Text First Indent"/>
    <w:basedOn w:val="BodyText"/>
    <w:link w:val="BodyTextFirstIndentChar"/>
    <w:uiPriority w:val="99"/>
    <w:pPr>
      <w:ind w:firstLine="210"/>
    </w:pPr>
  </w:style>
  <w:style w:type="character" w:customStyle="1" w:styleId="BodyTextFirstIndentChar">
    <w:name w:val="Body Text First Indent Char"/>
    <w:basedOn w:val="BodyTextChar"/>
    <w:link w:val="BodyTextFirstIndent"/>
    <w:uiPriority w:val="99"/>
    <w:rPr>
      <w:kern w:val="0"/>
      <w:sz w:val="24"/>
      <w:lang w:val="ro-RO" w:eastAsia="zh-CN"/>
      <w14:ligatures w14:val="none"/>
    </w:rPr>
  </w:style>
  <w:style w:type="paragraph" w:styleId="BodyTextIndent">
    <w:name w:val="Body Text Indent"/>
    <w:basedOn w:val="Normal"/>
    <w:link w:val="BodyTextIndentChar"/>
    <w:uiPriority w:val="99"/>
    <w:pPr>
      <w:spacing w:after="120"/>
      <w:ind w:left="283"/>
      <w:jc w:val="both"/>
    </w:pPr>
    <w:rPr>
      <w:kern w:val="0"/>
      <w:szCs w:val="20"/>
      <w:lang w:eastAsia="zh-CN"/>
      <w14:ligatures w14:val="none"/>
    </w:rPr>
  </w:style>
  <w:style w:type="character" w:customStyle="1" w:styleId="BodyTextIndentChar">
    <w:name w:val="Body Text Indent Char"/>
    <w:basedOn w:val="DefaultParagraphFont"/>
    <w:link w:val="BodyTextIndent"/>
    <w:uiPriority w:val="99"/>
    <w:rPr>
      <w:kern w:val="0"/>
      <w:sz w:val="24"/>
      <w:lang w:val="ro-RO" w:eastAsia="zh-CN"/>
      <w14:ligatures w14:val="none"/>
    </w:rPr>
  </w:style>
  <w:style w:type="paragraph" w:styleId="BodyTextFirstIndent2">
    <w:name w:val="Body Text First Indent 2"/>
    <w:basedOn w:val="BodyTextIndent"/>
    <w:link w:val="BodyTextFirstIndent2Char"/>
    <w:uiPriority w:val="99"/>
    <w:pPr>
      <w:ind w:firstLine="210"/>
    </w:pPr>
  </w:style>
  <w:style w:type="character" w:customStyle="1" w:styleId="BodyTextFirstIndent2Char">
    <w:name w:val="Body Text First Indent 2 Char"/>
    <w:basedOn w:val="BodyTextIndentChar"/>
    <w:link w:val="BodyTextFirstIndent2"/>
    <w:uiPriority w:val="99"/>
    <w:rPr>
      <w:kern w:val="0"/>
      <w:sz w:val="24"/>
      <w:lang w:val="ro-RO" w:eastAsia="zh-CN"/>
      <w14:ligatures w14:val="none"/>
    </w:rPr>
  </w:style>
  <w:style w:type="paragraph" w:styleId="BodyTextIndent2">
    <w:name w:val="Body Text Indent 2"/>
    <w:basedOn w:val="Normal"/>
    <w:link w:val="BodyTextIndent2Char"/>
    <w:uiPriority w:val="99"/>
    <w:pPr>
      <w:spacing w:after="120" w:line="480" w:lineRule="auto"/>
      <w:ind w:left="283"/>
      <w:jc w:val="both"/>
    </w:pPr>
    <w:rPr>
      <w:kern w:val="0"/>
      <w:szCs w:val="20"/>
      <w:lang w:eastAsia="zh-CN"/>
      <w14:ligatures w14:val="none"/>
    </w:rPr>
  </w:style>
  <w:style w:type="character" w:customStyle="1" w:styleId="BodyTextIndent2Char">
    <w:name w:val="Body Text Indent 2 Char"/>
    <w:basedOn w:val="DefaultParagraphFont"/>
    <w:link w:val="BodyTextIndent2"/>
    <w:uiPriority w:val="99"/>
    <w:rPr>
      <w:kern w:val="0"/>
      <w:sz w:val="24"/>
      <w:lang w:val="ro-RO" w:eastAsia="zh-CN"/>
      <w14:ligatures w14:val="none"/>
    </w:rPr>
  </w:style>
  <w:style w:type="paragraph" w:styleId="BodyTextIndent3">
    <w:name w:val="Body Text Indent 3"/>
    <w:basedOn w:val="Normal"/>
    <w:link w:val="BodyTextIndent3Char"/>
    <w:uiPriority w:val="99"/>
    <w:pPr>
      <w:spacing w:after="120"/>
      <w:ind w:left="283"/>
      <w:jc w:val="both"/>
    </w:pPr>
    <w:rPr>
      <w:kern w:val="0"/>
      <w:sz w:val="16"/>
      <w:szCs w:val="20"/>
      <w:lang w:eastAsia="zh-CN"/>
      <w14:ligatures w14:val="none"/>
    </w:rPr>
  </w:style>
  <w:style w:type="character" w:customStyle="1" w:styleId="BodyTextIndent3Char">
    <w:name w:val="Body Text Indent 3 Char"/>
    <w:basedOn w:val="DefaultParagraphFont"/>
    <w:link w:val="BodyTextIndent3"/>
    <w:uiPriority w:val="99"/>
    <w:rPr>
      <w:kern w:val="0"/>
      <w:sz w:val="16"/>
      <w:lang w:val="ro-RO" w:eastAsia="zh-CN"/>
      <w14:ligatures w14:val="none"/>
    </w:rPr>
  </w:style>
  <w:style w:type="paragraph" w:styleId="Closing">
    <w:name w:val="Closing"/>
    <w:basedOn w:val="Normal"/>
    <w:next w:val="Signature"/>
    <w:link w:val="ClosingChar"/>
    <w:uiPriority w:val="99"/>
    <w:pPr>
      <w:tabs>
        <w:tab w:val="left" w:pos="5103"/>
      </w:tabs>
      <w:spacing w:before="240" w:after="240"/>
      <w:ind w:left="5103"/>
    </w:pPr>
    <w:rPr>
      <w:kern w:val="0"/>
      <w:szCs w:val="20"/>
      <w:lang w:eastAsia="zh-CN"/>
      <w14:ligatures w14:val="none"/>
    </w:rPr>
  </w:style>
  <w:style w:type="character" w:customStyle="1" w:styleId="ClosingChar">
    <w:name w:val="Closing Char"/>
    <w:basedOn w:val="DefaultParagraphFont"/>
    <w:link w:val="Closing"/>
    <w:uiPriority w:val="99"/>
    <w:rPr>
      <w:kern w:val="0"/>
      <w:sz w:val="24"/>
      <w:lang w:val="ro-RO" w:eastAsia="zh-CN"/>
      <w14:ligatures w14:val="none"/>
    </w:rPr>
  </w:style>
  <w:style w:type="paragraph" w:styleId="Signature">
    <w:name w:val="Signature"/>
    <w:basedOn w:val="Normal"/>
    <w:next w:val="Contact"/>
    <w:link w:val="SignatureChar"/>
    <w:uiPriority w:val="99"/>
    <w:pPr>
      <w:tabs>
        <w:tab w:val="left" w:pos="5103"/>
      </w:tabs>
      <w:spacing w:before="1200"/>
      <w:ind w:left="5103"/>
      <w:jc w:val="center"/>
    </w:pPr>
    <w:rPr>
      <w:kern w:val="0"/>
      <w:szCs w:val="20"/>
      <w:lang w:eastAsia="zh-CN"/>
      <w14:ligatures w14:val="none"/>
    </w:rPr>
  </w:style>
  <w:style w:type="character" w:customStyle="1" w:styleId="SignatureChar">
    <w:name w:val="Signature Char"/>
    <w:basedOn w:val="DefaultParagraphFont"/>
    <w:link w:val="Signature"/>
    <w:uiPriority w:val="99"/>
    <w:rPr>
      <w:kern w:val="0"/>
      <w:sz w:val="24"/>
      <w:lang w:val="ro-RO" w:eastAsia="zh-CN"/>
      <w14:ligatures w14:val="none"/>
    </w:rPr>
  </w:style>
  <w:style w:type="paragraph" w:customStyle="1" w:styleId="Contact">
    <w:name w:val="Contact"/>
    <w:basedOn w:val="Normal"/>
    <w:next w:val="Enclosures"/>
    <w:pPr>
      <w:spacing w:before="480"/>
      <w:ind w:left="567" w:hanging="567"/>
    </w:pPr>
    <w:rPr>
      <w:kern w:val="0"/>
      <w:szCs w:val="20"/>
      <w:lang w:eastAsia="zh-CN"/>
      <w14:ligatures w14:val="none"/>
    </w:rPr>
  </w:style>
  <w:style w:type="paragraph" w:customStyle="1" w:styleId="Enclosures">
    <w:name w:val="Enclosures"/>
    <w:basedOn w:val="Normal"/>
    <w:next w:val="Participants"/>
    <w:pPr>
      <w:keepNext/>
      <w:keepLines/>
      <w:tabs>
        <w:tab w:val="left" w:pos="5642"/>
      </w:tabs>
      <w:spacing w:before="480"/>
      <w:ind w:left="1792" w:hanging="1792"/>
    </w:pPr>
    <w:rPr>
      <w:kern w:val="0"/>
      <w:szCs w:val="20"/>
      <w:lang w:eastAsia="zh-CN"/>
      <w14:ligatures w14:val="none"/>
    </w:rPr>
  </w:style>
  <w:style w:type="paragraph" w:customStyle="1" w:styleId="Participants">
    <w:name w:val="Participants"/>
    <w:basedOn w:val="Normal"/>
    <w:next w:val="Copies"/>
    <w:pPr>
      <w:tabs>
        <w:tab w:val="left" w:pos="2512"/>
        <w:tab w:val="left" w:pos="2762"/>
        <w:tab w:val="left" w:pos="5642"/>
        <w:tab w:val="left" w:pos="6362"/>
        <w:tab w:val="left" w:pos="6720"/>
      </w:tabs>
      <w:spacing w:before="480"/>
      <w:ind w:left="1792" w:hanging="1792"/>
    </w:pPr>
    <w:rPr>
      <w:kern w:val="0"/>
      <w:szCs w:val="20"/>
      <w:lang w:eastAsia="zh-CN"/>
      <w14:ligatures w14:val="none"/>
    </w:rPr>
  </w:style>
  <w:style w:type="paragraph" w:customStyle="1" w:styleId="Copies">
    <w:name w:val="Copies"/>
    <w:basedOn w:val="Normal"/>
    <w:next w:val="Normal"/>
    <w:pPr>
      <w:tabs>
        <w:tab w:val="left" w:pos="2512"/>
        <w:tab w:val="left" w:pos="2762"/>
        <w:tab w:val="left" w:pos="5642"/>
        <w:tab w:val="left" w:pos="6362"/>
        <w:tab w:val="left" w:pos="6720"/>
      </w:tabs>
      <w:spacing w:before="480"/>
      <w:ind w:left="1792" w:hanging="1792"/>
    </w:pPr>
    <w:rPr>
      <w:kern w:val="0"/>
      <w:szCs w:val="20"/>
      <w:lang w:eastAsia="zh-CN"/>
      <w14:ligatures w14:val="none"/>
    </w:rPr>
  </w:style>
  <w:style w:type="paragraph" w:styleId="Date">
    <w:name w:val="Date"/>
    <w:basedOn w:val="Normal"/>
    <w:next w:val="References"/>
    <w:link w:val="DateChar"/>
    <w:uiPriority w:val="99"/>
    <w:pPr>
      <w:ind w:left="5103" w:right="-567"/>
    </w:pPr>
    <w:rPr>
      <w:kern w:val="0"/>
      <w:szCs w:val="20"/>
      <w:lang w:eastAsia="zh-CN"/>
      <w14:ligatures w14:val="none"/>
    </w:rPr>
  </w:style>
  <w:style w:type="character" w:customStyle="1" w:styleId="DateChar">
    <w:name w:val="Date Char"/>
    <w:basedOn w:val="DefaultParagraphFont"/>
    <w:link w:val="Date"/>
    <w:uiPriority w:val="99"/>
    <w:rPr>
      <w:kern w:val="0"/>
      <w:sz w:val="24"/>
      <w:lang w:val="ro-RO" w:eastAsia="zh-CN"/>
      <w14:ligatures w14:val="none"/>
    </w:rPr>
  </w:style>
  <w:style w:type="paragraph" w:customStyle="1" w:styleId="References">
    <w:name w:val="References"/>
    <w:basedOn w:val="Normal"/>
    <w:next w:val="AddressTR"/>
    <w:pPr>
      <w:spacing w:after="240"/>
      <w:ind w:left="5103"/>
    </w:pPr>
    <w:rPr>
      <w:kern w:val="0"/>
      <w:sz w:val="20"/>
      <w:szCs w:val="20"/>
      <w:lang w:eastAsia="zh-CN"/>
      <w14:ligatures w14:val="none"/>
    </w:rPr>
  </w:style>
  <w:style w:type="paragraph" w:customStyle="1" w:styleId="DoubSign">
    <w:name w:val="DoubSign"/>
    <w:basedOn w:val="Normal"/>
    <w:next w:val="Contact"/>
    <w:pPr>
      <w:tabs>
        <w:tab w:val="left" w:pos="5103"/>
      </w:tabs>
      <w:spacing w:before="1200"/>
    </w:pPr>
    <w:rPr>
      <w:kern w:val="0"/>
      <w:szCs w:val="20"/>
      <w:lang w:eastAsia="zh-CN"/>
      <w14:ligatures w14:val="none"/>
    </w:rPr>
  </w:style>
  <w:style w:type="paragraph" w:styleId="EnvelopeAddress">
    <w:name w:val="envelope address"/>
    <w:basedOn w:val="Normal"/>
    <w:uiPriority w:val="99"/>
    <w:pPr>
      <w:framePr w:w="7920" w:h="1980" w:hRule="exact" w:hSpace="180" w:wrap="auto" w:hAnchor="page" w:xAlign="center" w:yAlign="bottom"/>
      <w:jc w:val="both"/>
    </w:pPr>
    <w:rPr>
      <w:kern w:val="0"/>
      <w:szCs w:val="20"/>
      <w:lang w:eastAsia="zh-CN"/>
      <w14:ligatures w14:val="none"/>
    </w:rPr>
  </w:style>
  <w:style w:type="paragraph" w:styleId="EnvelopeReturn">
    <w:name w:val="envelope return"/>
    <w:basedOn w:val="Normal"/>
    <w:uiPriority w:val="99"/>
    <w:pPr>
      <w:jc w:val="both"/>
    </w:pPr>
    <w:rPr>
      <w:kern w:val="0"/>
      <w:sz w:val="20"/>
      <w:szCs w:val="20"/>
      <w:lang w:eastAsia="zh-CN"/>
      <w14:ligatures w14:val="none"/>
    </w:rPr>
  </w:style>
  <w:style w:type="paragraph" w:styleId="Index8">
    <w:name w:val="index 8"/>
    <w:basedOn w:val="Normal"/>
    <w:next w:val="Normal"/>
    <w:autoRedefine/>
    <w:uiPriority w:val="99"/>
    <w:pPr>
      <w:spacing w:after="240"/>
      <w:ind w:left="1920" w:hanging="240"/>
      <w:jc w:val="both"/>
    </w:pPr>
    <w:rPr>
      <w:kern w:val="0"/>
      <w:szCs w:val="20"/>
      <w:lang w:eastAsia="zh-CN"/>
      <w14:ligatures w14:val="none"/>
    </w:rPr>
  </w:style>
  <w:style w:type="paragraph" w:styleId="Index1">
    <w:name w:val="index 1"/>
    <w:basedOn w:val="Normal"/>
    <w:next w:val="Normal"/>
    <w:autoRedefine/>
    <w:uiPriority w:val="99"/>
    <w:pPr>
      <w:spacing w:after="240"/>
      <w:ind w:left="240" w:hanging="240"/>
      <w:jc w:val="both"/>
    </w:pPr>
    <w:rPr>
      <w:kern w:val="0"/>
      <w:szCs w:val="20"/>
      <w:lang w:eastAsia="zh-CN"/>
      <w14:ligatures w14:val="none"/>
    </w:rPr>
  </w:style>
  <w:style w:type="paragraph" w:styleId="IndexHeading">
    <w:name w:val="index heading"/>
    <w:basedOn w:val="Normal"/>
    <w:next w:val="Index1"/>
    <w:uiPriority w:val="99"/>
    <w:pPr>
      <w:spacing w:after="240"/>
      <w:jc w:val="both"/>
    </w:pPr>
    <w:rPr>
      <w:rFonts w:ascii="Arial" w:hAnsi="Arial"/>
      <w:b/>
      <w:kern w:val="0"/>
      <w:szCs w:val="20"/>
      <w:lang w:eastAsia="zh-CN"/>
      <w14:ligatures w14:val="none"/>
    </w:rPr>
  </w:style>
  <w:style w:type="paragraph" w:styleId="List">
    <w:name w:val="List"/>
    <w:basedOn w:val="Normal"/>
    <w:uiPriority w:val="99"/>
    <w:pPr>
      <w:spacing w:after="240"/>
      <w:ind w:left="283" w:hanging="283"/>
      <w:jc w:val="both"/>
    </w:pPr>
    <w:rPr>
      <w:kern w:val="0"/>
      <w:szCs w:val="20"/>
      <w:lang w:eastAsia="zh-CN"/>
      <w14:ligatures w14:val="none"/>
    </w:rPr>
  </w:style>
  <w:style w:type="paragraph" w:styleId="List2">
    <w:name w:val="List 2"/>
    <w:basedOn w:val="Normal"/>
    <w:uiPriority w:val="99"/>
    <w:pPr>
      <w:spacing w:after="240"/>
      <w:ind w:left="566" w:hanging="283"/>
      <w:jc w:val="both"/>
    </w:pPr>
    <w:rPr>
      <w:kern w:val="0"/>
      <w:szCs w:val="20"/>
      <w:lang w:eastAsia="zh-CN"/>
      <w14:ligatures w14:val="none"/>
    </w:rPr>
  </w:style>
  <w:style w:type="paragraph" w:styleId="List3">
    <w:name w:val="List 3"/>
    <w:basedOn w:val="Normal"/>
    <w:uiPriority w:val="99"/>
    <w:pPr>
      <w:spacing w:after="240"/>
      <w:ind w:left="849" w:hanging="283"/>
      <w:jc w:val="both"/>
    </w:pPr>
    <w:rPr>
      <w:kern w:val="0"/>
      <w:szCs w:val="20"/>
      <w:lang w:eastAsia="zh-CN"/>
      <w14:ligatures w14:val="none"/>
    </w:rPr>
  </w:style>
  <w:style w:type="paragraph" w:styleId="List4">
    <w:name w:val="List 4"/>
    <w:basedOn w:val="Normal"/>
    <w:uiPriority w:val="99"/>
    <w:pPr>
      <w:spacing w:after="240"/>
      <w:ind w:left="1132" w:hanging="283"/>
      <w:jc w:val="both"/>
    </w:pPr>
    <w:rPr>
      <w:kern w:val="0"/>
      <w:szCs w:val="20"/>
      <w:lang w:eastAsia="zh-CN"/>
      <w14:ligatures w14:val="none"/>
    </w:rPr>
  </w:style>
  <w:style w:type="paragraph" w:styleId="List5">
    <w:name w:val="List 5"/>
    <w:basedOn w:val="Normal"/>
    <w:uiPriority w:val="99"/>
    <w:pPr>
      <w:spacing w:after="240"/>
      <w:ind w:left="1415" w:hanging="283"/>
      <w:jc w:val="both"/>
    </w:pPr>
    <w:rPr>
      <w:kern w:val="0"/>
      <w:szCs w:val="20"/>
      <w:lang w:eastAsia="zh-CN"/>
      <w14:ligatures w14:val="none"/>
    </w:rPr>
  </w:style>
  <w:style w:type="paragraph" w:styleId="ListContinue">
    <w:name w:val="List Continue"/>
    <w:basedOn w:val="Normal"/>
    <w:uiPriority w:val="99"/>
    <w:pPr>
      <w:spacing w:after="120"/>
      <w:ind w:left="283"/>
      <w:jc w:val="both"/>
    </w:pPr>
    <w:rPr>
      <w:kern w:val="0"/>
      <w:szCs w:val="20"/>
      <w:lang w:eastAsia="zh-CN"/>
      <w14:ligatures w14:val="none"/>
    </w:rPr>
  </w:style>
  <w:style w:type="paragraph" w:styleId="ListContinue2">
    <w:name w:val="List Continue 2"/>
    <w:basedOn w:val="Normal"/>
    <w:uiPriority w:val="99"/>
    <w:pPr>
      <w:spacing w:after="120"/>
      <w:ind w:left="566"/>
      <w:jc w:val="both"/>
    </w:pPr>
    <w:rPr>
      <w:kern w:val="0"/>
      <w:szCs w:val="20"/>
      <w:lang w:eastAsia="zh-CN"/>
      <w14:ligatures w14:val="none"/>
    </w:rPr>
  </w:style>
  <w:style w:type="paragraph" w:styleId="ListContinue3">
    <w:name w:val="List Continue 3"/>
    <w:basedOn w:val="Normal"/>
    <w:uiPriority w:val="99"/>
    <w:pPr>
      <w:spacing w:after="120"/>
      <w:ind w:left="849"/>
      <w:jc w:val="both"/>
    </w:pPr>
    <w:rPr>
      <w:kern w:val="0"/>
      <w:szCs w:val="20"/>
      <w:lang w:eastAsia="zh-CN"/>
      <w14:ligatures w14:val="none"/>
    </w:rPr>
  </w:style>
  <w:style w:type="paragraph" w:styleId="ListContinue4">
    <w:name w:val="List Continue 4"/>
    <w:basedOn w:val="Normal"/>
    <w:uiPriority w:val="99"/>
    <w:pPr>
      <w:spacing w:after="120"/>
      <w:ind w:left="1132"/>
      <w:jc w:val="both"/>
    </w:pPr>
    <w:rPr>
      <w:kern w:val="0"/>
      <w:szCs w:val="20"/>
      <w:lang w:eastAsia="zh-CN"/>
      <w14:ligatures w14:val="none"/>
    </w:rPr>
  </w:style>
  <w:style w:type="paragraph" w:styleId="ListContinue5">
    <w:name w:val="List Continue 5"/>
    <w:basedOn w:val="Normal"/>
    <w:uiPriority w:val="99"/>
    <w:pPr>
      <w:spacing w:after="120"/>
      <w:ind w:left="1415"/>
      <w:jc w:val="both"/>
    </w:pPr>
    <w:rPr>
      <w:kern w:val="0"/>
      <w:szCs w:val="20"/>
      <w:lang w:eastAsia="zh-CN"/>
      <w14:ligatures w14:val="none"/>
    </w:rPr>
  </w:style>
  <w:style w:type="paragraph" w:styleId="MacroText">
    <w:name w:val="macro"/>
    <w:link w:val="MacroTextChar"/>
    <w:uiPriority w:val="99"/>
    <w:pPr>
      <w:tabs>
        <w:tab w:val="left" w:pos="480"/>
        <w:tab w:val="left" w:pos="960"/>
        <w:tab w:val="left" w:pos="1440"/>
        <w:tab w:val="left" w:pos="1920"/>
        <w:tab w:val="left" w:pos="2400"/>
        <w:tab w:val="left" w:pos="2880"/>
        <w:tab w:val="left" w:pos="3360"/>
        <w:tab w:val="left" w:pos="3840"/>
        <w:tab w:val="left" w:pos="4320"/>
      </w:tabs>
      <w:spacing w:after="240"/>
      <w:jc w:val="both"/>
    </w:pPr>
    <w:rPr>
      <w:rFonts w:ascii="Courier New" w:hAnsi="Courier New"/>
      <w:kern w:val="0"/>
      <w:lang w:eastAsia="en-US"/>
      <w14:ligatures w14:val="none"/>
    </w:rPr>
  </w:style>
  <w:style w:type="character" w:customStyle="1" w:styleId="MacroTextChar">
    <w:name w:val="Macro Text Char"/>
    <w:basedOn w:val="DefaultParagraphFont"/>
    <w:link w:val="MacroText"/>
    <w:uiPriority w:val="99"/>
    <w:rPr>
      <w:rFonts w:ascii="Courier New" w:hAnsi="Courier New"/>
      <w:kern w:val="0"/>
      <w:lang w:eastAsia="en-US"/>
      <w14:ligatures w14:val="none"/>
    </w:rPr>
  </w:style>
  <w:style w:type="paragraph" w:styleId="MessageHeader">
    <w:name w:val="Message Header"/>
    <w:basedOn w:val="Normal"/>
    <w:link w:val="MessageHeaderChar"/>
    <w:uiPriority w:val="99"/>
    <w:pPr>
      <w:pBdr>
        <w:top w:val="single" w:sz="6" w:space="1" w:color="auto"/>
        <w:left w:val="single" w:sz="6" w:space="1" w:color="auto"/>
        <w:bottom w:val="single" w:sz="6" w:space="1" w:color="auto"/>
        <w:right w:val="single" w:sz="6" w:space="1" w:color="auto"/>
      </w:pBdr>
      <w:shd w:val="pct20" w:color="auto" w:fill="auto"/>
      <w:spacing w:after="240"/>
      <w:ind w:left="1134" w:hanging="1134"/>
      <w:jc w:val="both"/>
    </w:pPr>
    <w:rPr>
      <w:rFonts w:ascii="Arial" w:hAnsi="Arial"/>
      <w:kern w:val="0"/>
      <w:szCs w:val="20"/>
      <w:lang w:eastAsia="zh-CN"/>
      <w14:ligatures w14:val="none"/>
    </w:rPr>
  </w:style>
  <w:style w:type="character" w:customStyle="1" w:styleId="MessageHeaderChar">
    <w:name w:val="Message Header Char"/>
    <w:basedOn w:val="DefaultParagraphFont"/>
    <w:link w:val="MessageHeader"/>
    <w:uiPriority w:val="99"/>
    <w:rPr>
      <w:rFonts w:ascii="Arial" w:hAnsi="Arial"/>
      <w:kern w:val="0"/>
      <w:sz w:val="24"/>
      <w:shd w:val="pct20" w:color="auto" w:fill="auto"/>
      <w:lang w:val="ro-RO" w:eastAsia="zh-CN"/>
      <w14:ligatures w14:val="none"/>
    </w:rPr>
  </w:style>
  <w:style w:type="paragraph" w:styleId="NormalIndent">
    <w:name w:val="Normal Indent"/>
    <w:basedOn w:val="Normal"/>
    <w:uiPriority w:val="99"/>
    <w:pPr>
      <w:spacing w:after="240"/>
      <w:ind w:left="720"/>
      <w:jc w:val="both"/>
    </w:pPr>
    <w:rPr>
      <w:kern w:val="0"/>
      <w:szCs w:val="20"/>
      <w:lang w:eastAsia="zh-CN"/>
      <w14:ligatures w14:val="none"/>
    </w:rPr>
  </w:style>
  <w:style w:type="paragraph" w:styleId="NoteHeading">
    <w:name w:val="Note Heading"/>
    <w:basedOn w:val="Normal"/>
    <w:next w:val="Normal"/>
    <w:link w:val="NoteHeadingChar"/>
    <w:uiPriority w:val="99"/>
    <w:pPr>
      <w:spacing w:after="240"/>
      <w:jc w:val="both"/>
    </w:pPr>
    <w:rPr>
      <w:kern w:val="0"/>
      <w:szCs w:val="20"/>
      <w:lang w:eastAsia="zh-CN"/>
      <w14:ligatures w14:val="none"/>
    </w:rPr>
  </w:style>
  <w:style w:type="character" w:customStyle="1" w:styleId="NoteHeadingChar">
    <w:name w:val="Note Heading Char"/>
    <w:basedOn w:val="DefaultParagraphFont"/>
    <w:link w:val="NoteHeading"/>
    <w:uiPriority w:val="99"/>
    <w:rPr>
      <w:kern w:val="0"/>
      <w:sz w:val="24"/>
      <w:lang w:val="ro-RO" w:eastAsia="zh-CN"/>
      <w14:ligatures w14:val="none"/>
    </w:rPr>
  </w:style>
  <w:style w:type="paragraph" w:customStyle="1" w:styleId="NoteHead">
    <w:name w:val="NoteHead"/>
    <w:basedOn w:val="Normal"/>
    <w:next w:val="Subject"/>
    <w:pPr>
      <w:spacing w:before="720" w:after="720"/>
      <w:jc w:val="center"/>
    </w:pPr>
    <w:rPr>
      <w:b/>
      <w:smallCaps/>
      <w:kern w:val="0"/>
      <w:szCs w:val="20"/>
      <w:lang w:eastAsia="zh-CN"/>
      <w14:ligatures w14:val="none"/>
    </w:rPr>
  </w:style>
  <w:style w:type="paragraph" w:customStyle="1" w:styleId="Subject">
    <w:name w:val="Subject"/>
    <w:basedOn w:val="Normal"/>
    <w:next w:val="Normal"/>
    <w:pPr>
      <w:spacing w:after="480"/>
      <w:ind w:left="1191" w:hanging="1191"/>
    </w:pPr>
    <w:rPr>
      <w:b/>
      <w:kern w:val="0"/>
      <w:szCs w:val="20"/>
      <w:lang w:eastAsia="zh-CN"/>
      <w14:ligatures w14:val="none"/>
    </w:rPr>
  </w:style>
  <w:style w:type="paragraph" w:customStyle="1" w:styleId="NoteList">
    <w:name w:val="NoteList"/>
    <w:basedOn w:val="Normal"/>
    <w:next w:val="Subject"/>
    <w:pPr>
      <w:tabs>
        <w:tab w:val="left" w:pos="5823"/>
      </w:tabs>
      <w:spacing w:before="720" w:after="720"/>
      <w:ind w:left="5104" w:hanging="3119"/>
    </w:pPr>
    <w:rPr>
      <w:b/>
      <w:smallCaps/>
      <w:kern w:val="0"/>
      <w:szCs w:val="20"/>
      <w:lang w:eastAsia="zh-CN"/>
      <w14:ligatures w14:val="none"/>
    </w:rPr>
  </w:style>
  <w:style w:type="paragraph" w:styleId="PlainText">
    <w:name w:val="Plain Text"/>
    <w:basedOn w:val="Normal"/>
    <w:link w:val="PlainTextChar"/>
    <w:uiPriority w:val="99"/>
    <w:pPr>
      <w:spacing w:after="240"/>
      <w:jc w:val="both"/>
    </w:pPr>
    <w:rPr>
      <w:rFonts w:ascii="Courier New" w:hAnsi="Courier New"/>
      <w:kern w:val="0"/>
      <w:sz w:val="20"/>
      <w:szCs w:val="20"/>
      <w:lang w:eastAsia="zh-CN"/>
      <w14:ligatures w14:val="none"/>
    </w:rPr>
  </w:style>
  <w:style w:type="character" w:customStyle="1" w:styleId="PlainTextChar">
    <w:name w:val="Plain Text Char"/>
    <w:basedOn w:val="DefaultParagraphFont"/>
    <w:link w:val="PlainText"/>
    <w:uiPriority w:val="99"/>
    <w:rPr>
      <w:rFonts w:ascii="Courier New" w:hAnsi="Courier New"/>
      <w:kern w:val="0"/>
      <w:lang w:val="ro-RO" w:eastAsia="zh-CN"/>
      <w14:ligatures w14:val="none"/>
    </w:rPr>
  </w:style>
  <w:style w:type="paragraph" w:styleId="Salutation">
    <w:name w:val="Salutation"/>
    <w:basedOn w:val="Normal"/>
    <w:next w:val="Normal"/>
    <w:link w:val="SalutationChar"/>
    <w:uiPriority w:val="99"/>
    <w:pPr>
      <w:spacing w:after="240"/>
      <w:jc w:val="both"/>
    </w:pPr>
    <w:rPr>
      <w:kern w:val="0"/>
      <w:szCs w:val="20"/>
      <w:lang w:eastAsia="zh-CN"/>
      <w14:ligatures w14:val="none"/>
    </w:rPr>
  </w:style>
  <w:style w:type="character" w:customStyle="1" w:styleId="SalutationChar">
    <w:name w:val="Salutation Char"/>
    <w:basedOn w:val="DefaultParagraphFont"/>
    <w:link w:val="Salutation"/>
    <w:uiPriority w:val="99"/>
    <w:rPr>
      <w:kern w:val="0"/>
      <w:sz w:val="24"/>
      <w:lang w:val="ro-RO" w:eastAsia="zh-CN"/>
      <w14:ligatures w14:val="none"/>
    </w:rPr>
  </w:style>
  <w:style w:type="paragraph" w:customStyle="1" w:styleId="YReferences">
    <w:name w:val="YReferences"/>
    <w:basedOn w:val="Normal"/>
    <w:next w:val="Normal"/>
    <w:pPr>
      <w:spacing w:after="480"/>
      <w:ind w:left="1191" w:hanging="1191"/>
      <w:jc w:val="both"/>
    </w:pPr>
    <w:rPr>
      <w:kern w:val="0"/>
      <w:szCs w:val="20"/>
      <w:lang w:eastAsia="zh-CN"/>
      <w14:ligatures w14:val="none"/>
    </w:rPr>
  </w:style>
  <w:style w:type="paragraph" w:customStyle="1" w:styleId="DisclaimerNotice">
    <w:name w:val="Disclaimer Notice"/>
    <w:basedOn w:val="Normal"/>
    <w:next w:val="AddressTR"/>
    <w:pPr>
      <w:spacing w:after="240"/>
      <w:ind w:left="5103"/>
    </w:pPr>
    <w:rPr>
      <w:b/>
      <w:smallCaps/>
      <w:kern w:val="0"/>
      <w:sz w:val="20"/>
      <w:szCs w:val="20"/>
      <w:u w:val="single"/>
      <w:lang w:eastAsia="zh-CN"/>
      <w14:ligatures w14:val="none"/>
    </w:rPr>
  </w:style>
  <w:style w:type="paragraph" w:customStyle="1" w:styleId="Disclaimer">
    <w:name w:val="Disclaimer"/>
    <w:basedOn w:val="Normal"/>
    <w:pPr>
      <w:keepLines/>
      <w:pBdr>
        <w:top w:val="single" w:sz="4" w:space="1" w:color="auto"/>
      </w:pBdr>
      <w:spacing w:before="480"/>
      <w:jc w:val="both"/>
    </w:pPr>
    <w:rPr>
      <w:i/>
      <w:kern w:val="0"/>
      <w:szCs w:val="20"/>
      <w:lang w:eastAsia="zh-CN"/>
      <w14:ligatures w14:val="none"/>
    </w:rPr>
  </w:style>
  <w:style w:type="character" w:styleId="FollowedHyperlink">
    <w:name w:val="FollowedHyperlink"/>
    <w:basedOn w:val="DefaultParagraphFont"/>
    <w:uiPriority w:val="99"/>
    <w:rPr>
      <w:color w:val="800080"/>
      <w:u w:val="single"/>
      <w:shd w:val="clear" w:color="auto" w:fill="auto"/>
    </w:rPr>
  </w:style>
  <w:style w:type="paragraph" w:customStyle="1" w:styleId="DisclaimerSJ">
    <w:name w:val="Disclaimer_SJ"/>
    <w:basedOn w:val="Normal"/>
    <w:next w:val="Normal"/>
    <w:pPr>
      <w:jc w:val="both"/>
    </w:pPr>
    <w:rPr>
      <w:rFonts w:ascii="Arial" w:hAnsi="Arial"/>
      <w:b/>
      <w:kern w:val="0"/>
      <w:sz w:val="16"/>
      <w:szCs w:val="20"/>
      <w:lang w:eastAsia="zh-CN"/>
      <w14:ligatures w14:val="none"/>
    </w:rPr>
  </w:style>
  <w:style w:type="paragraph" w:customStyle="1" w:styleId="ZCom">
    <w:name w:val="Z_Com"/>
    <w:basedOn w:val="Normal"/>
    <w:next w:val="ZDGName"/>
    <w:pPr>
      <w:widowControl w:val="0"/>
      <w:ind w:right="85"/>
      <w:jc w:val="both"/>
    </w:pPr>
    <w:rPr>
      <w:rFonts w:ascii="Arial" w:hAnsi="Arial"/>
      <w:kern w:val="0"/>
      <w:szCs w:val="20"/>
      <w:lang w:eastAsia="en-US"/>
      <w14:ligatures w14:val="none"/>
    </w:rPr>
  </w:style>
  <w:style w:type="paragraph" w:customStyle="1" w:styleId="ZDGName">
    <w:name w:val="Z_DGName"/>
    <w:basedOn w:val="Normal"/>
    <w:pPr>
      <w:widowControl w:val="0"/>
      <w:ind w:right="85"/>
    </w:pPr>
    <w:rPr>
      <w:rFonts w:ascii="Arial" w:hAnsi="Arial"/>
      <w:kern w:val="0"/>
      <w:sz w:val="16"/>
      <w:szCs w:val="20"/>
      <w:lang w:eastAsia="en-US"/>
      <w14:ligatures w14:val="none"/>
    </w:rPr>
  </w:style>
  <w:style w:type="paragraph" w:customStyle="1" w:styleId="Style91">
    <w:name w:val="Style91"/>
    <w:rPr>
      <w:rFonts w:ascii="Arial" w:hAnsi="Arial"/>
      <w:kern w:val="0"/>
      <w:sz w:val="24"/>
      <w:lang w:eastAsia="en-US"/>
      <w14:ligatures w14:val="none"/>
    </w:rPr>
  </w:style>
  <w:style w:type="paragraph" w:customStyle="1" w:styleId="texte">
    <w:name w:val="texte"/>
    <w:basedOn w:val="Normal"/>
    <w:pPr>
      <w:spacing w:before="100" w:beforeAutospacing="1" w:after="100" w:afterAutospacing="1"/>
      <w:jc w:val="both"/>
    </w:pPr>
    <w:rPr>
      <w:rFonts w:ascii="Arial" w:hAnsi="Arial" w:cs="Arial"/>
      <w:color w:val="333399"/>
      <w:kern w:val="0"/>
      <w:sz w:val="18"/>
      <w:szCs w:val="18"/>
      <w:lang w:eastAsia="zh-CN"/>
      <w14:ligatures w14:val="none"/>
    </w:rPr>
  </w:style>
  <w:style w:type="table" w:styleId="TableGrid">
    <w:name w:val="Table Grid"/>
    <w:basedOn w:val="TableNormal"/>
    <w:uiPriority w:val="39"/>
    <w:pPr>
      <w:spacing w:before="120" w:after="120"/>
      <w:jc w:val="both"/>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rPr>
      <w:sz w:val="16"/>
      <w:shd w:val="clear" w:color="auto" w:fill="auto"/>
    </w:rPr>
  </w:style>
  <w:style w:type="paragraph" w:styleId="CommentText">
    <w:name w:val="annotation text"/>
    <w:basedOn w:val="Normal"/>
    <w:link w:val="CommentTextChar"/>
    <w:uiPriority w:val="99"/>
    <w:pPr>
      <w:spacing w:before="120" w:after="120"/>
      <w:jc w:val="both"/>
    </w:pPr>
    <w:rPr>
      <w:kern w:val="0"/>
      <w:sz w:val="20"/>
      <w:szCs w:val="20"/>
      <w:lang w:eastAsia="zh-CN"/>
      <w14:ligatures w14:val="none"/>
    </w:rPr>
  </w:style>
  <w:style w:type="character" w:customStyle="1" w:styleId="CommentTextChar">
    <w:name w:val="Comment Text Char"/>
    <w:basedOn w:val="DefaultParagraphFont"/>
    <w:link w:val="CommentText"/>
    <w:uiPriority w:val="99"/>
    <w:rPr>
      <w:kern w:val="0"/>
      <w:lang w:val="ro-RO" w:eastAsia="zh-CN"/>
      <w14:ligatures w14:val="none"/>
    </w:rPr>
  </w:style>
  <w:style w:type="paragraph" w:styleId="CommentSubject">
    <w:name w:val="annotation subject"/>
    <w:basedOn w:val="CommentText"/>
    <w:next w:val="CommentText"/>
    <w:link w:val="CommentSubjectChar"/>
    <w:uiPriority w:val="99"/>
    <w:rPr>
      <w:b/>
      <w:bCs/>
    </w:rPr>
  </w:style>
  <w:style w:type="character" w:customStyle="1" w:styleId="CommentSubjectChar">
    <w:name w:val="Comment Subject Char"/>
    <w:basedOn w:val="CommentTextChar"/>
    <w:link w:val="CommentSubject"/>
    <w:uiPriority w:val="99"/>
    <w:rPr>
      <w:b/>
      <w:bCs/>
      <w:kern w:val="0"/>
      <w:lang w:val="ro-RO" w:eastAsia="zh-CN"/>
      <w14:ligatures w14:val="none"/>
    </w:rPr>
  </w:style>
  <w:style w:type="paragraph" w:customStyle="1" w:styleId="Style1">
    <w:name w:val="Style1"/>
    <w:basedOn w:val="Heading1"/>
    <w:pPr>
      <w:tabs>
        <w:tab w:val="left" w:pos="709"/>
      </w:tabs>
      <w:spacing w:before="240" w:after="0"/>
      <w:ind w:left="851" w:hanging="851"/>
    </w:pPr>
    <w:rPr>
      <w:bCs/>
      <w:color w:val="244061" w:themeColor="accent1" w:themeShade="80"/>
      <w:kern w:val="0"/>
      <w:sz w:val="36"/>
      <w:szCs w:val="20"/>
      <w:lang w:eastAsia="zh-CN"/>
      <w14:ligatures w14:val="none"/>
    </w:rPr>
  </w:style>
  <w:style w:type="paragraph" w:customStyle="1" w:styleId="Normal10pt">
    <w:name w:val="Normal + 10 pt"/>
    <w:aliases w:val="Condensed by  0,15 pt"/>
    <w:basedOn w:val="Normal"/>
    <w:pPr>
      <w:keepNext/>
      <w:suppressAutoHyphens/>
      <w:ind w:left="255"/>
    </w:pPr>
    <w:rPr>
      <w:spacing w:val="-3"/>
      <w:kern w:val="0"/>
      <w:sz w:val="18"/>
      <w:szCs w:val="18"/>
      <w:lang w:eastAsia="zh-CN"/>
      <w14:ligatures w14:val="none"/>
    </w:rPr>
  </w:style>
  <w:style w:type="paragraph" w:customStyle="1" w:styleId="5Normal">
    <w:name w:val="5 Normal"/>
    <w:pPr>
      <w:tabs>
        <w:tab w:val="left" w:pos="284"/>
        <w:tab w:val="left" w:pos="567"/>
        <w:tab w:val="left" w:pos="851"/>
        <w:tab w:val="left" w:pos="1134"/>
        <w:tab w:val="left" w:pos="1418"/>
        <w:tab w:val="left" w:pos="1701"/>
        <w:tab w:val="left" w:pos="1985"/>
        <w:tab w:val="left" w:pos="2268"/>
        <w:tab w:val="left" w:pos="2552"/>
        <w:tab w:val="left" w:pos="3119"/>
        <w:tab w:val="left" w:pos="4253"/>
        <w:tab w:val="left" w:pos="5954"/>
        <w:tab w:val="left" w:pos="8222"/>
        <w:tab w:val="right" w:pos="11057"/>
      </w:tabs>
      <w:suppressAutoHyphens/>
      <w:spacing w:after="120"/>
      <w:jc w:val="both"/>
    </w:pPr>
    <w:rPr>
      <w:rFonts w:ascii="Arial" w:hAnsi="Arial"/>
      <w:spacing w:val="-2"/>
      <w:kern w:val="0"/>
      <w:sz w:val="22"/>
      <w14:ligatures w14:val="none"/>
    </w:rPr>
  </w:style>
  <w:style w:type="character" w:styleId="Emphasis">
    <w:name w:val="Emphasis"/>
    <w:basedOn w:val="DefaultParagraphFont"/>
    <w:uiPriority w:val="20"/>
    <w:qFormat/>
    <w:rPr>
      <w:i/>
      <w:iCs/>
    </w:rPr>
  </w:style>
  <w:style w:type="paragraph" w:styleId="Caption">
    <w:name w:val="caption"/>
    <w:basedOn w:val="Normal"/>
    <w:next w:val="Normal"/>
    <w:uiPriority w:val="35"/>
    <w:unhideWhenUsed/>
    <w:qFormat/>
    <w:pPr>
      <w:spacing w:after="160"/>
    </w:pPr>
    <w:rPr>
      <w:rFonts w:asciiTheme="minorHAnsi" w:eastAsiaTheme="minorEastAsia" w:hAnsiTheme="minorHAnsi" w:cstheme="minorBidi"/>
      <w:b/>
      <w:bCs/>
      <w:smallCaps/>
      <w:color w:val="1F497D" w:themeColor="text2"/>
      <w:kern w:val="0"/>
      <w:sz w:val="22"/>
      <w:szCs w:val="22"/>
      <w:lang w:eastAsia="en-US"/>
      <w14:ligatures w14:val="none"/>
    </w:rPr>
  </w:style>
  <w:style w:type="paragraph" w:styleId="EndnoteText">
    <w:name w:val="endnote text"/>
    <w:basedOn w:val="Normal"/>
    <w:link w:val="EndnoteTextChar"/>
    <w:uiPriority w:val="99"/>
    <w:pPr>
      <w:spacing w:after="240"/>
      <w:jc w:val="both"/>
    </w:pPr>
    <w:rPr>
      <w:kern w:val="0"/>
      <w:sz w:val="20"/>
      <w:szCs w:val="20"/>
      <w:lang w:eastAsia="en-US"/>
      <w14:ligatures w14:val="none"/>
    </w:rPr>
  </w:style>
  <w:style w:type="character" w:customStyle="1" w:styleId="EndnoteTextChar">
    <w:name w:val="Endnote Text Char"/>
    <w:basedOn w:val="DefaultParagraphFont"/>
    <w:link w:val="EndnoteText"/>
    <w:uiPriority w:val="99"/>
    <w:rPr>
      <w:kern w:val="0"/>
      <w:lang w:val="ro-RO" w:eastAsia="en-US"/>
      <w14:ligatures w14:val="none"/>
    </w:rPr>
  </w:style>
  <w:style w:type="paragraph" w:styleId="Index2">
    <w:name w:val="index 2"/>
    <w:basedOn w:val="Normal"/>
    <w:next w:val="Normal"/>
    <w:autoRedefine/>
    <w:uiPriority w:val="99"/>
    <w:pPr>
      <w:spacing w:after="240"/>
      <w:ind w:left="480" w:hanging="240"/>
      <w:jc w:val="both"/>
    </w:pPr>
    <w:rPr>
      <w:kern w:val="0"/>
      <w:szCs w:val="20"/>
      <w:lang w:eastAsia="en-US"/>
      <w14:ligatures w14:val="none"/>
    </w:rPr>
  </w:style>
  <w:style w:type="paragraph" w:styleId="Index3">
    <w:name w:val="index 3"/>
    <w:basedOn w:val="Normal"/>
    <w:next w:val="Normal"/>
    <w:autoRedefine/>
    <w:uiPriority w:val="99"/>
    <w:pPr>
      <w:spacing w:after="240"/>
      <w:ind w:left="720" w:hanging="240"/>
      <w:jc w:val="both"/>
    </w:pPr>
    <w:rPr>
      <w:kern w:val="0"/>
      <w:szCs w:val="20"/>
      <w:lang w:eastAsia="en-US"/>
      <w14:ligatures w14:val="none"/>
    </w:rPr>
  </w:style>
  <w:style w:type="paragraph" w:styleId="Index4">
    <w:name w:val="index 4"/>
    <w:basedOn w:val="Normal"/>
    <w:next w:val="Normal"/>
    <w:autoRedefine/>
    <w:uiPriority w:val="99"/>
    <w:pPr>
      <w:spacing w:after="240"/>
      <w:ind w:left="960" w:hanging="240"/>
      <w:jc w:val="both"/>
    </w:pPr>
    <w:rPr>
      <w:kern w:val="0"/>
      <w:szCs w:val="20"/>
      <w:lang w:eastAsia="en-US"/>
      <w14:ligatures w14:val="none"/>
    </w:rPr>
  </w:style>
  <w:style w:type="paragraph" w:styleId="Index5">
    <w:name w:val="index 5"/>
    <w:basedOn w:val="Normal"/>
    <w:next w:val="Normal"/>
    <w:autoRedefine/>
    <w:uiPriority w:val="99"/>
    <w:pPr>
      <w:spacing w:after="240"/>
      <w:ind w:left="1200" w:hanging="240"/>
      <w:jc w:val="both"/>
    </w:pPr>
    <w:rPr>
      <w:kern w:val="0"/>
      <w:szCs w:val="20"/>
      <w:lang w:eastAsia="en-US"/>
      <w14:ligatures w14:val="none"/>
    </w:rPr>
  </w:style>
  <w:style w:type="paragraph" w:styleId="Index6">
    <w:name w:val="index 6"/>
    <w:basedOn w:val="Normal"/>
    <w:next w:val="Normal"/>
    <w:autoRedefine/>
    <w:uiPriority w:val="99"/>
    <w:pPr>
      <w:spacing w:after="240"/>
      <w:ind w:left="1440" w:hanging="240"/>
      <w:jc w:val="both"/>
    </w:pPr>
    <w:rPr>
      <w:kern w:val="0"/>
      <w:szCs w:val="20"/>
      <w:lang w:eastAsia="en-US"/>
      <w14:ligatures w14:val="none"/>
    </w:rPr>
  </w:style>
  <w:style w:type="paragraph" w:styleId="Index7">
    <w:name w:val="index 7"/>
    <w:basedOn w:val="Normal"/>
    <w:next w:val="Normal"/>
    <w:autoRedefine/>
    <w:uiPriority w:val="99"/>
    <w:pPr>
      <w:spacing w:after="240"/>
      <w:ind w:left="1680" w:hanging="240"/>
      <w:jc w:val="both"/>
    </w:pPr>
    <w:rPr>
      <w:kern w:val="0"/>
      <w:szCs w:val="20"/>
      <w:lang w:eastAsia="en-US"/>
      <w14:ligatures w14:val="none"/>
    </w:rPr>
  </w:style>
  <w:style w:type="paragraph" w:styleId="Index9">
    <w:name w:val="index 9"/>
    <w:basedOn w:val="Normal"/>
    <w:next w:val="Normal"/>
    <w:autoRedefine/>
    <w:uiPriority w:val="99"/>
    <w:pPr>
      <w:spacing w:after="240"/>
      <w:ind w:left="2160" w:hanging="240"/>
      <w:jc w:val="both"/>
    </w:pPr>
    <w:rPr>
      <w:kern w:val="0"/>
      <w:szCs w:val="20"/>
      <w:lang w:eastAsia="en-US"/>
      <w14:ligatures w14:val="none"/>
    </w:rPr>
  </w:style>
  <w:style w:type="paragraph" w:styleId="TableofAuthorities">
    <w:name w:val="table of authorities"/>
    <w:basedOn w:val="Normal"/>
    <w:next w:val="Normal"/>
    <w:uiPriority w:val="99"/>
    <w:pPr>
      <w:spacing w:after="240"/>
      <w:ind w:left="240" w:hanging="240"/>
      <w:jc w:val="both"/>
    </w:pPr>
    <w:rPr>
      <w:kern w:val="0"/>
      <w:szCs w:val="20"/>
      <w:lang w:eastAsia="en-US"/>
      <w14:ligatures w14:val="none"/>
    </w:rPr>
  </w:style>
  <w:style w:type="paragraph" w:styleId="TableofFigures">
    <w:name w:val="table of figures"/>
    <w:basedOn w:val="Normal"/>
    <w:next w:val="Normal"/>
    <w:uiPriority w:val="99"/>
    <w:pPr>
      <w:spacing w:after="240"/>
      <w:ind w:left="480" w:hanging="480"/>
      <w:jc w:val="both"/>
    </w:pPr>
    <w:rPr>
      <w:kern w:val="0"/>
      <w:szCs w:val="20"/>
      <w:lang w:eastAsia="en-US"/>
      <w14:ligatures w14:val="none"/>
    </w:rPr>
  </w:style>
  <w:style w:type="paragraph" w:styleId="TOAHeading">
    <w:name w:val="toa heading"/>
    <w:basedOn w:val="Normal"/>
    <w:next w:val="Normal"/>
    <w:uiPriority w:val="99"/>
    <w:pPr>
      <w:spacing w:before="120" w:after="240"/>
      <w:jc w:val="both"/>
    </w:pPr>
    <w:rPr>
      <w:rFonts w:ascii="Arial" w:hAnsi="Arial"/>
      <w:b/>
      <w:kern w:val="0"/>
      <w:szCs w:val="20"/>
      <w:lang w:eastAsia="en-US"/>
      <w14:ligatures w14:val="none"/>
    </w:rPr>
  </w:style>
  <w:style w:type="paragraph" w:customStyle="1" w:styleId="Heading">
    <w:name w:val="Heading"/>
    <w:basedOn w:val="Heading1"/>
    <w:pPr>
      <w:tabs>
        <w:tab w:val="num" w:pos="480"/>
        <w:tab w:val="left" w:pos="709"/>
      </w:tabs>
      <w:spacing w:before="240" w:after="40"/>
      <w:ind w:left="480" w:hanging="480"/>
    </w:pPr>
    <w:rPr>
      <w:bCs/>
      <w:color w:val="244061" w:themeColor="accent1" w:themeShade="80"/>
      <w:kern w:val="0"/>
      <w:sz w:val="22"/>
      <w:szCs w:val="22"/>
      <w:lang w:eastAsia="en-US"/>
      <w14:ligatures w14:val="none"/>
    </w:rPr>
  </w:style>
  <w:style w:type="paragraph" w:customStyle="1" w:styleId="Normal1">
    <w:name w:val="Normal1"/>
    <w:basedOn w:val="Normal"/>
    <w:pPr>
      <w:spacing w:before="100" w:beforeAutospacing="1" w:after="100" w:afterAutospacing="1"/>
    </w:pPr>
    <w:rPr>
      <w:kern w:val="0"/>
      <w14:ligatures w14:val="none"/>
    </w:rPr>
  </w:style>
  <w:style w:type="paragraph" w:styleId="NormalWeb">
    <w:name w:val="Normal (Web)"/>
    <w:basedOn w:val="Normal"/>
    <w:uiPriority w:val="99"/>
    <w:pPr>
      <w:spacing w:before="60" w:after="60"/>
    </w:pPr>
    <w:rPr>
      <w:kern w:val="0"/>
      <w:sz w:val="20"/>
      <w:szCs w:val="20"/>
      <w14:ligatures w14:val="none"/>
    </w:rPr>
  </w:style>
  <w:style w:type="paragraph" w:customStyle="1" w:styleId="EntInstit">
    <w:name w:val="EntInstit"/>
    <w:basedOn w:val="NormalConseil"/>
    <w:pPr>
      <w:jc w:val="right"/>
    </w:pPr>
    <w:rPr>
      <w:b/>
    </w:rPr>
  </w:style>
  <w:style w:type="paragraph" w:customStyle="1" w:styleId="NormalConseil">
    <w:name w:val="NormalConseil"/>
    <w:basedOn w:val="Normal"/>
    <w:rPr>
      <w:kern w:val="0"/>
      <w:szCs w:val="20"/>
      <w:lang w:eastAsia="fr-BE"/>
      <w14:ligatures w14:val="none"/>
    </w:rPr>
  </w:style>
  <w:style w:type="paragraph" w:customStyle="1" w:styleId="EntRefer">
    <w:name w:val="EntRefer"/>
    <w:basedOn w:val="NormalConseil"/>
    <w:rPr>
      <w:b/>
    </w:rPr>
  </w:style>
  <w:style w:type="paragraph" w:customStyle="1" w:styleId="EntEmet">
    <w:name w:val="EntEmet"/>
    <w:basedOn w:val="NormalConseil"/>
    <w:pPr>
      <w:tabs>
        <w:tab w:val="left" w:pos="284"/>
        <w:tab w:val="left" w:pos="567"/>
        <w:tab w:val="left" w:pos="851"/>
        <w:tab w:val="left" w:pos="1134"/>
        <w:tab w:val="left" w:pos="1418"/>
      </w:tabs>
      <w:spacing w:before="40"/>
    </w:pPr>
  </w:style>
  <w:style w:type="paragraph" w:customStyle="1" w:styleId="EntLogo">
    <w:name w:val="EntLogo"/>
    <w:basedOn w:val="NormalConseil"/>
    <w:next w:val="EntInstit"/>
    <w:pPr>
      <w:spacing w:line="360" w:lineRule="auto"/>
    </w:pPr>
    <w:rPr>
      <w:b/>
    </w:rPr>
  </w:style>
  <w:style w:type="paragraph" w:customStyle="1" w:styleId="FooterConseil">
    <w:name w:val="FooterConseil"/>
    <w:basedOn w:val="NormalConseil"/>
    <w:pPr>
      <w:tabs>
        <w:tab w:val="center" w:pos="4820"/>
        <w:tab w:val="center" w:pos="7371"/>
        <w:tab w:val="right" w:pos="9639"/>
      </w:tabs>
    </w:pPr>
  </w:style>
  <w:style w:type="character" w:styleId="Strong">
    <w:name w:val="Strong"/>
    <w:basedOn w:val="DefaultParagraphFont"/>
    <w:uiPriority w:val="22"/>
    <w:qFormat/>
    <w:rPr>
      <w:b/>
      <w:bCs/>
    </w:rPr>
  </w:style>
  <w:style w:type="paragraph" w:customStyle="1" w:styleId="Annexetitrefichefinacte">
    <w:name w:val="Annexe titre (fiche fin. acte)"/>
    <w:basedOn w:val="Normal"/>
    <w:next w:val="Normal"/>
    <w:pPr>
      <w:spacing w:before="120" w:after="120"/>
      <w:jc w:val="center"/>
    </w:pPr>
    <w:rPr>
      <w:b/>
      <w:kern w:val="0"/>
      <w:u w:val="single"/>
      <w:lang w:eastAsia="de-DE"/>
      <w14:ligatures w14:val="none"/>
    </w:rPr>
  </w:style>
  <w:style w:type="character" w:customStyle="1" w:styleId="Text1Char">
    <w:name w:val="Text 1 Char"/>
    <w:link w:val="Text1"/>
    <w:locked/>
    <w:rPr>
      <w:rFonts w:eastAsia="MS PGothic"/>
      <w:noProof/>
      <w:kern w:val="0"/>
      <w:sz w:val="24"/>
      <w:szCs w:val="24"/>
      <w:lang w:val="ro-RO" w:eastAsia="en-US"/>
      <w14:ligatures w14:val="none"/>
    </w:rPr>
  </w:style>
  <w:style w:type="paragraph" w:customStyle="1" w:styleId="Declassification">
    <w:name w:val="Declassification"/>
    <w:basedOn w:val="Normal"/>
    <w:next w:val="Normal"/>
    <w:pPr>
      <w:jc w:val="both"/>
    </w:pPr>
    <w:rPr>
      <w:kern w:val="0"/>
      <w:szCs w:val="22"/>
      <w:lang w:eastAsia="en-US"/>
      <w14:ligatures w14:val="none"/>
    </w:rPr>
  </w:style>
  <w:style w:type="paragraph" w:styleId="Revision">
    <w:name w:val="Revision"/>
    <w:hidden/>
    <w:uiPriority w:val="99"/>
    <w:semiHidden/>
    <w:rPr>
      <w:kern w:val="0"/>
      <w:sz w:val="24"/>
      <w:szCs w:val="24"/>
      <w14:ligatures w14:val="none"/>
    </w:rPr>
  </w:style>
  <w:style w:type="paragraph" w:customStyle="1" w:styleId="SecurityMarking">
    <w:name w:val="SecurityMarking"/>
    <w:basedOn w:val="Normal"/>
    <w:pPr>
      <w:spacing w:line="259" w:lineRule="auto"/>
      <w:ind w:left="5103"/>
    </w:pPr>
    <w:rPr>
      <w:kern w:val="0"/>
      <w:sz w:val="28"/>
      <w:szCs w:val="22"/>
      <w:lang w:eastAsia="en-US"/>
      <w14:ligatures w14:val="none"/>
    </w:rPr>
  </w:style>
  <w:style w:type="paragraph" w:customStyle="1" w:styleId="DateMarking">
    <w:name w:val="DateMarking"/>
    <w:basedOn w:val="Normal"/>
    <w:pPr>
      <w:spacing w:line="259" w:lineRule="auto"/>
      <w:ind w:left="5103"/>
    </w:pPr>
    <w:rPr>
      <w:i/>
      <w:kern w:val="0"/>
      <w:sz w:val="28"/>
      <w:szCs w:val="22"/>
      <w:lang w:eastAsia="en-US"/>
      <w14:ligatures w14:val="none"/>
    </w:rPr>
  </w:style>
  <w:style w:type="paragraph" w:customStyle="1" w:styleId="ReleasableTo">
    <w:name w:val="ReleasableTo"/>
    <w:basedOn w:val="Normal"/>
    <w:pPr>
      <w:spacing w:line="259" w:lineRule="auto"/>
      <w:ind w:left="5103"/>
    </w:pPr>
    <w:rPr>
      <w:i/>
      <w:kern w:val="0"/>
      <w:sz w:val="28"/>
      <w:szCs w:val="22"/>
      <w:lang w:eastAsia="en-US"/>
      <w14:ligatures w14:val="none"/>
    </w:rPr>
  </w:style>
  <w:style w:type="numbering" w:styleId="111111">
    <w:name w:val="Outline List 2"/>
    <w:basedOn w:val="NoList"/>
    <w:uiPriority w:val="99"/>
    <w:semiHidden/>
    <w:unhideWhenUsed/>
    <w:pPr>
      <w:numPr>
        <w:numId w:val="17"/>
      </w:numPr>
    </w:pPr>
  </w:style>
  <w:style w:type="paragraph" w:customStyle="1" w:styleId="title-fam-member-star">
    <w:name w:val="title-fam-member-star"/>
    <w:basedOn w:val="Normal"/>
    <w:pPr>
      <w:spacing w:before="100" w:beforeAutospacing="1" w:after="100" w:afterAutospacing="1"/>
    </w:pPr>
    <w:rPr>
      <w:kern w:val="0"/>
      <w:lang w:eastAsia="en-US"/>
      <w14:ligatures w14:val="none"/>
    </w:rPr>
  </w:style>
  <w:style w:type="paragraph" w:customStyle="1" w:styleId="toc-1">
    <w:name w:val="toc-1"/>
    <w:basedOn w:val="Normal"/>
    <w:pPr>
      <w:spacing w:before="100" w:beforeAutospacing="1" w:after="100" w:afterAutospacing="1"/>
    </w:pPr>
    <w:rPr>
      <w:kern w:val="0"/>
      <w:lang w:eastAsia="en-US"/>
      <w14:ligatures w14:val="none"/>
    </w:rPr>
  </w:style>
  <w:style w:type="paragraph" w:customStyle="1" w:styleId="toc-2">
    <w:name w:val="toc-2"/>
    <w:basedOn w:val="Normal"/>
    <w:pPr>
      <w:spacing w:before="100" w:beforeAutospacing="1" w:after="100" w:afterAutospacing="1"/>
    </w:pPr>
    <w:rPr>
      <w:kern w:val="0"/>
      <w:lang w:eastAsia="en-US"/>
      <w14:ligatures w14:val="none"/>
    </w:rPr>
  </w:style>
  <w:style w:type="character" w:styleId="EndnoteReference">
    <w:name w:val="endnote reference"/>
    <w:basedOn w:val="DefaultParagraphFont"/>
    <w:uiPriority w:val="99"/>
    <w:semiHidden/>
    <w:unhideWhenUsed/>
    <w:rPr>
      <w:vertAlign w:val="superscript"/>
    </w:rPr>
  </w:style>
  <w:style w:type="table" w:customStyle="1" w:styleId="TableGrid1">
    <w:name w:val="Table Grid1"/>
    <w:basedOn w:val="TableNormal"/>
    <w:next w:val="TableGrid"/>
    <w:uiPriority w:val="39"/>
    <w:pPr>
      <w:spacing w:before="120" w:after="120"/>
      <w:jc w:val="both"/>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DefaultParagraphFont"/>
    <w:uiPriority w:val="99"/>
    <w:semiHidden/>
    <w:unhideWhenUsed/>
    <w:rPr>
      <w:color w:val="605E5C"/>
      <w:shd w:val="clear" w:color="auto" w:fill="E1DFDD"/>
    </w:rPr>
  </w:style>
  <w:style w:type="paragraph" w:styleId="NoSpacing">
    <w:name w:val="No Spacing"/>
    <w:uiPriority w:val="1"/>
    <w:qFormat/>
    <w:rPr>
      <w:rFonts w:asciiTheme="minorHAnsi" w:eastAsiaTheme="minorEastAsia" w:hAnsiTheme="minorHAnsi" w:cstheme="minorBidi"/>
      <w:kern w:val="0"/>
      <w:sz w:val="22"/>
      <w:szCs w:val="22"/>
      <w:lang w:eastAsia="en-US"/>
      <w14:ligatures w14:val="none"/>
    </w:rPr>
  </w:style>
  <w:style w:type="character" w:styleId="SubtleEmphasis">
    <w:name w:val="Subtle Emphasis"/>
    <w:basedOn w:val="DefaultParagraphFont"/>
    <w:uiPriority w:val="19"/>
    <w:qFormat/>
    <w:rPr>
      <w:i/>
      <w:iCs/>
      <w:color w:val="595959" w:themeColor="text1" w:themeTint="A6"/>
    </w:rPr>
  </w:style>
  <w:style w:type="character" w:styleId="SubtleReference">
    <w:name w:val="Subtle Reference"/>
    <w:basedOn w:val="DefaultParagraphFont"/>
    <w:uiPriority w:val="31"/>
    <w:qFormat/>
    <w:rPr>
      <w:smallCaps/>
      <w:color w:val="595959" w:themeColor="text1" w:themeTint="A6"/>
      <w:u w:val="none" w:color="7F7F7F" w:themeColor="text1" w:themeTint="80"/>
      <w:bdr w:val="none" w:sz="0" w:space="0" w:color="auto"/>
    </w:rPr>
  </w:style>
  <w:style w:type="character" w:styleId="BookTitle">
    <w:name w:val="Book Title"/>
    <w:basedOn w:val="DefaultParagraphFont"/>
    <w:uiPriority w:val="33"/>
    <w:qFormat/>
    <w:rPr>
      <w:b/>
      <w:bCs/>
      <w:smallCaps/>
      <w:spacing w:val="10"/>
    </w:rPr>
  </w:style>
  <w:style w:type="character" w:customStyle="1" w:styleId="UnresolvedMention2">
    <w:name w:val="Unresolved Mention2"/>
    <w:basedOn w:val="DefaultParagraphFont"/>
    <w:uiPriority w:val="99"/>
    <w:semiHidden/>
    <w:unhideWhenUsed/>
    <w:rPr>
      <w:color w:val="605E5C"/>
      <w:shd w:val="clear" w:color="auto" w:fill="E1DFDD"/>
    </w:rPr>
  </w:style>
  <w:style w:type="character" w:styleId="Mention">
    <w:name w:val="Mention"/>
    <w:basedOn w:val="DefaultParagraphFont"/>
    <w:uiPriority w:val="99"/>
    <w:unhideWhenUsed/>
    <w:rPr>
      <w:color w:val="2B579A"/>
      <w:shd w:val="clear" w:color="auto" w:fill="E1DFDD"/>
    </w:rPr>
  </w:style>
  <w:style w:type="character" w:styleId="UnresolvedMention">
    <w:name w:val="Unresolved Mention"/>
    <w:basedOn w:val="DefaultParagraphFont"/>
    <w:uiPriority w:val="99"/>
    <w:semiHidden/>
    <w:unhideWhenUsed/>
    <w:rPr>
      <w:color w:val="605E5C"/>
      <w:shd w:val="clear" w:color="auto" w:fill="E1DFDD"/>
    </w:rPr>
  </w:style>
  <w:style w:type="paragraph" w:customStyle="1" w:styleId="paragraph">
    <w:name w:val="paragraph"/>
    <w:basedOn w:val="Normal"/>
    <w:pPr>
      <w:spacing w:before="100" w:beforeAutospacing="1" w:after="100" w:afterAutospacing="1"/>
    </w:pPr>
    <w:rPr>
      <w:kern w:val="0"/>
      <w:lang w:eastAsia="en-IE"/>
      <w14:ligatures w14:val="none"/>
    </w:rPr>
  </w:style>
  <w:style w:type="character" w:customStyle="1" w:styleId="normaltextrun">
    <w:name w:val="normaltextrun"/>
    <w:basedOn w:val="DefaultParagraphFont"/>
  </w:style>
  <w:style w:type="character" w:customStyle="1" w:styleId="eop">
    <w:name w:val="eop"/>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image" Target="media/image7.emf"/><Relationship Id="rId3" Type="http://schemas.openxmlformats.org/officeDocument/2006/relationships/styles" Target="styles.xml"/><Relationship Id="rId21" Type="http://schemas.openxmlformats.org/officeDocument/2006/relationships/image" Target="media/image2.emf"/><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image" Target="media/image6.emf"/><Relationship Id="rId33" Type="http://schemas.openxmlformats.org/officeDocument/2006/relationships/header" Target="header9.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7.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5.emf"/><Relationship Id="rId32" Type="http://schemas.openxmlformats.org/officeDocument/2006/relationships/footer" Target="footer8.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image" Target="media/image4.emf"/><Relationship Id="rId28" Type="http://schemas.openxmlformats.org/officeDocument/2006/relationships/image" Target="media/image9.emf"/><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3.emf"/><Relationship Id="rId27" Type="http://schemas.openxmlformats.org/officeDocument/2006/relationships/image" Target="media/image8.emf"/><Relationship Id="rId30" Type="http://schemas.openxmlformats.org/officeDocument/2006/relationships/header" Target="header8.xml"/><Relationship Id="rId35" Type="http://schemas.openxmlformats.org/officeDocument/2006/relationships/fontTable" Target="fontTable.xml"/><Relationship Id="rId8" Type="http://schemas.openxmlformats.org/officeDocument/2006/relationships/image" Target="media/image1.emf"/></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reg_impl/2014/809/oj" TargetMode="External"/><Relationship Id="rId3" Type="http://schemas.openxmlformats.org/officeDocument/2006/relationships/hyperlink" Target="http://data.europa.eu/eli/reg_impl/2021/128/oj" TargetMode="External"/><Relationship Id="rId7" Type="http://schemas.openxmlformats.org/officeDocument/2006/relationships/hyperlink" Target="http://data.europa.eu/eli/reg_del/2014/640/oj" TargetMode="External"/><Relationship Id="rId2" Type="http://schemas.openxmlformats.org/officeDocument/2006/relationships/hyperlink" Target="http://data.europa.eu/eli/reg/2024/765/oj" TargetMode="External"/><Relationship Id="rId1" Type="http://schemas.openxmlformats.org/officeDocument/2006/relationships/hyperlink" Target="http://data.europa.eu/eli/reg/2020/2093/oj" TargetMode="External"/><Relationship Id="rId6" Type="http://schemas.openxmlformats.org/officeDocument/2006/relationships/hyperlink" Target="http://data.europa.eu/eli/reg/2013/1307/oj" TargetMode="External"/><Relationship Id="rId11" Type="http://schemas.openxmlformats.org/officeDocument/2006/relationships/hyperlink" Target="https://commission.europa.eu/publications/annual-activity-report-2025-agriculture-and-rural-development_en" TargetMode="External"/><Relationship Id="rId5" Type="http://schemas.openxmlformats.org/officeDocument/2006/relationships/hyperlink" Target="http://data.europa.eu/eli/reg/2013/1306/oj" TargetMode="External"/><Relationship Id="rId10" Type="http://schemas.openxmlformats.org/officeDocument/2006/relationships/hyperlink" Target="http://data.europa.eu/eli/reg_impl/2022/1173/oj" TargetMode="External"/><Relationship Id="rId4" Type="http://schemas.openxmlformats.org/officeDocument/2006/relationships/hyperlink" Target="http://data.europa.eu/eli/reg/2021/2116/oj" TargetMode="External"/><Relationship Id="rId9" Type="http://schemas.openxmlformats.org/officeDocument/2006/relationships/hyperlink" Target="http://data.europa.eu/eli/reg_del/2022/1172/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F43AF72-FEB6-4C7A-9BDC-9C6CC0DAF3A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345</TotalTime>
  <Pages>2</Pages>
  <Words>4096</Words>
  <Characters>23350</Characters>
  <Application>Microsoft Office Word</Application>
  <DocSecurity>0</DocSecurity>
  <Lines>194</Lines>
  <Paragraphs>54</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27392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SVC-T1-CODE-PRD</cp:lastModifiedBy>
  <cp:revision>38</cp:revision>
  <cp:lastPrinted>2026-06-16T18:31:00Z</cp:lastPrinted>
  <dcterms:created xsi:type="dcterms:W3CDTF">2026-06-16T23:58:00Z</dcterms:created>
  <dcterms:modified xsi:type="dcterms:W3CDTF">2026-09-03T12:20:00Z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evel of sensitivity">
    <vt:lpwstr>Standard treatment</vt:lpwstr>
  </property>
  <property fmtid="{D5CDD505-2E9C-101B-9397-08002B2CF9AE}" pid="3" name="Part">
    <vt:lpwstr>1</vt:lpwstr>
  </property>
  <property fmtid="{D5CDD505-2E9C-101B-9397-08002B2CF9AE}" pid="4" name="Total parts">
    <vt:lpwstr>1</vt:lpwstr>
  </property>
  <property fmtid="{D5CDD505-2E9C-101B-9397-08002B2CF9AE}" pid="5" name="DocStatus">
    <vt:lpwstr>Green</vt:lpwstr>
  </property>
  <property fmtid="{D5CDD505-2E9C-101B-9397-08002B2CF9AE}" pid="6" name="CPTemplateID">
    <vt:lpwstr>CP-006</vt:lpwstr>
  </property>
  <property fmtid="{D5CDD505-2E9C-101B-9397-08002B2CF9AE}" pid="7" name="Last edited using">
    <vt:lpwstr>LW 9.2, Build 20250828</vt:lpwstr>
  </property>
  <property fmtid="{D5CDD505-2E9C-101B-9397-08002B2CF9AE}" pid="8" name="Created using">
    <vt:lpwstr>LW 9.2, Build 20250828</vt:lpwstr>
  </property>
  <property fmtid="{D5CDD505-2E9C-101B-9397-08002B2CF9AE}" pid="9" name="MSIP_Label_6bd9ddd1-4d20-43f6-abfa-fc3c07406f94_Enabled">
    <vt:lpwstr>true</vt:lpwstr>
  </property>
  <property fmtid="{D5CDD505-2E9C-101B-9397-08002B2CF9AE}" pid="10" name="MSIP_Label_6bd9ddd1-4d20-43f6-abfa-fc3c07406f94_SetDate">
    <vt:lpwstr>2026-03-26T14:29:44Z</vt:lpwstr>
  </property>
  <property fmtid="{D5CDD505-2E9C-101B-9397-08002B2CF9AE}" pid="11" name="MSIP_Label_6bd9ddd1-4d20-43f6-abfa-fc3c07406f94_Method">
    <vt:lpwstr>Standard</vt:lpwstr>
  </property>
  <property fmtid="{D5CDD505-2E9C-101B-9397-08002B2CF9AE}" pid="12" name="MSIP_Label_6bd9ddd1-4d20-43f6-abfa-fc3c07406f94_Name">
    <vt:lpwstr>Commission Use</vt:lpwstr>
  </property>
  <property fmtid="{D5CDD505-2E9C-101B-9397-08002B2CF9AE}" pid="13" name="MSIP_Label_6bd9ddd1-4d20-43f6-abfa-fc3c07406f94_SiteId">
    <vt:lpwstr>b24c8b06-522c-46fe-9080-70926f8dddb1</vt:lpwstr>
  </property>
  <property fmtid="{D5CDD505-2E9C-101B-9397-08002B2CF9AE}" pid="14" name="MSIP_Label_6bd9ddd1-4d20-43f6-abfa-fc3c07406f94_ActionId">
    <vt:lpwstr>70880732-fe59-495c-8380-73da9b2cb5fa</vt:lpwstr>
  </property>
  <property fmtid="{D5CDD505-2E9C-101B-9397-08002B2CF9AE}" pid="15" name="MSIP_Label_6bd9ddd1-4d20-43f6-abfa-fc3c07406f94_ContentBits">
    <vt:lpwstr>0</vt:lpwstr>
  </property>
  <property fmtid="{D5CDD505-2E9C-101B-9397-08002B2CF9AE}" pid="16" name="MSIP_Label_6bd9ddd1-4d20-43f6-abfa-fc3c07406f94_Tag">
    <vt:lpwstr>10, 3, 0, 1</vt:lpwstr>
  </property>
</Properties>
</file>