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6B63041-ABCC-45EB-A917-04FA08DF25CA" style="width:455.25pt;height:369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rPr>
          <w:noProof/>
        </w:rPr>
      </w:pPr>
      <w:r>
        <w:rPr>
          <w:noProof/>
        </w:rPr>
        <w:lastRenderedPageBreak/>
        <w:t xml:space="preserve">Introducere </w:t>
      </w:r>
    </w:p>
    <w:p>
      <w:pPr>
        <w:spacing w:line="276" w:lineRule="auto"/>
        <w:rPr>
          <w:noProof/>
        </w:rPr>
      </w:pPr>
      <w:r>
        <w:rPr>
          <w:noProof/>
        </w:rPr>
        <w:t>Cele cinci misiuni ale UE au fost lansate în 2021 ca o nouă inițiativă în cadrul programului Orizont Europa 2021 – 2027 (</w:t>
      </w:r>
      <w:r>
        <w:rPr>
          <w:rStyle w:val="FootnoteReference"/>
          <w:noProof/>
        </w:rPr>
        <w:footnoteReference w:id="1"/>
      </w:r>
      <w:r>
        <w:rPr>
          <w:noProof/>
        </w:rPr>
        <w:t>). Ele abordează provocări societale presante – schimbările climatice, sănătatea solului și a apelor și cancerul – nelimitându-se la instrumentele tradiționale și plasând cercetarea și inovarea </w:t>
      </w:r>
      <w:bookmarkStart w:id="1" w:name="_Hlk228266190"/>
      <w:r>
        <w:rPr>
          <w:noProof/>
        </w:rPr>
        <w:t>(C&amp;I)</w:t>
      </w:r>
      <w:bookmarkEnd w:id="1"/>
      <w:r>
        <w:rPr>
          <w:noProof/>
        </w:rPr>
        <w:t xml:space="preserve"> într-un nou rol. Misiunile UE se axează pe transformarea sistemică, care necesită incluziune, proiectare în comun, extindere, implementare și implicare societală în generarea de soluții pentru provocările majore determinate de considerentele de politică ale UE.</w:t>
      </w:r>
    </w:p>
    <w:p>
      <w:pPr>
        <w:spacing w:line="276" w:lineRule="auto"/>
        <w:rPr>
          <w:noProof/>
        </w:rPr>
      </w:pPr>
      <w:r>
        <w:rPr>
          <w:noProof/>
        </w:rPr>
        <w:t>Pentru perioada 2021 – 2027, bugetul misiunilor este de 4,837 miliarde EUR, bugetul lor pentru perioada 2024 – 2027 reprezentând 11 % din totalul alocat pilonului II al programului Orizont Europa. Între lansarea misiunilor UE în 2021 și 2025, UE a contribuit cu 3,337 miliarde EUR la cererile de propuneri ale misiunilor UE prin intermediul finanțării din cadrul programului Orizont Europa. Astfel, proiectele individuale de C&amp;I rămân în centrul misiunilor (</w:t>
      </w:r>
      <w:r>
        <w:rPr>
          <w:rStyle w:val="FootnoteReference"/>
          <w:noProof/>
        </w:rPr>
        <w:footnoteReference w:id="2"/>
      </w:r>
      <w:r>
        <w:rPr>
          <w:noProof/>
        </w:rPr>
        <w:t xml:space="preserve">), dar sunt integrate într-o abordare sistemică în jurul unor cereri de propuneri specifice pentru atingerea obiectivelor fiecărei misiuni. Aceasta permite misiunilor să producă un impact societal și o transformare pe termen lung în conformitate cu obiectivele lor. </w:t>
      </w:r>
    </w:p>
    <w:p>
      <w:pPr>
        <w:spacing w:line="276" w:lineRule="auto"/>
        <w:rPr>
          <w:noProof/>
        </w:rPr>
      </w:pPr>
      <w:r>
        <w:rPr>
          <w:noProof/>
        </w:rPr>
        <w:t>În proiectul de Regulament de instituire a programului Orizont Europa pentru perioada 2028 – 2034 (</w:t>
      </w:r>
      <w:r>
        <w:rPr>
          <w:rStyle w:val="FootnoteReference"/>
          <w:noProof/>
        </w:rPr>
        <w:footnoteReference w:id="3"/>
      </w:r>
      <w:r>
        <w:rPr>
          <w:noProof/>
        </w:rPr>
        <w:t>), Comisia Europeană a propus ca finanțarea misiunilor UE să fie acordată pe baza programelor de lucru care acoperă perioada până la exercițiul bugetar 2030, în conformitate cu temeiul lor juridic și reflectând valoarea lor adăugată în următorul cadru financiar multianual.</w:t>
      </w:r>
    </w:p>
    <w:p>
      <w:pPr>
        <w:spacing w:line="276" w:lineRule="auto"/>
        <w:rPr>
          <w:noProof/>
          <w:szCs w:val="22"/>
        </w:rPr>
      </w:pPr>
      <w:r>
        <w:rPr>
          <w:noProof/>
        </w:rPr>
        <w:t xml:space="preserve">Cele cinci misiuni ale UE vizează atingerea următoarelor obiective </w:t>
      </w:r>
      <w:r>
        <w:rPr>
          <w:b/>
          <w:noProof/>
        </w:rPr>
        <w:t>până în 2030</w:t>
      </w:r>
      <w:r>
        <w:rPr>
          <w:noProof/>
        </w:rPr>
        <w:t>:</w:t>
      </w:r>
    </w:p>
    <w:p>
      <w:pPr>
        <w:numPr>
          <w:ilvl w:val="0"/>
          <w:numId w:val="24"/>
        </w:numPr>
        <w:spacing w:after="0" w:line="276" w:lineRule="auto"/>
        <w:rPr>
          <w:noProof/>
          <w:szCs w:val="22"/>
        </w:rPr>
      </w:pPr>
      <w:r>
        <w:rPr>
          <w:noProof/>
          <w:u w:val="single"/>
        </w:rPr>
        <w:t>Adaptarea la schimbările climatice</w:t>
      </w:r>
      <w:r>
        <w:rPr>
          <w:noProof/>
        </w:rPr>
        <w:t>: sprijinirea a cel puțin 150 de regiuni, autorități locale și comunități europene să devină reziliente la efectele schimbărilor climatice.</w:t>
      </w:r>
    </w:p>
    <w:p>
      <w:pPr>
        <w:numPr>
          <w:ilvl w:val="0"/>
          <w:numId w:val="24"/>
        </w:numPr>
        <w:spacing w:after="0" w:line="276" w:lineRule="auto"/>
        <w:rPr>
          <w:noProof/>
          <w:szCs w:val="24"/>
        </w:rPr>
      </w:pPr>
      <w:r>
        <w:rPr>
          <w:noProof/>
          <w:u w:val="single"/>
        </w:rPr>
        <w:t>Cancerul</w:t>
      </w:r>
      <w:r>
        <w:rPr>
          <w:noProof/>
        </w:rPr>
        <w:t xml:space="preserve">: îmbunătățirea vieții a peste 3 milioane de persoane prin profilaxie, depistare timpurie, tratament și îngrijire nu numai pentru persoanele afectate de cancer, ci și pentru familiile acestora. </w:t>
      </w:r>
    </w:p>
    <w:p>
      <w:pPr>
        <w:numPr>
          <w:ilvl w:val="0"/>
          <w:numId w:val="24"/>
        </w:numPr>
        <w:spacing w:after="0" w:line="276" w:lineRule="auto"/>
        <w:rPr>
          <w:noProof/>
          <w:szCs w:val="24"/>
        </w:rPr>
      </w:pPr>
      <w:r>
        <w:rPr>
          <w:noProof/>
          <w:u w:val="single"/>
        </w:rPr>
        <w:t>Oceanele și apele:</w:t>
      </w:r>
      <w:r>
        <w:rPr>
          <w:noProof/>
        </w:rPr>
        <w:t xml:space="preserve"> refacerea sănătății oceanelor și a apelor noastre prin protejarea și refacerea ecosistemelor acvatice, reducerea poluării și transformarea economiei albastre într-o economie circulară și neutră din punctul de vedere al emisiilor de dioxid de carbon.</w:t>
      </w:r>
    </w:p>
    <w:p>
      <w:pPr>
        <w:numPr>
          <w:ilvl w:val="0"/>
          <w:numId w:val="24"/>
        </w:numPr>
        <w:spacing w:after="0" w:line="276" w:lineRule="auto"/>
        <w:rPr>
          <w:noProof/>
          <w:color w:val="000000" w:themeColor="text1"/>
          <w:szCs w:val="24"/>
        </w:rPr>
      </w:pPr>
      <w:r>
        <w:rPr>
          <w:noProof/>
          <w:color w:val="000000" w:themeColor="text1"/>
          <w:u w:val="single"/>
        </w:rPr>
        <w:t>Orașele</w:t>
      </w:r>
      <w:r>
        <w:rPr>
          <w:noProof/>
          <w:color w:val="000000" w:themeColor="text1"/>
        </w:rPr>
        <w:t xml:space="preserve">: sprijinirea a cel puțin 100 de orașe în realizarea neutralității climatice, permițând în același timp reproducerea în întreaga Europă. </w:t>
      </w:r>
    </w:p>
    <w:p>
      <w:pPr>
        <w:numPr>
          <w:ilvl w:val="0"/>
          <w:numId w:val="24"/>
        </w:numPr>
        <w:spacing w:after="120" w:line="276" w:lineRule="auto"/>
        <w:rPr>
          <w:noProof/>
          <w:szCs w:val="22"/>
        </w:rPr>
      </w:pPr>
      <w:r>
        <w:rPr>
          <w:noProof/>
          <w:u w:val="single"/>
        </w:rPr>
        <w:lastRenderedPageBreak/>
        <w:t>Solul</w:t>
      </w:r>
      <w:r>
        <w:rPr>
          <w:noProof/>
        </w:rPr>
        <w:t>: înființarea a 100 de laboratoare vii care să conducă tranziția către soluri sănătoase.</w:t>
      </w:r>
    </w:p>
    <w:p>
      <w:pPr>
        <w:spacing w:line="276" w:lineRule="auto"/>
        <w:rPr>
          <w:noProof/>
          <w:szCs w:val="24"/>
        </w:rPr>
      </w:pPr>
      <w:r>
        <w:rPr>
          <w:noProof/>
        </w:rPr>
        <w:t>Se estimează că misiunile își vor atinge obiectivele și vor permite schimbări semnificative prin îmbunătățirea coordonării dintre domeniile de politică și nivelurile de guvernanță, prin încurajarea participării publicului larg și a părților interesate, prin atragerea de investiții din afara programului Orizont Europa și prin producerea de proiecte de C&amp;I care pot fi partajate, extinse și cu aplicații reale.</w:t>
      </w:r>
    </w:p>
    <w:p>
      <w:pPr>
        <w:pStyle w:val="Heading1"/>
        <w:rPr>
          <w:noProof/>
        </w:rPr>
      </w:pPr>
      <w:r>
        <w:rPr>
          <w:noProof/>
        </w:rPr>
        <w:t>Evaluarea din 2026 a misiunilor UE</w:t>
      </w:r>
    </w:p>
    <w:p>
      <w:pPr>
        <w:spacing w:line="276" w:lineRule="auto"/>
        <w:rPr>
          <w:noProof/>
        </w:rPr>
      </w:pPr>
      <w:r>
        <w:rPr>
          <w:noProof/>
        </w:rPr>
        <w:t>Prezentul raport și documentul de lucru însoțitor al serviciilor Comisiei prezintă principalele informații dintr-o evaluare a misiunilor UE efectuată în 2025 și 2026 (</w:t>
      </w:r>
      <w:r>
        <w:rPr>
          <w:rStyle w:val="FootnoteReference"/>
          <w:noProof/>
        </w:rPr>
        <w:footnoteReference w:id="4"/>
      </w:r>
      <w:r>
        <w:rPr>
          <w:noProof/>
        </w:rPr>
        <w:t>), evaluând progresele înregistrate de cele cinci misiuni ale UE în direcția îndeplinirii obiectivelor lor și examinând modul în care abordarea politică orientată spre îndeplinirea obiectivelor misiunilor sprijină capacitatea acestora de a determina schimbări. Acest exercițiu vine în continuarea angajamentului Comisiei Europene, stabilit în comunicarea din 2023 intitulată „Misiunile UE după doi ani: evaluarea progreselor înregistrate și calea de urmat” (</w:t>
      </w:r>
      <w:r>
        <w:rPr>
          <w:rStyle w:val="FootnoteReference"/>
          <w:noProof/>
          <w:szCs w:val="24"/>
        </w:rPr>
        <w:footnoteReference w:id="5"/>
      </w:r>
      <w:r>
        <w:rPr>
          <w:noProof/>
        </w:rPr>
        <w:t xml:space="preserve">), de a „[elabora] un nou raport de evaluare privind punerea în aplicare a misiunilor UE”. </w:t>
      </w:r>
    </w:p>
    <w:p>
      <w:pPr>
        <w:pStyle w:val="Heading1"/>
        <w:rPr>
          <w:noProof/>
        </w:rPr>
      </w:pPr>
      <w:r>
        <w:rPr>
          <w:noProof/>
        </w:rPr>
        <w:t>Progresele, realizările și impactul misiunilor UE</w:t>
      </w:r>
    </w:p>
    <w:p>
      <w:pPr>
        <w:pStyle w:val="Heading2"/>
        <w:rPr>
          <w:noProof/>
        </w:rPr>
      </w:pPr>
      <w:r>
        <w:rPr>
          <w:noProof/>
        </w:rPr>
        <w:t>Progresele înregistrate de misiunile UE în direcția îndeplinirii obiectivelor și a realizărilor de valoare mare</w:t>
      </w:r>
    </w:p>
    <w:p>
      <w:pPr>
        <w:spacing w:line="276" w:lineRule="auto"/>
        <w:rPr>
          <w:noProof/>
        </w:rPr>
      </w:pPr>
      <w:r>
        <w:rPr>
          <w:noProof/>
        </w:rPr>
        <w:t xml:space="preserve">Toate misiunile UE au înregistrat progrese substanțiale în direcția îndeplinirii obiectivelor lor. </w:t>
      </w:r>
      <w:r>
        <w:rPr>
          <w:b/>
          <w:noProof/>
        </w:rPr>
        <w:t xml:space="preserve">Misiunea privind adaptarea la schimbările climatice </w:t>
      </w:r>
      <w:r>
        <w:rPr>
          <w:noProof/>
        </w:rPr>
        <w:t xml:space="preserve">și-a depășit deja obiectivul, sprijinind 292 de autorități regionale și locale în eforturile lor de adaptare la schimbările climatice, cu mult peste obiectivul ei de 150. Asistența tehnică și financiară adaptată a permis acestor autorități să înțeleagă mai bine riscurile climatice, să planifice măsuri de adaptare, să mobilizeze investiții și să își consolideze capacitatea de a asigura reziliența la schimbările climatice. Pe baza activităților sprijinite în perioada 2021 – 2024, se estimează că </w:t>
      </w:r>
      <w:r>
        <w:rPr>
          <w:b/>
          <w:noProof/>
        </w:rPr>
        <w:t>misiunea privind cancerul</w:t>
      </w:r>
      <w:r>
        <w:rPr>
          <w:noProof/>
        </w:rPr>
        <w:t xml:space="preserve"> va fi în măsură, până în 2030, să îmbunătățească viața a 2,3 milioane de persoane, din obiectivul ei de 3 milioane. </w:t>
      </w:r>
      <w:bookmarkStart w:id="2" w:name="_Hlk229057564"/>
      <w:r>
        <w:rPr>
          <w:noProof/>
        </w:rPr>
        <w:t xml:space="preserve">Se estimează că </w:t>
      </w:r>
      <w:r>
        <w:rPr>
          <w:b/>
          <w:noProof/>
        </w:rPr>
        <w:t>misiunea privind solul</w:t>
      </w:r>
      <w:r>
        <w:rPr>
          <w:noProof/>
        </w:rPr>
        <w:t xml:space="preserve"> își va depăși obiectivul de 100 de laboratoare vii care implică toate principalele zone pedoclimatice, procese de degradare și utilizări ale terenurilor în întreaga UE: ea a înființat deja 45 de laboratoare vii care implică peste 500 de situri reale (cum ar fi fermele) în întreaga Europă, iar procesul de selecție pentru încă 60 – 70 este în curs de derulare.</w:t>
      </w:r>
      <w:bookmarkEnd w:id="2"/>
      <w:r>
        <w:rPr>
          <w:noProof/>
        </w:rPr>
        <w:t xml:space="preserve"> </w:t>
      </w:r>
      <w:r>
        <w:rPr>
          <w:b/>
          <w:noProof/>
          <w:color w:val="000000" w:themeColor="text1"/>
        </w:rPr>
        <w:t>Misiunea privind oceanul și apele</w:t>
      </w:r>
      <w:r>
        <w:rPr>
          <w:noProof/>
        </w:rPr>
        <w:t xml:space="preserve"> a promovat obiectivele UE pentru 2030 în materie de biodiversitate, reducere la zero a poluării și economie albastră neutră din punct de vedere </w:t>
      </w:r>
      <w:r>
        <w:rPr>
          <w:noProof/>
        </w:rPr>
        <w:lastRenderedPageBreak/>
        <w:t>climatic, furnizând 121 de soluții, testate în 349 de situri demonstrative din lumea reală, implicând 86 de regiuni în acțiuni de reproducere și mobilizând peste 1 000 de acțiuni în cadrul cartei, din partea părților interesate</w:t>
      </w:r>
      <w:r>
        <w:rPr>
          <w:noProof/>
          <w:color w:val="000000" w:themeColor="text1"/>
        </w:rPr>
        <w:t xml:space="preserve">. </w:t>
      </w:r>
      <w:r>
        <w:rPr>
          <w:b/>
          <w:noProof/>
          <w:color w:val="000000" w:themeColor="text1"/>
        </w:rPr>
        <w:t>Misiunea privind orașele</w:t>
      </w:r>
      <w:r>
        <w:rPr>
          <w:noProof/>
          <w:color w:val="000000" w:themeColor="text1"/>
        </w:rPr>
        <w:t xml:space="preserve"> are rezultate bune, 107 orașe elaborând contracte municipale privind clima, care cuprind angajamente politice, planuri de acțiune și planuri de investiții neutre din punctul de vedere al impactului asupra climei care, împreună, identifică o reducere a emisiilor cu 199,68 MtCO</w:t>
      </w:r>
      <w:r>
        <w:rPr>
          <w:noProof/>
          <w:color w:val="000000" w:themeColor="text1"/>
          <w:vertAlign w:val="subscript"/>
        </w:rPr>
        <w:t>2</w:t>
      </w:r>
      <w:r>
        <w:rPr>
          <w:noProof/>
          <w:color w:val="000000" w:themeColor="text1"/>
        </w:rPr>
        <w:t>e (</w:t>
      </w:r>
      <w:r>
        <w:rPr>
          <w:rStyle w:val="FootnoteReference"/>
          <w:noProof/>
          <w:color w:val="000000" w:themeColor="text1"/>
        </w:rPr>
        <w:footnoteReference w:id="6"/>
      </w:r>
      <w:r>
        <w:rPr>
          <w:noProof/>
          <w:color w:val="000000" w:themeColor="text1"/>
        </w:rPr>
        <w:t>) </w:t>
      </w:r>
      <w:r>
        <w:rPr>
          <w:noProof/>
        </w:rPr>
        <w:t xml:space="preserve">, aproximativ echivalentă cu emisiile anuale combinate ale Austriei, României și Slovaciei. Aceste rezultate constituie un angajament și o mobilizare fără precedent în jurul unui cadru de neutralitate climatică, abordarea misiunii extinzându-se dincolo de cohorta inițială prin intermediul platformelor naționale și al activităților de reproducere de la oraș la oraș. </w:t>
      </w:r>
    </w:p>
    <w:p>
      <w:pPr>
        <w:spacing w:line="276" w:lineRule="auto"/>
        <w:rPr>
          <w:noProof/>
        </w:rPr>
      </w:pPr>
      <w:r>
        <w:rPr>
          <w:noProof/>
        </w:rPr>
        <w:t>Misiunile UE au fost lansate intenționat cu obiective foarte ambițioase, reflectând amploarea și urgența provocărilor pe care le abordează.</w:t>
      </w:r>
      <w:r>
        <w:rPr>
          <w:noProof/>
          <w:color w:val="000000" w:themeColor="text1"/>
        </w:rPr>
        <w:t xml:space="preserve"> Toate aceste obiective sunt îndrăznețe și ambițioase, dar diferă în mod semnificativ în ceea ce privește sfera de cuprindere și măsurabilitatea. Prin urmare</w:t>
      </w:r>
      <w:r>
        <w:rPr>
          <w:noProof/>
        </w:rPr>
        <w:t>, progresele cantitative în direcția îndeplinirii obiectivelor lor reprezintă o măsură limitată a succesului misiunilor UE. Pe lângă obiectivele lor principale pentru 2030, toate misiunile UE au fost extrem de eficace în ceea ce privește producerea unui impact tangibil care să abordeze provocările societale. Acest aspect este demonstrat de următoarele realizări cu valoare mare:</w:t>
      </w:r>
    </w:p>
    <w:p>
      <w:pPr>
        <w:numPr>
          <w:ilvl w:val="1"/>
          <w:numId w:val="28"/>
        </w:numPr>
        <w:spacing w:after="120" w:line="276" w:lineRule="auto"/>
        <w:rPr>
          <w:noProof/>
          <w:szCs w:val="24"/>
        </w:rPr>
      </w:pPr>
      <w:r>
        <w:rPr>
          <w:b/>
          <w:noProof/>
        </w:rPr>
        <w:t>Misiunea privind adaptarea la schimbările climatice</w:t>
      </w:r>
      <w:r>
        <w:rPr>
          <w:noProof/>
        </w:rPr>
        <w:t xml:space="preserve"> a mobilizat una dintre </w:t>
      </w:r>
      <w:r>
        <w:rPr>
          <w:b/>
          <w:noProof/>
        </w:rPr>
        <w:t>cele mai mari coaliții pentru reziliență la schimbările climatice reunite vreodată la nivelul UE, colaborând direct cu peste 600 de regiuni și autorități locale</w:t>
      </w:r>
      <w:r>
        <w:rPr>
          <w:noProof/>
        </w:rPr>
        <w:t>.</w:t>
      </w:r>
      <w:r>
        <w:rPr>
          <w:b/>
          <w:noProof/>
        </w:rPr>
        <w:t xml:space="preserve"> </w:t>
      </w:r>
      <w:r>
        <w:rPr>
          <w:noProof/>
        </w:rPr>
        <w:t>Printre acestea se numără 333 de autorități care și-au asumat un angajament politic față de misiune, 292 de autorități care primesc asistență tehnică și 297 de autorități implicate în proiecte demonstrative.</w:t>
      </w:r>
      <w:r>
        <w:rPr>
          <w:b/>
          <w:noProof/>
        </w:rPr>
        <w:t xml:space="preserve"> </w:t>
      </w:r>
      <w:r>
        <w:rPr>
          <w:noProof/>
        </w:rPr>
        <w:t xml:space="preserve">Dincolo de această mobilizare amplă, misiunea ajută autoritățile regionale și locale să integreze adaptarea în structurile de guvernanță, să elaboreze evaluări ale riscurilor climatice și strategii de adaptare, să îmbunătățească coordonarea între nivelurile administrației centrale și să testeze soluții inovatoare de reziliență adaptate la realitățile locale. </w:t>
      </w:r>
      <w:r>
        <w:rPr>
          <w:b/>
          <w:noProof/>
        </w:rPr>
        <w:t>Misiunea sprijină în prezent 185 de regiuni și autorități locale care demonstrează aproape 1 000 de soluții inovatoare de adaptare în condiții reale(</w:t>
      </w:r>
      <w:r>
        <w:rPr>
          <w:rStyle w:val="FootnoteReference"/>
          <w:bCs/>
          <w:noProof/>
          <w:szCs w:val="24"/>
        </w:rPr>
        <w:footnoteReference w:id="7"/>
      </w:r>
      <w:r>
        <w:rPr>
          <w:noProof/>
        </w:rPr>
        <w:t xml:space="preserve">), în timp ce alte 112 teritorii pregătesc terenul pentru reproducerea și extinderea viitoare. Prin proiectare în comun cu publicul larg, cu cercetătorii și cu părțile interesate de la nivel local, aceste activități contribuie la transpunerea obiectivelor de adaptare în acțiuni concrete pe teren. </w:t>
      </w:r>
    </w:p>
    <w:p>
      <w:pPr>
        <w:numPr>
          <w:ilvl w:val="1"/>
          <w:numId w:val="28"/>
        </w:numPr>
        <w:spacing w:after="120" w:line="276" w:lineRule="auto"/>
        <w:rPr>
          <w:noProof/>
        </w:rPr>
      </w:pPr>
      <w:r>
        <w:rPr>
          <w:noProof/>
        </w:rPr>
        <w:t xml:space="preserve">În ceea ce privește </w:t>
      </w:r>
      <w:r>
        <w:rPr>
          <w:b/>
          <w:noProof/>
        </w:rPr>
        <w:t>misiunea privind cancerul</w:t>
      </w:r>
      <w:r>
        <w:rPr>
          <w:noProof/>
        </w:rPr>
        <w:t xml:space="preserve">, toate statele membre și trei țări asociate la programul Orizont Europa s-au alăturat inițiativei de coordonare a </w:t>
      </w:r>
      <w:r>
        <w:rPr>
          <w:noProof/>
        </w:rPr>
        <w:lastRenderedPageBreak/>
        <w:t xml:space="preserve">instituirii </w:t>
      </w:r>
      <w:r>
        <w:rPr>
          <w:b/>
          <w:noProof/>
        </w:rPr>
        <w:t>rețelei de centre naționale ale misiunii privind cancerul</w:t>
      </w:r>
      <w:r>
        <w:rPr>
          <w:noProof/>
        </w:rPr>
        <w:t xml:space="preserve">. Acest aspect semnalează un angajament politic fără precedent de a transforma profilaxia și îngrijirea cancerului. Se estimează că până la sfârșitul anului 2026 vor fi înființate </w:t>
      </w:r>
      <w:r>
        <w:rPr>
          <w:b/>
          <w:noProof/>
        </w:rPr>
        <w:t>19 centre (</w:t>
      </w:r>
      <w:r>
        <w:rPr>
          <w:rStyle w:val="FootnoteReference"/>
          <w:noProof/>
        </w:rPr>
        <w:footnoteReference w:id="8"/>
      </w:r>
      <w:r>
        <w:rPr>
          <w:noProof/>
        </w:rPr>
        <w:t>), aproape jumătate dintre acestea fiind deja operaționale. Aceste centre reproduc abordarea misiunii privind cancerul la nivel național, regional și local, eliminând barierele, reunind cercetători, experți clinici, factori de decizie, organizații ale pacienților, finanțatori și reprezentanți ai industriei pentru a accelera inovarea, contribuind la îmbunătățirea accesului echitabil la profilaxie și îngrijire în întreaga Europă.</w:t>
      </w:r>
    </w:p>
    <w:p>
      <w:pPr>
        <w:numPr>
          <w:ilvl w:val="1"/>
          <w:numId w:val="28"/>
        </w:numPr>
        <w:spacing w:after="120" w:line="276" w:lineRule="auto"/>
        <w:rPr>
          <w:noProof/>
        </w:rPr>
      </w:pPr>
      <w:r>
        <w:rPr>
          <w:b/>
          <w:noProof/>
        </w:rPr>
        <w:t>Misiunea privind oceanul și apele</w:t>
      </w:r>
      <w:r>
        <w:rPr>
          <w:noProof/>
        </w:rPr>
        <w:t xml:space="preserve"> a dezvoltat un portofoliu din ce în ce mai mare de 121 de soluții pentru refacerea oceanelor și a apelor, testate în 349 de situri demonstrative și reproduse în 86 de regiuni din întreaga Europă și din afara acesteia. Misiunea a atras peste 1 000 de angajamente în temeiul cartei misiunii sale din partea actorilor publici și privați din întreaga lume (</w:t>
      </w:r>
      <w:r>
        <w:rPr>
          <w:rStyle w:val="FootnoteReference"/>
          <w:noProof/>
        </w:rPr>
        <w:footnoteReference w:id="9"/>
      </w:r>
      <w:r>
        <w:rPr>
          <w:noProof/>
        </w:rPr>
        <w:t xml:space="preserve">). În plus, a finalizat proiectarea infrastructurii de bază a </w:t>
      </w:r>
      <w:r>
        <w:rPr>
          <w:b/>
          <w:noProof/>
        </w:rPr>
        <w:t xml:space="preserve">platformei europene </w:t>
      </w:r>
      <w:r>
        <w:rPr>
          <w:b/>
          <w:i/>
          <w:iCs/>
          <w:noProof/>
        </w:rPr>
        <w:t>Digital Twin Ocean</w:t>
      </w:r>
      <w:r>
        <w:rPr>
          <w:noProof/>
        </w:rPr>
        <w:t xml:space="preserve">, care este acum accesibilă tuturor. Se estimează că platforma </w:t>
      </w:r>
      <w:r>
        <w:rPr>
          <w:i/>
          <w:iCs/>
          <w:noProof/>
        </w:rPr>
        <w:t>Digital Twin Ocean</w:t>
      </w:r>
      <w:r>
        <w:rPr>
          <w:noProof/>
        </w:rPr>
        <w:t xml:space="preserve"> va fi pe deplin operațională până în 2030 ca serviciu public, oferind informații actualizate în permanență cu privire la comportamentul speciilor marine, modelele de circulație marină, procesele biogeochimice, activitățile economice și altele.</w:t>
      </w:r>
    </w:p>
    <w:p>
      <w:pPr>
        <w:numPr>
          <w:ilvl w:val="1"/>
          <w:numId w:val="28"/>
        </w:numPr>
        <w:spacing w:after="120" w:line="276" w:lineRule="auto"/>
        <w:rPr>
          <w:noProof/>
          <w:szCs w:val="24"/>
        </w:rPr>
      </w:pPr>
      <w:r>
        <w:rPr>
          <w:noProof/>
        </w:rPr>
        <w:t xml:space="preserve">În cadrul </w:t>
      </w:r>
      <w:r>
        <w:rPr>
          <w:b/>
          <w:noProof/>
        </w:rPr>
        <w:t>misiunii privind orașele</w:t>
      </w:r>
      <w:r>
        <w:rPr>
          <w:noProof/>
        </w:rPr>
        <w:t xml:space="preserve">, </w:t>
      </w:r>
      <w:r>
        <w:rPr>
          <w:b/>
          <w:noProof/>
        </w:rPr>
        <w:t>107 orașe s-au angajat să reducă cu 76 % emisiile lor actuale de gaze cu efect de seră</w:t>
      </w:r>
      <w:r>
        <w:rPr>
          <w:noProof/>
        </w:rPr>
        <w:t>(</w:t>
      </w:r>
      <w:r>
        <w:rPr>
          <w:rStyle w:val="FootnoteReference"/>
          <w:noProof/>
        </w:rPr>
        <w:footnoteReference w:id="10"/>
      </w:r>
      <w:r>
        <w:rPr>
          <w:noProof/>
        </w:rPr>
        <w:t>)</w:t>
      </w:r>
      <w:r>
        <w:rPr>
          <w:noProof/>
          <w:color w:val="000000" w:themeColor="text1"/>
        </w:rPr>
        <w:t>, echivalentul a aproximativ 6,6 % din emisiile UE-27 în 2024</w:t>
      </w:r>
      <w:r>
        <w:rPr>
          <w:noProof/>
        </w:rPr>
        <w:t>.</w:t>
      </w:r>
      <w:r>
        <w:rPr>
          <w:noProof/>
          <w:color w:val="000000" w:themeColor="text1"/>
        </w:rPr>
        <w:t xml:space="preserve"> Prin intermediul contractelor municipale privind clima, misiunea a introdus un nou cadru pentru guvernanța urbană în domeniul climei și planificarea investițiilor, recunoscut în prezent în Agenda de politici a UE pentru orașe ca fiind una dintre referințele pentru strategiile urbane integrate și perspectivele de investiții.</w:t>
      </w:r>
      <w:r>
        <w:rPr>
          <w:noProof/>
        </w:rPr>
        <w:t xml:space="preserve"> În plus, a generat noi cunoștințe, metodologii și instrumente pentru a ajuta orașele să facă față provocărilor complexe legate de neutralitatea climatică. În paralel, platforma „Climate City Capital Hub” îmbunătățește accesul la finanțare prin consiliere și sprijin pentru perspective de investiții în proiecte cu valoare de 3,24 miliarde EUR. Ea include sprijin pentru 9 fonduri de investiții urbane, un cadru de obligațiuni sustenabil și reproductibil și peste 47 de angajamente cu investitori. Banca Europeană de Investiții sprijină în continuare investiții în valoare de cel puțin 10 miliarde EUR în orașele participante la misiune prin servicii de consiliere pentru pregătirea proiectelor și împrumuturi specifice pentru proiecte de decarbonizare urbană și de reziliență la schimbările climatice. În cele din urmă, </w:t>
      </w:r>
      <w:r>
        <w:rPr>
          <w:noProof/>
          <w:color w:val="000000" w:themeColor="text1"/>
        </w:rPr>
        <w:t xml:space="preserve">abordarea misiunii este din ce în ce mai ancorată la </w:t>
      </w:r>
      <w:r>
        <w:rPr>
          <w:noProof/>
          <w:color w:val="000000" w:themeColor="text1"/>
        </w:rPr>
        <w:lastRenderedPageBreak/>
        <w:t xml:space="preserve">nivel național prin platforme și programe specifice care își extind beneficiile la alte orașe. </w:t>
      </w:r>
    </w:p>
    <w:p>
      <w:pPr>
        <w:numPr>
          <w:ilvl w:val="1"/>
          <w:numId w:val="28"/>
        </w:numPr>
        <w:spacing w:after="120" w:line="276" w:lineRule="auto"/>
        <w:rPr>
          <w:noProof/>
          <w:szCs w:val="24"/>
        </w:rPr>
      </w:pPr>
      <w:r>
        <w:rPr>
          <w:b/>
          <w:noProof/>
        </w:rPr>
        <w:t>Misiunea privind solul</w:t>
      </w:r>
      <w:r>
        <w:rPr>
          <w:noProof/>
        </w:rPr>
        <w:t xml:space="preserve"> a sporit în mod semnificativ atenția politică acordată sănătății solului prin prezentarea de dovezi pentru prima dată care arată că 62 % din soluri se află într-o stare nesănătoasă (</w:t>
      </w:r>
      <w:r>
        <w:rPr>
          <w:rStyle w:val="FootnoteReference"/>
          <w:noProof/>
        </w:rPr>
        <w:footnoteReference w:id="11"/>
      </w:r>
      <w:r>
        <w:rPr>
          <w:noProof/>
        </w:rPr>
        <w:t xml:space="preserve">). În plus, misiunea </w:t>
      </w:r>
      <w:r>
        <w:rPr>
          <w:b/>
          <w:noProof/>
        </w:rPr>
        <w:t>a permis elaborarea de metodologii de măsurare a sănătății solului și a construit un sistem de monitorizare</w:t>
      </w:r>
      <w:r>
        <w:rPr>
          <w:noProof/>
        </w:rPr>
        <w:t xml:space="preserve"> pentru a urmări progresele înregistrate, cu 19 indicatori la scară continentală, sprijinind punerea în aplicare a Directivei privind monitorizarea și reziliența solului (</w:t>
      </w:r>
      <w:r>
        <w:rPr>
          <w:rStyle w:val="FootnoteReference"/>
          <w:noProof/>
        </w:rPr>
        <w:footnoteReference w:id="12"/>
      </w:r>
      <w:r>
        <w:rPr>
          <w:noProof/>
        </w:rPr>
        <w:t>) și a politicii agricole comune (PAC).</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Tabelul inclus în anexă sintetizează progresele înregistrate de misiunile UE în direcția îndeplinirii obiectivelor lor respective și prezintă o imagine de ansamblu mai completă a realizărilor lor de valoare ridicată. </w:t>
      </w:r>
    </w:p>
    <w:p>
      <w:pPr>
        <w:pStyle w:val="Heading2"/>
        <w:spacing w:line="276" w:lineRule="auto"/>
        <w:rPr>
          <w:noProof/>
        </w:rPr>
      </w:pPr>
      <w:r>
        <w:rPr>
          <w:noProof/>
        </w:rPr>
        <w:t>Progresele înregistrate de la comunicarea și evaluarea din 2023</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Comunicarea din 2023 intitulată „Misiunile UE după doi ani: evaluarea progreselor înregistrate și calea de urmat” a constatat că, la mai puțin de doi ani de la punerea în aplicare, misiunile UE și-au dovedit potențialul, în mod individual și colectiv. Cu toate acestea, ele trebuiau să își îmbunătățească guvernanța, să sporească gradul de informare și de implicare a cetățenilor și a părților interesate și să asigure co-investiții mai multe și mai bune dincolo de programul Orizont Europa, inclusiv din partea sectorului privat. </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t>În urma evaluării din 2023, Comisia Europeană a pus în aplicare o serie de acțiuni corective pentru a aborda domeniile în care sunt necesare îmbunătățiri identificate în comunicare. Printre exemple se numără decizia de a organiza reuniuni periodice ale administratorilor de misiune pentru a îmbunătăți gestionarea orizontală, consolidarea sistemului de monitorizare și evaluare a misiunilor UE, introducerea a patru premii legate de misiunile UE (</w:t>
      </w:r>
      <w:r>
        <w:rPr>
          <w:rStyle w:val="FootnoteReference"/>
          <w:rFonts w:ascii="Times New Roman" w:eastAsia="Times New Roman" w:hAnsi="Times New Roman" w:cs="Times New Roman"/>
          <w:noProof/>
          <w:sz w:val="24"/>
          <w:szCs w:val="24"/>
          <w:lang w:eastAsia="en-IE"/>
        </w:rPr>
        <w:footnoteReference w:id="13"/>
      </w:r>
      <w:r>
        <w:rPr>
          <w:rFonts w:ascii="Times New Roman" w:hAnsi="Times New Roman"/>
          <w:noProof/>
          <w:sz w:val="24"/>
        </w:rPr>
        <w:t>) sau dezvoltarea în continuare a structurilor de sprijin pentru misiunile UE la nivel național (</w:t>
      </w:r>
      <w:r>
        <w:rPr>
          <w:rStyle w:val="FootnoteReference"/>
          <w:rFonts w:ascii="Times New Roman" w:eastAsia="Times New Roman" w:hAnsi="Times New Roman" w:cs="Times New Roman"/>
          <w:noProof/>
          <w:sz w:val="24"/>
          <w:szCs w:val="24"/>
          <w:lang w:eastAsia="en-IE"/>
        </w:rPr>
        <w:footnoteReference w:id="14"/>
      </w:r>
      <w:r>
        <w:rPr>
          <w:rFonts w:ascii="Times New Roman" w:hAnsi="Times New Roman"/>
          <w:noProof/>
          <w:sz w:val="24"/>
        </w:rPr>
        <w:t xml:space="preserve">). Observăm în prezent un sistem de guvernanță funcțional, în special la nivelul UE, și o implicare puternică a comunităților de părți interesate, inclusiv a celor care nu sunt implicate în mod tradițional în C&amp;I. </w:t>
      </w:r>
    </w:p>
    <w:p>
      <w:pPr>
        <w:pStyle w:val="Speakings"/>
        <w:numPr>
          <w:ilvl w:val="0"/>
          <w:numId w:val="0"/>
        </w:numPr>
        <w:spacing w:line="276" w:lineRule="auto"/>
        <w:rPr>
          <w:rFonts w:ascii="Times New Roman" w:eastAsia="Times New Roman" w:hAnsi="Times New Roman" w:cs="Times New Roman"/>
          <w:noProof/>
          <w:sz w:val="24"/>
          <w:szCs w:val="24"/>
        </w:rPr>
      </w:pPr>
      <w:r>
        <w:rPr>
          <w:rFonts w:ascii="Times New Roman" w:hAnsi="Times New Roman"/>
          <w:noProof/>
          <w:sz w:val="24"/>
        </w:rPr>
        <w:lastRenderedPageBreak/>
        <w:t>Deși creșterea nivelurilor de co-investiții necesită în continuare atenție, aceasta este o consecință așteptată a faptului că misiunile UE au instituit structurile de sprijin de care aveau nevoie până relativ recent. Pe măsură ce misiunile UE trec din ce în ce mai mult de la experimentare și coordonare într-o etapă pregătitoare la o etapă de implementare, extindere și reproducere a soluțiilor, se estimează că va crește capacitatea acestora de a declanșa finanțare complementară din afara programului Orizont Europa.</w:t>
      </w:r>
    </w:p>
    <w:p>
      <w:pPr>
        <w:pStyle w:val="Heading1"/>
        <w:spacing w:line="276" w:lineRule="auto"/>
        <w:rPr>
          <w:noProof/>
        </w:rPr>
      </w:pPr>
      <w:r>
        <w:rPr>
          <w:noProof/>
        </w:rPr>
        <w:t>Valoarea modelului misiunilor UE</w:t>
      </w:r>
    </w:p>
    <w:p>
      <w:pPr>
        <w:pStyle w:val="Text1"/>
        <w:spacing w:line="276" w:lineRule="auto"/>
        <w:ind w:left="0"/>
        <w:rPr>
          <w:noProof/>
          <w:szCs w:val="24"/>
        </w:rPr>
      </w:pPr>
      <w:r>
        <w:rPr>
          <w:noProof/>
        </w:rPr>
        <w:t xml:space="preserve">Misiunile UE reprezintă un model flexibil și eficace pentru realizarea de progrese în direcția provocărilor societale. </w:t>
      </w:r>
    </w:p>
    <w:p>
      <w:pPr>
        <w:pStyle w:val="Text1"/>
        <w:spacing w:line="276" w:lineRule="auto"/>
        <w:ind w:left="0"/>
        <w:rPr>
          <w:noProof/>
          <w:szCs w:val="24"/>
        </w:rPr>
      </w:pPr>
      <w:r>
        <w:rPr>
          <w:noProof/>
        </w:rPr>
        <w:t>Misiunile creează ecosisteme care acționează ca rampă de lansare ce accelerează testarea, adaptarea și implementarea soluțiilor și care, în cele din urmă, promovează schimbările sistemice. Aceste ecosisteme reduc riscurile percepute pentru actorii individuali și consolidează asumarea responsabilității, facilitând încercarea de noi abordări și investițiile în schimbare.</w:t>
      </w:r>
    </w:p>
    <w:p>
      <w:pPr>
        <w:pStyle w:val="Heading2"/>
        <w:spacing w:after="0" w:line="276" w:lineRule="auto"/>
        <w:rPr>
          <w:noProof/>
          <w:szCs w:val="24"/>
        </w:rPr>
      </w:pPr>
      <w:r>
        <w:rPr>
          <w:noProof/>
        </w:rPr>
        <w:t>Medii dinamice în care cunoștințele sunt create în comun, mai degrabă decât pur și simplu transmise</w:t>
      </w:r>
    </w:p>
    <w:p>
      <w:pPr>
        <w:pStyle w:val="NormalWeb"/>
        <w:spacing w:line="276" w:lineRule="auto"/>
        <w:jc w:val="both"/>
        <w:rPr>
          <w:noProof/>
        </w:rPr>
      </w:pPr>
      <w:r>
        <w:rPr>
          <w:noProof/>
        </w:rPr>
        <w:t xml:space="preserve">Misiunile generează atât cunoștințe noi, cât și soluții concrete pentru a sprijini realizarea obiectivelor lor. Aceasta include rezultate academice cu 156 de publicații evaluate </w:t>
      </w:r>
      <w:r>
        <w:rPr>
          <w:i/>
          <w:iCs/>
          <w:noProof/>
        </w:rPr>
        <w:t>inter pares</w:t>
      </w:r>
      <w:r>
        <w:rPr>
          <w:noProof/>
        </w:rPr>
        <w:t xml:space="preserve"> produse în perioada 2021 – 2025 (</w:t>
      </w:r>
      <w:r>
        <w:rPr>
          <w:rStyle w:val="FootnoteReference"/>
          <w:noProof/>
          <w:lang w:val="en-GB"/>
        </w:rPr>
        <w:footnoteReference w:id="15"/>
      </w:r>
      <w:r>
        <w:rPr>
          <w:noProof/>
        </w:rPr>
        <w:t>), precum și o gamă largă de rezultate tangibile, cum ar fi sisteme de monitorizare, instrumente de diagnosticare, infrastructuri de refacere, cadre de guvernanță și modele de finanțare care facilitează investițiile și adoptarea.</w:t>
      </w:r>
    </w:p>
    <w:p>
      <w:pPr>
        <w:pStyle w:val="NormalWeb"/>
        <w:spacing w:line="276" w:lineRule="auto"/>
        <w:jc w:val="both"/>
        <w:rPr>
          <w:noProof/>
        </w:rPr>
      </w:pPr>
      <w:r>
        <w:rPr>
          <w:noProof/>
        </w:rPr>
        <w:t>Aceste rezultate sunt consecința unei abordări distincte a activităților de C&amp;I. Misiunile promovează colaborarea transdisciplinară prin reunirea cunoștințelor științifice, a expertizei aplicate și a perspectivelor orientate către utilizatori, mobilizând în același timp comunități mari și diverse de părți interesate. Printre aceste comunități se numără autoritățile publice, actorii din domeniul C&amp;I, industria, practicienii, societatea civilă și publicul larg, extinzând astfel gama de capacități disponibile și accelerând adoptarea soluțiilor.</w:t>
      </w:r>
    </w:p>
    <w:p>
      <w:pPr>
        <w:pStyle w:val="NormalWeb"/>
        <w:spacing w:line="276" w:lineRule="auto"/>
        <w:jc w:val="both"/>
        <w:rPr>
          <w:noProof/>
        </w:rPr>
      </w:pPr>
      <w:r>
        <w:rPr>
          <w:noProof/>
        </w:rPr>
        <w:t>În centrul acestei abordări se află mecanismele de creare în comun a cunoștințelor. Prin intermediul acestor mecanisme, părțile interesate și publicul larg dezvoltă, testează și perfecționează în comun soluții, făcând în același timp schimb de date, instrumente și know-how. Astfel se asigură faptul că soluțiile sunt solide din punct de vedere științific, relevante, legitime și aliniate la nevoile reale.</w:t>
      </w:r>
    </w:p>
    <w:p>
      <w:pPr>
        <w:pStyle w:val="Heading2"/>
        <w:spacing w:line="276" w:lineRule="auto"/>
        <w:rPr>
          <w:noProof/>
          <w:szCs w:val="24"/>
        </w:rPr>
      </w:pPr>
      <w:r>
        <w:rPr>
          <w:noProof/>
        </w:rPr>
        <w:t xml:space="preserve">O abordare bazată pe realitatea locului, care nu se limitează la proiectele individuale </w:t>
      </w:r>
    </w:p>
    <w:p>
      <w:pPr>
        <w:pStyle w:val="Text2"/>
        <w:spacing w:line="276" w:lineRule="auto"/>
        <w:ind w:left="0"/>
        <w:rPr>
          <w:noProof/>
        </w:rPr>
      </w:pPr>
      <w:r>
        <w:rPr>
          <w:noProof/>
        </w:rPr>
        <w:t xml:space="preserve">Misiunile UE nu se limitează la proiecte individuale. Ele coordonează acțiuni la nivel de portofoliu prin conectarea mai multor acțiuni, actori și instrumente în jurul unui obiectiv </w:t>
      </w:r>
      <w:r>
        <w:rPr>
          <w:noProof/>
        </w:rPr>
        <w:lastRenderedPageBreak/>
        <w:t>comun și prin alinierea eforturilor în materie de cercetare, inovare, politici și investiții în acestea.</w:t>
      </w:r>
    </w:p>
    <w:p>
      <w:pPr>
        <w:pStyle w:val="Text2"/>
        <w:spacing w:line="276" w:lineRule="auto"/>
        <w:ind w:left="0"/>
        <w:rPr>
          <w:noProof/>
        </w:rPr>
      </w:pPr>
      <w:r>
        <w:rPr>
          <w:noProof/>
        </w:rPr>
        <w:t>Această abordare este ferm ancorată la nivel local și regional, recunoscându-se că transformarea începe cu comunitățile. Prin activități bazate pe realitatea locului, cum ar fi laboratoarele vii, farurile și proiectele-pilot, misiunile permit dezvoltarea, testarea și adaptarea soluțiilor în contexte reale. Această fundamentare asigură faptul că acțiunile răspund nevoilor reale, ajutând în același timp actorii locali să își asume responsabilitatea pentru aceste activități și sprijinind reproducerea în alte locuri.</w:t>
      </w:r>
    </w:p>
    <w:p>
      <w:pPr>
        <w:pStyle w:val="Text2"/>
        <w:spacing w:line="276" w:lineRule="auto"/>
        <w:ind w:left="0"/>
        <w:rPr>
          <w:noProof/>
        </w:rPr>
      </w:pPr>
      <w:r>
        <w:rPr>
          <w:noProof/>
        </w:rPr>
        <w:t>Pentru a sprijini această activitate au fost instituite structuri de guvernanță pe mai multe niveluri pentru a îmbunătăți coerența între domeniile de politică și pentru a facilita alinierea dintre obiectivele de la nivelul UE și punerea în aplicare la nivel local. Procedând astfel, misiunile reunesc politicile, inovarea și practicile într-un mod dinamic, făcând soluțiile mai relevante și încurajând adoptarea lor.</w:t>
      </w:r>
    </w:p>
    <w:p>
      <w:pPr>
        <w:pStyle w:val="Heading2"/>
        <w:spacing w:line="276" w:lineRule="auto"/>
        <w:rPr>
          <w:noProof/>
          <w:szCs w:val="24"/>
        </w:rPr>
      </w:pPr>
      <w:r>
        <w:rPr>
          <w:noProof/>
        </w:rPr>
        <w:t xml:space="preserve">Aplicarea soluțiilor dincolo de stadiul pilot </w:t>
      </w:r>
    </w:p>
    <w:p>
      <w:pPr>
        <w:pStyle w:val="Text2"/>
        <w:spacing w:line="276" w:lineRule="auto"/>
        <w:ind w:left="0"/>
        <w:rPr>
          <w:noProof/>
          <w:szCs w:val="24"/>
        </w:rPr>
      </w:pPr>
      <w:r>
        <w:rPr>
          <w:noProof/>
        </w:rPr>
        <w:t xml:space="preserve">Misiunile UE au pus în aplicare o gamă diversă de instrumente de intervenție, combinând finanțarea, sprijinul consultativ și facilitarea. Printre ele se numără finanțarea în cascadă, granturile pilot și de înfrățire, precum și sursele de finanțare complementare prin intermediul facilităților Băncii Europene de Investiții, InvestEU sau BlueInvest. </w:t>
      </w:r>
    </w:p>
    <w:p>
      <w:pPr>
        <w:pStyle w:val="Text2"/>
        <w:spacing w:line="276" w:lineRule="auto"/>
        <w:ind w:left="0"/>
        <w:rPr>
          <w:noProof/>
          <w:szCs w:val="24"/>
        </w:rPr>
      </w:pPr>
      <w:r>
        <w:rPr>
          <w:noProof/>
        </w:rPr>
        <w:t>Împreună, aceste instrumente sprijină testarea, implementarea și adoptarea de soluții în cadrul mai multor proiecte, în timp ce orientările inițiale privind finanțarea și achizițiile consolidează capacitatea actorilor locali și regionali de a trece de la inovare la punerea în aplicare.</w:t>
      </w:r>
    </w:p>
    <w:p>
      <w:pPr>
        <w:pStyle w:val="Text2"/>
        <w:spacing w:line="276" w:lineRule="auto"/>
        <w:ind w:left="0"/>
        <w:rPr>
          <w:noProof/>
        </w:rPr>
      </w:pPr>
      <w:r>
        <w:rPr>
          <w:noProof/>
        </w:rPr>
        <w:t>Misiunile UE au funcționat în conformitate cu normele și constrângerile programului Orizont Europa – care sunt construite în jurul C&amp;I tradiționale bazate pe proiecte și nu sunt pe deplin adecvate pentru întreaga sferă de cuprindere a activităților și obiectivelor misiunilor. Pentru a fi implementate pe scară largă, aceste soluții necesită un set de instrumente mai amplu decât cel disponibil în cadrul programului-cadru. În special, va fi necesar un acces mai bun la finanțare și la acordare de fonduri la diferite niveluri pentru a asigura implementarea, extinderea și adoptarea pe termen lung a soluțiilor după faza de proiect.</w:t>
      </w:r>
    </w:p>
    <w:p>
      <w:pPr>
        <w:pStyle w:val="Heading1"/>
        <w:spacing w:line="259" w:lineRule="auto"/>
        <w:rPr>
          <w:noProof/>
        </w:rPr>
      </w:pPr>
      <w:r>
        <w:rPr>
          <w:noProof/>
        </w:rPr>
        <w:t>Misiunile UE și contextul lor politic mai amplu</w:t>
      </w:r>
    </w:p>
    <w:p>
      <w:pPr>
        <w:spacing w:line="276" w:lineRule="auto"/>
        <w:rPr>
          <w:noProof/>
        </w:rPr>
      </w:pPr>
      <w:r>
        <w:rPr>
          <w:noProof/>
        </w:rPr>
        <w:t>Misiunile UE contribuie la inițiative de politică mai ample ale UE și devin componente integrante ale punerii lor în aplicare.</w:t>
      </w:r>
    </w:p>
    <w:p>
      <w:pPr>
        <w:spacing w:line="276" w:lineRule="auto"/>
        <w:rPr>
          <w:noProof/>
          <w:szCs w:val="24"/>
        </w:rPr>
      </w:pPr>
      <w:r>
        <w:rPr>
          <w:noProof/>
        </w:rPr>
        <w:t>Viitorul cadru european integrat de reziliență la schimbările climatice (</w:t>
      </w:r>
      <w:r>
        <w:rPr>
          <w:rStyle w:val="FootnoteReference"/>
          <w:noProof/>
        </w:rPr>
        <w:footnoteReference w:id="16"/>
      </w:r>
      <w:r>
        <w:rPr>
          <w:noProof/>
        </w:rPr>
        <w:t xml:space="preserve">) urmărește să instituie un cadru de politică cuprinzător pentru a reduce riscurile și vulnerabilitățile </w:t>
      </w:r>
      <w:r>
        <w:rPr>
          <w:noProof/>
        </w:rPr>
        <w:lastRenderedPageBreak/>
        <w:t>climatice în întreaga UE. Misiunea privind adaptarea la schimbările climatice contribuie deja în mod direct la discuțiile în curs care au condus la inițiativă, împărtășind povești de succes din gama largă de instrumente, soluții și structuri relevante pentru luarea deciziilor, sprijinite în mod direct de misiune.</w:t>
      </w:r>
    </w:p>
    <w:p>
      <w:pPr>
        <w:spacing w:line="276" w:lineRule="auto"/>
        <w:rPr>
          <w:noProof/>
          <w:szCs w:val="24"/>
        </w:rPr>
      </w:pPr>
      <w:r>
        <w:rPr>
          <w:noProof/>
        </w:rPr>
        <w:t>Misiunea privind cancerul și Planul european de combatere a cancerului (EBCP) (</w:t>
      </w:r>
      <w:r>
        <w:rPr>
          <w:rStyle w:val="FootnoteReference"/>
          <w:noProof/>
          <w:szCs w:val="24"/>
        </w:rPr>
        <w:footnoteReference w:id="17"/>
      </w:r>
      <w:r>
        <w:rPr>
          <w:noProof/>
        </w:rPr>
        <w:t>) sunt aliniate strategic, împărtășind o abordare amplă și multidimensională pentru îmbunătățirea prognosticului cancerului în întreaga Europă. Cele două inițiative se consolidează reciproc, fiind unite prin structuri de guvernanță comune, priorități transversale și acțiuni emblematice care ar putea maximiza impactul până în 2030. Misiunea stimulează C&amp;I pentru EBCP și asigură adoptarea la nivel național și regional prin intermediul centrelor sale naționale de misiune în domeniul cancerului și al activităților de implicare a cetățenilor.</w:t>
      </w:r>
    </w:p>
    <w:p>
      <w:pPr>
        <w:spacing w:line="276" w:lineRule="auto"/>
        <w:rPr>
          <w:noProof/>
        </w:rPr>
      </w:pPr>
      <w:r>
        <w:rPr>
          <w:noProof/>
        </w:rPr>
        <w:t>Atât Pactul european privind oceanul planetar (</w:t>
      </w:r>
      <w:r>
        <w:rPr>
          <w:rStyle w:val="FootnoteReference"/>
          <w:noProof/>
        </w:rPr>
        <w:footnoteReference w:id="18"/>
      </w:r>
      <w:r>
        <w:rPr>
          <w:noProof/>
        </w:rPr>
        <w:t>), cât și Strategia europeană pentru reziliența în domeniul apei (</w:t>
      </w:r>
      <w:r>
        <w:rPr>
          <w:rStyle w:val="FootnoteReference"/>
          <w:noProof/>
        </w:rPr>
        <w:footnoteReference w:id="19"/>
      </w:r>
      <w:r>
        <w:rPr>
          <w:noProof/>
        </w:rPr>
        <w:t>) oferă continuitate obiectivelor misiunii privind oceanele și apele, extinzând în același timp domeniul lor de aplicare la obiective suplimentare legate de acțiunea internațională, securitate și reziliență. În acest context, misiunea privind oceanul și apele contribuie în mod direct la ambele inițiative, inclusiv prin viitoarea strategie de C&amp;I în domeniul oceanelor și al apei și prin inițiativa „OceanEye”.</w:t>
      </w:r>
    </w:p>
    <w:p>
      <w:pPr>
        <w:spacing w:line="276" w:lineRule="auto"/>
        <w:rPr>
          <w:noProof/>
        </w:rPr>
      </w:pPr>
      <w:r>
        <w:rPr>
          <w:noProof/>
        </w:rPr>
        <w:t>Misiunea privind orașele este o platformă dovedită și scalabilă, care se află într-o poziție unică pentru a servi drept coloană vertebrală a Agendei UE pentru orașe (</w:t>
      </w:r>
      <w:r>
        <w:rPr>
          <w:rStyle w:val="FootnoteReference"/>
          <w:noProof/>
        </w:rPr>
        <w:footnoteReference w:id="20"/>
      </w:r>
      <w:r>
        <w:rPr>
          <w:noProof/>
        </w:rPr>
        <w:t xml:space="preserve">). Având în vedere cele 107 contracte municipale operaționale privind clima care vizează reducerea cu aproape 200 de milioane de tone de CO₂ echivalent și o imagine consolidată a cererii de investiții asociate cu tranzițiile urbane neutre din punct de vedere climatic, misiunea oferă Agendei UE pentru orașe o infrastructură operațională pentru impactul imediat și transformarea pe termen lung a acțiunilor de politică ale UE privind schimbările climatice. </w:t>
      </w:r>
    </w:p>
    <w:p>
      <w:pPr>
        <w:spacing w:line="276" w:lineRule="auto"/>
        <w:rPr>
          <w:noProof/>
          <w:szCs w:val="24"/>
        </w:rPr>
      </w:pPr>
      <w:r>
        <w:rPr>
          <w:noProof/>
        </w:rPr>
        <w:t>Strategia privind solul </w:t>
      </w:r>
      <w:r>
        <w:rPr>
          <w:noProof/>
          <w:color w:val="000000"/>
        </w:rPr>
        <w:t>(</w:t>
      </w:r>
      <w:r>
        <w:rPr>
          <w:rStyle w:val="FootnoteReference"/>
          <w:noProof/>
          <w:szCs w:val="24"/>
        </w:rPr>
        <w:footnoteReference w:id="21"/>
      </w:r>
      <w:r>
        <w:rPr>
          <w:noProof/>
        </w:rPr>
        <w:t xml:space="preserve">) se bazează în mod explicit pe misiunea privind solul pentru a extinde baza de cunoștințe, pentru testarea, demonstrarea și implementarea de soluții pentru sănătatea solului sau pentru consolidarea capacităților de modelare. În plus, Directiva privind monitorizarea și reziliența solului identifică misiunea ca fiind un instrument-cheie de punere în aplicare, deoarece va contribui la viitorul portal digital de date al UE privind sănătatea solului, va sprijini monitorizarea, educația și implicarea cetățenilor prin intermediul laboratoarelor vii și va contribui la consolidarea capacităților în statele membre prin abordarea lacunelor în materie de date și prin schimbul de expertiză. Misiunea a fost, de asemenea, identificată în multe planuri strategice PAC pentru perioada 2023 – 2027 ca fiind un instrument relevant și va contribui la elaborarea și punerea în </w:t>
      </w:r>
      <w:r>
        <w:rPr>
          <w:noProof/>
        </w:rPr>
        <w:lastRenderedPageBreak/>
        <w:t xml:space="preserve">aplicare a capitolului privind agricultura din planurile de parteneriat naționale și regionale din cadrul PAC 2028 – 2034. </w:t>
      </w:r>
    </w:p>
    <w:p>
      <w:pPr>
        <w:pStyle w:val="Heading1"/>
        <w:rPr>
          <w:noProof/>
        </w:rPr>
      </w:pPr>
      <w:r>
        <w:rPr>
          <w:noProof/>
        </w:rPr>
        <w:t>Concluzii</w:t>
      </w:r>
    </w:p>
    <w:p>
      <w:pPr>
        <w:pStyle w:val="Text1"/>
        <w:spacing w:line="276" w:lineRule="auto"/>
        <w:ind w:left="0"/>
        <w:rPr>
          <w:noProof/>
          <w:szCs w:val="24"/>
        </w:rPr>
      </w:pPr>
      <w:r>
        <w:rPr>
          <w:noProof/>
        </w:rPr>
        <w:t>Misiunile UE s-au maturizat semnificativ de la evaluarea din 2023, demonstrând în prezent un sistem de guvernanță funcțional și o implicare puternică a părților interesate. Capacitatea lor de a declanșa co-investiții din afara programului Orizont Europa este estimată să crească – inclusiv cu sprijinul Fondului european pentru competitivitate propus și al planurilor de parteneriat naționale și regionale – pe măsură ce trec de la experimentare la o etapă de implementare, extindere și reproducere a soluțiilor.</w:t>
      </w:r>
    </w:p>
    <w:p>
      <w:pPr>
        <w:pStyle w:val="Text1"/>
        <w:spacing w:line="276" w:lineRule="auto"/>
        <w:ind w:left="0"/>
        <w:rPr>
          <w:noProof/>
          <w:szCs w:val="24"/>
        </w:rPr>
      </w:pPr>
      <w:r>
        <w:rPr>
          <w:noProof/>
        </w:rPr>
        <w:t>Abordarea lor generală, înrădăcinată în conceptul de politică orientată spre îndeplinirea misiunilor, și-a demonstrat succesul și a făcut posibile realizările lor. O inovare în cadrul programului Orizont Europa 2021 – 2027, misiunile sprijină activitățile și determină schimbări transformatoare în moduri care nu ar fi fost posibile în alte condiții. Misiunile UE creează ecosisteme care accelerează testarea, adaptarea și adoptarea soluțiilor. Aceste ecosisteme pot fi valorificate de alte inițiative ale UE și naționale ca medii favorabile gata de implementare, devenind un instrument integral de punere în aplicare pentru acțiuni mai ample în domeniile lor de politică respective. </w:t>
      </w:r>
    </w:p>
    <w:p>
      <w:pPr>
        <w:pStyle w:val="Text1"/>
        <w:spacing w:line="276" w:lineRule="auto"/>
        <w:ind w:left="0"/>
        <w:rPr>
          <w:noProof/>
        </w:rPr>
      </w:pPr>
      <w:r>
        <w:rPr>
          <w:noProof/>
        </w:rPr>
        <w:t>La jumătatea perioadei lor de punere în aplicare, misiunile UE avansează în direcția îndeplinirii obiectivelor lor pentru 2030 și se estimează că vor continua să aibă un impact asupra provocărilor societale în a doua jumătate a ciclului lor de viață, bazându-se în continuare pe ecosistemele lor bazate pe guvernanță, implicare și creare în comun transversale.</w:t>
      </w: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p>
    <w:p>
      <w:pPr>
        <w:pStyle w:val="Text1"/>
        <w:spacing w:line="276" w:lineRule="auto"/>
        <w:ind w:left="0"/>
        <w:rPr>
          <w:noProof/>
        </w:rPr>
      </w:pPr>
      <w:r>
        <w:rPr>
          <w:noProof/>
        </w:rPr>
        <w:lastRenderedPageBreak/>
        <w:t>Anexă</w:t>
      </w:r>
    </w:p>
    <w:p>
      <w:pPr>
        <w:pStyle w:val="Caption"/>
        <w:keepNext/>
        <w:rPr>
          <w:noProof/>
        </w:rPr>
      </w:pPr>
      <w:r>
        <w:rPr>
          <w:noProof/>
        </w:rPr>
        <w:t xml:space="preserve">Tabelul </w:t>
      </w:r>
      <w:r>
        <w:rPr>
          <w:noProof/>
        </w:rPr>
        <w:fldChar w:fldCharType="begin"/>
      </w:r>
      <w:r>
        <w:rPr>
          <w:noProof/>
        </w:rPr>
        <w:instrText xml:space="preserve"> SEQ Table \* ARABIC </w:instrText>
      </w:r>
      <w:r>
        <w:rPr>
          <w:noProof/>
        </w:rPr>
        <w:fldChar w:fldCharType="separate"/>
      </w:r>
      <w:r>
        <w:rPr>
          <w:noProof/>
        </w:rPr>
        <w:t>1</w:t>
      </w:r>
      <w:r>
        <w:rPr>
          <w:noProof/>
        </w:rPr>
        <w:fldChar w:fldCharType="end"/>
      </w:r>
      <w:r>
        <w:rPr>
          <w:noProof/>
        </w:rPr>
        <w:t>. Prezentare generală a progreselor înregistrate de misiunile UE în direcția îndeplinirii obiectivelor lor principale pentru 2030 și a realizărilor lor de valoare mare.</w:t>
      </w:r>
    </w:p>
    <w:tbl>
      <w:tblPr>
        <w:tblStyle w:val="TableGrid"/>
        <w:tblW w:w="0" w:type="auto"/>
        <w:tblLayout w:type="fixed"/>
        <w:tblLook w:val="04A0" w:firstRow="1" w:lastRow="0" w:firstColumn="1" w:lastColumn="0" w:noHBand="0" w:noVBand="1"/>
      </w:tblPr>
      <w:tblGrid>
        <w:gridCol w:w="2160"/>
        <w:gridCol w:w="3221"/>
        <w:gridCol w:w="3221"/>
      </w:tblGrid>
      <w:tr>
        <w:trPr>
          <w:trHeight w:val="98"/>
        </w:trPr>
        <w:tc>
          <w:tcPr>
            <w:tcW w:w="2160"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rPr>
            </w:pPr>
            <w:r>
              <w:rPr>
                <w:rFonts w:ascii="Times New Roman" w:hAnsi="Times New Roman"/>
                <w:noProof/>
                <w:sz w:val="22"/>
              </w:rPr>
              <w:t>Misiunea UE</w:t>
            </w:r>
          </w:p>
        </w:tc>
        <w:tc>
          <w:tcPr>
            <w:tcW w:w="3221"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rPr>
            </w:pPr>
            <w:r>
              <w:rPr>
                <w:rFonts w:ascii="Times New Roman" w:hAnsi="Times New Roman"/>
                <w:noProof/>
                <w:sz w:val="22"/>
              </w:rPr>
              <w:t>Situația obiectivului pentru 2030</w:t>
            </w:r>
          </w:p>
        </w:tc>
        <w:tc>
          <w:tcPr>
            <w:tcW w:w="3221" w:type="dxa"/>
            <w:shd w:val="clear" w:color="auto" w:fill="F2F2F2" w:themeFill="background1" w:themeFillShade="F2"/>
          </w:tcPr>
          <w:p>
            <w:pPr>
              <w:pStyle w:val="Speakings"/>
              <w:numPr>
                <w:ilvl w:val="0"/>
                <w:numId w:val="0"/>
              </w:numPr>
              <w:spacing w:after="0"/>
              <w:jc w:val="center"/>
              <w:rPr>
                <w:rFonts w:ascii="Times New Roman" w:eastAsia="Times New Roman" w:hAnsi="Times New Roman" w:cs="Times New Roman"/>
                <w:noProof/>
                <w:sz w:val="22"/>
                <w:szCs w:val="22"/>
              </w:rPr>
            </w:pPr>
            <w:r>
              <w:rPr>
                <w:rFonts w:ascii="Times New Roman" w:hAnsi="Times New Roman"/>
                <w:noProof/>
                <w:sz w:val="22"/>
              </w:rPr>
              <w:t>Realizări de valoare mare</w:t>
            </w:r>
          </w:p>
        </w:tc>
      </w:tr>
      <w:tr>
        <w:trPr>
          <w:trHeight w:val="3248"/>
        </w:trPr>
        <w:tc>
          <w:tcPr>
            <w:tcW w:w="2160" w:type="dxa"/>
          </w:tcPr>
          <w:p>
            <w:pPr>
              <w:spacing w:after="0"/>
              <w:rPr>
                <w:b/>
                <w:bCs/>
                <w:noProof/>
                <w:sz w:val="18"/>
                <w:szCs w:val="18"/>
              </w:rPr>
            </w:pPr>
            <w:r>
              <w:rPr>
                <w:b/>
                <w:noProof/>
                <w:sz w:val="18"/>
              </w:rPr>
              <w:t>Adaptarea la schimbările climatice</w:t>
            </w:r>
          </w:p>
          <w:p>
            <w:pPr>
              <w:pStyle w:val="Speakings"/>
              <w:numPr>
                <w:ilvl w:val="0"/>
                <w:numId w:val="0"/>
              </w:numPr>
              <w:spacing w:after="0"/>
              <w:rPr>
                <w:rFonts w:ascii="Times New Roman" w:eastAsia="Times New Roman" w:hAnsi="Times New Roman" w:cs="Times New Roman"/>
                <w:noProof/>
                <w:sz w:val="18"/>
                <w:szCs w:val="18"/>
              </w:rPr>
            </w:pPr>
            <w:r>
              <w:rPr>
                <w:rFonts w:ascii="Times New Roman" w:hAnsi="Times New Roman"/>
                <w:i/>
                <w:noProof/>
                <w:sz w:val="18"/>
              </w:rPr>
              <w:t>Sprijinirea a cel puțin 150 de regiuni, autorități locale și comunități europene să devină reziliente la efectele schimbărilor climatice.</w:t>
            </w:r>
          </w:p>
        </w:tc>
        <w:tc>
          <w:tcPr>
            <w:tcW w:w="3221" w:type="dxa"/>
          </w:tcPr>
          <w:p>
            <w:pPr>
              <w:pStyle w:val="Speakings"/>
              <w:numPr>
                <w:ilvl w:val="0"/>
                <w:numId w:val="0"/>
              </w:numPr>
              <w:spacing w:after="0" w:line="240" w:lineRule="auto"/>
              <w:rPr>
                <w:rFonts w:ascii="Times New Roman" w:eastAsia="Times New Roman" w:hAnsi="Times New Roman" w:cs="Times New Roman"/>
                <w:noProof/>
                <w:sz w:val="18"/>
                <w:szCs w:val="18"/>
              </w:rPr>
            </w:pPr>
            <w:r>
              <w:rPr>
                <w:rFonts w:ascii="Times New Roman" w:hAnsi="Times New Roman"/>
                <w:noProof/>
                <w:sz w:val="18"/>
              </w:rPr>
              <w:t>327 de regiuni, autorități locale și comunități au semnat Carta privind adaptarea, iar 292 au primit asistență tehnică adaptată.</w:t>
            </w:r>
          </w:p>
        </w:tc>
        <w:tc>
          <w:tcPr>
            <w:tcW w:w="3221" w:type="dxa"/>
          </w:tcPr>
          <w:p>
            <w:pPr>
              <w:numPr>
                <w:ilvl w:val="0"/>
                <w:numId w:val="30"/>
              </w:numPr>
              <w:spacing w:after="0" w:line="264" w:lineRule="auto"/>
              <w:rPr>
                <w:noProof/>
                <w:sz w:val="18"/>
                <w:szCs w:val="18"/>
              </w:rPr>
            </w:pPr>
            <w:r>
              <w:rPr>
                <w:noProof/>
                <w:sz w:val="18"/>
              </w:rPr>
              <w:t>185 de regiuni și autorități locale testează și pun în aplicare aproape 1 000 de soluții de adaptare reale prin intermediul demonstratorilor de misiune, în timp ce peste 110 teritorii suplimentare pregătesc reproducerea și extinderea abordărilor de succes în întreaga Europă.</w:t>
            </w:r>
          </w:p>
          <w:p>
            <w:pPr>
              <w:numPr>
                <w:ilvl w:val="0"/>
                <w:numId w:val="30"/>
              </w:numPr>
              <w:spacing w:after="0" w:line="264" w:lineRule="auto"/>
              <w:rPr>
                <w:noProof/>
                <w:sz w:val="18"/>
                <w:szCs w:val="18"/>
              </w:rPr>
            </w:pPr>
            <w:r>
              <w:rPr>
                <w:noProof/>
                <w:sz w:val="18"/>
              </w:rPr>
              <w:t>Prin asistență tehnică adaptată, învățare reciprocă și activități ale misiunilor, regiunile și autoritățile locale au consolidat guvernanța în materie de adaptare, au îmbunătățit planificarea riscurilor climatice și au dezvoltat căi de reziliență adaptate la nivel local.</w:t>
            </w:r>
          </w:p>
          <w:p>
            <w:pPr>
              <w:pStyle w:val="ListParagraph"/>
              <w:numPr>
                <w:ilvl w:val="0"/>
                <w:numId w:val="30"/>
              </w:num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Lansarea celor 27 de centre naționale de adaptare pune bazele unei abordări mai puternice a guvernanței pe mai multe niveluri în ceea ce privește reziliența la schimbările climatice, conectând nivelurile UE, național și regional și sprijinind extinderea soluțiilor de adaptare în întreaga Europă.</w:t>
            </w:r>
          </w:p>
        </w:tc>
      </w:tr>
      <w:tr>
        <w:trPr>
          <w:trHeight w:val="4006"/>
        </w:trPr>
        <w:tc>
          <w:tcPr>
            <w:tcW w:w="2160" w:type="dxa"/>
          </w:tcPr>
          <w:p>
            <w:pPr>
              <w:spacing w:after="0"/>
              <w:rPr>
                <w:b/>
                <w:bCs/>
                <w:noProof/>
                <w:sz w:val="18"/>
                <w:szCs w:val="18"/>
              </w:rPr>
            </w:pPr>
            <w:r>
              <w:rPr>
                <w:b/>
                <w:noProof/>
                <w:sz w:val="18"/>
              </w:rPr>
              <w:t>Cancerul</w:t>
            </w:r>
          </w:p>
          <w:p>
            <w:pPr>
              <w:pStyle w:val="Speakings"/>
              <w:numPr>
                <w:ilvl w:val="0"/>
                <w:numId w:val="0"/>
              </w:numPr>
              <w:spacing w:after="0"/>
              <w:rPr>
                <w:rFonts w:ascii="Times New Roman" w:eastAsia="Times New Roman" w:hAnsi="Times New Roman" w:cs="Times New Roman"/>
                <w:noProof/>
                <w:sz w:val="18"/>
                <w:szCs w:val="18"/>
              </w:rPr>
            </w:pPr>
            <w:r>
              <w:rPr>
                <w:rFonts w:ascii="Times New Roman" w:hAnsi="Times New Roman"/>
                <w:i/>
                <w:noProof/>
                <w:sz w:val="18"/>
              </w:rPr>
              <w:t>Îmbunătățirea vieții a peste 3 milioane de persoane prin profilaxie, depistare timpurie, tratament și îngrijire nu numai pentru persoanele afectate de cancer, ci și pentru familiile acestora.</w:t>
            </w:r>
          </w:p>
        </w:tc>
        <w:tc>
          <w:tcPr>
            <w:tcW w:w="3221" w:type="dxa"/>
          </w:tcPr>
          <w:p>
            <w:pPr>
              <w:pStyle w:val="Speakings"/>
              <w:numPr>
                <w:ilvl w:val="0"/>
                <w:numId w:val="0"/>
              </w:numPr>
              <w:spacing w:after="0" w:line="240" w:lineRule="auto"/>
              <w:rPr>
                <w:rFonts w:ascii="Times New Roman" w:eastAsia="Times New Roman" w:hAnsi="Times New Roman" w:cs="Times New Roman"/>
                <w:noProof/>
                <w:sz w:val="18"/>
                <w:szCs w:val="18"/>
              </w:rPr>
            </w:pPr>
            <w:r>
              <w:rPr>
                <w:rFonts w:ascii="Times New Roman" w:hAnsi="Times New Roman"/>
                <w:noProof/>
                <w:sz w:val="18"/>
              </w:rPr>
              <w:t>Pe baza activităților sprijinite în perioada 2021 – 2024, se estimează că misiunea privind cancerul va fi în măsură, până în 2030, să îmbunătățească viața a 2,3 milioane de persoane, din obiectivul ei de 3 milioane. Obiectivul de 3 milioane va fi atins pe măsură ce vor fi finanțate proiecte suplimentare și vor fi disponibile rezultate mai precise.</w:t>
            </w:r>
          </w:p>
        </w:tc>
        <w:tc>
          <w:tcPr>
            <w:tcW w:w="3221" w:type="dxa"/>
          </w:tcPr>
          <w:p>
            <w:pPr>
              <w:numPr>
                <w:ilvl w:val="0"/>
                <w:numId w:val="31"/>
              </w:numPr>
              <w:spacing w:after="0"/>
              <w:rPr>
                <w:noProof/>
                <w:sz w:val="18"/>
                <w:szCs w:val="18"/>
                <w:u w:val="single"/>
              </w:rPr>
            </w:pPr>
            <w:r>
              <w:rPr>
                <w:noProof/>
                <w:sz w:val="18"/>
              </w:rPr>
              <w:t xml:space="preserve">Între 2021 și 2026, misiunea privind cancerul a înființat 19 centre naționale ale misiunii privind cancerul. Ele implică autoritățile naționale, părțile interesate și cetățenii în dialoguri transsectoriale privind cancerul și accelerează adoptarea rezultatelor proiectelor misiunii în sistemele de sănătate. </w:t>
            </w:r>
          </w:p>
          <w:p>
            <w:pPr>
              <w:pStyle w:val="ListParagraph"/>
              <w:numPr>
                <w:ilvl w:val="0"/>
                <w:numId w:val="31"/>
              </w:numPr>
              <w:spacing w:after="0" w:line="240" w:lineRule="auto"/>
              <w:jc w:val="both"/>
              <w:rPr>
                <w:rFonts w:ascii="Times New Roman" w:hAnsi="Times New Roman" w:cs="Times New Roman"/>
                <w:noProof/>
                <w:sz w:val="18"/>
                <w:szCs w:val="18"/>
                <w:u w:val="single"/>
              </w:rPr>
            </w:pPr>
            <w:r>
              <w:rPr>
                <w:rFonts w:ascii="Times New Roman" w:hAnsi="Times New Roman"/>
                <w:noProof/>
                <w:sz w:val="18"/>
              </w:rPr>
              <w:t>În perioada 2021 – 2024, misiunea a oferit finanțare în valoare de 62 de milioane EUR pentru 480 de proiecte, având ca rezultat 23 de studii clinice intervenționale multinaționale, 40 de noi instrumente de profilaxie, detectare și tratament și peste 850 de colaborări în domeniul cercetării, al asistenței medicale și al politicilor. Luând în considerare anul 2025, investiția totală se ridică la 605 milioane EUR, sprijinind 75 de proiecte.</w:t>
            </w:r>
          </w:p>
          <w:p>
            <w:pPr>
              <w:pStyle w:val="ListParagraph"/>
              <w:numPr>
                <w:ilvl w:val="0"/>
                <w:numId w:val="31"/>
              </w:numPr>
              <w:spacing w:after="0" w:line="240" w:lineRule="auto"/>
              <w:jc w:val="both"/>
              <w:rPr>
                <w:rFonts w:ascii="Times New Roman" w:hAnsi="Times New Roman" w:cs="Times New Roman"/>
                <w:noProof/>
                <w:sz w:val="18"/>
                <w:szCs w:val="18"/>
              </w:rPr>
            </w:pPr>
            <w:r>
              <w:rPr>
                <w:rFonts w:ascii="Times New Roman" w:hAnsi="Times New Roman"/>
                <w:noProof/>
                <w:sz w:val="18"/>
              </w:rPr>
              <w:t xml:space="preserve">Misiunea investește în crearea a două platforme digitale, aliniate la viitorul </w:t>
            </w:r>
            <w:r>
              <w:rPr>
                <w:rFonts w:ascii="Times New Roman" w:hAnsi="Times New Roman"/>
                <w:noProof/>
                <w:color w:val="000000" w:themeColor="text1"/>
                <w:sz w:val="18"/>
              </w:rPr>
              <w:t>spațiu european al datelor privind sănătatea</w:t>
            </w:r>
            <w:r>
              <w:rPr>
                <w:rFonts w:ascii="Times New Roman" w:hAnsi="Times New Roman"/>
                <w:noProof/>
                <w:sz w:val="18"/>
              </w:rPr>
              <w:t>:</w:t>
            </w:r>
            <w:r>
              <w:rPr>
                <w:rFonts w:ascii="Times New Roman" w:hAnsi="Times New Roman"/>
                <w:noProof/>
                <w:color w:val="000000" w:themeColor="text1"/>
                <w:sz w:val="18"/>
              </w:rPr>
              <w:t xml:space="preserve"> (1) platforma de date UNCAN.eu, care sprijină cercetătorii și deținătorii de date să progreseze în cercetarea și inovarea bazate pe date în domeniul cancerului și (2) Centrul digital european pentru pacienții bolnavi de cancer, care sprijină </w:t>
            </w:r>
            <w:r>
              <w:rPr>
                <w:rFonts w:ascii="Times New Roman" w:hAnsi="Times New Roman"/>
                <w:noProof/>
                <w:sz w:val="18"/>
              </w:rPr>
              <w:t xml:space="preserve">pacienții, </w:t>
            </w:r>
            <w:r>
              <w:rPr>
                <w:rFonts w:ascii="Times New Roman" w:hAnsi="Times New Roman"/>
                <w:noProof/>
                <w:sz w:val="18"/>
              </w:rPr>
              <w:lastRenderedPageBreak/>
              <w:t>supraviețuitorii și îngrijitorii cu servicii și informații de încredere.</w:t>
            </w:r>
          </w:p>
        </w:tc>
      </w:tr>
    </w:tbl>
    <w:p>
      <w:pPr>
        <w:spacing w:after="0"/>
        <w:rPr>
          <w:b/>
          <w:bCs/>
          <w:noProof/>
          <w:sz w:val="18"/>
          <w:szCs w:val="18"/>
        </w:rPr>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pPr>
    </w:p>
    <w:tbl>
      <w:tblPr>
        <w:tblStyle w:val="TableGrid"/>
        <w:tblW w:w="0" w:type="auto"/>
        <w:tblLayout w:type="fixed"/>
        <w:tblLook w:val="04A0" w:firstRow="1" w:lastRow="0" w:firstColumn="1" w:lastColumn="0" w:noHBand="0" w:noVBand="1"/>
      </w:tblPr>
      <w:tblGrid>
        <w:gridCol w:w="2104"/>
        <w:gridCol w:w="3249"/>
        <w:gridCol w:w="3249"/>
      </w:tblGrid>
      <w:tr>
        <w:trPr>
          <w:trHeight w:val="554"/>
        </w:trPr>
        <w:tc>
          <w:tcPr>
            <w:tcW w:w="2104" w:type="dxa"/>
          </w:tcPr>
          <w:p>
            <w:pPr>
              <w:spacing w:after="0"/>
              <w:rPr>
                <w:b/>
                <w:bCs/>
                <w:noProof/>
                <w:sz w:val="18"/>
                <w:szCs w:val="18"/>
              </w:rPr>
            </w:pPr>
            <w:r>
              <w:rPr>
                <w:b/>
                <w:noProof/>
                <w:sz w:val="18"/>
              </w:rPr>
              <w:lastRenderedPageBreak/>
              <w:t>Oceanele și apele</w:t>
            </w:r>
          </w:p>
          <w:p>
            <w:pPr>
              <w:pStyle w:val="Speakings"/>
              <w:numPr>
                <w:ilvl w:val="0"/>
                <w:numId w:val="0"/>
              </w:numPr>
              <w:spacing w:after="0"/>
              <w:rPr>
                <w:rFonts w:ascii="Times New Roman" w:eastAsia="Times New Roman" w:hAnsi="Times New Roman" w:cs="Times New Roman"/>
                <w:noProof/>
                <w:sz w:val="18"/>
                <w:szCs w:val="18"/>
              </w:rPr>
            </w:pPr>
            <w:r>
              <w:rPr>
                <w:rFonts w:ascii="Times New Roman" w:hAnsi="Times New Roman"/>
                <w:i/>
                <w:noProof/>
                <w:sz w:val="18"/>
              </w:rPr>
              <w:t>Protejarea și refacerea ecosistemelor marine și de apă dulce și a biodiversității, prevenirea și eliminarea poluării oceanelor, mărilor și apelor noastre, transformarea economiei albastre sustenabile într-o economie circulară și neutră din punctul de vedere al emisiilor de dioxid de carbon</w:t>
            </w:r>
          </w:p>
        </w:tc>
        <w:tc>
          <w:tcPr>
            <w:tcW w:w="3249" w:type="dxa"/>
          </w:tcPr>
          <w:p>
            <w:pPr>
              <w:pStyle w:val="Speakings"/>
              <w:numPr>
                <w:ilvl w:val="0"/>
                <w:numId w:val="0"/>
              </w:numPr>
              <w:spacing w:after="0" w:line="240" w:lineRule="auto"/>
              <w:rPr>
                <w:rFonts w:ascii="Times New Roman" w:eastAsia="Times New Roman" w:hAnsi="Times New Roman" w:cs="Times New Roman"/>
                <w:noProof/>
                <w:sz w:val="18"/>
                <w:szCs w:val="18"/>
              </w:rPr>
            </w:pPr>
            <w:r>
              <w:rPr>
                <w:rFonts w:ascii="Times New Roman" w:hAnsi="Times New Roman"/>
                <w:noProof/>
                <w:sz w:val="18"/>
              </w:rPr>
              <w:t>Misiunea a înregistrat progrese în ceea ce privește toate obiectivele UE pentru 2030 în materie de biodiversitate, poluare și neutralitate climatică în economia albastră. Ea a furnizat 121 de soluții inovatoare testate în 349 de situri demonstrative din lumea reală, a implicat 86 de regiuni în eforturi de reproducere și a asigurat peste 1 000 de acțiuni în cadrul cartei de la părțile interesate.</w:t>
            </w:r>
          </w:p>
        </w:tc>
        <w:tc>
          <w:tcPr>
            <w:tcW w:w="3249" w:type="dxa"/>
          </w:tcPr>
          <w:p>
            <w:pPr>
              <w:pStyle w:val="ListParagraph"/>
              <w:numPr>
                <w:ilvl w:val="0"/>
                <w:numId w:val="45"/>
              </w:num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 xml:space="preserve">Misiunea a ancorat o abordare la nivel de bazin, promovând cooperarea la nivel maritim și fluvial prin intermediul „farurilor” sale – o abordare pe care se va baza viitorul Act legislativ european privind oceanele. </w:t>
            </w:r>
          </w:p>
          <w:p>
            <w:pPr>
              <w:pStyle w:val="ListParagraph"/>
              <w:numPr>
                <w:ilvl w:val="0"/>
                <w:numId w:val="45"/>
              </w:numPr>
              <w:spacing w:after="0" w:line="240" w:lineRule="auto"/>
              <w:jc w:val="both"/>
              <w:rPr>
                <w:rFonts w:ascii="Times New Roman" w:eastAsia="Times New Roman" w:hAnsi="Times New Roman" w:cs="Times New Roman"/>
                <w:noProof/>
                <w:sz w:val="18"/>
                <w:szCs w:val="18"/>
              </w:rPr>
            </w:pPr>
            <w:r>
              <w:rPr>
                <w:rFonts w:ascii="Times New Roman" w:hAnsi="Times New Roman"/>
                <w:noProof/>
                <w:sz w:val="18"/>
              </w:rPr>
              <w:t xml:space="preserve">În cadrul misiunii, proiectarea infrastructurii de bază a platformei europene </w:t>
            </w:r>
            <w:r>
              <w:rPr>
                <w:rFonts w:ascii="Times New Roman" w:hAnsi="Times New Roman"/>
                <w:i/>
                <w:iCs/>
                <w:noProof/>
                <w:sz w:val="18"/>
              </w:rPr>
              <w:t>Digital Twin Ocean</w:t>
            </w:r>
            <w:r>
              <w:rPr>
                <w:rFonts w:ascii="Times New Roman" w:hAnsi="Times New Roman"/>
                <w:noProof/>
                <w:sz w:val="18"/>
              </w:rPr>
              <w:t xml:space="preserve"> – care se estimează că va fi pe deplin operațională până în 2030 – a fost finalizată și este acum accesibilă tuturor. </w:t>
            </w:r>
          </w:p>
          <w:p>
            <w:pPr>
              <w:pStyle w:val="ListParagraph"/>
              <w:numPr>
                <w:ilvl w:val="0"/>
                <w:numId w:val="32"/>
              </w:numPr>
              <w:spacing w:after="0" w:line="240" w:lineRule="auto"/>
              <w:jc w:val="both"/>
              <w:rPr>
                <w:rFonts w:ascii="Times New Roman" w:hAnsi="Times New Roman" w:cs="Times New Roman"/>
                <w:noProof/>
                <w:color w:val="000000" w:themeColor="text1"/>
                <w:sz w:val="18"/>
                <w:szCs w:val="18"/>
              </w:rPr>
            </w:pPr>
            <w:r>
              <w:rPr>
                <w:rFonts w:ascii="Times New Roman" w:hAnsi="Times New Roman"/>
                <w:noProof/>
                <w:color w:val="000000" w:themeColor="text1"/>
                <w:sz w:val="18"/>
              </w:rPr>
              <w:t>O serie de instrumente de reproducere și servicii de consiliere financiară încep să transforme această bază într-un val mai mare de investiții și proiecte de refacere în afara portofoliului inițial al misiunii.</w:t>
            </w:r>
          </w:p>
        </w:tc>
      </w:tr>
      <w:tr>
        <w:trPr>
          <w:trHeight w:val="3478"/>
        </w:trPr>
        <w:tc>
          <w:tcPr>
            <w:tcW w:w="2104" w:type="dxa"/>
          </w:tcPr>
          <w:p>
            <w:pPr>
              <w:spacing w:after="0"/>
              <w:rPr>
                <w:b/>
                <w:bCs/>
                <w:noProof/>
                <w:sz w:val="18"/>
                <w:szCs w:val="18"/>
              </w:rPr>
            </w:pPr>
            <w:r>
              <w:rPr>
                <w:b/>
                <w:noProof/>
                <w:sz w:val="18"/>
              </w:rPr>
              <w:t>Orașele</w:t>
            </w:r>
          </w:p>
          <w:p>
            <w:pPr>
              <w:spacing w:after="0"/>
              <w:rPr>
                <w:b/>
                <w:bCs/>
                <w:noProof/>
                <w:sz w:val="18"/>
                <w:szCs w:val="18"/>
              </w:rPr>
            </w:pPr>
            <w:r>
              <w:rPr>
                <w:i/>
                <w:noProof/>
                <w:sz w:val="18"/>
              </w:rPr>
              <w:t>Realizarea a cel puțin 100 de orașe neutre din punct de vedere climatic până în 2030 și asigurarea faptului că aceste orașe acționează și ca centre de experimentare și inovare pentru alte orașe, pentru a le permite tuturor orașelor europene să devină neutre din punct de vedere climatic până în 2050</w:t>
            </w:r>
          </w:p>
        </w:tc>
        <w:tc>
          <w:tcPr>
            <w:tcW w:w="3249" w:type="dxa"/>
          </w:tcPr>
          <w:p>
            <w:pPr>
              <w:pStyle w:val="Speakings"/>
              <w:numPr>
                <w:ilvl w:val="0"/>
                <w:numId w:val="0"/>
              </w:numPr>
              <w:spacing w:after="0" w:line="240" w:lineRule="auto"/>
              <w:rPr>
                <w:rFonts w:ascii="Times New Roman" w:hAnsi="Times New Roman" w:cs="Times New Roman"/>
                <w:noProof/>
                <w:sz w:val="18"/>
                <w:szCs w:val="18"/>
              </w:rPr>
            </w:pPr>
            <w:r>
              <w:rPr>
                <w:rFonts w:ascii="Times New Roman" w:hAnsi="Times New Roman"/>
                <w:noProof/>
                <w:sz w:val="18"/>
              </w:rPr>
              <w:t>107 orașe s-au angajat în mod oficial să atingă neutralitatea climatică și se așteaptă în mod colectiv să reducă emisiile cu aproximativ 199,68 MtCO₂e până în 2030 (aproximativ 6,6 % din emisiile UE-27 în 2024). În plus, s-au înregistrat progrese în ceea ce privește capacitatea orașelor de a acționa ca centre de experimentare prin intermediul inițiativelor-pilot Orașe, al programelor de facilitare a transformării orașelor (Enabling City Transformation) (105 orașe mobilizate) și al programelor de înfrățire pentru învățare (Twinning Learning) (181 de orașe mobilizate), completate de platforme naționale care extind abordarea misiunii dincolo de cohorta inițială, mobilizând deja zeci de alte orașe din întreaga Europă. Aceasta reprezintă o contribuție semnificativă la obiectivele climatice ale UE, subliniind în același timp amploarea eforturilor necesare pentru a atinge neutralitatea climatică până în 2030.</w:t>
            </w:r>
          </w:p>
        </w:tc>
        <w:tc>
          <w:tcPr>
            <w:tcW w:w="3249" w:type="dxa"/>
          </w:tcPr>
          <w:p>
            <w:pPr>
              <w:numPr>
                <w:ilvl w:val="0"/>
                <w:numId w:val="33"/>
              </w:numPr>
              <w:spacing w:after="0"/>
              <w:rPr>
                <w:noProof/>
                <w:sz w:val="18"/>
                <w:szCs w:val="18"/>
                <w:u w:val="single"/>
              </w:rPr>
            </w:pPr>
            <w:r>
              <w:rPr>
                <w:noProof/>
                <w:sz w:val="18"/>
              </w:rPr>
              <w:t>Contractele municipale privind clima ale misiunii au introdus un nou instrument dinamic de guvernanță pentru guvernanța urbană în domeniul climei și planificarea investițiilor, recunoscut în prezent în Agenda de politici a UE pentru orașe ca fiind una dintre referințele pentru strategiile urbane integrate și perspectivele de investiții.</w:t>
            </w:r>
          </w:p>
          <w:p>
            <w:pPr>
              <w:numPr>
                <w:ilvl w:val="0"/>
                <w:numId w:val="33"/>
              </w:numPr>
              <w:spacing w:after="0"/>
              <w:rPr>
                <w:noProof/>
                <w:sz w:val="18"/>
                <w:szCs w:val="18"/>
              </w:rPr>
            </w:pPr>
            <w:r>
              <w:rPr>
                <w:noProof/>
                <w:sz w:val="18"/>
              </w:rPr>
              <w:t>Proiectele-pilot, înfrățirea și platforma misiunii au creat un ecosistem european în care orașele testează și reproduc soluții neutre din punct de vedere climatic, poziționând orașele misiunii ca centre de inovare care permit altor orașe europene să urmeze căi similare către neutralitatea climatică până în 2050.</w:t>
            </w:r>
          </w:p>
          <w:p>
            <w:pPr>
              <w:pStyle w:val="ListParagraph"/>
              <w:numPr>
                <w:ilvl w:val="0"/>
                <w:numId w:val="32"/>
              </w:numPr>
              <w:spacing w:after="0" w:line="240" w:lineRule="auto"/>
              <w:jc w:val="both"/>
              <w:rPr>
                <w:rFonts w:ascii="Times New Roman" w:hAnsi="Times New Roman" w:cs="Times New Roman"/>
                <w:noProof/>
                <w:sz w:val="18"/>
                <w:szCs w:val="18"/>
              </w:rPr>
            </w:pPr>
            <w:r>
              <w:rPr>
                <w:rFonts w:ascii="Times New Roman" w:hAnsi="Times New Roman"/>
                <w:noProof/>
                <w:sz w:val="18"/>
              </w:rPr>
              <w:t>Misiunea a mobilizat și a aliniat fluxurile de finanțare în jurul investițiilor urbane în domeniul climei, inclusiv un pachet de împrumuturi în valoare de 2 miliarde EUR din partea Băncii Europene de Investiții pentru orașele cu eticheta misiunii, finanțare națională emergentă prin intermediul platformelor naționale și investiții private emergente prin intermediul platformei „Capital Hub”.</w:t>
            </w:r>
          </w:p>
        </w:tc>
      </w:tr>
      <w:tr>
        <w:trPr>
          <w:trHeight w:val="3008"/>
        </w:trPr>
        <w:tc>
          <w:tcPr>
            <w:tcW w:w="2104" w:type="dxa"/>
          </w:tcPr>
          <w:p>
            <w:pPr>
              <w:tabs>
                <w:tab w:val="left" w:pos="831"/>
              </w:tabs>
              <w:spacing w:after="0"/>
              <w:rPr>
                <w:b/>
                <w:bCs/>
                <w:noProof/>
                <w:sz w:val="18"/>
                <w:szCs w:val="18"/>
              </w:rPr>
            </w:pPr>
            <w:r>
              <w:rPr>
                <w:b/>
                <w:noProof/>
                <w:sz w:val="18"/>
              </w:rPr>
              <w:t>Solul</w:t>
            </w:r>
          </w:p>
          <w:p>
            <w:pPr>
              <w:spacing w:after="0"/>
              <w:rPr>
                <w:b/>
                <w:bCs/>
                <w:noProof/>
                <w:sz w:val="18"/>
                <w:szCs w:val="18"/>
              </w:rPr>
            </w:pPr>
            <w:r>
              <w:rPr>
                <w:i/>
                <w:noProof/>
                <w:sz w:val="18"/>
              </w:rPr>
              <w:t>Crearea a 100 de laboratoare vii și de faruri care să conducă tranziția către soluri sănătoase</w:t>
            </w:r>
          </w:p>
        </w:tc>
        <w:tc>
          <w:tcPr>
            <w:tcW w:w="3249" w:type="dxa"/>
          </w:tcPr>
          <w:p>
            <w:pPr>
              <w:pStyle w:val="Speakings"/>
              <w:numPr>
                <w:ilvl w:val="0"/>
                <w:numId w:val="0"/>
              </w:numPr>
              <w:spacing w:after="0" w:line="240" w:lineRule="auto"/>
              <w:rPr>
                <w:rFonts w:ascii="Times New Roman" w:hAnsi="Times New Roman" w:cs="Times New Roman"/>
                <w:noProof/>
                <w:sz w:val="18"/>
                <w:szCs w:val="18"/>
              </w:rPr>
            </w:pPr>
            <w:r>
              <w:rPr>
                <w:rFonts w:ascii="Times New Roman" w:hAnsi="Times New Roman"/>
                <w:noProof/>
                <w:sz w:val="18"/>
              </w:rPr>
              <w:t>45 de laboratoare vii înființate și selecția continuă pentru alte 60 – 70. Întrucât toate laboratoarele vii vor funcționa până în 2028, se estimează că misiunea își va depăși obiectivul pentru 2030.</w:t>
            </w:r>
          </w:p>
        </w:tc>
        <w:tc>
          <w:tcPr>
            <w:tcW w:w="3249" w:type="dxa"/>
          </w:tcPr>
          <w:p>
            <w:pPr>
              <w:numPr>
                <w:ilvl w:val="0"/>
                <w:numId w:val="34"/>
              </w:numPr>
              <w:spacing w:after="0"/>
              <w:rPr>
                <w:noProof/>
                <w:sz w:val="18"/>
                <w:szCs w:val="18"/>
                <w:u w:val="single"/>
              </w:rPr>
            </w:pPr>
            <w:r>
              <w:rPr>
                <w:noProof/>
                <w:sz w:val="18"/>
              </w:rPr>
              <w:t>Misiunea a prezentat pentru prima dată dovezi că 62 % din soluri se află într-o stare nesănătoasă, atrăgând atenția politică asupra sănătății solului.</w:t>
            </w:r>
          </w:p>
          <w:p>
            <w:pPr>
              <w:numPr>
                <w:ilvl w:val="0"/>
                <w:numId w:val="34"/>
              </w:numPr>
              <w:spacing w:after="0"/>
              <w:rPr>
                <w:noProof/>
                <w:sz w:val="18"/>
                <w:szCs w:val="18"/>
              </w:rPr>
            </w:pPr>
            <w:r>
              <w:rPr>
                <w:noProof/>
                <w:sz w:val="18"/>
              </w:rPr>
              <w:t xml:space="preserve">Datorită misiunii, Europa dispune în prezent de un ecosistem structurat și permanent pentru producerea, colectarea, conservarea și diseminarea datelor, cunoștințelor, instrumentelor, tehnologiilor și practicilor privind solul. </w:t>
            </w:r>
          </w:p>
          <w:p>
            <w:pPr>
              <w:pStyle w:val="ListParagraph"/>
              <w:numPr>
                <w:ilvl w:val="0"/>
                <w:numId w:val="32"/>
              </w:numPr>
              <w:spacing w:after="0" w:line="240" w:lineRule="auto"/>
              <w:jc w:val="both"/>
              <w:rPr>
                <w:rFonts w:ascii="Times New Roman" w:hAnsi="Times New Roman" w:cs="Times New Roman"/>
                <w:noProof/>
                <w:sz w:val="18"/>
                <w:szCs w:val="18"/>
              </w:rPr>
            </w:pPr>
            <w:r>
              <w:rPr>
                <w:rFonts w:ascii="Times New Roman" w:hAnsi="Times New Roman"/>
                <w:noProof/>
                <w:sz w:val="18"/>
              </w:rPr>
              <w:t xml:space="preserve">Laboratoarele vii ale misiunii sunt infrastructuri de inovare esențiale, fiind deja implicate peste 500 de ferme, păduri și parcele urbane din 24 de țări diferite. Laboratoarele vii dezvoltă, testează și sprijină </w:t>
            </w:r>
            <w:r>
              <w:rPr>
                <w:rFonts w:ascii="Times New Roman" w:hAnsi="Times New Roman"/>
                <w:noProof/>
                <w:sz w:val="18"/>
              </w:rPr>
              <w:lastRenderedPageBreak/>
              <w:t>adoptarea unor practici sustenabile de gestionare a solului specifice contextului.</w:t>
            </w:r>
          </w:p>
        </w:tc>
      </w:tr>
    </w:tbl>
    <w:p>
      <w:pPr>
        <w:pStyle w:val="Text1"/>
        <w:ind w:left="0"/>
        <w:rPr>
          <w:noProof/>
        </w:rPr>
      </w:pPr>
    </w:p>
    <w:sectPr>
      <w:headerReference w:type="default" r:id="rId27"/>
      <w:footerReference w:type="default" r:id="rId28"/>
      <w:headerReference w:type="first" r:id="rId29"/>
      <w:footerReference w:type="first" r:id="rId30"/>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id="1">
    <w:p>
      <w:pPr>
        <w:pStyle w:val="FootnoteText"/>
      </w:pPr>
      <w:r>
        <w:t>(</w:t>
      </w:r>
      <w:r>
        <w:rPr>
          <w:rStyle w:val="FootnoteReference"/>
        </w:rPr>
        <w:footnoteRef/>
      </w:r>
      <w:r>
        <w:t>)</w:t>
      </w:r>
      <w:r>
        <w:tab/>
        <w:t>COM(2021) 609 final.</w:t>
      </w:r>
    </w:p>
  </w:footnote>
  <w:footnote w:id="2">
    <w:p>
      <w:pPr>
        <w:pStyle w:val="FootnoteText"/>
      </w:pPr>
      <w:r>
        <w:t>(</w:t>
      </w:r>
      <w:r>
        <w:rPr>
          <w:rStyle w:val="FootnoteReference"/>
        </w:rPr>
        <w:footnoteRef/>
      </w:r>
      <w:r>
        <w:t>)</w:t>
      </w:r>
      <w:r>
        <w:tab/>
        <w:t>La 28 noiembrie 2025, misiunile UE aveau un portofoliu de 306 proiecte finanțate prin programul Orizont Europa.</w:t>
      </w:r>
    </w:p>
  </w:footnote>
  <w:footnote w:id="3">
    <w:p>
      <w:pPr>
        <w:pStyle w:val="FootnoteText"/>
      </w:pPr>
      <w:r>
        <w:t>(</w:t>
      </w:r>
      <w:r>
        <w:rPr>
          <w:rStyle w:val="FootnoteReference"/>
        </w:rPr>
        <w:footnoteRef/>
      </w:r>
      <w:r>
        <w:t>)</w:t>
      </w:r>
      <w:r>
        <w:tab/>
        <w:t>COM(2025) 543 final.</w:t>
      </w:r>
    </w:p>
  </w:footnote>
  <w:footnote w:id="4">
    <w:p>
      <w:pPr>
        <w:pStyle w:val="FootnoteText"/>
      </w:pPr>
      <w:r>
        <w:t>(</w:t>
      </w:r>
      <w:r>
        <w:rPr>
          <w:rStyle w:val="FootnoteReference"/>
        </w:rPr>
        <w:footnoteRef/>
      </w:r>
      <w:r>
        <w:t>)</w:t>
      </w:r>
      <w:r>
        <w:tab/>
        <w:t>Majoritatea datelor care stau la baza evaluării au fost colectate în 2025. În documentul de lucru al serviciilor Comisiei care însoțește prezentul raport sunt indicate date limită exacte pentru sursele de date specifice.</w:t>
      </w:r>
    </w:p>
  </w:footnote>
  <w:footnote w:id="5">
    <w:p>
      <w:pPr>
        <w:pStyle w:val="FootnoteText"/>
      </w:pPr>
      <w:r>
        <w:t>(</w:t>
      </w:r>
      <w:r>
        <w:rPr>
          <w:rStyle w:val="FootnoteReference"/>
        </w:rPr>
        <w:footnoteRef/>
      </w:r>
      <w:r>
        <w:t>)</w:t>
      </w:r>
      <w:r>
        <w:tab/>
        <w:t>COM(2023) 457 final.</w:t>
      </w:r>
    </w:p>
  </w:footnote>
  <w:footnote w:id="6">
    <w:p>
      <w:pPr>
        <w:pStyle w:val="FootnoteText"/>
      </w:pPr>
      <w:r>
        <w:t>(</w:t>
      </w:r>
      <w:r>
        <w:rPr>
          <w:rStyle w:val="FootnoteReference"/>
        </w:rPr>
        <w:footnoteRef/>
      </w:r>
      <w:r>
        <w:t>)</w:t>
      </w:r>
      <w:r>
        <w:tab/>
      </w:r>
      <w:r>
        <w:rPr>
          <w:i/>
          <w:iCs/>
        </w:rPr>
        <w:t>Todeschi, V., Ulpiani, G., Vetters, N., Galioto, C., Banja, M. et al., Climate-neutral and Smart Cities Mission: 2025 assessment - Monitoring the overall progress and impact of the Cities Mission, European Commission, Ispra, 2026, JRC146414</w:t>
      </w:r>
      <w:r>
        <w:t xml:space="preserve"> (Misiunea „Orașe inteligente și neutre din punctul de vedere al impactului asupra climei”: evaluarea din 2025 – Monitorizarea progreselor generale și a impactului general al misiunii pentru orașe, Comisia Europeană, Ispra, 2026, JRC146414.</w:t>
      </w:r>
    </w:p>
  </w:footnote>
  <w:footnote w:id="7">
    <w:p>
      <w:pPr>
        <w:pStyle w:val="FootnoteText"/>
      </w:pPr>
      <w:r>
        <w:t>(</w:t>
      </w:r>
      <w:r>
        <w:rPr>
          <w:rStyle w:val="FootnoteReference"/>
        </w:rPr>
        <w:footnoteRef/>
      </w:r>
      <w:r>
        <w:t>)</w:t>
      </w:r>
      <w:r>
        <w:tab/>
        <w:t>Există 41 de proiecte demonstrative, care demonstrează, în medie, 22 de soluții de adaptare la schimbările climatice.</w:t>
      </w:r>
    </w:p>
  </w:footnote>
  <w:footnote w:id="8">
    <w:p>
      <w:pPr>
        <w:pStyle w:val="FootnoteText"/>
      </w:pPr>
      <w:r>
        <w:t>(</w:t>
      </w:r>
      <w:r>
        <w:rPr>
          <w:rStyle w:val="FootnoteReference"/>
        </w:rPr>
        <w:footnoteRef/>
      </w:r>
      <w:r>
        <w:t>)</w:t>
      </w:r>
      <w:r>
        <w:tab/>
        <w:t>Centrele sunt deja operaționale în Polonia, Germania, Franța, Grecia, Malta, Țările de Jos, Bulgaria și Suedia. Ele vor fi operaționale în curând în Luxemburg, Norvegia, Portugalia, Irlanda, Belgia, Ungaria, Italia, Spania, Israel, Croația și Finlanda.</w:t>
      </w:r>
    </w:p>
  </w:footnote>
  <w:footnote w:id="9">
    <w:p>
      <w:pPr>
        <w:pStyle w:val="FootnoteText"/>
      </w:pPr>
      <w:r>
        <w:t>(</w:t>
      </w:r>
      <w:r>
        <w:rPr>
          <w:rStyle w:val="FootnoteReference"/>
        </w:rPr>
        <w:footnoteRef/>
      </w:r>
      <w:r>
        <w:t>)</w:t>
      </w:r>
      <w:r>
        <w:tab/>
      </w:r>
      <w:hyperlink r:id="rId1" w:history="1">
        <w:r>
          <w:rPr>
            <w:rStyle w:val="Hyperlink"/>
          </w:rPr>
          <w:t>Misiunea privind oceanul și apele – Forumul maritim</w:t>
        </w:r>
      </w:hyperlink>
    </w:p>
  </w:footnote>
  <w:footnote w:id="10">
    <w:p>
      <w:pPr>
        <w:pStyle w:val="FootnoteText"/>
      </w:pPr>
      <w:r>
        <w:t>(</w:t>
      </w:r>
      <w:r>
        <w:rPr>
          <w:rStyle w:val="FootnoteReference"/>
        </w:rPr>
        <w:footnoteRef/>
      </w:r>
      <w:r>
        <w:t>)</w:t>
      </w:r>
      <w:r>
        <w:tab/>
      </w:r>
      <w:r>
        <w:rPr>
          <w:i/>
          <w:iCs/>
        </w:rPr>
        <w:t>Todeschi, V., Ulpiani, G., Vetters, N., Galioto, C., Banja, M. et al., Climate-neutral and Smart Cities Mission: 2025 assessment - Monitoring the overall progress and impact of the Cities Mission, European Commission, Ispra, 2026, JRC146414</w:t>
      </w:r>
      <w:r>
        <w:t xml:space="preserve"> (Misiunea „Orașe inteligente și neutre din punctul de vedere al impactului asupra climei”: evaluarea din 2025 – Monitorizarea progreselor generale și a impactului general al misiunii pentru orașe, Comisia Europeană, Ispra, 2026, JRC146414.</w:t>
      </w:r>
    </w:p>
  </w:footnote>
  <w:footnote w:id="11">
    <w:p>
      <w:pPr>
        <w:pStyle w:val="FootnoteText"/>
      </w:pPr>
      <w:r>
        <w:t>(</w:t>
      </w:r>
      <w:r>
        <w:rPr>
          <w:rStyle w:val="FootnoteReference"/>
        </w:rPr>
        <w:footnoteRef/>
      </w:r>
      <w:r>
        <w:t>)</w:t>
      </w:r>
      <w:r>
        <w:tab/>
      </w:r>
      <w:hyperlink r:id="rId2" w:history="1">
        <w:r>
          <w:rPr>
            <w:rStyle w:val="Hyperlink"/>
          </w:rPr>
          <w:t>Misiunea privind solul – Plan de punere în aplicare</w:t>
        </w:r>
      </w:hyperlink>
      <w:r>
        <w:t>.</w:t>
      </w:r>
    </w:p>
  </w:footnote>
  <w:footnote w:id="12">
    <w:p>
      <w:pPr>
        <w:pStyle w:val="FootnoteText"/>
      </w:pPr>
      <w:r>
        <w:t>(</w:t>
      </w:r>
      <w:r>
        <w:rPr>
          <w:rStyle w:val="FootnoteReference"/>
        </w:rPr>
        <w:footnoteRef/>
      </w:r>
      <w:r>
        <w:t>)</w:t>
      </w:r>
      <w:r>
        <w:tab/>
        <w:t>Directiva (UE) 2025/2360.</w:t>
      </w:r>
    </w:p>
  </w:footnote>
  <w:footnote w:id="13">
    <w:p>
      <w:pPr>
        <w:pStyle w:val="FootnoteText"/>
      </w:pPr>
      <w:r>
        <w:t>(</w:t>
      </w:r>
      <w:r>
        <w:rPr>
          <w:rStyle w:val="FootnoteReference"/>
        </w:rPr>
        <w:footnoteRef/>
      </w:r>
      <w:r>
        <w:t>)</w:t>
      </w:r>
      <w:r>
        <w:tab/>
        <w:t>A se vedea activitățile transversale din cadrul programului de lucru al misiunilor Orizont Europa pentru perioada 2026 – 2027.</w:t>
      </w:r>
    </w:p>
  </w:footnote>
  <w:footnote w:id="14">
    <w:p>
      <w:pPr>
        <w:pStyle w:val="FootnoteText"/>
      </w:pPr>
      <w:r>
        <w:t>(</w:t>
      </w:r>
      <w:r>
        <w:rPr>
          <w:rStyle w:val="FootnoteReference"/>
        </w:rPr>
        <w:footnoteRef/>
      </w:r>
      <w:r>
        <w:t>)</w:t>
      </w:r>
      <w:r>
        <w:tab/>
        <w:t>A se vedea, de exemplu, HORIZON-MISS-2024-CLIMA-01-02, HORIZON-MISS-2024-CIT-02-01 în cadrul programului de lucru al misiunilor Orizont Europa pentru perioada 2023 – 2025, HORIZON-MISS-2025-02-CANCER-06, HORIZON-MISS-2025-03-OCEAN-07, HORIZON-MISS-2025-05-SOIL-08, „Acord de grant specific pentru FPA în vederea consolidării operațiunilor platformei misiunii privind orașele inteligente și neutre din punct de vedere climatic” în cadrul programului de lucru al misiunilor Orizont Europa pentru 2025 și HORIZON-MISS-2026-01-CLIMA-01 în cadrul programului de lucru al misiunilor Orizont Europa pentru perioada 2026 – 2027.</w:t>
      </w:r>
    </w:p>
  </w:footnote>
  <w:footnote w:id="15">
    <w:p>
      <w:pPr>
        <w:pStyle w:val="FootnoteText"/>
      </w:pPr>
      <w:r>
        <w:t>(</w:t>
      </w:r>
      <w:r>
        <w:rPr>
          <w:rStyle w:val="FootnoteReference"/>
        </w:rPr>
        <w:footnoteRef/>
      </w:r>
      <w:r>
        <w:t>)</w:t>
      </w:r>
      <w:r>
        <w:tab/>
        <w:t>Date extrase la 28 noiembrie 2025, referitoare la 306 proiecte de misiuni.</w:t>
      </w:r>
    </w:p>
  </w:footnote>
  <w:footnote w:id="16">
    <w:p>
      <w:pPr>
        <w:pStyle w:val="FootnoteText"/>
      </w:pPr>
      <w:r>
        <w:t>(</w:t>
      </w:r>
      <w:r>
        <w:rPr>
          <w:rStyle w:val="FootnoteReference"/>
        </w:rPr>
        <w:footnoteRef/>
      </w:r>
      <w:r>
        <w:t>)</w:t>
      </w:r>
      <w:r>
        <w:tab/>
      </w:r>
      <w:hyperlink r:id="rId3" w:history="1">
        <w:r>
          <w:rPr>
            <w:rStyle w:val="Hyperlink"/>
          </w:rPr>
          <w:t>Reziliența la schimbările climatice și gestionarea riscurilor în Europa – Un cadru integrat</w:t>
        </w:r>
      </w:hyperlink>
      <w:r>
        <w:t>.</w:t>
      </w:r>
    </w:p>
  </w:footnote>
  <w:footnote w:id="17">
    <w:p>
      <w:pPr>
        <w:pStyle w:val="FootnoteText"/>
      </w:pPr>
      <w:r>
        <w:t>(</w:t>
      </w:r>
      <w:r>
        <w:rPr>
          <w:rStyle w:val="FootnoteReference"/>
        </w:rPr>
        <w:footnoteRef/>
      </w:r>
      <w:r>
        <w:t>)</w:t>
      </w:r>
      <w:r>
        <w:tab/>
        <w:t>COM(2021) 44 final.</w:t>
      </w:r>
    </w:p>
  </w:footnote>
  <w:footnote w:id="18">
    <w:p>
      <w:pPr>
        <w:pStyle w:val="FootnoteText"/>
      </w:pPr>
      <w:r>
        <w:t>(</w:t>
      </w:r>
      <w:r>
        <w:rPr>
          <w:rStyle w:val="FootnoteReference"/>
        </w:rPr>
        <w:footnoteRef/>
      </w:r>
      <w:r>
        <w:t>)</w:t>
      </w:r>
      <w:r>
        <w:tab/>
        <w:t>COM(2025) 281 final, anexa. Obiective legate de oceane prevăzute de legislația și politica UE.</w:t>
      </w:r>
    </w:p>
  </w:footnote>
  <w:footnote w:id="19">
    <w:p>
      <w:pPr>
        <w:pStyle w:val="FootnoteText"/>
      </w:pPr>
      <w:r>
        <w:t>(</w:t>
      </w:r>
      <w:r>
        <w:rPr>
          <w:rStyle w:val="FootnoteReference"/>
        </w:rPr>
        <w:footnoteRef/>
      </w:r>
      <w:r>
        <w:t>)</w:t>
      </w:r>
      <w:r>
        <w:tab/>
        <w:t>COM (2025) 280 final, anexa II – Principalele obiective intermediare pentru perioada 2027-2033.</w:t>
      </w:r>
    </w:p>
  </w:footnote>
  <w:footnote w:id="20">
    <w:p>
      <w:pPr>
        <w:pStyle w:val="FootnoteText"/>
      </w:pPr>
      <w:r>
        <w:t>(</w:t>
      </w:r>
      <w:r>
        <w:rPr>
          <w:rStyle w:val="FootnoteReference"/>
        </w:rPr>
        <w:footnoteRef/>
      </w:r>
      <w:r>
        <w:t>)</w:t>
      </w:r>
      <w:r>
        <w:tab/>
        <w:t>COM(2025) 739 final.</w:t>
      </w:r>
    </w:p>
  </w:footnote>
  <w:footnote w:id="21">
    <w:p>
      <w:pPr>
        <w:pStyle w:val="FootnoteText"/>
      </w:pPr>
      <w:r>
        <w:t>(</w:t>
      </w:r>
      <w:r>
        <w:rPr>
          <w:rStyle w:val="FootnoteReference"/>
        </w:rPr>
        <w:footnoteRef/>
      </w:r>
      <w:r>
        <w:t>)</w:t>
      </w:r>
      <w:r>
        <w:tab/>
        <w:t xml:space="preserve">COM(2021) 699 final.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37F45"/>
    <w:multiLevelType w:val="multilevel"/>
    <w:tmpl w:val="FFFFFFFF"/>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214DAD"/>
    <w:multiLevelType w:val="hybridMultilevel"/>
    <w:tmpl w:val="0A3855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8AEE5D9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5B926FD0"/>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FD21CCA"/>
    <w:multiLevelType w:val="hybridMultilevel"/>
    <w:tmpl w:val="616274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20B7201"/>
    <w:multiLevelType w:val="multilevel"/>
    <w:tmpl w:val="612A1D1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0B8345"/>
    <w:multiLevelType w:val="multilevel"/>
    <w:tmpl w:val="096EF9E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BF001634"/>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FF98370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51874CC"/>
    <w:multiLevelType w:val="hybridMultilevel"/>
    <w:tmpl w:val="218C5F84"/>
    <w:lvl w:ilvl="0" w:tplc="F57AD5E4">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F0AC5"/>
    <w:multiLevelType w:val="multilevel"/>
    <w:tmpl w:val="5F4E8C1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C7B624F"/>
    <w:multiLevelType w:val="multilevel"/>
    <w:tmpl w:val="26667E4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59A4851"/>
    <w:multiLevelType w:val="hybridMultilevel"/>
    <w:tmpl w:val="3D30E0B4"/>
    <w:lvl w:ilvl="0" w:tplc="18090001">
      <w:start w:val="1"/>
      <w:numFmt w:val="bullet"/>
      <w:lvlText w:val=""/>
      <w:lvlJc w:val="left"/>
      <w:pPr>
        <w:ind w:left="720" w:hanging="360"/>
      </w:pPr>
      <w:rPr>
        <w:rFonts w:ascii="Symbol" w:hAnsi="Symbol" w:hint="default"/>
      </w:rPr>
    </w:lvl>
    <w:lvl w:ilvl="1" w:tplc="ED4C0DFA">
      <w:numFmt w:val="bullet"/>
      <w:lvlText w:val="-"/>
      <w:lvlJc w:val="left"/>
      <w:pPr>
        <w:ind w:left="1440" w:hanging="36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8DFDF8"/>
    <w:multiLevelType w:val="multilevel"/>
    <w:tmpl w:val="2DB010D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1062DD7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F4"/>
    <w:multiLevelType w:val="multilevel"/>
    <w:tmpl w:val="B3F671F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48C2D17"/>
    <w:multiLevelType w:val="hybridMultilevel"/>
    <w:tmpl w:val="F1EEC52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324F1E"/>
    <w:multiLevelType w:val="multilevel"/>
    <w:tmpl w:val="21621186"/>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0B1EDBA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7730C4"/>
    <w:multiLevelType w:val="multilevel"/>
    <w:tmpl w:val="10CE033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BA6209E"/>
    <w:multiLevelType w:val="hybridMultilevel"/>
    <w:tmpl w:val="E81E4A0E"/>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F3F1808"/>
    <w:multiLevelType w:val="hybridMultilevel"/>
    <w:tmpl w:val="226E6106"/>
    <w:lvl w:ilvl="0" w:tplc="921A9BE8">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29E662A"/>
    <w:multiLevelType w:val="multilevel"/>
    <w:tmpl w:val="D128939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6963C59"/>
    <w:multiLevelType w:val="hybridMultilevel"/>
    <w:tmpl w:val="B470A72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D0037CE"/>
    <w:multiLevelType w:val="hybridMultilevel"/>
    <w:tmpl w:val="48C65BC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E1A63DF"/>
    <w:multiLevelType w:val="multilevel"/>
    <w:tmpl w:val="1AA69B3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4E1A982C"/>
    <w:multiLevelType w:val="multilevel"/>
    <w:tmpl w:val="078277C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FF24976"/>
    <w:multiLevelType w:val="hybridMultilevel"/>
    <w:tmpl w:val="E60E6E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5072619B"/>
    <w:multiLevelType w:val="multilevel"/>
    <w:tmpl w:val="7870D75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8D080A0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6F8ABD0"/>
    <w:multiLevelType w:val="hybridMultilevel"/>
    <w:tmpl w:val="1506F23E"/>
    <w:lvl w:ilvl="0" w:tplc="BC78DD8A">
      <w:start w:val="1"/>
      <w:numFmt w:val="bullet"/>
      <w:lvlText w:val=""/>
      <w:lvlJc w:val="left"/>
      <w:pPr>
        <w:ind w:left="720" w:hanging="360"/>
      </w:pPr>
      <w:rPr>
        <w:rFonts w:ascii="Wingdings" w:hAnsi="Wingdings" w:hint="default"/>
      </w:rPr>
    </w:lvl>
    <w:lvl w:ilvl="1" w:tplc="A48E581E">
      <w:start w:val="1"/>
      <w:numFmt w:val="bullet"/>
      <w:lvlText w:val="o"/>
      <w:lvlJc w:val="left"/>
      <w:pPr>
        <w:ind w:left="1440" w:hanging="360"/>
      </w:pPr>
      <w:rPr>
        <w:rFonts w:ascii="Courier New" w:hAnsi="Courier New" w:hint="default"/>
      </w:rPr>
    </w:lvl>
    <w:lvl w:ilvl="2" w:tplc="FBD47632">
      <w:start w:val="1"/>
      <w:numFmt w:val="bullet"/>
      <w:lvlText w:val=""/>
      <w:lvlJc w:val="left"/>
      <w:pPr>
        <w:ind w:left="2160" w:hanging="360"/>
      </w:pPr>
      <w:rPr>
        <w:rFonts w:ascii="Wingdings" w:hAnsi="Wingdings" w:hint="default"/>
      </w:rPr>
    </w:lvl>
    <w:lvl w:ilvl="3" w:tplc="F0E6501A">
      <w:start w:val="1"/>
      <w:numFmt w:val="bullet"/>
      <w:lvlText w:val=""/>
      <w:lvlJc w:val="left"/>
      <w:pPr>
        <w:ind w:left="2880" w:hanging="360"/>
      </w:pPr>
      <w:rPr>
        <w:rFonts w:ascii="Symbol" w:hAnsi="Symbol" w:hint="default"/>
      </w:rPr>
    </w:lvl>
    <w:lvl w:ilvl="4" w:tplc="8FD0AB1C">
      <w:start w:val="1"/>
      <w:numFmt w:val="bullet"/>
      <w:lvlText w:val="o"/>
      <w:lvlJc w:val="left"/>
      <w:pPr>
        <w:ind w:left="3600" w:hanging="360"/>
      </w:pPr>
      <w:rPr>
        <w:rFonts w:ascii="Courier New" w:hAnsi="Courier New" w:hint="default"/>
      </w:rPr>
    </w:lvl>
    <w:lvl w:ilvl="5" w:tplc="E6BAECBA">
      <w:start w:val="1"/>
      <w:numFmt w:val="bullet"/>
      <w:lvlText w:val=""/>
      <w:lvlJc w:val="left"/>
      <w:pPr>
        <w:ind w:left="4320" w:hanging="360"/>
      </w:pPr>
      <w:rPr>
        <w:rFonts w:ascii="Wingdings" w:hAnsi="Wingdings" w:hint="default"/>
      </w:rPr>
    </w:lvl>
    <w:lvl w:ilvl="6" w:tplc="45680B14">
      <w:start w:val="1"/>
      <w:numFmt w:val="bullet"/>
      <w:lvlText w:val=""/>
      <w:lvlJc w:val="left"/>
      <w:pPr>
        <w:ind w:left="5040" w:hanging="360"/>
      </w:pPr>
      <w:rPr>
        <w:rFonts w:ascii="Symbol" w:hAnsi="Symbol" w:hint="default"/>
      </w:rPr>
    </w:lvl>
    <w:lvl w:ilvl="7" w:tplc="4220218C">
      <w:start w:val="1"/>
      <w:numFmt w:val="bullet"/>
      <w:lvlText w:val="o"/>
      <w:lvlJc w:val="left"/>
      <w:pPr>
        <w:ind w:left="5760" w:hanging="360"/>
      </w:pPr>
      <w:rPr>
        <w:rFonts w:ascii="Courier New" w:hAnsi="Courier New" w:hint="default"/>
      </w:rPr>
    </w:lvl>
    <w:lvl w:ilvl="8" w:tplc="73B6A324">
      <w:start w:val="1"/>
      <w:numFmt w:val="bullet"/>
      <w:lvlText w:val=""/>
      <w:lvlJc w:val="left"/>
      <w:pPr>
        <w:ind w:left="6480" w:hanging="360"/>
      </w:pPr>
      <w:rPr>
        <w:rFonts w:ascii="Wingdings" w:hAnsi="Wingdings" w:hint="default"/>
      </w:rPr>
    </w:lvl>
  </w:abstractNum>
  <w:abstractNum w:abstractNumId="31" w15:restartNumberingAfterBreak="0">
    <w:nsid w:val="60FE2D76"/>
    <w:multiLevelType w:val="hybridMultilevel"/>
    <w:tmpl w:val="619861D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16E07B8"/>
    <w:multiLevelType w:val="hybridMultilevel"/>
    <w:tmpl w:val="87A0AE08"/>
    <w:lvl w:ilvl="0" w:tplc="085C2A04">
      <w:start w:val="1"/>
      <w:numFmt w:val="bullet"/>
      <w:lvlText w:val="•"/>
      <w:lvlJc w:val="left"/>
      <w:pPr>
        <w:tabs>
          <w:tab w:val="num" w:pos="720"/>
        </w:tabs>
        <w:ind w:left="720" w:hanging="360"/>
      </w:pPr>
      <w:rPr>
        <w:rFonts w:ascii="Arial" w:hAnsi="Arial" w:hint="default"/>
      </w:rPr>
    </w:lvl>
    <w:lvl w:ilvl="1" w:tplc="2A1E42E2">
      <w:start w:val="1"/>
      <w:numFmt w:val="bullet"/>
      <w:lvlText w:val="•"/>
      <w:lvlJc w:val="left"/>
      <w:pPr>
        <w:tabs>
          <w:tab w:val="num" w:pos="1440"/>
        </w:tabs>
        <w:ind w:left="1440" w:hanging="360"/>
      </w:pPr>
      <w:rPr>
        <w:rFonts w:ascii="Arial" w:hAnsi="Arial" w:hint="default"/>
      </w:rPr>
    </w:lvl>
    <w:lvl w:ilvl="2" w:tplc="2B166D78">
      <w:start w:val="1"/>
      <w:numFmt w:val="bullet"/>
      <w:lvlText w:val="•"/>
      <w:lvlJc w:val="left"/>
      <w:pPr>
        <w:tabs>
          <w:tab w:val="num" w:pos="2160"/>
        </w:tabs>
        <w:ind w:left="2160" w:hanging="360"/>
      </w:pPr>
      <w:rPr>
        <w:rFonts w:ascii="Arial" w:hAnsi="Arial" w:hint="default"/>
      </w:rPr>
    </w:lvl>
    <w:lvl w:ilvl="3" w:tplc="FBCA21A4">
      <w:start w:val="1"/>
      <w:numFmt w:val="bullet"/>
      <w:lvlText w:val="•"/>
      <w:lvlJc w:val="left"/>
      <w:pPr>
        <w:tabs>
          <w:tab w:val="num" w:pos="2880"/>
        </w:tabs>
        <w:ind w:left="2880" w:hanging="360"/>
      </w:pPr>
      <w:rPr>
        <w:rFonts w:ascii="Arial" w:hAnsi="Arial" w:hint="default"/>
      </w:rPr>
    </w:lvl>
    <w:lvl w:ilvl="4" w:tplc="DBFCF266" w:tentative="1">
      <w:start w:val="1"/>
      <w:numFmt w:val="bullet"/>
      <w:lvlText w:val="•"/>
      <w:lvlJc w:val="left"/>
      <w:pPr>
        <w:tabs>
          <w:tab w:val="num" w:pos="3600"/>
        </w:tabs>
        <w:ind w:left="3600" w:hanging="360"/>
      </w:pPr>
      <w:rPr>
        <w:rFonts w:ascii="Arial" w:hAnsi="Arial" w:hint="default"/>
      </w:rPr>
    </w:lvl>
    <w:lvl w:ilvl="5" w:tplc="D7FA4840" w:tentative="1">
      <w:start w:val="1"/>
      <w:numFmt w:val="bullet"/>
      <w:lvlText w:val="•"/>
      <w:lvlJc w:val="left"/>
      <w:pPr>
        <w:tabs>
          <w:tab w:val="num" w:pos="4320"/>
        </w:tabs>
        <w:ind w:left="4320" w:hanging="360"/>
      </w:pPr>
      <w:rPr>
        <w:rFonts w:ascii="Arial" w:hAnsi="Arial" w:hint="default"/>
      </w:rPr>
    </w:lvl>
    <w:lvl w:ilvl="6" w:tplc="40BE2636" w:tentative="1">
      <w:start w:val="1"/>
      <w:numFmt w:val="bullet"/>
      <w:lvlText w:val="•"/>
      <w:lvlJc w:val="left"/>
      <w:pPr>
        <w:tabs>
          <w:tab w:val="num" w:pos="5040"/>
        </w:tabs>
        <w:ind w:left="5040" w:hanging="360"/>
      </w:pPr>
      <w:rPr>
        <w:rFonts w:ascii="Arial" w:hAnsi="Arial" w:hint="default"/>
      </w:rPr>
    </w:lvl>
    <w:lvl w:ilvl="7" w:tplc="69E0382C" w:tentative="1">
      <w:start w:val="1"/>
      <w:numFmt w:val="bullet"/>
      <w:lvlText w:val="•"/>
      <w:lvlJc w:val="left"/>
      <w:pPr>
        <w:tabs>
          <w:tab w:val="num" w:pos="5760"/>
        </w:tabs>
        <w:ind w:left="5760" w:hanging="360"/>
      </w:pPr>
      <w:rPr>
        <w:rFonts w:ascii="Arial" w:hAnsi="Arial" w:hint="default"/>
      </w:rPr>
    </w:lvl>
    <w:lvl w:ilvl="8" w:tplc="3D52E5F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2A80AE1"/>
    <w:multiLevelType w:val="hybridMultilevel"/>
    <w:tmpl w:val="F8F0DC9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4626003"/>
    <w:multiLevelType w:val="hybridMultilevel"/>
    <w:tmpl w:val="528C4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7472E"/>
    <w:multiLevelType w:val="multilevel"/>
    <w:tmpl w:val="176249E6"/>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69B220B2"/>
    <w:multiLevelType w:val="hybridMultilevel"/>
    <w:tmpl w:val="A2D656D0"/>
    <w:lvl w:ilvl="0" w:tplc="E5466E84">
      <w:start w:val="1"/>
      <w:numFmt w:val="bullet"/>
      <w:lvlText w:val=""/>
      <w:lvlJc w:val="left"/>
      <w:pPr>
        <w:ind w:left="720" w:hanging="360"/>
      </w:pPr>
      <w:rPr>
        <w:rFonts w:ascii="Wingdings" w:hAnsi="Wingdings" w:hint="default"/>
      </w:rPr>
    </w:lvl>
    <w:lvl w:ilvl="1" w:tplc="1B9A617A">
      <w:start w:val="1"/>
      <w:numFmt w:val="bullet"/>
      <w:lvlText w:val="o"/>
      <w:lvlJc w:val="left"/>
      <w:pPr>
        <w:ind w:left="1440" w:hanging="360"/>
      </w:pPr>
      <w:rPr>
        <w:rFonts w:ascii="Courier New" w:hAnsi="Courier New" w:hint="default"/>
      </w:rPr>
    </w:lvl>
    <w:lvl w:ilvl="2" w:tplc="1AF21CD6">
      <w:start w:val="1"/>
      <w:numFmt w:val="bullet"/>
      <w:lvlText w:val=""/>
      <w:lvlJc w:val="left"/>
      <w:pPr>
        <w:ind w:left="2160" w:hanging="360"/>
      </w:pPr>
      <w:rPr>
        <w:rFonts w:ascii="Wingdings" w:hAnsi="Wingdings" w:hint="default"/>
      </w:rPr>
    </w:lvl>
    <w:lvl w:ilvl="3" w:tplc="AEE63D00">
      <w:start w:val="1"/>
      <w:numFmt w:val="bullet"/>
      <w:lvlText w:val=""/>
      <w:lvlJc w:val="left"/>
      <w:pPr>
        <w:ind w:left="2880" w:hanging="360"/>
      </w:pPr>
      <w:rPr>
        <w:rFonts w:ascii="Symbol" w:hAnsi="Symbol" w:hint="default"/>
      </w:rPr>
    </w:lvl>
    <w:lvl w:ilvl="4" w:tplc="89A26C0A">
      <w:start w:val="1"/>
      <w:numFmt w:val="bullet"/>
      <w:lvlText w:val="o"/>
      <w:lvlJc w:val="left"/>
      <w:pPr>
        <w:ind w:left="3600" w:hanging="360"/>
      </w:pPr>
      <w:rPr>
        <w:rFonts w:ascii="Courier New" w:hAnsi="Courier New" w:hint="default"/>
      </w:rPr>
    </w:lvl>
    <w:lvl w:ilvl="5" w:tplc="32C28C88">
      <w:start w:val="1"/>
      <w:numFmt w:val="bullet"/>
      <w:lvlText w:val=""/>
      <w:lvlJc w:val="left"/>
      <w:pPr>
        <w:ind w:left="4320" w:hanging="360"/>
      </w:pPr>
      <w:rPr>
        <w:rFonts w:ascii="Wingdings" w:hAnsi="Wingdings" w:hint="default"/>
      </w:rPr>
    </w:lvl>
    <w:lvl w:ilvl="6" w:tplc="B268DADE">
      <w:start w:val="1"/>
      <w:numFmt w:val="bullet"/>
      <w:lvlText w:val=""/>
      <w:lvlJc w:val="left"/>
      <w:pPr>
        <w:ind w:left="5040" w:hanging="360"/>
      </w:pPr>
      <w:rPr>
        <w:rFonts w:ascii="Symbol" w:hAnsi="Symbol" w:hint="default"/>
      </w:rPr>
    </w:lvl>
    <w:lvl w:ilvl="7" w:tplc="14881044">
      <w:start w:val="1"/>
      <w:numFmt w:val="bullet"/>
      <w:lvlText w:val="o"/>
      <w:lvlJc w:val="left"/>
      <w:pPr>
        <w:ind w:left="5760" w:hanging="360"/>
      </w:pPr>
      <w:rPr>
        <w:rFonts w:ascii="Courier New" w:hAnsi="Courier New" w:hint="default"/>
      </w:rPr>
    </w:lvl>
    <w:lvl w:ilvl="8" w:tplc="87B258EA">
      <w:start w:val="1"/>
      <w:numFmt w:val="bullet"/>
      <w:lvlText w:val=""/>
      <w:lvlJc w:val="left"/>
      <w:pPr>
        <w:ind w:left="6480" w:hanging="360"/>
      </w:pPr>
      <w:rPr>
        <w:rFonts w:ascii="Wingdings" w:hAnsi="Wingdings" w:hint="default"/>
      </w:rPr>
    </w:lvl>
  </w:abstractNum>
  <w:abstractNum w:abstractNumId="37" w15:restartNumberingAfterBreak="0">
    <w:nsid w:val="6B5B3F4D"/>
    <w:multiLevelType w:val="hybridMultilevel"/>
    <w:tmpl w:val="447476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FE747E1"/>
    <w:multiLevelType w:val="hybridMultilevel"/>
    <w:tmpl w:val="7A14B14C"/>
    <w:lvl w:ilvl="0" w:tplc="F6C0E2F6">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EC34EA"/>
    <w:multiLevelType w:val="multilevel"/>
    <w:tmpl w:val="DDC67FC6"/>
    <w:lvl w:ilvl="0">
      <w:start w:val="1"/>
      <w:numFmt w:val="bullet"/>
      <w:pStyle w:val="Speakings"/>
      <w:lvlText w:val=""/>
      <w:lvlJc w:val="left"/>
      <w:pPr>
        <w:ind w:left="360" w:hanging="360"/>
      </w:pPr>
      <w:rPr>
        <w:rFonts w:ascii="Symbol" w:hAnsi="Symbol" w:hint="default"/>
        <w:sz w:val="24"/>
        <w:szCs w:val="28"/>
      </w:rPr>
    </w:lvl>
    <w:lvl w:ilvl="1">
      <w:start w:val="1"/>
      <w:numFmt w:val="bullet"/>
      <w:lvlText w:val=""/>
      <w:lvlJc w:val="left"/>
      <w:pPr>
        <w:ind w:left="720" w:hanging="360"/>
      </w:pPr>
      <w:rPr>
        <w:rFonts w:ascii="Symbol" w:hAnsi="Symbol" w:hint="default"/>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AEB5DAE"/>
    <w:multiLevelType w:val="hybridMultilevel"/>
    <w:tmpl w:val="43F0CB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65145E"/>
    <w:multiLevelType w:val="multilevel"/>
    <w:tmpl w:val="A8684D0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4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2"/>
  </w:num>
  <w:num w:numId="3">
    <w:abstractNumId w:val="17"/>
  </w:num>
  <w:num w:numId="4">
    <w:abstractNumId w:val="11"/>
  </w:num>
  <w:num w:numId="5">
    <w:abstractNumId w:val="18"/>
  </w:num>
  <w:num w:numId="6">
    <w:abstractNumId w:val="28"/>
  </w:num>
  <w:num w:numId="7">
    <w:abstractNumId w:val="35"/>
  </w:num>
  <w:num w:numId="8">
    <w:abstractNumId w:val="3"/>
  </w:num>
  <w:num w:numId="9">
    <w:abstractNumId w:val="10"/>
  </w:num>
  <w:num w:numId="10">
    <w:abstractNumId w:val="22"/>
  </w:num>
  <w:num w:numId="11">
    <w:abstractNumId w:val="5"/>
  </w:num>
  <w:num w:numId="12">
    <w:abstractNumId w:val="7"/>
  </w:num>
  <w:num w:numId="13">
    <w:abstractNumId w:val="8"/>
  </w:num>
  <w:num w:numId="14">
    <w:abstractNumId w:val="13"/>
  </w:num>
  <w:num w:numId="15">
    <w:abstractNumId w:val="19"/>
  </w:num>
  <w:num w:numId="16">
    <w:abstractNumId w:val="26"/>
  </w:num>
  <w:num w:numId="17">
    <w:abstractNumId w:val="41"/>
  </w:num>
  <w:num w:numId="18">
    <w:abstractNumId w:val="14"/>
  </w:num>
  <w:num w:numId="19">
    <w:abstractNumId w:val="15"/>
  </w:num>
  <w:num w:numId="20">
    <w:abstractNumId w:val="42"/>
  </w:num>
  <w:num w:numId="21">
    <w:abstractNumId w:val="25"/>
  </w:num>
  <w:num w:numId="22">
    <w:abstractNumId w:val="29"/>
  </w:num>
  <w:num w:numId="23">
    <w:abstractNumId w:val="6"/>
  </w:num>
  <w:num w:numId="24">
    <w:abstractNumId w:val="34"/>
  </w:num>
  <w:num w:numId="25">
    <w:abstractNumId w:val="40"/>
  </w:num>
  <w:num w:numId="26">
    <w:abstractNumId w:val="4"/>
  </w:num>
  <w:num w:numId="27">
    <w:abstractNumId w:val="32"/>
  </w:num>
  <w:num w:numId="28">
    <w:abstractNumId w:val="39"/>
  </w:num>
  <w:num w:numId="29">
    <w:abstractNumId w:val="12"/>
  </w:num>
  <w:num w:numId="30">
    <w:abstractNumId w:val="24"/>
  </w:num>
  <w:num w:numId="31">
    <w:abstractNumId w:val="23"/>
  </w:num>
  <w:num w:numId="32">
    <w:abstractNumId w:val="31"/>
  </w:num>
  <w:num w:numId="33">
    <w:abstractNumId w:val="20"/>
  </w:num>
  <w:num w:numId="34">
    <w:abstractNumId w:val="33"/>
  </w:num>
  <w:num w:numId="35">
    <w:abstractNumId w:val="1"/>
  </w:num>
  <w:num w:numId="36">
    <w:abstractNumId w:val="38"/>
  </w:num>
  <w:num w:numId="37">
    <w:abstractNumId w:val="16"/>
  </w:num>
  <w:num w:numId="38">
    <w:abstractNumId w:val="21"/>
  </w:num>
  <w:num w:numId="39">
    <w:abstractNumId w:val="9"/>
  </w:num>
  <w:num w:numId="40">
    <w:abstractNumId w:val="41"/>
  </w:num>
  <w:num w:numId="41">
    <w:abstractNumId w:val="41"/>
  </w:num>
  <w:num w:numId="42">
    <w:abstractNumId w:val="30"/>
  </w:num>
  <w:num w:numId="43">
    <w:abstractNumId w:val="37"/>
  </w:num>
  <w:num w:numId="44">
    <w:abstractNumId w:val="36"/>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E6B63041-ABCC-45EB-A917-04FA08DF25CA"/>
    <w:docVar w:name="LW_COVERPAGE_TYPE" w:val="1"/>
    <w:docVar w:name="LW_CROSSREFERENCE" w:val="{SWD(2026) 275 final}"/>
    <w:docVar w:name="LW_DocType" w:val="EUROLOOK"/>
    <w:docVar w:name="LW_EMISSION" w:val="14.9.2026"/>
    <w:docVar w:name="LW_EMISSION_ISODATE" w:val="2026-09-14"/>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valuarea la jum\u259?tatea perioadei a progreselor, realiz\u259?rilor \u537?i impactului misiunilor UE_x000d__x000d__x000b__x000d__x000d__x000d__x000d__x000b__x000d__x000d__x000d__x000d__x000d__x000b_"/>
    <w:docVar w:name="LW_TYPE.DOC.CP" w:val="RAPORT AL COMISIEI C\u258?TRE PARLAMENTUL EUROPEAN, CONSILIU, COMITETUL ECONOMIC \u536?I SOCIAL EUROPEAN \u536?I COMITETUL REGIUNILOR"/>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8429B02-4B97-4CBE-9B7F-A6C22C88E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ro-RO" w:eastAsia="en-IE"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7"/>
      </w:numPr>
      <w:spacing w:before="240"/>
      <w:outlineLvl w:val="0"/>
    </w:pPr>
    <w:rPr>
      <w:b/>
      <w:smallCaps/>
    </w:rPr>
  </w:style>
  <w:style w:type="paragraph" w:styleId="Heading2">
    <w:name w:val="heading 2"/>
    <w:basedOn w:val="Normal"/>
    <w:next w:val="Text2"/>
    <w:uiPriority w:val="10"/>
    <w:qFormat/>
    <w:pPr>
      <w:keepNext/>
      <w:numPr>
        <w:ilvl w:val="1"/>
        <w:numId w:val="17"/>
      </w:numPr>
      <w:outlineLvl w:val="1"/>
    </w:pPr>
    <w:rPr>
      <w:b/>
    </w:rPr>
  </w:style>
  <w:style w:type="paragraph" w:styleId="Heading3">
    <w:name w:val="heading 3"/>
    <w:basedOn w:val="Normal"/>
    <w:next w:val="Text3"/>
    <w:uiPriority w:val="10"/>
    <w:qFormat/>
    <w:pPr>
      <w:keepNext/>
      <w:numPr>
        <w:ilvl w:val="2"/>
        <w:numId w:val="17"/>
      </w:numPr>
      <w:outlineLvl w:val="2"/>
    </w:pPr>
    <w:rPr>
      <w:i/>
    </w:rPr>
  </w:style>
  <w:style w:type="paragraph" w:styleId="Heading4">
    <w:name w:val="heading 4"/>
    <w:basedOn w:val="Normal"/>
    <w:next w:val="Text4"/>
    <w:uiPriority w:val="10"/>
    <w:qFormat/>
    <w:pPr>
      <w:keepNext/>
      <w:numPr>
        <w:ilvl w:val="3"/>
        <w:numId w:val="17"/>
      </w:numPr>
      <w:outlineLvl w:val="3"/>
    </w:pPr>
  </w:style>
  <w:style w:type="paragraph" w:styleId="Heading5">
    <w:name w:val="heading 5"/>
    <w:basedOn w:val="Normal"/>
    <w:next w:val="Normal"/>
    <w:semiHidden/>
    <w:pPr>
      <w:keepNext/>
      <w:numPr>
        <w:ilvl w:val="4"/>
        <w:numId w:val="17"/>
      </w:numPr>
      <w:tabs>
        <w:tab w:val="clear" w:pos="2880"/>
      </w:tabs>
      <w:ind w:left="0" w:firstLine="0"/>
      <w:outlineLvl w:val="4"/>
    </w:pPr>
  </w:style>
  <w:style w:type="paragraph" w:styleId="Heading6">
    <w:name w:val="heading 6"/>
    <w:basedOn w:val="Normal"/>
    <w:next w:val="Normal"/>
    <w:semiHidden/>
    <w:pPr>
      <w:keepNext/>
      <w:numPr>
        <w:ilvl w:val="5"/>
        <w:numId w:val="17"/>
      </w:numPr>
      <w:tabs>
        <w:tab w:val="clear" w:pos="2880"/>
      </w:tabs>
      <w:ind w:left="0" w:firstLine="0"/>
      <w:outlineLvl w:val="5"/>
    </w:pPr>
  </w:style>
  <w:style w:type="paragraph" w:styleId="Heading7">
    <w:name w:val="heading 7"/>
    <w:basedOn w:val="Normal"/>
    <w:next w:val="Normal"/>
    <w:semiHidden/>
    <w:pPr>
      <w:keepNext/>
      <w:numPr>
        <w:ilvl w:val="6"/>
        <w:numId w:val="17"/>
      </w:numPr>
      <w:tabs>
        <w:tab w:val="clear" w:pos="2880"/>
      </w:tabs>
      <w:ind w:left="0" w:firstLine="0"/>
      <w:outlineLvl w:val="6"/>
    </w:pPr>
  </w:style>
  <w:style w:type="paragraph" w:styleId="Heading8">
    <w:name w:val="heading 8"/>
    <w:basedOn w:val="Normal"/>
    <w:next w:val="Normal"/>
    <w:semiHidden/>
    <w:pPr>
      <w:keepNext/>
      <w:numPr>
        <w:ilvl w:val="7"/>
        <w:numId w:val="17"/>
      </w:numPr>
      <w:tabs>
        <w:tab w:val="clear" w:pos="2880"/>
      </w:tabs>
      <w:ind w:left="0" w:firstLine="0"/>
      <w:outlineLvl w:val="7"/>
    </w:pPr>
  </w:style>
  <w:style w:type="paragraph" w:styleId="Heading9">
    <w:name w:val="heading 9"/>
    <w:basedOn w:val="Normal"/>
    <w:next w:val="Normal"/>
    <w:semiHidden/>
    <w:pPr>
      <w:keepNext/>
      <w:numPr>
        <w:ilvl w:val="8"/>
        <w:numId w:val="17"/>
      </w:numPr>
      <w:tabs>
        <w:tab w:val="clear" w:pos="2880"/>
      </w:tabs>
      <w:ind w:left="0" w:firstLine="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Times 10 Point,Exposant 3 Point,Voetnootverwijzing,Footnote number,fr,o,Footnotemark,FR,Footnotemark1,Footnotemark2,FR1,Footnotemark3,FR2,Footnotemark4,FR3,Footnotemark5,FR4,Footnotemark6,Footnotemark7,Footnotemark8,No"/>
    <w:link w:val="CharCharChar"/>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0"/>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9"/>
      </w:numPr>
    </w:pPr>
  </w:style>
  <w:style w:type="paragraph" w:customStyle="1" w:styleId="ContNumLevel2">
    <w:name w:val="ContNum (Level 2)"/>
    <w:basedOn w:val="Normal"/>
    <w:uiPriority w:val="20"/>
    <w:pPr>
      <w:numPr>
        <w:ilvl w:val="1"/>
        <w:numId w:val="19"/>
      </w:numPr>
    </w:pPr>
  </w:style>
  <w:style w:type="paragraph" w:customStyle="1" w:styleId="ContNumLevel3">
    <w:name w:val="ContNum (Level 3)"/>
    <w:basedOn w:val="Normal"/>
    <w:uiPriority w:val="20"/>
    <w:pPr>
      <w:numPr>
        <w:ilvl w:val="2"/>
        <w:numId w:val="19"/>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Schriftart: 9 pt,Schriftart: 10 pt,Schriftart: 8 pt,WB-Fußnotentext,fn,Footnotes,Footnote ak,FoodNote,ft,Footnote,Footnote Text Char1,Footnote Text Char Char,Footnote Text Char1 Char Char,Footnote Text_EP-LCA,Text,Text_EP-LCA,Char5,Referen"/>
    <w:basedOn w:val="Normal"/>
    <w:link w:val="FootnoteTextChar"/>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8"/>
      </w:numPr>
      <w:spacing w:line="360" w:lineRule="auto"/>
    </w:pPr>
  </w:style>
  <w:style w:type="paragraph" w:customStyle="1" w:styleId="LegalNumPar2">
    <w:name w:val="LegalNumPar2"/>
    <w:basedOn w:val="Normal"/>
    <w:uiPriority w:val="20"/>
    <w:pPr>
      <w:numPr>
        <w:ilvl w:val="1"/>
        <w:numId w:val="18"/>
      </w:numPr>
      <w:spacing w:line="360" w:lineRule="auto"/>
    </w:pPr>
  </w:style>
  <w:style w:type="paragraph" w:customStyle="1" w:styleId="LegalNumPar3">
    <w:name w:val="LegalNumPar3"/>
    <w:basedOn w:val="Normal"/>
    <w:uiPriority w:val="20"/>
    <w:pPr>
      <w:numPr>
        <w:ilvl w:val="2"/>
        <w:numId w:val="18"/>
      </w:numPr>
      <w:spacing w:line="360" w:lineRule="auto"/>
    </w:pPr>
  </w:style>
  <w:style w:type="paragraph" w:styleId="ListBullet">
    <w:name w:val="List Bullet"/>
    <w:basedOn w:val="Normal"/>
    <w:uiPriority w:val="35"/>
    <w:pPr>
      <w:numPr>
        <w:numId w:val="16"/>
      </w:numPr>
    </w:pPr>
  </w:style>
  <w:style w:type="paragraph" w:customStyle="1" w:styleId="ListBulletLevel2">
    <w:name w:val="List Bullet (Level 2)"/>
    <w:basedOn w:val="Normal"/>
    <w:uiPriority w:val="35"/>
    <w:semiHidden/>
    <w:unhideWhenUsed/>
    <w:pPr>
      <w:numPr>
        <w:ilvl w:val="1"/>
        <w:numId w:val="16"/>
      </w:numPr>
    </w:pPr>
  </w:style>
  <w:style w:type="paragraph" w:customStyle="1" w:styleId="ListBulletLevel3">
    <w:name w:val="List Bullet (Level 3)"/>
    <w:basedOn w:val="Normal"/>
    <w:uiPriority w:val="35"/>
    <w:semiHidden/>
    <w:unhideWhenUsed/>
    <w:pPr>
      <w:numPr>
        <w:ilvl w:val="2"/>
        <w:numId w:val="16"/>
      </w:numPr>
    </w:pPr>
  </w:style>
  <w:style w:type="paragraph" w:customStyle="1" w:styleId="ListBulletLevel4">
    <w:name w:val="List Bullet (Level 4)"/>
    <w:basedOn w:val="Normal"/>
    <w:uiPriority w:val="35"/>
    <w:semiHidden/>
    <w:unhideWhenUsed/>
    <w:pPr>
      <w:numPr>
        <w:ilvl w:val="3"/>
        <w:numId w:val="16"/>
      </w:numPr>
    </w:pPr>
  </w:style>
  <w:style w:type="paragraph" w:customStyle="1" w:styleId="ListBullet1">
    <w:name w:val="List Bullet 1"/>
    <w:basedOn w:val="Text1"/>
    <w:uiPriority w:val="35"/>
    <w:pPr>
      <w:numPr>
        <w:numId w:val="15"/>
      </w:numPr>
    </w:pPr>
  </w:style>
  <w:style w:type="paragraph" w:customStyle="1" w:styleId="ListBullet1Level2">
    <w:name w:val="List Bullet 1 (Level 2)"/>
    <w:basedOn w:val="Text1"/>
    <w:uiPriority w:val="35"/>
    <w:semiHidden/>
    <w:unhideWhenUsed/>
    <w:pPr>
      <w:numPr>
        <w:ilvl w:val="1"/>
        <w:numId w:val="15"/>
      </w:numPr>
    </w:pPr>
  </w:style>
  <w:style w:type="paragraph" w:customStyle="1" w:styleId="ListBullet1Level3">
    <w:name w:val="List Bullet 1 (Level 3)"/>
    <w:basedOn w:val="Text1"/>
    <w:uiPriority w:val="35"/>
    <w:semiHidden/>
    <w:unhideWhenUsed/>
    <w:pPr>
      <w:numPr>
        <w:ilvl w:val="2"/>
        <w:numId w:val="15"/>
      </w:numPr>
    </w:pPr>
  </w:style>
  <w:style w:type="paragraph" w:customStyle="1" w:styleId="ListBullet1Level4">
    <w:name w:val="List Bullet 1 (Level 4)"/>
    <w:basedOn w:val="Text1"/>
    <w:uiPriority w:val="35"/>
    <w:semiHidden/>
    <w:unhideWhenUsed/>
    <w:pPr>
      <w:numPr>
        <w:ilvl w:val="3"/>
        <w:numId w:val="15"/>
      </w:numPr>
    </w:pPr>
  </w:style>
  <w:style w:type="paragraph" w:styleId="ListBullet2">
    <w:name w:val="List Bullet 2"/>
    <w:basedOn w:val="Text2"/>
    <w:uiPriority w:val="35"/>
    <w:pPr>
      <w:numPr>
        <w:numId w:val="14"/>
      </w:numPr>
    </w:pPr>
  </w:style>
  <w:style w:type="paragraph" w:customStyle="1" w:styleId="ListBullet2Level2">
    <w:name w:val="List Bullet 2 (Level 2)"/>
    <w:basedOn w:val="Text2"/>
    <w:uiPriority w:val="35"/>
    <w:semiHidden/>
    <w:unhideWhenUsed/>
    <w:pPr>
      <w:numPr>
        <w:ilvl w:val="1"/>
        <w:numId w:val="14"/>
      </w:numPr>
    </w:pPr>
  </w:style>
  <w:style w:type="paragraph" w:customStyle="1" w:styleId="ListBullet2Level3">
    <w:name w:val="List Bullet 2 (Level 3)"/>
    <w:basedOn w:val="Text2"/>
    <w:uiPriority w:val="35"/>
    <w:semiHidden/>
    <w:unhideWhenUsed/>
    <w:pPr>
      <w:numPr>
        <w:ilvl w:val="2"/>
        <w:numId w:val="14"/>
      </w:numPr>
    </w:pPr>
  </w:style>
  <w:style w:type="paragraph" w:customStyle="1" w:styleId="ListBullet2Level4">
    <w:name w:val="List Bullet 2 (Level 4)"/>
    <w:basedOn w:val="Text2"/>
    <w:uiPriority w:val="35"/>
    <w:semiHidden/>
    <w:unhideWhenUsed/>
    <w:pPr>
      <w:numPr>
        <w:ilvl w:val="3"/>
        <w:numId w:val="14"/>
      </w:numPr>
    </w:pPr>
  </w:style>
  <w:style w:type="paragraph" w:styleId="ListBullet3">
    <w:name w:val="List Bullet 3"/>
    <w:basedOn w:val="Text3"/>
    <w:uiPriority w:val="35"/>
    <w:pPr>
      <w:numPr>
        <w:numId w:val="13"/>
      </w:numPr>
    </w:pPr>
  </w:style>
  <w:style w:type="paragraph" w:customStyle="1" w:styleId="ListBullet3Level2">
    <w:name w:val="List Bullet 3 (Level 2)"/>
    <w:basedOn w:val="Text3"/>
    <w:uiPriority w:val="35"/>
    <w:semiHidden/>
    <w:unhideWhenUsed/>
    <w:pPr>
      <w:numPr>
        <w:ilvl w:val="1"/>
        <w:numId w:val="13"/>
      </w:numPr>
    </w:pPr>
  </w:style>
  <w:style w:type="paragraph" w:customStyle="1" w:styleId="ListBullet3Level3">
    <w:name w:val="List Bullet 3 (Level 3)"/>
    <w:basedOn w:val="Text3"/>
    <w:uiPriority w:val="35"/>
    <w:semiHidden/>
    <w:unhideWhenUsed/>
    <w:pPr>
      <w:numPr>
        <w:ilvl w:val="2"/>
        <w:numId w:val="13"/>
      </w:numPr>
    </w:pPr>
  </w:style>
  <w:style w:type="paragraph" w:customStyle="1" w:styleId="ListBullet3Level4">
    <w:name w:val="List Bullet 3 (Level 4)"/>
    <w:basedOn w:val="Text3"/>
    <w:uiPriority w:val="35"/>
    <w:semiHidden/>
    <w:unhideWhenUsed/>
    <w:pPr>
      <w:numPr>
        <w:ilvl w:val="3"/>
        <w:numId w:val="13"/>
      </w:numPr>
    </w:pPr>
  </w:style>
  <w:style w:type="paragraph" w:styleId="ListBullet4">
    <w:name w:val="List Bullet 4"/>
    <w:basedOn w:val="Text4"/>
    <w:uiPriority w:val="35"/>
    <w:pPr>
      <w:numPr>
        <w:numId w:val="12"/>
      </w:numPr>
    </w:pPr>
  </w:style>
  <w:style w:type="paragraph" w:customStyle="1" w:styleId="ListBullet4Level2">
    <w:name w:val="List Bullet 4 (Level 2)"/>
    <w:basedOn w:val="Text4"/>
    <w:uiPriority w:val="35"/>
    <w:semiHidden/>
    <w:unhideWhenUsed/>
    <w:pPr>
      <w:numPr>
        <w:ilvl w:val="1"/>
        <w:numId w:val="12"/>
      </w:numPr>
    </w:pPr>
  </w:style>
  <w:style w:type="paragraph" w:customStyle="1" w:styleId="ListBullet4Level3">
    <w:name w:val="List Bullet 4 (Level 3)"/>
    <w:basedOn w:val="Text4"/>
    <w:uiPriority w:val="35"/>
    <w:semiHidden/>
    <w:unhideWhenUsed/>
    <w:pPr>
      <w:numPr>
        <w:ilvl w:val="2"/>
        <w:numId w:val="12"/>
      </w:numPr>
    </w:pPr>
  </w:style>
  <w:style w:type="paragraph" w:customStyle="1" w:styleId="ListBullet4Level4">
    <w:name w:val="List Bullet 4 (Level 4)"/>
    <w:basedOn w:val="Text4"/>
    <w:uiPriority w:val="35"/>
    <w:semiHidden/>
    <w:unhideWhenUsed/>
    <w:pPr>
      <w:numPr>
        <w:ilvl w:val="3"/>
        <w:numId w:val="12"/>
      </w:numPr>
    </w:pPr>
  </w:style>
  <w:style w:type="paragraph" w:customStyle="1" w:styleId="ListDash">
    <w:name w:val="List Dash"/>
    <w:basedOn w:val="Normal"/>
    <w:uiPriority w:val="35"/>
    <w:pPr>
      <w:numPr>
        <w:numId w:val="6"/>
      </w:numPr>
    </w:pPr>
  </w:style>
  <w:style w:type="paragraph" w:customStyle="1" w:styleId="ListDashLevel2">
    <w:name w:val="List Dash (Level 2)"/>
    <w:basedOn w:val="Normal"/>
    <w:semiHidden/>
    <w:unhideWhenUsed/>
    <w:pPr>
      <w:numPr>
        <w:ilvl w:val="1"/>
        <w:numId w:val="6"/>
      </w:numPr>
    </w:pPr>
  </w:style>
  <w:style w:type="paragraph" w:customStyle="1" w:styleId="ListDashLevel3">
    <w:name w:val="List Dash (Level 3)"/>
    <w:basedOn w:val="Normal"/>
    <w:semiHidden/>
    <w:unhideWhenUsed/>
    <w:pPr>
      <w:numPr>
        <w:ilvl w:val="2"/>
        <w:numId w:val="6"/>
      </w:numPr>
    </w:pPr>
  </w:style>
  <w:style w:type="paragraph" w:customStyle="1" w:styleId="ListDashLevel4">
    <w:name w:val="List Dash (Level 4)"/>
    <w:basedOn w:val="Normal"/>
    <w:semiHidden/>
    <w:unhideWhenUsed/>
    <w:pPr>
      <w:numPr>
        <w:ilvl w:val="3"/>
        <w:numId w:val="6"/>
      </w:numPr>
    </w:pPr>
  </w:style>
  <w:style w:type="paragraph" w:customStyle="1" w:styleId="ListDash1">
    <w:name w:val="List Dash 1"/>
    <w:basedOn w:val="Text1"/>
    <w:uiPriority w:val="35"/>
    <w:pPr>
      <w:numPr>
        <w:numId w:val="5"/>
      </w:numPr>
    </w:pPr>
  </w:style>
  <w:style w:type="paragraph" w:customStyle="1" w:styleId="ListDash1Level2">
    <w:name w:val="List Dash 1 (Level 2)"/>
    <w:basedOn w:val="Text1"/>
    <w:uiPriority w:val="35"/>
    <w:semiHidden/>
    <w:unhideWhenUsed/>
    <w:pPr>
      <w:numPr>
        <w:ilvl w:val="1"/>
        <w:numId w:val="5"/>
      </w:numPr>
    </w:pPr>
  </w:style>
  <w:style w:type="paragraph" w:customStyle="1" w:styleId="ListDash1Level3">
    <w:name w:val="List Dash 1 (Level 3)"/>
    <w:basedOn w:val="Text1"/>
    <w:uiPriority w:val="35"/>
    <w:semiHidden/>
    <w:unhideWhenUsed/>
    <w:pPr>
      <w:numPr>
        <w:ilvl w:val="2"/>
        <w:numId w:val="5"/>
      </w:numPr>
    </w:pPr>
  </w:style>
  <w:style w:type="paragraph" w:customStyle="1" w:styleId="ListDash1Level4">
    <w:name w:val="List Dash 1 (Level 4)"/>
    <w:basedOn w:val="Text1"/>
    <w:uiPriority w:val="35"/>
    <w:semiHidden/>
    <w:unhideWhenUsed/>
    <w:pPr>
      <w:numPr>
        <w:ilvl w:val="3"/>
        <w:numId w:val="5"/>
      </w:numPr>
    </w:pPr>
  </w:style>
  <w:style w:type="paragraph" w:customStyle="1" w:styleId="ListDash2">
    <w:name w:val="List Dash 2"/>
    <w:basedOn w:val="Text2"/>
    <w:uiPriority w:val="35"/>
    <w:pPr>
      <w:numPr>
        <w:numId w:val="4"/>
      </w:numPr>
    </w:pPr>
  </w:style>
  <w:style w:type="paragraph" w:customStyle="1" w:styleId="ListDash2Level2">
    <w:name w:val="List Dash 2 (Level 2)"/>
    <w:basedOn w:val="Text2"/>
    <w:uiPriority w:val="35"/>
    <w:semiHidden/>
    <w:unhideWhenUsed/>
    <w:pPr>
      <w:numPr>
        <w:ilvl w:val="1"/>
        <w:numId w:val="4"/>
      </w:numPr>
    </w:pPr>
  </w:style>
  <w:style w:type="paragraph" w:customStyle="1" w:styleId="ListDash2Level3">
    <w:name w:val="List Dash 2 (Level 3)"/>
    <w:basedOn w:val="Text2"/>
    <w:uiPriority w:val="35"/>
    <w:semiHidden/>
    <w:unhideWhenUsed/>
    <w:pPr>
      <w:numPr>
        <w:ilvl w:val="2"/>
        <w:numId w:val="4"/>
      </w:numPr>
    </w:pPr>
  </w:style>
  <w:style w:type="paragraph" w:customStyle="1" w:styleId="ListDash2Level4">
    <w:name w:val="List Dash 2 (Level 4)"/>
    <w:basedOn w:val="Text2"/>
    <w:uiPriority w:val="35"/>
    <w:semiHidden/>
    <w:unhideWhenUsed/>
    <w:pPr>
      <w:numPr>
        <w:ilvl w:val="3"/>
        <w:numId w:val="4"/>
      </w:numPr>
    </w:pPr>
  </w:style>
  <w:style w:type="paragraph" w:customStyle="1" w:styleId="ListDash3">
    <w:name w:val="List Dash 3"/>
    <w:basedOn w:val="Text3"/>
    <w:uiPriority w:val="35"/>
    <w:pPr>
      <w:numPr>
        <w:numId w:val="3"/>
      </w:numPr>
    </w:pPr>
  </w:style>
  <w:style w:type="paragraph" w:customStyle="1" w:styleId="ListDash3Level2">
    <w:name w:val="List Dash 3 (Level 2)"/>
    <w:basedOn w:val="Text3"/>
    <w:uiPriority w:val="35"/>
    <w:semiHidden/>
    <w:unhideWhenUsed/>
    <w:pPr>
      <w:numPr>
        <w:ilvl w:val="1"/>
        <w:numId w:val="3"/>
      </w:numPr>
    </w:pPr>
  </w:style>
  <w:style w:type="paragraph" w:customStyle="1" w:styleId="ListDash3Level3">
    <w:name w:val="List Dash 3 (Level 3)"/>
    <w:basedOn w:val="Text3"/>
    <w:uiPriority w:val="35"/>
    <w:semiHidden/>
    <w:unhideWhenUsed/>
    <w:pPr>
      <w:numPr>
        <w:ilvl w:val="2"/>
        <w:numId w:val="3"/>
      </w:numPr>
    </w:pPr>
  </w:style>
  <w:style w:type="paragraph" w:customStyle="1" w:styleId="ListDash3Level4">
    <w:name w:val="List Dash 3 (Level 4)"/>
    <w:basedOn w:val="Text3"/>
    <w:uiPriority w:val="35"/>
    <w:semiHidden/>
    <w:unhideWhenUsed/>
    <w:pPr>
      <w:numPr>
        <w:ilvl w:val="3"/>
        <w:numId w:val="3"/>
      </w:numPr>
    </w:pPr>
  </w:style>
  <w:style w:type="paragraph" w:customStyle="1" w:styleId="ListDash4">
    <w:name w:val="List Dash 4"/>
    <w:basedOn w:val="Text4"/>
    <w:uiPriority w:val="35"/>
    <w:pPr>
      <w:numPr>
        <w:numId w:val="2"/>
      </w:numPr>
    </w:pPr>
  </w:style>
  <w:style w:type="paragraph" w:customStyle="1" w:styleId="ListDash4Level2">
    <w:name w:val="List Dash 4 (Level 2)"/>
    <w:basedOn w:val="Text4"/>
    <w:uiPriority w:val="35"/>
    <w:semiHidden/>
    <w:unhideWhenUsed/>
    <w:pPr>
      <w:numPr>
        <w:ilvl w:val="1"/>
        <w:numId w:val="2"/>
      </w:numPr>
    </w:pPr>
  </w:style>
  <w:style w:type="paragraph" w:customStyle="1" w:styleId="ListDash4Level3">
    <w:name w:val="List Dash 4 (Level 3)"/>
    <w:basedOn w:val="Text4"/>
    <w:uiPriority w:val="35"/>
    <w:semiHidden/>
    <w:unhideWhenUsed/>
    <w:pPr>
      <w:numPr>
        <w:ilvl w:val="2"/>
        <w:numId w:val="2"/>
      </w:numPr>
    </w:pPr>
  </w:style>
  <w:style w:type="paragraph" w:customStyle="1" w:styleId="ListDash4Level4">
    <w:name w:val="List Dash 4 (Level 4)"/>
    <w:basedOn w:val="Text4"/>
    <w:uiPriority w:val="35"/>
    <w:semiHidden/>
    <w:unhideWhenUsed/>
    <w:pPr>
      <w:numPr>
        <w:ilvl w:val="3"/>
        <w:numId w:val="2"/>
      </w:numPr>
    </w:pPr>
  </w:style>
  <w:style w:type="paragraph" w:styleId="ListNumber">
    <w:name w:val="List Number"/>
    <w:basedOn w:val="Normal"/>
    <w:uiPriority w:val="30"/>
    <w:pPr>
      <w:numPr>
        <w:numId w:val="11"/>
      </w:numPr>
    </w:pPr>
  </w:style>
  <w:style w:type="paragraph" w:customStyle="1" w:styleId="ListNumberLevel2">
    <w:name w:val="List Number (Level 2)"/>
    <w:basedOn w:val="Normal"/>
    <w:uiPriority w:val="30"/>
    <w:pPr>
      <w:numPr>
        <w:ilvl w:val="1"/>
        <w:numId w:val="11"/>
      </w:numPr>
    </w:pPr>
  </w:style>
  <w:style w:type="paragraph" w:customStyle="1" w:styleId="ListNumberLevel3">
    <w:name w:val="List Number (Level 3)"/>
    <w:basedOn w:val="Normal"/>
    <w:uiPriority w:val="30"/>
    <w:pPr>
      <w:numPr>
        <w:ilvl w:val="2"/>
        <w:numId w:val="11"/>
      </w:numPr>
    </w:pPr>
  </w:style>
  <w:style w:type="paragraph" w:customStyle="1" w:styleId="ListNumberLevel4">
    <w:name w:val="List Number (Level 4)"/>
    <w:basedOn w:val="Normal"/>
    <w:uiPriority w:val="30"/>
    <w:pPr>
      <w:numPr>
        <w:ilvl w:val="3"/>
        <w:numId w:val="11"/>
      </w:numPr>
    </w:pPr>
  </w:style>
  <w:style w:type="paragraph" w:customStyle="1" w:styleId="ListNumber1">
    <w:name w:val="List Number 1"/>
    <w:basedOn w:val="Text1"/>
    <w:uiPriority w:val="30"/>
    <w:pPr>
      <w:numPr>
        <w:numId w:val="10"/>
      </w:numPr>
    </w:pPr>
  </w:style>
  <w:style w:type="paragraph" w:customStyle="1" w:styleId="ListNumber1Level2">
    <w:name w:val="List Number 1 (Level 2)"/>
    <w:basedOn w:val="Text1"/>
    <w:uiPriority w:val="30"/>
    <w:semiHidden/>
    <w:unhideWhenUsed/>
    <w:pPr>
      <w:numPr>
        <w:ilvl w:val="1"/>
        <w:numId w:val="10"/>
      </w:numPr>
    </w:pPr>
  </w:style>
  <w:style w:type="paragraph" w:customStyle="1" w:styleId="ListNumber1Level3">
    <w:name w:val="List Number 1 (Level 3)"/>
    <w:basedOn w:val="Text1"/>
    <w:uiPriority w:val="30"/>
    <w:semiHidden/>
    <w:unhideWhenUsed/>
    <w:pPr>
      <w:numPr>
        <w:ilvl w:val="2"/>
        <w:numId w:val="10"/>
      </w:numPr>
    </w:pPr>
  </w:style>
  <w:style w:type="paragraph" w:customStyle="1" w:styleId="ListNumber1Level4">
    <w:name w:val="List Number 1 (Level 4)"/>
    <w:basedOn w:val="Text1"/>
    <w:uiPriority w:val="30"/>
    <w:semiHidden/>
    <w:unhideWhenUsed/>
    <w:pPr>
      <w:numPr>
        <w:ilvl w:val="3"/>
        <w:numId w:val="10"/>
      </w:numPr>
    </w:pPr>
  </w:style>
  <w:style w:type="paragraph" w:styleId="ListNumber2">
    <w:name w:val="List Number 2"/>
    <w:basedOn w:val="Text2"/>
    <w:uiPriority w:val="30"/>
    <w:pPr>
      <w:numPr>
        <w:numId w:val="9"/>
      </w:numPr>
    </w:pPr>
  </w:style>
  <w:style w:type="paragraph" w:customStyle="1" w:styleId="ListNumber2Level2">
    <w:name w:val="List Number 2 (Level 2)"/>
    <w:basedOn w:val="Text2"/>
    <w:uiPriority w:val="30"/>
    <w:semiHidden/>
    <w:unhideWhenUsed/>
    <w:pPr>
      <w:numPr>
        <w:ilvl w:val="1"/>
        <w:numId w:val="9"/>
      </w:numPr>
    </w:pPr>
  </w:style>
  <w:style w:type="paragraph" w:customStyle="1" w:styleId="ListNumber2Level3">
    <w:name w:val="List Number 2 (Level 3)"/>
    <w:basedOn w:val="Text2"/>
    <w:uiPriority w:val="30"/>
    <w:semiHidden/>
    <w:unhideWhenUsed/>
    <w:pPr>
      <w:numPr>
        <w:ilvl w:val="2"/>
        <w:numId w:val="9"/>
      </w:numPr>
    </w:pPr>
  </w:style>
  <w:style w:type="paragraph" w:customStyle="1" w:styleId="ListNumber2Level4">
    <w:name w:val="List Number 2 (Level 4)"/>
    <w:basedOn w:val="Text2"/>
    <w:uiPriority w:val="30"/>
    <w:semiHidden/>
    <w:unhideWhenUsed/>
    <w:pPr>
      <w:numPr>
        <w:ilvl w:val="3"/>
        <w:numId w:val="9"/>
      </w:numPr>
    </w:pPr>
  </w:style>
  <w:style w:type="paragraph" w:styleId="ListNumber3">
    <w:name w:val="List Number 3"/>
    <w:basedOn w:val="Text3"/>
    <w:uiPriority w:val="30"/>
    <w:pPr>
      <w:numPr>
        <w:numId w:val="8"/>
      </w:numPr>
    </w:pPr>
  </w:style>
  <w:style w:type="paragraph" w:customStyle="1" w:styleId="ListNumber3Level2">
    <w:name w:val="List Number 3 (Level 2)"/>
    <w:basedOn w:val="Text3"/>
    <w:uiPriority w:val="30"/>
    <w:semiHidden/>
    <w:unhideWhenUsed/>
    <w:pPr>
      <w:numPr>
        <w:ilvl w:val="1"/>
        <w:numId w:val="8"/>
      </w:numPr>
    </w:pPr>
  </w:style>
  <w:style w:type="paragraph" w:customStyle="1" w:styleId="ListNumber3Level3">
    <w:name w:val="List Number 3 (Level 3)"/>
    <w:basedOn w:val="Text3"/>
    <w:uiPriority w:val="30"/>
    <w:semiHidden/>
    <w:unhideWhenUsed/>
    <w:pPr>
      <w:numPr>
        <w:ilvl w:val="2"/>
        <w:numId w:val="8"/>
      </w:numPr>
    </w:pPr>
  </w:style>
  <w:style w:type="paragraph" w:customStyle="1" w:styleId="ListNumber3Level4">
    <w:name w:val="List Number 3 (Level 4)"/>
    <w:basedOn w:val="Text3"/>
    <w:uiPriority w:val="30"/>
    <w:semiHidden/>
    <w:unhideWhenUsed/>
    <w:pPr>
      <w:numPr>
        <w:ilvl w:val="3"/>
        <w:numId w:val="8"/>
      </w:numPr>
    </w:pPr>
  </w:style>
  <w:style w:type="paragraph" w:styleId="ListNumber4">
    <w:name w:val="List Number 4"/>
    <w:basedOn w:val="Text4"/>
    <w:uiPriority w:val="30"/>
    <w:pPr>
      <w:numPr>
        <w:numId w:val="7"/>
      </w:numPr>
    </w:pPr>
  </w:style>
  <w:style w:type="paragraph" w:customStyle="1" w:styleId="ListNumber4Level2">
    <w:name w:val="List Number 4 (Level 2)"/>
    <w:basedOn w:val="Text4"/>
    <w:uiPriority w:val="30"/>
    <w:semiHidden/>
    <w:unhideWhenUsed/>
    <w:pPr>
      <w:numPr>
        <w:ilvl w:val="1"/>
        <w:numId w:val="7"/>
      </w:numPr>
    </w:pPr>
  </w:style>
  <w:style w:type="paragraph" w:customStyle="1" w:styleId="ListNumber4Level3">
    <w:name w:val="List Number 4 (Level 3)"/>
    <w:basedOn w:val="Text4"/>
    <w:uiPriority w:val="30"/>
    <w:semiHidden/>
    <w:unhideWhenUsed/>
    <w:pPr>
      <w:numPr>
        <w:ilvl w:val="2"/>
        <w:numId w:val="7"/>
      </w:numPr>
    </w:pPr>
  </w:style>
  <w:style w:type="paragraph" w:customStyle="1" w:styleId="ListNumber4Level4">
    <w:name w:val="List Number 4 (Level 4)"/>
    <w:basedOn w:val="Text4"/>
    <w:uiPriority w:val="30"/>
    <w:semiHidden/>
    <w:unhideWhenUsed/>
    <w:pPr>
      <w:numPr>
        <w:ilvl w:val="3"/>
        <w:numId w:val="7"/>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1"/>
      </w:numPr>
    </w:pPr>
  </w:style>
  <w:style w:type="paragraph" w:customStyle="1" w:styleId="TableListBulletLevel2">
    <w:name w:val="Table List Bullet (Level 2)"/>
    <w:basedOn w:val="TableText"/>
    <w:uiPriority w:val="55"/>
    <w:semiHidden/>
    <w:unhideWhenUsed/>
    <w:pPr>
      <w:numPr>
        <w:ilvl w:val="1"/>
        <w:numId w:val="21"/>
      </w:numPr>
    </w:pPr>
  </w:style>
  <w:style w:type="paragraph" w:customStyle="1" w:styleId="TableListBulletLevel3">
    <w:name w:val="Table List Bullet (Level 3)"/>
    <w:basedOn w:val="TableText"/>
    <w:uiPriority w:val="55"/>
    <w:semiHidden/>
    <w:unhideWhenUsed/>
    <w:pPr>
      <w:numPr>
        <w:ilvl w:val="2"/>
        <w:numId w:val="21"/>
      </w:numPr>
    </w:pPr>
  </w:style>
  <w:style w:type="paragraph" w:customStyle="1" w:styleId="TableListBulletLevel4">
    <w:name w:val="Table List Bullet (Level 4)"/>
    <w:basedOn w:val="TableText"/>
    <w:uiPriority w:val="55"/>
    <w:semiHidden/>
    <w:unhideWhenUsed/>
    <w:pPr>
      <w:numPr>
        <w:ilvl w:val="3"/>
        <w:numId w:val="21"/>
      </w:numPr>
    </w:pPr>
  </w:style>
  <w:style w:type="paragraph" w:customStyle="1" w:styleId="TableListDash">
    <w:name w:val="Table List Dash"/>
    <w:basedOn w:val="TableText"/>
    <w:uiPriority w:val="55"/>
    <w:pPr>
      <w:numPr>
        <w:numId w:val="22"/>
      </w:numPr>
    </w:pPr>
  </w:style>
  <w:style w:type="paragraph" w:customStyle="1" w:styleId="TableListDashLevel2">
    <w:name w:val="Table List Dash (Level 2)"/>
    <w:basedOn w:val="TableText"/>
    <w:uiPriority w:val="55"/>
    <w:semiHidden/>
    <w:unhideWhenUsed/>
    <w:pPr>
      <w:numPr>
        <w:ilvl w:val="1"/>
        <w:numId w:val="22"/>
      </w:numPr>
    </w:pPr>
  </w:style>
  <w:style w:type="paragraph" w:customStyle="1" w:styleId="TableListDashLevel3">
    <w:name w:val="Table List Dash (Level 3)"/>
    <w:basedOn w:val="TableText"/>
    <w:uiPriority w:val="55"/>
    <w:semiHidden/>
    <w:unhideWhenUsed/>
    <w:pPr>
      <w:numPr>
        <w:ilvl w:val="2"/>
        <w:numId w:val="22"/>
      </w:numPr>
    </w:pPr>
  </w:style>
  <w:style w:type="paragraph" w:customStyle="1" w:styleId="TableListDashLevel4">
    <w:name w:val="Table List Dash (Level 4)"/>
    <w:basedOn w:val="TableText"/>
    <w:uiPriority w:val="55"/>
    <w:semiHidden/>
    <w:unhideWhenUsed/>
    <w:pPr>
      <w:numPr>
        <w:ilvl w:val="3"/>
        <w:numId w:val="22"/>
      </w:numPr>
    </w:pPr>
  </w:style>
  <w:style w:type="paragraph" w:customStyle="1" w:styleId="TableListNumber">
    <w:name w:val="Table List Number"/>
    <w:basedOn w:val="TableText"/>
    <w:uiPriority w:val="55"/>
    <w:pPr>
      <w:numPr>
        <w:numId w:val="23"/>
      </w:numPr>
    </w:pPr>
  </w:style>
  <w:style w:type="paragraph" w:customStyle="1" w:styleId="TableListNumberLevel2">
    <w:name w:val="Table List Number (Level 2)"/>
    <w:basedOn w:val="TableText"/>
    <w:uiPriority w:val="55"/>
    <w:semiHidden/>
    <w:unhideWhenUsed/>
    <w:pPr>
      <w:numPr>
        <w:ilvl w:val="1"/>
        <w:numId w:val="23"/>
      </w:numPr>
    </w:pPr>
  </w:style>
  <w:style w:type="paragraph" w:customStyle="1" w:styleId="TableListNumberLevel3">
    <w:name w:val="Table List Number (Level 3)"/>
    <w:basedOn w:val="TableText"/>
    <w:uiPriority w:val="55"/>
    <w:semiHidden/>
    <w:unhideWhenUsed/>
    <w:pPr>
      <w:numPr>
        <w:ilvl w:val="2"/>
        <w:numId w:val="23"/>
      </w:numPr>
    </w:pPr>
  </w:style>
  <w:style w:type="paragraph" w:customStyle="1" w:styleId="TableListNumberLevel4">
    <w:name w:val="Table List Number (Level 4)"/>
    <w:basedOn w:val="TableText"/>
    <w:uiPriority w:val="55"/>
    <w:semiHidden/>
    <w:unhideWhenUsed/>
    <w:pPr>
      <w:numPr>
        <w:ilvl w:val="3"/>
        <w:numId w:val="23"/>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Schriftart: 9 pt Char,Schriftart: 10 pt Char,Schriftart: 8 pt Char,WB-Fußnotentext Char,fn Char,Footnotes Char,Footnote ak Char,FoodNote Char,ft Char,Footnote Char,Footnote Text Char1 Char,Footnote Text Char Char Char,Text Char"/>
    <w:basedOn w:val="DefaultParagraphFont"/>
    <w:link w:val="FootnoteText"/>
    <w:uiPriority w:val="99"/>
    <w:qFormat/>
    <w:rPr>
      <w:sz w:val="20"/>
    </w:rPr>
  </w:style>
  <w:style w:type="paragraph" w:customStyle="1" w:styleId="CharCharChar">
    <w:name w:val="Char Char Char"/>
    <w:basedOn w:val="Normal"/>
    <w:link w:val="FootnoteReference"/>
    <w:uiPriority w:val="99"/>
    <w:pPr>
      <w:spacing w:after="160" w:line="240" w:lineRule="exact"/>
      <w:jc w:val="left"/>
    </w:pPr>
    <w:rPr>
      <w:vertAlign w:val="superscript"/>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locked/>
    <w:rPr>
      <w:rFonts w:asciiTheme="minorHAnsi" w:eastAsiaTheme="minorHAnsi" w:hAnsiTheme="minorHAnsi" w:cstheme="minorBidi"/>
      <w:kern w:val="2"/>
      <w:sz w:val="22"/>
      <w:szCs w:val="22"/>
      <w:lang w:val="ro-RO" w:eastAsia="en-US"/>
      <w14:ligatures w14:val="standardContextual"/>
    </w:rPr>
  </w:style>
  <w:style w:type="paragraph" w:customStyle="1" w:styleId="Speakings">
    <w:name w:val="Speakings"/>
    <w:basedOn w:val="ListParagraph"/>
    <w:qFormat/>
    <w:pPr>
      <w:keepLines/>
      <w:numPr>
        <w:numId w:val="28"/>
      </w:numPr>
      <w:contextualSpacing w:val="0"/>
      <w:jc w:val="both"/>
    </w:pPr>
    <w:rPr>
      <w:rFonts w:ascii="Arial" w:eastAsiaTheme="majorEastAsia" w:hAnsi="Arial" w:cs="Arial"/>
      <w:kern w:val="0"/>
      <w:sz w:val="28"/>
      <w:szCs w:val="28"/>
      <w:lang w:eastAsia="de-DE"/>
      <w14:ligatures w14:val="none"/>
    </w:rPr>
  </w:style>
  <w:style w:type="character" w:styleId="Hyperlink">
    <w:name w:val="Hyperlink"/>
    <w:basedOn w:val="DefaultParagraphFont"/>
    <w:uiPriority w:val="99"/>
    <w:semiHidden/>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efault">
    <w:name w:val="Default"/>
    <w:pPr>
      <w:autoSpaceDE w:val="0"/>
      <w:autoSpaceDN w:val="0"/>
      <w:adjustRightInd w:val="0"/>
    </w:pPr>
    <w:rPr>
      <w:color w:val="000000"/>
      <w:szCs w:val="24"/>
    </w:rPr>
  </w:style>
  <w:style w:type="paragraph" w:styleId="Revision">
    <w:name w:val="Revision"/>
    <w:hidden/>
    <w:uiPriority w:val="99"/>
    <w:semiHidden/>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rPr>
      <w:color w:val="96607D"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592603">
      <w:bodyDiv w:val="1"/>
      <w:marLeft w:val="0"/>
      <w:marRight w:val="0"/>
      <w:marTop w:val="0"/>
      <w:marBottom w:val="0"/>
      <w:divBdr>
        <w:top w:val="none" w:sz="0" w:space="0" w:color="auto"/>
        <w:left w:val="none" w:sz="0" w:space="0" w:color="auto"/>
        <w:bottom w:val="none" w:sz="0" w:space="0" w:color="auto"/>
        <w:right w:val="none" w:sz="0" w:space="0" w:color="auto"/>
      </w:divBdr>
    </w:div>
    <w:div w:id="818617904">
      <w:bodyDiv w:val="1"/>
      <w:marLeft w:val="0"/>
      <w:marRight w:val="0"/>
      <w:marTop w:val="0"/>
      <w:marBottom w:val="0"/>
      <w:divBdr>
        <w:top w:val="none" w:sz="0" w:space="0" w:color="auto"/>
        <w:left w:val="none" w:sz="0" w:space="0" w:color="auto"/>
        <w:bottom w:val="none" w:sz="0" w:space="0" w:color="auto"/>
        <w:right w:val="none" w:sz="0" w:space="0" w:color="auto"/>
      </w:divBdr>
    </w:div>
    <w:div w:id="879052693">
      <w:bodyDiv w:val="1"/>
      <w:marLeft w:val="0"/>
      <w:marRight w:val="0"/>
      <w:marTop w:val="0"/>
      <w:marBottom w:val="0"/>
      <w:divBdr>
        <w:top w:val="none" w:sz="0" w:space="0" w:color="auto"/>
        <w:left w:val="none" w:sz="0" w:space="0" w:color="auto"/>
        <w:bottom w:val="none" w:sz="0" w:space="0" w:color="auto"/>
        <w:right w:val="none" w:sz="0" w:space="0" w:color="auto"/>
      </w:divBdr>
    </w:div>
    <w:div w:id="1098792439">
      <w:bodyDiv w:val="1"/>
      <w:marLeft w:val="0"/>
      <w:marRight w:val="0"/>
      <w:marTop w:val="0"/>
      <w:marBottom w:val="0"/>
      <w:divBdr>
        <w:top w:val="none" w:sz="0" w:space="0" w:color="auto"/>
        <w:left w:val="none" w:sz="0" w:space="0" w:color="auto"/>
        <w:bottom w:val="none" w:sz="0" w:space="0" w:color="auto"/>
        <w:right w:val="none" w:sz="0" w:space="0" w:color="auto"/>
      </w:divBdr>
    </w:div>
    <w:div w:id="1279918746">
      <w:bodyDiv w:val="1"/>
      <w:marLeft w:val="0"/>
      <w:marRight w:val="0"/>
      <w:marTop w:val="0"/>
      <w:marBottom w:val="0"/>
      <w:divBdr>
        <w:top w:val="none" w:sz="0" w:space="0" w:color="auto"/>
        <w:left w:val="none" w:sz="0" w:space="0" w:color="auto"/>
        <w:bottom w:val="none" w:sz="0" w:space="0" w:color="auto"/>
        <w:right w:val="none" w:sz="0" w:space="0" w:color="auto"/>
      </w:divBdr>
    </w:div>
    <w:div w:id="1481994428">
      <w:bodyDiv w:val="1"/>
      <w:marLeft w:val="0"/>
      <w:marRight w:val="0"/>
      <w:marTop w:val="0"/>
      <w:marBottom w:val="0"/>
      <w:divBdr>
        <w:top w:val="none" w:sz="0" w:space="0" w:color="auto"/>
        <w:left w:val="none" w:sz="0" w:space="0" w:color="auto"/>
        <w:bottom w:val="none" w:sz="0" w:space="0" w:color="auto"/>
        <w:right w:val="none" w:sz="0" w:space="0" w:color="auto"/>
      </w:divBdr>
    </w:div>
    <w:div w:id="1690569352">
      <w:bodyDiv w:val="1"/>
      <w:marLeft w:val="0"/>
      <w:marRight w:val="0"/>
      <w:marTop w:val="0"/>
      <w:marBottom w:val="0"/>
      <w:divBdr>
        <w:top w:val="none" w:sz="0" w:space="0" w:color="auto"/>
        <w:left w:val="none" w:sz="0" w:space="0" w:color="auto"/>
        <w:bottom w:val="none" w:sz="0" w:space="0" w:color="auto"/>
        <w:right w:val="none" w:sz="0" w:space="0" w:color="auto"/>
      </w:divBdr>
      <w:divsChild>
        <w:div w:id="450130140">
          <w:marLeft w:val="360"/>
          <w:marRight w:val="0"/>
          <w:marTop w:val="0"/>
          <w:marBottom w:val="360"/>
          <w:divBdr>
            <w:top w:val="none" w:sz="0" w:space="0" w:color="auto"/>
            <w:left w:val="none" w:sz="0" w:space="0" w:color="auto"/>
            <w:bottom w:val="none" w:sz="0" w:space="0" w:color="auto"/>
            <w:right w:val="none" w:sz="0" w:space="0" w:color="auto"/>
          </w:divBdr>
        </w:div>
        <w:div w:id="2021345685">
          <w:marLeft w:val="360"/>
          <w:marRight w:val="0"/>
          <w:marTop w:val="0"/>
          <w:marBottom w:val="360"/>
          <w:divBdr>
            <w:top w:val="none" w:sz="0" w:space="0" w:color="auto"/>
            <w:left w:val="none" w:sz="0" w:space="0" w:color="auto"/>
            <w:bottom w:val="none" w:sz="0" w:space="0" w:color="auto"/>
            <w:right w:val="none" w:sz="0" w:space="0" w:color="auto"/>
          </w:divBdr>
        </w:div>
      </w:divsChild>
    </w:div>
    <w:div w:id="1736734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8.xml"/></Relationships>
</file>

<file path=word/_rels/footnotes.xml.rels><?xml version="1.0" encoding="UTF-8" standalone="yes"?>
<Relationships xmlns="http://schemas.openxmlformats.org/package/2006/relationships"><Relationship Id="rId3" Type="http://schemas.openxmlformats.org/officeDocument/2006/relationships/hyperlink" Target="https://climate.ec.europa.eu/eu-action/adaptation-and-resilience-climate-change/european-climate-resilience-and-risk-management-integrated-framework_en" TargetMode="External"/><Relationship Id="rId2" Type="http://schemas.openxmlformats.org/officeDocument/2006/relationships/hyperlink" Target="https://mission-soil-platform.ec.europa.eu/sites/default/files/2023-07/soil_mission_implementation_plan_final_for_publication.pdf" TargetMode="External"/><Relationship Id="rId1" Type="http://schemas.openxmlformats.org/officeDocument/2006/relationships/hyperlink" Target="https://maritime-forum.ec.europa.eu/theme/research/mission-ocean-and-wat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DisplayName="Writer" AuthorRoleId="a4fbaff4-b07c-48b4-a21e-e7b9eedf3796">
  <Id>9115be81-f2b5-4ae2-8ba6-64fd61b2c624</Id>
  <Names>
    <Latin>
      <FirstName>Federico</FirstName>
      <LastName>LAMPIS</LastName>
    </Latin>
    <Greek>
      <FirstName/>
      <LastName/>
    </Greek>
    <Cyrillic>
      <FirstName/>
      <LastName/>
    </Cyrillic>
    <DocumentScript>
      <FirstName>Federico</FirstName>
      <LastName>LAMPIS</LastName>
      <FullName>Federico LAMPIS</FullName>
    </DocumentScript>
  </Names>
  <Initials>FL</Initials>
  <Gender>m</Gender>
  <Email>Federico.LAMPIS@ec.europa.eu</Email>
  <Service>RTD.G.4</Service>
  <Function ADCode="" ShowInSignature="true" ShowInHeader="false" HeaderText=""/>
  <WebAddress/>
  <FunctionalMailbox/>
  <InheritedWebAddress>http://europa.eu</InheritedWebAddress>
  <OrgaEntity1>
    <Id>14904006-893b-4737-9f5d-ce5e99e477ee</Id>
    <LogicalLevel>1</LogicalLevel>
    <Name>RTD</Name>
    <HeadLine1>DIRECTORATE-GENERAL FOR RESEARCH AND INNOVATION</HeadLine1>
    <HeadLine2/>
    <PrimaryAddressId>f03b5801-04c9-4931-aa17-c6d6c70bc579</PrimaryAddressId>
    <SecondaryAddressId/>
    <WebAddress/>
    <InheritedWebAddress>http://europa.eu</InheritedWebAddress>
    <ShowInHeader>true</ShowInHeader>
  </OrgaEntity1>
  <OrgaEntity2>
    <Id>7dadd75b-c6be-467d-9c6c-122495343488</Id>
    <LogicalLevel>2</LogicalLevel>
    <Name>RTD.G</Name>
    <HeadLine1>Directorate G – Common Poliy Centre</HeadLine1>
    <HeadLine2/>
    <PrimaryAddressId>f03b5801-04c9-4931-aa17-c6d6c70bc579</PrimaryAddressId>
    <SecondaryAddressId/>
    <WebAddress/>
    <InheritedWebAddress>http://europa.eu</InheritedWebAddress>
    <ShowInHeader>true</ShowInHeader>
  </OrgaEntity2>
  <OrgaEntity3>
    <Id>19f5e24a-1bc0-440e-9cf0-0ffcbf8847af</Id>
    <LogicalLevel>3</LogicalLevel>
    <Name>RTD.G.4</Name>
    <HeadLine1>G.4 – Common Missions &amp; Partnerships Service</HeadLine1>
    <HeadLine2/>
    <PrimaryAddressId>f03b5801-04c9-4931-aa17-c6d6c70bc579</PrimaryAddressId>
    <SecondaryAddressId/>
    <WebAddress/>
    <InheritedWebAddress>http://europa.eu</InheritedWebAddress>
    <ShowInHeader>true</ShowInHeader>
  </OrgaEntity3>
  <Hierarchy>
    <OrgaEntity>
      <Id>14904006-893b-4737-9f5d-ce5e99e477ee</Id>
      <LogicalLevel>1</LogicalLevel>
      <Name>RTD</Name>
      <HeadLine1>DIRECTORATE-GENERAL FOR RESEARCH AND INNOVATION</HeadLine1>
      <HeadLine2/>
      <PrimaryAddressId>f03b5801-04c9-4931-aa17-c6d6c70bc579</PrimaryAddressId>
      <SecondaryAddressId/>
      <WebAddress/>
      <InheritedWebAddress>http://europa.eu</InheritedWebAddress>
      <ShowInHeader>true</ShowInHeader>
    </OrgaEntity>
    <OrgaEntity>
      <Id>7dadd75b-c6be-467d-9c6c-122495343488</Id>
      <LogicalLevel>2</LogicalLevel>
      <Name>RTD.G</Name>
      <HeadLine1>Directorate G – Common Policy Centre</HeadLine1>
      <HeadLine2/>
      <PrimaryAddressId>f03b5801-04c9-4931-aa17-c6d6c70bc579</PrimaryAddressId>
      <SecondaryAddressId/>
      <WebAddress/>
      <InheritedWebAddress>http://europa.eu</InheritedWebAddress>
      <ShowInHeader>true</ShowInHeader>
    </OrgaEntity>
    <OrgaEntity>
      <Id>19f5e24a-1bc0-440e-9cf0-0ffcbf8847af</Id>
      <LogicalLevel>3</LogicalLevel>
      <Name>RTD.G.4</Name>
      <HeadLine1>G.4 – Common Missions &amp; Partnerships Service</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+32 229-50972</Phone>
    <Office>ORBN 02/103</Office>
  </MainWorkplace>
  <Workplaces>
    <Workplace IsMain="true">
      <AddressId>f03b5801-04c9-4931-aa17-c6d6c70bc579</AddressId>
      <Fax/>
      <Phone>+32 229-50972</Phone>
      <Office>ORBN 02/103</Office>
    </Workplace>
  </Workplaces>
</Author>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EurolookProperties>
  <ProductCustomizationId>EC</ProductCustomizationId>
  <Created>
    <Version>10.0.47989.0</Version>
    <Date>2026-04-16T14:32:49</Date>
    <Language>EN</Language>
    <Note/>
  </Created>
  <DocumentModel>
    <Id>6cbda13a-4db2-46c6-876a-ef72275827ef</Id>
    <Name>Report</Name>
  </DocumentModel>
  <CustomTemplate>
    <Id/>
    <Name/>
  </CustomTemplate>
  <DocumentDate>2026-04-16T14:32:49</DocumentDate>
  <DocumentVersion>0.1</DocumentVersion>
  <CompatibilityMode>Eurolook10</CompatibilityMode>
  <DocumentMetadata>
    <EC_SecurityReleasability MetadataSerializationType="SimpleValue"/>
    <EC_SecurityDateMarkingDate MetadataSerializationType="SimpleValue"/>
    <EC_SecurityMarking MetadataSerializationType="SimpleValue"/>
    <EC_SecurityDistributionSensitive MetadataSerializationType="SimpleValue"/>
    <EC_SecurityDateMarkingEvent MetadataSerializationType="SimpleValue"/>
    <EC_SecurityDistributionDG MetadataSerializationType="SimpleValue"/>
    <EC_SecurityDateMarking MetadataSerializationType="SimpleValue"/>
    <EC_SecurityDistributionSpecialHandling MetadataSerializationType="SimpleValue"/>
    <EC_SecurityDistributionWorkingGroup MetadataSerializationType="SimpleValue"/>
  </DocumentMetadata>
</Eurolook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843c966-cb45-4885-93fc-2ce78a94204b">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ac131f03-315b-4cd8-8e3a-6189969fd4f0" xsi:nil="true"/>
    <Category xmlns="5843c966-cb45-4885-93fc-2ce78a94204b"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99782AF6692CB4E8097BF428225D135" ma:contentTypeVersion="20" ma:contentTypeDescription="Create a new document." ma:contentTypeScope="" ma:versionID="a142ac22223d8c76a02e2eb3b8399f09">
  <xsd:schema xmlns:xsd="http://www.w3.org/2001/XMLSchema" xmlns:xs="http://www.w3.org/2001/XMLSchema" xmlns:p="http://schemas.microsoft.com/office/2006/metadata/properties" xmlns:ns2="5843c966-cb45-4885-93fc-2ce78a94204b" xmlns:ns3="ac131f03-315b-4cd8-8e3a-6189969fd4f0" targetNamespace="http://schemas.microsoft.com/office/2006/metadata/properties" ma:root="true" ma:fieldsID="8164f09c72c8ec955ad0a71f7b2e3e69" ns2:_="" ns3:_="">
    <xsd:import namespace="5843c966-cb45-4885-93fc-2ce78a94204b"/>
    <xsd:import namespace="ac131f03-315b-4cd8-8e3a-6189969fd4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TaxCatchAll" minOccurs="0"/>
                <xsd:element ref="ns2:lcf76f155ced4ddcb4097134ff3c332f" minOccurs="0"/>
                <xsd:element ref="ns2:Categor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3c966-cb45-4885-93fc-2ce78a9420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Category" ma:index="23" nillable="true" ma:displayName="Category" ma:format="Dropdown" ma:internalName="Category">
      <xsd:simpleType>
        <xsd:restriction base="dms:Choice">
          <xsd:enumeration value="Minutes"/>
          <xsd:enumeration value="Agenda"/>
          <xsd:enumeration value="Presentation"/>
          <xsd:enumeration value="Briefing"/>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1f03-315b-4cd8-8e3a-6189969fd4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5de95dc-9be9-4e2d-9dd2-e42059706eff}" ma:internalName="TaxCatchAll" ma:showField="CatchAllData" ma:web="ac131f03-315b-4cd8-8e3a-6189969fd4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p.p.Signature-PP>p.p. </p.p.Signature-PP>
  <intheabsenceofSignature-PP>in the absence of</intheabsenceofSignature-PP>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B2B96CBB-482A-46D2-AF3D-4F07F046A03A}">
  <ds:schemaRefs/>
</ds:datastoreItem>
</file>

<file path=customXml/itemProps2.xml><?xml version="1.0" encoding="utf-8"?>
<ds:datastoreItem xmlns:ds="http://schemas.openxmlformats.org/officeDocument/2006/customXml" ds:itemID="{823872AB-EC4F-473B-96E0-FD8F10164A65}">
  <ds:schemaRefs>
    <ds:schemaRef ds:uri="http://schemas.openxmlformats.org/officeDocument/2006/bibliography"/>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7CB6250D-C79B-4D00-A628-D43CB6EF6505}">
  <ds:schemaRefs>
    <ds:schemaRef ds:uri="http://schemas.microsoft.com/sharepoint/v3/contenttype/forms"/>
  </ds:schemaRefs>
</ds:datastoreItem>
</file>

<file path=customXml/itemProps5.xml><?xml version="1.0" encoding="utf-8"?>
<ds:datastoreItem xmlns:ds="http://schemas.openxmlformats.org/officeDocument/2006/customXml" ds:itemID="{98CB2108-2E59-46E5-87DE-CEC442377F7A}">
  <ds:schemaRefs>
    <ds:schemaRef ds:uri="http://schemas.microsoft.com/office/2006/metadata/properties"/>
    <ds:schemaRef ds:uri="http://schemas.microsoft.com/office/infopath/2007/PartnerControls"/>
    <ds:schemaRef ds:uri="5843c966-cb45-4885-93fc-2ce78a94204b"/>
    <ds:schemaRef ds:uri="ac131f03-315b-4cd8-8e3a-6189969fd4f0"/>
  </ds:schemaRefs>
</ds:datastoreItem>
</file>

<file path=customXml/itemProps6.xml><?xml version="1.0" encoding="utf-8"?>
<ds:datastoreItem xmlns:ds="http://schemas.openxmlformats.org/officeDocument/2006/customXml" ds:itemID="{9080C1D3-C36D-4958-A51D-CB96DD49B4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3c966-cb45-4885-93fc-2ce78a94204b"/>
    <ds:schemaRef ds:uri="ac131f03-315b-4cd8-8e3a-6189969fd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EF90DE6-88B6-4264-9629-4D8DFDFE87D2}">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15</TotalTime>
  <Pages>2</Pages>
  <Words>4698</Words>
  <Characters>26783</Characters>
  <Application>Microsoft Office Word</Application>
  <DocSecurity>0</DocSecurity>
  <PresentationFormat>Microsoft Word 14.0</PresentationFormat>
  <Lines>223</Lines>
  <Paragraphs>62</Paragraphs>
  <ScaleCrop>true</ScaleCrop>
  <HeadingPairs>
    <vt:vector size="2" baseType="variant">
      <vt:variant>
        <vt:lpstr>Title</vt:lpstr>
      </vt:variant>
      <vt:variant>
        <vt:i4>1</vt:i4>
      </vt:variant>
    </vt:vector>
  </HeadingPairs>
  <TitlesOfParts>
    <vt:vector size="1" baseType="lpstr">
      <vt:lpstr>EU Missions in 2026</vt:lpstr>
    </vt:vector>
  </TitlesOfParts>
  <Manager/>
  <Company/>
  <LinksUpToDate>false</LinksUpToDate>
  <CharactersWithSpaces>31419</CharactersWithSpaces>
  <SharedDoc>false</SharedDoc>
  <HLinks>
    <vt:vector size="6" baseType="variant">
      <vt:variant>
        <vt:i4>2752584</vt:i4>
      </vt:variant>
      <vt:variant>
        <vt:i4>0</vt:i4>
      </vt:variant>
      <vt:variant>
        <vt:i4>0</vt:i4>
      </vt:variant>
      <vt:variant>
        <vt:i4>5</vt:i4>
      </vt:variant>
      <vt:variant>
        <vt:lpwstr>https://climate.ec.europa.eu/eu-action/adaptation-and-resilience-climate-change/european-climate-resilience-and-risk-management-integrated-framework_en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Missions in 2026</dc:title>
  <dc:subject>Mid-term assessment of the EU Missions’ progress, achievements and impact</dc:subject>
  <dc:creator/>
  <cp:keywords/>
  <dc:description/>
  <cp:lastModifiedBy>SVC-T1-CODE-PRD</cp:lastModifiedBy>
  <cp:revision>7</cp:revision>
  <dcterms:created xsi:type="dcterms:W3CDTF">2026-08-27T16:19:00Z</dcterms:created>
  <dcterms:modified xsi:type="dcterms:W3CDTF">2026-09-10T06:40:00Z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2026-04-16T16:11:53Z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d9ac44b0-91e8-4cd1-88f7-40f9edd3c882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0x0101000A3AD7443EB661479DE1099AFAB263A3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_LW_INVALIDATED_EurolookVersion">
    <vt:lpwstr>10.0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CP-008</vt:lpwstr>
  </property>
  <property fmtid="{D5CDD505-2E9C-101B-9397-08002B2CF9AE}" pid="18" name="Last edited using">
    <vt:lpwstr>LW 9.2, Build 20250828</vt:lpwstr>
  </property>
  <property fmtid="{D5CDD505-2E9C-101B-9397-08002B2CF9AE}" pid="19" name="Created using">
    <vt:lpwstr>LW 9.2, Build 20250828</vt:lpwstr>
  </property>
</Properties>
</file>