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54A3AA3-650A-4BD2-A4B8-BF1FB1C51D0C" style="width:455.25pt;height:286.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RAPPORT DE LA COMMISSION AU PARLEMENT EUROPÉEN ET AU CONSEIL</w:t>
      </w:r>
    </w:p>
    <w:p>
      <w:pPr>
        <w:pStyle w:val="Titreobjet"/>
        <w:rPr>
          <w:noProof/>
        </w:rPr>
      </w:pPr>
      <w:r>
        <w:rPr>
          <w:noProof/>
        </w:rPr>
        <w:t>sur les travaux des comités en 2025</w:t>
      </w:r>
    </w:p>
    <w:p>
      <w:pPr>
        <w:pStyle w:val="ManualHeading1"/>
        <w:spacing w:after="240"/>
        <w:ind w:left="851" w:hanging="851"/>
        <w:rPr>
          <w:noProof/>
        </w:rPr>
      </w:pPr>
      <w:r>
        <w:rPr>
          <w:noProof/>
        </w:rPr>
        <w:t>1.</w:t>
      </w:r>
      <w:r>
        <w:rPr>
          <w:noProof/>
        </w:rPr>
        <w:tab/>
        <w:t>Introduction</w:t>
      </w:r>
    </w:p>
    <w:p>
      <w:pPr>
        <w:spacing w:after="160"/>
        <w:jc w:val="both"/>
        <w:rPr>
          <w:rFonts w:ascii="Times New Roman" w:hAnsi="Times New Roman"/>
          <w:noProof/>
          <w:sz w:val="24"/>
          <w:szCs w:val="24"/>
        </w:rPr>
      </w:pPr>
      <w:r>
        <w:rPr>
          <w:rFonts w:ascii="Times New Roman" w:hAnsi="Times New Roman"/>
          <w:noProof/>
          <w:sz w:val="24"/>
        </w:rPr>
        <w:t>La Commission présente ci-après son rapport annuel sur les travaux des comités en 2025 conformément à l’article 10, paragraphe 2, du règlement (UE) nº 182/2011 établissant les règles et principes généraux relatifs aux modalités de contrôle par les États membres de l’exercice des compétences d’exécution par la Commission</w:t>
      </w:r>
      <w:r>
        <w:rPr>
          <w:rFonts w:ascii="Times New Roman" w:hAnsi="Times New Roman"/>
          <w:noProof/>
          <w:sz w:val="24"/>
          <w:szCs w:val="24"/>
          <w:vertAlign w:val="superscript"/>
        </w:rPr>
        <w:footnoteReference w:id="1"/>
      </w:r>
      <w:r>
        <w:rPr>
          <w:rFonts w:ascii="Times New Roman" w:hAnsi="Times New Roman"/>
          <w:noProof/>
          <w:sz w:val="24"/>
        </w:rPr>
        <w:t xml:space="preserve"> (le «règlement de comitologie»).</w:t>
      </w:r>
    </w:p>
    <w:p>
      <w:pPr>
        <w:spacing w:after="160"/>
        <w:jc w:val="both"/>
        <w:rPr>
          <w:rFonts w:ascii="Times New Roman" w:hAnsi="Times New Roman"/>
          <w:noProof/>
          <w:sz w:val="24"/>
          <w:szCs w:val="24"/>
        </w:rPr>
      </w:pPr>
      <w:r>
        <w:rPr>
          <w:rFonts w:ascii="Times New Roman" w:hAnsi="Times New Roman"/>
          <w:noProof/>
          <w:sz w:val="24"/>
        </w:rPr>
        <w:t>Le rapport fait un tour d’horizon de l’évolution du système de «comitologie» en 2025, ce terme désignant les comités auxquels la Commission demande d’émettre un avis sur les projets d’actes d’exécution.</w:t>
      </w:r>
      <w:r>
        <w:rPr>
          <w:noProof/>
        </w:rPr>
        <w:t xml:space="preserve"> </w:t>
      </w:r>
      <w:r>
        <w:rPr>
          <w:rFonts w:ascii="Times New Roman" w:hAnsi="Times New Roman"/>
          <w:noProof/>
          <w:sz w:val="24"/>
        </w:rPr>
        <w:t xml:space="preserve">Ces comités sont composés de représentants des États membres et présidés par la Commission. Ils suivent différentes procédures opérationnelles en fonction de l’acte législatif de base habilitant la Commission à adopter des actes d’exécution (voir tableau II). </w:t>
      </w:r>
    </w:p>
    <w:p>
      <w:pPr>
        <w:jc w:val="both"/>
        <w:rPr>
          <w:rFonts w:ascii="Times New Roman" w:hAnsi="Times New Roman"/>
          <w:noProof/>
          <w:sz w:val="24"/>
          <w:szCs w:val="24"/>
        </w:rPr>
      </w:pPr>
      <w:r>
        <w:rPr>
          <w:rFonts w:ascii="Times New Roman" w:hAnsi="Times New Roman"/>
          <w:noProof/>
          <w:sz w:val="24"/>
        </w:rPr>
        <w:t xml:space="preserve">Le rapport présente un résumé des activités des comités. Il est accompagné d’un </w:t>
      </w:r>
      <w:r>
        <w:rPr>
          <w:rFonts w:ascii="Times New Roman" w:hAnsi="Times New Roman"/>
          <w:b/>
          <w:noProof/>
          <w:sz w:val="24"/>
        </w:rPr>
        <w:t>document de travail des services de la Commission</w:t>
      </w:r>
      <w:r>
        <w:rPr>
          <w:rFonts w:ascii="Times New Roman" w:hAnsi="Times New Roman"/>
          <w:noProof/>
          <w:sz w:val="24"/>
        </w:rPr>
        <w:t xml:space="preserve"> contenant des statistiques détaillées sur les travaux des différents comités</w:t>
      </w:r>
      <w:r>
        <w:rPr>
          <w:noProof/>
        </w:rPr>
        <w:t xml:space="preserve"> </w:t>
      </w:r>
      <w:r>
        <w:rPr>
          <w:rFonts w:ascii="Times New Roman" w:hAnsi="Times New Roman"/>
          <w:noProof/>
          <w:sz w:val="24"/>
        </w:rPr>
        <w:t>dans chaque domaine d’action</w:t>
      </w:r>
      <w:r>
        <w:rPr>
          <w:rStyle w:val="FootnoteReference"/>
          <w:rFonts w:ascii="Times New Roman" w:hAnsi="Times New Roman"/>
          <w:noProof/>
          <w:sz w:val="24"/>
          <w:szCs w:val="24"/>
        </w:rPr>
        <w:footnoteReference w:id="2"/>
      </w:r>
      <w:r>
        <w:rPr>
          <w:rFonts w:ascii="Times New Roman" w:hAnsi="Times New Roman"/>
          <w:noProof/>
          <w:sz w:val="24"/>
        </w:rPr>
        <w:t>. Il met en évidence les principaux changements et tendances observés au cours de l’année, en présentant les chiffres globaux relatifs aux réunions, aux procédures écrites, aux avis émis (positifs, négatifs ou absence d’avis) et aux actes adoptés. Il donne également un aperçu des cas soumis au comité d’appel et de l’exercice du droit de regard par le Parlement européen et le Conseil (les «colégislateurs») au titre de l’article 11 du règlement de comitologie. Des informations sont également fournies sur les mesures adoptées dans le cadre de la procédure de réglementation avec contrôle.</w:t>
      </w:r>
    </w:p>
    <w:p>
      <w:pPr>
        <w:pStyle w:val="ManualHeading1"/>
        <w:ind w:left="851" w:hanging="851"/>
        <w:rPr>
          <w:noProof/>
        </w:rPr>
      </w:pPr>
      <w:r>
        <w:rPr>
          <w:noProof/>
        </w:rPr>
        <w:t>2.</w:t>
      </w:r>
      <w:r>
        <w:rPr>
          <w:noProof/>
        </w:rPr>
        <w:tab/>
      </w:r>
      <w:bookmarkStart w:id="1" w:name="_Hlk229130636"/>
      <w:r>
        <w:rPr>
          <w:noProof/>
        </w:rPr>
        <w:t>Tour d’horizon de l’évolution du système de comitologie en 2025</w:t>
      </w:r>
    </w:p>
    <w:p>
      <w:pPr>
        <w:pStyle w:val="ManualHeading2"/>
        <w:spacing w:before="240" w:after="200"/>
        <w:ind w:left="851" w:hanging="851"/>
        <w:rPr>
          <w:noProof/>
        </w:rPr>
      </w:pPr>
      <w:r>
        <w:rPr>
          <w:noProof/>
        </w:rPr>
        <w:t>2.1.</w:t>
      </w:r>
      <w:r>
        <w:rPr>
          <w:noProof/>
        </w:rPr>
        <w:tab/>
        <w:t>Évolution générale</w:t>
      </w:r>
    </w:p>
    <w:p>
      <w:pPr>
        <w:spacing w:after="160"/>
        <w:jc w:val="both"/>
        <w:rPr>
          <w:rFonts w:ascii="Times New Roman" w:hAnsi="Times New Roman"/>
          <w:noProof/>
          <w:sz w:val="24"/>
          <w:szCs w:val="24"/>
        </w:rPr>
      </w:pPr>
      <w:r>
        <w:rPr>
          <w:rFonts w:ascii="Times New Roman" w:hAnsi="Times New Roman"/>
          <w:noProof/>
          <w:sz w:val="24"/>
        </w:rPr>
        <w:t>En 2025, les comités de comitologie ont continué de travailler selon les procédures définies dans le règlement de comitologie, c’est-à-dire selon la procédure consultative (article 4) et la procédure d’examen (article 5), ainsi que selon la procédure de réglementation avec contrôle définie à l’article 5 </w:t>
      </w:r>
      <w:r>
        <w:rPr>
          <w:rFonts w:ascii="Times New Roman" w:hAnsi="Times New Roman"/>
          <w:i/>
          <w:iCs/>
          <w:noProof/>
          <w:sz w:val="24"/>
        </w:rPr>
        <w:t>bis</w:t>
      </w:r>
      <w:r>
        <w:rPr>
          <w:rStyle w:val="FootnoteReference"/>
          <w:rFonts w:ascii="Times New Roman" w:hAnsi="Times New Roman"/>
          <w:noProof/>
          <w:sz w:val="24"/>
          <w:szCs w:val="24"/>
        </w:rPr>
        <w:footnoteReference w:id="3"/>
      </w:r>
      <w:r>
        <w:rPr>
          <w:rFonts w:ascii="Times New Roman" w:hAnsi="Times New Roman"/>
          <w:noProof/>
          <w:sz w:val="24"/>
        </w:rPr>
        <w:t xml:space="preserve"> de la décision de comitologie</w:t>
      </w:r>
      <w:r>
        <w:rPr>
          <w:rStyle w:val="FootnoteReference"/>
          <w:rFonts w:ascii="Times New Roman" w:hAnsi="Times New Roman"/>
          <w:noProof/>
          <w:sz w:val="24"/>
          <w:szCs w:val="24"/>
        </w:rPr>
        <w:footnoteReference w:id="4"/>
      </w:r>
      <w:r>
        <w:rPr>
          <w:rFonts w:ascii="Times New Roman" w:hAnsi="Times New Roman"/>
          <w:noProof/>
          <w:sz w:val="24"/>
        </w:rPr>
        <w:t xml:space="preserve">. </w:t>
      </w:r>
    </w:p>
    <w:p>
      <w:pPr>
        <w:spacing w:after="160"/>
        <w:jc w:val="both"/>
        <w:rPr>
          <w:rFonts w:ascii="Times New Roman" w:hAnsi="Times New Roman"/>
          <w:noProof/>
          <w:sz w:val="24"/>
          <w:szCs w:val="24"/>
        </w:rPr>
      </w:pPr>
      <w:r>
        <w:rPr>
          <w:rFonts w:ascii="Times New Roman" w:hAnsi="Times New Roman"/>
          <w:noProof/>
          <w:sz w:val="24"/>
        </w:rPr>
        <w:t>Toutes les réunions, quel que soit leur format (en présence physique, à distance ou en format hybride), sont mentionnées comme des réunions dans le registre de comitologie</w:t>
      </w:r>
      <w:r>
        <w:rPr>
          <w:rStyle w:val="FootnoteReference"/>
          <w:rFonts w:ascii="Times New Roman" w:hAnsi="Times New Roman"/>
          <w:noProof/>
          <w:sz w:val="24"/>
          <w:szCs w:val="24"/>
        </w:rPr>
        <w:footnoteReference w:id="5"/>
      </w:r>
      <w:r>
        <w:rPr>
          <w:rFonts w:ascii="Times New Roman" w:hAnsi="Times New Roman"/>
          <w:noProof/>
          <w:sz w:val="24"/>
        </w:rPr>
        <w:t xml:space="preserve"> et le compte rendu sommaire en précise le format.</w:t>
      </w:r>
    </w:p>
    <w:p>
      <w:pPr>
        <w:spacing w:after="160"/>
        <w:jc w:val="both"/>
        <w:rPr>
          <w:rFonts w:ascii="Times New Roman" w:hAnsi="Times New Roman"/>
          <w:noProof/>
          <w:sz w:val="24"/>
          <w:szCs w:val="24"/>
        </w:rPr>
      </w:pPr>
    </w:p>
    <w:p>
      <w:pPr>
        <w:spacing w:after="160"/>
        <w:jc w:val="both"/>
        <w:rPr>
          <w:rFonts w:ascii="Times New Roman" w:hAnsi="Times New Roman"/>
          <w:noProof/>
          <w:sz w:val="24"/>
          <w:szCs w:val="24"/>
        </w:rPr>
      </w:pPr>
    </w:p>
    <w:p>
      <w:pPr>
        <w:spacing w:after="160"/>
        <w:jc w:val="both"/>
        <w:rPr>
          <w:rFonts w:ascii="Times New Roman" w:hAnsi="Times New Roman"/>
          <w:noProof/>
          <w:sz w:val="24"/>
          <w:szCs w:val="24"/>
        </w:rPr>
      </w:pPr>
      <w:r>
        <w:rPr>
          <w:rFonts w:ascii="Times New Roman" w:hAnsi="Times New Roman"/>
          <w:noProof/>
          <w:sz w:val="24"/>
        </w:rPr>
        <w:t>Le programme de travail de la Commission pour 2025, présenté le 11 février 2025, proposait de retirer la proposition de la Commission relative à l’alignement des actes se référant toujours à la procédure de réglementation avec contrôle sur le cadre juridique introduit par le traité de Lisbonne</w:t>
      </w:r>
      <w:r>
        <w:rPr>
          <w:rStyle w:val="FootnoteReference"/>
          <w:rFonts w:ascii="Times New Roman" w:hAnsi="Times New Roman"/>
          <w:noProof/>
          <w:sz w:val="24"/>
          <w:szCs w:val="24"/>
        </w:rPr>
        <w:footnoteReference w:id="6"/>
      </w:r>
      <w:r>
        <w:rPr>
          <w:rFonts w:ascii="Times New Roman" w:hAnsi="Times New Roman"/>
          <w:noProof/>
          <w:sz w:val="24"/>
        </w:rPr>
        <w:t>, ainsi que la proposition de la Commission du 14 février 2017</w:t>
      </w:r>
      <w:r>
        <w:rPr>
          <w:rStyle w:val="FootnoteReference"/>
          <w:rFonts w:ascii="Times New Roman" w:hAnsi="Times New Roman"/>
          <w:noProof/>
          <w:sz w:val="24"/>
          <w:szCs w:val="24"/>
          <w:lang w:eastAsia="en-GB"/>
        </w:rPr>
        <w:footnoteReference w:id="7"/>
      </w:r>
      <w:r>
        <w:rPr>
          <w:rFonts w:ascii="Times New Roman" w:hAnsi="Times New Roman"/>
          <w:noProof/>
          <w:sz w:val="24"/>
        </w:rPr>
        <w:t xml:space="preserve"> visant à modifier le règlement de comitologie en ce qui concerne le comité d’appel et à régler les situations d’«absence d’avis» dans des domaines sensibles. Ce retrait était justifié par l’absence de progrès dans les négociations, les positions respectives du Parlement européen et du Conseil restant très éloignées. La Commission a retiré ces deux propositions le 6 octobre 2025</w:t>
      </w:r>
      <w:r>
        <w:rPr>
          <w:rStyle w:val="FootnoteReference"/>
          <w:rFonts w:ascii="Times New Roman" w:hAnsi="Times New Roman"/>
          <w:noProof/>
          <w:sz w:val="24"/>
          <w:szCs w:val="24"/>
        </w:rPr>
        <w:footnoteReference w:id="8"/>
      </w:r>
      <w:r>
        <w:rPr>
          <w:rFonts w:ascii="Times New Roman" w:hAnsi="Times New Roman"/>
          <w:noProof/>
          <w:sz w:val="24"/>
        </w:rPr>
        <w:t>.</w:t>
      </w:r>
    </w:p>
    <w:p>
      <w:pPr>
        <w:spacing w:after="160"/>
        <w:jc w:val="both"/>
        <w:rPr>
          <w:rFonts w:ascii="Times New Roman" w:hAnsi="Times New Roman"/>
          <w:noProof/>
          <w:sz w:val="24"/>
          <w:szCs w:val="24"/>
        </w:rPr>
      </w:pPr>
      <w:r>
        <w:rPr>
          <w:rFonts w:ascii="Times New Roman" w:hAnsi="Times New Roman"/>
          <w:noProof/>
          <w:sz w:val="24"/>
        </w:rPr>
        <w:t>Cela ne remet toutefois pas en cause la nécessité de procéder à l’alignement des habilitations restantes dans le cadre de la procédure de réglementation avec contrôle, comme convenu par le Parlement européen, le Conseil et la Commission dans l’accord interinstitutionnel «Mieux légiférer» de 2016</w:t>
      </w:r>
      <w:r>
        <w:rPr>
          <w:rStyle w:val="FootnoteReference"/>
          <w:rFonts w:ascii="Times New Roman" w:hAnsi="Times New Roman"/>
          <w:noProof/>
          <w:sz w:val="24"/>
          <w:szCs w:val="24"/>
        </w:rPr>
        <w:footnoteReference w:id="9"/>
      </w:r>
      <w:r>
        <w:rPr>
          <w:rFonts w:ascii="Times New Roman" w:hAnsi="Times New Roman"/>
          <w:noProof/>
          <w:sz w:val="24"/>
        </w:rPr>
        <w:t>. La Commission continue donc d’aligner les habilitations existantes sur le traité de Lisbonne dans le cadre de la révision/modification substantielle des différents actes législatifs qui contiennent encore de telles habilitations.</w:t>
      </w:r>
    </w:p>
    <w:p>
      <w:pPr>
        <w:spacing w:after="120"/>
        <w:jc w:val="both"/>
        <w:rPr>
          <w:noProof/>
        </w:rPr>
      </w:pPr>
      <w:r>
        <w:rPr>
          <w:rFonts w:ascii="Times New Roman" w:hAnsi="Times New Roman"/>
          <w:noProof/>
          <w:sz w:val="24"/>
        </w:rPr>
        <w:t>Dans sa communication sur la simplification</w:t>
      </w:r>
      <w:r>
        <w:rPr>
          <w:rStyle w:val="FootnoteReference"/>
          <w:rFonts w:ascii="Times New Roman" w:hAnsi="Times New Roman"/>
          <w:noProof/>
          <w:sz w:val="24"/>
          <w:szCs w:val="24"/>
        </w:rPr>
        <w:footnoteReference w:id="10"/>
      </w:r>
      <w:r>
        <w:rPr>
          <w:rFonts w:ascii="Times New Roman" w:hAnsi="Times New Roman"/>
          <w:noProof/>
          <w:sz w:val="24"/>
        </w:rPr>
        <w:t xml:space="preserve"> et son rapport sur l’état d’avancement de la simplification</w:t>
      </w:r>
      <w:r>
        <w:rPr>
          <w:rStyle w:val="FootnoteReference"/>
          <w:rFonts w:ascii="Times New Roman" w:hAnsi="Times New Roman"/>
          <w:noProof/>
          <w:sz w:val="24"/>
          <w:szCs w:val="24"/>
        </w:rPr>
        <w:footnoteReference w:id="11"/>
      </w:r>
      <w:r>
        <w:rPr>
          <w:rFonts w:ascii="Times New Roman" w:hAnsi="Times New Roman"/>
          <w:noProof/>
          <w:sz w:val="24"/>
        </w:rPr>
        <w:t>, la Commission a indiqué qu’il était nécessaire de procéder à un examen plus approfondi des actes délégués et des actes d’exécution afin de déterminer si ces actes sont juridiquement nécessaires et simplifieraient le cadre réglementaire ou s’ils sont nécessaires pour atteindre les objectifs stratégiques de l’UE. Dans le même ordre d’idées, la Commission a également invité les colégislateurs à appliquer les mêmes principes lorsqu’ils envisagent de nouvelles habilitations pour de nouveaux actes législatifs.</w:t>
      </w:r>
    </w:p>
    <w:bookmarkEnd w:id="1"/>
    <w:p>
      <w:pPr>
        <w:pStyle w:val="ManualHeading2"/>
        <w:spacing w:before="240" w:after="240"/>
        <w:rPr>
          <w:noProof/>
        </w:rPr>
      </w:pPr>
      <w:r>
        <w:rPr>
          <w:noProof/>
        </w:rPr>
        <w:t>2.2.</w:t>
      </w:r>
      <w:r>
        <w:rPr>
          <w:noProof/>
        </w:rPr>
        <w:tab/>
      </w:r>
      <w:bookmarkStart w:id="2" w:name="_Hlk228977291"/>
      <w:bookmarkStart w:id="3" w:name="_Hlk167270908"/>
      <w:r>
        <w:rPr>
          <w:noProof/>
        </w:rPr>
        <w:t xml:space="preserve">Évolution de la jurisprudence </w:t>
      </w:r>
    </w:p>
    <w:p>
      <w:pPr>
        <w:spacing w:after="160"/>
        <w:jc w:val="both"/>
        <w:rPr>
          <w:rFonts w:ascii="Times New Roman" w:eastAsia="Times New Roman" w:hAnsi="Times New Roman"/>
          <w:noProof/>
          <w:sz w:val="24"/>
          <w:szCs w:val="24"/>
        </w:rPr>
      </w:pPr>
      <w:r>
        <w:rPr>
          <w:rFonts w:ascii="Times New Roman" w:hAnsi="Times New Roman"/>
          <w:noProof/>
          <w:sz w:val="24"/>
        </w:rPr>
        <w:t>Saisie d’un pourvoi contre l’arrêt Pollinis (affaire C-726/22 P), la Cour de justice a précisé la portée de l’exception relative à la notion de processus décisionnel en cours dans le cadre d’une procédure de comitologie. L’affaire, pertinente du point de vue de la transparence des procédures et des documents de comitologie, concernait des demandes d’accès à des documents</w:t>
      </w:r>
      <w:r>
        <w:rPr>
          <w:rStyle w:val="FootnoteReference"/>
          <w:rFonts w:ascii="Times New Roman" w:eastAsia="Times New Roman" w:hAnsi="Times New Roman"/>
          <w:noProof/>
          <w:sz w:val="24"/>
          <w:szCs w:val="24"/>
        </w:rPr>
        <w:footnoteReference w:id="12"/>
      </w:r>
      <w:r>
        <w:rPr>
          <w:rFonts w:ascii="Times New Roman" w:hAnsi="Times New Roman"/>
          <w:noProof/>
          <w:sz w:val="24"/>
        </w:rPr>
        <w:t xml:space="preserve">, notamment à des documents liés aux travaux du comité permanent des végétaux, des animaux, des denrées alimentaires et des aliments pour animaux (SCoPAFF), qui consignaient les positions des représentants des États membres (au sein du comité) et leurs échanges avec la Commission, que </w:t>
      </w:r>
      <w:r>
        <w:rPr>
          <w:rFonts w:ascii="Times New Roman" w:hAnsi="Times New Roman"/>
          <w:noProof/>
          <w:sz w:val="24"/>
        </w:rPr>
        <w:lastRenderedPageBreak/>
        <w:t xml:space="preserve">cette dernière a refusé de divulguer au motif, entre autres, de la protection du processus décisionnel en cours. </w:t>
      </w:r>
      <w:bookmarkEnd w:id="2"/>
      <w:bookmarkEnd w:id="3"/>
      <w:r>
        <w:rPr>
          <w:rFonts w:ascii="Times New Roman" w:hAnsi="Times New Roman"/>
          <w:noProof/>
          <w:sz w:val="24"/>
        </w:rPr>
        <w:t>En première instance, la Cour a rejeté la prémisse selon laquelle la confidentialité des procédures de comitologie, telle qu’elle est reflétée dans certaines dispositions du règlement intérieur type des comités de comitologie, induirait une présomption générale de non-divulgation au titre de l’article 4, paragraphe 3, du règlement (CE) nº 1049/2001</w:t>
      </w:r>
      <w:r>
        <w:rPr>
          <w:rStyle w:val="FootnoteReference"/>
          <w:rFonts w:ascii="Times New Roman" w:eastAsia="Times New Roman" w:hAnsi="Times New Roman"/>
          <w:noProof/>
          <w:sz w:val="24"/>
          <w:szCs w:val="24"/>
        </w:rPr>
        <w:footnoteReference w:id="13"/>
      </w:r>
      <w:r>
        <w:rPr>
          <w:rFonts w:ascii="Times New Roman" w:hAnsi="Times New Roman"/>
          <w:noProof/>
          <w:sz w:val="24"/>
        </w:rPr>
        <w:t xml:space="preserve">. </w:t>
      </w:r>
    </w:p>
    <w:p>
      <w:pPr>
        <w:spacing w:after="360"/>
        <w:jc w:val="both"/>
        <w:rPr>
          <w:rFonts w:ascii="Times New Roman" w:eastAsia="Times New Roman" w:hAnsi="Times New Roman"/>
          <w:noProof/>
          <w:sz w:val="24"/>
          <w:szCs w:val="24"/>
        </w:rPr>
      </w:pPr>
      <w:r>
        <w:rPr>
          <w:rFonts w:ascii="Times New Roman" w:hAnsi="Times New Roman"/>
          <w:noProof/>
          <w:sz w:val="24"/>
        </w:rPr>
        <w:t>Dans le cadre du pourvoi, la Cour s’est concentrée uniquement sur l’aspect spécifique de l’exception relative au processus décisionnel en cause et sur la question de savoir si celui-ci devait être qualifié de processus en cours ou de processus clôturé. Elle a jugé que le processus ne pouvait pas être considéré comme étant en cours au seul motif que le comité de comitologie n’avait pas encore été en mesure de prendre position sur un document d’orientation élaboré par l’EFSA en 2013 et avait demandé sa révision avant de reprendre la procédure de comitologie. Selon la Cour, cette révision signifiait que l’objet spécifique d’une future décision n’était pas encore suffisamment défini. Par conséquent, le risque que la divulgation du document demandé porte atteinte au processus décisionnel était, par définition, hypothétique étant donné qu’il serait, en pratique, impossible de vérifier si le contenu de ce document se rapportait effectivement à ce processus décisionnel. Par conséquent, le pourvoi formé par la Commission a été rejeté.</w:t>
      </w:r>
    </w:p>
    <w:p>
      <w:pPr>
        <w:pStyle w:val="ManualHeading2"/>
        <w:keepNext w:val="0"/>
        <w:widowControl w:val="0"/>
        <w:spacing w:after="200" w:line="276" w:lineRule="auto"/>
        <w:ind w:left="0" w:firstLine="0"/>
        <w:outlineLvl w:val="9"/>
        <w:rPr>
          <w:noProof/>
        </w:rPr>
      </w:pPr>
      <w:r>
        <w:rPr>
          <w:noProof/>
        </w:rPr>
        <w:t>3.</w:t>
      </w:r>
      <w:r>
        <w:rPr>
          <w:noProof/>
        </w:rPr>
        <w:tab/>
        <w:t>Tour d’horizon des activités</w:t>
      </w:r>
    </w:p>
    <w:p>
      <w:pPr>
        <w:pStyle w:val="ManualHeading1"/>
        <w:keepNext w:val="0"/>
        <w:widowControl w:val="0"/>
        <w:tabs>
          <w:tab w:val="clear" w:pos="850"/>
          <w:tab w:val="left" w:pos="0"/>
        </w:tabs>
        <w:spacing w:before="120" w:after="240" w:line="276" w:lineRule="auto"/>
        <w:ind w:left="0" w:firstLine="0"/>
        <w:rPr>
          <w:b w:val="0"/>
          <w:smallCaps w:val="0"/>
          <w:noProof/>
        </w:rPr>
      </w:pPr>
      <w:r>
        <w:rPr>
          <w:b w:val="0"/>
          <w:smallCaps w:val="0"/>
          <w:noProof/>
        </w:rPr>
        <w:t>Les chiffres indiqués dans les sections suivantes sont fondés sur les conclusions présentées en détail dans le document de travail des services de la Commission qui accompagne le rapport.</w:t>
      </w:r>
    </w:p>
    <w:p>
      <w:pPr>
        <w:pStyle w:val="ManualHeading2"/>
        <w:keepNext w:val="0"/>
        <w:widowControl w:val="0"/>
        <w:spacing w:after="200" w:line="276" w:lineRule="auto"/>
        <w:ind w:left="0" w:firstLine="0"/>
        <w:outlineLvl w:val="9"/>
        <w:rPr>
          <w:noProof/>
        </w:rPr>
      </w:pPr>
      <w:r>
        <w:rPr>
          <w:noProof/>
        </w:rPr>
        <w:t>3.1.</w:t>
      </w:r>
      <w:r>
        <w:rPr>
          <w:noProof/>
        </w:rPr>
        <w:tab/>
        <w:t xml:space="preserve">Nombre de comités </w:t>
      </w:r>
    </w:p>
    <w:p>
      <w:pPr>
        <w:pStyle w:val="ManualHeading2"/>
        <w:keepNext w:val="0"/>
        <w:widowControl w:val="0"/>
        <w:tabs>
          <w:tab w:val="clear" w:pos="850"/>
          <w:tab w:val="left" w:pos="0"/>
        </w:tabs>
        <w:spacing w:line="276" w:lineRule="auto"/>
        <w:ind w:left="0" w:firstLine="0"/>
        <w:rPr>
          <w:b w:val="0"/>
          <w:noProof/>
        </w:rPr>
      </w:pPr>
      <w:r>
        <w:rPr>
          <w:b w:val="0"/>
          <w:noProof/>
        </w:rPr>
        <w:t>Le présent rapport porte exclusivement sur les comités de comitologie établis par le législateur pour assister la Commission dans l’exercice des compétences d’exécution qui lui ont été conférées par des actes législatifs de base. Il ne couvre pas d’autres entités, en particulier les groupes d’experts créés par la Commission.</w:t>
      </w:r>
      <w:r>
        <w:rPr>
          <w:noProof/>
        </w:rPr>
        <w:t xml:space="preserve"> </w:t>
      </w:r>
      <w:r>
        <w:rPr>
          <w:b w:val="0"/>
          <w:noProof/>
        </w:rPr>
        <w:t>Le tableau I présente le nombre de comités de comitologie qui ont existé au cours de la période allant du 1</w:t>
      </w:r>
      <w:r>
        <w:rPr>
          <w:b w:val="0"/>
          <w:noProof/>
          <w:vertAlign w:val="superscript"/>
        </w:rPr>
        <w:t>er</w:t>
      </w:r>
      <w:r>
        <w:rPr>
          <w:b w:val="0"/>
          <w:noProof/>
        </w:rPr>
        <w:t> janvier au 31 décembre 2025</w:t>
      </w:r>
      <w:r>
        <w:rPr>
          <w:rStyle w:val="FootnoteReference"/>
          <w:b w:val="0"/>
          <w:noProof/>
        </w:rPr>
        <w:footnoteReference w:id="14"/>
      </w:r>
      <w:r>
        <w:rPr>
          <w:b w:val="0"/>
          <w:noProof/>
        </w:rPr>
        <w:t xml:space="preserve">, les chiffres de l’année précédente étant ajoutés à des fins de comparaison. </w:t>
      </w:r>
    </w:p>
    <w:p>
      <w:pPr>
        <w:widowControl w:val="0"/>
        <w:tabs>
          <w:tab w:val="left" w:pos="0"/>
        </w:tabs>
        <w:rPr>
          <w:noProof/>
        </w:rPr>
      </w:pPr>
      <w:r>
        <w:rPr>
          <w:noProof/>
        </w:rPr>
        <w:br w:type="page"/>
      </w:r>
    </w:p>
    <w:p>
      <w:pPr>
        <w:pStyle w:val="ManualHeading2"/>
        <w:keepNext w:val="0"/>
        <w:widowControl w:val="0"/>
        <w:tabs>
          <w:tab w:val="clear" w:pos="850"/>
          <w:tab w:val="left" w:pos="0"/>
        </w:tabs>
        <w:spacing w:line="276" w:lineRule="auto"/>
        <w:ind w:left="0" w:firstLine="0"/>
        <w:rPr>
          <w:noProof/>
        </w:rPr>
      </w:pPr>
      <w:r>
        <w:rPr>
          <w:noProof/>
          <w:u w:val="single"/>
        </w:rPr>
        <w:lastRenderedPageBreak/>
        <w:t>TABLEAU I — Nombre total de comités</w:t>
      </w:r>
    </w:p>
    <w:tbl>
      <w:tblPr>
        <w:tblW w:w="4855" w:type="pct"/>
        <w:tblInd w:w="108" w:type="dxa"/>
        <w:tblLayout w:type="fixed"/>
        <w:tblLook w:val="0000" w:firstRow="0" w:lastRow="0" w:firstColumn="0" w:lastColumn="0" w:noHBand="0" w:noVBand="0"/>
      </w:tblPr>
      <w:tblGrid>
        <w:gridCol w:w="6228"/>
        <w:gridCol w:w="1389"/>
        <w:gridCol w:w="1389"/>
      </w:tblGrid>
      <w:tr>
        <w:trPr>
          <w:trHeight w:val="368"/>
        </w:trPr>
        <w:tc>
          <w:tcPr>
            <w:tcW w:w="3458"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ind w:left="-149"/>
              <w:jc w:val="center"/>
              <w:rPr>
                <w:rFonts w:ascii="Times New Roman" w:hAnsi="Times New Roman"/>
                <w:b/>
                <w:noProof/>
                <w:color w:val="000000"/>
                <w:sz w:val="18"/>
                <w:szCs w:val="18"/>
              </w:rPr>
            </w:pPr>
            <w:r>
              <w:rPr>
                <w:rFonts w:ascii="Times New Roman" w:hAnsi="Times New Roman"/>
                <w:b/>
                <w:noProof/>
                <w:color w:val="000000"/>
                <w:sz w:val="18"/>
              </w:rPr>
              <w:t>Service de la Commission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AGRI (Agriculture et développement rural)</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BUDG (Budget)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CLIMA (Action pour le climat)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rPr>
            </w:pPr>
            <w:r>
              <w:rPr>
                <w:rFonts w:ascii="Times New Roman" w:hAnsi="Times New Roman"/>
                <w:noProof/>
                <w:color w:val="000000"/>
                <w:sz w:val="18"/>
              </w:rPr>
              <w:t>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CNECT (Réseaux de communication, contenu et technologies)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rPr>
            </w:pPr>
            <w:r>
              <w:rPr>
                <w:rFonts w:ascii="Times New Roman" w:hAnsi="Times New Roman"/>
                <w:noProof/>
                <w:color w:val="000000"/>
                <w:sz w:val="18"/>
              </w:rPr>
              <w:t>16</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COMP (Concurrence)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DEFIS (Industrie de la défense et espace)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10</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DIGIT (Services numériques)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EAC (Éducation et culture)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ECFIN (Affaires économiques et financières)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ECHO (Aide humanitaire et protection civile)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EMPL (Emploi, affaires sociales et inclusion)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ENER (Énergie)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ENEST (Élargissement et voisinage oriental)</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rPr>
            </w:pPr>
            <w:r>
              <w:rPr>
                <w:rFonts w:ascii="Times New Roman" w:hAnsi="Times New Roman"/>
                <w:noProof/>
                <w:color w:val="000000"/>
                <w:sz w:val="18"/>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sz w:val="18"/>
                <w:szCs w:val="18"/>
              </w:rPr>
            </w:pPr>
            <w:r>
              <w:rPr>
                <w:rFonts w:ascii="Times New Roman" w:hAnsi="Times New Roman"/>
                <w:b/>
                <w:noProof/>
                <w:color w:val="000000"/>
                <w:sz w:val="18"/>
              </w:rPr>
              <w:t>ENV (Environnement)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29</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sz w:val="18"/>
                <w:szCs w:val="18"/>
              </w:rPr>
            </w:pPr>
            <w:r>
              <w:rPr>
                <w:rFonts w:ascii="Times New Roman" w:hAnsi="Times New Roman"/>
                <w:noProof/>
                <w:sz w:val="18"/>
              </w:rPr>
              <w:t>31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ESTAT (Eurostat)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FISMA (Stabilité financière, services financiers et union des marchés des capitaux)</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FPI (Service des instruments de politique étrangère)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GROW (Marché intérieur, industrie, entrepreneuriat et PME)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46</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HERA (Autorité européenne de préparation et de réaction en cas d’urgence sanitaire)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HOME (Migration et affaires intérieures)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25</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28</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 xml:space="preserve">INTPA (Partenariats internationaux) </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JUST (Justice et consommateurs)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rPr>
            </w:pPr>
            <w:r>
              <w:rPr>
                <w:rFonts w:ascii="Times New Roman" w:hAnsi="Times New Roman"/>
                <w:b/>
                <w:noProof/>
                <w:color w:val="000000"/>
                <w:sz w:val="18"/>
              </w:rPr>
              <w:t>MARE (Affaires maritimes et pêche)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MENA (Moyen-Orient, Afrique du Nord et Golfe)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MOVE (Mobilité et transports)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35</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 xml:space="preserve">NEAR (Voisinage et négociations d’élargissement) </w:t>
            </w:r>
            <w:r>
              <w:rPr>
                <w:noProof/>
              </w:rPr>
              <w:t xml:space="preserve"> </w:t>
            </w:r>
            <w:r>
              <w:rPr>
                <w:noProof/>
              </w:rPr>
              <w:br/>
            </w:r>
            <w:r>
              <w:rPr>
                <w:rFonts w:ascii="Times New Roman" w:hAnsi="Times New Roman"/>
                <w:i/>
                <w:noProof/>
                <w:color w:val="000000"/>
                <w:sz w:val="16"/>
              </w:rPr>
              <w:t>(scindé pour former MENA et ENEST à partir du 1.2.2025)</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OLAF (Office européen de lutte antifraude)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REFORM (Appui aux réformes structurelles)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REGIO (Politique régionale et urbaine)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RTD (Recherche et innovation)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19</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SANTE (Santé et sécurité alimentaire)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34</w:t>
            </w:r>
          </w:p>
        </w:tc>
      </w:tr>
      <w:tr>
        <w:trPr>
          <w:trHeight w:val="242"/>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jc w:val="both"/>
              <w:rPr>
                <w:rFonts w:ascii="Times New Roman" w:hAnsi="Times New Roman"/>
                <w:i/>
                <w:noProof/>
                <w:sz w:val="18"/>
                <w:szCs w:val="18"/>
              </w:rPr>
            </w:pPr>
            <w:r>
              <w:rPr>
                <w:rFonts w:ascii="Times New Roman" w:hAnsi="Times New Roman"/>
                <w:b/>
                <w:noProof/>
                <w:color w:val="000000"/>
                <w:sz w:val="18"/>
              </w:rPr>
              <w:t>SG (</w:t>
            </w:r>
            <w:r>
              <w:rPr>
                <w:rFonts w:ascii="Times New Roman" w:hAnsi="Times New Roman"/>
                <w:b/>
                <w:noProof/>
                <w:color w:val="000000"/>
              </w:rPr>
              <w:t>Secrétariat général</w:t>
            </w:r>
            <w:r>
              <w:rPr>
                <w:rFonts w:ascii="Times New Roman" w:hAnsi="Times New Roman"/>
                <w:b/>
                <w:noProof/>
                <w:color w:val="000000"/>
                <w:sz w:val="16"/>
              </w:rPr>
              <w:t xml:space="preserve">) </w:t>
            </w:r>
            <w:r>
              <w:rPr>
                <w:rFonts w:ascii="Times New Roman" w:hAnsi="Times New Roman"/>
                <w:i/>
                <w:noProof/>
                <w:sz w:val="16"/>
              </w:rPr>
              <w:t>Y compris le comité d’appel</w:t>
            </w:r>
            <w:r>
              <w:rPr>
                <w:rStyle w:val="FootnoteReference"/>
                <w:rFonts w:ascii="Times New Roman" w:hAnsi="Times New Roman"/>
                <w:i/>
                <w:iCs/>
                <w:noProof/>
                <w:sz w:val="16"/>
                <w:szCs w:val="16"/>
              </w:rPr>
              <w:footnoteReference w:id="15"/>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r>
      <w:tr>
        <w:trPr>
          <w:trHeight w:val="236"/>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TAXUD (Fiscalité et union douanière)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28</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sz w:val="18"/>
                <w:szCs w:val="18"/>
              </w:rPr>
            </w:pPr>
            <w:r>
              <w:rPr>
                <w:rFonts w:ascii="Times New Roman" w:hAnsi="Times New Roman"/>
                <w:b/>
                <w:noProof/>
                <w:sz w:val="18"/>
              </w:rPr>
              <w:t>TRADE (Commerce)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sz w:val="18"/>
                <w:szCs w:val="18"/>
              </w:rPr>
            </w:pPr>
            <w:r>
              <w:rPr>
                <w:rFonts w:ascii="Times New Roman" w:hAnsi="Times New Roman"/>
                <w:noProof/>
                <w:sz w:val="18"/>
              </w:rPr>
              <w:t>13</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rPr>
                <w:rFonts w:ascii="Times New Roman" w:hAnsi="Times New Roman"/>
                <w:b/>
                <w:bCs/>
                <w:noProof/>
                <w:sz w:val="18"/>
                <w:szCs w:val="18"/>
              </w:rPr>
            </w:pPr>
            <w:r>
              <w:rPr>
                <w:rFonts w:ascii="Times New Roman" w:hAnsi="Times New Roman"/>
                <w:b/>
                <w:noProof/>
                <w:sz w:val="18"/>
              </w:rPr>
              <w:t>TOTAL</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368</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370</w:t>
            </w:r>
          </w:p>
        </w:tc>
      </w:tr>
    </w:tbl>
    <w:p>
      <w:pPr>
        <w:spacing w:before="160" w:after="0"/>
        <w:jc w:val="both"/>
        <w:rPr>
          <w:rFonts w:ascii="Times New Roman" w:hAnsi="Times New Roman"/>
          <w:noProof/>
          <w:sz w:val="24"/>
          <w:szCs w:val="24"/>
        </w:rPr>
      </w:pPr>
      <w:r>
        <w:rPr>
          <w:rFonts w:ascii="Times New Roman" w:hAnsi="Times New Roman"/>
          <w:noProof/>
          <w:sz w:val="24"/>
        </w:rPr>
        <w:t xml:space="preserve">En 2025, il y avait </w:t>
      </w:r>
      <w:r>
        <w:rPr>
          <w:rFonts w:ascii="Times New Roman" w:hAnsi="Times New Roman"/>
          <w:b/>
          <w:noProof/>
          <w:sz w:val="24"/>
        </w:rPr>
        <w:t>370 comités de comitologie</w:t>
      </w:r>
      <w:r>
        <w:rPr>
          <w:rFonts w:ascii="Times New Roman" w:hAnsi="Times New Roman"/>
          <w:noProof/>
          <w:sz w:val="24"/>
        </w:rPr>
        <w:t>, toutes configurations confondues</w:t>
      </w:r>
      <w:r>
        <w:rPr>
          <w:rStyle w:val="FootnoteReference"/>
          <w:rFonts w:ascii="Times New Roman" w:hAnsi="Times New Roman"/>
          <w:noProof/>
          <w:sz w:val="24"/>
          <w:szCs w:val="24"/>
        </w:rPr>
        <w:footnoteReference w:id="16"/>
      </w:r>
      <w:r>
        <w:rPr>
          <w:rFonts w:ascii="Times New Roman" w:hAnsi="Times New Roman"/>
          <w:noProof/>
          <w:sz w:val="24"/>
        </w:rPr>
        <w:t>. Si plusieurs nouveaux comités ont été créés par une nouvelle législation entrée en vigueur en 2025, le nombre total est resté stable par rapport à 2024 (368 comités), étant donné que certains comités ont aussi été supprimés au cours de l’année</w:t>
      </w:r>
      <w:r>
        <w:rPr>
          <w:rStyle w:val="FootnoteReference"/>
          <w:rFonts w:ascii="Times New Roman" w:hAnsi="Times New Roman"/>
          <w:b/>
          <w:bCs/>
          <w:noProof/>
          <w:sz w:val="24"/>
          <w:szCs w:val="24"/>
        </w:rPr>
        <w:footnoteReference w:id="17"/>
      </w:r>
      <w:r>
        <w:rPr>
          <w:rFonts w:ascii="Times New Roman" w:hAnsi="Times New Roman"/>
          <w:noProof/>
          <w:sz w:val="24"/>
        </w:rPr>
        <w:t>.</w:t>
      </w:r>
      <w:bookmarkStart w:id="5" w:name="_Toc138589006"/>
      <w:r>
        <w:rPr>
          <w:rFonts w:ascii="Times New Roman" w:hAnsi="Times New Roman"/>
          <w:noProof/>
          <w:sz w:val="24"/>
        </w:rPr>
        <w:t xml:space="preserve"> </w:t>
      </w:r>
    </w:p>
    <w:p>
      <w:pPr>
        <w:jc w:val="both"/>
        <w:rPr>
          <w:rFonts w:ascii="Times New Roman" w:hAnsi="Times New Roman"/>
          <w:noProof/>
          <w:sz w:val="24"/>
          <w:szCs w:val="24"/>
        </w:rPr>
      </w:pPr>
      <w:r>
        <w:rPr>
          <w:rFonts w:ascii="Times New Roman" w:hAnsi="Times New Roman"/>
          <w:noProof/>
          <w:sz w:val="24"/>
        </w:rPr>
        <w:lastRenderedPageBreak/>
        <w:t>Le tableau II présente la ventilation des comités en 2025, par type de procédure régissant leur activité (procédure consultative, procédure d’examen, procédure de réglementation avec contrôle). Les comités ayant appliqué des procédures multiples</w:t>
      </w:r>
      <w:r>
        <w:rPr>
          <w:rStyle w:val="FootnoteReference"/>
          <w:rFonts w:ascii="Times New Roman" w:hAnsi="Times New Roman"/>
          <w:noProof/>
          <w:sz w:val="24"/>
          <w:szCs w:val="24"/>
        </w:rPr>
        <w:footnoteReference w:id="18"/>
      </w:r>
      <w:r>
        <w:rPr>
          <w:rFonts w:ascii="Times New Roman" w:hAnsi="Times New Roman"/>
          <w:noProof/>
          <w:sz w:val="24"/>
        </w:rPr>
        <w:t xml:space="preserve"> sont indiqués séparément.</w:t>
      </w:r>
    </w:p>
    <w:p>
      <w:pPr>
        <w:keepNext/>
        <w:spacing w:after="120" w:line="240" w:lineRule="auto"/>
        <w:rPr>
          <w:rFonts w:ascii="Times New Roman" w:hAnsi="Times New Roman"/>
          <w:b/>
          <w:bCs/>
          <w:smallCaps/>
          <w:noProof/>
          <w:sz w:val="24"/>
          <w:szCs w:val="24"/>
          <w:u w:val="single"/>
        </w:rPr>
      </w:pPr>
      <w:r>
        <w:rPr>
          <w:rFonts w:ascii="Times New Roman" w:hAnsi="Times New Roman"/>
          <w:b/>
          <w:noProof/>
          <w:sz w:val="24"/>
          <w:u w:val="single"/>
        </w:rPr>
        <w:t>TABLEAU II — Nombre de comités par type de procédure</w:t>
      </w:r>
      <w:bookmarkEnd w:id="5"/>
    </w:p>
    <w:tbl>
      <w:tblPr>
        <w:tblW w:w="4885" w:type="pct"/>
        <w:tblInd w:w="108" w:type="dxa"/>
        <w:tblLook w:val="0600" w:firstRow="0" w:lastRow="0" w:firstColumn="0" w:lastColumn="0" w:noHBand="1" w:noVBand="1"/>
      </w:tblPr>
      <w:tblGrid>
        <w:gridCol w:w="2223"/>
        <w:gridCol w:w="1188"/>
        <w:gridCol w:w="1326"/>
        <w:gridCol w:w="1426"/>
        <w:gridCol w:w="1340"/>
        <w:gridCol w:w="1559"/>
      </w:tblGrid>
      <w:tr>
        <w:trPr>
          <w:trHeight w:val="249"/>
        </w:trPr>
        <w:tc>
          <w:tcPr>
            <w:tcW w:w="1236" w:type="pct"/>
            <w:vMerge w:val="restart"/>
            <w:tcBorders>
              <w:top w:val="single" w:sz="4" w:space="0" w:color="auto"/>
              <w:left w:val="single" w:sz="4" w:space="0" w:color="auto"/>
              <w:right w:val="single" w:sz="4" w:space="0" w:color="auto"/>
            </w:tcBorders>
            <w:shd w:val="clear" w:color="auto" w:fill="FFFF99"/>
            <w:noWrap/>
            <w:vAlign w:val="center"/>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Service de la Commission</w:t>
            </w:r>
          </w:p>
        </w:tc>
        <w:tc>
          <w:tcPr>
            <w:tcW w:w="2895" w:type="pct"/>
            <w:gridSpan w:val="4"/>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Type de procédure</w:t>
            </w:r>
          </w:p>
        </w:tc>
        <w:tc>
          <w:tcPr>
            <w:tcW w:w="86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p>
        </w:tc>
      </w:tr>
      <w:tr>
        <w:trPr>
          <w:trHeight w:val="249"/>
        </w:trPr>
        <w:tc>
          <w:tcPr>
            <w:tcW w:w="1236" w:type="pct"/>
            <w:vMerge/>
            <w:tcBorders>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noProof/>
                <w:color w:val="000000"/>
                <w:sz w:val="18"/>
                <w:szCs w:val="18"/>
                <w:lang w:eastAsia="en-GB"/>
              </w:rPr>
            </w:pPr>
          </w:p>
        </w:tc>
        <w:tc>
          <w:tcPr>
            <w:tcW w:w="665"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Examen</w:t>
            </w:r>
          </w:p>
        </w:tc>
        <w:tc>
          <w:tcPr>
            <w:tcW w:w="74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Consultative</w:t>
            </w:r>
          </w:p>
        </w:tc>
        <w:tc>
          <w:tcPr>
            <w:tcW w:w="74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Réglementation avec contrôle</w:t>
            </w:r>
          </w:p>
        </w:tc>
        <w:tc>
          <w:tcPr>
            <w:tcW w:w="74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Procédures multiples</w:t>
            </w:r>
          </w:p>
        </w:tc>
        <w:tc>
          <w:tcPr>
            <w:tcW w:w="86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TOTAL</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AGRI</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BUDG</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CLIMA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CNECT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COMP</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DEFIS</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DIGIT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EAC</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ECFIN</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ECHO</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EMPL</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ENER</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15</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ENEST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ENV</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14</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ESTAT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FISMA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FPI</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GROW</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46</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HERA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HOME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28</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INTPA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JUST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MARE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MENA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MOVE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14</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OLAF</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REGIO</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RTD</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19</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SANTE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19</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34</w:t>
            </w:r>
          </w:p>
        </w:tc>
      </w:tr>
      <w:tr>
        <w:trPr>
          <w:trHeight w:val="350"/>
        </w:trPr>
        <w:tc>
          <w:tcPr>
            <w:tcW w:w="1236"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before="60" w:after="0" w:line="240" w:lineRule="auto"/>
              <w:rPr>
                <w:rFonts w:ascii="Times New Roman" w:hAnsi="Times New Roman"/>
                <w:i/>
                <w:noProof/>
                <w:sz w:val="18"/>
                <w:szCs w:val="18"/>
              </w:rPr>
            </w:pPr>
            <w:r>
              <w:rPr>
                <w:rFonts w:ascii="Times New Roman" w:hAnsi="Times New Roman"/>
                <w:b/>
                <w:noProof/>
                <w:color w:val="000000"/>
                <w:sz w:val="18"/>
              </w:rPr>
              <w:t>SG</w:t>
            </w:r>
            <w:r>
              <w:rPr>
                <w:rFonts w:ascii="Times New Roman" w:hAnsi="Times New Roman"/>
                <w:noProof/>
                <w:sz w:val="18"/>
              </w:rPr>
              <w:t xml:space="preserve"> </w:t>
            </w:r>
            <w:r>
              <w:rPr>
                <w:rFonts w:ascii="Times New Roman" w:hAnsi="Times New Roman"/>
                <w:i/>
                <w:iCs/>
                <w:noProof/>
                <w:sz w:val="12"/>
                <w:szCs w:val="12"/>
              </w:rPr>
              <w:t>Y compris le comité d’appel</w:t>
            </w:r>
          </w:p>
        </w:tc>
        <w:tc>
          <w:tcPr>
            <w:tcW w:w="665"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41"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r>
      <w:tr>
        <w:trPr>
          <w:trHeight w:val="249"/>
        </w:trPr>
        <w:tc>
          <w:tcPr>
            <w:tcW w:w="1236" w:type="pct"/>
            <w:tcBorders>
              <w:top w:val="single" w:sz="4" w:space="0" w:color="auto"/>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TAXUD</w:t>
            </w:r>
          </w:p>
        </w:tc>
        <w:tc>
          <w:tcPr>
            <w:tcW w:w="665"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12</w:t>
            </w:r>
          </w:p>
        </w:tc>
        <w:tc>
          <w:tcPr>
            <w:tcW w:w="741"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28</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TRADE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sz w:val="18"/>
              </w:rPr>
              <w:t>13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TOTAL:</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191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7</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150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370</w:t>
            </w:r>
          </w:p>
        </w:tc>
      </w:tr>
    </w:tbl>
    <w:p>
      <w:pPr>
        <w:spacing w:after="160" w:line="259" w:lineRule="auto"/>
        <w:rPr>
          <w:rFonts w:ascii="Times New Roman" w:eastAsia="Times New Roman" w:hAnsi="Times New Roman"/>
          <w:bCs/>
          <w:noProof/>
          <w:sz w:val="24"/>
          <w:szCs w:val="24"/>
        </w:rPr>
      </w:pPr>
      <w:r>
        <w:rPr>
          <w:noProof/>
        </w:rPr>
        <w:br w:type="page"/>
      </w:r>
    </w:p>
    <w:p>
      <w:pPr>
        <w:spacing w:before="240" w:after="120" w:line="240" w:lineRule="auto"/>
        <w:jc w:val="both"/>
        <w:rPr>
          <w:rFonts w:ascii="Times New Roman" w:eastAsia="Times New Roman" w:hAnsi="Times New Roman"/>
          <w:b/>
          <w:noProof/>
          <w:sz w:val="24"/>
          <w:szCs w:val="24"/>
        </w:rPr>
      </w:pPr>
      <w:r>
        <w:rPr>
          <w:rFonts w:ascii="Times New Roman" w:hAnsi="Times New Roman"/>
          <w:b/>
          <w:noProof/>
          <w:sz w:val="24"/>
        </w:rPr>
        <w:lastRenderedPageBreak/>
        <w:t>3.2.</w:t>
      </w:r>
      <w:r>
        <w:rPr>
          <w:noProof/>
        </w:rPr>
        <w:tab/>
      </w:r>
      <w:r>
        <w:rPr>
          <w:rFonts w:ascii="Times New Roman" w:hAnsi="Times New Roman"/>
          <w:b/>
          <w:noProof/>
          <w:sz w:val="24"/>
        </w:rPr>
        <w:t>Nombre de réunions et de procédures écrites</w:t>
      </w:r>
    </w:p>
    <w:p>
      <w:pPr>
        <w:spacing w:before="120" w:after="240"/>
        <w:jc w:val="both"/>
        <w:rPr>
          <w:rFonts w:ascii="Times New Roman" w:hAnsi="Times New Roman"/>
          <w:i/>
          <w:noProof/>
          <w:sz w:val="18"/>
          <w:szCs w:val="18"/>
        </w:rPr>
      </w:pPr>
      <w:r>
        <w:rPr>
          <w:rFonts w:ascii="Times New Roman" w:hAnsi="Times New Roman"/>
          <w:noProof/>
          <w:sz w:val="24"/>
        </w:rPr>
        <w:t>L’intensité de l’activité des comités est définie en premier lieu par le nombre de réunions de comités tenues et le nombre de procédures écrites</w:t>
      </w:r>
      <w:r>
        <w:rPr>
          <w:rStyle w:val="FootnoteReference"/>
          <w:rFonts w:ascii="Times New Roman" w:hAnsi="Times New Roman"/>
          <w:noProof/>
          <w:sz w:val="24"/>
          <w:szCs w:val="24"/>
        </w:rPr>
        <w:footnoteReference w:id="19"/>
      </w:r>
      <w:r>
        <w:rPr>
          <w:rFonts w:ascii="Times New Roman" w:hAnsi="Times New Roman"/>
          <w:noProof/>
          <w:sz w:val="24"/>
        </w:rPr>
        <w:t xml:space="preserve"> menées. Ces nombres sont présentés dans le tableau III.</w:t>
      </w:r>
    </w:p>
    <w:p>
      <w:pPr>
        <w:keepNext/>
        <w:spacing w:after="120" w:line="240" w:lineRule="auto"/>
        <w:rPr>
          <w:rFonts w:ascii="Times New Roman" w:hAnsi="Times New Roman"/>
          <w:b/>
          <w:bCs/>
          <w:noProof/>
          <w:sz w:val="24"/>
          <w:szCs w:val="24"/>
          <w:u w:val="single"/>
        </w:rPr>
      </w:pPr>
      <w:r>
        <w:rPr>
          <w:rFonts w:ascii="Times New Roman" w:hAnsi="Times New Roman"/>
          <w:b/>
          <w:noProof/>
          <w:sz w:val="24"/>
          <w:u w:val="single"/>
        </w:rPr>
        <w:t>TABLEAU III — Nombre de réunions et de procédures écrites</w:t>
      </w:r>
    </w:p>
    <w:tbl>
      <w:tblPr>
        <w:tblW w:w="4885" w:type="pct"/>
        <w:tblInd w:w="108" w:type="dxa"/>
        <w:tblLayout w:type="fixed"/>
        <w:tblLook w:val="0600" w:firstRow="0" w:lastRow="0" w:firstColumn="0" w:lastColumn="0" w:noHBand="1" w:noVBand="1"/>
      </w:tblPr>
      <w:tblGrid>
        <w:gridCol w:w="2111"/>
        <w:gridCol w:w="1339"/>
        <w:gridCol w:w="1339"/>
        <w:gridCol w:w="1446"/>
        <w:gridCol w:w="1439"/>
        <w:gridCol w:w="1388"/>
      </w:tblGrid>
      <w:tr>
        <w:trPr>
          <w:trHeight w:val="249"/>
        </w:trPr>
        <w:tc>
          <w:tcPr>
            <w:tcW w:w="1164" w:type="pct"/>
            <w:vMerge w:val="restart"/>
            <w:tcBorders>
              <w:top w:val="single" w:sz="4" w:space="0" w:color="auto"/>
              <w:left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Service de la Commission</w:t>
            </w:r>
          </w:p>
        </w:tc>
        <w:tc>
          <w:tcPr>
            <w:tcW w:w="739" w:type="pct"/>
            <w:vMerge w:val="restart"/>
            <w:tcBorders>
              <w:top w:val="single" w:sz="4" w:space="0" w:color="auto"/>
              <w:left w:val="nil"/>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 xml:space="preserve">Nombre de comités </w:t>
            </w:r>
          </w:p>
        </w:tc>
        <w:tc>
          <w:tcPr>
            <w:tcW w:w="1537"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Réunions</w:t>
            </w:r>
          </w:p>
        </w:tc>
        <w:tc>
          <w:tcPr>
            <w:tcW w:w="1561"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Procédures écrites</w:t>
            </w:r>
          </w:p>
        </w:tc>
      </w:tr>
      <w:tr>
        <w:trPr>
          <w:trHeight w:val="249"/>
        </w:trPr>
        <w:tc>
          <w:tcPr>
            <w:tcW w:w="1164" w:type="pct"/>
            <w:vMerge/>
            <w:tcBorders>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color w:val="000000"/>
                <w:sz w:val="18"/>
                <w:szCs w:val="18"/>
                <w:lang w:eastAsia="en-GB"/>
              </w:rPr>
            </w:pPr>
          </w:p>
        </w:tc>
        <w:tc>
          <w:tcPr>
            <w:tcW w:w="739" w:type="pct"/>
            <w:vMerge/>
            <w:tcBorders>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p>
        </w:tc>
        <w:tc>
          <w:tcPr>
            <w:tcW w:w="73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79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c>
          <w:tcPr>
            <w:tcW w:w="794"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767"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AGRI</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86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72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BUDG</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CLIMA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5</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CNECT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16</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28</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COMP</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FF0000"/>
                <w:sz w:val="18"/>
                <w:szCs w:val="18"/>
              </w:rPr>
            </w:pPr>
            <w:r>
              <w:rPr>
                <w:rFonts w:ascii="Times New Roman" w:hAnsi="Times New Roman"/>
                <w:b/>
                <w:noProof/>
                <w:color w:val="000000"/>
                <w:sz w:val="18"/>
              </w:rPr>
              <w:t>DEFIS</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FF0000"/>
                <w:sz w:val="18"/>
                <w:szCs w:val="18"/>
              </w:rPr>
            </w:pPr>
            <w:r>
              <w:rPr>
                <w:rFonts w:ascii="Times New Roman" w:hAnsi="Times New Roman"/>
                <w:noProof/>
                <w:color w:val="000000"/>
                <w:sz w:val="18"/>
              </w:rPr>
              <w:t>11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color w:val="FF0000"/>
                <w:sz w:val="18"/>
                <w:szCs w:val="18"/>
              </w:rPr>
            </w:pPr>
            <w:r>
              <w:rPr>
                <w:rFonts w:ascii="Times New Roman" w:hAnsi="Times New Roman"/>
                <w:noProof/>
                <w:sz w:val="18"/>
              </w:rPr>
              <w:t>49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37</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DIGIT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FF0000"/>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EAC</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ECFIN</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ECHO</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EMPL</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ENER</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15</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29</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ENEST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ENV</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31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28</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ESTAT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FISMA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FPI</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GROW</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46</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HERA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HOME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28</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highlight w:val="yellow"/>
              </w:rPr>
            </w:pPr>
            <w:r>
              <w:rPr>
                <w:rFonts w:ascii="Times New Roman" w:hAnsi="Times New Roman"/>
                <w:noProof/>
                <w:sz w:val="18"/>
              </w:rPr>
              <w:t>53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71</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24</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INTPA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JUST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67</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MARE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Cs/>
                <w:noProof/>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MOVE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MENA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NEAR</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17</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rPr>
            </w:pPr>
            <w:r>
              <w:rPr>
                <w:rFonts w:ascii="Times New Roman" w:hAnsi="Times New Roman"/>
                <w:b/>
                <w:noProof/>
                <w:color w:val="000000"/>
                <w:sz w:val="18"/>
              </w:rPr>
              <w:t>OLAF</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REGIO</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RTD</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19</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60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222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160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SANTE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107</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112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704</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659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 xml:space="preserve">SG </w:t>
            </w:r>
            <w:r>
              <w:rPr>
                <w:rFonts w:ascii="Times New Roman" w:hAnsi="Times New Roman"/>
                <w:i/>
                <w:iCs/>
                <w:noProof/>
                <w:color w:val="000000"/>
                <w:sz w:val="12"/>
                <w:szCs w:val="12"/>
              </w:rPr>
              <w:t>Y compris le comité d’appel</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TAXUD</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28</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TRADE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51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rPr>
            </w:pPr>
            <w:r>
              <w:rPr>
                <w:rFonts w:ascii="Times New Roman" w:hAnsi="Times New Roman"/>
                <w:b/>
                <w:noProof/>
                <w:color w:val="000000"/>
                <w:sz w:val="18"/>
              </w:rPr>
              <w:t>TOTAL:</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
                <w:bCs/>
                <w:noProof/>
                <w:sz w:val="18"/>
                <w:szCs w:val="18"/>
              </w:rPr>
            </w:pPr>
            <w:r>
              <w:rPr>
                <w:rFonts w:ascii="Times New Roman" w:hAnsi="Times New Roman"/>
                <w:b/>
                <w:noProof/>
                <w:sz w:val="18"/>
              </w:rPr>
              <w:t>370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693</w:t>
            </w:r>
            <w:r>
              <w:rPr>
                <w:rStyle w:val="FootnoteReference"/>
                <w:rFonts w:ascii="Times New Roman" w:hAnsi="Times New Roman"/>
                <w:b/>
                <w:bCs/>
                <w:noProof/>
                <w:sz w:val="18"/>
                <w:szCs w:val="18"/>
                <w:lang w:eastAsia="en-GB"/>
              </w:rPr>
              <w:footnoteReference w:id="20"/>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786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1 211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1 122</w:t>
            </w:r>
          </w:p>
        </w:tc>
      </w:tr>
    </w:tbl>
    <w:p>
      <w:pPr>
        <w:spacing w:before="240" w:after="240"/>
        <w:jc w:val="both"/>
        <w:rPr>
          <w:rFonts w:ascii="Times New Roman" w:hAnsi="Times New Roman"/>
          <w:noProof/>
          <w:sz w:val="24"/>
          <w:szCs w:val="24"/>
        </w:rPr>
      </w:pPr>
      <w:r>
        <w:rPr>
          <w:rFonts w:ascii="Times New Roman" w:hAnsi="Times New Roman"/>
          <w:noProof/>
          <w:sz w:val="24"/>
        </w:rPr>
        <w:t xml:space="preserve">Il y a eu </w:t>
      </w:r>
      <w:r>
        <w:rPr>
          <w:rFonts w:ascii="Times New Roman" w:hAnsi="Times New Roman"/>
          <w:b/>
          <w:noProof/>
          <w:sz w:val="24"/>
        </w:rPr>
        <w:t>786 réunions</w:t>
      </w:r>
      <w:r>
        <w:rPr>
          <w:rFonts w:ascii="Times New Roman" w:hAnsi="Times New Roman"/>
          <w:noProof/>
          <w:sz w:val="24"/>
        </w:rPr>
        <w:t xml:space="preserve"> en 2025, soit plus qu’en 2024 (693 réunions), et </w:t>
      </w:r>
      <w:r>
        <w:rPr>
          <w:rFonts w:ascii="Times New Roman" w:hAnsi="Times New Roman"/>
          <w:b/>
          <w:noProof/>
          <w:sz w:val="24"/>
        </w:rPr>
        <w:t>1 122 procédures écrites</w:t>
      </w:r>
      <w:r>
        <w:rPr>
          <w:rFonts w:ascii="Times New Roman" w:hAnsi="Times New Roman"/>
          <w:noProof/>
          <w:sz w:val="24"/>
        </w:rPr>
        <w:t>, ce qui est inférieur au chiffre de l’année précédente (1 211 procédures écrites).</w:t>
      </w:r>
    </w:p>
    <w:p>
      <w:pPr>
        <w:pStyle w:val="ManualHeading2"/>
        <w:spacing w:after="200"/>
        <w:ind w:left="851" w:hanging="851"/>
        <w:jc w:val="left"/>
        <w:rPr>
          <w:noProof/>
          <w:u w:val="single"/>
        </w:rPr>
      </w:pPr>
      <w:r>
        <w:rPr>
          <w:noProof/>
        </w:rPr>
        <w:lastRenderedPageBreak/>
        <w:t>3.3.</w:t>
      </w:r>
      <w:r>
        <w:rPr>
          <w:noProof/>
        </w:rPr>
        <w:tab/>
        <w:t>Nombre d’avis et d’actes d’exécution</w:t>
      </w:r>
    </w:p>
    <w:p>
      <w:pPr>
        <w:spacing w:before="240" w:after="240"/>
        <w:jc w:val="both"/>
        <w:rPr>
          <w:rFonts w:ascii="Times New Roman" w:hAnsi="Times New Roman"/>
          <w:noProof/>
          <w:sz w:val="24"/>
          <w:szCs w:val="24"/>
        </w:rPr>
      </w:pPr>
      <w:r>
        <w:rPr>
          <w:rFonts w:ascii="Times New Roman" w:hAnsi="Times New Roman"/>
          <w:noProof/>
          <w:sz w:val="24"/>
        </w:rPr>
        <w:t>Le présent rapport donne aussi une indication des réalisations spécifiques des comités, qui constituent un autre indicateur important de leur niveau d’activité.</w:t>
      </w:r>
    </w:p>
    <w:p>
      <w:pPr>
        <w:keepNext/>
        <w:spacing w:after="120" w:line="240" w:lineRule="auto"/>
        <w:rPr>
          <w:rFonts w:ascii="Times New Roman" w:hAnsi="Times New Roman"/>
          <w:b/>
          <w:bCs/>
          <w:smallCaps/>
          <w:noProof/>
          <w:sz w:val="24"/>
          <w:szCs w:val="24"/>
          <w:u w:val="single"/>
        </w:rPr>
      </w:pPr>
      <w:r>
        <w:rPr>
          <w:rFonts w:ascii="Times New Roman" w:hAnsi="Times New Roman"/>
          <w:b/>
          <w:noProof/>
          <w:sz w:val="24"/>
          <w:u w:val="single"/>
        </w:rPr>
        <w:t>TABLEAU IV — Nombre d’avis et d’actes d’exécution adoptés</w:t>
      </w:r>
      <w:r>
        <w:rPr>
          <w:rStyle w:val="FootnoteReference"/>
          <w:rFonts w:ascii="Times New Roman" w:hAnsi="Times New Roman"/>
          <w:b/>
          <w:bCs/>
          <w:smallCaps/>
          <w:noProof/>
          <w:sz w:val="24"/>
          <w:szCs w:val="24"/>
          <w:u w:val="single"/>
        </w:rPr>
        <w:footnoteReference w:id="21"/>
      </w:r>
    </w:p>
    <w:tbl>
      <w:tblPr>
        <w:tblW w:w="4885" w:type="pct"/>
        <w:tblInd w:w="108" w:type="dxa"/>
        <w:tblLook w:val="0200" w:firstRow="0" w:lastRow="0" w:firstColumn="0" w:lastColumn="0" w:noHBand="1" w:noVBand="0"/>
      </w:tblPr>
      <w:tblGrid>
        <w:gridCol w:w="2181"/>
        <w:gridCol w:w="1256"/>
        <w:gridCol w:w="1193"/>
        <w:gridCol w:w="1205"/>
        <w:gridCol w:w="1263"/>
        <w:gridCol w:w="1964"/>
      </w:tblGrid>
      <w:tr>
        <w:trPr>
          <w:trHeight w:val="525"/>
        </w:trPr>
        <w:tc>
          <w:tcPr>
            <w:tcW w:w="1166"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Service de la Commission</w:t>
            </w:r>
          </w:p>
        </w:tc>
        <w:tc>
          <w:tcPr>
            <w:tcW w:w="1367"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Avis</w:t>
            </w:r>
            <w:r>
              <w:rPr>
                <w:rStyle w:val="FootnoteReference"/>
                <w:rFonts w:ascii="Times New Roman" w:hAnsi="Times New Roman"/>
                <w:b/>
                <w:bCs/>
                <w:noProof/>
                <w:color w:val="000000"/>
                <w:sz w:val="18"/>
                <w:szCs w:val="18"/>
                <w:u w:val="single"/>
                <w:lang w:eastAsia="en-GB"/>
              </w:rPr>
              <w:footnoteReference w:id="22"/>
            </w:r>
          </w:p>
        </w:tc>
        <w:tc>
          <w:tcPr>
            <w:tcW w:w="1376"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Actes d’exécution</w:t>
            </w:r>
            <w:r>
              <w:rPr>
                <w:noProof/>
              </w:rPr>
              <w:t xml:space="preserve"> </w:t>
            </w:r>
            <w:r>
              <w:rPr>
                <w:noProof/>
              </w:rPr>
              <w:br/>
            </w:r>
            <w:r>
              <w:rPr>
                <w:rFonts w:ascii="Times New Roman" w:hAnsi="Times New Roman"/>
                <w:b/>
                <w:noProof/>
                <w:color w:val="000000"/>
                <w:sz w:val="18"/>
                <w:u w:val="single"/>
              </w:rPr>
              <w:t>adoptés</w:t>
            </w:r>
          </w:p>
        </w:tc>
        <w:tc>
          <w:tcPr>
            <w:tcW w:w="109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 xml:space="preserve">Résolutions du Parlement/décisions du Conseil </w:t>
            </w:r>
            <w:r>
              <w:rPr>
                <w:noProof/>
              </w:rPr>
              <w:t xml:space="preserve"> </w:t>
            </w:r>
            <w:r>
              <w:rPr>
                <w:noProof/>
              </w:rPr>
              <w:br/>
            </w:r>
            <w:r>
              <w:rPr>
                <w:rFonts w:ascii="Times New Roman" w:hAnsi="Times New Roman"/>
                <w:b/>
                <w:noProof/>
                <w:color w:val="000000"/>
                <w:sz w:val="18"/>
                <w:u w:val="single"/>
              </w:rPr>
              <w:t>(article 11)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u w:val="single"/>
                <w:lang w:eastAsia="en-GB"/>
              </w:rPr>
            </w:pP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2024</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2025</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2025</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AGRI</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86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70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76</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72</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BUDG</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CLIMA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17</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18</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CNECT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59</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43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58</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COMP</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5</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DEFIS</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DIGIT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EAC</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17</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ECFIN</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42</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32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41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ECHO</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5</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EMPL</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ENER</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24</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19</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ENEST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27</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26</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ENV</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17</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17</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22</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ESTAT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12</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FISMA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13</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FPI</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GROW</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127</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82</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83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103</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highlight w:val="yellow"/>
              </w:rPr>
            </w:pPr>
            <w:r>
              <w:rPr>
                <w:rFonts w:ascii="Times New Roman" w:hAnsi="Times New Roman"/>
                <w:b/>
                <w:noProof/>
                <w:color w:val="000000"/>
                <w:sz w:val="18"/>
              </w:rPr>
              <w:t>HERA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HOME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54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40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INTPA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103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96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103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93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JUST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MARE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7</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MENA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21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MOVE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46</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36</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NEAR</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62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color w:val="000000"/>
                <w:sz w:val="18"/>
                <w:szCs w:val="18"/>
              </w:rPr>
            </w:pPr>
            <w:r>
              <w:rPr>
                <w:rFonts w:ascii="Times New Roman" w:hAnsi="Times New Roman"/>
                <w:b/>
                <w:noProof/>
                <w:color w:val="000000"/>
                <w:sz w:val="18"/>
              </w:rPr>
              <w:t>OLAF</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Cs/>
                <w:noProof/>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REGIO</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RTD</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221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160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209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129</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8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SANTE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1076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1176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969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1133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SG</w:t>
            </w:r>
            <w:r>
              <w:rPr>
                <w:rFonts w:ascii="Times New Roman" w:hAnsi="Times New Roman"/>
                <w:noProof/>
                <w:color w:val="000000"/>
                <w:sz w:val="18"/>
              </w:rPr>
              <w: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TAXUD</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44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39</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TRADE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82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119</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79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103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70"/>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color w:val="000000"/>
                <w:sz w:val="18"/>
                <w:szCs w:val="18"/>
              </w:rPr>
            </w:pPr>
            <w:r>
              <w:rPr>
                <w:rFonts w:ascii="Times New Roman" w:hAnsi="Times New Roman"/>
                <w:b/>
                <w:noProof/>
                <w:color w:val="000000"/>
                <w:sz w:val="18"/>
              </w:rPr>
              <w:t>TOTAL:</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2129</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2163</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b/>
                <w:bCs/>
                <w:noProof/>
                <w:sz w:val="18"/>
                <w:szCs w:val="18"/>
              </w:rPr>
            </w:pPr>
            <w:r>
              <w:rPr>
                <w:rFonts w:ascii="Times New Roman" w:hAnsi="Times New Roman"/>
                <w:b/>
                <w:noProof/>
                <w:sz w:val="18"/>
              </w:rPr>
              <w:t>1938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b/>
                <w:bCs/>
                <w:noProof/>
                <w:sz w:val="18"/>
                <w:szCs w:val="18"/>
              </w:rPr>
            </w:pPr>
            <w:r>
              <w:rPr>
                <w:rFonts w:ascii="Times New Roman" w:hAnsi="Times New Roman"/>
                <w:b/>
                <w:noProof/>
                <w:sz w:val="18"/>
              </w:rPr>
              <w:t>2044</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13</w:t>
            </w:r>
          </w:p>
        </w:tc>
      </w:tr>
    </w:tbl>
    <w:p>
      <w:pPr>
        <w:spacing w:before="120" w:after="0" w:line="240" w:lineRule="auto"/>
        <w:ind w:right="105"/>
        <w:jc w:val="both"/>
        <w:rPr>
          <w:rFonts w:ascii="Times New Roman" w:hAnsi="Times New Roman"/>
          <w:i/>
          <w:noProof/>
          <w:sz w:val="18"/>
          <w:szCs w:val="18"/>
        </w:rPr>
      </w:pPr>
      <w:r>
        <w:rPr>
          <w:rFonts w:ascii="Times New Roman" w:hAnsi="Times New Roman"/>
          <w:i/>
          <w:noProof/>
          <w:sz w:val="18"/>
        </w:rPr>
        <w:t>*Y compris les avis émis par le comité d’appel. Afin d’éviter qu’ils ne soient comptabilisés deux fois, les actes d’exécution adoptés en passant par le comité d’appel sont comptabilisés au regard des comités de premier niveau dans les différents domaines d’action. Voir également la section 3.4 et le tableau V.</w:t>
      </w:r>
    </w:p>
    <w:p>
      <w:pPr>
        <w:spacing w:after="160"/>
        <w:jc w:val="both"/>
        <w:rPr>
          <w:rFonts w:ascii="Times New Roman" w:hAnsi="Times New Roman"/>
          <w:noProof/>
          <w:sz w:val="24"/>
          <w:szCs w:val="24"/>
        </w:rPr>
      </w:pPr>
      <w:r>
        <w:rPr>
          <w:rFonts w:ascii="Times New Roman" w:hAnsi="Times New Roman"/>
          <w:noProof/>
          <w:sz w:val="24"/>
        </w:rPr>
        <w:lastRenderedPageBreak/>
        <w:t>Le tableau IV fournit des chiffres globaux concernant les avis formels émis par les comités et les actes d’exécution correspondants adoptés par la Commission</w:t>
      </w:r>
      <w:r>
        <w:rPr>
          <w:rStyle w:val="FootnoteReference"/>
          <w:rFonts w:ascii="Times New Roman" w:hAnsi="Times New Roman"/>
          <w:noProof/>
          <w:sz w:val="24"/>
          <w:szCs w:val="24"/>
        </w:rPr>
        <w:footnoteReference w:id="23"/>
      </w:r>
      <w:r>
        <w:rPr>
          <w:rFonts w:ascii="Times New Roman" w:hAnsi="Times New Roman"/>
          <w:noProof/>
          <w:sz w:val="24"/>
        </w:rPr>
        <w:t>. Il indique également les cas dans lesquels le Parlement européen ou le Conseil a exercé le droit de regard qui lui est conféré par l’article 11 du règlement de comitologie.</w:t>
      </w:r>
    </w:p>
    <w:p>
      <w:pPr>
        <w:spacing w:after="160"/>
        <w:jc w:val="both"/>
        <w:rPr>
          <w:rFonts w:ascii="Times New Roman" w:hAnsi="Times New Roman"/>
          <w:noProof/>
          <w:sz w:val="24"/>
          <w:szCs w:val="24"/>
        </w:rPr>
      </w:pPr>
      <w:r>
        <w:rPr>
          <w:rFonts w:ascii="Times New Roman" w:hAnsi="Times New Roman"/>
          <w:noProof/>
          <w:sz w:val="24"/>
        </w:rPr>
        <w:t>Les comités ont rendu 2 163 avis en 2025</w:t>
      </w:r>
      <w:r>
        <w:rPr>
          <w:rStyle w:val="FootnoteReference"/>
          <w:rFonts w:ascii="Times New Roman" w:hAnsi="Times New Roman"/>
          <w:noProof/>
          <w:sz w:val="24"/>
          <w:szCs w:val="24"/>
        </w:rPr>
        <w:footnoteReference w:id="24"/>
      </w:r>
      <w:r>
        <w:rPr>
          <w:rFonts w:ascii="Times New Roman" w:hAnsi="Times New Roman"/>
          <w:noProof/>
          <w:sz w:val="24"/>
        </w:rPr>
        <w:t>, un chiffre en légère augmentation par rapport à 2024 (2 129). De même, le nombre de 2 044 actes d’exécution adoptés</w:t>
      </w:r>
      <w:r>
        <w:rPr>
          <w:rStyle w:val="FootnoteReference"/>
          <w:rFonts w:ascii="Times New Roman" w:hAnsi="Times New Roman"/>
          <w:noProof/>
          <w:sz w:val="24"/>
          <w:szCs w:val="24"/>
        </w:rPr>
        <w:footnoteReference w:id="25"/>
      </w:r>
      <w:r>
        <w:rPr>
          <w:rFonts w:ascii="Times New Roman" w:hAnsi="Times New Roman"/>
          <w:noProof/>
          <w:sz w:val="24"/>
        </w:rPr>
        <w:t xml:space="preserve"> à l’issue d’une procédure de comité a été supérieur à celui de l’année précédente (1 938).</w:t>
      </w:r>
    </w:p>
    <w:p>
      <w:pPr>
        <w:jc w:val="both"/>
        <w:rPr>
          <w:rFonts w:ascii="Times New Roman" w:hAnsi="Times New Roman"/>
          <w:noProof/>
          <w:sz w:val="24"/>
          <w:szCs w:val="24"/>
        </w:rPr>
      </w:pPr>
      <w:r>
        <w:rPr>
          <w:rFonts w:ascii="Times New Roman" w:hAnsi="Times New Roman"/>
          <w:noProof/>
          <w:sz w:val="24"/>
        </w:rPr>
        <w:t>Lorsqu’un acte de base est adopté selon la procédure législative ordinaire, le Parlement européen et le Conseil disposent d’un droit de regard conféré par l’article 11 du règlement de comitologie, en vertu duquel chacun d’entre eux peut indiquer qu’un projet d’acte d’exécution excède les compétences d’exécution prévues dans l’acte de base. En 2025, le Parlement européen a adopté treize résolutions sur la base de l’article 11 du règlement de comitologie. Cette même année, le Conseil n’a pas exercé son droit en vertu de cette disposition.</w:t>
      </w:r>
    </w:p>
    <w:p>
      <w:pPr>
        <w:pStyle w:val="ManualHeading2"/>
        <w:spacing w:before="360" w:after="200"/>
        <w:ind w:left="851" w:hanging="851"/>
        <w:rPr>
          <w:noProof/>
        </w:rPr>
      </w:pPr>
      <w:r>
        <w:rPr>
          <w:noProof/>
        </w:rPr>
        <w:t>3.4.</w:t>
      </w:r>
      <w:r>
        <w:rPr>
          <w:noProof/>
        </w:rPr>
        <w:tab/>
        <w:t>Réunions du comité d’appel</w:t>
      </w:r>
    </w:p>
    <w:p>
      <w:pPr>
        <w:jc w:val="both"/>
        <w:rPr>
          <w:rFonts w:ascii="Times New Roman" w:hAnsi="Times New Roman"/>
          <w:noProof/>
          <w:sz w:val="24"/>
          <w:szCs w:val="24"/>
        </w:rPr>
      </w:pPr>
      <w:r>
        <w:rPr>
          <w:rFonts w:ascii="Times New Roman" w:hAnsi="Times New Roman"/>
          <w:noProof/>
          <w:sz w:val="24"/>
        </w:rPr>
        <w:t>Comme indiqué dans le tableau V ci-dessous, le comité d’appel s’est réuni 6 fois au cours de l’année 2025 et a examiné 11 projets d’actes d’exécution qui lui ont été soumis par la Commission. Votant lors des réunions dans tous les cas et n’ayant pas recours à des procédures écrites, il n’a émis d’avis dans aucun des cas («absence d’avis»)</w:t>
      </w:r>
      <w:r>
        <w:rPr>
          <w:rStyle w:val="FootnoteReference"/>
          <w:rFonts w:ascii="Times New Roman" w:hAnsi="Times New Roman"/>
          <w:noProof/>
          <w:sz w:val="24"/>
          <w:szCs w:val="24"/>
        </w:rPr>
        <w:footnoteReference w:id="26"/>
      </w:r>
      <w:r>
        <w:rPr>
          <w:rFonts w:ascii="Times New Roman" w:hAnsi="Times New Roman"/>
          <w:noProof/>
          <w:sz w:val="24"/>
        </w:rPr>
        <w:t>. À la suite des votes respectifs du comité d’appel, la Commission a adopté 10 des actes d’exécution concernés (dont deux en 2026), tandis qu’un projet d’acte n’a finalement pas été adopté, la demande d’autorisation de mise sur le marché sous-jacente ayant été retirée.</w:t>
      </w:r>
    </w:p>
    <w:p>
      <w:pPr>
        <w:keepNext/>
        <w:spacing w:line="240" w:lineRule="auto"/>
        <w:rPr>
          <w:rFonts w:ascii="Times New Roman" w:hAnsi="Times New Roman"/>
          <w:b/>
          <w:smallCaps/>
          <w:noProof/>
          <w:sz w:val="24"/>
          <w:szCs w:val="24"/>
          <w:u w:val="single"/>
        </w:rPr>
      </w:pPr>
      <w:r>
        <w:rPr>
          <w:rFonts w:ascii="Times New Roman" w:hAnsi="Times New Roman"/>
          <w:b/>
          <w:noProof/>
          <w:sz w:val="24"/>
          <w:u w:val="single"/>
        </w:rPr>
        <w:t>TABLEAU V — Activité du comité d’appel</w:t>
      </w:r>
    </w:p>
    <w:tbl>
      <w:tblPr>
        <w:tblW w:w="4942" w:type="pct"/>
        <w:tblInd w:w="108" w:type="dxa"/>
        <w:tblLook w:val="0200" w:firstRow="0" w:lastRow="0" w:firstColumn="0" w:lastColumn="0" w:noHBand="1" w:noVBand="0"/>
      </w:tblPr>
      <w:tblGrid>
        <w:gridCol w:w="2181"/>
        <w:gridCol w:w="1641"/>
        <w:gridCol w:w="1458"/>
        <w:gridCol w:w="1268"/>
        <w:gridCol w:w="982"/>
        <w:gridCol w:w="976"/>
        <w:gridCol w:w="661"/>
      </w:tblGrid>
      <w:tr>
        <w:trPr>
          <w:trHeight w:val="931"/>
        </w:trPr>
        <w:tc>
          <w:tcPr>
            <w:tcW w:w="1150"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Service de la Commission</w:t>
            </w:r>
          </w:p>
        </w:tc>
        <w:tc>
          <w:tcPr>
            <w:tcW w:w="1704"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Nombre de réunions/consultations écrites du comité d’appel</w:t>
            </w:r>
          </w:p>
        </w:tc>
        <w:tc>
          <w:tcPr>
            <w:tcW w:w="1240"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Nombre d’avis</w:t>
            </w:r>
            <w:r>
              <w:rPr>
                <w:rStyle w:val="FootnoteReference"/>
                <w:rFonts w:ascii="Times New Roman" w:hAnsi="Times New Roman"/>
                <w:b/>
                <w:bCs/>
                <w:noProof/>
                <w:color w:val="000000"/>
                <w:sz w:val="18"/>
                <w:szCs w:val="18"/>
                <w:lang w:eastAsia="en-GB"/>
              </w:rPr>
              <w:footnoteReference w:id="27"/>
            </w:r>
            <w:r>
              <w:rPr>
                <w:rFonts w:ascii="Times New Roman" w:hAnsi="Times New Roman"/>
                <w:b/>
                <w:noProof/>
                <w:color w:val="000000"/>
                <w:sz w:val="18"/>
              </w:rPr>
              <w:t xml:space="preserve"> du comité d’appel</w:t>
            </w:r>
          </w:p>
        </w:tc>
        <w:tc>
          <w:tcPr>
            <w:tcW w:w="906"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Nombre d’actes adoptés après un avis du comité d’appel</w:t>
            </w:r>
          </w:p>
        </w:tc>
      </w:tr>
      <w:tr>
        <w:trPr>
          <w:trHeight w:val="24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r>
      <w:tr>
        <w:trPr>
          <w:trHeight w:val="24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MOVE</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42"/>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SANTE</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8</w:t>
            </w:r>
          </w:p>
        </w:tc>
      </w:tr>
      <w:tr>
        <w:trPr>
          <w:trHeight w:val="30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rPr>
            </w:pPr>
            <w:r>
              <w:rPr>
                <w:rFonts w:ascii="Times New Roman" w:hAnsi="Times New Roman"/>
                <w:b/>
                <w:noProof/>
                <w:color w:val="000000"/>
                <w:sz w:val="18"/>
              </w:rPr>
              <w:t>TOTAL:</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5/0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6/0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11</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11</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11</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8</w:t>
            </w:r>
          </w:p>
        </w:tc>
      </w:tr>
    </w:tbl>
    <w:p>
      <w:pPr>
        <w:spacing w:after="160" w:line="259" w:lineRule="auto"/>
        <w:rPr>
          <w:rFonts w:ascii="Times New Roman" w:eastAsia="Times New Roman" w:hAnsi="Times New Roman"/>
          <w:b/>
          <w:noProof/>
          <w:sz w:val="24"/>
          <w:szCs w:val="24"/>
        </w:rPr>
      </w:pPr>
      <w:r>
        <w:rPr>
          <w:noProof/>
        </w:rPr>
        <w:br w:type="page"/>
      </w:r>
    </w:p>
    <w:p>
      <w:pPr>
        <w:pStyle w:val="ManualHeading2"/>
        <w:spacing w:before="360" w:after="200"/>
        <w:ind w:left="851" w:hanging="851"/>
        <w:rPr>
          <w:noProof/>
        </w:rPr>
      </w:pPr>
      <w:r>
        <w:rPr>
          <w:noProof/>
        </w:rPr>
        <w:lastRenderedPageBreak/>
        <w:t>3.5.</w:t>
      </w:r>
      <w:r>
        <w:rPr>
          <w:noProof/>
        </w:rPr>
        <w:tab/>
        <w:t xml:space="preserve">Recours à la procédure de réglementation avec contrôle </w:t>
      </w:r>
    </w:p>
    <w:p>
      <w:pPr>
        <w:spacing w:after="120"/>
        <w:jc w:val="both"/>
        <w:rPr>
          <w:rFonts w:ascii="Times New Roman" w:hAnsi="Times New Roman"/>
          <w:noProof/>
          <w:sz w:val="24"/>
          <w:szCs w:val="24"/>
        </w:rPr>
      </w:pPr>
      <w:r>
        <w:rPr>
          <w:rFonts w:ascii="Times New Roman" w:hAnsi="Times New Roman"/>
          <w:noProof/>
          <w:sz w:val="24"/>
        </w:rPr>
        <w:t>Le règlement de comitologie a maintenu les effets de la procédure de réglementation avec contrôle aux fins des actes législatifs de base existants qui y font référence</w:t>
      </w:r>
      <w:r>
        <w:rPr>
          <w:rStyle w:val="FootnoteReference"/>
          <w:rFonts w:ascii="Times New Roman" w:hAnsi="Times New Roman"/>
          <w:noProof/>
          <w:sz w:val="24"/>
          <w:szCs w:val="24"/>
        </w:rPr>
        <w:footnoteReference w:id="28"/>
      </w:r>
      <w:r>
        <w:rPr>
          <w:rFonts w:ascii="Times New Roman" w:hAnsi="Times New Roman"/>
          <w:noProof/>
          <w:sz w:val="24"/>
        </w:rPr>
        <w:t>. Cette procédure ne peut plus être introduite dans la nouvelle législation, mais elle apparaît encore dans plusieurs actes législatifs de base existants et continuera de s’appliquer en vertu de ces actes jusqu’à ce que les habilitations correspondantes soient alignées sur le traité sur le fonctionnement de l’Union européenne (TFUE) et soient éventuellement converties en habilitations à adopter soit des actes délégués, soit des actes d’exécution.</w:t>
      </w:r>
    </w:p>
    <w:p>
      <w:pPr>
        <w:jc w:val="both"/>
        <w:rPr>
          <w:rFonts w:ascii="Times New Roman" w:hAnsi="Times New Roman"/>
          <w:noProof/>
          <w:sz w:val="24"/>
          <w:szCs w:val="24"/>
        </w:rPr>
      </w:pPr>
      <w:r>
        <w:rPr>
          <w:rFonts w:ascii="Times New Roman" w:hAnsi="Times New Roman"/>
          <w:noProof/>
          <w:sz w:val="24"/>
        </w:rPr>
        <w:t xml:space="preserve">En 2025, </w:t>
      </w:r>
      <w:r>
        <w:rPr>
          <w:rFonts w:ascii="Times New Roman" w:hAnsi="Times New Roman"/>
          <w:b/>
          <w:noProof/>
          <w:sz w:val="24"/>
        </w:rPr>
        <w:t>53 mesures</w:t>
      </w:r>
      <w:r>
        <w:rPr>
          <w:rFonts w:ascii="Times New Roman" w:hAnsi="Times New Roman"/>
          <w:noProof/>
          <w:sz w:val="24"/>
        </w:rPr>
        <w:t xml:space="preserve"> ont été adoptées selon la procédure de réglementation avec contrôle (voir tableau VI), soit moins qu’en 2024 (67 mesures). Dans le cadre de la procédure de réglementation avec contrôle, les colégislateurs n’ont pas utilisé leur droit d’opposition en 2025 (à titre de comparaison, ils l’ont fait à deux reprises en 2024).</w:t>
      </w:r>
    </w:p>
    <w:p>
      <w:pPr>
        <w:keepNext/>
        <w:spacing w:after="120" w:line="240" w:lineRule="auto"/>
        <w:ind w:right="349"/>
        <w:jc w:val="both"/>
        <w:rPr>
          <w:rFonts w:ascii="Times New Roman" w:hAnsi="Times New Roman"/>
          <w:b/>
          <w:smallCaps/>
          <w:noProof/>
          <w:sz w:val="24"/>
          <w:szCs w:val="24"/>
          <w:u w:val="single"/>
        </w:rPr>
      </w:pPr>
      <w:r>
        <w:rPr>
          <w:rFonts w:ascii="Times New Roman" w:hAnsi="Times New Roman"/>
          <w:b/>
          <w:noProof/>
          <w:sz w:val="24"/>
          <w:u w:val="single"/>
        </w:rPr>
        <w:t>TABLEAU VI — Nombre de mesures adoptées selon la procédure de réglementation avec contrôle</w:t>
      </w:r>
      <w:r>
        <w:rPr>
          <w:rFonts w:ascii="Times New Roman" w:hAnsi="Times New Roman"/>
          <w:b/>
          <w:smallCaps/>
          <w:noProof/>
          <w:sz w:val="24"/>
          <w:u w:val="single"/>
        </w:rPr>
        <w:t xml:space="preserve"> </w:t>
      </w:r>
    </w:p>
    <w:tbl>
      <w:tblPr>
        <w:tblStyle w:val="TableGrid"/>
        <w:tblW w:w="0" w:type="auto"/>
        <w:tblInd w:w="0" w:type="dxa"/>
        <w:tblLook w:val="04A0" w:firstRow="1" w:lastRow="0" w:firstColumn="1" w:lastColumn="0" w:noHBand="0" w:noVBand="1"/>
      </w:tblPr>
      <w:tblGrid>
        <w:gridCol w:w="1555"/>
        <w:gridCol w:w="2409"/>
        <w:gridCol w:w="2694"/>
        <w:gridCol w:w="2551"/>
      </w:tblGrid>
      <w:tr>
        <w:trPr>
          <w:trHeight w:val="926"/>
        </w:trPr>
        <w:tc>
          <w:tcPr>
            <w:tcW w:w="1555" w:type="dxa"/>
            <w:tcBorders>
              <w:top w:val="single" w:sz="4" w:space="0" w:color="auto"/>
              <w:left w:val="single" w:sz="4" w:space="0" w:color="auto"/>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rPr>
              <w:t>Service de la Commission</w:t>
            </w:r>
          </w:p>
        </w:tc>
        <w:tc>
          <w:tcPr>
            <w:tcW w:w="2409" w:type="dxa"/>
            <w:tcBorders>
              <w:top w:val="single" w:sz="4" w:space="0" w:color="auto"/>
              <w:left w:val="nil"/>
              <w:bottom w:val="single" w:sz="4" w:space="0" w:color="auto"/>
              <w:right w:val="single" w:sz="4" w:space="0" w:color="auto"/>
            </w:tcBorders>
            <w:shd w:val="clear" w:color="auto" w:fill="FFFF99"/>
          </w:tcPr>
          <w:p>
            <w:pPr>
              <w:jc w:val="center"/>
              <w:rPr>
                <w:rFonts w:ascii="Times New Roman" w:hAnsi="Times New Roman"/>
                <w:b/>
                <w:noProof/>
                <w:color w:val="000000"/>
                <w:sz w:val="18"/>
                <w:szCs w:val="18"/>
              </w:rPr>
            </w:pPr>
            <w:r>
              <w:rPr>
                <w:rFonts w:ascii="Times New Roman" w:hAnsi="Times New Roman"/>
                <w:b/>
                <w:noProof/>
                <w:color w:val="000000"/>
                <w:sz w:val="18"/>
              </w:rPr>
              <w:t>Procédure de réglementation avec contrôle – mesures</w:t>
            </w:r>
            <w:r>
              <w:rPr>
                <w:noProof/>
              </w:rPr>
              <w:t xml:space="preserve"> </w:t>
            </w:r>
            <w:r>
              <w:rPr>
                <w:noProof/>
              </w:rPr>
              <w:br/>
            </w:r>
            <w:r>
              <w:rPr>
                <w:rFonts w:ascii="Times New Roman" w:hAnsi="Times New Roman"/>
                <w:b/>
                <w:noProof/>
                <w:color w:val="000000"/>
                <w:sz w:val="18"/>
              </w:rPr>
              <w:t>adoptées</w:t>
            </w:r>
            <w:r>
              <w:rPr>
                <w:rStyle w:val="FootnoteReference"/>
                <w:rFonts w:ascii="Times New Roman" w:hAnsi="Times New Roman"/>
                <w:b/>
                <w:noProof/>
                <w:color w:val="000000"/>
                <w:sz w:val="18"/>
                <w:szCs w:val="18"/>
              </w:rPr>
              <w:footnoteReference w:id="29"/>
            </w:r>
          </w:p>
        </w:tc>
        <w:tc>
          <w:tcPr>
            <w:tcW w:w="2694" w:type="dxa"/>
            <w:tcBorders>
              <w:top w:val="single" w:sz="4" w:space="0" w:color="auto"/>
              <w:left w:val="nil"/>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rPr>
              <w:t>Opposition du Parlement européen à l’adoption de projets de mesures</w:t>
            </w:r>
          </w:p>
        </w:tc>
        <w:tc>
          <w:tcPr>
            <w:tcW w:w="2551" w:type="dxa"/>
            <w:tcBorders>
              <w:top w:val="single" w:sz="4" w:space="0" w:color="auto"/>
              <w:left w:val="nil"/>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rPr>
              <w:t>Opposition du Conseil à l’adoption de projets de mesures</w:t>
            </w:r>
          </w:p>
        </w:tc>
      </w:tr>
      <w:tr>
        <w:trPr>
          <w:trHeight w:val="216"/>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AGRI</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24"/>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BUDG</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18"/>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CLIMA</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12"/>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CNECT</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COMP</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DEFIS</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EAC</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ECHO</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ECON</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EMPL</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5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ENER</w:t>
            </w:r>
          </w:p>
        </w:tc>
        <w:tc>
          <w:tcPr>
            <w:tcW w:w="2409"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5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ENEST</w:t>
            </w:r>
          </w:p>
        </w:tc>
        <w:tc>
          <w:tcPr>
            <w:tcW w:w="2409"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ENV</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ESTAT</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FISMA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FPI</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GROW</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HERA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HOME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INTPA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JUST</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MARE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MOVE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06"/>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MENA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NEAR</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OLAF</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REGIO</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19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RTD</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SANTE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35</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SG</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TAXUD</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lastRenderedPageBreak/>
              <w:t>TRADE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TOTAL</w:t>
            </w:r>
          </w:p>
        </w:tc>
        <w:tc>
          <w:tcPr>
            <w:tcW w:w="2409"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rPr>
              <w:t>53</w:t>
            </w:r>
          </w:p>
        </w:tc>
        <w:tc>
          <w:tcPr>
            <w:tcW w:w="2694"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rPr>
              <w:t>0</w:t>
            </w:r>
          </w:p>
        </w:tc>
      </w:tr>
    </w:tbl>
    <w:p>
      <w:pPr>
        <w:pStyle w:val="ManualHeading1"/>
        <w:spacing w:before="240" w:after="240"/>
        <w:ind w:left="851" w:hanging="851"/>
        <w:rPr>
          <w:noProof/>
        </w:rPr>
      </w:pPr>
      <w:r>
        <w:rPr>
          <w:noProof/>
        </w:rPr>
        <w:t>4.</w:t>
      </w:r>
      <w:r>
        <w:rPr>
          <w:noProof/>
        </w:rPr>
        <w:tab/>
        <w:t>Conclusion</w:t>
      </w:r>
    </w:p>
    <w:p>
      <w:pPr>
        <w:jc w:val="both"/>
        <w:rPr>
          <w:rFonts w:ascii="Times New Roman" w:hAnsi="Times New Roman"/>
          <w:noProof/>
          <w:sz w:val="24"/>
          <w:szCs w:val="24"/>
        </w:rPr>
      </w:pPr>
      <w:r>
        <w:rPr>
          <w:rFonts w:ascii="Times New Roman" w:hAnsi="Times New Roman"/>
          <w:noProof/>
          <w:sz w:val="24"/>
        </w:rPr>
        <w:t>Les comités ont continué de travailler, en 2025, à un niveau d’intensité similaire à celui de l’année précédente. On a dénombré 370 comités, qui ont tenu 786 réunions, mené 1 122 procédures écrites et rendu 2 163 avis, ce qui a conduit à l’adoption de 2 044 actes d’exécution, ainsi que de 53 mesures dans le cadre de la procédure de réglementation avec contrôle. En permettant aux États membres d’exercer leurs pouvoirs de contrôle conformément au règlement de comitologie, les comités apportent une aide précieuse à la Commission dans l’exercice des compétences d’exécution qui lui sont conférées par les colégislateurs.</w:t>
      </w:r>
    </w:p>
    <w:p>
      <w:pPr>
        <w:jc w:val="both"/>
        <w:rPr>
          <w:noProof/>
        </w:rPr>
      </w:pPr>
      <w:r>
        <w:rPr>
          <w:rFonts w:ascii="Times New Roman" w:hAnsi="Times New Roman"/>
          <w:noProof/>
          <w:sz w:val="24"/>
        </w:rPr>
        <w:t>La Commission invite le Parlement européen et le Conseil à prendre acte du présent rapport.</w:t>
      </w:r>
    </w:p>
    <w:p>
      <w:pPr>
        <w:jc w:val="both"/>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code="9"/>
      <w:pgMar w:top="1134" w:right="1361" w:bottom="1134" w:left="126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731282"/>
      <w:docPartObj>
        <w:docPartGallery w:val="Page Numbers (Bottom of Page)"/>
        <w:docPartUnique/>
      </w:docPartObj>
    </w:sdtPr>
    <w:sdtEndPr>
      <w:rPr>
        <w:sz w:val="32"/>
        <w:szCs w:val="32"/>
      </w:rPr>
    </w:sdtEndPr>
    <w:sdtContent>
      <w:p>
        <w:pPr>
          <w:pStyle w:val="Footer"/>
          <w:jc w:val="center"/>
          <w:rPr>
            <w:sz w:val="32"/>
            <w:szCs w:val="32"/>
          </w:rPr>
        </w:pPr>
        <w:r>
          <w:fldChar w:fldCharType="begin"/>
        </w:r>
        <w:r>
          <w:instrText xml:space="preserve"> PAGE   \* MERGEFORMAT </w:instrText>
        </w:r>
        <w:r>
          <w:fldChar w:fldCharType="separate"/>
        </w:r>
        <w: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360" w:hanging="360"/>
        <w:rPr>
          <w:sz w:val="18"/>
          <w:szCs w:val="18"/>
        </w:rPr>
      </w:pPr>
      <w:r>
        <w:rPr>
          <w:rStyle w:val="FootnoteReference"/>
        </w:rPr>
        <w:footnoteRef/>
      </w:r>
      <w:r>
        <w:tab/>
      </w:r>
      <w:r>
        <w:rPr>
          <w:sz w:val="18"/>
        </w:rPr>
        <w:t>JO L 55 du 28.2.2011, p. 13.</w:t>
      </w:r>
    </w:p>
  </w:footnote>
  <w:footnote w:id="2">
    <w:p>
      <w:pPr>
        <w:pStyle w:val="FootnoteText"/>
        <w:tabs>
          <w:tab w:val="left" w:pos="426"/>
        </w:tabs>
        <w:ind w:left="360" w:hanging="360"/>
        <w:rPr>
          <w:sz w:val="18"/>
          <w:szCs w:val="18"/>
        </w:rPr>
      </w:pPr>
      <w:r>
        <w:rPr>
          <w:rStyle w:val="FootnoteReference"/>
          <w:sz w:val="18"/>
          <w:szCs w:val="18"/>
        </w:rPr>
        <w:footnoteRef/>
      </w:r>
      <w:r>
        <w:rPr>
          <w:sz w:val="18"/>
        </w:rPr>
        <w:t xml:space="preserve"> </w:t>
      </w:r>
      <w:r>
        <w:tab/>
      </w:r>
      <w:r>
        <w:rPr>
          <w:sz w:val="18"/>
        </w:rPr>
        <w:t>Relevant des services de la Commission chargés des domaines d’action correspondants.</w:t>
      </w:r>
    </w:p>
  </w:footnote>
  <w:footnote w:id="3">
    <w:p>
      <w:pPr>
        <w:pStyle w:val="FootnoteText"/>
        <w:ind w:left="360" w:hanging="360"/>
        <w:rPr>
          <w:sz w:val="18"/>
          <w:szCs w:val="18"/>
        </w:rPr>
      </w:pPr>
      <w:r>
        <w:rPr>
          <w:rStyle w:val="FootnoteReference"/>
        </w:rPr>
        <w:footnoteRef/>
      </w:r>
      <w:r>
        <w:t xml:space="preserve"> </w:t>
      </w:r>
      <w:r>
        <w:tab/>
      </w:r>
      <w:r>
        <w:rPr>
          <w:sz w:val="18"/>
        </w:rPr>
        <w:t>Pour de plus amples informations sur le recours à cette procédure, voir la section 3.5.</w:t>
      </w:r>
    </w:p>
  </w:footnote>
  <w:footnote w:id="4">
    <w:p>
      <w:pPr>
        <w:pStyle w:val="FootnoteText"/>
        <w:ind w:left="360" w:hanging="360"/>
        <w:rPr>
          <w:sz w:val="18"/>
          <w:szCs w:val="18"/>
        </w:rPr>
      </w:pPr>
      <w:r>
        <w:rPr>
          <w:rStyle w:val="FootnoteReference"/>
          <w:sz w:val="18"/>
          <w:szCs w:val="18"/>
        </w:rPr>
        <w:footnoteRef/>
      </w:r>
      <w:r>
        <w:rPr>
          <w:sz w:val="18"/>
        </w:rPr>
        <w:t xml:space="preserve"> </w:t>
      </w:r>
      <w:r>
        <w:tab/>
      </w:r>
      <w:r>
        <w:rPr>
          <w:sz w:val="18"/>
        </w:rPr>
        <w:t>Décision 1999/468/CE du Conseil du 28 juin 1999 fixant les modalités de l’exercice des compétences d’exécution conférées à la Commission (JO L 184 du 17.7.1999, p. 23).</w:t>
      </w:r>
    </w:p>
  </w:footnote>
  <w:footnote w:id="5">
    <w:p>
      <w:pPr>
        <w:pStyle w:val="FootnoteText"/>
        <w:tabs>
          <w:tab w:val="left" w:pos="426"/>
        </w:tabs>
        <w:ind w:left="360" w:hanging="360"/>
        <w:rPr>
          <w:sz w:val="18"/>
          <w:szCs w:val="18"/>
        </w:rPr>
      </w:pPr>
      <w:r>
        <w:rPr>
          <w:rStyle w:val="FootnoteReference"/>
          <w:sz w:val="18"/>
          <w:szCs w:val="18"/>
        </w:rPr>
        <w:footnoteRef/>
      </w:r>
      <w:r>
        <w:rPr>
          <w:rStyle w:val="FootnoteReference"/>
          <w:sz w:val="18"/>
        </w:rPr>
        <w:t xml:space="preserve"> </w:t>
      </w:r>
      <w:r>
        <w:tab/>
      </w:r>
      <w:hyperlink r:id="rId1" w:history="1">
        <w:r>
          <w:rPr>
            <w:rStyle w:val="Hyperlink"/>
            <w:sz w:val="18"/>
          </w:rPr>
          <w:t>https://ec.europa.eu/transparency/comitology-register/screen/home?lang=fr</w:t>
        </w:r>
      </w:hyperlink>
    </w:p>
  </w:footnote>
  <w:footnote w:id="6">
    <w:p>
      <w:pPr>
        <w:pStyle w:val="FootnoteText"/>
        <w:ind w:left="360" w:hanging="360"/>
        <w:rPr>
          <w:sz w:val="18"/>
          <w:szCs w:val="18"/>
        </w:rPr>
      </w:pPr>
      <w:r>
        <w:rPr>
          <w:rStyle w:val="FootnoteReference"/>
          <w:sz w:val="18"/>
          <w:szCs w:val="18"/>
        </w:rPr>
        <w:footnoteRef/>
      </w:r>
      <w:r>
        <w:rPr>
          <w:sz w:val="18"/>
        </w:rPr>
        <w:t xml:space="preserve"> </w:t>
      </w:r>
      <w:r>
        <w:tab/>
      </w:r>
      <w:r>
        <w:rPr>
          <w:sz w:val="18"/>
        </w:rPr>
        <w:t>Proposition de règlement du Parlement européen et du Conseil adaptant aux articles 290 et 291 du traité sur le fonctionnement de l’Union européenne une série d’actes juridiques prévoyant le recours à la procédure de réglementation avec contrôle [COM(2016) 799 final].</w:t>
      </w:r>
    </w:p>
  </w:footnote>
  <w:footnote w:id="7">
    <w:p>
      <w:pPr>
        <w:pStyle w:val="FootnoteText"/>
        <w:ind w:left="360" w:hanging="360"/>
        <w:rPr>
          <w:sz w:val="18"/>
          <w:szCs w:val="18"/>
        </w:rPr>
      </w:pPr>
      <w:r>
        <w:rPr>
          <w:rStyle w:val="FootnoteReference"/>
          <w:sz w:val="18"/>
          <w:szCs w:val="18"/>
        </w:rPr>
        <w:footnoteRef/>
      </w:r>
      <w:r>
        <w:rPr>
          <w:sz w:val="18"/>
        </w:rPr>
        <w:t xml:space="preserve"> </w:t>
      </w:r>
      <w:r>
        <w:tab/>
      </w:r>
      <w:r>
        <w:rPr>
          <w:sz w:val="18"/>
        </w:rPr>
        <w:t>Proposition de règlement du Parlement européen et du Conseil portant modification du règlement (UE) nº 182/2011 établissant les règles et principes généraux relatifs aux modalités de contrôle par les États membres de l’exercice des compétences d’exécution par la Commission [COM(2017) 085 final].</w:t>
      </w:r>
    </w:p>
  </w:footnote>
  <w:footnote w:id="8">
    <w:p>
      <w:pPr>
        <w:pStyle w:val="FootnoteText"/>
        <w:tabs>
          <w:tab w:val="left" w:pos="360"/>
        </w:tabs>
        <w:ind w:left="360" w:hanging="360"/>
      </w:pPr>
      <w:r>
        <w:rPr>
          <w:rStyle w:val="FootnoteReference"/>
        </w:rPr>
        <w:footnoteRef/>
      </w:r>
      <w:r>
        <w:t xml:space="preserve"> </w:t>
      </w:r>
      <w:r>
        <w:tab/>
      </w:r>
      <w:r>
        <w:rPr>
          <w:sz w:val="18"/>
        </w:rPr>
        <w:t>C/2025/5423, retrait de propositions de la Commission, JO C du 6.10.2025.</w:t>
      </w:r>
    </w:p>
  </w:footnote>
  <w:footnote w:id="9">
    <w:p>
      <w:pPr>
        <w:pStyle w:val="FootnoteText"/>
        <w:tabs>
          <w:tab w:val="left" w:pos="360"/>
        </w:tabs>
        <w:ind w:left="360" w:hanging="360"/>
        <w:rPr>
          <w:sz w:val="18"/>
          <w:szCs w:val="18"/>
        </w:rPr>
      </w:pPr>
      <w:r>
        <w:rPr>
          <w:rStyle w:val="FootnoteReference"/>
        </w:rPr>
        <w:footnoteRef/>
      </w:r>
      <w:r>
        <w:t xml:space="preserve"> </w:t>
      </w:r>
      <w:r>
        <w:tab/>
      </w:r>
      <w:r>
        <w:rPr>
          <w:sz w:val="18"/>
        </w:rPr>
        <w:t>Accord interinstitutionnel entre le Parlement européen, le Conseil de l’Union européenne et la Commission européenne «Mieux légiférer» (JO L 123, p. 1, point 27).</w:t>
      </w:r>
    </w:p>
  </w:footnote>
  <w:footnote w:id="10">
    <w:p>
      <w:pPr>
        <w:pStyle w:val="FootnoteText"/>
        <w:ind w:left="360" w:hanging="360"/>
        <w:rPr>
          <w:sz w:val="18"/>
          <w:szCs w:val="18"/>
        </w:rPr>
      </w:pPr>
      <w:r>
        <w:rPr>
          <w:rStyle w:val="FootnoteReference"/>
        </w:rPr>
        <w:footnoteRef/>
      </w:r>
      <w:r>
        <w:t xml:space="preserve"> </w:t>
      </w:r>
      <w:r>
        <w:tab/>
      </w:r>
      <w:r>
        <w:rPr>
          <w:sz w:val="18"/>
        </w:rPr>
        <w:t>Une Europe plus simple et plus rapide –communication sur la mise en œuvre et la simplification, 12.2.2025, COM(2025) 47.</w:t>
      </w:r>
    </w:p>
  </w:footnote>
  <w:footnote w:id="11">
    <w:p>
      <w:pPr>
        <w:pStyle w:val="FootnoteText"/>
        <w:ind w:left="360" w:hanging="360"/>
        <w:rPr>
          <w:sz w:val="18"/>
          <w:szCs w:val="18"/>
        </w:rPr>
      </w:pPr>
      <w:r>
        <w:rPr>
          <w:rStyle w:val="FootnoteReference"/>
        </w:rPr>
        <w:footnoteRef/>
      </w:r>
      <w:r>
        <w:t xml:space="preserve"> </w:t>
      </w:r>
      <w:r>
        <w:tab/>
      </w:r>
      <w:r>
        <w:rPr>
          <w:sz w:val="18"/>
        </w:rPr>
        <w:t>Rapport de synthèse annuel 2025 sur la simplification, la mise en œuvre et l’application, 21.10.2025, COM(2025) 871.</w:t>
      </w:r>
    </w:p>
  </w:footnote>
  <w:footnote w:id="12">
    <w:p>
      <w:pPr>
        <w:pStyle w:val="FootnoteText"/>
        <w:ind w:left="360" w:hanging="360"/>
        <w:rPr>
          <w:sz w:val="18"/>
          <w:szCs w:val="18"/>
        </w:rPr>
      </w:pPr>
      <w:r>
        <w:rPr>
          <w:rStyle w:val="FootnoteReference"/>
        </w:rPr>
        <w:footnoteRef/>
      </w:r>
      <w:r>
        <w:t xml:space="preserve"> </w:t>
      </w:r>
      <w:r>
        <w:tab/>
      </w:r>
      <w:bookmarkStart w:id="4" w:name="_Hlk231412322"/>
      <w:r>
        <w:rPr>
          <w:sz w:val="18"/>
        </w:rPr>
        <w:t xml:space="preserve">Les documents demandés se rapportaient à un document d’orientation, élaboré par l’EFSA en 2013, qui constituait le point de départ de la procédure de comitologie en cause. Ce document faisait l’objet de discussions au sein du SCoPAFF depuis plusieurs années, sans qu’un accord ait été trouvé sur son texte entre les États membres et sans que ce document ait été adopté par la Commission. </w:t>
      </w:r>
      <w:r>
        <w:t>En 2019, la Commission a demandé à l’EFSA de procéder à la révision du document d’orientation afin de tenir compte des dernières évolutions scientifiques</w:t>
      </w:r>
      <w:bookmarkEnd w:id="4"/>
      <w:r>
        <w:rPr>
          <w:sz w:val="18"/>
        </w:rPr>
        <w:t>.</w:t>
      </w:r>
    </w:p>
  </w:footnote>
  <w:footnote w:id="13">
    <w:p>
      <w:pPr>
        <w:pStyle w:val="FootnoteText"/>
        <w:ind w:left="360" w:hanging="360"/>
        <w:rPr>
          <w:sz w:val="18"/>
          <w:szCs w:val="18"/>
        </w:rPr>
      </w:pPr>
      <w:r>
        <w:rPr>
          <w:rStyle w:val="FootnoteReference"/>
        </w:rPr>
        <w:footnoteRef/>
      </w:r>
      <w:r>
        <w:t xml:space="preserve"> </w:t>
      </w:r>
      <w:r>
        <w:tab/>
      </w:r>
      <w:r>
        <w:rPr>
          <w:sz w:val="18"/>
        </w:rPr>
        <w:t>Dans l’arrêt rendu en première instance qui a été confirmé par la Cour de justice, le Tribunal a jugé que «</w:t>
      </w:r>
      <w:r>
        <w:rPr>
          <w:i/>
          <w:sz w:val="18"/>
        </w:rPr>
        <w:t>les procédures de comitologie, et en particulier le règlement intérieur type, n’exigent pas, en tant que tels, que l’accès à des documents faisant état de la position individuelle des États membres au sein du Scopaff soit refusé afin de protéger le processus décisionnel de ce comité, au sens de l’article 4, paragraphe 3, premier alinéa, du règlement nº 1049/2001, ce qui n’empêche nullement la Commission, dans des cas dûment justifiés, de refuser l’accès à des documents portant sur la position individuelle des États membres au sein dudit comité lorsque leur divulgation risquerait de porter une atteinte concrète aux intérêts protégés par les exceptions prévues à l’article 4 du règlement nº 1049/2001»</w:t>
      </w:r>
      <w:r>
        <w:rPr>
          <w:sz w:val="18"/>
        </w:rPr>
        <w:t xml:space="preserve"> (point 107 de l’arrêt).</w:t>
      </w:r>
    </w:p>
  </w:footnote>
  <w:footnote w:id="14">
    <w:p>
      <w:pPr>
        <w:pStyle w:val="FootnoteText"/>
        <w:ind w:left="360" w:hanging="360"/>
        <w:rPr>
          <w:sz w:val="18"/>
          <w:szCs w:val="18"/>
        </w:rPr>
      </w:pPr>
      <w:r>
        <w:rPr>
          <w:rStyle w:val="FootnoteReference"/>
        </w:rPr>
        <w:footnoteRef/>
      </w:r>
      <w:r>
        <w:t xml:space="preserve"> </w:t>
      </w:r>
      <w:r>
        <w:tab/>
        <w:t>Certains comités n’ont existé que pendant une partie de l’année en fonction de la date exacte de début/de fin de la validité de l’acte législatif de base concerné.</w:t>
      </w:r>
    </w:p>
  </w:footnote>
  <w:footnote w:id="15">
    <w:p>
      <w:pPr>
        <w:pStyle w:val="FootnoteText"/>
        <w:ind w:left="360" w:hanging="360"/>
        <w:rPr>
          <w:sz w:val="18"/>
          <w:szCs w:val="18"/>
        </w:rPr>
      </w:pPr>
      <w:r>
        <w:rPr>
          <w:rStyle w:val="FootnoteReference"/>
        </w:rPr>
        <w:footnoteRef/>
      </w:r>
      <w:r>
        <w:t xml:space="preserve"> </w:t>
      </w:r>
      <w:r>
        <w:tab/>
        <w:t>Le comité d’appel est inscrit au registre de comitologie en tant que comité placé sous la responsabilité du secrétariat général.</w:t>
      </w:r>
      <w:r>
        <w:rPr>
          <w:sz w:val="18"/>
        </w:rPr>
        <w:t xml:space="preserve"> Dans la pratique, toutefois, il est géré par les services concernés.</w:t>
      </w:r>
    </w:p>
  </w:footnote>
  <w:footnote w:id="16">
    <w:p>
      <w:pPr>
        <w:pStyle w:val="FootnoteText"/>
        <w:ind w:left="360" w:hanging="360"/>
        <w:rPr>
          <w:sz w:val="18"/>
          <w:szCs w:val="18"/>
        </w:rPr>
      </w:pPr>
      <w:r>
        <w:rPr>
          <w:rStyle w:val="FootnoteReference"/>
        </w:rPr>
        <w:footnoteRef/>
      </w:r>
      <w:r>
        <w:t xml:space="preserve"> </w:t>
      </w:r>
      <w:r>
        <w:tab/>
        <w:t>Dans certains actes de base, le législateur a prévu des configurations spécifiques du comité.</w:t>
      </w:r>
      <w:r>
        <w:rPr>
          <w:sz w:val="18"/>
        </w:rPr>
        <w:t xml:space="preserve"> Celles-ci sont présentées individuellement dans le document de travail des services de la Commission et chacune d’entre elles est comptabilisée séparément dans le chiffre global des comités. Sans compter les configurations individuelles séparément, le nombre total de comités s’élevait à 318.</w:t>
      </w:r>
    </w:p>
  </w:footnote>
  <w:footnote w:id="17">
    <w:p>
      <w:pPr>
        <w:pStyle w:val="FootnoteText"/>
        <w:ind w:left="360" w:hanging="360"/>
        <w:rPr>
          <w:sz w:val="18"/>
          <w:szCs w:val="18"/>
        </w:rPr>
      </w:pPr>
      <w:r>
        <w:rPr>
          <w:rStyle w:val="FootnoteReference"/>
        </w:rPr>
        <w:footnoteRef/>
      </w:r>
      <w:r>
        <w:t xml:space="preserve"> </w:t>
      </w:r>
      <w:r>
        <w:tab/>
      </w:r>
      <w:r>
        <w:rPr>
          <w:sz w:val="18"/>
        </w:rPr>
        <w:t>Dans certains cas, une nouvelle législation entrée en vigueur au cours de l’année a remplacé (abrogé) l’ancienne législation et créé un nouveau comité pour le même domaine d’action. Il existait donc un «ancien» et un «nouveau» comité à différents moments de l’année, en vertu des actes de base respectifs; ils sont tous deux comptabilisés pour l’année. Le nombre de comités en fin d’année (362), exempt de ces doubles comptages (et excluant également les comités qui ont été supprimés au cours de l’année), est donc inférieur.</w:t>
      </w:r>
    </w:p>
  </w:footnote>
  <w:footnote w:id="18">
    <w:p>
      <w:pPr>
        <w:pStyle w:val="FootnoteText"/>
        <w:tabs>
          <w:tab w:val="left" w:pos="360"/>
        </w:tabs>
        <w:ind w:left="360" w:hanging="360"/>
        <w:rPr>
          <w:sz w:val="18"/>
          <w:szCs w:val="18"/>
        </w:rPr>
      </w:pPr>
      <w:r>
        <w:rPr>
          <w:rStyle w:val="FootnoteReference"/>
        </w:rPr>
        <w:footnoteRef/>
      </w:r>
      <w:r>
        <w:t xml:space="preserve"> </w:t>
      </w:r>
      <w:r>
        <w:tab/>
        <w:t>C’est le cas lorsque l’acte ou les actes de base prévoient le recours à différentes procédures de comitologie pour différentes mesures d’exécution.</w:t>
      </w:r>
      <w:r>
        <w:rPr>
          <w:sz w:val="18"/>
        </w:rPr>
        <w:t> Le tableau présente la situation juridique telle qu’elle est prévue par les actes de base; dans la pratique, il peut arriver que, lorsque les actes de base prévoient différentes procédures, un comité n’agisse que dans le cadre de l’une des procédures pour adopter son avis sur les projets d’actes d’exécution au cours d’une année donnée.</w:t>
      </w:r>
    </w:p>
  </w:footnote>
  <w:footnote w:id="19">
    <w:p>
      <w:pPr>
        <w:pStyle w:val="FootnoteText"/>
        <w:ind w:left="360" w:hanging="360"/>
        <w:rPr>
          <w:sz w:val="18"/>
          <w:szCs w:val="18"/>
        </w:rPr>
      </w:pPr>
      <w:r>
        <w:rPr>
          <w:rStyle w:val="FootnoteReference"/>
        </w:rPr>
        <w:footnoteRef/>
      </w:r>
      <w:r>
        <w:t xml:space="preserve"> </w:t>
      </w:r>
      <w:r>
        <w:tab/>
        <w:t>Le vote au sein d’un comité peut avoir lieu au cours d’une réunion de comité ordinaire ou, dans des cas dûment justifiés, par procédure écrite, conformément à l’article 3, paragraphe 5, du règlement de comitologie.</w:t>
      </w:r>
    </w:p>
  </w:footnote>
  <w:footnote w:id="20">
    <w:p>
      <w:pPr>
        <w:pStyle w:val="FootnoteText"/>
        <w:ind w:left="360" w:hanging="360"/>
        <w:rPr>
          <w:sz w:val="18"/>
          <w:szCs w:val="18"/>
        </w:rPr>
      </w:pPr>
      <w:r>
        <w:rPr>
          <w:rStyle w:val="FootnoteReference"/>
        </w:rPr>
        <w:footnoteRef/>
      </w:r>
      <w:r>
        <w:t xml:space="preserve"> </w:t>
      </w:r>
      <w:r>
        <w:tab/>
        <w:t>Une erreur factuelle s’est produite dans le document</w:t>
      </w:r>
      <w:r>
        <w:rPr>
          <w:sz w:val="18"/>
        </w:rPr>
        <w:t xml:space="preserve"> COM(2025) 642 et dans le SWD(2025) 334 correspondant: le nombre correct de réunions du FPI est de 3 (au lieu de 2) et, par conséquent, le nombre total de réunions en 2024 était de 693 (au lieu de 692).</w:t>
      </w:r>
    </w:p>
  </w:footnote>
  <w:footnote w:id="21">
    <w:p>
      <w:pPr>
        <w:pStyle w:val="FootnoteText"/>
        <w:ind w:left="360" w:hanging="360"/>
        <w:rPr>
          <w:sz w:val="18"/>
          <w:szCs w:val="18"/>
        </w:rPr>
      </w:pPr>
      <w:r>
        <w:rPr>
          <w:rStyle w:val="FootnoteReference"/>
          <w:sz w:val="18"/>
          <w:szCs w:val="18"/>
        </w:rPr>
        <w:footnoteRef/>
      </w:r>
      <w:r>
        <w:rPr>
          <w:sz w:val="18"/>
        </w:rPr>
        <w:t xml:space="preserve"> </w:t>
      </w:r>
      <w:r>
        <w:tab/>
      </w:r>
      <w:r>
        <w:rPr>
          <w:sz w:val="18"/>
        </w:rPr>
        <w:t>En ce qui concerne les actes d’exécution adoptés, l’indication des services de la Commission (domaines d’action) signifie que lesdits actes ont été préparés (discutés et/ou votés) par un comité relevant du service de la Commission en question; dans certains cas, c’est un autre service de la Commission qui s’est officiellement chargé de l’adoption proprement dite de l’acte.</w:t>
      </w:r>
    </w:p>
  </w:footnote>
  <w:footnote w:id="22">
    <w:p>
      <w:pPr>
        <w:pStyle w:val="FootnoteText"/>
        <w:ind w:left="360" w:hanging="360"/>
        <w:rPr>
          <w:sz w:val="18"/>
          <w:szCs w:val="18"/>
        </w:rPr>
      </w:pPr>
      <w:r>
        <w:rPr>
          <w:rStyle w:val="FootnoteReference"/>
          <w:sz w:val="18"/>
          <w:szCs w:val="18"/>
        </w:rPr>
        <w:footnoteRef/>
      </w:r>
      <w:r>
        <w:rPr>
          <w:sz w:val="18"/>
        </w:rPr>
        <w:t xml:space="preserve"> </w:t>
      </w:r>
      <w:r>
        <w:tab/>
      </w:r>
      <w:r>
        <w:rPr>
          <w:color w:val="000000"/>
          <w:sz w:val="18"/>
        </w:rPr>
        <w:t>Un vote qui débouche sur une «absence d’avis» est comptabilisé dans le nombre total d’avis, car il s’agit d’un résultat possible du vote au sein du comité.</w:t>
      </w:r>
    </w:p>
  </w:footnote>
  <w:footnote w:id="23">
    <w:p>
      <w:pPr>
        <w:pStyle w:val="FootnoteText"/>
        <w:ind w:left="360" w:hanging="360"/>
      </w:pPr>
      <w:r>
        <w:rPr>
          <w:rStyle w:val="FootnoteReference"/>
        </w:rPr>
        <w:footnoteRef/>
      </w:r>
      <w:r>
        <w:tab/>
        <w:t>Le nombre d’avis et le nombre de mesures/d’actes d’exécution pour une année donnée peuvent varier.</w:t>
      </w:r>
      <w:r>
        <w:rPr>
          <w:sz w:val="18"/>
        </w:rPr>
        <w:t xml:space="preserve"> Le document de travail des services de la Commission qui accompagne le rapport en précise les raisons dans son introduction.</w:t>
      </w:r>
    </w:p>
  </w:footnote>
  <w:footnote w:id="24">
    <w:p>
      <w:pPr>
        <w:pStyle w:val="FootnoteText"/>
        <w:ind w:left="360" w:hanging="360"/>
        <w:rPr>
          <w:sz w:val="18"/>
          <w:szCs w:val="18"/>
        </w:rPr>
      </w:pPr>
      <w:r>
        <w:rPr>
          <w:rStyle w:val="FootnoteReference"/>
        </w:rPr>
        <w:footnoteRef/>
      </w:r>
      <w:r>
        <w:t xml:space="preserve"> </w:t>
      </w:r>
      <w:r>
        <w:tab/>
        <w:t>Les votes au sein des comités ont été positifs dans une écrasante majorité, tandis que, dans 29 cas (y compris ceux soumis au comité d’appel), ils ont débouché sur une «absence d’avis».</w:t>
      </w:r>
      <w:r>
        <w:rPr>
          <w:sz w:val="18"/>
        </w:rPr>
        <w:t xml:space="preserve"> 1 vote négatif a été émis dans le cadre d’une procédure consultative [décision d’exécution de la Commission déduisant du financement de l’Union européenne certaines dépenses effectuées par les États membres au titre du Fonds européen agricole de garantie (FEAGA) et du Fonds européen agricole pour le développement rural (Feader)]; l’acte a été adopté ultérieurement par la Commission.</w:t>
      </w:r>
    </w:p>
  </w:footnote>
  <w:footnote w:id="25">
    <w:p>
      <w:pPr>
        <w:pStyle w:val="FootnoteText"/>
        <w:ind w:left="360" w:hanging="360"/>
      </w:pPr>
      <w:r>
        <w:rPr>
          <w:rStyle w:val="FootnoteReference"/>
        </w:rPr>
        <w:footnoteRef/>
      </w:r>
      <w:r>
        <w:t xml:space="preserve"> </w:t>
      </w:r>
      <w:r>
        <w:tab/>
      </w:r>
      <w:r>
        <w:rPr>
          <w:sz w:val="18"/>
        </w:rPr>
        <w:t>716 de ces actes ont modifié des actes antérieurs existants.</w:t>
      </w:r>
    </w:p>
  </w:footnote>
  <w:footnote w:id="26">
    <w:p>
      <w:pPr>
        <w:pStyle w:val="FootnoteText"/>
        <w:tabs>
          <w:tab w:val="left" w:pos="426"/>
        </w:tabs>
        <w:ind w:left="360" w:hanging="360"/>
        <w:rPr>
          <w:sz w:val="18"/>
          <w:szCs w:val="18"/>
        </w:rPr>
      </w:pPr>
      <w:r>
        <w:rPr>
          <w:rStyle w:val="FootnoteReference"/>
          <w:sz w:val="18"/>
          <w:szCs w:val="18"/>
        </w:rPr>
        <w:footnoteRef/>
      </w:r>
      <w:r>
        <w:rPr>
          <w:sz w:val="18"/>
        </w:rPr>
        <w:t xml:space="preserve"> </w:t>
      </w:r>
      <w:r>
        <w:tab/>
      </w:r>
      <w:r>
        <w:rPr>
          <w:sz w:val="18"/>
        </w:rPr>
        <w:t>De plus amples informations sont disponibles dans le document de travail des services de la Commission qui accompagne le rapport.</w:t>
      </w:r>
    </w:p>
  </w:footnote>
  <w:footnote w:id="27">
    <w:p>
      <w:pPr>
        <w:pStyle w:val="FootnoteText"/>
        <w:ind w:left="360" w:hanging="360"/>
        <w:rPr>
          <w:sz w:val="18"/>
          <w:szCs w:val="18"/>
        </w:rPr>
      </w:pPr>
      <w:r>
        <w:rPr>
          <w:rStyle w:val="FootnoteReference"/>
          <w:sz w:val="18"/>
          <w:szCs w:val="18"/>
        </w:rPr>
        <w:footnoteRef/>
      </w:r>
      <w:r>
        <w:rPr>
          <w:sz w:val="18"/>
        </w:rPr>
        <w:t xml:space="preserve"> </w:t>
      </w:r>
      <w:r>
        <w:tab/>
      </w:r>
      <w:r>
        <w:rPr>
          <w:sz w:val="18"/>
        </w:rPr>
        <w:t>Le terme «avis» inclut également le scénario dans lequel aucun avis n’est formellement émis en raison de l’absence de majorité dans un sens ou dans l’autre. Le nombre d’«absences d’avis» est indiqué entre parenthèses.</w:t>
      </w:r>
    </w:p>
  </w:footnote>
  <w:footnote w:id="28">
    <w:p>
      <w:pPr>
        <w:pStyle w:val="FootnoteText"/>
        <w:ind w:left="360" w:hanging="360"/>
        <w:rPr>
          <w:sz w:val="18"/>
          <w:szCs w:val="18"/>
        </w:rPr>
      </w:pPr>
      <w:r>
        <w:rPr>
          <w:rStyle w:val="FootnoteReference"/>
          <w:sz w:val="18"/>
          <w:szCs w:val="18"/>
        </w:rPr>
        <w:footnoteRef/>
      </w:r>
      <w:r>
        <w:rPr>
          <w:sz w:val="18"/>
        </w:rPr>
        <w:t xml:space="preserve"> </w:t>
      </w:r>
      <w:r>
        <w:tab/>
      </w:r>
      <w:r>
        <w:rPr>
          <w:sz w:val="18"/>
        </w:rPr>
        <w:t>Article 12, deuxième alinéa, du règlement de comitologie.</w:t>
      </w:r>
    </w:p>
  </w:footnote>
  <w:footnote w:id="29">
    <w:p>
      <w:pPr>
        <w:pStyle w:val="FootnoteText"/>
        <w:tabs>
          <w:tab w:val="left" w:pos="360"/>
        </w:tabs>
        <w:ind w:left="360" w:hanging="360"/>
        <w:rPr>
          <w:sz w:val="18"/>
          <w:szCs w:val="18"/>
        </w:rPr>
      </w:pPr>
      <w:r>
        <w:rPr>
          <w:rStyle w:val="FootnoteReference"/>
        </w:rPr>
        <w:footnoteRef/>
      </w:r>
      <w:r>
        <w:t xml:space="preserve"> </w:t>
      </w:r>
      <w:r>
        <w:tab/>
        <w:t>La mesure est attribuée, dans le tableau, au service de la Commission qui a géré le comité chargé de l’élaboration de la mesure.</w:t>
      </w:r>
      <w:r>
        <w:rPr>
          <w:sz w:val="18"/>
        </w:rPr>
        <w:t xml:space="preserve"> Il peut arriver que ce service soit différent de celui qui l’a formellement adoptée. Voir également la note de bas de page nº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B1"/>
    <w:multiLevelType w:val="multilevel"/>
    <w:tmpl w:val="30847FD6"/>
    <w:lvl w:ilvl="0">
      <w:start w:val="1"/>
      <w:numFmt w:val="decimal"/>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E43525"/>
    <w:multiLevelType w:val="multilevel"/>
    <w:tmpl w:val="76202BFE"/>
    <w:lvl w:ilvl="0">
      <w:start w:val="1"/>
      <w:numFmt w:val="decimal"/>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2DD5905"/>
    <w:multiLevelType w:val="singleLevel"/>
    <w:tmpl w:val="6CB4B73E"/>
    <w:lvl w:ilvl="0">
      <w:start w:val="1"/>
      <w:numFmt w:val="bullet"/>
      <w:pStyle w:val="ListBullet2"/>
      <w:lvlText w:val=""/>
      <w:lvlJc w:val="left"/>
      <w:pPr>
        <w:tabs>
          <w:tab w:val="num" w:pos="1134"/>
        </w:tabs>
        <w:ind w:left="1134" w:hanging="283"/>
      </w:pPr>
      <w:rPr>
        <w:rFonts w:ascii="Symbol" w:hAnsi="Symbol" w:hint="default"/>
      </w:rPr>
    </w:lvl>
  </w:abstractNum>
  <w:abstractNum w:abstractNumId="3" w15:restartNumberingAfterBreak="0">
    <w:nsid w:val="24E930D7"/>
    <w:multiLevelType w:val="multilevel"/>
    <w:tmpl w:val="EFD2E05E"/>
    <w:lvl w:ilvl="0">
      <w:start w:val="1"/>
      <w:numFmt w:val="decimal"/>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AF76E7A"/>
    <w:multiLevelType w:val="singleLevel"/>
    <w:tmpl w:val="C74C5A32"/>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5" w15:restartNumberingAfterBreak="0">
    <w:nsid w:val="3A5459E8"/>
    <w:multiLevelType w:val="singleLevel"/>
    <w:tmpl w:val="2188C922"/>
    <w:lvl w:ilvl="0">
      <w:start w:val="1"/>
      <w:numFmt w:val="bullet"/>
      <w:pStyle w:val="Tiret1"/>
      <w:lvlText w:val="–"/>
      <w:lvlJc w:val="left"/>
      <w:pPr>
        <w:tabs>
          <w:tab w:val="num" w:pos="1417"/>
        </w:tabs>
        <w:ind w:left="1417" w:hanging="567"/>
      </w:pPr>
    </w:lvl>
  </w:abstractNum>
  <w:abstractNum w:abstractNumId="6" w15:restartNumberingAfterBreak="0">
    <w:nsid w:val="3BA736C9"/>
    <w:multiLevelType w:val="singleLevel"/>
    <w:tmpl w:val="F00A6C0C"/>
    <w:lvl w:ilvl="0">
      <w:start w:val="1"/>
      <w:numFmt w:val="bullet"/>
      <w:pStyle w:val="Tiret0"/>
      <w:lvlText w:val="–"/>
      <w:lvlJc w:val="left"/>
      <w:pPr>
        <w:tabs>
          <w:tab w:val="num" w:pos="850"/>
        </w:tabs>
        <w:ind w:left="850" w:hanging="850"/>
      </w:pPr>
    </w:lvl>
  </w:abstractNum>
  <w:abstractNum w:abstractNumId="7" w15:restartNumberingAfterBreak="0">
    <w:nsid w:val="3C90278F"/>
    <w:multiLevelType w:val="singleLevel"/>
    <w:tmpl w:val="0FE08974"/>
    <w:name w:val="Tiret 1"/>
    <w:lvl w:ilvl="0">
      <w:start w:val="1"/>
      <w:numFmt w:val="bullet"/>
      <w:pStyle w:val="Tiret3"/>
      <w:lvlText w:val="–"/>
      <w:lvlJc w:val="left"/>
      <w:pPr>
        <w:tabs>
          <w:tab w:val="num" w:pos="2551"/>
        </w:tabs>
        <w:ind w:left="2551" w:hanging="567"/>
      </w:pPr>
    </w:lvl>
  </w:abstractNum>
  <w:abstractNum w:abstractNumId="8" w15:restartNumberingAfterBreak="0">
    <w:nsid w:val="3E191884"/>
    <w:multiLevelType w:val="singleLevel"/>
    <w:tmpl w:val="3020C764"/>
    <w:lvl w:ilvl="0">
      <w:start w:val="1"/>
      <w:numFmt w:val="bullet"/>
      <w:pStyle w:val="ListBullet3"/>
      <w:lvlText w:val=""/>
      <w:lvlJc w:val="left"/>
      <w:pPr>
        <w:tabs>
          <w:tab w:val="num" w:pos="1134"/>
        </w:tabs>
        <w:ind w:left="1134" w:hanging="283"/>
      </w:pPr>
      <w:rPr>
        <w:rFonts w:ascii="Symbol" w:hAnsi="Symbol" w:hint="default"/>
      </w:rPr>
    </w:lvl>
  </w:abstractNum>
  <w:abstractNum w:abstractNumId="9" w15:restartNumberingAfterBreak="0">
    <w:nsid w:val="40315490"/>
    <w:multiLevelType w:val="singleLevel"/>
    <w:tmpl w:val="1F86C700"/>
    <w:name w:val="7,134676E-02"/>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48842C30"/>
    <w:multiLevelType w:val="singleLevel"/>
    <w:tmpl w:val="4FA60B90"/>
    <w:name w:val="List Dash"/>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4593082"/>
    <w:multiLevelType w:val="singleLevel"/>
    <w:tmpl w:val="EDE069AC"/>
    <w:name w:val="Tiret 0"/>
    <w:lvl w:ilvl="0">
      <w:start w:val="1"/>
      <w:numFmt w:val="bullet"/>
      <w:pStyle w:val="Bullet0"/>
      <w:lvlText w:val=""/>
      <w:lvlJc w:val="left"/>
      <w:pPr>
        <w:tabs>
          <w:tab w:val="num" w:pos="850"/>
        </w:tabs>
        <w:ind w:left="850" w:hanging="850"/>
      </w:pPr>
      <w:rPr>
        <w:rFonts w:ascii="Symbol" w:hAnsi="Symbol" w:hint="default"/>
      </w:rPr>
    </w:lvl>
  </w:abstractNum>
  <w:abstractNum w:abstractNumId="12" w15:restartNumberingAfterBreak="0">
    <w:nsid w:val="568864DC"/>
    <w:multiLevelType w:val="singleLevel"/>
    <w:tmpl w:val="485EBDAC"/>
    <w:name w:val="Tiret 3"/>
    <w:lvl w:ilvl="0">
      <w:start w:val="1"/>
      <w:numFmt w:val="bullet"/>
      <w:pStyle w:val="Tiret4"/>
      <w:lvlText w:val="–"/>
      <w:lvlJc w:val="left"/>
      <w:pPr>
        <w:tabs>
          <w:tab w:val="num" w:pos="3118"/>
        </w:tabs>
        <w:ind w:left="3118" w:hanging="567"/>
      </w:pPr>
    </w:lvl>
  </w:abstractNum>
  <w:abstractNum w:abstractNumId="13" w15:restartNumberingAfterBreak="0">
    <w:nsid w:val="56996987"/>
    <w:multiLevelType w:val="hybridMultilevel"/>
    <w:tmpl w:val="F606E020"/>
    <w:lvl w:ilvl="0" w:tplc="513257E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96D67A1"/>
    <w:multiLevelType w:val="singleLevel"/>
    <w:tmpl w:val="9AC8831A"/>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5" w15:restartNumberingAfterBreak="0">
    <w:nsid w:val="5F342530"/>
    <w:multiLevelType w:val="singleLevel"/>
    <w:tmpl w:val="D5444702"/>
    <w:name w:val="List Dash 2"/>
    <w:lvl w:ilvl="0">
      <w:start w:val="1"/>
      <w:numFmt w:val="bullet"/>
      <w:pStyle w:val="Bullet3"/>
      <w:lvlText w:val=""/>
      <w:lvlJc w:val="left"/>
      <w:pPr>
        <w:tabs>
          <w:tab w:val="num" w:pos="2551"/>
        </w:tabs>
        <w:ind w:left="2551" w:hanging="567"/>
      </w:pPr>
      <w:rPr>
        <w:rFonts w:ascii="Symbol" w:hAnsi="Symbol" w:hint="default"/>
      </w:rPr>
    </w:lvl>
  </w:abstractNum>
  <w:abstractNum w:abstractNumId="16" w15:restartNumberingAfterBreak="0">
    <w:nsid w:val="5F8C3B69"/>
    <w:multiLevelType w:val="multilevel"/>
    <w:tmpl w:val="9B14DAA8"/>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F9C40AA"/>
    <w:multiLevelType w:val="singleLevel"/>
    <w:tmpl w:val="B89CB5A2"/>
    <w:lvl w:ilvl="0">
      <w:start w:val="1"/>
      <w:numFmt w:val="bullet"/>
      <w:pStyle w:val="Bullet2"/>
      <w:lvlText w:val=""/>
      <w:lvlJc w:val="left"/>
      <w:pPr>
        <w:tabs>
          <w:tab w:val="num" w:pos="1984"/>
        </w:tabs>
        <w:ind w:left="1984" w:hanging="567"/>
      </w:pPr>
      <w:rPr>
        <w:rFonts w:ascii="Symbol" w:hAnsi="Symbol" w:hint="default"/>
      </w:rPr>
    </w:lvl>
  </w:abstractNum>
  <w:abstractNum w:abstractNumId="18" w15:restartNumberingAfterBreak="0">
    <w:nsid w:val="62970F71"/>
    <w:multiLevelType w:val="singleLevel"/>
    <w:tmpl w:val="5AFA8C72"/>
    <w:name w:val="Bullet 4"/>
    <w:lvl w:ilvl="0">
      <w:start w:val="1"/>
      <w:numFmt w:val="bullet"/>
      <w:pStyle w:val="Tiret2"/>
      <w:lvlText w:val="–"/>
      <w:lvlJc w:val="left"/>
      <w:pPr>
        <w:tabs>
          <w:tab w:val="num" w:pos="1984"/>
        </w:tabs>
        <w:ind w:left="1984" w:hanging="567"/>
      </w:pPr>
    </w:lvl>
  </w:abstractNum>
  <w:abstractNum w:abstractNumId="19"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647C28DF"/>
    <w:multiLevelType w:val="hybridMultilevel"/>
    <w:tmpl w:val="1632ED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9995580"/>
    <w:multiLevelType w:val="singleLevel"/>
    <w:tmpl w:val="75CC7CBA"/>
    <w:lvl w:ilvl="0">
      <w:start w:val="1"/>
      <w:numFmt w:val="decimal"/>
      <w:pStyle w:val="Considrant"/>
      <w:lvlText w:val="(%1)"/>
      <w:lvlJc w:val="left"/>
      <w:pPr>
        <w:tabs>
          <w:tab w:val="num" w:pos="709"/>
        </w:tabs>
        <w:ind w:left="709" w:hanging="709"/>
      </w:pPr>
    </w:lvl>
  </w:abstractNum>
  <w:abstractNum w:abstractNumId="22" w15:restartNumberingAfterBreak="0">
    <w:nsid w:val="6A6901C1"/>
    <w:multiLevelType w:val="singleLevel"/>
    <w:tmpl w:val="208841AE"/>
    <w:lvl w:ilvl="0">
      <w:start w:val="1"/>
      <w:numFmt w:val="bullet"/>
      <w:pStyle w:val="ListBullet1"/>
      <w:lvlText w:val=""/>
      <w:lvlJc w:val="left"/>
      <w:pPr>
        <w:tabs>
          <w:tab w:val="num" w:pos="1134"/>
        </w:tabs>
        <w:ind w:left="1134" w:hanging="283"/>
      </w:pPr>
      <w:rPr>
        <w:rFonts w:ascii="Symbol" w:hAnsi="Symbol" w:hint="default"/>
      </w:rPr>
    </w:lvl>
  </w:abstractNum>
  <w:abstractNum w:abstractNumId="23" w15:restartNumberingAfterBreak="0">
    <w:nsid w:val="6D2B5511"/>
    <w:multiLevelType w:val="singleLevel"/>
    <w:tmpl w:val="74A09970"/>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711167E2"/>
    <w:multiLevelType w:val="multilevel"/>
    <w:tmpl w:val="C3843A7A"/>
    <w:name w:val="List Dash 1"/>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5C26F71"/>
    <w:multiLevelType w:val="multilevel"/>
    <w:tmpl w:val="8FF2E258"/>
    <w:name w:val="Bullet 0"/>
    <w:lvl w:ilvl="0">
      <w:start w:val="1"/>
      <w:numFmt w:val="decimal"/>
      <w:pStyle w:val="Heading1"/>
      <w:lvlText w:val="%1."/>
      <w:lvlJc w:val="left"/>
      <w:pPr>
        <w:tabs>
          <w:tab w:val="num" w:pos="850"/>
        </w:tabs>
        <w:ind w:left="850" w:hanging="850"/>
      </w:pPr>
      <w:rPr>
        <w:color w:val="auto"/>
      </w:r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7204826"/>
    <w:multiLevelType w:val="hybridMultilevel"/>
    <w:tmpl w:val="F97C96A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A241BD"/>
    <w:multiLevelType w:val="singleLevel"/>
    <w:tmpl w:val="53C4DF32"/>
    <w:lvl w:ilvl="0">
      <w:start w:val="1"/>
      <w:numFmt w:val="bullet"/>
      <w:pStyle w:val="ListDash3"/>
      <w:lvlText w:val="–"/>
      <w:lvlJc w:val="left"/>
      <w:pPr>
        <w:tabs>
          <w:tab w:val="num" w:pos="1134"/>
        </w:tabs>
        <w:ind w:left="1134" w:hanging="283"/>
      </w:pPr>
      <w:rPr>
        <w:rFonts w:ascii="Times New Roman" w:hAnsi="Times New Roman" w:cs="Times New Roman"/>
      </w:rPr>
    </w:lvl>
  </w:abstractNum>
  <w:abstractNum w:abstractNumId="28" w15:restartNumberingAfterBreak="0">
    <w:nsid w:val="79C96D36"/>
    <w:multiLevelType w:val="multilevel"/>
    <w:tmpl w:val="BE983CE4"/>
    <w:lvl w:ilvl="0">
      <w:start w:val="1"/>
      <w:numFmt w:val="decimal"/>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BE95D7F"/>
    <w:multiLevelType w:val="multilevel"/>
    <w:tmpl w:val="F126F780"/>
    <w:name w:val="List Bulle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0" w15:restartNumberingAfterBreak="0">
    <w:nsid w:val="7D8820A0"/>
    <w:multiLevelType w:val="singleLevel"/>
    <w:tmpl w:val="54F6C7B4"/>
    <w:lvl w:ilvl="0">
      <w:start w:val="1"/>
      <w:numFmt w:val="bullet"/>
      <w:pStyle w:val="ListDash4"/>
      <w:lvlText w:val="–"/>
      <w:lvlJc w:val="left"/>
      <w:pPr>
        <w:tabs>
          <w:tab w:val="num" w:pos="1134"/>
        </w:tabs>
        <w:ind w:left="1134" w:hanging="283"/>
      </w:pPr>
      <w:rPr>
        <w:rFonts w:ascii="Times New Roman" w:hAnsi="Times New Roman" w:cs="Times New Roman"/>
      </w:rPr>
    </w:lvl>
  </w:abstractNum>
  <w:abstractNum w:abstractNumId="31" w15:restartNumberingAfterBreak="0">
    <w:nsid w:val="7F7154E1"/>
    <w:multiLevelType w:val="singleLevel"/>
    <w:tmpl w:val="E3F6D2C6"/>
    <w:lvl w:ilvl="0">
      <w:start w:val="1"/>
      <w:numFmt w:val="bullet"/>
      <w:pStyle w:val="ListBullet4"/>
      <w:lvlText w:val=""/>
      <w:lvlJc w:val="left"/>
      <w:pPr>
        <w:tabs>
          <w:tab w:val="num" w:pos="1134"/>
        </w:tabs>
        <w:ind w:left="1134" w:hanging="283"/>
      </w:pPr>
      <w:rPr>
        <w:rFonts w:ascii="Symbol" w:hAnsi="Symbol"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31"/>
  </w:num>
  <w:num w:numId="7">
    <w:abstractNumId w:val="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18"/>
  </w:num>
  <w:num w:numId="13">
    <w:abstractNumId w:val="7"/>
  </w:num>
  <w:num w:numId="14">
    <w:abstractNumId w:val="12"/>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4"/>
  </w:num>
  <w:num w:numId="19">
    <w:abstractNumId w:val="17"/>
  </w:num>
  <w:num w:numId="20">
    <w:abstractNumId w:val="15"/>
  </w:num>
  <w:num w:numId="21">
    <w:abstractNumId w:val="10"/>
  </w:num>
  <w:num w:numId="22">
    <w:abstractNumId w:val="21"/>
    <w:lvlOverride w:ilvl="0">
      <w:startOverride w:val="1"/>
    </w:lvlOverride>
  </w:num>
  <w:num w:numId="23">
    <w:abstractNumId w:val="22"/>
  </w:num>
  <w:num w:numId="24">
    <w:abstractNumId w:val="9"/>
  </w:num>
  <w:num w:numId="25">
    <w:abstractNumId w:val="19"/>
  </w:num>
  <w:num w:numId="26">
    <w:abstractNumId w:val="14"/>
  </w:num>
  <w:num w:numId="27">
    <w:abstractNumId w:val="27"/>
  </w:num>
  <w:num w:numId="28">
    <w:abstractNumId w:val="30"/>
  </w:num>
  <w:num w:numId="29">
    <w:abstractNumId w:val="2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154A3AA3-650A-4BD2-A4B8-BF1FB1C51D0C"/>
    <w:docVar w:name="LW_COVERPAGE_TYPE" w:val="1"/>
    <w:docVar w:name="LW_CROSSREFERENCE" w:val="{SWD(2026) 276 final}"/>
    <w:docVar w:name="LW_DocType" w:val="NORMAL"/>
    <w:docVar w:name="LW_EMISSION" w:val="10.9.2026"/>
    <w:docVar w:name="LW_EMISSION_ISODATE" w:val="2026-09-1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s travaux des comités en 2025"/>
    <w:docVar w:name="LW_TYPE.DOC.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33D92A3E-CB4D-49DA-B63F-43DBCAEE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rPr>
  </w:style>
  <w:style w:type="paragraph" w:styleId="Heading1">
    <w:name w:val="heading 1"/>
    <w:basedOn w:val="Normal"/>
    <w:next w:val="Text1"/>
    <w:link w:val="Heading1Char"/>
    <w:qFormat/>
    <w:pPr>
      <w:keepNext/>
      <w:numPr>
        <w:numId w:val="1"/>
      </w:numPr>
      <w:spacing w:before="360" w:after="120" w:line="240" w:lineRule="auto"/>
      <w:jc w:val="both"/>
      <w:outlineLvl w:val="0"/>
    </w:pPr>
    <w:rPr>
      <w:rFonts w:ascii="Times New Roman" w:eastAsia="Times New Roman" w:hAnsi="Times New Roman"/>
      <w:b/>
      <w:bCs/>
      <w:smallCaps/>
      <w:sz w:val="24"/>
      <w:szCs w:val="32"/>
    </w:rPr>
  </w:style>
  <w:style w:type="paragraph" w:styleId="Heading2">
    <w:name w:val="heading 2"/>
    <w:basedOn w:val="Normal"/>
    <w:next w:val="Text1"/>
    <w:link w:val="Heading2Char"/>
    <w:unhideWhenUsed/>
    <w:qFormat/>
    <w:pPr>
      <w:keepNext/>
      <w:numPr>
        <w:ilvl w:val="1"/>
        <w:numId w:val="1"/>
      </w:numPr>
      <w:spacing w:before="120" w:after="120" w:line="240" w:lineRule="auto"/>
      <w:jc w:val="both"/>
      <w:outlineLvl w:val="1"/>
    </w:pPr>
    <w:rPr>
      <w:rFonts w:ascii="Times New Roman" w:eastAsia="Times New Roman" w:hAnsi="Times New Roman"/>
      <w:b/>
      <w:bCs/>
      <w:iCs/>
      <w:sz w:val="24"/>
      <w:szCs w:val="28"/>
    </w:rPr>
  </w:style>
  <w:style w:type="paragraph" w:styleId="Heading3">
    <w:name w:val="heading 3"/>
    <w:basedOn w:val="Normal"/>
    <w:next w:val="Text1"/>
    <w:link w:val="Heading3Char"/>
    <w:unhideWhenUsed/>
    <w:qFormat/>
    <w:pPr>
      <w:keepNext/>
      <w:numPr>
        <w:ilvl w:val="2"/>
        <w:numId w:val="1"/>
      </w:numPr>
      <w:spacing w:before="120" w:after="120" w:line="240" w:lineRule="auto"/>
      <w:jc w:val="both"/>
      <w:outlineLvl w:val="2"/>
    </w:pPr>
    <w:rPr>
      <w:rFonts w:ascii="Times New Roman" w:eastAsia="Times New Roman" w:hAnsi="Times New Roman"/>
      <w:bCs/>
      <w:i/>
      <w:sz w:val="24"/>
      <w:szCs w:val="26"/>
    </w:rPr>
  </w:style>
  <w:style w:type="paragraph" w:styleId="Heading4">
    <w:name w:val="heading 4"/>
    <w:basedOn w:val="Normal"/>
    <w:next w:val="Text1"/>
    <w:link w:val="Heading4Char"/>
    <w:unhideWhenUsed/>
    <w:qFormat/>
    <w:pPr>
      <w:keepNext/>
      <w:numPr>
        <w:ilvl w:val="3"/>
        <w:numId w:val="1"/>
      </w:numPr>
      <w:spacing w:before="120" w:after="120" w:line="240" w:lineRule="auto"/>
      <w:jc w:val="both"/>
      <w:outlineLvl w:val="3"/>
    </w:pPr>
    <w:rPr>
      <w:rFonts w:ascii="Times New Roman" w:eastAsia="Times New Roman" w:hAnsi="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character" w:styleId="Hyperlink">
    <w:name w:val="Hyperlink"/>
    <w:unhideWhenUsed/>
    <w:rPr>
      <w:rFonts w:ascii="Times New Roman" w:hAnsi="Times New Roman" w:cs="Times New Roman" w:hint="default"/>
      <w:color w:val="0000FF"/>
      <w:u w:val="single"/>
    </w:rPr>
  </w:style>
  <w:style w:type="character" w:styleId="FollowedHyperlink">
    <w:name w:val="FollowedHyperlink"/>
    <w:semiHidden/>
    <w:unhideWhenUsed/>
    <w:rPr>
      <w:color w:val="800080"/>
      <w:u w:val="single"/>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sz w:val="24"/>
      <w:szCs w:val="24"/>
      <w:lang w:eastAsia="en-GB"/>
    </w:rPr>
  </w:style>
  <w:style w:type="paragraph" w:styleId="TOC1">
    <w:name w:val="toc 1"/>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2">
    <w:name w:val="toc 2"/>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3">
    <w:name w:val="toc 3"/>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4">
    <w:name w:val="toc 4"/>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5">
    <w:name w:val="toc 5"/>
    <w:basedOn w:val="Normal"/>
    <w:next w:val="Normal"/>
    <w:autoRedefine/>
    <w:semiHidden/>
    <w:unhideWhenUsed/>
    <w:pPr>
      <w:tabs>
        <w:tab w:val="right" w:leader="dot" w:pos="9071"/>
      </w:tabs>
      <w:spacing w:before="300" w:after="120" w:line="240" w:lineRule="auto"/>
    </w:pPr>
    <w:rPr>
      <w:rFonts w:ascii="Times New Roman" w:eastAsia="Times New Roman" w:hAnsi="Times New Roman"/>
      <w:sz w:val="24"/>
      <w:szCs w:val="24"/>
    </w:rPr>
  </w:style>
  <w:style w:type="paragraph" w:styleId="TOC6">
    <w:name w:val="toc 6"/>
    <w:basedOn w:val="Normal"/>
    <w:next w:val="Normal"/>
    <w:autoRedefine/>
    <w:semiHidden/>
    <w:unhideWhenUsed/>
    <w:pPr>
      <w:tabs>
        <w:tab w:val="right" w:leader="dot" w:pos="9071"/>
      </w:tabs>
      <w:spacing w:before="240" w:after="120" w:line="240" w:lineRule="auto"/>
    </w:pPr>
    <w:rPr>
      <w:rFonts w:ascii="Times New Roman" w:eastAsia="Times New Roman" w:hAnsi="Times New Roman"/>
      <w:sz w:val="24"/>
      <w:szCs w:val="24"/>
    </w:rPr>
  </w:style>
  <w:style w:type="paragraph" w:styleId="TOC7">
    <w:name w:val="toc 7"/>
    <w:basedOn w:val="Normal"/>
    <w:next w:val="Normal"/>
    <w:autoRedefine/>
    <w:semiHidden/>
    <w:unhideWhenUsed/>
    <w:pPr>
      <w:tabs>
        <w:tab w:val="right" w:leader="dot" w:pos="9071"/>
      </w:tabs>
      <w:spacing w:before="180" w:after="120" w:line="240" w:lineRule="auto"/>
    </w:pPr>
    <w:rPr>
      <w:rFonts w:ascii="Times New Roman" w:eastAsia="Times New Roman" w:hAnsi="Times New Roman"/>
      <w:sz w:val="24"/>
      <w:szCs w:val="24"/>
    </w:rPr>
  </w:style>
  <w:style w:type="paragraph" w:styleId="TOC8">
    <w:name w:val="toc 8"/>
    <w:basedOn w:val="Normal"/>
    <w:next w:val="Normal"/>
    <w:autoRedefine/>
    <w:semiHidden/>
    <w:unhideWhenUsed/>
    <w:pPr>
      <w:tabs>
        <w:tab w:val="right" w:leader="dot" w:pos="9071"/>
      </w:tabs>
      <w:spacing w:before="120" w:after="120" w:line="240" w:lineRule="auto"/>
    </w:pPr>
    <w:rPr>
      <w:rFonts w:ascii="Times New Roman" w:eastAsia="Times New Roman" w:hAnsi="Times New Roman"/>
      <w:sz w:val="24"/>
      <w:szCs w:val="24"/>
    </w:rPr>
  </w:style>
  <w:style w:type="paragraph" w:styleId="TOC9">
    <w:name w:val="toc 9"/>
    <w:basedOn w:val="Normal"/>
    <w:next w:val="Normal"/>
    <w:autoRedefine/>
    <w:semiHidden/>
    <w:unhideWhenUsed/>
    <w:pPr>
      <w:tabs>
        <w:tab w:val="right" w:leader="dot" w:pos="9071"/>
      </w:tabs>
      <w:spacing w:before="120" w:after="120" w:line="240" w:lineRule="auto"/>
      <w:jc w:val="both"/>
    </w:pPr>
    <w:rPr>
      <w:rFonts w:ascii="Times New Roman" w:eastAsia="Times New Roman" w:hAnsi="Times New Roman"/>
      <w:sz w:val="24"/>
      <w:szCs w:val="24"/>
    </w:rPr>
  </w:style>
  <w:style w:type="paragraph" w:styleId="FootnoteText">
    <w:name w:val="footnote text"/>
    <w:basedOn w:val="Normal"/>
    <w:link w:val="FootnoteTextChar"/>
    <w:uiPriority w:val="99"/>
    <w:unhideWhenUsed/>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paragraph" w:styleId="CommentText">
    <w:name w:val="annotation text"/>
    <w:basedOn w:val="Normal"/>
    <w:link w:val="CommentTextChar"/>
    <w:unhideWhenUsed/>
    <w:pPr>
      <w:spacing w:before="120" w:after="120" w:line="240" w:lineRule="auto"/>
      <w:jc w:val="both"/>
    </w:pPr>
    <w:rPr>
      <w:rFonts w:ascii="Times New Roman" w:eastAsia="Times New Roman" w:hAnsi="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eastAsia="Calibri"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imes New Roman" w:hAnsi="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Caption">
    <w:name w:val="caption"/>
    <w:basedOn w:val="Normal"/>
    <w:next w:val="Normal"/>
    <w:unhideWhenUsed/>
    <w:qFormat/>
    <w:pPr>
      <w:spacing w:before="120" w:after="120" w:line="240" w:lineRule="auto"/>
      <w:jc w:val="both"/>
    </w:pPr>
    <w:rPr>
      <w:rFonts w:ascii="Times New Roman" w:eastAsia="Times New Roman" w:hAnsi="Times New Roman"/>
      <w:b/>
      <w:bCs/>
      <w:sz w:val="20"/>
      <w:szCs w:val="20"/>
    </w:rPr>
  </w:style>
  <w:style w:type="paragraph" w:styleId="TableofFigures">
    <w:name w:val="table of figures"/>
    <w:basedOn w:val="Normal"/>
    <w:next w:val="Normal"/>
    <w:semiHidden/>
    <w:unhideWhenUsed/>
    <w:pPr>
      <w:spacing w:before="120" w:after="120" w:line="240" w:lineRule="auto"/>
      <w:jc w:val="both"/>
    </w:pPr>
    <w:rPr>
      <w:rFonts w:ascii="Times New Roman" w:eastAsia="Times New Roman" w:hAnsi="Times New Roman"/>
      <w:sz w:val="24"/>
      <w:szCs w:val="24"/>
    </w:rPr>
  </w:style>
  <w:style w:type="paragraph" w:styleId="EndnoteText">
    <w:name w:val="endnote text"/>
    <w:basedOn w:val="Normal"/>
    <w:link w:val="EndnoteTextChar"/>
    <w:semiHidden/>
    <w:unhideWhenUsed/>
    <w:pPr>
      <w:spacing w:before="120" w:after="120" w:line="240" w:lineRule="auto"/>
      <w:jc w:val="both"/>
    </w:pPr>
    <w:rPr>
      <w:rFonts w:ascii="Times New Roman" w:eastAsia="Times New Roman" w:hAnsi="Times New Roman"/>
      <w:sz w:val="20"/>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rPr>
  </w:style>
  <w:style w:type="paragraph" w:styleId="ListBullet">
    <w:name w:val="List Bullet"/>
    <w:basedOn w:val="Normal"/>
    <w:semiHidden/>
    <w:unhideWhenUsed/>
    <w:pPr>
      <w:numPr>
        <w:numId w:val="2"/>
      </w:numPr>
      <w:tabs>
        <w:tab w:val="clear" w:pos="283"/>
        <w:tab w:val="num" w:pos="360"/>
      </w:tabs>
      <w:spacing w:before="120" w:after="120" w:line="240" w:lineRule="auto"/>
      <w:ind w:left="0" w:firstLine="0"/>
      <w:jc w:val="both"/>
    </w:pPr>
    <w:rPr>
      <w:rFonts w:ascii="Times New Roman" w:eastAsia="Times New Roman" w:hAnsi="Times New Roman"/>
      <w:sz w:val="24"/>
      <w:szCs w:val="24"/>
      <w:lang w:eastAsia="de-DE"/>
    </w:rPr>
  </w:style>
  <w:style w:type="paragraph" w:styleId="ListNumber">
    <w:name w:val="List Number"/>
    <w:basedOn w:val="Normal"/>
    <w:unhideWhenUsed/>
    <w:pPr>
      <w:numPr>
        <w:numId w:val="3"/>
      </w:numPr>
      <w:spacing w:before="120" w:after="120" w:line="240" w:lineRule="auto"/>
      <w:jc w:val="both"/>
    </w:pPr>
    <w:rPr>
      <w:rFonts w:ascii="Times New Roman" w:eastAsia="Times New Roman" w:hAnsi="Times New Roman"/>
      <w:sz w:val="24"/>
      <w:szCs w:val="24"/>
      <w:lang w:eastAsia="de-DE"/>
    </w:rPr>
  </w:style>
  <w:style w:type="paragraph" w:styleId="ListBullet2">
    <w:name w:val="List Bullet 2"/>
    <w:basedOn w:val="Normal"/>
    <w:semiHidden/>
    <w:unhideWhenUsed/>
    <w:pPr>
      <w:numPr>
        <w:numId w:val="4"/>
      </w:numPr>
      <w:spacing w:before="120" w:after="120" w:line="240" w:lineRule="auto"/>
      <w:jc w:val="both"/>
    </w:pPr>
    <w:rPr>
      <w:rFonts w:ascii="Times New Roman" w:eastAsia="Times New Roman" w:hAnsi="Times New Roman"/>
      <w:sz w:val="24"/>
      <w:szCs w:val="24"/>
      <w:lang w:eastAsia="de-DE"/>
    </w:rPr>
  </w:style>
  <w:style w:type="paragraph" w:styleId="ListBullet3">
    <w:name w:val="List Bullet 3"/>
    <w:basedOn w:val="Normal"/>
    <w:semiHidden/>
    <w:unhideWhenUsed/>
    <w:pPr>
      <w:numPr>
        <w:numId w:val="5"/>
      </w:numPr>
      <w:spacing w:before="120" w:after="120" w:line="240" w:lineRule="auto"/>
      <w:jc w:val="both"/>
    </w:pPr>
    <w:rPr>
      <w:rFonts w:ascii="Times New Roman" w:eastAsia="Times New Roman" w:hAnsi="Times New Roman"/>
      <w:sz w:val="24"/>
      <w:szCs w:val="24"/>
      <w:lang w:eastAsia="de-DE"/>
    </w:rPr>
  </w:style>
  <w:style w:type="paragraph" w:styleId="ListBullet4">
    <w:name w:val="List Bullet 4"/>
    <w:basedOn w:val="Normal"/>
    <w:semiHidden/>
    <w:unhideWhenUsed/>
    <w:pPr>
      <w:numPr>
        <w:numId w:val="6"/>
      </w:numPr>
      <w:spacing w:before="120" w:after="120" w:line="240" w:lineRule="auto"/>
      <w:jc w:val="both"/>
    </w:pPr>
    <w:rPr>
      <w:rFonts w:ascii="Times New Roman" w:eastAsia="Times New Roman" w:hAnsi="Times New Roman"/>
      <w:sz w:val="24"/>
      <w:szCs w:val="24"/>
      <w:lang w:eastAsia="de-DE"/>
    </w:rPr>
  </w:style>
  <w:style w:type="paragraph" w:styleId="ListNumber2">
    <w:name w:val="List Number 2"/>
    <w:basedOn w:val="Normal"/>
    <w:semiHidden/>
    <w:unhideWhenUsed/>
    <w:pPr>
      <w:numPr>
        <w:numId w:val="7"/>
      </w:numPr>
      <w:spacing w:before="120" w:after="120" w:line="240" w:lineRule="auto"/>
      <w:jc w:val="both"/>
    </w:pPr>
    <w:rPr>
      <w:rFonts w:ascii="Times New Roman" w:eastAsia="Times New Roman" w:hAnsi="Times New Roman"/>
      <w:sz w:val="24"/>
      <w:szCs w:val="24"/>
      <w:lang w:eastAsia="de-DE"/>
    </w:rPr>
  </w:style>
  <w:style w:type="paragraph" w:styleId="ListNumber3">
    <w:name w:val="List Number 3"/>
    <w:basedOn w:val="Normal"/>
    <w:semiHidden/>
    <w:unhideWhenUsed/>
    <w:pPr>
      <w:numPr>
        <w:numId w:val="8"/>
      </w:numPr>
      <w:spacing w:before="120" w:after="120" w:line="240" w:lineRule="auto"/>
      <w:jc w:val="both"/>
    </w:pPr>
    <w:rPr>
      <w:rFonts w:ascii="Times New Roman" w:eastAsia="Times New Roman" w:hAnsi="Times New Roman"/>
      <w:sz w:val="24"/>
      <w:szCs w:val="24"/>
      <w:lang w:eastAsia="de-DE"/>
    </w:rPr>
  </w:style>
  <w:style w:type="paragraph" w:styleId="ListNumber4">
    <w:name w:val="List Number 4"/>
    <w:basedOn w:val="Normal"/>
    <w:semiHidden/>
    <w:unhideWhenUsed/>
    <w:pPr>
      <w:numPr>
        <w:numId w:val="9"/>
      </w:numPr>
      <w:spacing w:before="120" w:after="120" w:line="240" w:lineRule="auto"/>
      <w:jc w:val="both"/>
    </w:pPr>
    <w:rPr>
      <w:rFonts w:ascii="Times New Roman" w:eastAsia="Times New Roman" w:hAnsi="Times New Roman"/>
      <w:sz w:val="24"/>
      <w:szCs w:val="24"/>
      <w:lang w:eastAsia="de-DE"/>
    </w:rPr>
  </w:style>
  <w:style w:type="paragraph" w:styleId="CommentSubject">
    <w:name w:val="annotation subject"/>
    <w:basedOn w:val="CommentText"/>
    <w:next w:val="CommentText"/>
    <w:link w:val="CommentSubjectChar"/>
    <w:semiHidden/>
    <w:unhideWhenUsed/>
    <w:rPr>
      <w:b/>
      <w:bCs/>
      <w:lang w:eastAsia="de-DE"/>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eastAsia="de-DE"/>
    </w:rPr>
  </w:style>
  <w:style w:type="paragraph" w:styleId="BalloonText">
    <w:name w:val="Balloon Text"/>
    <w:basedOn w:val="Normal"/>
    <w:link w:val="BalloonTextChar"/>
    <w:semiHidden/>
    <w:unhideWhenUsed/>
    <w:pPr>
      <w:spacing w:before="120" w:after="120" w:line="240" w:lineRule="auto"/>
      <w:jc w:val="both"/>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semiHidden/>
    <w:rPr>
      <w:rFonts w:ascii="Tahoma" w:eastAsia="Times New Roman" w:hAnsi="Tahoma" w:cs="Tahoma"/>
      <w:sz w:val="16"/>
      <w:szCs w:val="16"/>
      <w:lang w:eastAsia="de-DE"/>
    </w:rPr>
  </w:style>
  <w:style w:type="paragraph" w:styleId="Revision">
    <w:name w:val="Revision"/>
    <w:uiPriority w:val="99"/>
    <w:semiHidden/>
    <w:pPr>
      <w:spacing w:after="0" w:line="240" w:lineRule="auto"/>
    </w:pPr>
    <w:rPr>
      <w:rFonts w:ascii="Times New Roman" w:eastAsia="Times New Roman" w:hAnsi="Times New Roman" w:cs="Times New Roman"/>
      <w:sz w:val="24"/>
      <w:szCs w:val="24"/>
    </w:rPr>
  </w:style>
  <w:style w:type="paragraph" w:styleId="TOCHeading">
    <w:name w:val="TOC Heading"/>
    <w:basedOn w:val="Normal"/>
    <w:next w:val="Normal"/>
    <w:unhideWhenUsed/>
    <w:qFormat/>
    <w:pPr>
      <w:spacing w:before="120" w:after="240" w:line="240" w:lineRule="auto"/>
      <w:jc w:val="center"/>
    </w:pPr>
    <w:rPr>
      <w:rFonts w:ascii="Times New Roman" w:eastAsia="Times New Roman" w:hAnsi="Times New Roman"/>
      <w:b/>
      <w:sz w:val="28"/>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sz w:val="24"/>
      <w:szCs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sz w:val="24"/>
      <w:szCs w:val="24"/>
    </w:r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sz w:val="24"/>
      <w:szCs w:val="24"/>
    </w:rPr>
  </w:style>
  <w:style w:type="paragraph" w:customStyle="1" w:styleId="NumPar1">
    <w:name w:val="NumPar 1"/>
    <w:basedOn w:val="Normal"/>
    <w:next w:val="Text1"/>
    <w:pPr>
      <w:numPr>
        <w:numId w:val="15"/>
      </w:numPr>
      <w:spacing w:before="120" w:after="120" w:line="240" w:lineRule="auto"/>
      <w:jc w:val="both"/>
    </w:pPr>
    <w:rPr>
      <w:rFonts w:ascii="Times New Roman" w:eastAsia="Times New Roman" w:hAnsi="Times New Roman"/>
      <w:sz w:val="24"/>
      <w:szCs w:val="24"/>
    </w:rPr>
  </w:style>
  <w:style w:type="paragraph" w:customStyle="1" w:styleId="NumPar2">
    <w:name w:val="NumPar 2"/>
    <w:basedOn w:val="Normal"/>
    <w:next w:val="Text1"/>
    <w:pPr>
      <w:numPr>
        <w:ilvl w:val="1"/>
        <w:numId w:val="15"/>
      </w:numPr>
      <w:spacing w:before="120" w:after="120" w:line="240" w:lineRule="auto"/>
      <w:jc w:val="both"/>
    </w:pPr>
    <w:rPr>
      <w:rFonts w:ascii="Times New Roman" w:eastAsia="Times New Roman" w:hAnsi="Times New Roman"/>
      <w:sz w:val="24"/>
      <w:szCs w:val="24"/>
    </w:rPr>
  </w:style>
  <w:style w:type="paragraph" w:customStyle="1" w:styleId="NumPar3">
    <w:name w:val="NumPar 3"/>
    <w:basedOn w:val="Normal"/>
    <w:next w:val="Text1"/>
    <w:pPr>
      <w:numPr>
        <w:ilvl w:val="2"/>
        <w:numId w:val="15"/>
      </w:numPr>
      <w:spacing w:before="120" w:after="120" w:line="240" w:lineRule="auto"/>
      <w:jc w:val="both"/>
    </w:pPr>
    <w:rPr>
      <w:rFonts w:ascii="Times New Roman" w:eastAsia="Times New Roman" w:hAnsi="Times New Roman"/>
      <w:sz w:val="24"/>
      <w:szCs w:val="24"/>
    </w:rPr>
  </w:style>
  <w:style w:type="paragraph" w:customStyle="1" w:styleId="NumPar4">
    <w:name w:val="NumPar 4"/>
    <w:basedOn w:val="Normal"/>
    <w:next w:val="Text1"/>
    <w:pPr>
      <w:numPr>
        <w:ilvl w:val="3"/>
        <w:numId w:val="15"/>
      </w:numPr>
      <w:spacing w:before="120" w:after="120" w:line="240" w:lineRule="auto"/>
      <w:jc w:val="both"/>
    </w:pPr>
    <w:rPr>
      <w:rFonts w:ascii="Times New Roman" w:eastAsia="Times New Roman" w:hAnsi="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b/>
      <w:sz w:val="24"/>
      <w:szCs w:val="24"/>
    </w:rPr>
  </w:style>
  <w:style w:type="paragraph" w:customStyle="1" w:styleId="Point0number">
    <w:name w:val="Point 0 (number)"/>
    <w:basedOn w:val="Normal"/>
    <w:pPr>
      <w:numPr>
        <w:numId w:val="16"/>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ormal"/>
    <w:pPr>
      <w:numPr>
        <w:ilvl w:val="2"/>
        <w:numId w:val="16"/>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ormal"/>
    <w:pPr>
      <w:numPr>
        <w:ilvl w:val="4"/>
        <w:numId w:val="16"/>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ormal"/>
    <w:pPr>
      <w:numPr>
        <w:ilvl w:val="6"/>
        <w:numId w:val="16"/>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ormal"/>
    <w:pPr>
      <w:numPr>
        <w:ilvl w:val="1"/>
        <w:numId w:val="16"/>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ormal"/>
    <w:pPr>
      <w:numPr>
        <w:ilvl w:val="3"/>
        <w:numId w:val="16"/>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ormal"/>
    <w:pPr>
      <w:numPr>
        <w:ilvl w:val="5"/>
        <w:numId w:val="16"/>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ormal"/>
    <w:pPr>
      <w:numPr>
        <w:ilvl w:val="7"/>
        <w:numId w:val="16"/>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ormal"/>
    <w:pPr>
      <w:numPr>
        <w:ilvl w:val="8"/>
        <w:numId w:val="16"/>
      </w:numPr>
      <w:spacing w:before="120" w:after="120" w:line="240" w:lineRule="auto"/>
      <w:jc w:val="both"/>
    </w:pPr>
    <w:rPr>
      <w:rFonts w:ascii="Times New Roman" w:eastAsia="Times New Roman" w:hAnsi="Times New Roman"/>
      <w:sz w:val="24"/>
      <w:szCs w:val="24"/>
    </w:rPr>
  </w:style>
  <w:style w:type="paragraph" w:customStyle="1" w:styleId="Bullet0">
    <w:name w:val="Bullet 0"/>
    <w:basedOn w:val="Normal"/>
    <w:pPr>
      <w:numPr>
        <w:numId w:val="17"/>
      </w:numPr>
      <w:spacing w:before="120" w:after="120" w:line="240" w:lineRule="auto"/>
      <w:jc w:val="both"/>
    </w:pPr>
    <w:rPr>
      <w:rFonts w:ascii="Times New Roman" w:eastAsia="Times New Roman" w:hAnsi="Times New Roman"/>
      <w:sz w:val="24"/>
      <w:szCs w:val="24"/>
    </w:rPr>
  </w:style>
  <w:style w:type="paragraph" w:customStyle="1" w:styleId="Bullet1">
    <w:name w:val="Bullet 1"/>
    <w:basedOn w:val="Normal"/>
    <w:pPr>
      <w:numPr>
        <w:numId w:val="18"/>
      </w:numPr>
      <w:spacing w:before="120" w:after="120" w:line="240" w:lineRule="auto"/>
      <w:jc w:val="both"/>
    </w:pPr>
    <w:rPr>
      <w:rFonts w:ascii="Times New Roman" w:eastAsia="Times New Roman" w:hAnsi="Times New Roman"/>
      <w:sz w:val="24"/>
      <w:szCs w:val="24"/>
    </w:rPr>
  </w:style>
  <w:style w:type="paragraph" w:customStyle="1" w:styleId="Bullet2">
    <w:name w:val="Bullet 2"/>
    <w:basedOn w:val="Normal"/>
    <w:pPr>
      <w:numPr>
        <w:numId w:val="19"/>
      </w:numPr>
      <w:spacing w:before="120" w:after="120" w:line="240" w:lineRule="auto"/>
      <w:jc w:val="both"/>
    </w:pPr>
    <w:rPr>
      <w:rFonts w:ascii="Times New Roman" w:eastAsia="Times New Roman" w:hAnsi="Times New Roman"/>
      <w:sz w:val="24"/>
      <w:szCs w:val="24"/>
    </w:rPr>
  </w:style>
  <w:style w:type="paragraph" w:customStyle="1" w:styleId="Bullet3">
    <w:name w:val="Bullet 3"/>
    <w:basedOn w:val="Normal"/>
    <w:pPr>
      <w:numPr>
        <w:numId w:val="20"/>
      </w:numPr>
      <w:spacing w:before="120" w:after="120" w:line="240" w:lineRule="auto"/>
      <w:jc w:val="both"/>
    </w:pPr>
    <w:rPr>
      <w:rFonts w:ascii="Times New Roman" w:eastAsia="Times New Roman" w:hAnsi="Times New Roman"/>
      <w:sz w:val="24"/>
      <w:szCs w:val="24"/>
    </w:rPr>
  </w:style>
  <w:style w:type="paragraph" w:customStyle="1" w:styleId="Bullet4">
    <w:name w:val="Bullet 4"/>
    <w:basedOn w:val="Normal"/>
    <w:pPr>
      <w:numPr>
        <w:numId w:val="21"/>
      </w:numPr>
      <w:spacing w:before="120" w:after="120" w:line="240" w:lineRule="auto"/>
      <w:jc w:val="both"/>
    </w:pPr>
    <w:rPr>
      <w:rFonts w:ascii="Times New Roman" w:eastAsia="Times New Roman" w:hAnsi="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i/>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sz w:val="24"/>
      <w:szCs w:val="24"/>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sz w:val="24"/>
      <w:szCs w:val="24"/>
    </w:rPr>
  </w:style>
  <w:style w:type="paragraph" w:customStyle="1" w:styleId="TypedudocumentPagedecouverture">
    <w:name w:val="Type du document (Page de couverture)"/>
    <w:basedOn w:val="Normal"/>
    <w:pPr>
      <w:spacing w:before="120" w:after="120" w:line="240" w:lineRule="auto"/>
      <w:jc w:val="both"/>
    </w:pPr>
    <w:rPr>
      <w:rFonts w:ascii="Times New Roman" w:eastAsia="Times New Roman" w:hAnsi="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i/>
      <w:sz w:val="32"/>
      <w:szCs w:val="24"/>
    </w:rPr>
  </w:style>
  <w:style w:type="paragraph" w:customStyle="1" w:styleId="Sous-titreobjet">
    <w:name w:val="Sous-titre objet"/>
    <w:basedOn w:val="Normal"/>
    <w:pPr>
      <w:spacing w:after="0" w:line="240" w:lineRule="auto"/>
      <w:jc w:val="center"/>
    </w:pPr>
    <w:rPr>
      <w:rFonts w:ascii="Times New Roman" w:eastAsia="Times New Roman" w:hAnsi="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b/>
      <w:sz w:val="24"/>
      <w:szCs w:val="24"/>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Sous-titreobjetPagedecouverture">
    <w:name w:val="Sous-titre objet (Page de couverture)"/>
    <w:basedOn w:val="Sous-titreobjet"/>
  </w:style>
  <w:style w:type="paragraph" w:customStyle="1" w:styleId="TitreobjetPagedecouverture">
    <w:name w:val="Titre objet (Page de couverture)"/>
    <w:basedOn w:val="Titreobjet"/>
    <w:next w:val="Sous-titreobjetPagedecouverture"/>
  </w:style>
  <w:style w:type="paragraph" w:customStyle="1" w:styleId="Considrant">
    <w:name w:val="Considérant"/>
    <w:basedOn w:val="Normal"/>
    <w:pPr>
      <w:numPr>
        <w:numId w:val="22"/>
      </w:numPr>
      <w:spacing w:before="120" w:after="120" w:line="240" w:lineRule="auto"/>
      <w:jc w:val="both"/>
    </w:pPr>
    <w:rPr>
      <w:rFonts w:ascii="Times New Roman" w:eastAsia="Times New Roman" w:hAnsi="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i/>
      <w:sz w:val="24"/>
      <w:szCs w:val="24"/>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b/>
      <w:caps/>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i/>
      <w:caps/>
      <w:sz w:val="24"/>
      <w:szCs w:val="24"/>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b/>
      <w:sz w:val="24"/>
      <w:szCs w:val="24"/>
    </w:rPr>
  </w:style>
  <w:style w:type="paragraph" w:customStyle="1" w:styleId="Languesfaisantfoi">
    <w:name w:val="Langues faisant foi"/>
    <w:basedOn w:val="Normal"/>
    <w:next w:val="Normal"/>
    <w:pPr>
      <w:spacing w:before="360" w:after="240" w:line="240" w:lineRule="auto"/>
      <w:jc w:val="center"/>
    </w:pPr>
    <w:rPr>
      <w:rFonts w:ascii="Times New Roman" w:eastAsiaTheme="minorHAnsi" w:hAnsi="Times New Roman"/>
      <w:sz w:val="24"/>
    </w:rPr>
  </w:style>
  <w:style w:type="paragraph" w:customStyle="1" w:styleId="Rfrencecroise">
    <w:name w:val="Référence croisée"/>
    <w:basedOn w:val="Normal"/>
    <w:pPr>
      <w:spacing w:after="0" w:line="240" w:lineRule="auto"/>
      <w:jc w:val="center"/>
    </w:pPr>
    <w:rPr>
      <w:rFonts w:ascii="Times New Roman" w:eastAsia="Times New Roman" w:hAnsi="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sz w:val="24"/>
      <w:szCs w:val="24"/>
    </w:rPr>
  </w:style>
  <w:style w:type="paragraph" w:customStyle="1" w:styleId="IntrtEEE">
    <w:name w:val="Intérêt EEE"/>
    <w:basedOn w:val="Languesfaisantfoi"/>
    <w:next w:val="Normal"/>
    <w:pPr>
      <w:spacing w:after="0"/>
    </w:p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b/>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b/>
      <w:sz w:val="24"/>
      <w:szCs w:val="24"/>
    </w:r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b/>
      <w:i/>
      <w:sz w:val="24"/>
      <w:szCs w:val="24"/>
    </w:rPr>
  </w:style>
  <w:style w:type="paragraph" w:customStyle="1" w:styleId="IntrtEEEPagedecouverture">
    <w:name w:val="Intérêt EEE (Page de couverture)"/>
    <w:basedOn w:val="IntrtEEE"/>
    <w:next w:val="Normal"/>
  </w:style>
  <w:style w:type="paragraph" w:customStyle="1" w:styleId="ObjetacteprincipalPagedecouverture">
    <w:name w:val="Objet acte principal (Page de couverture)"/>
    <w:basedOn w:val="Objetacteprincipal"/>
    <w:next w:val="Rfrencecroise"/>
  </w:style>
  <w:style w:type="paragraph" w:customStyle="1" w:styleId="TypeacteprincipalPagedecouverture">
    <w:name w:val="Type acte principal (Page de couverture)"/>
    <w:basedOn w:val="Typeacteprincipal"/>
    <w:next w:val="ObjetacteprincipalPagedecouverture"/>
  </w:style>
  <w:style w:type="paragraph" w:customStyle="1" w:styleId="AccompagnantPagedecouverture">
    <w:name w:val="Accompagnant (Page de couverture)"/>
    <w:basedOn w:val="Accompagnant"/>
    <w:next w:val="TypeacteprincipalPagedecouverture"/>
  </w:style>
  <w:style w:type="paragraph" w:customStyle="1" w:styleId="LanguesfaisantfoiPagedecouverture">
    <w:name w:val="Langues faisant foi (Page de couverture)"/>
    <w:basedOn w:val="Normal"/>
    <w:next w:val="Rfrencecroise"/>
    <w:pPr>
      <w:spacing w:before="360" w:after="240" w:line="240" w:lineRule="auto"/>
      <w:jc w:val="center"/>
    </w:pPr>
    <w:rPr>
      <w:rFonts w:ascii="Times New Roman" w:eastAsiaTheme="minorHAnsi" w:hAnsi="Times New Roman"/>
      <w:sz w:val="24"/>
    </w:rPr>
  </w:style>
  <w:style w:type="paragraph" w:customStyle="1" w:styleId="ListBullet1">
    <w:name w:val="List Bullet 1"/>
    <w:basedOn w:val="Normal"/>
    <w:pPr>
      <w:numPr>
        <w:numId w:val="23"/>
      </w:numPr>
      <w:spacing w:before="120" w:after="120" w:line="240" w:lineRule="auto"/>
      <w:jc w:val="both"/>
    </w:pPr>
    <w:rPr>
      <w:rFonts w:ascii="Times New Roman" w:eastAsia="Times New Roman" w:hAnsi="Times New Roman"/>
      <w:sz w:val="24"/>
      <w:szCs w:val="24"/>
      <w:lang w:eastAsia="de-DE"/>
    </w:rPr>
  </w:style>
  <w:style w:type="paragraph" w:customStyle="1" w:styleId="ListDash">
    <w:name w:val="List Dash"/>
    <w:basedOn w:val="Normal"/>
    <w:pPr>
      <w:numPr>
        <w:numId w:val="24"/>
      </w:numPr>
      <w:spacing w:before="120" w:after="120" w:line="240" w:lineRule="auto"/>
      <w:jc w:val="both"/>
    </w:pPr>
    <w:rPr>
      <w:rFonts w:ascii="Times New Roman" w:eastAsia="Times New Roman" w:hAnsi="Times New Roman"/>
      <w:sz w:val="24"/>
      <w:szCs w:val="24"/>
      <w:lang w:eastAsia="de-DE"/>
    </w:rPr>
  </w:style>
  <w:style w:type="paragraph" w:customStyle="1" w:styleId="ListDash1">
    <w:name w:val="List Dash 1"/>
    <w:basedOn w:val="Normal"/>
    <w:pPr>
      <w:numPr>
        <w:numId w:val="25"/>
      </w:numPr>
      <w:spacing w:before="120" w:after="120" w:line="240" w:lineRule="auto"/>
      <w:jc w:val="both"/>
    </w:pPr>
    <w:rPr>
      <w:rFonts w:ascii="Times New Roman" w:eastAsia="Times New Roman" w:hAnsi="Times New Roman"/>
      <w:sz w:val="24"/>
      <w:szCs w:val="24"/>
      <w:lang w:eastAsia="de-DE"/>
    </w:rPr>
  </w:style>
  <w:style w:type="paragraph" w:customStyle="1" w:styleId="ListDash2">
    <w:name w:val="List Dash 2"/>
    <w:basedOn w:val="Normal"/>
    <w:pPr>
      <w:numPr>
        <w:numId w:val="26"/>
      </w:numPr>
      <w:spacing w:before="120" w:after="120" w:line="240" w:lineRule="auto"/>
      <w:jc w:val="both"/>
    </w:pPr>
    <w:rPr>
      <w:rFonts w:ascii="Times New Roman" w:eastAsia="Times New Roman" w:hAnsi="Times New Roman"/>
      <w:sz w:val="24"/>
      <w:szCs w:val="24"/>
      <w:lang w:eastAsia="de-DE"/>
    </w:rPr>
  </w:style>
  <w:style w:type="paragraph" w:customStyle="1" w:styleId="ListDash3">
    <w:name w:val="List Dash 3"/>
    <w:basedOn w:val="Normal"/>
    <w:pPr>
      <w:numPr>
        <w:numId w:val="27"/>
      </w:numPr>
      <w:spacing w:before="120" w:after="120" w:line="240" w:lineRule="auto"/>
      <w:jc w:val="both"/>
    </w:pPr>
    <w:rPr>
      <w:rFonts w:ascii="Times New Roman" w:eastAsia="Times New Roman" w:hAnsi="Times New Roman"/>
      <w:sz w:val="24"/>
      <w:szCs w:val="24"/>
      <w:lang w:eastAsia="de-DE"/>
    </w:rPr>
  </w:style>
  <w:style w:type="paragraph" w:customStyle="1" w:styleId="ListDash4">
    <w:name w:val="List Dash 4"/>
    <w:basedOn w:val="Normal"/>
    <w:pPr>
      <w:numPr>
        <w:numId w:val="28"/>
      </w:numPr>
      <w:spacing w:before="120" w:after="120" w:line="240" w:lineRule="auto"/>
      <w:jc w:val="both"/>
    </w:pPr>
    <w:rPr>
      <w:rFonts w:ascii="Times New Roman" w:eastAsia="Times New Roman" w:hAnsi="Times New Roman"/>
      <w:sz w:val="24"/>
      <w:szCs w:val="24"/>
      <w:lang w:eastAsia="de-DE"/>
    </w:rPr>
  </w:style>
  <w:style w:type="paragraph" w:customStyle="1" w:styleId="ListNumber1">
    <w:name w:val="List Number 1"/>
    <w:basedOn w:val="Text1"/>
    <w:pPr>
      <w:numPr>
        <w:numId w:val="29"/>
      </w:numPr>
    </w:pPr>
    <w:rPr>
      <w:lang w:eastAsia="de-DE"/>
    </w:rPr>
  </w:style>
  <w:style w:type="paragraph" w:customStyle="1" w:styleId="ListNumberLevel2">
    <w:name w:val="List Number (Level 2)"/>
    <w:basedOn w:val="Normal"/>
    <w:pPr>
      <w:numPr>
        <w:ilvl w:val="1"/>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2">
    <w:name w:val="List Number 1 (Level 2)"/>
    <w:basedOn w:val="Text1"/>
    <w:pPr>
      <w:numPr>
        <w:ilvl w:val="1"/>
        <w:numId w:val="29"/>
      </w:numPr>
    </w:pPr>
    <w:rPr>
      <w:lang w:eastAsia="de-DE"/>
    </w:rPr>
  </w:style>
  <w:style w:type="paragraph" w:customStyle="1" w:styleId="ListNumber2Level2">
    <w:name w:val="List Number 2 (Level 2)"/>
    <w:basedOn w:val="Text2"/>
    <w:pPr>
      <w:numPr>
        <w:ilvl w:val="1"/>
        <w:numId w:val="7"/>
      </w:numPr>
    </w:pPr>
    <w:rPr>
      <w:lang w:eastAsia="de-DE"/>
    </w:rPr>
  </w:style>
  <w:style w:type="paragraph" w:customStyle="1" w:styleId="ListNumber3Level2">
    <w:name w:val="List Number 3 (Level 2)"/>
    <w:basedOn w:val="Text3"/>
    <w:pPr>
      <w:numPr>
        <w:ilvl w:val="1"/>
        <w:numId w:val="8"/>
      </w:numPr>
    </w:pPr>
    <w:rPr>
      <w:lang w:eastAsia="de-DE"/>
    </w:rPr>
  </w:style>
  <w:style w:type="paragraph" w:customStyle="1" w:styleId="ListNumber4Level2">
    <w:name w:val="List Number 4 (Level 2)"/>
    <w:basedOn w:val="Text4"/>
    <w:pPr>
      <w:numPr>
        <w:ilvl w:val="1"/>
        <w:numId w:val="9"/>
      </w:numPr>
    </w:pPr>
    <w:rPr>
      <w:lang w:eastAsia="de-DE"/>
    </w:rPr>
  </w:style>
  <w:style w:type="paragraph" w:customStyle="1" w:styleId="ListNumberLevel3">
    <w:name w:val="List Number (Level 3)"/>
    <w:basedOn w:val="Normal"/>
    <w:pPr>
      <w:numPr>
        <w:ilvl w:val="2"/>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3">
    <w:name w:val="List Number 1 (Level 3)"/>
    <w:basedOn w:val="Text1"/>
    <w:pPr>
      <w:numPr>
        <w:ilvl w:val="2"/>
        <w:numId w:val="29"/>
      </w:numPr>
    </w:pPr>
    <w:rPr>
      <w:lang w:eastAsia="de-DE"/>
    </w:rPr>
  </w:style>
  <w:style w:type="paragraph" w:customStyle="1" w:styleId="ListNumber2Level3">
    <w:name w:val="List Number 2 (Level 3)"/>
    <w:basedOn w:val="Text2"/>
    <w:pPr>
      <w:numPr>
        <w:ilvl w:val="2"/>
        <w:numId w:val="7"/>
      </w:numPr>
    </w:pPr>
    <w:rPr>
      <w:lang w:eastAsia="de-DE"/>
    </w:rPr>
  </w:style>
  <w:style w:type="paragraph" w:customStyle="1" w:styleId="ListNumber3Level3">
    <w:name w:val="List Number 3 (Level 3)"/>
    <w:basedOn w:val="Text3"/>
    <w:pPr>
      <w:numPr>
        <w:ilvl w:val="2"/>
        <w:numId w:val="8"/>
      </w:numPr>
    </w:pPr>
    <w:rPr>
      <w:lang w:eastAsia="de-DE"/>
    </w:rPr>
  </w:style>
  <w:style w:type="paragraph" w:customStyle="1" w:styleId="ListNumber4Level3">
    <w:name w:val="List Number 4 (Level 3)"/>
    <w:basedOn w:val="Text4"/>
    <w:pPr>
      <w:numPr>
        <w:ilvl w:val="2"/>
        <w:numId w:val="9"/>
      </w:numPr>
    </w:pPr>
    <w:rPr>
      <w:lang w:eastAsia="de-DE"/>
    </w:rPr>
  </w:style>
  <w:style w:type="paragraph" w:customStyle="1" w:styleId="ListNumberLevel4">
    <w:name w:val="List Number (Level 4)"/>
    <w:basedOn w:val="Normal"/>
    <w:pPr>
      <w:numPr>
        <w:ilvl w:val="3"/>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4">
    <w:name w:val="List Number 1 (Level 4)"/>
    <w:basedOn w:val="Text1"/>
    <w:pPr>
      <w:numPr>
        <w:ilvl w:val="3"/>
        <w:numId w:val="29"/>
      </w:numPr>
    </w:pPr>
    <w:rPr>
      <w:lang w:eastAsia="de-DE"/>
    </w:rPr>
  </w:style>
  <w:style w:type="paragraph" w:customStyle="1" w:styleId="ListNumber2Level4">
    <w:name w:val="List Number 2 (Level 4)"/>
    <w:basedOn w:val="Text2"/>
    <w:pPr>
      <w:numPr>
        <w:ilvl w:val="3"/>
        <w:numId w:val="7"/>
      </w:numPr>
    </w:pPr>
    <w:rPr>
      <w:lang w:eastAsia="de-DE"/>
    </w:rPr>
  </w:style>
  <w:style w:type="paragraph" w:customStyle="1" w:styleId="ListNumber3Level4">
    <w:name w:val="List Number 3 (Level 4)"/>
    <w:basedOn w:val="Text3"/>
    <w:pPr>
      <w:numPr>
        <w:ilvl w:val="3"/>
        <w:numId w:val="8"/>
      </w:numPr>
    </w:pPr>
    <w:rPr>
      <w:lang w:eastAsia="de-DE"/>
    </w:rPr>
  </w:style>
  <w:style w:type="paragraph" w:customStyle="1" w:styleId="ListNumber4Level4">
    <w:name w:val="List Number 4 (Level 4)"/>
    <w:basedOn w:val="Text4"/>
    <w:pPr>
      <w:numPr>
        <w:ilvl w:val="3"/>
        <w:numId w:val="9"/>
      </w:numPr>
    </w:pPr>
    <w:rPr>
      <w:lang w:eastAsia="de-DE"/>
    </w:rPr>
  </w:style>
  <w:style w:type="paragraph" w:customStyle="1" w:styleId="Rfrenceinterinstitutionelleprliminaire">
    <w:name w:val="Référence interinstitutionelle (préliminaire)"/>
    <w:basedOn w:val="Normal"/>
    <w:next w:val="Normal"/>
    <w:pPr>
      <w:spacing w:after="0" w:line="240" w:lineRule="auto"/>
      <w:ind w:left="5103"/>
    </w:pPr>
    <w:rPr>
      <w:rFonts w:ascii="Times New Roman" w:eastAsia="Times New Roman" w:hAnsi="Times New Roman"/>
      <w:sz w:val="24"/>
      <w:szCs w:val="24"/>
      <w:lang w:eastAsia="de-DE"/>
    </w:rPr>
  </w:style>
  <w:style w:type="paragraph" w:customStyle="1" w:styleId="Sous-titreobjetprliminaire">
    <w:name w:val="Sous-titre objet (préliminaire)"/>
    <w:basedOn w:val="Normal"/>
    <w:pPr>
      <w:spacing w:after="0" w:line="240" w:lineRule="auto"/>
      <w:jc w:val="center"/>
    </w:pPr>
    <w:rPr>
      <w:rFonts w:ascii="Times New Roman" w:eastAsia="Times New Roman" w:hAnsi="Times New Roman"/>
      <w:b/>
      <w:sz w:val="24"/>
      <w:szCs w:val="24"/>
      <w:lang w:eastAsia="de-DE"/>
    </w:rPr>
  </w:style>
  <w:style w:type="paragraph" w:customStyle="1" w:styleId="Statutprliminaire">
    <w:name w:val="Statut (préliminaire)"/>
    <w:basedOn w:val="Normal"/>
    <w:next w:val="Normal"/>
    <w:pPr>
      <w:spacing w:before="360" w:after="0" w:line="240" w:lineRule="auto"/>
      <w:jc w:val="center"/>
    </w:pPr>
    <w:rPr>
      <w:rFonts w:ascii="Times New Roman" w:eastAsia="Times New Roman" w:hAnsi="Times New Roman"/>
      <w:sz w:val="24"/>
      <w:szCs w:val="24"/>
      <w:lang w:eastAsia="de-DE"/>
    </w:rPr>
  </w:style>
  <w:style w:type="paragraph" w:customStyle="1" w:styleId="Titreobjetprliminaire">
    <w:name w:val="Titre objet (préliminaire)"/>
    <w:basedOn w:val="Normal"/>
    <w:next w:val="Normal"/>
    <w:pPr>
      <w:spacing w:before="360" w:after="360" w:line="240" w:lineRule="auto"/>
      <w:jc w:val="center"/>
    </w:pPr>
    <w:rPr>
      <w:rFonts w:ascii="Times New Roman" w:eastAsia="Times New Roman" w:hAnsi="Times New Roman"/>
      <w:b/>
      <w:sz w:val="24"/>
      <w:szCs w:val="24"/>
      <w:lang w:eastAsia="de-DE"/>
    </w:rPr>
  </w:style>
  <w:style w:type="paragraph" w:customStyle="1" w:styleId="Typedudocumentprliminaire">
    <w:name w:val="Type du document (préliminaire)"/>
    <w:basedOn w:val="Normal"/>
    <w:next w:val="Normal"/>
    <w:pPr>
      <w:spacing w:before="360" w:after="0" w:line="240" w:lineRule="auto"/>
      <w:jc w:val="center"/>
    </w:pPr>
    <w:rPr>
      <w:rFonts w:ascii="Times New Roman" w:eastAsia="Times New Roman" w:hAnsi="Times New Roman"/>
      <w:b/>
      <w:sz w:val="24"/>
      <w:szCs w:val="24"/>
      <w:lang w:eastAsia="de-DE"/>
    </w:rPr>
  </w:style>
  <w:style w:type="paragraph" w:customStyle="1" w:styleId="c19marge1">
    <w:name w:val="c19marge1"/>
    <w:basedOn w:val="Normal"/>
    <w:pPr>
      <w:spacing w:after="240" w:line="240" w:lineRule="auto"/>
      <w:ind w:left="1247"/>
      <w:jc w:val="both"/>
    </w:pPr>
    <w:rPr>
      <w:rFonts w:ascii="Times New Roman" w:eastAsia="Times New Roman" w:hAnsi="Times New Roman"/>
      <w:sz w:val="24"/>
      <w:szCs w:val="24"/>
      <w:lang w:eastAsia="en-GB"/>
    </w:rPr>
  </w:style>
  <w:style w:type="paragraph" w:customStyle="1" w:styleId="c08dispositif">
    <w:name w:val="c08dispositif"/>
    <w:basedOn w:val="Normal"/>
    <w:pPr>
      <w:spacing w:before="100" w:beforeAutospacing="1" w:after="240" w:line="240" w:lineRule="auto"/>
      <w:ind w:left="1134" w:hanging="567"/>
      <w:jc w:val="both"/>
    </w:pPr>
    <w:rPr>
      <w:rFonts w:ascii="Times New Roman" w:eastAsia="Times New Roman" w:hAnsi="Times New Roman"/>
      <w:b/>
      <w:bCs/>
      <w:sz w:val="24"/>
      <w:szCs w:val="24"/>
      <w:lang w:eastAsia="en-GB"/>
    </w:r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eastAsia="en-GB"/>
    </w:rPr>
  </w:style>
  <w:style w:type="character" w:customStyle="1" w:styleId="FooterCoverPageChar">
    <w:name w:val="Footer Cover Page Char"/>
    <w:link w:val="FooterCoverPage"/>
    <w:locked/>
    <w:rPr>
      <w:rFonts w:ascii="Times New Roman" w:eastAsia="Calibri"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HeaderCoverPageChar">
    <w:name w:val="Header Cover Page Char"/>
    <w:link w:val="HeaderCoverPage"/>
    <w:locked/>
    <w:rPr>
      <w:rFonts w:ascii="Times New Roman" w:eastAsia="Calibri"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styleId="FootnoteReference">
    <w:name w:val="footnote reference"/>
    <w:uiPriority w:val="99"/>
    <w:unhideWhenUsed/>
    <w:rPr>
      <w:vertAlign w:val="superscript"/>
    </w:rPr>
  </w:style>
  <w:style w:type="character" w:styleId="CommentReference">
    <w:name w:val="annotation reference"/>
    <w:semiHidden/>
    <w:unhideWhenUsed/>
    <w:rPr>
      <w:rFonts w:ascii="Times New Roman" w:hAnsi="Times New Roman" w:cs="Times New Roman" w:hint="default"/>
      <w:sz w:val="16"/>
    </w:rPr>
  </w:style>
  <w:style w:type="character" w:styleId="EndnoteReference">
    <w:name w:val="endnote reference"/>
    <w:semiHidden/>
    <w:unhideWhenUsed/>
    <w:rPr>
      <w:vertAlign w:val="superscript"/>
    </w:rPr>
  </w:style>
  <w:style w:type="character" w:customStyle="1" w:styleId="Marker">
    <w:name w:val="Marker"/>
    <w:rPr>
      <w:color w:val="0000FF"/>
    </w:rPr>
  </w:style>
  <w:style w:type="character" w:customStyle="1" w:styleId="Marker1">
    <w:name w:val="Marker1"/>
    <w:rPr>
      <w:color w:val="008000"/>
    </w:rPr>
  </w:style>
  <w:style w:type="character" w:customStyle="1" w:styleId="Marker2">
    <w:name w:val="Marker2"/>
    <w:rPr>
      <w:color w:val="FF0000"/>
    </w:rPr>
  </w:style>
  <w:style w:type="character" w:customStyle="1" w:styleId="Added">
    <w:name w:val="Added"/>
    <w:rPr>
      <w:b/>
      <w:bCs w:val="0"/>
      <w:u w:val="single"/>
    </w:rPr>
  </w:style>
  <w:style w:type="character" w:customStyle="1" w:styleId="Deleted">
    <w:name w:val="Deleted"/>
    <w:rPr>
      <w:strik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71712">
      <w:bodyDiv w:val="1"/>
      <w:marLeft w:val="0"/>
      <w:marRight w:val="0"/>
      <w:marTop w:val="0"/>
      <w:marBottom w:val="0"/>
      <w:divBdr>
        <w:top w:val="none" w:sz="0" w:space="0" w:color="auto"/>
        <w:left w:val="none" w:sz="0" w:space="0" w:color="auto"/>
        <w:bottom w:val="none" w:sz="0" w:space="0" w:color="auto"/>
        <w:right w:val="none" w:sz="0" w:space="0" w:color="auto"/>
      </w:divBdr>
    </w:div>
    <w:div w:id="173417366">
      <w:bodyDiv w:val="1"/>
      <w:marLeft w:val="0"/>
      <w:marRight w:val="0"/>
      <w:marTop w:val="0"/>
      <w:marBottom w:val="0"/>
      <w:divBdr>
        <w:top w:val="none" w:sz="0" w:space="0" w:color="auto"/>
        <w:left w:val="none" w:sz="0" w:space="0" w:color="auto"/>
        <w:bottom w:val="none" w:sz="0" w:space="0" w:color="auto"/>
        <w:right w:val="none" w:sz="0" w:space="0" w:color="auto"/>
      </w:divBdr>
    </w:div>
    <w:div w:id="388500862">
      <w:bodyDiv w:val="1"/>
      <w:marLeft w:val="0"/>
      <w:marRight w:val="0"/>
      <w:marTop w:val="0"/>
      <w:marBottom w:val="0"/>
      <w:divBdr>
        <w:top w:val="none" w:sz="0" w:space="0" w:color="auto"/>
        <w:left w:val="none" w:sz="0" w:space="0" w:color="auto"/>
        <w:bottom w:val="none" w:sz="0" w:space="0" w:color="auto"/>
        <w:right w:val="none" w:sz="0" w:space="0" w:color="auto"/>
      </w:divBdr>
    </w:div>
    <w:div w:id="469590965">
      <w:bodyDiv w:val="1"/>
      <w:marLeft w:val="0"/>
      <w:marRight w:val="0"/>
      <w:marTop w:val="0"/>
      <w:marBottom w:val="0"/>
      <w:divBdr>
        <w:top w:val="none" w:sz="0" w:space="0" w:color="auto"/>
        <w:left w:val="none" w:sz="0" w:space="0" w:color="auto"/>
        <w:bottom w:val="none" w:sz="0" w:space="0" w:color="auto"/>
        <w:right w:val="none" w:sz="0" w:space="0" w:color="auto"/>
      </w:divBdr>
    </w:div>
    <w:div w:id="706104298">
      <w:bodyDiv w:val="1"/>
      <w:marLeft w:val="0"/>
      <w:marRight w:val="0"/>
      <w:marTop w:val="0"/>
      <w:marBottom w:val="0"/>
      <w:divBdr>
        <w:top w:val="none" w:sz="0" w:space="0" w:color="auto"/>
        <w:left w:val="none" w:sz="0" w:space="0" w:color="auto"/>
        <w:bottom w:val="none" w:sz="0" w:space="0" w:color="auto"/>
        <w:right w:val="none" w:sz="0" w:space="0" w:color="auto"/>
      </w:divBdr>
      <w:divsChild>
        <w:div w:id="1303579196">
          <w:marLeft w:val="0"/>
          <w:marRight w:val="0"/>
          <w:marTop w:val="0"/>
          <w:marBottom w:val="0"/>
          <w:divBdr>
            <w:top w:val="none" w:sz="0" w:space="0" w:color="auto"/>
            <w:left w:val="none" w:sz="0" w:space="0" w:color="auto"/>
            <w:bottom w:val="none" w:sz="0" w:space="0" w:color="auto"/>
            <w:right w:val="none" w:sz="0" w:space="0" w:color="auto"/>
          </w:divBdr>
        </w:div>
      </w:divsChild>
    </w:div>
    <w:div w:id="802389770">
      <w:bodyDiv w:val="1"/>
      <w:marLeft w:val="0"/>
      <w:marRight w:val="0"/>
      <w:marTop w:val="0"/>
      <w:marBottom w:val="0"/>
      <w:divBdr>
        <w:top w:val="none" w:sz="0" w:space="0" w:color="auto"/>
        <w:left w:val="none" w:sz="0" w:space="0" w:color="auto"/>
        <w:bottom w:val="none" w:sz="0" w:space="0" w:color="auto"/>
        <w:right w:val="none" w:sz="0" w:space="0" w:color="auto"/>
      </w:divBdr>
      <w:divsChild>
        <w:div w:id="40633846">
          <w:marLeft w:val="0"/>
          <w:marRight w:val="0"/>
          <w:marTop w:val="0"/>
          <w:marBottom w:val="0"/>
          <w:divBdr>
            <w:top w:val="none" w:sz="0" w:space="0" w:color="auto"/>
            <w:left w:val="none" w:sz="0" w:space="0" w:color="auto"/>
            <w:bottom w:val="none" w:sz="0" w:space="0" w:color="auto"/>
            <w:right w:val="none" w:sz="0" w:space="0" w:color="auto"/>
          </w:divBdr>
        </w:div>
      </w:divsChild>
    </w:div>
    <w:div w:id="832334281">
      <w:bodyDiv w:val="1"/>
      <w:marLeft w:val="0"/>
      <w:marRight w:val="0"/>
      <w:marTop w:val="0"/>
      <w:marBottom w:val="0"/>
      <w:divBdr>
        <w:top w:val="none" w:sz="0" w:space="0" w:color="auto"/>
        <w:left w:val="none" w:sz="0" w:space="0" w:color="auto"/>
        <w:bottom w:val="none" w:sz="0" w:space="0" w:color="auto"/>
        <w:right w:val="none" w:sz="0" w:space="0" w:color="auto"/>
      </w:divBdr>
    </w:div>
    <w:div w:id="1101488825">
      <w:bodyDiv w:val="1"/>
      <w:marLeft w:val="0"/>
      <w:marRight w:val="0"/>
      <w:marTop w:val="0"/>
      <w:marBottom w:val="0"/>
      <w:divBdr>
        <w:top w:val="none" w:sz="0" w:space="0" w:color="auto"/>
        <w:left w:val="none" w:sz="0" w:space="0" w:color="auto"/>
        <w:bottom w:val="none" w:sz="0" w:space="0" w:color="auto"/>
        <w:right w:val="none" w:sz="0" w:space="0" w:color="auto"/>
      </w:divBdr>
    </w:div>
    <w:div w:id="1138911709">
      <w:bodyDiv w:val="1"/>
      <w:marLeft w:val="0"/>
      <w:marRight w:val="0"/>
      <w:marTop w:val="0"/>
      <w:marBottom w:val="0"/>
      <w:divBdr>
        <w:top w:val="none" w:sz="0" w:space="0" w:color="auto"/>
        <w:left w:val="none" w:sz="0" w:space="0" w:color="auto"/>
        <w:bottom w:val="none" w:sz="0" w:space="0" w:color="auto"/>
        <w:right w:val="none" w:sz="0" w:space="0" w:color="auto"/>
      </w:divBdr>
      <w:divsChild>
        <w:div w:id="1680767780">
          <w:marLeft w:val="0"/>
          <w:marRight w:val="0"/>
          <w:marTop w:val="0"/>
          <w:marBottom w:val="0"/>
          <w:divBdr>
            <w:top w:val="none" w:sz="0" w:space="0" w:color="auto"/>
            <w:left w:val="none" w:sz="0" w:space="0" w:color="auto"/>
            <w:bottom w:val="none" w:sz="0" w:space="0" w:color="auto"/>
            <w:right w:val="none" w:sz="0" w:space="0" w:color="auto"/>
          </w:divBdr>
        </w:div>
      </w:divsChild>
    </w:div>
    <w:div w:id="1522281983">
      <w:bodyDiv w:val="1"/>
      <w:marLeft w:val="0"/>
      <w:marRight w:val="0"/>
      <w:marTop w:val="0"/>
      <w:marBottom w:val="0"/>
      <w:divBdr>
        <w:top w:val="none" w:sz="0" w:space="0" w:color="auto"/>
        <w:left w:val="none" w:sz="0" w:space="0" w:color="auto"/>
        <w:bottom w:val="none" w:sz="0" w:space="0" w:color="auto"/>
        <w:right w:val="none" w:sz="0" w:space="0" w:color="auto"/>
      </w:divBdr>
    </w:div>
    <w:div w:id="1774401992">
      <w:bodyDiv w:val="1"/>
      <w:marLeft w:val="0"/>
      <w:marRight w:val="0"/>
      <w:marTop w:val="0"/>
      <w:marBottom w:val="0"/>
      <w:divBdr>
        <w:top w:val="none" w:sz="0" w:space="0" w:color="auto"/>
        <w:left w:val="none" w:sz="0" w:space="0" w:color="auto"/>
        <w:bottom w:val="none" w:sz="0" w:space="0" w:color="auto"/>
        <w:right w:val="none" w:sz="0" w:space="0" w:color="auto"/>
      </w:divBdr>
      <w:divsChild>
        <w:div w:id="1547327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ransparency/comitology-register/screen/home?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FC647E-4FCD-45E8-A85A-151C3CB90DE6}">
  <ds:schemaRefs>
    <ds:schemaRef ds:uri="http://schemas.openxmlformats.org/officeDocument/2006/bibliography"/>
  </ds:schemaRefs>
</ds:datastoreItem>
</file>

<file path=customXml/itemProps2.xml><?xml version="1.0" encoding="utf-8"?>
<ds:datastoreItem xmlns:ds="http://schemas.openxmlformats.org/officeDocument/2006/customXml" ds:itemID="{473CF46E-7DCB-4CB6-9E64-BF22E5C91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480FD7-7A99-484F-85C0-5765072D1486}">
  <ds:schemaRefs>
    <ds:schemaRef ds:uri="http://schemas.microsoft.com/sharepoint/v3/contenttype/forms"/>
  </ds:schemaRefs>
</ds:datastoreItem>
</file>

<file path=customXml/itemProps4.xml><?xml version="1.0" encoding="utf-8"?>
<ds:datastoreItem xmlns:ds="http://schemas.openxmlformats.org/officeDocument/2006/customXml" ds:itemID="{2850028B-BB3E-4E7E-B4D4-D4D436DD7D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2623</Words>
  <Characters>14955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cp:lastPrinted>2026-06-04T08:43:00Z</cp:lastPrinted>
  <dcterms:created xsi:type="dcterms:W3CDTF">2026-07-29T13:37:00Z</dcterms:created>
  <dcterms:modified xsi:type="dcterms:W3CDTF">2026-09-03T08:05:00Z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2024-05-24T16:24:01Z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faf9c4c7-ff74-44d1-9ae1-265143dce4ef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9.0, Build 20230317</vt:lpwstr>
  </property>
  <property fmtid="{D5CDD505-2E9C-101B-9397-08002B2CF9AE}" pid="16" name="ContentTypeId">
    <vt:lpwstr>0x010100066607488EB41B44B892757CFE82895E</vt:lpwstr>
  </property>
</Properties>
</file>