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A6BC7F2-564C-4F0F-B845-8E41C2DC0479" style="width:455.25pt;height:286.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Typedudocument"/>
        <w:rPr>
          <w:noProof/>
        </w:rPr>
      </w:pPr>
      <w:r>
        <w:rPr>
          <w:noProof/>
        </w:rPr>
        <w:lastRenderedPageBreak/>
        <w:t>RAPORT AL COMISIEI CĂTRE PARLAMENTUL EUROPEAN ȘI CONSILIU</w:t>
      </w:r>
    </w:p>
    <w:p>
      <w:pPr>
        <w:pStyle w:val="Titreobjet"/>
        <w:rPr>
          <w:noProof/>
        </w:rPr>
      </w:pPr>
      <w:r>
        <w:rPr>
          <w:noProof/>
        </w:rPr>
        <w:t>privind activitatea comitetelor în 2025</w:t>
      </w:r>
    </w:p>
    <w:p>
      <w:pPr>
        <w:pStyle w:val="ManualHeading1"/>
        <w:spacing w:after="240"/>
        <w:ind w:left="851" w:hanging="851"/>
        <w:rPr>
          <w:noProof/>
        </w:rPr>
      </w:pPr>
      <w:r>
        <w:rPr>
          <w:noProof/>
        </w:rPr>
        <w:t>1.</w:t>
      </w:r>
      <w:r>
        <w:rPr>
          <w:noProof/>
        </w:rPr>
        <w:tab/>
        <w:t>Introducere</w:t>
      </w:r>
    </w:p>
    <w:p>
      <w:pPr>
        <w:spacing w:after="160"/>
        <w:jc w:val="both"/>
        <w:rPr>
          <w:rFonts w:ascii="Times New Roman" w:hAnsi="Times New Roman"/>
          <w:noProof/>
          <w:sz w:val="24"/>
          <w:szCs w:val="24"/>
        </w:rPr>
      </w:pPr>
      <w:r>
        <w:rPr>
          <w:rFonts w:ascii="Times New Roman" w:hAnsi="Times New Roman"/>
          <w:noProof/>
          <w:sz w:val="24"/>
        </w:rPr>
        <w:t>Comisia prezintă raportul anual privind activitatea comitetelor în 2025, în conformitate cu articolul 10 alineatul (2) din Regulamentul (UE) nr. 182/2011 de stabilire a normelor și principiilor generale privind mecanismele de control de către statele membre al exercitării competențelor de executare de către Comisie</w:t>
      </w:r>
      <w:r>
        <w:rPr>
          <w:rFonts w:ascii="Times New Roman" w:hAnsi="Times New Roman"/>
          <w:noProof/>
          <w:sz w:val="24"/>
          <w:szCs w:val="24"/>
          <w:vertAlign w:val="superscript"/>
        </w:rPr>
        <w:footnoteReference w:id="1"/>
      </w:r>
      <w:r>
        <w:rPr>
          <w:rFonts w:ascii="Times New Roman" w:hAnsi="Times New Roman"/>
          <w:noProof/>
          <w:sz w:val="24"/>
        </w:rPr>
        <w:t xml:space="preserve"> („Regulamentul privind procedura comitetului”).</w:t>
      </w:r>
    </w:p>
    <w:p>
      <w:pPr>
        <w:spacing w:after="160"/>
        <w:jc w:val="both"/>
        <w:rPr>
          <w:rFonts w:ascii="Times New Roman" w:hAnsi="Times New Roman"/>
          <w:noProof/>
          <w:sz w:val="24"/>
          <w:szCs w:val="24"/>
        </w:rPr>
      </w:pPr>
      <w:r>
        <w:rPr>
          <w:rFonts w:ascii="Times New Roman" w:hAnsi="Times New Roman"/>
          <w:noProof/>
          <w:sz w:val="24"/>
        </w:rPr>
        <w:t>Raportul cuprinde o sinteză a evoluțiilor din 2025 ale sistemului de procedură a comitetului, care se referă la comitetele cărora Comisia le solicită un aviz cu privire la proiectele de acte de punere în aplicare.</w:t>
      </w:r>
      <w:r>
        <w:rPr>
          <w:noProof/>
        </w:rPr>
        <w:t xml:space="preserve"> </w:t>
      </w:r>
      <w:r>
        <w:rPr>
          <w:rFonts w:ascii="Times New Roman" w:hAnsi="Times New Roman"/>
          <w:noProof/>
          <w:sz w:val="24"/>
        </w:rPr>
        <w:t xml:space="preserve">Aceste comitete sunt compuse din reprezentanți ai statelor membre și sunt prezidate de Comisie. Acestea urmează proceduri operaționale diferite, în funcție de actul juridic de bază relevant care împuternicește Comisia să adopte acte de punere în aplicare (a se vedea tabelul II). </w:t>
      </w:r>
    </w:p>
    <w:p>
      <w:pPr>
        <w:jc w:val="both"/>
        <w:rPr>
          <w:rFonts w:ascii="Times New Roman" w:hAnsi="Times New Roman"/>
          <w:noProof/>
          <w:sz w:val="24"/>
          <w:szCs w:val="24"/>
        </w:rPr>
      </w:pPr>
      <w:r>
        <w:rPr>
          <w:rFonts w:ascii="Times New Roman" w:hAnsi="Times New Roman"/>
          <w:noProof/>
          <w:sz w:val="24"/>
        </w:rPr>
        <w:t xml:space="preserve">Raportul prezintă un rezumat al activităților comitetelor. Acesta este însoțit de un </w:t>
      </w:r>
      <w:r>
        <w:rPr>
          <w:rFonts w:ascii="Times New Roman" w:hAnsi="Times New Roman"/>
          <w:b/>
          <w:noProof/>
          <w:sz w:val="24"/>
        </w:rPr>
        <w:t xml:space="preserve">document de lucru al serviciilor Comisiei </w:t>
      </w:r>
      <w:r>
        <w:rPr>
          <w:rFonts w:ascii="Times New Roman" w:hAnsi="Times New Roman"/>
          <w:noProof/>
          <w:sz w:val="24"/>
        </w:rPr>
        <w:t>care conține statistici detaliate privind activitatea fiecărui comitet</w:t>
      </w:r>
      <w:r>
        <w:rPr>
          <w:noProof/>
        </w:rPr>
        <w:t xml:space="preserve"> </w:t>
      </w:r>
      <w:r>
        <w:rPr>
          <w:rFonts w:ascii="Times New Roman" w:hAnsi="Times New Roman"/>
          <w:noProof/>
          <w:sz w:val="24"/>
        </w:rPr>
        <w:t>pentru fiecare sector de politică</w:t>
      </w:r>
      <w:r>
        <w:rPr>
          <w:rStyle w:val="FootnoteReference"/>
          <w:rFonts w:ascii="Times New Roman" w:hAnsi="Times New Roman"/>
          <w:noProof/>
          <w:sz w:val="24"/>
          <w:szCs w:val="24"/>
        </w:rPr>
        <w:footnoteReference w:id="2"/>
      </w:r>
      <w:r>
        <w:rPr>
          <w:rFonts w:ascii="Times New Roman" w:hAnsi="Times New Roman"/>
          <w:noProof/>
          <w:sz w:val="24"/>
        </w:rPr>
        <w:t>. Acesta evidențiază principalele modificări și tendințe observate în fiecare an, prezentând cifre generale în ceea ce privește reuniunile, procedurile scrise, avizele emise (și anume aviz favorabil, aviz negativ sau niciun aviz) și actele adoptate. De asemenea, este prezentată o sinteză a cazurilor înaintate comitetului de apel și a exercitării dreptului de control al Parlamentului European și al Consiliului (colegiuitorii) în temeiul articolului 11 din Regulamentul privind procedura comitetului. Raportul oferă, totodată, informații cu privire la măsurile adoptate în cadrul procedurii de reglementare cu control.</w:t>
      </w:r>
    </w:p>
    <w:p>
      <w:pPr>
        <w:pStyle w:val="ManualHeading1"/>
        <w:ind w:left="851" w:hanging="851"/>
        <w:rPr>
          <w:noProof/>
        </w:rPr>
      </w:pPr>
      <w:r>
        <w:rPr>
          <w:noProof/>
        </w:rPr>
        <w:t>2.</w:t>
      </w:r>
      <w:r>
        <w:rPr>
          <w:noProof/>
        </w:rPr>
        <w:tab/>
      </w:r>
      <w:bookmarkStart w:id="1" w:name="_Hlk229130636"/>
      <w:r>
        <w:rPr>
          <w:noProof/>
        </w:rPr>
        <w:t>Sinteza evoluțiilor din 2025 ale sistemului de procedură a comitetului</w:t>
      </w:r>
    </w:p>
    <w:p>
      <w:pPr>
        <w:pStyle w:val="ManualHeading2"/>
        <w:spacing w:before="240" w:after="200"/>
        <w:ind w:left="851" w:hanging="851"/>
        <w:rPr>
          <w:noProof/>
        </w:rPr>
      </w:pPr>
      <w:r>
        <w:rPr>
          <w:noProof/>
        </w:rPr>
        <w:t>2.1.</w:t>
      </w:r>
      <w:r>
        <w:rPr>
          <w:noProof/>
        </w:rPr>
        <w:tab/>
        <w:t>Evoluții generale</w:t>
      </w:r>
    </w:p>
    <w:p>
      <w:pPr>
        <w:spacing w:after="160"/>
        <w:jc w:val="both"/>
        <w:rPr>
          <w:rFonts w:ascii="Times New Roman" w:hAnsi="Times New Roman"/>
          <w:noProof/>
          <w:sz w:val="24"/>
          <w:szCs w:val="24"/>
        </w:rPr>
      </w:pPr>
      <w:r>
        <w:rPr>
          <w:rFonts w:ascii="Times New Roman" w:hAnsi="Times New Roman"/>
          <w:noProof/>
          <w:sz w:val="24"/>
        </w:rPr>
        <w:t>În 2025, comitetele de comitologie și-au continuat activitatea în conformitate cu procedurile prevăzute în Regulamentul privind procedura comitetului, și anume procedura de consultare (articolul 4) și procedura de examinare (articolul 5), precum și procedura de reglementare cu control prevăzută la articolul 5a</w:t>
      </w:r>
      <w:r>
        <w:rPr>
          <w:rStyle w:val="FootnoteReference"/>
          <w:rFonts w:ascii="Times New Roman" w:hAnsi="Times New Roman"/>
          <w:noProof/>
          <w:sz w:val="24"/>
          <w:szCs w:val="24"/>
        </w:rPr>
        <w:footnoteReference w:id="3"/>
      </w:r>
      <w:r>
        <w:rPr>
          <w:rFonts w:ascii="Times New Roman" w:hAnsi="Times New Roman"/>
          <w:noProof/>
          <w:sz w:val="24"/>
        </w:rPr>
        <w:t xml:space="preserve"> din Decizia privind procedura comitetului</w:t>
      </w:r>
      <w:r>
        <w:rPr>
          <w:rStyle w:val="FootnoteReference"/>
          <w:rFonts w:ascii="Times New Roman" w:hAnsi="Times New Roman"/>
          <w:noProof/>
          <w:sz w:val="24"/>
          <w:szCs w:val="24"/>
        </w:rPr>
        <w:footnoteReference w:id="4"/>
      </w:r>
      <w:r>
        <w:rPr>
          <w:rFonts w:ascii="Times New Roman" w:hAnsi="Times New Roman"/>
          <w:noProof/>
          <w:sz w:val="24"/>
        </w:rPr>
        <w:t xml:space="preserve">. </w:t>
      </w:r>
    </w:p>
    <w:p>
      <w:pPr>
        <w:spacing w:after="160"/>
        <w:jc w:val="both"/>
        <w:rPr>
          <w:rFonts w:ascii="Times New Roman" w:hAnsi="Times New Roman"/>
          <w:noProof/>
          <w:sz w:val="24"/>
          <w:szCs w:val="24"/>
        </w:rPr>
      </w:pPr>
      <w:r>
        <w:rPr>
          <w:rFonts w:ascii="Times New Roman" w:hAnsi="Times New Roman"/>
          <w:noProof/>
          <w:sz w:val="24"/>
        </w:rPr>
        <w:t>Toate reuniunile, indiferent de formatul în care au avut loc (cu prezență fizică, la distanță sau hibride), sunt înscrise ca atare în Registrul de comitologie</w:t>
      </w:r>
      <w:r>
        <w:rPr>
          <w:rStyle w:val="FootnoteReference"/>
          <w:rFonts w:ascii="Times New Roman" w:hAnsi="Times New Roman"/>
          <w:noProof/>
          <w:sz w:val="24"/>
          <w:szCs w:val="24"/>
        </w:rPr>
        <w:footnoteReference w:id="5"/>
      </w:r>
      <w:r>
        <w:rPr>
          <w:rFonts w:ascii="Times New Roman" w:hAnsi="Times New Roman"/>
          <w:noProof/>
          <w:sz w:val="24"/>
        </w:rPr>
        <w:t>, iar procesul-verbal sumar precizează formatul reuniunii.</w:t>
      </w:r>
    </w:p>
    <w:p>
      <w:pPr>
        <w:spacing w:after="160"/>
        <w:jc w:val="both"/>
        <w:rPr>
          <w:rFonts w:ascii="Times New Roman" w:hAnsi="Times New Roman"/>
          <w:noProof/>
          <w:sz w:val="24"/>
          <w:szCs w:val="24"/>
        </w:rPr>
      </w:pPr>
    </w:p>
    <w:p>
      <w:pPr>
        <w:spacing w:after="160"/>
        <w:jc w:val="both"/>
        <w:rPr>
          <w:rFonts w:ascii="Times New Roman" w:hAnsi="Times New Roman"/>
          <w:noProof/>
          <w:sz w:val="24"/>
          <w:szCs w:val="24"/>
        </w:rPr>
      </w:pPr>
    </w:p>
    <w:p>
      <w:pPr>
        <w:spacing w:after="160"/>
        <w:jc w:val="both"/>
        <w:rPr>
          <w:rFonts w:ascii="Times New Roman" w:hAnsi="Times New Roman"/>
          <w:noProof/>
          <w:sz w:val="24"/>
          <w:szCs w:val="24"/>
        </w:rPr>
      </w:pPr>
      <w:r>
        <w:rPr>
          <w:rFonts w:ascii="Times New Roman" w:hAnsi="Times New Roman"/>
          <w:noProof/>
          <w:sz w:val="24"/>
        </w:rPr>
        <w:t>În Programul de lucru al Comisiei pentru 2025, prezentat la 11 februarie 2025, s-a propus retragerea propunerii Comisiei privind alinierea actelor care continuă să menționeze procedura de reglementare cu control la cadrul juridic introdus prin Tratatul de la Lisabona</w:t>
      </w:r>
      <w:r>
        <w:rPr>
          <w:rStyle w:val="FootnoteReference"/>
          <w:rFonts w:ascii="Times New Roman" w:hAnsi="Times New Roman"/>
          <w:noProof/>
          <w:sz w:val="24"/>
          <w:szCs w:val="24"/>
        </w:rPr>
        <w:footnoteReference w:id="6"/>
      </w:r>
      <w:r>
        <w:rPr>
          <w:rFonts w:ascii="Times New Roman" w:hAnsi="Times New Roman"/>
          <w:noProof/>
          <w:sz w:val="24"/>
        </w:rPr>
        <w:t>, precum și a propunerii Comisiei din 14 februarie 2017</w:t>
      </w:r>
      <w:r>
        <w:rPr>
          <w:rStyle w:val="FootnoteReference"/>
          <w:rFonts w:ascii="Times New Roman" w:hAnsi="Times New Roman"/>
          <w:noProof/>
          <w:sz w:val="24"/>
          <w:szCs w:val="24"/>
          <w:lang w:eastAsia="en-GB"/>
        </w:rPr>
        <w:footnoteReference w:id="7"/>
      </w:r>
      <w:r>
        <w:rPr>
          <w:rFonts w:ascii="Times New Roman" w:hAnsi="Times New Roman"/>
          <w:noProof/>
          <w:sz w:val="24"/>
        </w:rPr>
        <w:t xml:space="preserve"> care vizează modificarea Regulamentului privind procedura comitetelor în ceea ce privește comitetul de apel și abordarea situațiilor în care nu se emite niciun aviz în domenii sensibile. Retragerea a fost justificată de lipsa progreselor în cadrul negocierilor, având în vedere că poziția Parlamentului European, pe de o parte, și a Consiliului, pe de altă parte, au rămas foarte divergente. Comisia a retras aceste două propuneri la 6 octombrie 2025</w:t>
      </w:r>
      <w:r>
        <w:rPr>
          <w:rStyle w:val="FootnoteReference"/>
          <w:rFonts w:ascii="Times New Roman" w:hAnsi="Times New Roman"/>
          <w:noProof/>
          <w:sz w:val="24"/>
          <w:szCs w:val="24"/>
        </w:rPr>
        <w:footnoteReference w:id="8"/>
      </w:r>
      <w:r>
        <w:rPr>
          <w:rFonts w:ascii="Times New Roman" w:hAnsi="Times New Roman"/>
          <w:noProof/>
          <w:sz w:val="24"/>
        </w:rPr>
        <w:t>.</w:t>
      </w:r>
    </w:p>
    <w:p>
      <w:pPr>
        <w:spacing w:after="160"/>
        <w:jc w:val="both"/>
        <w:rPr>
          <w:rFonts w:ascii="Times New Roman" w:hAnsi="Times New Roman"/>
          <w:noProof/>
          <w:sz w:val="24"/>
          <w:szCs w:val="24"/>
        </w:rPr>
      </w:pPr>
      <w:r>
        <w:rPr>
          <w:rFonts w:ascii="Times New Roman" w:hAnsi="Times New Roman"/>
          <w:noProof/>
          <w:sz w:val="24"/>
        </w:rPr>
        <w:t>Totuși, acest lucru nu pune sub semnul întrebării necesitatea de a continua alinierea împuternicirilor rămase pentru procedura de reglementare cu control, astfel cum au convenit Parlamentul European, Consiliul și Comisia în cadrul Acordului interinstituțional din 2016 privind o mai bună legiferare</w:t>
      </w:r>
      <w:r>
        <w:rPr>
          <w:rStyle w:val="FootnoteReference"/>
          <w:rFonts w:ascii="Times New Roman" w:hAnsi="Times New Roman"/>
          <w:noProof/>
          <w:sz w:val="24"/>
          <w:szCs w:val="24"/>
        </w:rPr>
        <w:footnoteReference w:id="9"/>
      </w:r>
      <w:r>
        <w:rPr>
          <w:rFonts w:ascii="Times New Roman" w:hAnsi="Times New Roman"/>
          <w:noProof/>
          <w:sz w:val="24"/>
        </w:rPr>
        <w:t>. Prin urmare, Comisia continuă să alinieze astfel de împuterniciri existente la Tratatul de la Lisabona în contextul revizuirii de fond/al modificării actelor legislative individuale care conțin încă astfel de împuterniciri.</w:t>
      </w:r>
    </w:p>
    <w:p>
      <w:pPr>
        <w:spacing w:after="120"/>
        <w:jc w:val="both"/>
        <w:rPr>
          <w:noProof/>
        </w:rPr>
      </w:pPr>
      <w:r>
        <w:rPr>
          <w:rFonts w:ascii="Times New Roman" w:hAnsi="Times New Roman"/>
          <w:noProof/>
          <w:sz w:val="24"/>
        </w:rPr>
        <w:t>În Comunicarea privind simplificarea</w:t>
      </w:r>
      <w:r>
        <w:rPr>
          <w:rStyle w:val="FootnoteReference"/>
          <w:rFonts w:ascii="Times New Roman" w:hAnsi="Times New Roman"/>
          <w:noProof/>
          <w:sz w:val="24"/>
          <w:szCs w:val="24"/>
        </w:rPr>
        <w:footnoteReference w:id="10"/>
      </w:r>
      <w:r>
        <w:rPr>
          <w:rFonts w:ascii="Times New Roman" w:hAnsi="Times New Roman"/>
          <w:noProof/>
          <w:sz w:val="24"/>
        </w:rPr>
        <w:t xml:space="preserve"> și în raportul său intermediar privind simplificarea</w:t>
      </w:r>
      <w:r>
        <w:rPr>
          <w:rStyle w:val="FootnoteReference"/>
          <w:rFonts w:ascii="Times New Roman" w:hAnsi="Times New Roman"/>
          <w:noProof/>
          <w:sz w:val="24"/>
          <w:szCs w:val="24"/>
        </w:rPr>
        <w:footnoteReference w:id="11"/>
      </w:r>
      <w:r>
        <w:rPr>
          <w:rFonts w:ascii="Times New Roman" w:hAnsi="Times New Roman"/>
          <w:noProof/>
          <w:sz w:val="24"/>
        </w:rPr>
        <w:t>, Comisia a indicat necesitatea unei examinări mai atente a actelor delegate și a actelor de punere în aplicare pentru a identifica dacă astfel de acte sunt obligatorii din punct de vedere juridic și dacă acestea ar simplifica cadrul de reglementare sau sunt necesare pentru atingerea obiectivelor de politică ale UE. În același scop, Comisia a invitat, de asemenea, colegiuitorii să aplice aceleași principii atunci când au în vedere noi împuterniciri pentru noi acte legislative.</w:t>
      </w:r>
    </w:p>
    <w:bookmarkEnd w:id="1"/>
    <w:p>
      <w:pPr>
        <w:pStyle w:val="ManualHeading2"/>
        <w:spacing w:before="240" w:after="240"/>
        <w:rPr>
          <w:noProof/>
        </w:rPr>
      </w:pPr>
      <w:r>
        <w:rPr>
          <w:noProof/>
        </w:rPr>
        <w:t>2.2.</w:t>
      </w:r>
      <w:r>
        <w:rPr>
          <w:noProof/>
        </w:rPr>
        <w:tab/>
      </w:r>
      <w:bookmarkStart w:id="2" w:name="_Hlk228977291"/>
      <w:bookmarkStart w:id="3" w:name="_Hlk167270908"/>
      <w:r>
        <w:rPr>
          <w:noProof/>
        </w:rPr>
        <w:t xml:space="preserve">Evoluția jurisprudenței </w:t>
      </w:r>
    </w:p>
    <w:p>
      <w:pPr>
        <w:spacing w:after="160"/>
        <w:jc w:val="both"/>
        <w:rPr>
          <w:rFonts w:ascii="Times New Roman" w:eastAsia="Times New Roman" w:hAnsi="Times New Roman"/>
          <w:noProof/>
          <w:sz w:val="24"/>
          <w:szCs w:val="24"/>
        </w:rPr>
      </w:pPr>
      <w:r>
        <w:rPr>
          <w:rFonts w:ascii="Times New Roman" w:hAnsi="Times New Roman"/>
          <w:noProof/>
          <w:sz w:val="24"/>
        </w:rPr>
        <w:t>Sesizată cu recurs împotriva hotărârii Pollinis (cauza C-726/22 P), Curtea de Justiție a clarificat domeniul de aplicare al excepției referitoare la noțiunea de „proces decizional în curs” în contextul procedurii unui comitet de comitologie. Cauza, care este relevantă în ceea ce privește transparența procedurilor și a documentelor de comitologie, se referea la cererile de acces la documente</w:t>
      </w:r>
      <w:r>
        <w:rPr>
          <w:rStyle w:val="FootnoteReference"/>
          <w:rFonts w:ascii="Times New Roman" w:eastAsia="Times New Roman" w:hAnsi="Times New Roman"/>
          <w:noProof/>
          <w:sz w:val="24"/>
          <w:szCs w:val="24"/>
        </w:rPr>
        <w:footnoteReference w:id="12"/>
      </w:r>
      <w:r>
        <w:rPr>
          <w:rFonts w:ascii="Times New Roman" w:hAnsi="Times New Roman"/>
          <w:noProof/>
          <w:sz w:val="24"/>
        </w:rPr>
        <w:t xml:space="preserve">, inclusiv la documentele legate de activitatea Comitetului permanent pentru plante, animale, produse alimentare și hrană pentru animale (SCoPAFF) care consemnau pozițiile reprezentanților statelor membre (în cadrul comitetului) și schimburile acestora cu Comisia, pe care Comisia a </w:t>
      </w:r>
      <w:r>
        <w:rPr>
          <w:rFonts w:ascii="Times New Roman" w:hAnsi="Times New Roman"/>
          <w:noProof/>
          <w:sz w:val="24"/>
        </w:rPr>
        <w:lastRenderedPageBreak/>
        <w:t xml:space="preserve">refuzat să le divulge, printre altele, din motivul protecției procedurii decizionale în curs. </w:t>
      </w:r>
      <w:bookmarkEnd w:id="2"/>
      <w:bookmarkEnd w:id="3"/>
      <w:r>
        <w:rPr>
          <w:rFonts w:ascii="Times New Roman" w:hAnsi="Times New Roman"/>
          <w:noProof/>
          <w:sz w:val="24"/>
        </w:rPr>
        <w:t>În primă instanță, Curtea a respins premisa potrivit căreia confidențialitatea procedurilor de comitologie, astfel cum se reflectă în anumite dispoziții din Regulamentul de procedură standard al comitetelor de comitologie, ar oferi o prezumție generală de nedivulgare în temeiul articolului 4 alineatul (3) din Regulamentul (CE) nr. 1049/2001</w:t>
      </w:r>
      <w:r>
        <w:rPr>
          <w:rStyle w:val="FootnoteReference"/>
          <w:rFonts w:ascii="Times New Roman" w:eastAsia="Times New Roman" w:hAnsi="Times New Roman"/>
          <w:noProof/>
          <w:sz w:val="24"/>
          <w:szCs w:val="24"/>
        </w:rPr>
        <w:footnoteReference w:id="13"/>
      </w:r>
      <w:r>
        <w:rPr>
          <w:rFonts w:ascii="Times New Roman" w:hAnsi="Times New Roman"/>
          <w:noProof/>
          <w:sz w:val="24"/>
        </w:rPr>
        <w:t xml:space="preserve">. </w:t>
      </w:r>
    </w:p>
    <w:p>
      <w:pPr>
        <w:spacing w:after="360"/>
        <w:jc w:val="both"/>
        <w:rPr>
          <w:rFonts w:ascii="Times New Roman" w:eastAsia="Times New Roman" w:hAnsi="Times New Roman"/>
          <w:noProof/>
          <w:sz w:val="24"/>
          <w:szCs w:val="24"/>
        </w:rPr>
      </w:pPr>
      <w:r>
        <w:rPr>
          <w:rFonts w:ascii="Times New Roman" w:hAnsi="Times New Roman"/>
          <w:noProof/>
          <w:sz w:val="24"/>
        </w:rPr>
        <w:t>În recurs, Curtea s-a concentrat numai pe aspectul specific al excepției legate de procedura decizională respectivă și pe întrebarea dacă aceasta ar trebui clasificată ca fiind în curs sau încheiată. Curtea a statuat că procedura nu poate fi considerată ca fiind în curs pe baza simplului fapt că respectivul comitet de comitologie nu adoptase încă o poziție cu privire la ghidul elaborat de EFSA în 2013 și că solicitase revizuirea acestuia înainte de a relua procedura de comitologie. Potrivit Curții de Justiție, această revizuire însemna că obiectul specific al unei decizii viitoare nu era încă suficient determinat. În consecință, riscul ca divulgarea documentului solicitat să aducă atingere procesului decizional era, prin definiție, ipotetic, dat fiind că ar fi, în realitate, imposibil să se verifice dacă conținutul documentului menționat are într-adevăr legătură cu acel proces decizional. Prin urmare, recursul formulat de Comisie a fost respins.</w:t>
      </w:r>
    </w:p>
    <w:p>
      <w:pPr>
        <w:pStyle w:val="ManualHeading2"/>
        <w:keepNext w:val="0"/>
        <w:widowControl w:val="0"/>
        <w:spacing w:after="200" w:line="276" w:lineRule="auto"/>
        <w:ind w:left="0" w:firstLine="0"/>
        <w:outlineLvl w:val="9"/>
        <w:rPr>
          <w:noProof/>
        </w:rPr>
      </w:pPr>
      <w:r>
        <w:rPr>
          <w:noProof/>
        </w:rPr>
        <w:t>3.</w:t>
      </w:r>
      <w:r>
        <w:rPr>
          <w:noProof/>
        </w:rPr>
        <w:tab/>
        <w:t>Sinteza activităților</w:t>
      </w:r>
    </w:p>
    <w:p>
      <w:pPr>
        <w:pStyle w:val="ManualHeading1"/>
        <w:keepNext w:val="0"/>
        <w:widowControl w:val="0"/>
        <w:tabs>
          <w:tab w:val="clear" w:pos="850"/>
          <w:tab w:val="left" w:pos="0"/>
        </w:tabs>
        <w:spacing w:before="120" w:after="240" w:line="276" w:lineRule="auto"/>
        <w:ind w:left="0" w:firstLine="0"/>
        <w:rPr>
          <w:b w:val="0"/>
          <w:smallCaps w:val="0"/>
          <w:noProof/>
        </w:rPr>
      </w:pPr>
      <w:r>
        <w:rPr>
          <w:b w:val="0"/>
          <w:smallCaps w:val="0"/>
          <w:noProof/>
        </w:rPr>
        <w:t>Cifrele indicate în secțiunile următoare se bazează pe constatările prezentate în detaliu în documentul de lucru al serviciilor Comisiei care însoțește prezentul raport.</w:t>
      </w:r>
    </w:p>
    <w:p>
      <w:pPr>
        <w:pStyle w:val="ManualHeading2"/>
        <w:keepNext w:val="0"/>
        <w:widowControl w:val="0"/>
        <w:spacing w:after="200" w:line="276" w:lineRule="auto"/>
        <w:ind w:left="0" w:firstLine="0"/>
        <w:outlineLvl w:val="9"/>
        <w:rPr>
          <w:noProof/>
        </w:rPr>
      </w:pPr>
      <w:r>
        <w:rPr>
          <w:noProof/>
        </w:rPr>
        <w:t>3.1.</w:t>
      </w:r>
      <w:r>
        <w:rPr>
          <w:noProof/>
        </w:rPr>
        <w:tab/>
        <w:t xml:space="preserve">Numărul de comitete </w:t>
      </w:r>
    </w:p>
    <w:p>
      <w:pPr>
        <w:pStyle w:val="ManualHeading2"/>
        <w:keepNext w:val="0"/>
        <w:widowControl w:val="0"/>
        <w:tabs>
          <w:tab w:val="clear" w:pos="850"/>
          <w:tab w:val="left" w:pos="0"/>
        </w:tabs>
        <w:spacing w:line="276" w:lineRule="auto"/>
        <w:ind w:left="0" w:firstLine="0"/>
        <w:rPr>
          <w:b w:val="0"/>
          <w:noProof/>
        </w:rPr>
      </w:pPr>
      <w:r>
        <w:rPr>
          <w:b w:val="0"/>
          <w:noProof/>
        </w:rPr>
        <w:t>Prezentul raport se concentrează exclusiv pe comitetele de comitologie înființate de legiuitor pentru a asista Comisia în exercitarea competențelor de executare care îi sunt conferite prin actele juridice de bază. În raport nu sunt incluse și alte entități, în special grupurile de experți înființate de Comisie.</w:t>
      </w:r>
      <w:r>
        <w:rPr>
          <w:noProof/>
        </w:rPr>
        <w:t xml:space="preserve"> </w:t>
      </w:r>
      <w:r>
        <w:rPr>
          <w:b w:val="0"/>
          <w:noProof/>
        </w:rPr>
        <w:t>Tabelul I prezintă numărul de comitete de comitologie care au existat în perioada 1 ianuarie – 31 decembrie 2025</w:t>
      </w:r>
      <w:r>
        <w:rPr>
          <w:rStyle w:val="FootnoteReference"/>
          <w:b w:val="0"/>
          <w:noProof/>
        </w:rPr>
        <w:footnoteReference w:id="14"/>
      </w:r>
      <w:r>
        <w:rPr>
          <w:b w:val="0"/>
          <w:noProof/>
        </w:rPr>
        <w:t xml:space="preserve">, cifrele pentru anul precedent fiind adăugate pentru comparație. </w:t>
      </w:r>
    </w:p>
    <w:p>
      <w:pPr>
        <w:widowControl w:val="0"/>
        <w:tabs>
          <w:tab w:val="left" w:pos="0"/>
        </w:tabs>
        <w:rPr>
          <w:noProof/>
        </w:rPr>
      </w:pPr>
      <w:r>
        <w:rPr>
          <w:noProof/>
        </w:rPr>
        <w:br w:type="page"/>
      </w:r>
    </w:p>
    <w:p>
      <w:pPr>
        <w:pStyle w:val="ManualHeading2"/>
        <w:keepNext w:val="0"/>
        <w:widowControl w:val="0"/>
        <w:tabs>
          <w:tab w:val="clear" w:pos="850"/>
          <w:tab w:val="left" w:pos="0"/>
        </w:tabs>
        <w:spacing w:line="276" w:lineRule="auto"/>
        <w:ind w:left="0" w:firstLine="0"/>
        <w:rPr>
          <w:noProof/>
        </w:rPr>
      </w:pPr>
      <w:r>
        <w:rPr>
          <w:noProof/>
          <w:u w:val="single"/>
        </w:rPr>
        <w:lastRenderedPageBreak/>
        <w:t xml:space="preserve">TABELUL I – </w:t>
      </w:r>
      <w:r>
        <w:rPr>
          <w:smallCaps/>
          <w:noProof/>
          <w:u w:val="single"/>
        </w:rPr>
        <w:t>Numărul total de comitete</w:t>
      </w:r>
    </w:p>
    <w:tbl>
      <w:tblPr>
        <w:tblW w:w="4855" w:type="pct"/>
        <w:tblInd w:w="108" w:type="dxa"/>
        <w:tblLayout w:type="fixed"/>
        <w:tblLook w:val="0000" w:firstRow="0" w:lastRow="0" w:firstColumn="0" w:lastColumn="0" w:noHBand="0" w:noVBand="0"/>
      </w:tblPr>
      <w:tblGrid>
        <w:gridCol w:w="6228"/>
        <w:gridCol w:w="1389"/>
        <w:gridCol w:w="1389"/>
      </w:tblGrid>
      <w:tr>
        <w:trPr>
          <w:trHeight w:val="368"/>
        </w:trPr>
        <w:tc>
          <w:tcPr>
            <w:tcW w:w="3458"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ind w:left="-149"/>
              <w:jc w:val="center"/>
              <w:rPr>
                <w:rFonts w:ascii="Times New Roman" w:hAnsi="Times New Roman"/>
                <w:b/>
                <w:noProof/>
                <w:color w:val="000000"/>
                <w:sz w:val="18"/>
                <w:szCs w:val="18"/>
              </w:rPr>
            </w:pPr>
            <w:r>
              <w:rPr>
                <w:rFonts w:ascii="Times New Roman" w:hAnsi="Times New Roman"/>
                <w:b/>
                <w:noProof/>
                <w:color w:val="000000"/>
                <w:sz w:val="18"/>
              </w:rPr>
              <w:t>Departamentul Comisiei</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AGRI   (Agricultură și Dezvoltare Rurală)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10</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BUDG   (Buget)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CLIMA  (Politici Climatice)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highlight w:val="darkCyan"/>
              </w:rPr>
            </w:pPr>
            <w:r>
              <w:rPr>
                <w:rFonts w:ascii="Times New Roman" w:hAnsi="Times New Roman"/>
                <w:noProof/>
                <w:color w:val="000000"/>
                <w:sz w:val="18"/>
              </w:rPr>
              <w:t>5</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CNECT (Rețele de Comunicare, Conținut și Tehnologie)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highlight w:val="darkCyan"/>
              </w:rPr>
            </w:pPr>
            <w:r>
              <w:rPr>
                <w:rFonts w:ascii="Times New Roman" w:hAnsi="Times New Roman"/>
                <w:noProof/>
                <w:color w:val="000000"/>
                <w:sz w:val="18"/>
              </w:rPr>
              <w:t>16</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COMP   (Concurență)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DEFIS   (Industria Apărării și Spațiu)</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10</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DIGIT (Servicii digitale)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EAC   (Educație și Cultură)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ECFIN   (Afaceri Economice și Financiare)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ECHO   (Ajutor Umanitar și Protecție Civilă)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EMPL   (Ocuparea Forței de Muncă, Afaceri Sociale și Incluziune)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6</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ENER   (Energie)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16</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15</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ENEST (Extindere și Vecinătate Estică)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highlight w:val="darkCyan"/>
              </w:rPr>
            </w:pPr>
            <w:r>
              <w:rPr>
                <w:rFonts w:ascii="Times New Roman" w:hAnsi="Times New Roman"/>
                <w:noProof/>
                <w:color w:val="000000"/>
                <w:sz w:val="18"/>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sz w:val="18"/>
                <w:szCs w:val="18"/>
              </w:rPr>
            </w:pPr>
            <w:r>
              <w:rPr>
                <w:rFonts w:ascii="Times New Roman" w:hAnsi="Times New Roman"/>
                <w:b/>
                <w:noProof/>
                <w:color w:val="000000"/>
                <w:sz w:val="18"/>
              </w:rPr>
              <w:t>ENV   (Mediu)</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29</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sz w:val="18"/>
                <w:szCs w:val="18"/>
              </w:rPr>
            </w:pPr>
            <w:r>
              <w:rPr>
                <w:rFonts w:ascii="Times New Roman" w:hAnsi="Times New Roman"/>
                <w:noProof/>
                <w:sz w:val="18"/>
              </w:rPr>
              <w:t>31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ESTAT   (Eurostat)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FISMA   (Stabilitate Financiară, Servicii Financiare și Uniunea Piețelor de Capital)</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10</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FPI   (Serviciul Instrumente de Politică Externă)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GROW   (Piață Internă, Industrie, Antreprenoriat și IMM-uri)</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46</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46</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HERA   (Pregătire și Răspuns în caz de Urgență Sanitară)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HOME   (Migrație și Afaceri Interne)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25</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28</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 xml:space="preserve">INTPA   (Parteneriate Internaționale) </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JUST   (Justiție și Consumatori)</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rPr>
            </w:pPr>
            <w:r>
              <w:rPr>
                <w:rFonts w:ascii="Times New Roman" w:hAnsi="Times New Roman"/>
                <w:b/>
                <w:noProof/>
                <w:color w:val="000000"/>
                <w:sz w:val="18"/>
              </w:rPr>
              <w:t>MARE   (Afaceri Maritime și Pescuit)</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MENA (Orientul Mijlociu, Africa de Nord și Golful Persic)</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MOVE   (Mobilitate și Transporturi)</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35</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 xml:space="preserve">NEAR   (Vecinătate și Negocieri privind Extinderea) </w:t>
            </w:r>
            <w:r>
              <w:rPr>
                <w:noProof/>
              </w:rPr>
              <w:t xml:space="preserve"> </w:t>
            </w:r>
            <w:r>
              <w:rPr>
                <w:noProof/>
              </w:rPr>
              <w:br/>
            </w:r>
            <w:r>
              <w:rPr>
                <w:rFonts w:ascii="Times New Roman" w:hAnsi="Times New Roman"/>
                <w:i/>
                <w:noProof/>
                <w:color w:val="000000"/>
                <w:sz w:val="16"/>
              </w:rPr>
              <w:t>(împărțită în MENA și ENEST începând cu 1.2.2025)</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OLAF   (Oficiul European de Luptă Antifraudă)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REFORM   (Sprijin pentru Reforme Structurale)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0</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REGIO   (Politică Regională și Urbană)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r>
      <w:tr>
        <w:trPr>
          <w:trHeight w:val="240"/>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RTD   (Cercetare și Inovare)</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19</w:t>
            </w:r>
          </w:p>
        </w:tc>
      </w:tr>
      <w:tr>
        <w:trPr>
          <w:trHeight w:val="255"/>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SANTE   (Sănătate și Siguranță Alimentară)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34</w:t>
            </w:r>
          </w:p>
        </w:tc>
      </w:tr>
      <w:tr>
        <w:trPr>
          <w:trHeight w:val="242"/>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jc w:val="both"/>
              <w:rPr>
                <w:rFonts w:ascii="Times New Roman" w:hAnsi="Times New Roman"/>
                <w:i/>
                <w:noProof/>
                <w:sz w:val="18"/>
                <w:szCs w:val="18"/>
              </w:rPr>
            </w:pPr>
            <w:r>
              <w:rPr>
                <w:rFonts w:ascii="Times New Roman" w:hAnsi="Times New Roman"/>
                <w:b/>
                <w:noProof/>
                <w:color w:val="000000"/>
                <w:sz w:val="18"/>
              </w:rPr>
              <w:t>SG   (Secretariatul General</w:t>
            </w:r>
            <w:r>
              <w:rPr>
                <w:rFonts w:ascii="Times New Roman" w:hAnsi="Times New Roman"/>
                <w:b/>
                <w:noProof/>
                <w:color w:val="000000"/>
                <w:sz w:val="16"/>
              </w:rPr>
              <w:t xml:space="preserve">) </w:t>
            </w:r>
            <w:r>
              <w:rPr>
                <w:rFonts w:ascii="Times New Roman" w:hAnsi="Times New Roman"/>
                <w:i/>
                <w:noProof/>
                <w:sz w:val="16"/>
              </w:rPr>
              <w:t xml:space="preserve"> Inclusiv comitetul de apel</w:t>
            </w:r>
            <w:r>
              <w:rPr>
                <w:rStyle w:val="FootnoteReference"/>
                <w:rFonts w:ascii="Times New Roman" w:hAnsi="Times New Roman"/>
                <w:i/>
                <w:iCs/>
                <w:noProof/>
                <w:sz w:val="16"/>
                <w:szCs w:val="16"/>
              </w:rPr>
              <w:footnoteReference w:id="15"/>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4</w:t>
            </w:r>
          </w:p>
        </w:tc>
      </w:tr>
      <w:tr>
        <w:trPr>
          <w:trHeight w:val="236"/>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TAXUD   (Impozitare și Uniune Vamală)</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27</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28</w:t>
            </w:r>
          </w:p>
        </w:tc>
      </w:tr>
      <w:tr>
        <w:trPr>
          <w:trHeight w:val="255"/>
        </w:trPr>
        <w:tc>
          <w:tcPr>
            <w:tcW w:w="3458"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sz w:val="18"/>
                <w:szCs w:val="18"/>
              </w:rPr>
            </w:pPr>
            <w:r>
              <w:rPr>
                <w:rFonts w:ascii="Times New Roman" w:hAnsi="Times New Roman"/>
                <w:b/>
                <w:noProof/>
                <w:sz w:val="18"/>
              </w:rPr>
              <w:t>TRADE   (Comerț)</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771"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noProof/>
                <w:sz w:val="18"/>
                <w:szCs w:val="18"/>
              </w:rPr>
            </w:pPr>
            <w:r>
              <w:rPr>
                <w:rFonts w:ascii="Times New Roman" w:hAnsi="Times New Roman"/>
                <w:noProof/>
                <w:sz w:val="18"/>
              </w:rPr>
              <w:t>13</w:t>
            </w:r>
          </w:p>
        </w:tc>
      </w:tr>
      <w:tr>
        <w:trPr>
          <w:trHeight w:val="255"/>
        </w:trPr>
        <w:tc>
          <w:tcPr>
            <w:tcW w:w="3458"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rPr>
                <w:rFonts w:ascii="Times New Roman" w:hAnsi="Times New Roman"/>
                <w:b/>
                <w:bCs/>
                <w:noProof/>
                <w:sz w:val="18"/>
                <w:szCs w:val="18"/>
              </w:rPr>
            </w:pPr>
            <w:r>
              <w:rPr>
                <w:rFonts w:ascii="Times New Roman" w:hAnsi="Times New Roman"/>
                <w:b/>
                <w:noProof/>
                <w:sz w:val="18"/>
              </w:rPr>
              <w:t>TOTAL</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368</w:t>
            </w:r>
          </w:p>
        </w:tc>
        <w:tc>
          <w:tcPr>
            <w:tcW w:w="771"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370</w:t>
            </w:r>
          </w:p>
        </w:tc>
      </w:tr>
    </w:tbl>
    <w:p>
      <w:pPr>
        <w:spacing w:before="160" w:after="0"/>
        <w:jc w:val="both"/>
        <w:rPr>
          <w:rFonts w:ascii="Times New Roman" w:hAnsi="Times New Roman"/>
          <w:noProof/>
          <w:sz w:val="24"/>
          <w:szCs w:val="24"/>
        </w:rPr>
      </w:pPr>
      <w:r>
        <w:rPr>
          <w:rFonts w:ascii="Times New Roman" w:hAnsi="Times New Roman"/>
          <w:noProof/>
          <w:sz w:val="24"/>
        </w:rPr>
        <w:t xml:space="preserve">În 2025, au existat </w:t>
      </w:r>
      <w:r>
        <w:rPr>
          <w:rFonts w:ascii="Times New Roman" w:hAnsi="Times New Roman"/>
          <w:b/>
          <w:noProof/>
          <w:sz w:val="24"/>
        </w:rPr>
        <w:t>370 de comitete de comitologie</w:t>
      </w:r>
      <w:r>
        <w:rPr>
          <w:rFonts w:ascii="Times New Roman" w:hAnsi="Times New Roman"/>
          <w:noProof/>
          <w:sz w:val="24"/>
        </w:rPr>
        <w:t>, inclusiv formațiuni ale acestora</w:t>
      </w:r>
      <w:r>
        <w:rPr>
          <w:rStyle w:val="FootnoteReference"/>
          <w:rFonts w:ascii="Times New Roman" w:hAnsi="Times New Roman"/>
          <w:noProof/>
          <w:sz w:val="24"/>
          <w:szCs w:val="24"/>
        </w:rPr>
        <w:footnoteReference w:id="16"/>
      </w:r>
      <w:r>
        <w:rPr>
          <w:rFonts w:ascii="Times New Roman" w:hAnsi="Times New Roman"/>
          <w:noProof/>
          <w:sz w:val="24"/>
        </w:rPr>
        <w:t>. Deși noile acte legislative care au intrat în vigoare în 2025 au înființat mai multe comitete noi, numărul total a rămas stabil în comparație cu 2024 (368 de comitete), deoarece unele comitete au fost, de asemenea, desființate în cursul anului</w:t>
      </w:r>
      <w:r>
        <w:rPr>
          <w:rStyle w:val="FootnoteReference"/>
          <w:rFonts w:ascii="Times New Roman" w:hAnsi="Times New Roman"/>
          <w:b/>
          <w:bCs/>
          <w:noProof/>
          <w:sz w:val="24"/>
          <w:szCs w:val="24"/>
        </w:rPr>
        <w:footnoteReference w:id="17"/>
      </w:r>
      <w:r>
        <w:rPr>
          <w:rFonts w:ascii="Times New Roman" w:hAnsi="Times New Roman"/>
          <w:noProof/>
          <w:sz w:val="24"/>
        </w:rPr>
        <w:t>.</w:t>
      </w:r>
      <w:bookmarkStart w:id="5" w:name="_Toc138589006"/>
      <w:r>
        <w:rPr>
          <w:rFonts w:ascii="Times New Roman" w:hAnsi="Times New Roman"/>
          <w:noProof/>
          <w:sz w:val="24"/>
        </w:rPr>
        <w:t xml:space="preserve"> </w:t>
      </w:r>
    </w:p>
    <w:p>
      <w:pPr>
        <w:jc w:val="both"/>
        <w:rPr>
          <w:rFonts w:ascii="Times New Roman" w:hAnsi="Times New Roman"/>
          <w:noProof/>
          <w:sz w:val="24"/>
          <w:szCs w:val="24"/>
        </w:rPr>
      </w:pPr>
      <w:r>
        <w:rPr>
          <w:rFonts w:ascii="Times New Roman" w:hAnsi="Times New Roman"/>
          <w:noProof/>
          <w:sz w:val="24"/>
        </w:rPr>
        <w:lastRenderedPageBreak/>
        <w:t>Tabelul II prezintă o defalcare a comitetelor din 2025 în funcție de tipul de procedură pe baza căreia au funcționat (și anume procedura de consultare, procedura de examinare, procedura de reglementare cu control). Comitetele cu proceduri multiple</w:t>
      </w:r>
      <w:r>
        <w:rPr>
          <w:rStyle w:val="FootnoteReference"/>
          <w:rFonts w:ascii="Times New Roman" w:hAnsi="Times New Roman"/>
          <w:noProof/>
          <w:sz w:val="24"/>
          <w:szCs w:val="24"/>
        </w:rPr>
        <w:footnoteReference w:id="18"/>
      </w:r>
      <w:r>
        <w:rPr>
          <w:rFonts w:ascii="Times New Roman" w:hAnsi="Times New Roman"/>
          <w:noProof/>
          <w:sz w:val="24"/>
        </w:rPr>
        <w:t xml:space="preserve"> sunt indicate separat.</w:t>
      </w:r>
    </w:p>
    <w:p>
      <w:pPr>
        <w:keepNext/>
        <w:spacing w:after="120" w:line="240" w:lineRule="auto"/>
        <w:rPr>
          <w:rFonts w:ascii="Times New Roman" w:hAnsi="Times New Roman"/>
          <w:b/>
          <w:bCs/>
          <w:smallCaps/>
          <w:noProof/>
          <w:sz w:val="24"/>
          <w:szCs w:val="24"/>
          <w:u w:val="single"/>
        </w:rPr>
      </w:pPr>
      <w:r>
        <w:rPr>
          <w:rFonts w:ascii="Times New Roman" w:hAnsi="Times New Roman"/>
          <w:b/>
          <w:noProof/>
          <w:sz w:val="24"/>
          <w:u w:val="single"/>
        </w:rPr>
        <w:t xml:space="preserve">TABELUL II – </w:t>
      </w:r>
      <w:r>
        <w:rPr>
          <w:rFonts w:ascii="Times New Roman" w:hAnsi="Times New Roman"/>
          <w:b/>
          <w:smallCaps/>
          <w:noProof/>
          <w:sz w:val="24"/>
          <w:u w:val="single"/>
        </w:rPr>
        <w:t>Numărul de comitete per procedură</w:t>
      </w:r>
      <w:bookmarkEnd w:id="5"/>
    </w:p>
    <w:tbl>
      <w:tblPr>
        <w:tblW w:w="4885" w:type="pct"/>
        <w:tblInd w:w="108" w:type="dxa"/>
        <w:tblLook w:val="0600" w:firstRow="0" w:lastRow="0" w:firstColumn="0" w:lastColumn="0" w:noHBand="1" w:noVBand="1"/>
      </w:tblPr>
      <w:tblGrid>
        <w:gridCol w:w="2240"/>
        <w:gridCol w:w="1205"/>
        <w:gridCol w:w="1343"/>
        <w:gridCol w:w="1343"/>
        <w:gridCol w:w="1356"/>
        <w:gridCol w:w="1575"/>
      </w:tblGrid>
      <w:tr>
        <w:trPr>
          <w:trHeight w:val="249"/>
        </w:trPr>
        <w:tc>
          <w:tcPr>
            <w:tcW w:w="1236" w:type="pct"/>
            <w:vMerge w:val="restart"/>
            <w:tcBorders>
              <w:top w:val="single" w:sz="4" w:space="0" w:color="auto"/>
              <w:left w:val="single" w:sz="4" w:space="0" w:color="auto"/>
              <w:right w:val="single" w:sz="4" w:space="0" w:color="auto"/>
            </w:tcBorders>
            <w:shd w:val="clear" w:color="auto" w:fill="FFFF99"/>
            <w:noWrap/>
            <w:vAlign w:val="center"/>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Departamentul Comisiei</w:t>
            </w:r>
          </w:p>
        </w:tc>
        <w:tc>
          <w:tcPr>
            <w:tcW w:w="2895" w:type="pct"/>
            <w:gridSpan w:val="4"/>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Tipul de procedură</w:t>
            </w:r>
          </w:p>
        </w:tc>
        <w:tc>
          <w:tcPr>
            <w:tcW w:w="869"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p>
        </w:tc>
      </w:tr>
      <w:tr>
        <w:trPr>
          <w:trHeight w:val="249"/>
        </w:trPr>
        <w:tc>
          <w:tcPr>
            <w:tcW w:w="1236" w:type="pct"/>
            <w:vMerge/>
            <w:tcBorders>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noProof/>
                <w:color w:val="000000"/>
                <w:sz w:val="18"/>
                <w:szCs w:val="18"/>
                <w:lang w:eastAsia="en-GB"/>
              </w:rPr>
            </w:pPr>
          </w:p>
        </w:tc>
        <w:tc>
          <w:tcPr>
            <w:tcW w:w="665"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Examinare</w:t>
            </w:r>
          </w:p>
        </w:tc>
        <w:tc>
          <w:tcPr>
            <w:tcW w:w="741"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Consultare</w:t>
            </w:r>
          </w:p>
        </w:tc>
        <w:tc>
          <w:tcPr>
            <w:tcW w:w="741"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Reglementare cu control</w:t>
            </w:r>
          </w:p>
        </w:tc>
        <w:tc>
          <w:tcPr>
            <w:tcW w:w="748"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Proceduri multiple</w:t>
            </w:r>
          </w:p>
        </w:tc>
        <w:tc>
          <w:tcPr>
            <w:tcW w:w="869"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TOTAL</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AGRI</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7</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10</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BUDG</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CLIMA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5</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CNECT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5</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16</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COMP</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DEFIS</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7</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DIGIT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EAC</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ECFIN</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ECHO</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EMPL</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ENER</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7</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15</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ENEST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ENV</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16</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14</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ESTAT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FISMA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5</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10</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FPI</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GROW</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16</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46</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HERA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HOME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28</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INTPA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JUST</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7</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5</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MARE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MENA</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MOVE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14</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OLAF</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REGIO</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RTD</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13</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19</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SANTE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15</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19</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34</w:t>
            </w:r>
          </w:p>
        </w:tc>
      </w:tr>
      <w:tr>
        <w:trPr>
          <w:trHeight w:val="350"/>
        </w:trPr>
        <w:tc>
          <w:tcPr>
            <w:tcW w:w="1236"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before="60" w:after="0" w:line="240" w:lineRule="auto"/>
              <w:rPr>
                <w:rFonts w:ascii="Times New Roman" w:hAnsi="Times New Roman"/>
                <w:i/>
                <w:noProof/>
                <w:sz w:val="18"/>
                <w:szCs w:val="18"/>
              </w:rPr>
            </w:pPr>
            <w:r>
              <w:rPr>
                <w:rFonts w:ascii="Times New Roman" w:hAnsi="Times New Roman"/>
                <w:b/>
                <w:noProof/>
                <w:color w:val="000000"/>
                <w:sz w:val="18"/>
              </w:rPr>
              <w:t>SG</w:t>
            </w:r>
            <w:r>
              <w:rPr>
                <w:rFonts w:ascii="Times New Roman" w:hAnsi="Times New Roman"/>
                <w:noProof/>
                <w:sz w:val="18"/>
              </w:rPr>
              <w:t xml:space="preserve"> </w:t>
            </w:r>
            <w:r>
              <w:rPr>
                <w:rFonts w:ascii="Times New Roman" w:hAnsi="Times New Roman"/>
                <w:i/>
                <w:noProof/>
                <w:sz w:val="12"/>
              </w:rPr>
              <w:t>Inclusiv comitetul de apel</w:t>
            </w:r>
          </w:p>
        </w:tc>
        <w:tc>
          <w:tcPr>
            <w:tcW w:w="665"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741"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869" w:type="pct"/>
            <w:tcBorders>
              <w:top w:val="single" w:sz="4" w:space="0" w:color="auto"/>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r>
      <w:tr>
        <w:trPr>
          <w:trHeight w:val="249"/>
        </w:trPr>
        <w:tc>
          <w:tcPr>
            <w:tcW w:w="1236" w:type="pct"/>
            <w:tcBorders>
              <w:top w:val="single" w:sz="4" w:space="0" w:color="auto"/>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TAXUD</w:t>
            </w:r>
          </w:p>
        </w:tc>
        <w:tc>
          <w:tcPr>
            <w:tcW w:w="665" w:type="pct"/>
            <w:tcBorders>
              <w:top w:val="single" w:sz="4" w:space="0" w:color="auto"/>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12</w:t>
            </w:r>
          </w:p>
        </w:tc>
        <w:tc>
          <w:tcPr>
            <w:tcW w:w="741" w:type="pct"/>
            <w:tcBorders>
              <w:top w:val="single" w:sz="4" w:space="0" w:color="auto"/>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1" w:type="pct"/>
            <w:tcBorders>
              <w:top w:val="single" w:sz="4" w:space="0" w:color="auto"/>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28</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TRADE</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5</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6</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Cs/>
                <w:noProof/>
                <w:color w:val="000000"/>
                <w:sz w:val="18"/>
                <w:szCs w:val="18"/>
              </w:rPr>
            </w:pPr>
            <w:r>
              <w:rPr>
                <w:rFonts w:ascii="Times New Roman" w:hAnsi="Times New Roman"/>
                <w:noProof/>
                <w:sz w:val="18"/>
              </w:rPr>
              <w:t>13</w:t>
            </w:r>
          </w:p>
        </w:tc>
      </w:tr>
      <w:tr>
        <w:trPr>
          <w:trHeight w:val="249"/>
        </w:trPr>
        <w:tc>
          <w:tcPr>
            <w:tcW w:w="123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TOTAL:</w:t>
            </w:r>
          </w:p>
        </w:tc>
        <w:tc>
          <w:tcPr>
            <w:tcW w:w="665"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191</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22</w:t>
            </w:r>
          </w:p>
        </w:tc>
        <w:tc>
          <w:tcPr>
            <w:tcW w:w="741"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7</w:t>
            </w:r>
          </w:p>
        </w:tc>
        <w:tc>
          <w:tcPr>
            <w:tcW w:w="748"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150</w:t>
            </w:r>
          </w:p>
        </w:tc>
        <w:tc>
          <w:tcPr>
            <w:tcW w:w="869" w:type="pct"/>
            <w:tcBorders>
              <w:top w:val="single" w:sz="4" w:space="0" w:color="auto"/>
              <w:left w:val="single" w:sz="4" w:space="0" w:color="auto"/>
              <w:bottom w:val="single" w:sz="4" w:space="0" w:color="auto"/>
              <w:right w:val="single" w:sz="4" w:space="0" w:color="auto"/>
            </w:tcBorders>
            <w:shd w:val="clear" w:color="auto" w:fill="FFFF99"/>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370</w:t>
            </w:r>
          </w:p>
        </w:tc>
      </w:tr>
    </w:tbl>
    <w:p>
      <w:pPr>
        <w:spacing w:after="160" w:line="259" w:lineRule="auto"/>
        <w:rPr>
          <w:rFonts w:ascii="Times New Roman" w:eastAsia="Times New Roman" w:hAnsi="Times New Roman"/>
          <w:bCs/>
          <w:noProof/>
          <w:sz w:val="24"/>
          <w:szCs w:val="24"/>
        </w:rPr>
      </w:pPr>
      <w:r>
        <w:rPr>
          <w:noProof/>
        </w:rPr>
        <w:br w:type="page"/>
      </w:r>
    </w:p>
    <w:p>
      <w:pPr>
        <w:spacing w:before="240" w:after="120" w:line="240" w:lineRule="auto"/>
        <w:jc w:val="both"/>
        <w:rPr>
          <w:rFonts w:ascii="Times New Roman" w:eastAsia="Times New Roman" w:hAnsi="Times New Roman"/>
          <w:b/>
          <w:noProof/>
          <w:sz w:val="24"/>
          <w:szCs w:val="24"/>
        </w:rPr>
      </w:pPr>
      <w:r>
        <w:rPr>
          <w:rFonts w:ascii="Times New Roman" w:hAnsi="Times New Roman"/>
          <w:b/>
          <w:noProof/>
          <w:sz w:val="24"/>
        </w:rPr>
        <w:lastRenderedPageBreak/>
        <w:t>3.2.</w:t>
      </w:r>
      <w:r>
        <w:rPr>
          <w:noProof/>
        </w:rPr>
        <w:tab/>
      </w:r>
      <w:r>
        <w:rPr>
          <w:rFonts w:ascii="Times New Roman" w:hAnsi="Times New Roman"/>
          <w:b/>
          <w:noProof/>
          <w:sz w:val="24"/>
        </w:rPr>
        <w:t>Numărul de reuniuni și de proceduri scrise</w:t>
      </w:r>
    </w:p>
    <w:p>
      <w:pPr>
        <w:spacing w:before="120" w:after="240"/>
        <w:jc w:val="both"/>
        <w:rPr>
          <w:rFonts w:ascii="Times New Roman" w:hAnsi="Times New Roman"/>
          <w:i/>
          <w:noProof/>
          <w:sz w:val="18"/>
          <w:szCs w:val="18"/>
        </w:rPr>
      </w:pPr>
      <w:r>
        <w:rPr>
          <w:rFonts w:ascii="Times New Roman" w:hAnsi="Times New Roman"/>
          <w:noProof/>
          <w:sz w:val="24"/>
        </w:rPr>
        <w:t>Intensitatea activității comitetelor este definită în primul rând de numărul de reuniuni ale comitetelor ținute și de numărul de proceduri scrise</w:t>
      </w:r>
      <w:r>
        <w:rPr>
          <w:rStyle w:val="FootnoteReference"/>
          <w:rFonts w:ascii="Times New Roman" w:hAnsi="Times New Roman"/>
          <w:noProof/>
          <w:sz w:val="24"/>
          <w:szCs w:val="24"/>
        </w:rPr>
        <w:footnoteReference w:id="19"/>
      </w:r>
      <w:r>
        <w:rPr>
          <w:rFonts w:ascii="Times New Roman" w:hAnsi="Times New Roman"/>
          <w:noProof/>
          <w:sz w:val="24"/>
        </w:rPr>
        <w:t xml:space="preserve"> realizate. Acestea figurează în tabelul III.</w:t>
      </w:r>
    </w:p>
    <w:p>
      <w:pPr>
        <w:keepNext/>
        <w:spacing w:after="120" w:line="240" w:lineRule="auto"/>
        <w:rPr>
          <w:rFonts w:ascii="Times New Roman" w:hAnsi="Times New Roman"/>
          <w:b/>
          <w:bCs/>
          <w:noProof/>
          <w:sz w:val="24"/>
          <w:szCs w:val="24"/>
          <w:u w:val="single"/>
        </w:rPr>
      </w:pPr>
      <w:r>
        <w:rPr>
          <w:rFonts w:ascii="Times New Roman" w:hAnsi="Times New Roman"/>
          <w:b/>
          <w:noProof/>
          <w:sz w:val="24"/>
          <w:u w:val="single"/>
        </w:rPr>
        <w:t xml:space="preserve">TABELUL III – </w:t>
      </w:r>
      <w:r>
        <w:rPr>
          <w:rFonts w:ascii="Times New Roman" w:hAnsi="Times New Roman"/>
          <w:b/>
          <w:smallCaps/>
          <w:noProof/>
          <w:sz w:val="24"/>
          <w:u w:val="single"/>
        </w:rPr>
        <w:t>Numărul de reuniuni și de proceduri scrise</w:t>
      </w:r>
    </w:p>
    <w:tbl>
      <w:tblPr>
        <w:tblW w:w="4885" w:type="pct"/>
        <w:tblInd w:w="108" w:type="dxa"/>
        <w:tblLayout w:type="fixed"/>
        <w:tblLook w:val="0600" w:firstRow="0" w:lastRow="0" w:firstColumn="0" w:lastColumn="0" w:noHBand="1" w:noVBand="1"/>
      </w:tblPr>
      <w:tblGrid>
        <w:gridCol w:w="2111"/>
        <w:gridCol w:w="1339"/>
        <w:gridCol w:w="1339"/>
        <w:gridCol w:w="1446"/>
        <w:gridCol w:w="1439"/>
        <w:gridCol w:w="1388"/>
      </w:tblGrid>
      <w:tr>
        <w:trPr>
          <w:trHeight w:val="249"/>
        </w:trPr>
        <w:tc>
          <w:tcPr>
            <w:tcW w:w="1164" w:type="pct"/>
            <w:vMerge w:val="restart"/>
            <w:tcBorders>
              <w:top w:val="single" w:sz="4" w:space="0" w:color="auto"/>
              <w:left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Departamentul Comisiei</w:t>
            </w:r>
          </w:p>
        </w:tc>
        <w:tc>
          <w:tcPr>
            <w:tcW w:w="739" w:type="pct"/>
            <w:vMerge w:val="restart"/>
            <w:tcBorders>
              <w:top w:val="single" w:sz="4" w:space="0" w:color="auto"/>
              <w:left w:val="nil"/>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 xml:space="preserve">Numărul de comitete </w:t>
            </w:r>
          </w:p>
        </w:tc>
        <w:tc>
          <w:tcPr>
            <w:tcW w:w="1537"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Reuniuni</w:t>
            </w:r>
          </w:p>
        </w:tc>
        <w:tc>
          <w:tcPr>
            <w:tcW w:w="1561"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Proceduri scrise</w:t>
            </w:r>
          </w:p>
        </w:tc>
      </w:tr>
      <w:tr>
        <w:trPr>
          <w:trHeight w:val="249"/>
        </w:trPr>
        <w:tc>
          <w:tcPr>
            <w:tcW w:w="1164" w:type="pct"/>
            <w:vMerge/>
            <w:tcBorders>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color w:val="000000"/>
                <w:sz w:val="18"/>
                <w:szCs w:val="18"/>
                <w:lang w:eastAsia="en-GB"/>
              </w:rPr>
            </w:pPr>
          </w:p>
        </w:tc>
        <w:tc>
          <w:tcPr>
            <w:tcW w:w="739" w:type="pct"/>
            <w:vMerge/>
            <w:tcBorders>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lang w:eastAsia="en-GB"/>
              </w:rPr>
            </w:pPr>
          </w:p>
        </w:tc>
        <w:tc>
          <w:tcPr>
            <w:tcW w:w="739"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798"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c>
          <w:tcPr>
            <w:tcW w:w="794"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767"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AGRI</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10</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86</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72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BUDG</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CLIMA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5</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CNECT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16</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28</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COMP</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FF0000"/>
                <w:sz w:val="18"/>
                <w:szCs w:val="18"/>
              </w:rPr>
            </w:pPr>
            <w:r>
              <w:rPr>
                <w:rFonts w:ascii="Times New Roman" w:hAnsi="Times New Roman"/>
                <w:b/>
                <w:noProof/>
                <w:color w:val="000000"/>
                <w:sz w:val="18"/>
              </w:rPr>
              <w:t>DEFIS</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FF0000"/>
                <w:sz w:val="18"/>
                <w:szCs w:val="18"/>
              </w:rPr>
            </w:pPr>
            <w:r>
              <w:rPr>
                <w:rFonts w:ascii="Times New Roman" w:hAnsi="Times New Roman"/>
                <w:noProof/>
                <w:color w:val="000000"/>
                <w:sz w:val="18"/>
              </w:rPr>
              <w:t>11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color w:val="FF0000"/>
                <w:sz w:val="18"/>
                <w:szCs w:val="18"/>
              </w:rPr>
            </w:pPr>
            <w:r>
              <w:rPr>
                <w:rFonts w:ascii="Times New Roman" w:hAnsi="Times New Roman"/>
                <w:noProof/>
                <w:sz w:val="18"/>
              </w:rPr>
              <w:t>49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37</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15</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DIGIT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FF0000"/>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EAC</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17</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ECFIN</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ECHO</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EMPL</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ENER</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15</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29</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ENEST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ENV</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31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28</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ESTAT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FISMA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10</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16</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FPI</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GROW</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46</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35</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43</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HERA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HOME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28</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highlight w:val="yellow"/>
              </w:rPr>
            </w:pPr>
            <w:r>
              <w:rPr>
                <w:rFonts w:ascii="Times New Roman" w:hAnsi="Times New Roman"/>
                <w:noProof/>
                <w:sz w:val="18"/>
              </w:rPr>
              <w:t>53</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71</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24</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INTPA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7</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JUST</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33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26</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67</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7</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MARE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bCs/>
                <w:noProof/>
                <w:sz w:val="18"/>
                <w:szCs w:val="18"/>
              </w:rPr>
            </w:pPr>
            <w:r>
              <w:rPr>
                <w:rFonts w:ascii="Times New Roman" w:hAnsi="Times New Roman"/>
                <w:noProof/>
                <w:color w:val="000000"/>
                <w:sz w:val="18"/>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MOVE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33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43</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MENA</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NEAR</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color w:val="000000"/>
                <w:sz w:val="18"/>
                <w:szCs w:val="18"/>
              </w:rPr>
            </w:pPr>
            <w:r>
              <w:rPr>
                <w:rFonts w:ascii="Times New Roman" w:hAnsi="Times New Roman"/>
                <w:noProof/>
                <w:color w:val="000000"/>
                <w:sz w:val="18"/>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17</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15</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rPr>
            </w:pPr>
            <w:r>
              <w:rPr>
                <w:rFonts w:ascii="Times New Roman" w:hAnsi="Times New Roman"/>
                <w:b/>
                <w:noProof/>
                <w:color w:val="000000"/>
                <w:sz w:val="18"/>
              </w:rPr>
              <w:t>OLAF</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REGIO</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RTD</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19</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56</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60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222</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160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SANTE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34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107</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112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704</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659</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SG</w:t>
            </w:r>
            <w:r>
              <w:rPr>
                <w:rFonts w:ascii="Times New Roman" w:hAnsi="Times New Roman"/>
                <w:noProof/>
                <w:color w:val="000000"/>
              </w:rPr>
              <w:t xml:space="preserve"> </w:t>
            </w:r>
            <w:r>
              <w:rPr>
                <w:rFonts w:ascii="Times New Roman" w:hAnsi="Times New Roman"/>
                <w:i/>
                <w:noProof/>
                <w:color w:val="000000"/>
                <w:sz w:val="12"/>
              </w:rPr>
              <w:t>Inclusiv comitetul de apel</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4</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TAXUD</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color w:val="000000"/>
                <w:sz w:val="18"/>
              </w:rPr>
              <w:t>28</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30</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32</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30</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42</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TRADE</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29</w:t>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40</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35</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51</w:t>
            </w:r>
          </w:p>
        </w:tc>
      </w:tr>
      <w:tr>
        <w:trPr>
          <w:trHeight w:val="249"/>
        </w:trPr>
        <w:tc>
          <w:tcPr>
            <w:tcW w:w="1164"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rPr>
            </w:pPr>
            <w:r>
              <w:rPr>
                <w:rFonts w:ascii="Times New Roman" w:hAnsi="Times New Roman"/>
                <w:b/>
                <w:noProof/>
                <w:color w:val="000000"/>
                <w:sz w:val="18"/>
              </w:rPr>
              <w:t>TOTAL:</w:t>
            </w:r>
          </w:p>
        </w:tc>
        <w:tc>
          <w:tcPr>
            <w:tcW w:w="739" w:type="pct"/>
            <w:tcBorders>
              <w:top w:val="single" w:sz="4" w:space="0" w:color="auto"/>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b/>
                <w:bCs/>
                <w:noProof/>
                <w:sz w:val="18"/>
                <w:szCs w:val="18"/>
              </w:rPr>
            </w:pPr>
            <w:r>
              <w:rPr>
                <w:rFonts w:ascii="Times New Roman" w:hAnsi="Times New Roman"/>
                <w:b/>
                <w:noProof/>
                <w:sz w:val="18"/>
              </w:rPr>
              <w:t>370</w:t>
            </w:r>
          </w:p>
        </w:tc>
        <w:tc>
          <w:tcPr>
            <w:tcW w:w="739"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693</w:t>
            </w:r>
            <w:r>
              <w:rPr>
                <w:rStyle w:val="FootnoteReference"/>
                <w:rFonts w:ascii="Times New Roman" w:hAnsi="Times New Roman"/>
                <w:b/>
                <w:bCs/>
                <w:noProof/>
                <w:sz w:val="18"/>
                <w:szCs w:val="18"/>
                <w:lang w:eastAsia="en-GB"/>
              </w:rPr>
              <w:footnoteReference w:id="20"/>
            </w:r>
          </w:p>
        </w:tc>
        <w:tc>
          <w:tcPr>
            <w:tcW w:w="798" w:type="pct"/>
            <w:tcBorders>
              <w:top w:val="nil"/>
              <w:left w:val="nil"/>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786</w:t>
            </w:r>
          </w:p>
        </w:tc>
        <w:tc>
          <w:tcPr>
            <w:tcW w:w="794"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1211</w:t>
            </w:r>
          </w:p>
        </w:tc>
        <w:tc>
          <w:tcPr>
            <w:tcW w:w="767" w:type="pct"/>
            <w:tcBorders>
              <w:top w:val="nil"/>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1122</w:t>
            </w:r>
          </w:p>
        </w:tc>
      </w:tr>
    </w:tbl>
    <w:p>
      <w:pPr>
        <w:spacing w:before="240" w:after="240"/>
        <w:jc w:val="both"/>
        <w:rPr>
          <w:rFonts w:ascii="Times New Roman" w:hAnsi="Times New Roman"/>
          <w:noProof/>
          <w:sz w:val="24"/>
          <w:szCs w:val="24"/>
        </w:rPr>
      </w:pPr>
      <w:r>
        <w:rPr>
          <w:rFonts w:ascii="Times New Roman" w:hAnsi="Times New Roman"/>
          <w:noProof/>
          <w:sz w:val="24"/>
        </w:rPr>
        <w:t xml:space="preserve">În 2025 au avut loc </w:t>
      </w:r>
      <w:r>
        <w:rPr>
          <w:rFonts w:ascii="Times New Roman" w:hAnsi="Times New Roman"/>
          <w:b/>
          <w:noProof/>
          <w:sz w:val="24"/>
        </w:rPr>
        <w:t>786 de reuniuni</w:t>
      </w:r>
      <w:r>
        <w:rPr>
          <w:rFonts w:ascii="Times New Roman" w:hAnsi="Times New Roman"/>
          <w:noProof/>
          <w:sz w:val="24"/>
        </w:rPr>
        <w:t xml:space="preserve">, ceea ce reprezintă o creștere față de 2024 (când au avut loc 693 de reuniuni) și </w:t>
      </w:r>
      <w:r>
        <w:rPr>
          <w:rFonts w:ascii="Times New Roman" w:hAnsi="Times New Roman"/>
          <w:b/>
          <w:noProof/>
          <w:sz w:val="24"/>
        </w:rPr>
        <w:t>1122 de proceduri scrise</w:t>
      </w:r>
      <w:r>
        <w:rPr>
          <w:rFonts w:ascii="Times New Roman" w:hAnsi="Times New Roman"/>
          <w:noProof/>
          <w:sz w:val="24"/>
        </w:rPr>
        <w:t>, mai puține decât în anul precedent (când au avut loc 1211 proceduri).</w:t>
      </w:r>
    </w:p>
    <w:p>
      <w:pPr>
        <w:spacing w:after="160" w:line="259" w:lineRule="auto"/>
        <w:rPr>
          <w:rFonts w:ascii="Times New Roman" w:eastAsia="Times New Roman" w:hAnsi="Times New Roman"/>
          <w:b/>
          <w:noProof/>
          <w:sz w:val="24"/>
          <w:szCs w:val="24"/>
        </w:rPr>
      </w:pPr>
      <w:r>
        <w:rPr>
          <w:noProof/>
        </w:rPr>
        <w:br w:type="page"/>
      </w:r>
    </w:p>
    <w:p>
      <w:pPr>
        <w:pStyle w:val="ManualHeading2"/>
        <w:spacing w:after="200"/>
        <w:ind w:left="851" w:hanging="851"/>
        <w:jc w:val="left"/>
        <w:rPr>
          <w:noProof/>
          <w:u w:val="single"/>
        </w:rPr>
      </w:pPr>
      <w:r>
        <w:rPr>
          <w:noProof/>
        </w:rPr>
        <w:lastRenderedPageBreak/>
        <w:t>3.3.</w:t>
      </w:r>
      <w:r>
        <w:rPr>
          <w:noProof/>
        </w:rPr>
        <w:tab/>
        <w:t>Numărul de avize și de acte de punere în aplicare</w:t>
      </w:r>
    </w:p>
    <w:p>
      <w:pPr>
        <w:spacing w:before="240" w:after="240"/>
        <w:jc w:val="both"/>
        <w:rPr>
          <w:rFonts w:ascii="Times New Roman" w:hAnsi="Times New Roman"/>
          <w:noProof/>
          <w:sz w:val="24"/>
          <w:szCs w:val="24"/>
        </w:rPr>
      </w:pPr>
      <w:r>
        <w:rPr>
          <w:rFonts w:ascii="Times New Roman" w:hAnsi="Times New Roman"/>
          <w:noProof/>
          <w:sz w:val="24"/>
        </w:rPr>
        <w:t>Prezentul raport oferă, de asemenea, o indicație cu privire la realizările specifice ale comitetelor, care reprezintă un alt indicator important al nivelului de activitate.</w:t>
      </w:r>
    </w:p>
    <w:p>
      <w:pPr>
        <w:keepNext/>
        <w:spacing w:after="120" w:line="240" w:lineRule="auto"/>
        <w:rPr>
          <w:rFonts w:ascii="Times New Roman" w:hAnsi="Times New Roman"/>
          <w:b/>
          <w:bCs/>
          <w:smallCaps/>
          <w:noProof/>
          <w:sz w:val="24"/>
          <w:szCs w:val="24"/>
          <w:u w:val="single"/>
        </w:rPr>
      </w:pPr>
      <w:r>
        <w:rPr>
          <w:rFonts w:ascii="Times New Roman" w:hAnsi="Times New Roman"/>
          <w:b/>
          <w:noProof/>
          <w:sz w:val="24"/>
          <w:u w:val="single"/>
        </w:rPr>
        <w:t xml:space="preserve">TABELUL IV – </w:t>
      </w:r>
      <w:r>
        <w:rPr>
          <w:rFonts w:ascii="Times New Roman" w:hAnsi="Times New Roman"/>
          <w:b/>
          <w:smallCaps/>
          <w:noProof/>
          <w:sz w:val="24"/>
          <w:u w:val="single"/>
        </w:rPr>
        <w:t>Numărul de avize și de acte de punere în aplicare adoptate</w:t>
      </w:r>
      <w:r>
        <w:rPr>
          <w:rStyle w:val="FootnoteReference"/>
          <w:rFonts w:ascii="Times New Roman" w:hAnsi="Times New Roman"/>
          <w:b/>
          <w:bCs/>
          <w:smallCaps/>
          <w:noProof/>
          <w:sz w:val="24"/>
          <w:szCs w:val="24"/>
          <w:u w:val="single"/>
        </w:rPr>
        <w:footnoteReference w:id="21"/>
      </w:r>
    </w:p>
    <w:tbl>
      <w:tblPr>
        <w:tblW w:w="4885" w:type="pct"/>
        <w:tblInd w:w="108" w:type="dxa"/>
        <w:tblLook w:val="0200" w:firstRow="0" w:lastRow="0" w:firstColumn="0" w:lastColumn="0" w:noHBand="1" w:noVBand="0"/>
      </w:tblPr>
      <w:tblGrid>
        <w:gridCol w:w="2114"/>
        <w:gridCol w:w="1270"/>
        <w:gridCol w:w="1207"/>
        <w:gridCol w:w="1218"/>
        <w:gridCol w:w="1276"/>
        <w:gridCol w:w="1977"/>
      </w:tblGrid>
      <w:tr>
        <w:trPr>
          <w:trHeight w:val="525"/>
        </w:trPr>
        <w:tc>
          <w:tcPr>
            <w:tcW w:w="1166"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Departamentul Comisiei</w:t>
            </w:r>
          </w:p>
        </w:tc>
        <w:tc>
          <w:tcPr>
            <w:tcW w:w="1367"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Avize</w:t>
            </w:r>
            <w:r>
              <w:rPr>
                <w:rStyle w:val="FootnoteReference"/>
                <w:rFonts w:ascii="Times New Roman" w:hAnsi="Times New Roman"/>
                <w:b/>
                <w:bCs/>
                <w:noProof/>
                <w:color w:val="000000"/>
                <w:sz w:val="18"/>
                <w:szCs w:val="18"/>
                <w:u w:val="single"/>
                <w:lang w:eastAsia="en-GB"/>
              </w:rPr>
              <w:footnoteReference w:id="22"/>
            </w:r>
          </w:p>
        </w:tc>
        <w:tc>
          <w:tcPr>
            <w:tcW w:w="1376"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Acte de punere în aplicare</w:t>
            </w:r>
            <w:r>
              <w:rPr>
                <w:noProof/>
              </w:rPr>
              <w:t xml:space="preserve"> </w:t>
            </w:r>
            <w:r>
              <w:rPr>
                <w:noProof/>
              </w:rPr>
              <w:br/>
            </w:r>
            <w:r>
              <w:rPr>
                <w:rFonts w:ascii="Times New Roman" w:hAnsi="Times New Roman"/>
                <w:b/>
                <w:noProof/>
                <w:color w:val="000000"/>
                <w:sz w:val="18"/>
                <w:u w:val="single"/>
              </w:rPr>
              <w:t>adoptate</w:t>
            </w:r>
          </w:p>
        </w:tc>
        <w:tc>
          <w:tcPr>
            <w:tcW w:w="1091" w:type="pct"/>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 xml:space="preserve">Rezoluții ale Parlamentului/decizii ale Consiliului </w:t>
            </w:r>
            <w:r>
              <w:rPr>
                <w:noProof/>
              </w:rPr>
              <w:t xml:space="preserve"> </w:t>
            </w:r>
            <w:r>
              <w:rPr>
                <w:noProof/>
              </w:rPr>
              <w:br/>
            </w:r>
            <w:r>
              <w:rPr>
                <w:rFonts w:ascii="Times New Roman" w:hAnsi="Times New Roman"/>
                <w:b/>
                <w:noProof/>
                <w:color w:val="000000"/>
                <w:sz w:val="18"/>
                <w:u w:val="single"/>
              </w:rPr>
              <w:t>(articolul 11)</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u w:val="single"/>
                <w:lang w:eastAsia="en-GB"/>
              </w:rPr>
            </w:pP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2024</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2025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2024</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2025</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u w:val="single"/>
              </w:rPr>
            </w:pPr>
            <w:r>
              <w:rPr>
                <w:rFonts w:ascii="Times New Roman" w:hAnsi="Times New Roman"/>
                <w:b/>
                <w:noProof/>
                <w:color w:val="000000"/>
                <w:sz w:val="18"/>
                <w:u w:val="single"/>
              </w:rPr>
              <w:t>2025</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AGRI</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86</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70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76</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72</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BUDG</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CLIMA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17</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18</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CNECT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59</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43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58</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COMP</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5</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DEFIS</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12</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DIGIT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EAC</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18</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17</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ECFIN</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32</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42</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32</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41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ECHO</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5</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EMPL</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ENER</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24</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18</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19</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ENEST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27</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26</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ENV</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17</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17</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22</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ESTAT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12</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FISMA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12</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13</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FPI</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GROW</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127</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82</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83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103</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highlight w:val="yellow"/>
              </w:rPr>
            </w:pPr>
            <w:r>
              <w:rPr>
                <w:rFonts w:ascii="Times New Roman" w:hAnsi="Times New Roman"/>
                <w:b/>
                <w:noProof/>
                <w:color w:val="000000"/>
                <w:sz w:val="18"/>
              </w:rPr>
              <w:t>HERA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HOME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45</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54</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40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INTPA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103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96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103</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93</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JUST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11</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15</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MARE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10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7</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MENA</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21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21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MOVE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40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46</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36</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4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NEAR</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63</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62</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color w:val="000000"/>
                <w:sz w:val="18"/>
                <w:szCs w:val="18"/>
              </w:rPr>
            </w:pPr>
            <w:r>
              <w:rPr>
                <w:rFonts w:ascii="Times New Roman" w:hAnsi="Times New Roman"/>
                <w:b/>
                <w:noProof/>
                <w:color w:val="000000"/>
                <w:sz w:val="18"/>
              </w:rPr>
              <w:t>OLAF</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0</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bCs/>
                <w:noProof/>
                <w:sz w:val="18"/>
                <w:szCs w:val="18"/>
              </w:rPr>
            </w:pPr>
            <w:r>
              <w:rPr>
                <w:rFonts w:ascii="Times New Roman" w:hAnsi="Times New Roman"/>
                <w:noProof/>
                <w:sz w:val="18"/>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REGIO</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RTD</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221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160</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209</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129</w:t>
            </w:r>
          </w:p>
        </w:tc>
        <w:tc>
          <w:tcPr>
            <w:tcW w:w="1091" w:type="pct"/>
            <w:tcBorders>
              <w:top w:val="nil"/>
              <w:left w:val="single" w:sz="4" w:space="0" w:color="auto"/>
              <w:bottom w:val="single" w:sz="4" w:space="0" w:color="auto"/>
              <w:right w:val="single" w:sz="4" w:space="0" w:color="auto"/>
            </w:tcBorders>
            <w:shd w:val="clear" w:color="auto" w:fill="FFFF99"/>
            <w:noWrap/>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87"/>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SANTE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1076</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1176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969</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1133</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noProof/>
                <w:sz w:val="18"/>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SG</w:t>
            </w:r>
            <w:r>
              <w:rPr>
                <w:rFonts w:ascii="Times New Roman" w:hAnsi="Times New Roman"/>
                <w:noProof/>
                <w:color w:val="000000"/>
                <w:sz w:val="18"/>
              </w:rPr>
              <w:t>*</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TAXUD</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36</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56</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44</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39</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262"/>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TRADE</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82</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sz w:val="18"/>
                <w:szCs w:val="18"/>
              </w:rPr>
            </w:pPr>
            <w:r>
              <w:rPr>
                <w:rFonts w:ascii="Times New Roman" w:hAnsi="Times New Roman"/>
                <w:noProof/>
                <w:sz w:val="18"/>
              </w:rPr>
              <w:t>119</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noProof/>
                <w:sz w:val="18"/>
                <w:szCs w:val="18"/>
              </w:rPr>
            </w:pPr>
            <w:r>
              <w:rPr>
                <w:rFonts w:ascii="Times New Roman" w:hAnsi="Times New Roman"/>
                <w:noProof/>
                <w:sz w:val="18"/>
              </w:rPr>
              <w:t>79</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noProof/>
                <w:sz w:val="18"/>
                <w:szCs w:val="18"/>
              </w:rPr>
            </w:pPr>
            <w:r>
              <w:rPr>
                <w:rFonts w:ascii="Times New Roman" w:hAnsi="Times New Roman"/>
                <w:noProof/>
                <w:sz w:val="18"/>
              </w:rPr>
              <w:t>103</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0</w:t>
            </w:r>
          </w:p>
        </w:tc>
      </w:tr>
      <w:tr>
        <w:trPr>
          <w:trHeight w:val="70"/>
        </w:trPr>
        <w:tc>
          <w:tcPr>
            <w:tcW w:w="11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color w:val="000000"/>
                <w:sz w:val="18"/>
                <w:szCs w:val="18"/>
              </w:rPr>
            </w:pPr>
            <w:r>
              <w:rPr>
                <w:rFonts w:ascii="Times New Roman" w:hAnsi="Times New Roman"/>
                <w:b/>
                <w:noProof/>
                <w:color w:val="000000"/>
                <w:sz w:val="18"/>
              </w:rPr>
              <w:t>TOTAL:</w:t>
            </w:r>
          </w:p>
        </w:tc>
        <w:tc>
          <w:tcPr>
            <w:tcW w:w="701"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2129</w:t>
            </w:r>
          </w:p>
        </w:tc>
        <w:tc>
          <w:tcPr>
            <w:tcW w:w="666"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2163</w:t>
            </w:r>
          </w:p>
        </w:tc>
        <w:tc>
          <w:tcPr>
            <w:tcW w:w="672" w:type="pct"/>
            <w:tcBorders>
              <w:top w:val="nil"/>
              <w:left w:val="single" w:sz="4" w:space="0" w:color="auto"/>
              <w:bottom w:val="single" w:sz="4" w:space="0" w:color="auto"/>
              <w:right w:val="single" w:sz="4" w:space="0" w:color="auto"/>
            </w:tcBorders>
            <w:shd w:val="clear" w:color="auto" w:fill="FFFF99"/>
            <w:vAlign w:val="center"/>
          </w:tcPr>
          <w:p>
            <w:pPr>
              <w:spacing w:after="0"/>
              <w:jc w:val="center"/>
              <w:rPr>
                <w:rFonts w:ascii="Times New Roman" w:hAnsi="Times New Roman"/>
                <w:b/>
                <w:bCs/>
                <w:noProof/>
                <w:sz w:val="18"/>
                <w:szCs w:val="18"/>
              </w:rPr>
            </w:pPr>
            <w:r>
              <w:rPr>
                <w:rFonts w:ascii="Times New Roman" w:hAnsi="Times New Roman"/>
                <w:b/>
                <w:noProof/>
                <w:sz w:val="18"/>
              </w:rPr>
              <w:t>1938</w:t>
            </w:r>
          </w:p>
        </w:tc>
        <w:tc>
          <w:tcPr>
            <w:tcW w:w="704" w:type="pct"/>
            <w:tcBorders>
              <w:top w:val="nil"/>
              <w:left w:val="single" w:sz="4" w:space="0" w:color="auto"/>
              <w:bottom w:val="single" w:sz="4" w:space="0" w:color="auto"/>
              <w:right w:val="single" w:sz="4" w:space="0" w:color="auto"/>
            </w:tcBorders>
            <w:shd w:val="clear" w:color="auto" w:fill="FFFF99"/>
            <w:noWrap/>
            <w:vAlign w:val="center"/>
          </w:tcPr>
          <w:p>
            <w:pPr>
              <w:spacing w:after="0"/>
              <w:jc w:val="center"/>
              <w:rPr>
                <w:rFonts w:ascii="Times New Roman" w:hAnsi="Times New Roman"/>
                <w:b/>
                <w:bCs/>
                <w:noProof/>
                <w:sz w:val="18"/>
                <w:szCs w:val="18"/>
              </w:rPr>
            </w:pPr>
            <w:r>
              <w:rPr>
                <w:rFonts w:ascii="Times New Roman" w:hAnsi="Times New Roman"/>
                <w:b/>
                <w:noProof/>
                <w:sz w:val="18"/>
              </w:rPr>
              <w:t>2044</w:t>
            </w:r>
          </w:p>
        </w:tc>
        <w:tc>
          <w:tcPr>
            <w:tcW w:w="1091"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13</w:t>
            </w:r>
          </w:p>
        </w:tc>
      </w:tr>
    </w:tbl>
    <w:p>
      <w:pPr>
        <w:spacing w:before="120" w:after="0" w:line="240" w:lineRule="auto"/>
        <w:ind w:right="105"/>
        <w:jc w:val="both"/>
        <w:rPr>
          <w:rFonts w:ascii="Times New Roman" w:hAnsi="Times New Roman"/>
          <w:i/>
          <w:noProof/>
          <w:sz w:val="18"/>
          <w:szCs w:val="18"/>
        </w:rPr>
      </w:pPr>
      <w:r>
        <w:rPr>
          <w:rFonts w:ascii="Times New Roman" w:hAnsi="Times New Roman"/>
          <w:i/>
          <w:noProof/>
          <w:sz w:val="18"/>
        </w:rPr>
        <w:t>*Inclusiv avizele emise de comitetul de apel. Pentru a evita dubla contabilizare, actele de punere în aplicare adoptate care trec prin comitetul de apel sunt luate în considerare în cadrul comitetelor de prim nivel în domeniile de politică respective. A se vedea, de asemenea, secțiunea 3.4 și tabelul V.</w:t>
      </w:r>
    </w:p>
    <w:p>
      <w:pPr>
        <w:spacing w:after="160"/>
        <w:jc w:val="both"/>
        <w:rPr>
          <w:rFonts w:ascii="Times New Roman" w:hAnsi="Times New Roman"/>
          <w:noProof/>
          <w:sz w:val="24"/>
          <w:szCs w:val="24"/>
        </w:rPr>
      </w:pPr>
      <w:r>
        <w:rPr>
          <w:rFonts w:ascii="Times New Roman" w:hAnsi="Times New Roman"/>
          <w:noProof/>
          <w:sz w:val="24"/>
        </w:rPr>
        <w:lastRenderedPageBreak/>
        <w:t>Tabelul IV prezintă cifrele totale corespunzătoare avizelor formale emise de comitete și actelor de punere în aplicare adoptate ulterior de Comisie</w:t>
      </w:r>
      <w:r>
        <w:rPr>
          <w:rStyle w:val="FootnoteReference"/>
          <w:rFonts w:ascii="Times New Roman" w:hAnsi="Times New Roman"/>
          <w:noProof/>
          <w:sz w:val="24"/>
          <w:szCs w:val="24"/>
        </w:rPr>
        <w:footnoteReference w:id="23"/>
      </w:r>
      <w:r>
        <w:rPr>
          <w:rFonts w:ascii="Times New Roman" w:hAnsi="Times New Roman"/>
          <w:noProof/>
          <w:sz w:val="24"/>
        </w:rPr>
        <w:t>. Acesta indică, de asemenea, cazurile în care fie Parlamentul European, fie Consiliul și-au exercitat dreptul de control în temeiul articolului 11 din Regulamentul privind procedura comitetului.</w:t>
      </w:r>
    </w:p>
    <w:p>
      <w:pPr>
        <w:spacing w:after="160"/>
        <w:jc w:val="both"/>
        <w:rPr>
          <w:rFonts w:ascii="Times New Roman" w:hAnsi="Times New Roman"/>
          <w:noProof/>
          <w:sz w:val="24"/>
          <w:szCs w:val="24"/>
        </w:rPr>
      </w:pPr>
      <w:r>
        <w:rPr>
          <w:rFonts w:ascii="Times New Roman" w:hAnsi="Times New Roman"/>
          <w:noProof/>
          <w:sz w:val="24"/>
        </w:rPr>
        <w:t>Comitetele au emis 2163 de avize</w:t>
      </w:r>
      <w:r>
        <w:rPr>
          <w:rStyle w:val="FootnoteReference"/>
          <w:rFonts w:ascii="Times New Roman" w:hAnsi="Times New Roman"/>
          <w:noProof/>
          <w:sz w:val="24"/>
          <w:szCs w:val="24"/>
        </w:rPr>
        <w:footnoteReference w:id="24"/>
      </w:r>
      <w:r>
        <w:rPr>
          <w:rFonts w:ascii="Times New Roman" w:hAnsi="Times New Roman"/>
          <w:noProof/>
          <w:sz w:val="24"/>
        </w:rPr>
        <w:t xml:space="preserve"> în 2025, ceea ce reprezintă o ușoară creștere față de 2024 (2129). În mod similar, numărul actelor de punere în aplicare adoptate</w:t>
      </w:r>
      <w:r>
        <w:rPr>
          <w:rStyle w:val="FootnoteReference"/>
          <w:rFonts w:ascii="Times New Roman" w:hAnsi="Times New Roman"/>
          <w:noProof/>
          <w:sz w:val="24"/>
          <w:szCs w:val="24"/>
        </w:rPr>
        <w:footnoteReference w:id="25"/>
      </w:r>
      <w:r>
        <w:rPr>
          <w:rFonts w:ascii="Times New Roman" w:hAnsi="Times New Roman"/>
          <w:noProof/>
          <w:sz w:val="24"/>
        </w:rPr>
        <w:t xml:space="preserve"> în urma unei proceduri a comitetului – 2044 – a fost ușor mai mare decât în anul precedent (1938).</w:t>
      </w:r>
    </w:p>
    <w:p>
      <w:pPr>
        <w:jc w:val="both"/>
        <w:rPr>
          <w:rFonts w:ascii="Times New Roman" w:hAnsi="Times New Roman"/>
          <w:noProof/>
          <w:sz w:val="24"/>
          <w:szCs w:val="24"/>
        </w:rPr>
      </w:pPr>
      <w:r>
        <w:rPr>
          <w:rFonts w:ascii="Times New Roman" w:hAnsi="Times New Roman"/>
          <w:noProof/>
          <w:sz w:val="24"/>
        </w:rPr>
        <w:t>În cazul în care un act de bază este adoptat prin procedura legislativă ordinară, Parlamentul European și Consiliul au drept de control în temeiul articolului 11 din Regulamentul privind procedura comitetului, respectiv fiecare dintre acestea poate indica dacă un proiect de act de punere în aplicare depășește competențele de executare acordate prin actul de bază. În 2025, Parlamentul European a adoptat treisprezece rezoluții pe baza articolului 11 din Regulamentul privind procedura comitetului. Consiliul nu și-a exercitat dreptul în temeiul acestei dispoziții în 2025.</w:t>
      </w:r>
    </w:p>
    <w:p>
      <w:pPr>
        <w:pStyle w:val="ManualHeading2"/>
        <w:spacing w:before="360" w:after="200"/>
        <w:ind w:left="851" w:hanging="851"/>
        <w:rPr>
          <w:noProof/>
        </w:rPr>
      </w:pPr>
      <w:r>
        <w:rPr>
          <w:noProof/>
        </w:rPr>
        <w:t>3.4.</w:t>
      </w:r>
      <w:r>
        <w:rPr>
          <w:noProof/>
        </w:rPr>
        <w:tab/>
        <w:t>Reuniunile comitetului de apel</w:t>
      </w:r>
    </w:p>
    <w:p>
      <w:pPr>
        <w:jc w:val="both"/>
        <w:rPr>
          <w:rFonts w:ascii="Times New Roman" w:hAnsi="Times New Roman"/>
          <w:noProof/>
          <w:sz w:val="24"/>
          <w:szCs w:val="24"/>
        </w:rPr>
      </w:pPr>
      <w:r>
        <w:rPr>
          <w:rFonts w:ascii="Times New Roman" w:hAnsi="Times New Roman"/>
          <w:noProof/>
          <w:sz w:val="24"/>
        </w:rPr>
        <w:t>Astfel cum este indicat în tabelul V de mai jos, comitetul de apel s-a reunit de 6 ori în 2025 și a discutat cele 11 proiecte de acte de punere în aplicare pe care Comisia le-a supus atenției sale. Prin vot în cadrul reuniunilor în toate cazurile și fără a recurge la proceduri scrise, acesta nu a emis niciun aviz în toate cazurile</w:t>
      </w:r>
      <w:r>
        <w:rPr>
          <w:rStyle w:val="FootnoteReference"/>
          <w:rFonts w:ascii="Times New Roman" w:hAnsi="Times New Roman"/>
          <w:noProof/>
          <w:sz w:val="24"/>
          <w:szCs w:val="24"/>
        </w:rPr>
        <w:footnoteReference w:id="26"/>
      </w:r>
      <w:r>
        <w:rPr>
          <w:rFonts w:ascii="Times New Roman" w:hAnsi="Times New Roman"/>
          <w:noProof/>
          <w:sz w:val="24"/>
        </w:rPr>
        <w:t>. În urma voturilor respective ale comitetului de apel, Comisia a adoptat 10 dintre actele de punere în aplicare (două dintre adoptări au avut loc în 2026), în timp ce un proiect de act nu a fost în cele din urmă adoptat, deoarece cererea subiacentă de autorizare a introducerii pe piață a fost retrasă.</w:t>
      </w:r>
    </w:p>
    <w:p>
      <w:pPr>
        <w:keepNext/>
        <w:spacing w:line="240" w:lineRule="auto"/>
        <w:rPr>
          <w:rFonts w:ascii="Times New Roman" w:hAnsi="Times New Roman"/>
          <w:b/>
          <w:smallCaps/>
          <w:noProof/>
          <w:sz w:val="24"/>
          <w:szCs w:val="24"/>
          <w:u w:val="single"/>
        </w:rPr>
      </w:pPr>
      <w:r>
        <w:rPr>
          <w:rFonts w:ascii="Times New Roman" w:hAnsi="Times New Roman"/>
          <w:b/>
          <w:noProof/>
          <w:sz w:val="24"/>
          <w:u w:val="single"/>
        </w:rPr>
        <w:t xml:space="preserve">TABELUL V – </w:t>
      </w:r>
      <w:r>
        <w:rPr>
          <w:rFonts w:ascii="Times New Roman" w:hAnsi="Times New Roman"/>
          <w:b/>
          <w:smallCaps/>
          <w:noProof/>
          <w:sz w:val="24"/>
          <w:u w:val="single"/>
        </w:rPr>
        <w:t>Activitatea comitetului de apel</w:t>
      </w:r>
    </w:p>
    <w:tbl>
      <w:tblPr>
        <w:tblW w:w="4942" w:type="pct"/>
        <w:tblInd w:w="108" w:type="dxa"/>
        <w:tblLook w:val="0200" w:firstRow="0" w:lastRow="0" w:firstColumn="0" w:lastColumn="0" w:noHBand="1" w:noVBand="0"/>
      </w:tblPr>
      <w:tblGrid>
        <w:gridCol w:w="2108"/>
        <w:gridCol w:w="1654"/>
        <w:gridCol w:w="1470"/>
        <w:gridCol w:w="1280"/>
        <w:gridCol w:w="994"/>
        <w:gridCol w:w="988"/>
        <w:gridCol w:w="673"/>
      </w:tblGrid>
      <w:tr>
        <w:trPr>
          <w:trHeight w:val="931"/>
        </w:trPr>
        <w:tc>
          <w:tcPr>
            <w:tcW w:w="1150" w:type="pct"/>
            <w:tcBorders>
              <w:top w:val="single" w:sz="4" w:space="0" w:color="auto"/>
              <w:left w:val="single" w:sz="4" w:space="0" w:color="auto"/>
              <w:bottom w:val="single" w:sz="4" w:space="0" w:color="auto"/>
              <w:right w:val="single" w:sz="4" w:space="0" w:color="auto"/>
            </w:tcBorders>
            <w:shd w:val="clear" w:color="auto" w:fill="FFFF99"/>
            <w:noWrap/>
            <w:vAlign w:val="center"/>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Departamentul Comisiei</w:t>
            </w:r>
          </w:p>
        </w:tc>
        <w:tc>
          <w:tcPr>
            <w:tcW w:w="1704"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Numărul de reuniuni/consultări scrise ale comitetului de apel</w:t>
            </w:r>
          </w:p>
        </w:tc>
        <w:tc>
          <w:tcPr>
            <w:tcW w:w="1240"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Numărul de avize</w:t>
            </w:r>
            <w:r>
              <w:rPr>
                <w:rStyle w:val="FootnoteReference"/>
                <w:rFonts w:ascii="Times New Roman" w:hAnsi="Times New Roman"/>
                <w:b/>
                <w:bCs/>
                <w:noProof/>
                <w:color w:val="000000"/>
                <w:sz w:val="18"/>
                <w:szCs w:val="18"/>
                <w:lang w:eastAsia="en-GB"/>
              </w:rPr>
              <w:footnoteReference w:id="27"/>
            </w:r>
            <w:r>
              <w:rPr>
                <w:rFonts w:ascii="Times New Roman" w:hAnsi="Times New Roman"/>
                <w:b/>
                <w:noProof/>
                <w:color w:val="000000"/>
                <w:sz w:val="18"/>
              </w:rPr>
              <w:t xml:space="preserve"> ale comitetului de apel</w:t>
            </w:r>
          </w:p>
        </w:tc>
        <w:tc>
          <w:tcPr>
            <w:tcW w:w="906" w:type="pct"/>
            <w:gridSpan w:val="2"/>
            <w:tcBorders>
              <w:top w:val="single" w:sz="4" w:space="0" w:color="auto"/>
              <w:left w:val="nil"/>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Numărul de acte adoptate în urma unui aviz al comitetului de apel</w:t>
            </w:r>
          </w:p>
        </w:tc>
      </w:tr>
      <w:tr>
        <w:trPr>
          <w:trHeight w:val="240"/>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lang w:eastAsia="en-GB"/>
              </w:rPr>
            </w:pP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2024</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noProof/>
                <w:color w:val="000000"/>
                <w:sz w:val="18"/>
                <w:szCs w:val="18"/>
              </w:rPr>
            </w:pPr>
            <w:r>
              <w:rPr>
                <w:rFonts w:ascii="Times New Roman" w:hAnsi="Times New Roman"/>
                <w:b/>
                <w:noProof/>
                <w:color w:val="000000"/>
                <w:sz w:val="18"/>
              </w:rPr>
              <w:t>2025</w:t>
            </w:r>
          </w:p>
        </w:tc>
      </w:tr>
      <w:tr>
        <w:trPr>
          <w:trHeight w:val="240"/>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MOVE</w:t>
            </w: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1/0</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0/0</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242"/>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noProof/>
                <w:color w:val="000000"/>
                <w:sz w:val="18"/>
                <w:szCs w:val="18"/>
              </w:rPr>
            </w:pPr>
            <w:r>
              <w:rPr>
                <w:rFonts w:ascii="Times New Roman" w:hAnsi="Times New Roman"/>
                <w:b/>
                <w:noProof/>
                <w:color w:val="000000"/>
                <w:sz w:val="18"/>
              </w:rPr>
              <w:t>SANTE</w:t>
            </w: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4/0</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6/0</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11</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noProof/>
                <w:sz w:val="18"/>
                <w:szCs w:val="18"/>
              </w:rPr>
            </w:pPr>
            <w:r>
              <w:rPr>
                <w:rFonts w:ascii="Times New Roman" w:hAnsi="Times New Roman"/>
                <w:noProof/>
                <w:sz w:val="18"/>
              </w:rPr>
              <w:t>10</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noProof/>
                <w:sz w:val="18"/>
                <w:szCs w:val="18"/>
              </w:rPr>
            </w:pPr>
            <w:r>
              <w:rPr>
                <w:rFonts w:ascii="Times New Roman" w:hAnsi="Times New Roman"/>
                <w:noProof/>
                <w:sz w:val="18"/>
              </w:rPr>
              <w:t>8</w:t>
            </w:r>
          </w:p>
        </w:tc>
      </w:tr>
      <w:tr>
        <w:trPr>
          <w:trHeight w:val="300"/>
        </w:trPr>
        <w:tc>
          <w:tcPr>
            <w:tcW w:w="1150" w:type="pct"/>
            <w:tcBorders>
              <w:top w:val="nil"/>
              <w:left w:val="single" w:sz="4" w:space="0" w:color="auto"/>
              <w:bottom w:val="single" w:sz="4" w:space="0" w:color="auto"/>
              <w:right w:val="single" w:sz="4" w:space="0" w:color="auto"/>
            </w:tcBorders>
            <w:shd w:val="clear" w:color="auto" w:fill="FFFF99"/>
            <w:noWrap/>
            <w:vAlign w:val="bottom"/>
          </w:tcPr>
          <w:p>
            <w:pPr>
              <w:spacing w:after="0" w:line="240" w:lineRule="auto"/>
              <w:rPr>
                <w:rFonts w:ascii="Times New Roman" w:hAnsi="Times New Roman"/>
                <w:b/>
                <w:bCs/>
                <w:noProof/>
                <w:color w:val="000000"/>
                <w:sz w:val="18"/>
                <w:szCs w:val="18"/>
              </w:rPr>
            </w:pPr>
            <w:r>
              <w:rPr>
                <w:rFonts w:ascii="Times New Roman" w:hAnsi="Times New Roman"/>
                <w:b/>
                <w:noProof/>
                <w:color w:val="000000"/>
                <w:sz w:val="18"/>
              </w:rPr>
              <w:t>TOTAL:</w:t>
            </w:r>
          </w:p>
        </w:tc>
        <w:tc>
          <w:tcPr>
            <w:tcW w:w="9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5/0</w:t>
            </w:r>
          </w:p>
        </w:tc>
        <w:tc>
          <w:tcPr>
            <w:tcW w:w="80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6/0</w:t>
            </w:r>
          </w:p>
        </w:tc>
        <w:tc>
          <w:tcPr>
            <w:tcW w:w="698"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11</w:t>
            </w:r>
          </w:p>
        </w:tc>
        <w:tc>
          <w:tcPr>
            <w:tcW w:w="542"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11</w:t>
            </w:r>
          </w:p>
        </w:tc>
        <w:tc>
          <w:tcPr>
            <w:tcW w:w="539" w:type="pct"/>
            <w:tcBorders>
              <w:top w:val="nil"/>
              <w:left w:val="single" w:sz="4" w:space="0" w:color="auto"/>
              <w:bottom w:val="single" w:sz="4" w:space="0" w:color="auto"/>
              <w:right w:val="single" w:sz="4" w:space="0" w:color="auto"/>
            </w:tcBorders>
            <w:shd w:val="clear" w:color="auto" w:fill="FFFF99"/>
            <w:noWrap/>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11</w:t>
            </w:r>
          </w:p>
        </w:tc>
        <w:tc>
          <w:tcPr>
            <w:tcW w:w="367" w:type="pct"/>
            <w:tcBorders>
              <w:top w:val="nil"/>
              <w:left w:val="single" w:sz="4" w:space="0" w:color="auto"/>
              <w:bottom w:val="single" w:sz="4" w:space="0" w:color="auto"/>
              <w:right w:val="single" w:sz="4" w:space="0" w:color="auto"/>
            </w:tcBorders>
            <w:shd w:val="clear" w:color="auto" w:fill="FFFF99"/>
            <w:vAlign w:val="center"/>
          </w:tcPr>
          <w:p>
            <w:pPr>
              <w:spacing w:after="0" w:line="240" w:lineRule="auto"/>
              <w:jc w:val="center"/>
              <w:rPr>
                <w:rFonts w:ascii="Times New Roman" w:hAnsi="Times New Roman"/>
                <w:b/>
                <w:bCs/>
                <w:noProof/>
                <w:sz w:val="18"/>
                <w:szCs w:val="18"/>
              </w:rPr>
            </w:pPr>
            <w:r>
              <w:rPr>
                <w:rFonts w:ascii="Times New Roman" w:hAnsi="Times New Roman"/>
                <w:b/>
                <w:noProof/>
                <w:sz w:val="18"/>
              </w:rPr>
              <w:t>8</w:t>
            </w:r>
          </w:p>
        </w:tc>
      </w:tr>
    </w:tbl>
    <w:p>
      <w:pPr>
        <w:spacing w:after="160" w:line="259" w:lineRule="auto"/>
        <w:rPr>
          <w:rFonts w:ascii="Times New Roman" w:eastAsia="Times New Roman" w:hAnsi="Times New Roman"/>
          <w:b/>
          <w:noProof/>
          <w:sz w:val="24"/>
          <w:szCs w:val="24"/>
        </w:rPr>
      </w:pPr>
      <w:r>
        <w:rPr>
          <w:noProof/>
        </w:rPr>
        <w:br w:type="page"/>
      </w:r>
    </w:p>
    <w:p>
      <w:pPr>
        <w:pStyle w:val="ManualHeading2"/>
        <w:spacing w:before="360" w:after="200"/>
        <w:ind w:left="851" w:hanging="851"/>
        <w:rPr>
          <w:noProof/>
        </w:rPr>
      </w:pPr>
      <w:r>
        <w:rPr>
          <w:noProof/>
        </w:rPr>
        <w:lastRenderedPageBreak/>
        <w:t>3.5.</w:t>
      </w:r>
      <w:r>
        <w:rPr>
          <w:noProof/>
        </w:rPr>
        <w:tab/>
        <w:t xml:space="preserve">Utilizarea procedurii de reglementare cu control </w:t>
      </w:r>
    </w:p>
    <w:p>
      <w:pPr>
        <w:spacing w:after="120"/>
        <w:jc w:val="both"/>
        <w:rPr>
          <w:rFonts w:ascii="Times New Roman" w:hAnsi="Times New Roman"/>
          <w:noProof/>
          <w:sz w:val="24"/>
          <w:szCs w:val="24"/>
        </w:rPr>
      </w:pPr>
      <w:r>
        <w:rPr>
          <w:rFonts w:ascii="Times New Roman" w:hAnsi="Times New Roman"/>
          <w:noProof/>
          <w:sz w:val="24"/>
        </w:rPr>
        <w:t>Regulamentul privind procedura comitetului a menținut efectele procedurii de reglementare cu control în sensul actelor legislative de bază existente care se referă la aceasta</w:t>
      </w:r>
      <w:r>
        <w:rPr>
          <w:rStyle w:val="FootnoteReference"/>
          <w:rFonts w:ascii="Times New Roman" w:hAnsi="Times New Roman"/>
          <w:noProof/>
          <w:sz w:val="24"/>
          <w:szCs w:val="24"/>
        </w:rPr>
        <w:footnoteReference w:id="28"/>
      </w:r>
      <w:r>
        <w:rPr>
          <w:rFonts w:ascii="Times New Roman" w:hAnsi="Times New Roman"/>
          <w:noProof/>
          <w:sz w:val="24"/>
        </w:rPr>
        <w:t>. Procedura respectivă nu mai poate fi inclusă în noua legislație, dar apare încă în mai multe acte de bază existente și va continua să se aplice în temeiul acestor acte până când împuternicirile respective vor fi adaptate la Tratatul privind funcționarea Uniunii (TFUE) și eventual transformate în împuterniciri pentru acte delegate sau pentru acte de punere în aplicare.</w:t>
      </w:r>
    </w:p>
    <w:p>
      <w:pPr>
        <w:jc w:val="both"/>
        <w:rPr>
          <w:rFonts w:ascii="Times New Roman" w:hAnsi="Times New Roman"/>
          <w:noProof/>
          <w:sz w:val="24"/>
          <w:szCs w:val="24"/>
        </w:rPr>
      </w:pPr>
      <w:r>
        <w:rPr>
          <w:rFonts w:ascii="Times New Roman" w:hAnsi="Times New Roman"/>
          <w:noProof/>
          <w:sz w:val="24"/>
        </w:rPr>
        <w:t xml:space="preserve">În 2025, au fost adoptate </w:t>
      </w:r>
      <w:r>
        <w:rPr>
          <w:rFonts w:ascii="Times New Roman" w:hAnsi="Times New Roman"/>
          <w:b/>
          <w:noProof/>
          <w:sz w:val="24"/>
        </w:rPr>
        <w:t>53 de măsuri</w:t>
      </w:r>
      <w:r>
        <w:rPr>
          <w:rFonts w:ascii="Times New Roman" w:hAnsi="Times New Roman"/>
          <w:noProof/>
          <w:sz w:val="24"/>
        </w:rPr>
        <w:t xml:space="preserve"> în cadrul procedurii de reglementare cu control (a se vedea tabelul VI), mai puține decât în 2024 (când au fost adoptate 67 de măsuri). Dreptul de veto asupra actelor în temeiul procedurii de reglementare cu control nu a fost utilizat de colegiuitori în 2025 (comparativ, în 2024, aceștia au utilizat acest drept de două ori).</w:t>
      </w:r>
    </w:p>
    <w:p>
      <w:pPr>
        <w:keepNext/>
        <w:spacing w:after="120" w:line="240" w:lineRule="auto"/>
        <w:ind w:right="349"/>
        <w:jc w:val="both"/>
        <w:rPr>
          <w:rFonts w:ascii="Times New Roman" w:hAnsi="Times New Roman"/>
          <w:b/>
          <w:smallCaps/>
          <w:noProof/>
          <w:sz w:val="24"/>
          <w:szCs w:val="24"/>
          <w:u w:val="single"/>
        </w:rPr>
      </w:pPr>
      <w:r>
        <w:rPr>
          <w:rFonts w:ascii="Times New Roman" w:hAnsi="Times New Roman"/>
          <w:b/>
          <w:noProof/>
          <w:sz w:val="24"/>
          <w:u w:val="single"/>
        </w:rPr>
        <w:t xml:space="preserve">TABELUL VI – </w:t>
      </w:r>
      <w:r>
        <w:rPr>
          <w:rFonts w:ascii="Times New Roman" w:hAnsi="Times New Roman"/>
          <w:b/>
          <w:smallCaps/>
          <w:noProof/>
          <w:sz w:val="24"/>
          <w:u w:val="single"/>
        </w:rPr>
        <w:t xml:space="preserve">Numărul de măsuri adoptate în conformitate cu procedura de reglementare cu control </w:t>
      </w:r>
    </w:p>
    <w:tbl>
      <w:tblPr>
        <w:tblStyle w:val="TableGrid"/>
        <w:tblW w:w="0" w:type="auto"/>
        <w:tblInd w:w="0" w:type="dxa"/>
        <w:tblLook w:val="04A0" w:firstRow="1" w:lastRow="0" w:firstColumn="1" w:lastColumn="0" w:noHBand="0" w:noVBand="1"/>
      </w:tblPr>
      <w:tblGrid>
        <w:gridCol w:w="1555"/>
        <w:gridCol w:w="2409"/>
        <w:gridCol w:w="2694"/>
        <w:gridCol w:w="2551"/>
      </w:tblGrid>
      <w:tr>
        <w:trPr>
          <w:trHeight w:val="926"/>
        </w:trPr>
        <w:tc>
          <w:tcPr>
            <w:tcW w:w="1555" w:type="dxa"/>
            <w:tcBorders>
              <w:top w:val="single" w:sz="4" w:space="0" w:color="auto"/>
              <w:left w:val="single" w:sz="4" w:space="0" w:color="auto"/>
              <w:bottom w:val="single" w:sz="4" w:space="0" w:color="auto"/>
              <w:right w:val="single" w:sz="4" w:space="0" w:color="auto"/>
            </w:tcBorders>
            <w:shd w:val="clear" w:color="auto" w:fill="FFFF99"/>
          </w:tcPr>
          <w:p>
            <w:pPr>
              <w:jc w:val="center"/>
              <w:rPr>
                <w:noProof/>
              </w:rPr>
            </w:pPr>
            <w:r>
              <w:rPr>
                <w:rFonts w:ascii="Times New Roman" w:hAnsi="Times New Roman"/>
                <w:b/>
                <w:noProof/>
                <w:color w:val="000000"/>
                <w:sz w:val="18"/>
              </w:rPr>
              <w:t>Departamentul Comisiei</w:t>
            </w:r>
          </w:p>
        </w:tc>
        <w:tc>
          <w:tcPr>
            <w:tcW w:w="2409" w:type="dxa"/>
            <w:tcBorders>
              <w:top w:val="single" w:sz="4" w:space="0" w:color="auto"/>
              <w:left w:val="nil"/>
              <w:bottom w:val="single" w:sz="4" w:space="0" w:color="auto"/>
              <w:right w:val="single" w:sz="4" w:space="0" w:color="auto"/>
            </w:tcBorders>
            <w:shd w:val="clear" w:color="auto" w:fill="FFFF99"/>
          </w:tcPr>
          <w:p>
            <w:pPr>
              <w:jc w:val="center"/>
              <w:rPr>
                <w:rFonts w:ascii="Times New Roman" w:hAnsi="Times New Roman"/>
                <w:b/>
                <w:noProof/>
                <w:color w:val="000000"/>
                <w:sz w:val="18"/>
                <w:szCs w:val="18"/>
              </w:rPr>
            </w:pPr>
            <w:r>
              <w:rPr>
                <w:rFonts w:ascii="Times New Roman" w:hAnsi="Times New Roman"/>
                <w:b/>
                <w:noProof/>
                <w:color w:val="000000"/>
                <w:sz w:val="18"/>
              </w:rPr>
              <w:t>Procedura de reglementare cu control – măsuri</w:t>
            </w:r>
            <w:r>
              <w:rPr>
                <w:noProof/>
              </w:rPr>
              <w:t xml:space="preserve"> </w:t>
            </w:r>
            <w:r>
              <w:rPr>
                <w:noProof/>
              </w:rPr>
              <w:br/>
            </w:r>
            <w:r>
              <w:rPr>
                <w:rFonts w:ascii="Times New Roman" w:hAnsi="Times New Roman"/>
                <w:b/>
                <w:noProof/>
                <w:color w:val="000000"/>
                <w:sz w:val="18"/>
              </w:rPr>
              <w:t>adoptate</w:t>
            </w:r>
            <w:r>
              <w:rPr>
                <w:rStyle w:val="FootnoteReference"/>
                <w:rFonts w:ascii="Times New Roman" w:hAnsi="Times New Roman"/>
                <w:b/>
                <w:noProof/>
                <w:color w:val="000000"/>
                <w:sz w:val="18"/>
                <w:szCs w:val="18"/>
              </w:rPr>
              <w:footnoteReference w:id="29"/>
            </w:r>
          </w:p>
        </w:tc>
        <w:tc>
          <w:tcPr>
            <w:tcW w:w="2694" w:type="dxa"/>
            <w:tcBorders>
              <w:top w:val="single" w:sz="4" w:space="0" w:color="auto"/>
              <w:left w:val="nil"/>
              <w:bottom w:val="single" w:sz="4" w:space="0" w:color="auto"/>
              <w:right w:val="single" w:sz="4" w:space="0" w:color="auto"/>
            </w:tcBorders>
            <w:shd w:val="clear" w:color="auto" w:fill="FFFF99"/>
          </w:tcPr>
          <w:p>
            <w:pPr>
              <w:jc w:val="center"/>
              <w:rPr>
                <w:noProof/>
              </w:rPr>
            </w:pPr>
            <w:r>
              <w:rPr>
                <w:rFonts w:ascii="Times New Roman" w:hAnsi="Times New Roman"/>
                <w:b/>
                <w:noProof/>
                <w:color w:val="000000"/>
                <w:sz w:val="18"/>
              </w:rPr>
              <w:t>Parlamentul European s-a opus adoptării proiectelor de măsuri</w:t>
            </w:r>
          </w:p>
        </w:tc>
        <w:tc>
          <w:tcPr>
            <w:tcW w:w="2551" w:type="dxa"/>
            <w:tcBorders>
              <w:top w:val="single" w:sz="4" w:space="0" w:color="auto"/>
              <w:left w:val="nil"/>
              <w:bottom w:val="single" w:sz="4" w:space="0" w:color="auto"/>
              <w:right w:val="single" w:sz="4" w:space="0" w:color="auto"/>
            </w:tcBorders>
            <w:shd w:val="clear" w:color="auto" w:fill="FFFF99"/>
          </w:tcPr>
          <w:p>
            <w:pPr>
              <w:jc w:val="center"/>
              <w:rPr>
                <w:noProof/>
              </w:rPr>
            </w:pPr>
            <w:r>
              <w:rPr>
                <w:rFonts w:ascii="Times New Roman" w:hAnsi="Times New Roman"/>
                <w:b/>
                <w:noProof/>
                <w:color w:val="000000"/>
                <w:sz w:val="18"/>
              </w:rPr>
              <w:t>Consiliul s-a opus adoptării proiectelor de măsuri</w:t>
            </w:r>
          </w:p>
        </w:tc>
      </w:tr>
      <w:tr>
        <w:trPr>
          <w:trHeight w:val="216"/>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AGRI</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224"/>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BUDG</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218"/>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CLIMA</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212"/>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CNECT</w:t>
            </w:r>
          </w:p>
        </w:tc>
        <w:tc>
          <w:tcPr>
            <w:tcW w:w="2409"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COMP</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DEFIS</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EAC</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ECHO</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ECON</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EMPL</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50"/>
        </w:trP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ENER</w:t>
            </w:r>
          </w:p>
        </w:tc>
        <w:tc>
          <w:tcPr>
            <w:tcW w:w="2409"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4</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50"/>
        </w:trP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ENEST</w:t>
            </w:r>
          </w:p>
        </w:tc>
        <w:tc>
          <w:tcPr>
            <w:tcW w:w="2409"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ENV</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ESTAT</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1</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FISMA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3</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FPI</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GROW</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7</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HERA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HOME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INTPA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JUST</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MARE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MOVE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206"/>
        </w:trP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MENA</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NEAR</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OLAF</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REGIO</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rPr>
          <w:trHeight w:val="190"/>
        </w:trP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RTD</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SANTE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35</w:t>
            </w:r>
          </w:p>
        </w:tc>
        <w:tc>
          <w:tcPr>
            <w:tcW w:w="2694"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SG</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TAXUD</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TRADE</w:t>
            </w:r>
          </w:p>
        </w:tc>
        <w:tc>
          <w:tcPr>
            <w:tcW w:w="2409"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694" w:type="dxa"/>
            <w:shd w:val="clear" w:color="auto" w:fill="FFFF99"/>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Cs/>
                <w:noProof/>
                <w:color w:val="000000"/>
                <w:sz w:val="18"/>
                <w:szCs w:val="18"/>
              </w:rPr>
            </w:pPr>
            <w:r>
              <w:rPr>
                <w:rFonts w:ascii="Times New Roman" w:hAnsi="Times New Roman"/>
                <w:noProof/>
                <w:color w:val="000000"/>
                <w:sz w:val="18"/>
              </w:rPr>
              <w:t>0</w:t>
            </w:r>
          </w:p>
        </w:tc>
      </w:tr>
      <w:tr>
        <w:tc>
          <w:tcPr>
            <w:tcW w:w="1555" w:type="dxa"/>
            <w:shd w:val="clear" w:color="auto" w:fill="FFFF99"/>
            <w:vAlign w:val="center"/>
          </w:tcPr>
          <w:p>
            <w:pPr>
              <w:spacing w:before="0" w:after="0" w:line="240" w:lineRule="auto"/>
              <w:jc w:val="left"/>
              <w:rPr>
                <w:rFonts w:ascii="Times New Roman" w:hAnsi="Times New Roman"/>
                <w:b/>
                <w:noProof/>
                <w:color w:val="000000"/>
                <w:sz w:val="18"/>
                <w:szCs w:val="18"/>
              </w:rPr>
            </w:pPr>
            <w:r>
              <w:rPr>
                <w:rFonts w:ascii="Times New Roman" w:hAnsi="Times New Roman"/>
                <w:b/>
                <w:noProof/>
                <w:color w:val="000000"/>
                <w:sz w:val="18"/>
              </w:rPr>
              <w:t>TOTAL</w:t>
            </w:r>
          </w:p>
        </w:tc>
        <w:tc>
          <w:tcPr>
            <w:tcW w:w="2409" w:type="dxa"/>
            <w:shd w:val="clear" w:color="auto" w:fill="FFFF99"/>
            <w:vAlign w:val="center"/>
          </w:tcPr>
          <w:p>
            <w:pPr>
              <w:spacing w:before="0" w:after="0" w:line="240" w:lineRule="auto"/>
              <w:jc w:val="center"/>
              <w:rPr>
                <w:rFonts w:ascii="Times New Roman" w:hAnsi="Times New Roman"/>
                <w:b/>
                <w:noProof/>
                <w:color w:val="000000"/>
                <w:sz w:val="18"/>
                <w:szCs w:val="18"/>
              </w:rPr>
            </w:pPr>
            <w:r>
              <w:rPr>
                <w:rFonts w:ascii="Times New Roman" w:hAnsi="Times New Roman"/>
                <w:b/>
                <w:noProof/>
                <w:color w:val="000000"/>
                <w:sz w:val="18"/>
              </w:rPr>
              <w:t>53</w:t>
            </w:r>
          </w:p>
        </w:tc>
        <w:tc>
          <w:tcPr>
            <w:tcW w:w="2694" w:type="dxa"/>
            <w:shd w:val="clear" w:color="auto" w:fill="FFFF99"/>
            <w:vAlign w:val="center"/>
          </w:tcPr>
          <w:p>
            <w:pPr>
              <w:spacing w:before="0" w:after="0" w:line="240" w:lineRule="auto"/>
              <w:jc w:val="center"/>
              <w:rPr>
                <w:rFonts w:ascii="Times New Roman" w:hAnsi="Times New Roman"/>
                <w:b/>
                <w:noProof/>
                <w:color w:val="000000"/>
                <w:sz w:val="18"/>
                <w:szCs w:val="18"/>
              </w:rPr>
            </w:pPr>
            <w:r>
              <w:rPr>
                <w:rFonts w:ascii="Times New Roman" w:hAnsi="Times New Roman"/>
                <w:b/>
                <w:noProof/>
                <w:color w:val="000000"/>
                <w:sz w:val="18"/>
              </w:rPr>
              <w:t>0</w:t>
            </w:r>
          </w:p>
        </w:tc>
        <w:tc>
          <w:tcPr>
            <w:tcW w:w="2551" w:type="dxa"/>
            <w:shd w:val="clear" w:color="auto" w:fill="FFFF99"/>
            <w:vAlign w:val="center"/>
          </w:tcPr>
          <w:p>
            <w:pPr>
              <w:spacing w:before="0" w:after="0" w:line="240" w:lineRule="auto"/>
              <w:jc w:val="center"/>
              <w:rPr>
                <w:rFonts w:ascii="Times New Roman" w:hAnsi="Times New Roman"/>
                <w:b/>
                <w:noProof/>
                <w:color w:val="000000"/>
                <w:sz w:val="18"/>
                <w:szCs w:val="18"/>
              </w:rPr>
            </w:pPr>
            <w:r>
              <w:rPr>
                <w:rFonts w:ascii="Times New Roman" w:hAnsi="Times New Roman"/>
                <w:b/>
                <w:noProof/>
                <w:color w:val="000000"/>
                <w:sz w:val="18"/>
              </w:rPr>
              <w:t>0</w:t>
            </w:r>
          </w:p>
        </w:tc>
      </w:tr>
    </w:tbl>
    <w:p>
      <w:pPr>
        <w:pStyle w:val="ManualHeading1"/>
        <w:spacing w:before="240" w:after="240"/>
        <w:ind w:left="851" w:hanging="851"/>
        <w:rPr>
          <w:noProof/>
        </w:rPr>
      </w:pPr>
      <w:r>
        <w:rPr>
          <w:noProof/>
        </w:rPr>
        <w:lastRenderedPageBreak/>
        <w:t>4.</w:t>
      </w:r>
      <w:r>
        <w:rPr>
          <w:noProof/>
        </w:rPr>
        <w:tab/>
        <w:t>Concluzii</w:t>
      </w:r>
    </w:p>
    <w:p>
      <w:pPr>
        <w:jc w:val="both"/>
        <w:rPr>
          <w:rFonts w:ascii="Times New Roman" w:hAnsi="Times New Roman"/>
          <w:noProof/>
          <w:sz w:val="24"/>
          <w:szCs w:val="24"/>
        </w:rPr>
      </w:pPr>
      <w:r>
        <w:rPr>
          <w:rFonts w:ascii="Times New Roman" w:hAnsi="Times New Roman"/>
          <w:noProof/>
          <w:sz w:val="24"/>
        </w:rPr>
        <w:t>În 2025, comitetele au continuat să desfășoare o activitate la fel de intensă ca cea din anul precedent. Au existat 370 de comitete, care au organizat 786 de reuniuni, au desfășurat 1122 de proceduri scrise și au emis 2163 de avize, ceea ce a dus la adoptarea a 2044 de acte de punere în aplicare și a 53 de măsuri în cadrul procedurii de reglementare cu control. Permițând statelor membre să își exercite competențele de control în conformitate cu Regulamentul privind procedura comitetului, comitetele acordă Comisiei o asistență valoroasă în exercitarea competențelor de executare conferite acesteia de colegiuitori.</w:t>
      </w:r>
    </w:p>
    <w:p>
      <w:pPr>
        <w:jc w:val="both"/>
        <w:rPr>
          <w:noProof/>
        </w:rPr>
      </w:pPr>
      <w:r>
        <w:rPr>
          <w:rFonts w:ascii="Times New Roman" w:hAnsi="Times New Roman"/>
          <w:noProof/>
          <w:sz w:val="24"/>
        </w:rPr>
        <w:t>Comisia invită Parlamentul European și Consiliul să ia act de prezentul raport.</w:t>
      </w:r>
    </w:p>
    <w:p>
      <w:pPr>
        <w:jc w:val="both"/>
        <w:rPr>
          <w:noProof/>
        </w:rPr>
      </w:pPr>
    </w:p>
    <w:sectPr>
      <w:headerReference w:type="even" r:id="rId18"/>
      <w:headerReference w:type="default" r:id="rId19"/>
      <w:footerReference w:type="even" r:id="rId20"/>
      <w:footerReference w:type="default" r:id="rId21"/>
      <w:headerReference w:type="first" r:id="rId22"/>
      <w:footerReference w:type="first" r:id="rId23"/>
      <w:pgSz w:w="11906" w:h="16838" w:code="9"/>
      <w:pgMar w:top="1134" w:right="1361" w:bottom="1134" w:left="126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731282"/>
      <w:docPartObj>
        <w:docPartGallery w:val="Page Numbers (Bottom of Page)"/>
        <w:docPartUnique/>
      </w:docPartObj>
    </w:sdtPr>
    <w:sdtEndPr>
      <w:rPr>
        <w:sz w:val="32"/>
        <w:szCs w:val="32"/>
      </w:rPr>
    </w:sdtEndPr>
    <w:sdtContent>
      <w:p>
        <w:pPr>
          <w:pStyle w:val="Footer"/>
          <w:jc w:val="center"/>
          <w:rPr>
            <w:sz w:val="32"/>
            <w:szCs w:val="32"/>
          </w:rPr>
        </w:pPr>
        <w:r>
          <w:fldChar w:fldCharType="begin"/>
        </w:r>
        <w:r>
          <w:instrText xml:space="preserve"> PAGE   \* MERGEFORMAT </w:instrText>
        </w:r>
        <w:r>
          <w:fldChar w:fldCharType="separate"/>
        </w:r>
        <w: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360" w:hanging="360"/>
        <w:rPr>
          <w:sz w:val="18"/>
          <w:szCs w:val="18"/>
        </w:rPr>
      </w:pPr>
      <w:r>
        <w:rPr>
          <w:rStyle w:val="FootnoteReference"/>
        </w:rPr>
        <w:footnoteRef/>
      </w:r>
      <w:r>
        <w:tab/>
      </w:r>
      <w:r>
        <w:rPr>
          <w:sz w:val="18"/>
        </w:rPr>
        <w:t>JO L 55, 28.2.2011, p. 13.</w:t>
      </w:r>
    </w:p>
  </w:footnote>
  <w:footnote w:id="2">
    <w:p>
      <w:pPr>
        <w:pStyle w:val="FootnoteText"/>
        <w:tabs>
          <w:tab w:val="left" w:pos="426"/>
        </w:tabs>
        <w:ind w:left="360" w:hanging="360"/>
        <w:rPr>
          <w:sz w:val="18"/>
          <w:szCs w:val="18"/>
        </w:rPr>
      </w:pPr>
      <w:r>
        <w:rPr>
          <w:rStyle w:val="FootnoteReference"/>
          <w:sz w:val="18"/>
          <w:szCs w:val="18"/>
        </w:rPr>
        <w:footnoteRef/>
      </w:r>
      <w:r>
        <w:rPr>
          <w:sz w:val="18"/>
        </w:rPr>
        <w:t xml:space="preserve"> </w:t>
      </w:r>
      <w:r>
        <w:tab/>
      </w:r>
      <w:r>
        <w:rPr>
          <w:sz w:val="18"/>
        </w:rPr>
        <w:t>Astfel cum sunt prezentate de departamentele Comisiei care se ocupă cu domeniile de politică respective.</w:t>
      </w:r>
    </w:p>
  </w:footnote>
  <w:footnote w:id="3">
    <w:p>
      <w:pPr>
        <w:pStyle w:val="FootnoteText"/>
        <w:ind w:left="360" w:hanging="360"/>
        <w:rPr>
          <w:sz w:val="18"/>
          <w:szCs w:val="18"/>
        </w:rPr>
      </w:pPr>
      <w:r>
        <w:rPr>
          <w:rStyle w:val="FootnoteReference"/>
        </w:rPr>
        <w:footnoteRef/>
      </w:r>
      <w:r>
        <w:t xml:space="preserve"> </w:t>
      </w:r>
      <w:r>
        <w:rPr>
          <w:sz w:val="18"/>
        </w:rPr>
        <w:tab/>
        <w:t>Pentru detalii suplimentare privind utilizarea acestei proceduri, a se vedea secțiunea 3.5.</w:t>
      </w:r>
    </w:p>
  </w:footnote>
  <w:footnote w:id="4">
    <w:p>
      <w:pPr>
        <w:pStyle w:val="FootnoteText"/>
        <w:ind w:left="360" w:hanging="360"/>
        <w:rPr>
          <w:sz w:val="18"/>
          <w:szCs w:val="18"/>
        </w:rPr>
      </w:pPr>
      <w:r>
        <w:rPr>
          <w:rStyle w:val="FootnoteReference"/>
          <w:sz w:val="18"/>
          <w:szCs w:val="18"/>
        </w:rPr>
        <w:footnoteRef/>
      </w:r>
      <w:r>
        <w:rPr>
          <w:sz w:val="18"/>
        </w:rPr>
        <w:t xml:space="preserve"> </w:t>
      </w:r>
      <w:r>
        <w:tab/>
      </w:r>
      <w:r>
        <w:rPr>
          <w:sz w:val="18"/>
        </w:rPr>
        <w:t>Decizia 1999/468/CE a Consiliului din 28 iunie 1999 de stabilire a normelor privind exercitarea competențelor de executare conferite Comisiei (JO L 184, 17.7.1999, p. 23).</w:t>
      </w:r>
    </w:p>
  </w:footnote>
  <w:footnote w:id="5">
    <w:p>
      <w:pPr>
        <w:pStyle w:val="FootnoteText"/>
        <w:tabs>
          <w:tab w:val="left" w:pos="426"/>
        </w:tabs>
        <w:ind w:left="360" w:hanging="360"/>
        <w:rPr>
          <w:sz w:val="18"/>
          <w:szCs w:val="18"/>
        </w:rPr>
      </w:pPr>
      <w:r>
        <w:rPr>
          <w:rStyle w:val="FootnoteReference"/>
          <w:sz w:val="18"/>
          <w:szCs w:val="18"/>
        </w:rPr>
        <w:footnoteRef/>
      </w:r>
      <w:r>
        <w:rPr>
          <w:rStyle w:val="FootnoteReference"/>
          <w:sz w:val="18"/>
        </w:rPr>
        <w:t xml:space="preserve"> </w:t>
      </w:r>
      <w:r>
        <w:tab/>
      </w:r>
      <w:hyperlink r:id="rId1" w:history="1">
        <w:r>
          <w:rPr>
            <w:rStyle w:val="Hyperlink"/>
            <w:sz w:val="18"/>
          </w:rPr>
          <w:t>https://ec.europa.eu/transparency/comitology-register/screen/home</w:t>
        </w:r>
      </w:hyperlink>
    </w:p>
  </w:footnote>
  <w:footnote w:id="6">
    <w:p>
      <w:pPr>
        <w:pStyle w:val="FootnoteText"/>
        <w:ind w:left="360" w:hanging="360"/>
        <w:rPr>
          <w:sz w:val="18"/>
          <w:szCs w:val="18"/>
        </w:rPr>
      </w:pPr>
      <w:r>
        <w:rPr>
          <w:rStyle w:val="FootnoteReference"/>
          <w:sz w:val="18"/>
          <w:szCs w:val="18"/>
        </w:rPr>
        <w:footnoteRef/>
      </w:r>
      <w:r>
        <w:rPr>
          <w:sz w:val="18"/>
        </w:rPr>
        <w:t xml:space="preserve"> </w:t>
      </w:r>
      <w:r>
        <w:tab/>
      </w:r>
      <w:r>
        <w:rPr>
          <w:sz w:val="18"/>
        </w:rPr>
        <w:t>Propunere de Regulament al Parlamentului European și al Consiliului de adaptare la articolele 290 și 291 din Tratatul privind funcționarea Uniunii Europene a unei serii de acte juridice care prevăd utilizarea procedurii de reglementare cu control, COM(2016) 799 final.</w:t>
      </w:r>
    </w:p>
  </w:footnote>
  <w:footnote w:id="7">
    <w:p>
      <w:pPr>
        <w:pStyle w:val="FootnoteText"/>
        <w:ind w:left="360" w:hanging="360"/>
        <w:rPr>
          <w:sz w:val="18"/>
          <w:szCs w:val="18"/>
        </w:rPr>
      </w:pPr>
      <w:r>
        <w:rPr>
          <w:rStyle w:val="FootnoteReference"/>
          <w:sz w:val="18"/>
          <w:szCs w:val="18"/>
        </w:rPr>
        <w:footnoteRef/>
      </w:r>
      <w:r>
        <w:rPr>
          <w:sz w:val="18"/>
        </w:rPr>
        <w:t xml:space="preserve"> </w:t>
      </w:r>
      <w:r>
        <w:tab/>
      </w:r>
      <w:r>
        <w:rPr>
          <w:sz w:val="18"/>
        </w:rPr>
        <w:t>Propunere de Regulament al Parlamentului European și al Consiliului de modificare a Regulamentului (UE) nr. 182/2011 de stabilire a normelor și principiilor generale privind mecanismele de control de către statele membre al exercitării competențelor de executare de către Comisie, COM(2017) 085 final.</w:t>
      </w:r>
    </w:p>
  </w:footnote>
  <w:footnote w:id="8">
    <w:p>
      <w:pPr>
        <w:pStyle w:val="FootnoteText"/>
        <w:tabs>
          <w:tab w:val="left" w:pos="360"/>
        </w:tabs>
        <w:ind w:left="360" w:hanging="360"/>
      </w:pPr>
      <w:r>
        <w:rPr>
          <w:rStyle w:val="FootnoteReference"/>
        </w:rPr>
        <w:footnoteRef/>
      </w:r>
      <w:r>
        <w:tab/>
      </w:r>
      <w:r>
        <w:rPr>
          <w:sz w:val="18"/>
        </w:rPr>
        <w:t xml:space="preserve"> C/2025/5423, Retragerea propunerilor Comisiei, JO C, 6.10.2025.</w:t>
      </w:r>
    </w:p>
  </w:footnote>
  <w:footnote w:id="9">
    <w:p>
      <w:pPr>
        <w:pStyle w:val="FootnoteText"/>
        <w:tabs>
          <w:tab w:val="left" w:pos="360"/>
        </w:tabs>
        <w:ind w:left="360" w:hanging="360"/>
        <w:rPr>
          <w:sz w:val="18"/>
          <w:szCs w:val="18"/>
        </w:rPr>
      </w:pPr>
      <w:r>
        <w:rPr>
          <w:rStyle w:val="FootnoteReference"/>
        </w:rPr>
        <w:footnoteRef/>
      </w:r>
      <w:r>
        <w:t xml:space="preserve"> </w:t>
      </w:r>
      <w:r>
        <w:tab/>
      </w:r>
      <w:r>
        <w:rPr>
          <w:sz w:val="18"/>
        </w:rPr>
        <w:t>Acordul interinstituțional dintre Parlamentul European, Consiliul Uniunii Europene și Comisia Europeană privind o mai bună legiferare, JO L 123, 12.5.2016, p. 1, punctul 27.</w:t>
      </w:r>
    </w:p>
  </w:footnote>
  <w:footnote w:id="10">
    <w:p>
      <w:pPr>
        <w:pStyle w:val="FootnoteText"/>
        <w:ind w:left="360" w:hanging="360"/>
        <w:rPr>
          <w:sz w:val="18"/>
          <w:szCs w:val="18"/>
        </w:rPr>
      </w:pPr>
      <w:r>
        <w:rPr>
          <w:rStyle w:val="FootnoteReference"/>
        </w:rPr>
        <w:footnoteRef/>
      </w:r>
      <w:r>
        <w:t xml:space="preserve"> </w:t>
      </w:r>
      <w:r>
        <w:tab/>
      </w:r>
      <w:r>
        <w:rPr>
          <w:sz w:val="18"/>
        </w:rPr>
        <w:t>O Europă mai simplă și mai rapidă: comunicare privind punerea în aplicare și simplificarea, 12.2.2025, COM(2025)47.</w:t>
      </w:r>
    </w:p>
  </w:footnote>
  <w:footnote w:id="11">
    <w:p>
      <w:pPr>
        <w:pStyle w:val="FootnoteText"/>
        <w:ind w:left="360" w:hanging="360"/>
        <w:rPr>
          <w:sz w:val="18"/>
          <w:szCs w:val="18"/>
        </w:rPr>
      </w:pPr>
      <w:r>
        <w:rPr>
          <w:rStyle w:val="FootnoteReference"/>
        </w:rPr>
        <w:footnoteRef/>
      </w:r>
      <w:r>
        <w:t xml:space="preserve"> </w:t>
      </w:r>
      <w:r>
        <w:tab/>
      </w:r>
      <w:r>
        <w:rPr>
          <w:sz w:val="18"/>
        </w:rPr>
        <w:t>Raportul anual pe 2025 privind simplificarea, punerea în aplicare și asigurarea respectării legislației, 21.10.2025, COM(2025)871.</w:t>
      </w:r>
    </w:p>
  </w:footnote>
  <w:footnote w:id="12">
    <w:p>
      <w:pPr>
        <w:pStyle w:val="FootnoteText"/>
        <w:ind w:left="360" w:hanging="360"/>
        <w:rPr>
          <w:sz w:val="18"/>
          <w:szCs w:val="18"/>
        </w:rPr>
      </w:pPr>
      <w:r>
        <w:rPr>
          <w:rStyle w:val="FootnoteReference"/>
        </w:rPr>
        <w:footnoteRef/>
      </w:r>
      <w:r>
        <w:t xml:space="preserve"> </w:t>
      </w:r>
      <w:r>
        <w:tab/>
      </w:r>
      <w:bookmarkStart w:id="4" w:name="_Hlk231412322"/>
      <w:r>
        <w:rPr>
          <w:sz w:val="18"/>
        </w:rPr>
        <w:t>Documentele solicitate se refereau la un ghid elaborat de EFSA în 2013, care constituia punctul de plecare al procedurii de comitologie în cauză. Acest ghid a fost discutat timp de mai mulți ani în cadrul SCoPAFF, fără să se ajungă la un acord între statele membre cu privire la textul său și fără ca acest document să fi fost adoptat de Comisie. În 2019, Comisia a solicitat EFSA să își revizuiască ghidul pentru a ține seama de evoluțiile științifice recente</w:t>
      </w:r>
      <w:bookmarkEnd w:id="4"/>
      <w:r>
        <w:rPr>
          <w:sz w:val="18"/>
        </w:rPr>
        <w:t>.</w:t>
      </w:r>
    </w:p>
  </w:footnote>
  <w:footnote w:id="13">
    <w:p>
      <w:pPr>
        <w:pStyle w:val="FootnoteText"/>
        <w:ind w:left="360" w:hanging="360"/>
        <w:rPr>
          <w:sz w:val="18"/>
          <w:szCs w:val="18"/>
        </w:rPr>
      </w:pPr>
      <w:r>
        <w:rPr>
          <w:rStyle w:val="FootnoteReference"/>
        </w:rPr>
        <w:footnoteRef/>
      </w:r>
      <w:r>
        <w:t xml:space="preserve"> </w:t>
      </w:r>
      <w:r>
        <w:tab/>
        <w:t xml:space="preserve">În hotărârea pronunțată în primă instanță care a fost confirmată de Curtea de Justiție, Tribunalul a statuat că </w:t>
      </w:r>
      <w:r>
        <w:rPr>
          <w:i/>
        </w:rPr>
        <w:t>„procedurile de comitologie și în special Regulamentul de procedură standard nu impun în sine ca accesul la documente care menționează poziția individuală a statelor membre în cadrul SCoPAFF să fie refuzat pentru a proteja procesul decizional al acestui comitet, în sensul articolului 4 alineatul (3) primul paragraf din Regulamentul nr. 1049/2001, ceea ce nu împiedică în niciun mod Comisia ca, atunci când este pe deplin justificat, să refuze accesul la documentele referitoare la pozițiile individuale ale statelor membre în cadrul comitetului respectiv în cazul în care divulgarea acestora ar risca să aducă atingere în mod concret intereselor protejate prin excepțiile prevăzute la articolul 4 din Regulamentul nr. 1049/2001”</w:t>
      </w:r>
      <w:r>
        <w:t xml:space="preserve"> (punctul 107 din hotărâre).</w:t>
      </w:r>
    </w:p>
  </w:footnote>
  <w:footnote w:id="14">
    <w:p>
      <w:pPr>
        <w:pStyle w:val="FootnoteText"/>
        <w:ind w:left="360" w:hanging="360"/>
        <w:rPr>
          <w:sz w:val="18"/>
          <w:szCs w:val="18"/>
        </w:rPr>
      </w:pPr>
      <w:r>
        <w:rPr>
          <w:rStyle w:val="FootnoteReference"/>
        </w:rPr>
        <w:footnoteRef/>
      </w:r>
      <w:r>
        <w:t xml:space="preserve"> </w:t>
      </w:r>
      <w:r>
        <w:rPr>
          <w:sz w:val="18"/>
        </w:rPr>
        <w:tab/>
        <w:t>Unele comitete au existat doar pentru o perioadă a anului, în funcție de începutul/sfârșitul exact al valabilității actului lor juridic de bază.</w:t>
      </w:r>
    </w:p>
  </w:footnote>
  <w:footnote w:id="15">
    <w:p>
      <w:pPr>
        <w:pStyle w:val="FootnoteText"/>
        <w:ind w:left="360" w:hanging="360"/>
        <w:rPr>
          <w:sz w:val="18"/>
          <w:szCs w:val="18"/>
        </w:rPr>
      </w:pPr>
      <w:r>
        <w:rPr>
          <w:rStyle w:val="FootnoteReference"/>
        </w:rPr>
        <w:footnoteRef/>
      </w:r>
      <w:r>
        <w:t xml:space="preserve"> </w:t>
      </w:r>
      <w:r>
        <w:tab/>
      </w:r>
      <w:r>
        <w:rPr>
          <w:sz w:val="18"/>
        </w:rPr>
        <w:t>Comitetul de apel este înregistrat în Registrul de comitologie ca fiind un comitet aflat sub responsabilitatea Secretariatului General. Totuși, în practică, acesta este gestionat de departamentele interesate.</w:t>
      </w:r>
    </w:p>
  </w:footnote>
  <w:footnote w:id="16">
    <w:p>
      <w:pPr>
        <w:pStyle w:val="FootnoteText"/>
        <w:ind w:left="360" w:hanging="360"/>
        <w:rPr>
          <w:sz w:val="18"/>
          <w:szCs w:val="18"/>
        </w:rPr>
      </w:pPr>
      <w:r>
        <w:rPr>
          <w:rStyle w:val="FootnoteReference"/>
        </w:rPr>
        <w:footnoteRef/>
      </w:r>
      <w:r>
        <w:t xml:space="preserve"> </w:t>
      </w:r>
      <w:r>
        <w:tab/>
      </w:r>
      <w:r>
        <w:rPr>
          <w:sz w:val="18"/>
        </w:rPr>
        <w:t>În câteva acte de bază, legiuitorul a prevăzut formațiuni specifice ale comitetelor. Acestea sunt prezentate individual în documentul de lucru al serviciilor Comisiei și fiecare dintre ele este contabilizată separat în cifra totală a comitetelor. Fără a lua în calcul separat formațiunile individuale, numărul total de comitete a fost de 318.</w:t>
      </w:r>
    </w:p>
  </w:footnote>
  <w:footnote w:id="17">
    <w:p>
      <w:pPr>
        <w:pStyle w:val="FootnoteText"/>
        <w:ind w:left="360" w:hanging="360"/>
        <w:rPr>
          <w:sz w:val="18"/>
          <w:szCs w:val="18"/>
        </w:rPr>
      </w:pPr>
      <w:r>
        <w:rPr>
          <w:rStyle w:val="FootnoteReference"/>
        </w:rPr>
        <w:footnoteRef/>
      </w:r>
      <w:r>
        <w:t xml:space="preserve"> </w:t>
      </w:r>
      <w:r>
        <w:tab/>
      </w:r>
      <w:r>
        <w:rPr>
          <w:sz w:val="18"/>
        </w:rPr>
        <w:t>În unele cazuri, noile acte legislative care au intrat în vigoare în cursul anului au înlocuit (abrogat) acte legislative vechi și au instituit un nou comitet pentru același domeniu de politică; prin urmare, în diferite părți ale anului au existat un comitet „vechi” și unul „nou”, în temeiul actelor de bază respective; ambele sunt luate în calcul pentru anul respectiv. Cifra comitetelor de la sfârșitul anului (362), din care au fost eliminate astfel de duplicări (și care exclude, de asemenea, comitetele care au fost desființate în cursul anului), este, așadar, mai mică.</w:t>
      </w:r>
    </w:p>
  </w:footnote>
  <w:footnote w:id="18">
    <w:p>
      <w:pPr>
        <w:pStyle w:val="FootnoteText"/>
        <w:tabs>
          <w:tab w:val="left" w:pos="360"/>
        </w:tabs>
        <w:ind w:left="360" w:hanging="360"/>
        <w:rPr>
          <w:sz w:val="18"/>
          <w:szCs w:val="18"/>
        </w:rPr>
      </w:pPr>
      <w:r>
        <w:rPr>
          <w:rStyle w:val="FootnoteReference"/>
        </w:rPr>
        <w:footnoteRef/>
      </w:r>
      <w:r>
        <w:t xml:space="preserve"> </w:t>
      </w:r>
      <w:r>
        <w:tab/>
        <w:t>Acesta este cazul atunci când actul sau actele de bază prevăd utilizarea unor proceduri de comitologie diferite pentru măsuri de punere în aplicare diferite.</w:t>
      </w:r>
      <w:r>
        <w:rPr>
          <w:sz w:val="18"/>
        </w:rPr>
        <w:t> Tabelul prezintă situația juridică prevăzută în actele de bază; în practică, se poate întâmpla ca, în cazul în care actele de bază prevăd proceduri diferite, într-un anumit an, un comitet să acționeze numai în cadrul uneia dintre proceduri pentru a-și adopta avizul cu privire la proiectele de acte de punere în aplicare.</w:t>
      </w:r>
    </w:p>
  </w:footnote>
  <w:footnote w:id="19">
    <w:p>
      <w:pPr>
        <w:pStyle w:val="FootnoteText"/>
        <w:ind w:left="360" w:hanging="360"/>
        <w:rPr>
          <w:sz w:val="18"/>
          <w:szCs w:val="18"/>
        </w:rPr>
      </w:pPr>
      <w:r>
        <w:rPr>
          <w:rStyle w:val="FootnoteReference"/>
        </w:rPr>
        <w:footnoteRef/>
      </w:r>
      <w:r>
        <w:t xml:space="preserve"> </w:t>
      </w:r>
      <w:r>
        <w:tab/>
      </w:r>
      <w:r>
        <w:rPr>
          <w:sz w:val="18"/>
        </w:rPr>
        <w:t>Votul în cadrul comitetelor poate avea loc la o reuniune obișnuită a comitetului sau, în cazuri justificate corespunzător, prin procedură scrisă în conformitate cu articolul 3 alineatul (5) din Regulamentul privind procedura comitetului.</w:t>
      </w:r>
    </w:p>
  </w:footnote>
  <w:footnote w:id="20">
    <w:p>
      <w:pPr>
        <w:pStyle w:val="FootnoteText"/>
        <w:ind w:left="360" w:hanging="360"/>
        <w:rPr>
          <w:sz w:val="18"/>
          <w:szCs w:val="18"/>
        </w:rPr>
      </w:pPr>
      <w:r>
        <w:rPr>
          <w:rStyle w:val="FootnoteReference"/>
        </w:rPr>
        <w:footnoteRef/>
      </w:r>
      <w:r>
        <w:t xml:space="preserve"> </w:t>
      </w:r>
      <w:r>
        <w:tab/>
        <w:t>În COM(2025)642 și în documentul de lucru corespunzător SWD(2025) 334 a apărut o eroare materială:</w:t>
      </w:r>
      <w:r>
        <w:rPr>
          <w:sz w:val="18"/>
        </w:rPr>
        <w:t xml:space="preserve"> numărul corect de reuniuni ale FPI este de 3 (în loc de 2) și, prin urmare, numărul total de reuniuni în 2024 a fost de 693 (în loc de 692).</w:t>
      </w:r>
    </w:p>
  </w:footnote>
  <w:footnote w:id="21">
    <w:p>
      <w:pPr>
        <w:pStyle w:val="FootnoteText"/>
        <w:ind w:left="360" w:hanging="360"/>
        <w:rPr>
          <w:sz w:val="18"/>
          <w:szCs w:val="18"/>
        </w:rPr>
      </w:pPr>
      <w:r>
        <w:rPr>
          <w:rStyle w:val="FootnoteReference"/>
          <w:sz w:val="18"/>
          <w:szCs w:val="18"/>
        </w:rPr>
        <w:footnoteRef/>
      </w:r>
      <w:r>
        <w:rPr>
          <w:sz w:val="18"/>
        </w:rPr>
        <w:t xml:space="preserve"> </w:t>
      </w:r>
      <w:r>
        <w:tab/>
      </w:r>
      <w:r>
        <w:rPr>
          <w:sz w:val="18"/>
        </w:rPr>
        <w:t>În ceea ce privește actele de punere în aplicare adoptate, indicarea departamentelor Comisiei (a domeniilor de politică) reflectă faptul că actele în cauză au fost pregătite (discutate și/sau votate) în cadrul unui comitet gestionat de respectivul departament al Comisiei; în unele cazuri, adoptarea efectivă a actului a fost asigurată în mod oficial de un alt departament al Comisiei.</w:t>
      </w:r>
    </w:p>
  </w:footnote>
  <w:footnote w:id="22">
    <w:p>
      <w:pPr>
        <w:pStyle w:val="FootnoteText"/>
        <w:ind w:left="360" w:hanging="360"/>
        <w:rPr>
          <w:sz w:val="18"/>
          <w:szCs w:val="18"/>
        </w:rPr>
      </w:pPr>
      <w:r>
        <w:rPr>
          <w:rStyle w:val="FootnoteReference"/>
          <w:sz w:val="18"/>
          <w:szCs w:val="18"/>
        </w:rPr>
        <w:footnoteRef/>
      </w:r>
      <w:r>
        <w:rPr>
          <w:sz w:val="18"/>
        </w:rPr>
        <w:t xml:space="preserve"> </w:t>
      </w:r>
      <w:r>
        <w:tab/>
      </w:r>
      <w:r>
        <w:rPr>
          <w:color w:val="000000"/>
          <w:sz w:val="18"/>
        </w:rPr>
        <w:t>Un vot în urma căruia nu se emite niciun aviz este inclus în numărul total de avize, deoarece acesta este unul dintre rezultatele posibile în cadrul comitetului.</w:t>
      </w:r>
    </w:p>
  </w:footnote>
  <w:footnote w:id="23">
    <w:p>
      <w:pPr>
        <w:pStyle w:val="FootnoteText"/>
        <w:ind w:left="360" w:hanging="360"/>
      </w:pPr>
      <w:r>
        <w:rPr>
          <w:rStyle w:val="FootnoteReference"/>
        </w:rPr>
        <w:footnoteRef/>
      </w:r>
      <w:r>
        <w:t xml:space="preserve"> </w:t>
      </w:r>
      <w:r>
        <w:tab/>
      </w:r>
      <w:r>
        <w:rPr>
          <w:sz w:val="18"/>
        </w:rPr>
        <w:t>Pot exista diferențe între numărul de avize și numărul de acte de punere în aplicare/măsuri dintr-un anumit an; motivele sunt precizate în introducerea documentului de lucru al serviciilor Comisiei care însoțește prezentul raport.</w:t>
      </w:r>
    </w:p>
  </w:footnote>
  <w:footnote w:id="24">
    <w:p>
      <w:pPr>
        <w:pStyle w:val="FootnoteText"/>
        <w:ind w:left="360" w:hanging="360"/>
        <w:rPr>
          <w:sz w:val="18"/>
          <w:szCs w:val="18"/>
        </w:rPr>
      </w:pPr>
      <w:r>
        <w:rPr>
          <w:rStyle w:val="FootnoteReference"/>
        </w:rPr>
        <w:footnoteRef/>
      </w:r>
      <w:r>
        <w:t xml:space="preserve"> </w:t>
      </w:r>
      <w:r>
        <w:tab/>
      </w:r>
      <w:r>
        <w:rPr>
          <w:sz w:val="18"/>
        </w:rPr>
        <w:t>Majoritatea covârșitoare a voturilor în comitete au fost pozitive, în timp ce în 29 de cazuri (inclusiv cele înaintate în final comitetului de apel) nu s-a emis niciun aviz. S-a exprimat 1 vot negativ în contextul unei proceduri de consultare [Decizia de punere în aplicare a Comisiei de excludere de la finanțarea de către Uniunea Europeană a anumitor cheltuieli efectuate de anumite state membre în cadrul Fondului european de garantare agricolă (FEGA) și al Fondului european agricol pentru dezvoltare rurală (FEADR)]; prin urmare, actul a fost adoptat de Comisie.</w:t>
      </w:r>
    </w:p>
  </w:footnote>
  <w:footnote w:id="25">
    <w:p>
      <w:pPr>
        <w:pStyle w:val="FootnoteText"/>
        <w:ind w:left="360" w:hanging="360"/>
      </w:pPr>
      <w:r>
        <w:rPr>
          <w:rStyle w:val="FootnoteReference"/>
        </w:rPr>
        <w:footnoteRef/>
      </w:r>
      <w:r>
        <w:t xml:space="preserve"> </w:t>
      </w:r>
      <w:r>
        <w:tab/>
      </w:r>
      <w:r>
        <w:rPr>
          <w:sz w:val="18"/>
        </w:rPr>
        <w:t>716 dintre aceste acte au modificat acte anterioare deja existente.</w:t>
      </w:r>
    </w:p>
  </w:footnote>
  <w:footnote w:id="26">
    <w:p>
      <w:pPr>
        <w:pStyle w:val="FootnoteText"/>
        <w:tabs>
          <w:tab w:val="left" w:pos="426"/>
        </w:tabs>
        <w:ind w:left="360" w:hanging="360"/>
        <w:rPr>
          <w:sz w:val="18"/>
          <w:szCs w:val="18"/>
        </w:rPr>
      </w:pPr>
      <w:r>
        <w:rPr>
          <w:rStyle w:val="FootnoteReference"/>
          <w:sz w:val="18"/>
          <w:szCs w:val="18"/>
        </w:rPr>
        <w:footnoteRef/>
      </w:r>
      <w:r>
        <w:rPr>
          <w:sz w:val="18"/>
        </w:rPr>
        <w:t xml:space="preserve"> </w:t>
      </w:r>
      <w:r>
        <w:tab/>
      </w:r>
      <w:r>
        <w:rPr>
          <w:sz w:val="18"/>
        </w:rPr>
        <w:t>Detalii suplimentare sunt disponibile în documentul de lucru al serviciilor Comisiei care însoțește prezentul raport.</w:t>
      </w:r>
    </w:p>
  </w:footnote>
  <w:footnote w:id="27">
    <w:p>
      <w:pPr>
        <w:pStyle w:val="FootnoteText"/>
        <w:ind w:left="360" w:hanging="360"/>
        <w:rPr>
          <w:sz w:val="18"/>
          <w:szCs w:val="18"/>
        </w:rPr>
      </w:pPr>
      <w:r>
        <w:rPr>
          <w:rStyle w:val="FootnoteReference"/>
          <w:sz w:val="18"/>
          <w:szCs w:val="18"/>
        </w:rPr>
        <w:footnoteRef/>
      </w:r>
      <w:r>
        <w:rPr>
          <w:sz w:val="18"/>
        </w:rPr>
        <w:t xml:space="preserve"> </w:t>
      </w:r>
      <w:r>
        <w:tab/>
      </w:r>
      <w:r>
        <w:rPr>
          <w:sz w:val="18"/>
        </w:rPr>
        <w:t>Termenul „aviz” include, de asemenea, scenariul în care nu se emite niciun aviz în mod formal, ceea ce înseamnă că nu a fost întrunită majoritatea necesară de voturi nici pentru, nici contra. Numărul de cazuri în care nu s-a emis niciun aviz este indicat între paranteze.</w:t>
      </w:r>
    </w:p>
  </w:footnote>
  <w:footnote w:id="28">
    <w:p>
      <w:pPr>
        <w:pStyle w:val="FootnoteText"/>
        <w:ind w:left="360" w:hanging="360"/>
        <w:rPr>
          <w:sz w:val="18"/>
          <w:szCs w:val="18"/>
        </w:rPr>
      </w:pPr>
      <w:r>
        <w:rPr>
          <w:rStyle w:val="FootnoteReference"/>
          <w:sz w:val="18"/>
          <w:szCs w:val="18"/>
        </w:rPr>
        <w:footnoteRef/>
      </w:r>
      <w:r>
        <w:rPr>
          <w:sz w:val="18"/>
        </w:rPr>
        <w:t xml:space="preserve"> </w:t>
      </w:r>
      <w:r>
        <w:tab/>
      </w:r>
      <w:r>
        <w:rPr>
          <w:sz w:val="18"/>
        </w:rPr>
        <w:t>Articolul 12 al doilea paragraf din Regulamentul privind procedura comitetului.</w:t>
      </w:r>
    </w:p>
  </w:footnote>
  <w:footnote w:id="29">
    <w:p>
      <w:pPr>
        <w:pStyle w:val="FootnoteText"/>
        <w:tabs>
          <w:tab w:val="left" w:pos="360"/>
        </w:tabs>
        <w:ind w:left="360" w:hanging="360"/>
        <w:rPr>
          <w:sz w:val="18"/>
          <w:szCs w:val="18"/>
        </w:rPr>
      </w:pPr>
      <w:r>
        <w:rPr>
          <w:rStyle w:val="FootnoteReference"/>
        </w:rPr>
        <w:footnoteRef/>
      </w:r>
      <w:r>
        <w:t xml:space="preserve"> </w:t>
      </w:r>
      <w:r>
        <w:tab/>
      </w:r>
      <w:r>
        <w:rPr>
          <w:sz w:val="18"/>
        </w:rPr>
        <w:t>Măsura este atribuită în tabel departamentului Comisiei care a gestionat comitetul care a pregătit măsura. Acesta ar putea fi diferit de cel care a adoptat-o în mod oficial. A se vedea și nota de subsol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FB1"/>
    <w:multiLevelType w:val="multilevel"/>
    <w:tmpl w:val="30847FD6"/>
    <w:lvl w:ilvl="0">
      <w:start w:val="1"/>
      <w:numFmt w:val="decimal"/>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E43525"/>
    <w:multiLevelType w:val="multilevel"/>
    <w:tmpl w:val="76202BFE"/>
    <w:lvl w:ilvl="0">
      <w:start w:val="1"/>
      <w:numFmt w:val="decimal"/>
      <w:pStyle w:val="ListNumber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2DD5905"/>
    <w:multiLevelType w:val="singleLevel"/>
    <w:tmpl w:val="6CB4B73E"/>
    <w:lvl w:ilvl="0">
      <w:start w:val="1"/>
      <w:numFmt w:val="bullet"/>
      <w:pStyle w:val="ListBullet2"/>
      <w:lvlText w:val=""/>
      <w:lvlJc w:val="left"/>
      <w:pPr>
        <w:tabs>
          <w:tab w:val="num" w:pos="1134"/>
        </w:tabs>
        <w:ind w:left="1134" w:hanging="283"/>
      </w:pPr>
      <w:rPr>
        <w:rFonts w:ascii="Symbol" w:hAnsi="Symbol" w:hint="default"/>
      </w:rPr>
    </w:lvl>
  </w:abstractNum>
  <w:abstractNum w:abstractNumId="3" w15:restartNumberingAfterBreak="0">
    <w:nsid w:val="24E930D7"/>
    <w:multiLevelType w:val="multilevel"/>
    <w:tmpl w:val="EFD2E05E"/>
    <w:lvl w:ilvl="0">
      <w:start w:val="1"/>
      <w:numFmt w:val="decimal"/>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AF76E7A"/>
    <w:multiLevelType w:val="singleLevel"/>
    <w:tmpl w:val="C74C5A32"/>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5" w15:restartNumberingAfterBreak="0">
    <w:nsid w:val="3A5459E8"/>
    <w:multiLevelType w:val="singleLevel"/>
    <w:tmpl w:val="2188C922"/>
    <w:lvl w:ilvl="0">
      <w:start w:val="1"/>
      <w:numFmt w:val="bullet"/>
      <w:pStyle w:val="Tiret1"/>
      <w:lvlText w:val="–"/>
      <w:lvlJc w:val="left"/>
      <w:pPr>
        <w:tabs>
          <w:tab w:val="num" w:pos="1417"/>
        </w:tabs>
        <w:ind w:left="1417" w:hanging="567"/>
      </w:pPr>
    </w:lvl>
  </w:abstractNum>
  <w:abstractNum w:abstractNumId="6" w15:restartNumberingAfterBreak="0">
    <w:nsid w:val="3BA736C9"/>
    <w:multiLevelType w:val="singleLevel"/>
    <w:tmpl w:val="F00A6C0C"/>
    <w:lvl w:ilvl="0">
      <w:start w:val="1"/>
      <w:numFmt w:val="bullet"/>
      <w:pStyle w:val="Tiret0"/>
      <w:lvlText w:val="–"/>
      <w:lvlJc w:val="left"/>
      <w:pPr>
        <w:tabs>
          <w:tab w:val="num" w:pos="850"/>
        </w:tabs>
        <w:ind w:left="850" w:hanging="850"/>
      </w:pPr>
    </w:lvl>
  </w:abstractNum>
  <w:abstractNum w:abstractNumId="7" w15:restartNumberingAfterBreak="0">
    <w:nsid w:val="3C90278F"/>
    <w:multiLevelType w:val="singleLevel"/>
    <w:tmpl w:val="0FE08974"/>
    <w:name w:val="Tiret 1"/>
    <w:lvl w:ilvl="0">
      <w:start w:val="1"/>
      <w:numFmt w:val="bullet"/>
      <w:pStyle w:val="Tiret3"/>
      <w:lvlText w:val="–"/>
      <w:lvlJc w:val="left"/>
      <w:pPr>
        <w:tabs>
          <w:tab w:val="num" w:pos="2551"/>
        </w:tabs>
        <w:ind w:left="2551" w:hanging="567"/>
      </w:pPr>
    </w:lvl>
  </w:abstractNum>
  <w:abstractNum w:abstractNumId="8" w15:restartNumberingAfterBreak="0">
    <w:nsid w:val="3E191884"/>
    <w:multiLevelType w:val="singleLevel"/>
    <w:tmpl w:val="3020C764"/>
    <w:lvl w:ilvl="0">
      <w:start w:val="1"/>
      <w:numFmt w:val="bullet"/>
      <w:pStyle w:val="ListBullet3"/>
      <w:lvlText w:val=""/>
      <w:lvlJc w:val="left"/>
      <w:pPr>
        <w:tabs>
          <w:tab w:val="num" w:pos="1134"/>
        </w:tabs>
        <w:ind w:left="1134" w:hanging="283"/>
      </w:pPr>
      <w:rPr>
        <w:rFonts w:ascii="Symbol" w:hAnsi="Symbol" w:hint="default"/>
      </w:rPr>
    </w:lvl>
  </w:abstractNum>
  <w:abstractNum w:abstractNumId="9" w15:restartNumberingAfterBreak="0">
    <w:nsid w:val="40315490"/>
    <w:multiLevelType w:val="singleLevel"/>
    <w:tmpl w:val="1F86C700"/>
    <w:name w:val="7,134676E-02"/>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48842C30"/>
    <w:multiLevelType w:val="singleLevel"/>
    <w:tmpl w:val="4FA60B90"/>
    <w:name w:val="List Dash"/>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4593082"/>
    <w:multiLevelType w:val="singleLevel"/>
    <w:tmpl w:val="EDE069AC"/>
    <w:name w:val="Tiret 0"/>
    <w:lvl w:ilvl="0">
      <w:start w:val="1"/>
      <w:numFmt w:val="bullet"/>
      <w:pStyle w:val="Bullet0"/>
      <w:lvlText w:val=""/>
      <w:lvlJc w:val="left"/>
      <w:pPr>
        <w:tabs>
          <w:tab w:val="num" w:pos="850"/>
        </w:tabs>
        <w:ind w:left="850" w:hanging="850"/>
      </w:pPr>
      <w:rPr>
        <w:rFonts w:ascii="Symbol" w:hAnsi="Symbol" w:hint="default"/>
      </w:rPr>
    </w:lvl>
  </w:abstractNum>
  <w:abstractNum w:abstractNumId="12" w15:restartNumberingAfterBreak="0">
    <w:nsid w:val="568864DC"/>
    <w:multiLevelType w:val="singleLevel"/>
    <w:tmpl w:val="485EBDAC"/>
    <w:name w:val="Tiret 3"/>
    <w:lvl w:ilvl="0">
      <w:start w:val="1"/>
      <w:numFmt w:val="bullet"/>
      <w:pStyle w:val="Tiret4"/>
      <w:lvlText w:val="–"/>
      <w:lvlJc w:val="left"/>
      <w:pPr>
        <w:tabs>
          <w:tab w:val="num" w:pos="3118"/>
        </w:tabs>
        <w:ind w:left="3118" w:hanging="567"/>
      </w:pPr>
    </w:lvl>
  </w:abstractNum>
  <w:abstractNum w:abstractNumId="13" w15:restartNumberingAfterBreak="0">
    <w:nsid w:val="56996987"/>
    <w:multiLevelType w:val="hybridMultilevel"/>
    <w:tmpl w:val="F606E020"/>
    <w:lvl w:ilvl="0" w:tplc="513257E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96D67A1"/>
    <w:multiLevelType w:val="singleLevel"/>
    <w:tmpl w:val="9AC8831A"/>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5" w15:restartNumberingAfterBreak="0">
    <w:nsid w:val="5F342530"/>
    <w:multiLevelType w:val="singleLevel"/>
    <w:tmpl w:val="D5444702"/>
    <w:name w:val="List Dash 2"/>
    <w:lvl w:ilvl="0">
      <w:start w:val="1"/>
      <w:numFmt w:val="bullet"/>
      <w:pStyle w:val="Bullet3"/>
      <w:lvlText w:val=""/>
      <w:lvlJc w:val="left"/>
      <w:pPr>
        <w:tabs>
          <w:tab w:val="num" w:pos="2551"/>
        </w:tabs>
        <w:ind w:left="2551" w:hanging="567"/>
      </w:pPr>
      <w:rPr>
        <w:rFonts w:ascii="Symbol" w:hAnsi="Symbol" w:hint="default"/>
      </w:rPr>
    </w:lvl>
  </w:abstractNum>
  <w:abstractNum w:abstractNumId="16" w15:restartNumberingAfterBreak="0">
    <w:nsid w:val="5F8C3B69"/>
    <w:multiLevelType w:val="multilevel"/>
    <w:tmpl w:val="9B14DAA8"/>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F9C40AA"/>
    <w:multiLevelType w:val="singleLevel"/>
    <w:tmpl w:val="B89CB5A2"/>
    <w:lvl w:ilvl="0">
      <w:start w:val="1"/>
      <w:numFmt w:val="bullet"/>
      <w:pStyle w:val="Bullet2"/>
      <w:lvlText w:val=""/>
      <w:lvlJc w:val="left"/>
      <w:pPr>
        <w:tabs>
          <w:tab w:val="num" w:pos="1984"/>
        </w:tabs>
        <w:ind w:left="1984" w:hanging="567"/>
      </w:pPr>
      <w:rPr>
        <w:rFonts w:ascii="Symbol" w:hAnsi="Symbol" w:hint="default"/>
      </w:rPr>
    </w:lvl>
  </w:abstractNum>
  <w:abstractNum w:abstractNumId="18" w15:restartNumberingAfterBreak="0">
    <w:nsid w:val="62970F71"/>
    <w:multiLevelType w:val="singleLevel"/>
    <w:tmpl w:val="5AFA8C72"/>
    <w:name w:val="Bullet 4"/>
    <w:lvl w:ilvl="0">
      <w:start w:val="1"/>
      <w:numFmt w:val="bullet"/>
      <w:pStyle w:val="Tiret2"/>
      <w:lvlText w:val="–"/>
      <w:lvlJc w:val="left"/>
      <w:pPr>
        <w:tabs>
          <w:tab w:val="num" w:pos="1984"/>
        </w:tabs>
        <w:ind w:left="1984" w:hanging="567"/>
      </w:pPr>
    </w:lvl>
  </w:abstractNum>
  <w:abstractNum w:abstractNumId="19"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647C28DF"/>
    <w:multiLevelType w:val="hybridMultilevel"/>
    <w:tmpl w:val="1632ED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9995580"/>
    <w:multiLevelType w:val="singleLevel"/>
    <w:tmpl w:val="75CC7CBA"/>
    <w:lvl w:ilvl="0">
      <w:start w:val="1"/>
      <w:numFmt w:val="decimal"/>
      <w:pStyle w:val="Considrant"/>
      <w:lvlText w:val="(%1)"/>
      <w:lvlJc w:val="left"/>
      <w:pPr>
        <w:tabs>
          <w:tab w:val="num" w:pos="709"/>
        </w:tabs>
        <w:ind w:left="709" w:hanging="709"/>
      </w:pPr>
    </w:lvl>
  </w:abstractNum>
  <w:abstractNum w:abstractNumId="22" w15:restartNumberingAfterBreak="0">
    <w:nsid w:val="6A6901C1"/>
    <w:multiLevelType w:val="singleLevel"/>
    <w:tmpl w:val="208841AE"/>
    <w:lvl w:ilvl="0">
      <w:start w:val="1"/>
      <w:numFmt w:val="bullet"/>
      <w:pStyle w:val="ListBullet1"/>
      <w:lvlText w:val=""/>
      <w:lvlJc w:val="left"/>
      <w:pPr>
        <w:tabs>
          <w:tab w:val="num" w:pos="1134"/>
        </w:tabs>
        <w:ind w:left="1134" w:hanging="283"/>
      </w:pPr>
      <w:rPr>
        <w:rFonts w:ascii="Symbol" w:hAnsi="Symbol" w:hint="default"/>
      </w:rPr>
    </w:lvl>
  </w:abstractNum>
  <w:abstractNum w:abstractNumId="23" w15:restartNumberingAfterBreak="0">
    <w:nsid w:val="6D2B5511"/>
    <w:multiLevelType w:val="singleLevel"/>
    <w:tmpl w:val="74A09970"/>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711167E2"/>
    <w:multiLevelType w:val="multilevel"/>
    <w:tmpl w:val="C3843A7A"/>
    <w:name w:val="List Dash 1"/>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5C26F71"/>
    <w:multiLevelType w:val="multilevel"/>
    <w:tmpl w:val="8FF2E258"/>
    <w:name w:val="Bullet 0"/>
    <w:lvl w:ilvl="0">
      <w:start w:val="1"/>
      <w:numFmt w:val="decimal"/>
      <w:pStyle w:val="Heading1"/>
      <w:lvlText w:val="%1."/>
      <w:lvlJc w:val="left"/>
      <w:pPr>
        <w:tabs>
          <w:tab w:val="num" w:pos="850"/>
        </w:tabs>
        <w:ind w:left="850" w:hanging="850"/>
      </w:pPr>
      <w:rPr>
        <w:color w:val="auto"/>
      </w:r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7204826"/>
    <w:multiLevelType w:val="hybridMultilevel"/>
    <w:tmpl w:val="F97C96A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A241BD"/>
    <w:multiLevelType w:val="singleLevel"/>
    <w:tmpl w:val="53C4DF32"/>
    <w:lvl w:ilvl="0">
      <w:start w:val="1"/>
      <w:numFmt w:val="bullet"/>
      <w:pStyle w:val="ListDash3"/>
      <w:lvlText w:val="–"/>
      <w:lvlJc w:val="left"/>
      <w:pPr>
        <w:tabs>
          <w:tab w:val="num" w:pos="1134"/>
        </w:tabs>
        <w:ind w:left="1134" w:hanging="283"/>
      </w:pPr>
      <w:rPr>
        <w:rFonts w:ascii="Times New Roman" w:hAnsi="Times New Roman" w:cs="Times New Roman"/>
      </w:rPr>
    </w:lvl>
  </w:abstractNum>
  <w:abstractNum w:abstractNumId="28" w15:restartNumberingAfterBreak="0">
    <w:nsid w:val="79C96D36"/>
    <w:multiLevelType w:val="multilevel"/>
    <w:tmpl w:val="BE983CE4"/>
    <w:lvl w:ilvl="0">
      <w:start w:val="1"/>
      <w:numFmt w:val="decimal"/>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BE95D7F"/>
    <w:multiLevelType w:val="multilevel"/>
    <w:tmpl w:val="F126F780"/>
    <w:name w:val="List Bulle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0" w15:restartNumberingAfterBreak="0">
    <w:nsid w:val="7D8820A0"/>
    <w:multiLevelType w:val="singleLevel"/>
    <w:tmpl w:val="54F6C7B4"/>
    <w:lvl w:ilvl="0">
      <w:start w:val="1"/>
      <w:numFmt w:val="bullet"/>
      <w:pStyle w:val="ListDash4"/>
      <w:lvlText w:val="–"/>
      <w:lvlJc w:val="left"/>
      <w:pPr>
        <w:tabs>
          <w:tab w:val="num" w:pos="1134"/>
        </w:tabs>
        <w:ind w:left="1134" w:hanging="283"/>
      </w:pPr>
      <w:rPr>
        <w:rFonts w:ascii="Times New Roman" w:hAnsi="Times New Roman" w:cs="Times New Roman"/>
      </w:rPr>
    </w:lvl>
  </w:abstractNum>
  <w:abstractNum w:abstractNumId="31" w15:restartNumberingAfterBreak="0">
    <w:nsid w:val="7F7154E1"/>
    <w:multiLevelType w:val="singleLevel"/>
    <w:tmpl w:val="E3F6D2C6"/>
    <w:lvl w:ilvl="0">
      <w:start w:val="1"/>
      <w:numFmt w:val="bullet"/>
      <w:pStyle w:val="ListBullet4"/>
      <w:lvlText w:val=""/>
      <w:lvlJc w:val="left"/>
      <w:pPr>
        <w:tabs>
          <w:tab w:val="num" w:pos="1134"/>
        </w:tabs>
        <w:ind w:left="1134" w:hanging="283"/>
      </w:pPr>
      <w:rPr>
        <w:rFonts w:ascii="Symbol" w:hAnsi="Symbol"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8"/>
  </w:num>
  <w:num w:numId="6">
    <w:abstractNumId w:val="31"/>
  </w:num>
  <w:num w:numId="7">
    <w:abstractNumId w:val="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5"/>
  </w:num>
  <w:num w:numId="12">
    <w:abstractNumId w:val="18"/>
  </w:num>
  <w:num w:numId="13">
    <w:abstractNumId w:val="7"/>
  </w:num>
  <w:num w:numId="14">
    <w:abstractNumId w:val="12"/>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4"/>
  </w:num>
  <w:num w:numId="19">
    <w:abstractNumId w:val="17"/>
  </w:num>
  <w:num w:numId="20">
    <w:abstractNumId w:val="15"/>
  </w:num>
  <w:num w:numId="21">
    <w:abstractNumId w:val="10"/>
  </w:num>
  <w:num w:numId="22">
    <w:abstractNumId w:val="21"/>
    <w:lvlOverride w:ilvl="0">
      <w:startOverride w:val="1"/>
    </w:lvlOverride>
  </w:num>
  <w:num w:numId="23">
    <w:abstractNumId w:val="22"/>
  </w:num>
  <w:num w:numId="24">
    <w:abstractNumId w:val="9"/>
  </w:num>
  <w:num w:numId="25">
    <w:abstractNumId w:val="19"/>
  </w:num>
  <w:num w:numId="26">
    <w:abstractNumId w:val="14"/>
  </w:num>
  <w:num w:numId="27">
    <w:abstractNumId w:val="27"/>
  </w:num>
  <w:num w:numId="28">
    <w:abstractNumId w:val="30"/>
  </w:num>
  <w:num w:numId="29">
    <w:abstractNumId w:val="2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8A6BC7F2-564C-4F0F-B845-8E41C2DC0479"/>
    <w:docVar w:name="LW_COVERPAGE_TYPE" w:val="1"/>
    <w:docVar w:name="LW_CROSSREFERENCE" w:val="{SWD(2026) 276 final}"/>
    <w:docVar w:name="LW_DocType" w:val="NORMAL"/>
    <w:docVar w:name="LW_EMISSION" w:val="10.9.2026"/>
    <w:docVar w:name="LW_EMISSION_ISODATE" w:val="2026-09-1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activitatea comitetelor în 2025"/>
    <w:docVar w:name="LW_TYPE.DOC.CP" w:val="RAPORT AL COMISIEI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33D92A3E-CB4D-49DA-B63F-43DBCAEEC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rPr>
  </w:style>
  <w:style w:type="paragraph" w:styleId="Heading1">
    <w:name w:val="heading 1"/>
    <w:basedOn w:val="Normal"/>
    <w:next w:val="Text1"/>
    <w:link w:val="Heading1Char"/>
    <w:qFormat/>
    <w:pPr>
      <w:keepNext/>
      <w:numPr>
        <w:numId w:val="1"/>
      </w:numPr>
      <w:spacing w:before="360" w:after="120" w:line="240" w:lineRule="auto"/>
      <w:jc w:val="both"/>
      <w:outlineLvl w:val="0"/>
    </w:pPr>
    <w:rPr>
      <w:rFonts w:ascii="Times New Roman" w:eastAsia="Times New Roman" w:hAnsi="Times New Roman"/>
      <w:b/>
      <w:bCs/>
      <w:smallCaps/>
      <w:sz w:val="24"/>
      <w:szCs w:val="32"/>
    </w:rPr>
  </w:style>
  <w:style w:type="paragraph" w:styleId="Heading2">
    <w:name w:val="heading 2"/>
    <w:basedOn w:val="Normal"/>
    <w:next w:val="Text1"/>
    <w:link w:val="Heading2Char"/>
    <w:unhideWhenUsed/>
    <w:qFormat/>
    <w:pPr>
      <w:keepNext/>
      <w:numPr>
        <w:ilvl w:val="1"/>
        <w:numId w:val="1"/>
      </w:numPr>
      <w:spacing w:before="120" w:after="120" w:line="240" w:lineRule="auto"/>
      <w:jc w:val="both"/>
      <w:outlineLvl w:val="1"/>
    </w:pPr>
    <w:rPr>
      <w:rFonts w:ascii="Times New Roman" w:eastAsia="Times New Roman" w:hAnsi="Times New Roman"/>
      <w:b/>
      <w:bCs/>
      <w:iCs/>
      <w:sz w:val="24"/>
      <w:szCs w:val="28"/>
    </w:rPr>
  </w:style>
  <w:style w:type="paragraph" w:styleId="Heading3">
    <w:name w:val="heading 3"/>
    <w:basedOn w:val="Normal"/>
    <w:next w:val="Text1"/>
    <w:link w:val="Heading3Char"/>
    <w:unhideWhenUsed/>
    <w:qFormat/>
    <w:pPr>
      <w:keepNext/>
      <w:numPr>
        <w:ilvl w:val="2"/>
        <w:numId w:val="1"/>
      </w:numPr>
      <w:spacing w:before="120" w:after="120" w:line="240" w:lineRule="auto"/>
      <w:jc w:val="both"/>
      <w:outlineLvl w:val="2"/>
    </w:pPr>
    <w:rPr>
      <w:rFonts w:ascii="Times New Roman" w:eastAsia="Times New Roman" w:hAnsi="Times New Roman"/>
      <w:bCs/>
      <w:i/>
      <w:sz w:val="24"/>
      <w:szCs w:val="26"/>
    </w:rPr>
  </w:style>
  <w:style w:type="paragraph" w:styleId="Heading4">
    <w:name w:val="heading 4"/>
    <w:basedOn w:val="Normal"/>
    <w:next w:val="Text1"/>
    <w:link w:val="Heading4Char"/>
    <w:unhideWhenUsed/>
    <w:qFormat/>
    <w:pPr>
      <w:keepNext/>
      <w:numPr>
        <w:ilvl w:val="3"/>
        <w:numId w:val="1"/>
      </w:numPr>
      <w:spacing w:before="120" w:after="120" w:line="240" w:lineRule="auto"/>
      <w:jc w:val="both"/>
      <w:outlineLvl w:val="3"/>
    </w:pPr>
    <w:rPr>
      <w:rFonts w:ascii="Times New Roman" w:eastAsia="Times New Roman" w:hAnsi="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character" w:styleId="Hyperlink">
    <w:name w:val="Hyperlink"/>
    <w:unhideWhenUsed/>
    <w:rPr>
      <w:rFonts w:ascii="Times New Roman" w:hAnsi="Times New Roman" w:cs="Times New Roman" w:hint="default"/>
      <w:color w:val="0000FF"/>
      <w:u w:val="single"/>
    </w:rPr>
  </w:style>
  <w:style w:type="character" w:styleId="FollowedHyperlink">
    <w:name w:val="FollowedHyperlink"/>
    <w:semiHidden/>
    <w:unhideWhenUsed/>
    <w:rPr>
      <w:color w:val="800080"/>
      <w:u w:val="single"/>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sz w:val="24"/>
      <w:szCs w:val="24"/>
      <w:lang w:eastAsia="en-GB"/>
    </w:rPr>
  </w:style>
  <w:style w:type="paragraph" w:styleId="TOC1">
    <w:name w:val="toc 1"/>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2">
    <w:name w:val="toc 2"/>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3">
    <w:name w:val="toc 3"/>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4">
    <w:name w:val="toc 4"/>
    <w:basedOn w:val="Normal"/>
    <w:next w:val="Normal"/>
    <w:autoRedefine/>
    <w:semiHidden/>
    <w:unhideWhenUsed/>
    <w:pPr>
      <w:tabs>
        <w:tab w:val="right" w:leader="dot" w:pos="9071"/>
      </w:tabs>
      <w:spacing w:before="60" w:after="120" w:line="240" w:lineRule="auto"/>
      <w:ind w:left="850" w:hanging="850"/>
    </w:pPr>
    <w:rPr>
      <w:rFonts w:ascii="Times New Roman" w:eastAsia="Times New Roman" w:hAnsi="Times New Roman"/>
      <w:sz w:val="24"/>
      <w:szCs w:val="24"/>
    </w:rPr>
  </w:style>
  <w:style w:type="paragraph" w:styleId="TOC5">
    <w:name w:val="toc 5"/>
    <w:basedOn w:val="Normal"/>
    <w:next w:val="Normal"/>
    <w:autoRedefine/>
    <w:semiHidden/>
    <w:unhideWhenUsed/>
    <w:pPr>
      <w:tabs>
        <w:tab w:val="right" w:leader="dot" w:pos="9071"/>
      </w:tabs>
      <w:spacing w:before="300" w:after="120" w:line="240" w:lineRule="auto"/>
    </w:pPr>
    <w:rPr>
      <w:rFonts w:ascii="Times New Roman" w:eastAsia="Times New Roman" w:hAnsi="Times New Roman"/>
      <w:sz w:val="24"/>
      <w:szCs w:val="24"/>
    </w:rPr>
  </w:style>
  <w:style w:type="paragraph" w:styleId="TOC6">
    <w:name w:val="toc 6"/>
    <w:basedOn w:val="Normal"/>
    <w:next w:val="Normal"/>
    <w:autoRedefine/>
    <w:semiHidden/>
    <w:unhideWhenUsed/>
    <w:pPr>
      <w:tabs>
        <w:tab w:val="right" w:leader="dot" w:pos="9071"/>
      </w:tabs>
      <w:spacing w:before="240" w:after="120" w:line="240" w:lineRule="auto"/>
    </w:pPr>
    <w:rPr>
      <w:rFonts w:ascii="Times New Roman" w:eastAsia="Times New Roman" w:hAnsi="Times New Roman"/>
      <w:sz w:val="24"/>
      <w:szCs w:val="24"/>
    </w:rPr>
  </w:style>
  <w:style w:type="paragraph" w:styleId="TOC7">
    <w:name w:val="toc 7"/>
    <w:basedOn w:val="Normal"/>
    <w:next w:val="Normal"/>
    <w:autoRedefine/>
    <w:semiHidden/>
    <w:unhideWhenUsed/>
    <w:pPr>
      <w:tabs>
        <w:tab w:val="right" w:leader="dot" w:pos="9071"/>
      </w:tabs>
      <w:spacing w:before="180" w:after="120" w:line="240" w:lineRule="auto"/>
    </w:pPr>
    <w:rPr>
      <w:rFonts w:ascii="Times New Roman" w:eastAsia="Times New Roman" w:hAnsi="Times New Roman"/>
      <w:sz w:val="24"/>
      <w:szCs w:val="24"/>
    </w:rPr>
  </w:style>
  <w:style w:type="paragraph" w:styleId="TOC8">
    <w:name w:val="toc 8"/>
    <w:basedOn w:val="Normal"/>
    <w:next w:val="Normal"/>
    <w:autoRedefine/>
    <w:semiHidden/>
    <w:unhideWhenUsed/>
    <w:pPr>
      <w:tabs>
        <w:tab w:val="right" w:leader="dot" w:pos="9071"/>
      </w:tabs>
      <w:spacing w:before="120" w:after="120" w:line="240" w:lineRule="auto"/>
    </w:pPr>
    <w:rPr>
      <w:rFonts w:ascii="Times New Roman" w:eastAsia="Times New Roman" w:hAnsi="Times New Roman"/>
      <w:sz w:val="24"/>
      <w:szCs w:val="24"/>
    </w:rPr>
  </w:style>
  <w:style w:type="paragraph" w:styleId="TOC9">
    <w:name w:val="toc 9"/>
    <w:basedOn w:val="Normal"/>
    <w:next w:val="Normal"/>
    <w:autoRedefine/>
    <w:semiHidden/>
    <w:unhideWhenUsed/>
    <w:pPr>
      <w:tabs>
        <w:tab w:val="right" w:leader="dot" w:pos="9071"/>
      </w:tabs>
      <w:spacing w:before="120" w:after="120" w:line="240" w:lineRule="auto"/>
      <w:jc w:val="both"/>
    </w:pPr>
    <w:rPr>
      <w:rFonts w:ascii="Times New Roman" w:eastAsia="Times New Roman" w:hAnsi="Times New Roman"/>
      <w:sz w:val="24"/>
      <w:szCs w:val="24"/>
    </w:rPr>
  </w:style>
  <w:style w:type="paragraph" w:styleId="FootnoteText">
    <w:name w:val="footnote text"/>
    <w:basedOn w:val="Normal"/>
    <w:link w:val="FootnoteTextChar"/>
    <w:uiPriority w:val="99"/>
    <w:unhideWhenUsed/>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rPr>
  </w:style>
  <w:style w:type="paragraph" w:styleId="CommentText">
    <w:name w:val="annotation text"/>
    <w:basedOn w:val="Normal"/>
    <w:link w:val="CommentTextChar"/>
    <w:unhideWhenUsed/>
    <w:pPr>
      <w:spacing w:before="120" w:after="120" w:line="240" w:lineRule="auto"/>
      <w:jc w:val="both"/>
    </w:pPr>
    <w:rPr>
      <w:rFonts w:ascii="Times New Roman" w:eastAsia="Times New Roman" w:hAnsi="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en-GB"/>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eastAsia="Calibri"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imes New Roman" w:hAnsi="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Caption">
    <w:name w:val="caption"/>
    <w:basedOn w:val="Normal"/>
    <w:next w:val="Normal"/>
    <w:unhideWhenUsed/>
    <w:qFormat/>
    <w:pPr>
      <w:spacing w:before="120" w:after="120" w:line="240" w:lineRule="auto"/>
      <w:jc w:val="both"/>
    </w:pPr>
    <w:rPr>
      <w:rFonts w:ascii="Times New Roman" w:eastAsia="Times New Roman" w:hAnsi="Times New Roman"/>
      <w:b/>
      <w:bCs/>
      <w:sz w:val="20"/>
      <w:szCs w:val="20"/>
    </w:rPr>
  </w:style>
  <w:style w:type="paragraph" w:styleId="TableofFigures">
    <w:name w:val="table of figures"/>
    <w:basedOn w:val="Normal"/>
    <w:next w:val="Normal"/>
    <w:semiHidden/>
    <w:unhideWhenUsed/>
    <w:pPr>
      <w:spacing w:before="120" w:after="120" w:line="240" w:lineRule="auto"/>
      <w:jc w:val="both"/>
    </w:pPr>
    <w:rPr>
      <w:rFonts w:ascii="Times New Roman" w:eastAsia="Times New Roman" w:hAnsi="Times New Roman"/>
      <w:sz w:val="24"/>
      <w:szCs w:val="24"/>
    </w:rPr>
  </w:style>
  <w:style w:type="paragraph" w:styleId="EndnoteText">
    <w:name w:val="endnote text"/>
    <w:basedOn w:val="Normal"/>
    <w:link w:val="EndnoteTextChar"/>
    <w:semiHidden/>
    <w:unhideWhenUsed/>
    <w:pPr>
      <w:spacing w:before="120" w:after="120" w:line="240" w:lineRule="auto"/>
      <w:jc w:val="both"/>
    </w:pPr>
    <w:rPr>
      <w:rFonts w:ascii="Times New Roman" w:eastAsia="Times New Roman" w:hAnsi="Times New Roman"/>
      <w:sz w:val="20"/>
      <w:szCs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rPr>
  </w:style>
  <w:style w:type="paragraph" w:styleId="ListBullet">
    <w:name w:val="List Bullet"/>
    <w:basedOn w:val="Normal"/>
    <w:semiHidden/>
    <w:unhideWhenUsed/>
    <w:pPr>
      <w:numPr>
        <w:numId w:val="2"/>
      </w:numPr>
      <w:tabs>
        <w:tab w:val="clear" w:pos="283"/>
        <w:tab w:val="num" w:pos="360"/>
      </w:tabs>
      <w:spacing w:before="120" w:after="120" w:line="240" w:lineRule="auto"/>
      <w:ind w:left="0" w:firstLine="0"/>
      <w:jc w:val="both"/>
    </w:pPr>
    <w:rPr>
      <w:rFonts w:ascii="Times New Roman" w:eastAsia="Times New Roman" w:hAnsi="Times New Roman"/>
      <w:sz w:val="24"/>
      <w:szCs w:val="24"/>
      <w:lang w:eastAsia="de-DE"/>
    </w:rPr>
  </w:style>
  <w:style w:type="paragraph" w:styleId="ListNumber">
    <w:name w:val="List Number"/>
    <w:basedOn w:val="Normal"/>
    <w:unhideWhenUsed/>
    <w:pPr>
      <w:numPr>
        <w:numId w:val="3"/>
      </w:numPr>
      <w:spacing w:before="120" w:after="120" w:line="240" w:lineRule="auto"/>
      <w:jc w:val="both"/>
    </w:pPr>
    <w:rPr>
      <w:rFonts w:ascii="Times New Roman" w:eastAsia="Times New Roman" w:hAnsi="Times New Roman"/>
      <w:sz w:val="24"/>
      <w:szCs w:val="24"/>
      <w:lang w:eastAsia="de-DE"/>
    </w:rPr>
  </w:style>
  <w:style w:type="paragraph" w:styleId="ListBullet2">
    <w:name w:val="List Bullet 2"/>
    <w:basedOn w:val="Normal"/>
    <w:semiHidden/>
    <w:unhideWhenUsed/>
    <w:pPr>
      <w:numPr>
        <w:numId w:val="4"/>
      </w:numPr>
      <w:spacing w:before="120" w:after="120" w:line="240" w:lineRule="auto"/>
      <w:jc w:val="both"/>
    </w:pPr>
    <w:rPr>
      <w:rFonts w:ascii="Times New Roman" w:eastAsia="Times New Roman" w:hAnsi="Times New Roman"/>
      <w:sz w:val="24"/>
      <w:szCs w:val="24"/>
      <w:lang w:eastAsia="de-DE"/>
    </w:rPr>
  </w:style>
  <w:style w:type="paragraph" w:styleId="ListBullet3">
    <w:name w:val="List Bullet 3"/>
    <w:basedOn w:val="Normal"/>
    <w:semiHidden/>
    <w:unhideWhenUsed/>
    <w:pPr>
      <w:numPr>
        <w:numId w:val="5"/>
      </w:numPr>
      <w:spacing w:before="120" w:after="120" w:line="240" w:lineRule="auto"/>
      <w:jc w:val="both"/>
    </w:pPr>
    <w:rPr>
      <w:rFonts w:ascii="Times New Roman" w:eastAsia="Times New Roman" w:hAnsi="Times New Roman"/>
      <w:sz w:val="24"/>
      <w:szCs w:val="24"/>
      <w:lang w:eastAsia="de-DE"/>
    </w:rPr>
  </w:style>
  <w:style w:type="paragraph" w:styleId="ListBullet4">
    <w:name w:val="List Bullet 4"/>
    <w:basedOn w:val="Normal"/>
    <w:semiHidden/>
    <w:unhideWhenUsed/>
    <w:pPr>
      <w:numPr>
        <w:numId w:val="6"/>
      </w:numPr>
      <w:spacing w:before="120" w:after="120" w:line="240" w:lineRule="auto"/>
      <w:jc w:val="both"/>
    </w:pPr>
    <w:rPr>
      <w:rFonts w:ascii="Times New Roman" w:eastAsia="Times New Roman" w:hAnsi="Times New Roman"/>
      <w:sz w:val="24"/>
      <w:szCs w:val="24"/>
      <w:lang w:eastAsia="de-DE"/>
    </w:rPr>
  </w:style>
  <w:style w:type="paragraph" w:styleId="ListNumber2">
    <w:name w:val="List Number 2"/>
    <w:basedOn w:val="Normal"/>
    <w:semiHidden/>
    <w:unhideWhenUsed/>
    <w:pPr>
      <w:numPr>
        <w:numId w:val="7"/>
      </w:numPr>
      <w:spacing w:before="120" w:after="120" w:line="240" w:lineRule="auto"/>
      <w:jc w:val="both"/>
    </w:pPr>
    <w:rPr>
      <w:rFonts w:ascii="Times New Roman" w:eastAsia="Times New Roman" w:hAnsi="Times New Roman"/>
      <w:sz w:val="24"/>
      <w:szCs w:val="24"/>
      <w:lang w:eastAsia="de-DE"/>
    </w:rPr>
  </w:style>
  <w:style w:type="paragraph" w:styleId="ListNumber3">
    <w:name w:val="List Number 3"/>
    <w:basedOn w:val="Normal"/>
    <w:semiHidden/>
    <w:unhideWhenUsed/>
    <w:pPr>
      <w:numPr>
        <w:numId w:val="8"/>
      </w:numPr>
      <w:spacing w:before="120" w:after="120" w:line="240" w:lineRule="auto"/>
      <w:jc w:val="both"/>
    </w:pPr>
    <w:rPr>
      <w:rFonts w:ascii="Times New Roman" w:eastAsia="Times New Roman" w:hAnsi="Times New Roman"/>
      <w:sz w:val="24"/>
      <w:szCs w:val="24"/>
      <w:lang w:eastAsia="de-DE"/>
    </w:rPr>
  </w:style>
  <w:style w:type="paragraph" w:styleId="ListNumber4">
    <w:name w:val="List Number 4"/>
    <w:basedOn w:val="Normal"/>
    <w:semiHidden/>
    <w:unhideWhenUsed/>
    <w:pPr>
      <w:numPr>
        <w:numId w:val="9"/>
      </w:numPr>
      <w:spacing w:before="120" w:after="120" w:line="240" w:lineRule="auto"/>
      <w:jc w:val="both"/>
    </w:pPr>
    <w:rPr>
      <w:rFonts w:ascii="Times New Roman" w:eastAsia="Times New Roman" w:hAnsi="Times New Roman"/>
      <w:sz w:val="24"/>
      <w:szCs w:val="24"/>
      <w:lang w:eastAsia="de-DE"/>
    </w:rPr>
  </w:style>
  <w:style w:type="paragraph" w:styleId="CommentSubject">
    <w:name w:val="annotation subject"/>
    <w:basedOn w:val="CommentText"/>
    <w:next w:val="CommentText"/>
    <w:link w:val="CommentSubjectChar"/>
    <w:semiHidden/>
    <w:unhideWhenUsed/>
    <w:rPr>
      <w:b/>
      <w:bCs/>
      <w:lang w:eastAsia="de-DE"/>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eastAsia="de-DE"/>
    </w:rPr>
  </w:style>
  <w:style w:type="paragraph" w:styleId="BalloonText">
    <w:name w:val="Balloon Text"/>
    <w:basedOn w:val="Normal"/>
    <w:link w:val="BalloonTextChar"/>
    <w:semiHidden/>
    <w:unhideWhenUsed/>
    <w:pPr>
      <w:spacing w:before="120" w:after="120" w:line="240" w:lineRule="auto"/>
      <w:jc w:val="both"/>
    </w:pPr>
    <w:rPr>
      <w:rFonts w:ascii="Tahoma" w:eastAsia="Times New Roman" w:hAnsi="Tahoma" w:cs="Tahoma"/>
      <w:sz w:val="16"/>
      <w:szCs w:val="16"/>
      <w:lang w:eastAsia="de-DE"/>
    </w:rPr>
  </w:style>
  <w:style w:type="character" w:customStyle="1" w:styleId="BalloonTextChar">
    <w:name w:val="Balloon Text Char"/>
    <w:basedOn w:val="DefaultParagraphFont"/>
    <w:link w:val="BalloonText"/>
    <w:semiHidden/>
    <w:rPr>
      <w:rFonts w:ascii="Tahoma" w:eastAsia="Times New Roman" w:hAnsi="Tahoma" w:cs="Tahoma"/>
      <w:sz w:val="16"/>
      <w:szCs w:val="16"/>
      <w:lang w:eastAsia="de-DE"/>
    </w:rPr>
  </w:style>
  <w:style w:type="paragraph" w:styleId="Revision">
    <w:name w:val="Revision"/>
    <w:uiPriority w:val="99"/>
    <w:semiHidden/>
    <w:pPr>
      <w:spacing w:after="0" w:line="240" w:lineRule="auto"/>
    </w:pPr>
    <w:rPr>
      <w:rFonts w:ascii="Times New Roman" w:eastAsia="Times New Roman" w:hAnsi="Times New Roman" w:cs="Times New Roman"/>
      <w:sz w:val="24"/>
      <w:szCs w:val="24"/>
    </w:rPr>
  </w:style>
  <w:style w:type="paragraph" w:styleId="TOCHeading">
    <w:name w:val="TOC Heading"/>
    <w:basedOn w:val="Normal"/>
    <w:next w:val="Normal"/>
    <w:unhideWhenUsed/>
    <w:qFormat/>
    <w:pPr>
      <w:spacing w:before="120" w:after="240" w:line="240" w:lineRule="auto"/>
      <w:jc w:val="center"/>
    </w:pPr>
    <w:rPr>
      <w:rFonts w:ascii="Times New Roman" w:eastAsia="Times New Roman" w:hAnsi="Times New Roman"/>
      <w:b/>
      <w:sz w:val="28"/>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sz w:val="24"/>
      <w:szCs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sz w:val="24"/>
      <w:szCs w:val="24"/>
    </w:r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sz w:val="24"/>
      <w:szCs w:val="24"/>
    </w:rPr>
  </w:style>
  <w:style w:type="paragraph" w:customStyle="1" w:styleId="NumPar1">
    <w:name w:val="NumPar 1"/>
    <w:basedOn w:val="Normal"/>
    <w:next w:val="Text1"/>
    <w:pPr>
      <w:numPr>
        <w:numId w:val="15"/>
      </w:numPr>
      <w:spacing w:before="120" w:after="120" w:line="240" w:lineRule="auto"/>
      <w:jc w:val="both"/>
    </w:pPr>
    <w:rPr>
      <w:rFonts w:ascii="Times New Roman" w:eastAsia="Times New Roman" w:hAnsi="Times New Roman"/>
      <w:sz w:val="24"/>
      <w:szCs w:val="24"/>
    </w:rPr>
  </w:style>
  <w:style w:type="paragraph" w:customStyle="1" w:styleId="NumPar2">
    <w:name w:val="NumPar 2"/>
    <w:basedOn w:val="Normal"/>
    <w:next w:val="Text1"/>
    <w:pPr>
      <w:numPr>
        <w:ilvl w:val="1"/>
        <w:numId w:val="15"/>
      </w:numPr>
      <w:spacing w:before="120" w:after="120" w:line="240" w:lineRule="auto"/>
      <w:jc w:val="both"/>
    </w:pPr>
    <w:rPr>
      <w:rFonts w:ascii="Times New Roman" w:eastAsia="Times New Roman" w:hAnsi="Times New Roman"/>
      <w:sz w:val="24"/>
      <w:szCs w:val="24"/>
    </w:rPr>
  </w:style>
  <w:style w:type="paragraph" w:customStyle="1" w:styleId="NumPar3">
    <w:name w:val="NumPar 3"/>
    <w:basedOn w:val="Normal"/>
    <w:next w:val="Text1"/>
    <w:pPr>
      <w:numPr>
        <w:ilvl w:val="2"/>
        <w:numId w:val="15"/>
      </w:numPr>
      <w:spacing w:before="120" w:after="120" w:line="240" w:lineRule="auto"/>
      <w:jc w:val="both"/>
    </w:pPr>
    <w:rPr>
      <w:rFonts w:ascii="Times New Roman" w:eastAsia="Times New Roman" w:hAnsi="Times New Roman"/>
      <w:sz w:val="24"/>
      <w:szCs w:val="24"/>
    </w:rPr>
  </w:style>
  <w:style w:type="paragraph" w:customStyle="1" w:styleId="NumPar4">
    <w:name w:val="NumPar 4"/>
    <w:basedOn w:val="Normal"/>
    <w:next w:val="Text1"/>
    <w:pPr>
      <w:numPr>
        <w:ilvl w:val="3"/>
        <w:numId w:val="15"/>
      </w:numPr>
      <w:spacing w:before="120" w:after="120" w:line="240" w:lineRule="auto"/>
      <w:jc w:val="both"/>
    </w:pPr>
    <w:rPr>
      <w:rFonts w:ascii="Times New Roman" w:eastAsia="Times New Roman" w:hAnsi="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b/>
      <w:sz w:val="24"/>
      <w:szCs w:val="24"/>
    </w:rPr>
  </w:style>
  <w:style w:type="paragraph" w:customStyle="1" w:styleId="Point0number">
    <w:name w:val="Point 0 (number)"/>
    <w:basedOn w:val="Normal"/>
    <w:pPr>
      <w:numPr>
        <w:numId w:val="16"/>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ormal"/>
    <w:pPr>
      <w:numPr>
        <w:ilvl w:val="2"/>
        <w:numId w:val="16"/>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ormal"/>
    <w:pPr>
      <w:numPr>
        <w:ilvl w:val="4"/>
        <w:numId w:val="16"/>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ormal"/>
    <w:pPr>
      <w:numPr>
        <w:ilvl w:val="6"/>
        <w:numId w:val="16"/>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ormal"/>
    <w:pPr>
      <w:numPr>
        <w:ilvl w:val="1"/>
        <w:numId w:val="16"/>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ormal"/>
    <w:pPr>
      <w:numPr>
        <w:ilvl w:val="3"/>
        <w:numId w:val="16"/>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ormal"/>
    <w:pPr>
      <w:numPr>
        <w:ilvl w:val="5"/>
        <w:numId w:val="16"/>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ormal"/>
    <w:pPr>
      <w:numPr>
        <w:ilvl w:val="7"/>
        <w:numId w:val="16"/>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ormal"/>
    <w:pPr>
      <w:numPr>
        <w:ilvl w:val="8"/>
        <w:numId w:val="16"/>
      </w:numPr>
      <w:spacing w:before="120" w:after="120" w:line="240" w:lineRule="auto"/>
      <w:jc w:val="both"/>
    </w:pPr>
    <w:rPr>
      <w:rFonts w:ascii="Times New Roman" w:eastAsia="Times New Roman" w:hAnsi="Times New Roman"/>
      <w:sz w:val="24"/>
      <w:szCs w:val="24"/>
    </w:rPr>
  </w:style>
  <w:style w:type="paragraph" w:customStyle="1" w:styleId="Bullet0">
    <w:name w:val="Bullet 0"/>
    <w:basedOn w:val="Normal"/>
    <w:pPr>
      <w:numPr>
        <w:numId w:val="17"/>
      </w:numPr>
      <w:spacing w:before="120" w:after="120" w:line="240" w:lineRule="auto"/>
      <w:jc w:val="both"/>
    </w:pPr>
    <w:rPr>
      <w:rFonts w:ascii="Times New Roman" w:eastAsia="Times New Roman" w:hAnsi="Times New Roman"/>
      <w:sz w:val="24"/>
      <w:szCs w:val="24"/>
    </w:rPr>
  </w:style>
  <w:style w:type="paragraph" w:customStyle="1" w:styleId="Bullet1">
    <w:name w:val="Bullet 1"/>
    <w:basedOn w:val="Normal"/>
    <w:pPr>
      <w:numPr>
        <w:numId w:val="18"/>
      </w:numPr>
      <w:spacing w:before="120" w:after="120" w:line="240" w:lineRule="auto"/>
      <w:jc w:val="both"/>
    </w:pPr>
    <w:rPr>
      <w:rFonts w:ascii="Times New Roman" w:eastAsia="Times New Roman" w:hAnsi="Times New Roman"/>
      <w:sz w:val="24"/>
      <w:szCs w:val="24"/>
    </w:rPr>
  </w:style>
  <w:style w:type="paragraph" w:customStyle="1" w:styleId="Bullet2">
    <w:name w:val="Bullet 2"/>
    <w:basedOn w:val="Normal"/>
    <w:pPr>
      <w:numPr>
        <w:numId w:val="19"/>
      </w:numPr>
      <w:spacing w:before="120" w:after="120" w:line="240" w:lineRule="auto"/>
      <w:jc w:val="both"/>
    </w:pPr>
    <w:rPr>
      <w:rFonts w:ascii="Times New Roman" w:eastAsia="Times New Roman" w:hAnsi="Times New Roman"/>
      <w:sz w:val="24"/>
      <w:szCs w:val="24"/>
    </w:rPr>
  </w:style>
  <w:style w:type="paragraph" w:customStyle="1" w:styleId="Bullet3">
    <w:name w:val="Bullet 3"/>
    <w:basedOn w:val="Normal"/>
    <w:pPr>
      <w:numPr>
        <w:numId w:val="20"/>
      </w:numPr>
      <w:spacing w:before="120" w:after="120" w:line="240" w:lineRule="auto"/>
      <w:jc w:val="both"/>
    </w:pPr>
    <w:rPr>
      <w:rFonts w:ascii="Times New Roman" w:eastAsia="Times New Roman" w:hAnsi="Times New Roman"/>
      <w:sz w:val="24"/>
      <w:szCs w:val="24"/>
    </w:rPr>
  </w:style>
  <w:style w:type="paragraph" w:customStyle="1" w:styleId="Bullet4">
    <w:name w:val="Bullet 4"/>
    <w:basedOn w:val="Normal"/>
    <w:pPr>
      <w:numPr>
        <w:numId w:val="21"/>
      </w:numPr>
      <w:spacing w:before="120" w:after="120" w:line="240" w:lineRule="auto"/>
      <w:jc w:val="both"/>
    </w:pPr>
    <w:rPr>
      <w:rFonts w:ascii="Times New Roman" w:eastAsia="Times New Roman" w:hAnsi="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i/>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sz w:val="24"/>
      <w:szCs w:val="24"/>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sz w:val="24"/>
      <w:szCs w:val="24"/>
    </w:rPr>
  </w:style>
  <w:style w:type="paragraph" w:customStyle="1" w:styleId="TypedudocumentPagedecouverture">
    <w:name w:val="Type du document (Page de couverture)"/>
    <w:basedOn w:val="Normal"/>
    <w:pPr>
      <w:spacing w:before="120" w:after="120" w:line="240" w:lineRule="auto"/>
      <w:jc w:val="both"/>
    </w:pPr>
    <w:rPr>
      <w:rFonts w:ascii="Times New Roman" w:eastAsia="Times New Roman" w:hAnsi="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i/>
      <w:sz w:val="32"/>
      <w:szCs w:val="24"/>
    </w:rPr>
  </w:style>
  <w:style w:type="paragraph" w:customStyle="1" w:styleId="Sous-titreobjet">
    <w:name w:val="Sous-titre objet"/>
    <w:basedOn w:val="Normal"/>
    <w:pPr>
      <w:spacing w:after="0" w:line="240" w:lineRule="auto"/>
      <w:jc w:val="center"/>
    </w:pPr>
    <w:rPr>
      <w:rFonts w:ascii="Times New Roman" w:eastAsia="Times New Roman" w:hAnsi="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b/>
      <w:sz w:val="24"/>
      <w:szCs w:val="24"/>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b/>
      <w:sz w:val="24"/>
      <w:szCs w:val="24"/>
    </w:rPr>
  </w:style>
  <w:style w:type="paragraph" w:customStyle="1" w:styleId="Sous-titreobjetPagedecouverture">
    <w:name w:val="Sous-titre objet (Page de couverture)"/>
    <w:basedOn w:val="Sous-titreobjet"/>
  </w:style>
  <w:style w:type="paragraph" w:customStyle="1" w:styleId="TitreobjetPagedecouverture">
    <w:name w:val="Titre objet (Page de couverture)"/>
    <w:basedOn w:val="Titreobjet"/>
    <w:next w:val="Sous-titreobjetPagedecouverture"/>
  </w:style>
  <w:style w:type="paragraph" w:customStyle="1" w:styleId="Considrant">
    <w:name w:val="Considérant"/>
    <w:basedOn w:val="Normal"/>
    <w:pPr>
      <w:numPr>
        <w:numId w:val="22"/>
      </w:numPr>
      <w:spacing w:before="120" w:after="120" w:line="240" w:lineRule="auto"/>
      <w:jc w:val="both"/>
    </w:pPr>
    <w:rPr>
      <w:rFonts w:ascii="Times New Roman" w:eastAsia="Times New Roman" w:hAnsi="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b/>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i/>
      <w:sz w:val="24"/>
      <w:szCs w:val="24"/>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b/>
      <w:caps/>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i/>
      <w:caps/>
      <w:sz w:val="24"/>
      <w:szCs w:val="24"/>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b/>
      <w:sz w:val="24"/>
      <w:szCs w:val="24"/>
    </w:rPr>
  </w:style>
  <w:style w:type="paragraph" w:customStyle="1" w:styleId="Languesfaisantfoi">
    <w:name w:val="Langues faisant foi"/>
    <w:basedOn w:val="Normal"/>
    <w:next w:val="Normal"/>
    <w:pPr>
      <w:spacing w:before="360" w:after="240" w:line="240" w:lineRule="auto"/>
      <w:jc w:val="center"/>
    </w:pPr>
    <w:rPr>
      <w:rFonts w:ascii="Times New Roman" w:eastAsiaTheme="minorHAnsi" w:hAnsi="Times New Roman"/>
      <w:sz w:val="24"/>
    </w:rPr>
  </w:style>
  <w:style w:type="paragraph" w:customStyle="1" w:styleId="Rfrencecroise">
    <w:name w:val="Référence croisée"/>
    <w:basedOn w:val="Normal"/>
    <w:pPr>
      <w:spacing w:after="0" w:line="240" w:lineRule="auto"/>
      <w:jc w:val="center"/>
    </w:pPr>
    <w:rPr>
      <w:rFonts w:ascii="Times New Roman" w:eastAsia="Times New Roman" w:hAnsi="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sz w:val="24"/>
      <w:szCs w:val="24"/>
    </w:rPr>
  </w:style>
  <w:style w:type="paragraph" w:customStyle="1" w:styleId="IntrtEEE">
    <w:name w:val="Intérêt EEE"/>
    <w:basedOn w:val="Languesfaisantfoi"/>
    <w:next w:val="Normal"/>
    <w:pPr>
      <w:spacing w:after="0"/>
    </w:p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b/>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b/>
      <w:sz w:val="24"/>
      <w:szCs w:val="24"/>
    </w:r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b/>
      <w:i/>
      <w:sz w:val="24"/>
      <w:szCs w:val="24"/>
    </w:rPr>
  </w:style>
  <w:style w:type="paragraph" w:customStyle="1" w:styleId="IntrtEEEPagedecouverture">
    <w:name w:val="Intérêt EEE (Page de couverture)"/>
    <w:basedOn w:val="IntrtEEE"/>
    <w:next w:val="Normal"/>
  </w:style>
  <w:style w:type="paragraph" w:customStyle="1" w:styleId="ObjetacteprincipalPagedecouverture">
    <w:name w:val="Objet acte principal (Page de couverture)"/>
    <w:basedOn w:val="Objetacteprincipal"/>
    <w:next w:val="Rfrencecroise"/>
  </w:style>
  <w:style w:type="paragraph" w:customStyle="1" w:styleId="TypeacteprincipalPagedecouverture">
    <w:name w:val="Type acte principal (Page de couverture)"/>
    <w:basedOn w:val="Typeacteprincipal"/>
    <w:next w:val="ObjetacteprincipalPagedecouverture"/>
  </w:style>
  <w:style w:type="paragraph" w:customStyle="1" w:styleId="AccompagnantPagedecouverture">
    <w:name w:val="Accompagnant (Page de couverture)"/>
    <w:basedOn w:val="Accompagnant"/>
    <w:next w:val="TypeacteprincipalPagedecouverture"/>
  </w:style>
  <w:style w:type="paragraph" w:customStyle="1" w:styleId="LanguesfaisantfoiPagedecouverture">
    <w:name w:val="Langues faisant foi (Page de couverture)"/>
    <w:basedOn w:val="Normal"/>
    <w:next w:val="Rfrencecroise"/>
    <w:pPr>
      <w:spacing w:before="360" w:after="240" w:line="240" w:lineRule="auto"/>
      <w:jc w:val="center"/>
    </w:pPr>
    <w:rPr>
      <w:rFonts w:ascii="Times New Roman" w:eastAsiaTheme="minorHAnsi" w:hAnsi="Times New Roman"/>
      <w:sz w:val="24"/>
    </w:rPr>
  </w:style>
  <w:style w:type="paragraph" w:customStyle="1" w:styleId="ListBullet1">
    <w:name w:val="List Bullet 1"/>
    <w:basedOn w:val="Normal"/>
    <w:pPr>
      <w:numPr>
        <w:numId w:val="23"/>
      </w:numPr>
      <w:spacing w:before="120" w:after="120" w:line="240" w:lineRule="auto"/>
      <w:jc w:val="both"/>
    </w:pPr>
    <w:rPr>
      <w:rFonts w:ascii="Times New Roman" w:eastAsia="Times New Roman" w:hAnsi="Times New Roman"/>
      <w:sz w:val="24"/>
      <w:szCs w:val="24"/>
      <w:lang w:eastAsia="de-DE"/>
    </w:rPr>
  </w:style>
  <w:style w:type="paragraph" w:customStyle="1" w:styleId="ListDash">
    <w:name w:val="List Dash"/>
    <w:basedOn w:val="Normal"/>
    <w:pPr>
      <w:numPr>
        <w:numId w:val="24"/>
      </w:numPr>
      <w:spacing w:before="120" w:after="120" w:line="240" w:lineRule="auto"/>
      <w:jc w:val="both"/>
    </w:pPr>
    <w:rPr>
      <w:rFonts w:ascii="Times New Roman" w:eastAsia="Times New Roman" w:hAnsi="Times New Roman"/>
      <w:sz w:val="24"/>
      <w:szCs w:val="24"/>
      <w:lang w:eastAsia="de-DE"/>
    </w:rPr>
  </w:style>
  <w:style w:type="paragraph" w:customStyle="1" w:styleId="ListDash1">
    <w:name w:val="List Dash 1"/>
    <w:basedOn w:val="Normal"/>
    <w:pPr>
      <w:numPr>
        <w:numId w:val="25"/>
      </w:numPr>
      <w:spacing w:before="120" w:after="120" w:line="240" w:lineRule="auto"/>
      <w:jc w:val="both"/>
    </w:pPr>
    <w:rPr>
      <w:rFonts w:ascii="Times New Roman" w:eastAsia="Times New Roman" w:hAnsi="Times New Roman"/>
      <w:sz w:val="24"/>
      <w:szCs w:val="24"/>
      <w:lang w:eastAsia="de-DE"/>
    </w:rPr>
  </w:style>
  <w:style w:type="paragraph" w:customStyle="1" w:styleId="ListDash2">
    <w:name w:val="List Dash 2"/>
    <w:basedOn w:val="Normal"/>
    <w:pPr>
      <w:numPr>
        <w:numId w:val="26"/>
      </w:numPr>
      <w:spacing w:before="120" w:after="120" w:line="240" w:lineRule="auto"/>
      <w:jc w:val="both"/>
    </w:pPr>
    <w:rPr>
      <w:rFonts w:ascii="Times New Roman" w:eastAsia="Times New Roman" w:hAnsi="Times New Roman"/>
      <w:sz w:val="24"/>
      <w:szCs w:val="24"/>
      <w:lang w:eastAsia="de-DE"/>
    </w:rPr>
  </w:style>
  <w:style w:type="paragraph" w:customStyle="1" w:styleId="ListDash3">
    <w:name w:val="List Dash 3"/>
    <w:basedOn w:val="Normal"/>
    <w:pPr>
      <w:numPr>
        <w:numId w:val="27"/>
      </w:numPr>
      <w:spacing w:before="120" w:after="120" w:line="240" w:lineRule="auto"/>
      <w:jc w:val="both"/>
    </w:pPr>
    <w:rPr>
      <w:rFonts w:ascii="Times New Roman" w:eastAsia="Times New Roman" w:hAnsi="Times New Roman"/>
      <w:sz w:val="24"/>
      <w:szCs w:val="24"/>
      <w:lang w:eastAsia="de-DE"/>
    </w:rPr>
  </w:style>
  <w:style w:type="paragraph" w:customStyle="1" w:styleId="ListDash4">
    <w:name w:val="List Dash 4"/>
    <w:basedOn w:val="Normal"/>
    <w:pPr>
      <w:numPr>
        <w:numId w:val="28"/>
      </w:numPr>
      <w:spacing w:before="120" w:after="120" w:line="240" w:lineRule="auto"/>
      <w:jc w:val="both"/>
    </w:pPr>
    <w:rPr>
      <w:rFonts w:ascii="Times New Roman" w:eastAsia="Times New Roman" w:hAnsi="Times New Roman"/>
      <w:sz w:val="24"/>
      <w:szCs w:val="24"/>
      <w:lang w:eastAsia="de-DE"/>
    </w:rPr>
  </w:style>
  <w:style w:type="paragraph" w:customStyle="1" w:styleId="ListNumber1">
    <w:name w:val="List Number 1"/>
    <w:basedOn w:val="Text1"/>
    <w:pPr>
      <w:numPr>
        <w:numId w:val="29"/>
      </w:numPr>
    </w:pPr>
    <w:rPr>
      <w:lang w:eastAsia="de-DE"/>
    </w:rPr>
  </w:style>
  <w:style w:type="paragraph" w:customStyle="1" w:styleId="ListNumberLevel2">
    <w:name w:val="List Number (Level 2)"/>
    <w:basedOn w:val="Normal"/>
    <w:pPr>
      <w:numPr>
        <w:ilvl w:val="1"/>
        <w:numId w:val="3"/>
      </w:numPr>
      <w:spacing w:before="120" w:after="120" w:line="240" w:lineRule="auto"/>
      <w:jc w:val="both"/>
    </w:pPr>
    <w:rPr>
      <w:rFonts w:ascii="Times New Roman" w:eastAsia="Times New Roman" w:hAnsi="Times New Roman"/>
      <w:sz w:val="24"/>
      <w:szCs w:val="24"/>
      <w:lang w:eastAsia="de-DE"/>
    </w:rPr>
  </w:style>
  <w:style w:type="paragraph" w:customStyle="1" w:styleId="ListNumber1Level2">
    <w:name w:val="List Number 1 (Level 2)"/>
    <w:basedOn w:val="Text1"/>
    <w:pPr>
      <w:numPr>
        <w:ilvl w:val="1"/>
        <w:numId w:val="29"/>
      </w:numPr>
    </w:pPr>
    <w:rPr>
      <w:lang w:eastAsia="de-DE"/>
    </w:rPr>
  </w:style>
  <w:style w:type="paragraph" w:customStyle="1" w:styleId="ListNumber2Level2">
    <w:name w:val="List Number 2 (Level 2)"/>
    <w:basedOn w:val="Text2"/>
    <w:pPr>
      <w:numPr>
        <w:ilvl w:val="1"/>
        <w:numId w:val="7"/>
      </w:numPr>
    </w:pPr>
    <w:rPr>
      <w:lang w:eastAsia="de-DE"/>
    </w:rPr>
  </w:style>
  <w:style w:type="paragraph" w:customStyle="1" w:styleId="ListNumber3Level2">
    <w:name w:val="List Number 3 (Level 2)"/>
    <w:basedOn w:val="Text3"/>
    <w:pPr>
      <w:numPr>
        <w:ilvl w:val="1"/>
        <w:numId w:val="8"/>
      </w:numPr>
    </w:pPr>
    <w:rPr>
      <w:lang w:eastAsia="de-DE"/>
    </w:rPr>
  </w:style>
  <w:style w:type="paragraph" w:customStyle="1" w:styleId="ListNumber4Level2">
    <w:name w:val="List Number 4 (Level 2)"/>
    <w:basedOn w:val="Text4"/>
    <w:pPr>
      <w:numPr>
        <w:ilvl w:val="1"/>
        <w:numId w:val="9"/>
      </w:numPr>
    </w:pPr>
    <w:rPr>
      <w:lang w:eastAsia="de-DE"/>
    </w:rPr>
  </w:style>
  <w:style w:type="paragraph" w:customStyle="1" w:styleId="ListNumberLevel3">
    <w:name w:val="List Number (Level 3)"/>
    <w:basedOn w:val="Normal"/>
    <w:pPr>
      <w:numPr>
        <w:ilvl w:val="2"/>
        <w:numId w:val="3"/>
      </w:numPr>
      <w:spacing w:before="120" w:after="120" w:line="240" w:lineRule="auto"/>
      <w:jc w:val="both"/>
    </w:pPr>
    <w:rPr>
      <w:rFonts w:ascii="Times New Roman" w:eastAsia="Times New Roman" w:hAnsi="Times New Roman"/>
      <w:sz w:val="24"/>
      <w:szCs w:val="24"/>
      <w:lang w:eastAsia="de-DE"/>
    </w:rPr>
  </w:style>
  <w:style w:type="paragraph" w:customStyle="1" w:styleId="ListNumber1Level3">
    <w:name w:val="List Number 1 (Level 3)"/>
    <w:basedOn w:val="Text1"/>
    <w:pPr>
      <w:numPr>
        <w:ilvl w:val="2"/>
        <w:numId w:val="29"/>
      </w:numPr>
    </w:pPr>
    <w:rPr>
      <w:lang w:eastAsia="de-DE"/>
    </w:rPr>
  </w:style>
  <w:style w:type="paragraph" w:customStyle="1" w:styleId="ListNumber2Level3">
    <w:name w:val="List Number 2 (Level 3)"/>
    <w:basedOn w:val="Text2"/>
    <w:pPr>
      <w:numPr>
        <w:ilvl w:val="2"/>
        <w:numId w:val="7"/>
      </w:numPr>
    </w:pPr>
    <w:rPr>
      <w:lang w:eastAsia="de-DE"/>
    </w:rPr>
  </w:style>
  <w:style w:type="paragraph" w:customStyle="1" w:styleId="ListNumber3Level3">
    <w:name w:val="List Number 3 (Level 3)"/>
    <w:basedOn w:val="Text3"/>
    <w:pPr>
      <w:numPr>
        <w:ilvl w:val="2"/>
        <w:numId w:val="8"/>
      </w:numPr>
    </w:pPr>
    <w:rPr>
      <w:lang w:eastAsia="de-DE"/>
    </w:rPr>
  </w:style>
  <w:style w:type="paragraph" w:customStyle="1" w:styleId="ListNumber4Level3">
    <w:name w:val="List Number 4 (Level 3)"/>
    <w:basedOn w:val="Text4"/>
    <w:pPr>
      <w:numPr>
        <w:ilvl w:val="2"/>
        <w:numId w:val="9"/>
      </w:numPr>
    </w:pPr>
    <w:rPr>
      <w:lang w:eastAsia="de-DE"/>
    </w:rPr>
  </w:style>
  <w:style w:type="paragraph" w:customStyle="1" w:styleId="ListNumberLevel4">
    <w:name w:val="List Number (Level 4)"/>
    <w:basedOn w:val="Normal"/>
    <w:pPr>
      <w:numPr>
        <w:ilvl w:val="3"/>
        <w:numId w:val="3"/>
      </w:numPr>
      <w:spacing w:before="120" w:after="120" w:line="240" w:lineRule="auto"/>
      <w:jc w:val="both"/>
    </w:pPr>
    <w:rPr>
      <w:rFonts w:ascii="Times New Roman" w:eastAsia="Times New Roman" w:hAnsi="Times New Roman"/>
      <w:sz w:val="24"/>
      <w:szCs w:val="24"/>
      <w:lang w:eastAsia="de-DE"/>
    </w:rPr>
  </w:style>
  <w:style w:type="paragraph" w:customStyle="1" w:styleId="ListNumber1Level4">
    <w:name w:val="List Number 1 (Level 4)"/>
    <w:basedOn w:val="Text1"/>
    <w:pPr>
      <w:numPr>
        <w:ilvl w:val="3"/>
        <w:numId w:val="29"/>
      </w:numPr>
    </w:pPr>
    <w:rPr>
      <w:lang w:eastAsia="de-DE"/>
    </w:rPr>
  </w:style>
  <w:style w:type="paragraph" w:customStyle="1" w:styleId="ListNumber2Level4">
    <w:name w:val="List Number 2 (Level 4)"/>
    <w:basedOn w:val="Text2"/>
    <w:pPr>
      <w:numPr>
        <w:ilvl w:val="3"/>
        <w:numId w:val="7"/>
      </w:numPr>
    </w:pPr>
    <w:rPr>
      <w:lang w:eastAsia="de-DE"/>
    </w:rPr>
  </w:style>
  <w:style w:type="paragraph" w:customStyle="1" w:styleId="ListNumber3Level4">
    <w:name w:val="List Number 3 (Level 4)"/>
    <w:basedOn w:val="Text3"/>
    <w:pPr>
      <w:numPr>
        <w:ilvl w:val="3"/>
        <w:numId w:val="8"/>
      </w:numPr>
    </w:pPr>
    <w:rPr>
      <w:lang w:eastAsia="de-DE"/>
    </w:rPr>
  </w:style>
  <w:style w:type="paragraph" w:customStyle="1" w:styleId="ListNumber4Level4">
    <w:name w:val="List Number 4 (Level 4)"/>
    <w:basedOn w:val="Text4"/>
    <w:pPr>
      <w:numPr>
        <w:ilvl w:val="3"/>
        <w:numId w:val="9"/>
      </w:numPr>
    </w:pPr>
    <w:rPr>
      <w:lang w:eastAsia="de-DE"/>
    </w:rPr>
  </w:style>
  <w:style w:type="paragraph" w:customStyle="1" w:styleId="Rfrenceinterinstitutionelleprliminaire">
    <w:name w:val="Référence interinstitutionelle (préliminaire)"/>
    <w:basedOn w:val="Normal"/>
    <w:next w:val="Normal"/>
    <w:pPr>
      <w:spacing w:after="0" w:line="240" w:lineRule="auto"/>
      <w:ind w:left="5103"/>
    </w:pPr>
    <w:rPr>
      <w:rFonts w:ascii="Times New Roman" w:eastAsia="Times New Roman" w:hAnsi="Times New Roman"/>
      <w:sz w:val="24"/>
      <w:szCs w:val="24"/>
      <w:lang w:eastAsia="de-DE"/>
    </w:rPr>
  </w:style>
  <w:style w:type="paragraph" w:customStyle="1" w:styleId="Sous-titreobjetprliminaire">
    <w:name w:val="Sous-titre objet (préliminaire)"/>
    <w:basedOn w:val="Normal"/>
    <w:pPr>
      <w:spacing w:after="0" w:line="240" w:lineRule="auto"/>
      <w:jc w:val="center"/>
    </w:pPr>
    <w:rPr>
      <w:rFonts w:ascii="Times New Roman" w:eastAsia="Times New Roman" w:hAnsi="Times New Roman"/>
      <w:b/>
      <w:sz w:val="24"/>
      <w:szCs w:val="24"/>
      <w:lang w:eastAsia="de-DE"/>
    </w:rPr>
  </w:style>
  <w:style w:type="paragraph" w:customStyle="1" w:styleId="Statutprliminaire">
    <w:name w:val="Statut (préliminaire)"/>
    <w:basedOn w:val="Normal"/>
    <w:next w:val="Normal"/>
    <w:pPr>
      <w:spacing w:before="360" w:after="0" w:line="240" w:lineRule="auto"/>
      <w:jc w:val="center"/>
    </w:pPr>
    <w:rPr>
      <w:rFonts w:ascii="Times New Roman" w:eastAsia="Times New Roman" w:hAnsi="Times New Roman"/>
      <w:sz w:val="24"/>
      <w:szCs w:val="24"/>
      <w:lang w:eastAsia="de-DE"/>
    </w:rPr>
  </w:style>
  <w:style w:type="paragraph" w:customStyle="1" w:styleId="Titreobjetprliminaire">
    <w:name w:val="Titre objet (préliminaire)"/>
    <w:basedOn w:val="Normal"/>
    <w:next w:val="Normal"/>
    <w:pPr>
      <w:spacing w:before="360" w:after="360" w:line="240" w:lineRule="auto"/>
      <w:jc w:val="center"/>
    </w:pPr>
    <w:rPr>
      <w:rFonts w:ascii="Times New Roman" w:eastAsia="Times New Roman" w:hAnsi="Times New Roman"/>
      <w:b/>
      <w:sz w:val="24"/>
      <w:szCs w:val="24"/>
      <w:lang w:eastAsia="de-DE"/>
    </w:rPr>
  </w:style>
  <w:style w:type="paragraph" w:customStyle="1" w:styleId="Typedudocumentprliminaire">
    <w:name w:val="Type du document (préliminaire)"/>
    <w:basedOn w:val="Normal"/>
    <w:next w:val="Normal"/>
    <w:pPr>
      <w:spacing w:before="360" w:after="0" w:line="240" w:lineRule="auto"/>
      <w:jc w:val="center"/>
    </w:pPr>
    <w:rPr>
      <w:rFonts w:ascii="Times New Roman" w:eastAsia="Times New Roman" w:hAnsi="Times New Roman"/>
      <w:b/>
      <w:sz w:val="24"/>
      <w:szCs w:val="24"/>
      <w:lang w:eastAsia="de-DE"/>
    </w:rPr>
  </w:style>
  <w:style w:type="paragraph" w:customStyle="1" w:styleId="c19marge1">
    <w:name w:val="c19marge1"/>
    <w:basedOn w:val="Normal"/>
    <w:pPr>
      <w:spacing w:after="240" w:line="240" w:lineRule="auto"/>
      <w:ind w:left="1247"/>
      <w:jc w:val="both"/>
    </w:pPr>
    <w:rPr>
      <w:rFonts w:ascii="Times New Roman" w:eastAsia="Times New Roman" w:hAnsi="Times New Roman"/>
      <w:sz w:val="24"/>
      <w:szCs w:val="24"/>
      <w:lang w:eastAsia="en-GB"/>
    </w:rPr>
  </w:style>
  <w:style w:type="paragraph" w:customStyle="1" w:styleId="c08dispositif">
    <w:name w:val="c08dispositif"/>
    <w:basedOn w:val="Normal"/>
    <w:pPr>
      <w:spacing w:before="100" w:beforeAutospacing="1" w:after="240" w:line="240" w:lineRule="auto"/>
      <w:ind w:left="1134" w:hanging="567"/>
      <w:jc w:val="both"/>
    </w:pPr>
    <w:rPr>
      <w:rFonts w:ascii="Times New Roman" w:eastAsia="Times New Roman" w:hAnsi="Times New Roman"/>
      <w:b/>
      <w:bCs/>
      <w:sz w:val="24"/>
      <w:szCs w:val="24"/>
      <w:lang w:eastAsia="en-GB"/>
    </w:r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lang w:eastAsia="en-GB"/>
    </w:rPr>
  </w:style>
  <w:style w:type="character" w:customStyle="1" w:styleId="FooterCoverPageChar">
    <w:name w:val="Footer Cover Page Char"/>
    <w:link w:val="FooterCoverPage"/>
    <w:locked/>
    <w:rPr>
      <w:rFonts w:ascii="Times New Roman" w:eastAsia="Calibri"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HeaderCoverPageChar">
    <w:name w:val="Header Cover Page Char"/>
    <w:link w:val="HeaderCoverPage"/>
    <w:locked/>
    <w:rPr>
      <w:rFonts w:ascii="Times New Roman" w:eastAsia="Calibri"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styleId="FootnoteReference">
    <w:name w:val="footnote reference"/>
    <w:uiPriority w:val="99"/>
    <w:unhideWhenUsed/>
    <w:rPr>
      <w:vertAlign w:val="superscript"/>
    </w:rPr>
  </w:style>
  <w:style w:type="character" w:styleId="CommentReference">
    <w:name w:val="annotation reference"/>
    <w:semiHidden/>
    <w:unhideWhenUsed/>
    <w:rPr>
      <w:rFonts w:ascii="Times New Roman" w:hAnsi="Times New Roman" w:cs="Times New Roman" w:hint="default"/>
      <w:sz w:val="16"/>
    </w:rPr>
  </w:style>
  <w:style w:type="character" w:styleId="EndnoteReference">
    <w:name w:val="endnote reference"/>
    <w:semiHidden/>
    <w:unhideWhenUsed/>
    <w:rPr>
      <w:vertAlign w:val="superscript"/>
    </w:rPr>
  </w:style>
  <w:style w:type="character" w:customStyle="1" w:styleId="Marker">
    <w:name w:val="Marker"/>
    <w:rPr>
      <w:color w:val="0000FF"/>
    </w:rPr>
  </w:style>
  <w:style w:type="character" w:customStyle="1" w:styleId="Marker1">
    <w:name w:val="Marker1"/>
    <w:rPr>
      <w:color w:val="008000"/>
    </w:rPr>
  </w:style>
  <w:style w:type="character" w:customStyle="1" w:styleId="Marker2">
    <w:name w:val="Marker2"/>
    <w:rPr>
      <w:color w:val="FF0000"/>
    </w:rPr>
  </w:style>
  <w:style w:type="character" w:customStyle="1" w:styleId="Added">
    <w:name w:val="Added"/>
    <w:rPr>
      <w:b/>
      <w:bCs w:val="0"/>
      <w:u w:val="single"/>
    </w:rPr>
  </w:style>
  <w:style w:type="character" w:customStyle="1" w:styleId="Deleted">
    <w:name w:val="Deleted"/>
    <w:rPr>
      <w:strik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71712">
      <w:bodyDiv w:val="1"/>
      <w:marLeft w:val="0"/>
      <w:marRight w:val="0"/>
      <w:marTop w:val="0"/>
      <w:marBottom w:val="0"/>
      <w:divBdr>
        <w:top w:val="none" w:sz="0" w:space="0" w:color="auto"/>
        <w:left w:val="none" w:sz="0" w:space="0" w:color="auto"/>
        <w:bottom w:val="none" w:sz="0" w:space="0" w:color="auto"/>
        <w:right w:val="none" w:sz="0" w:space="0" w:color="auto"/>
      </w:divBdr>
    </w:div>
    <w:div w:id="173417366">
      <w:bodyDiv w:val="1"/>
      <w:marLeft w:val="0"/>
      <w:marRight w:val="0"/>
      <w:marTop w:val="0"/>
      <w:marBottom w:val="0"/>
      <w:divBdr>
        <w:top w:val="none" w:sz="0" w:space="0" w:color="auto"/>
        <w:left w:val="none" w:sz="0" w:space="0" w:color="auto"/>
        <w:bottom w:val="none" w:sz="0" w:space="0" w:color="auto"/>
        <w:right w:val="none" w:sz="0" w:space="0" w:color="auto"/>
      </w:divBdr>
    </w:div>
    <w:div w:id="388500862">
      <w:bodyDiv w:val="1"/>
      <w:marLeft w:val="0"/>
      <w:marRight w:val="0"/>
      <w:marTop w:val="0"/>
      <w:marBottom w:val="0"/>
      <w:divBdr>
        <w:top w:val="none" w:sz="0" w:space="0" w:color="auto"/>
        <w:left w:val="none" w:sz="0" w:space="0" w:color="auto"/>
        <w:bottom w:val="none" w:sz="0" w:space="0" w:color="auto"/>
        <w:right w:val="none" w:sz="0" w:space="0" w:color="auto"/>
      </w:divBdr>
    </w:div>
    <w:div w:id="469590965">
      <w:bodyDiv w:val="1"/>
      <w:marLeft w:val="0"/>
      <w:marRight w:val="0"/>
      <w:marTop w:val="0"/>
      <w:marBottom w:val="0"/>
      <w:divBdr>
        <w:top w:val="none" w:sz="0" w:space="0" w:color="auto"/>
        <w:left w:val="none" w:sz="0" w:space="0" w:color="auto"/>
        <w:bottom w:val="none" w:sz="0" w:space="0" w:color="auto"/>
        <w:right w:val="none" w:sz="0" w:space="0" w:color="auto"/>
      </w:divBdr>
    </w:div>
    <w:div w:id="706104298">
      <w:bodyDiv w:val="1"/>
      <w:marLeft w:val="0"/>
      <w:marRight w:val="0"/>
      <w:marTop w:val="0"/>
      <w:marBottom w:val="0"/>
      <w:divBdr>
        <w:top w:val="none" w:sz="0" w:space="0" w:color="auto"/>
        <w:left w:val="none" w:sz="0" w:space="0" w:color="auto"/>
        <w:bottom w:val="none" w:sz="0" w:space="0" w:color="auto"/>
        <w:right w:val="none" w:sz="0" w:space="0" w:color="auto"/>
      </w:divBdr>
      <w:divsChild>
        <w:div w:id="1303579196">
          <w:marLeft w:val="0"/>
          <w:marRight w:val="0"/>
          <w:marTop w:val="0"/>
          <w:marBottom w:val="0"/>
          <w:divBdr>
            <w:top w:val="none" w:sz="0" w:space="0" w:color="auto"/>
            <w:left w:val="none" w:sz="0" w:space="0" w:color="auto"/>
            <w:bottom w:val="none" w:sz="0" w:space="0" w:color="auto"/>
            <w:right w:val="none" w:sz="0" w:space="0" w:color="auto"/>
          </w:divBdr>
        </w:div>
      </w:divsChild>
    </w:div>
    <w:div w:id="802389770">
      <w:bodyDiv w:val="1"/>
      <w:marLeft w:val="0"/>
      <w:marRight w:val="0"/>
      <w:marTop w:val="0"/>
      <w:marBottom w:val="0"/>
      <w:divBdr>
        <w:top w:val="none" w:sz="0" w:space="0" w:color="auto"/>
        <w:left w:val="none" w:sz="0" w:space="0" w:color="auto"/>
        <w:bottom w:val="none" w:sz="0" w:space="0" w:color="auto"/>
        <w:right w:val="none" w:sz="0" w:space="0" w:color="auto"/>
      </w:divBdr>
      <w:divsChild>
        <w:div w:id="40633846">
          <w:marLeft w:val="0"/>
          <w:marRight w:val="0"/>
          <w:marTop w:val="0"/>
          <w:marBottom w:val="0"/>
          <w:divBdr>
            <w:top w:val="none" w:sz="0" w:space="0" w:color="auto"/>
            <w:left w:val="none" w:sz="0" w:space="0" w:color="auto"/>
            <w:bottom w:val="none" w:sz="0" w:space="0" w:color="auto"/>
            <w:right w:val="none" w:sz="0" w:space="0" w:color="auto"/>
          </w:divBdr>
        </w:div>
      </w:divsChild>
    </w:div>
    <w:div w:id="832334281">
      <w:bodyDiv w:val="1"/>
      <w:marLeft w:val="0"/>
      <w:marRight w:val="0"/>
      <w:marTop w:val="0"/>
      <w:marBottom w:val="0"/>
      <w:divBdr>
        <w:top w:val="none" w:sz="0" w:space="0" w:color="auto"/>
        <w:left w:val="none" w:sz="0" w:space="0" w:color="auto"/>
        <w:bottom w:val="none" w:sz="0" w:space="0" w:color="auto"/>
        <w:right w:val="none" w:sz="0" w:space="0" w:color="auto"/>
      </w:divBdr>
    </w:div>
    <w:div w:id="1101488825">
      <w:bodyDiv w:val="1"/>
      <w:marLeft w:val="0"/>
      <w:marRight w:val="0"/>
      <w:marTop w:val="0"/>
      <w:marBottom w:val="0"/>
      <w:divBdr>
        <w:top w:val="none" w:sz="0" w:space="0" w:color="auto"/>
        <w:left w:val="none" w:sz="0" w:space="0" w:color="auto"/>
        <w:bottom w:val="none" w:sz="0" w:space="0" w:color="auto"/>
        <w:right w:val="none" w:sz="0" w:space="0" w:color="auto"/>
      </w:divBdr>
    </w:div>
    <w:div w:id="1138911709">
      <w:bodyDiv w:val="1"/>
      <w:marLeft w:val="0"/>
      <w:marRight w:val="0"/>
      <w:marTop w:val="0"/>
      <w:marBottom w:val="0"/>
      <w:divBdr>
        <w:top w:val="none" w:sz="0" w:space="0" w:color="auto"/>
        <w:left w:val="none" w:sz="0" w:space="0" w:color="auto"/>
        <w:bottom w:val="none" w:sz="0" w:space="0" w:color="auto"/>
        <w:right w:val="none" w:sz="0" w:space="0" w:color="auto"/>
      </w:divBdr>
      <w:divsChild>
        <w:div w:id="1680767780">
          <w:marLeft w:val="0"/>
          <w:marRight w:val="0"/>
          <w:marTop w:val="0"/>
          <w:marBottom w:val="0"/>
          <w:divBdr>
            <w:top w:val="none" w:sz="0" w:space="0" w:color="auto"/>
            <w:left w:val="none" w:sz="0" w:space="0" w:color="auto"/>
            <w:bottom w:val="none" w:sz="0" w:space="0" w:color="auto"/>
            <w:right w:val="none" w:sz="0" w:space="0" w:color="auto"/>
          </w:divBdr>
        </w:div>
      </w:divsChild>
    </w:div>
    <w:div w:id="1522281983">
      <w:bodyDiv w:val="1"/>
      <w:marLeft w:val="0"/>
      <w:marRight w:val="0"/>
      <w:marTop w:val="0"/>
      <w:marBottom w:val="0"/>
      <w:divBdr>
        <w:top w:val="none" w:sz="0" w:space="0" w:color="auto"/>
        <w:left w:val="none" w:sz="0" w:space="0" w:color="auto"/>
        <w:bottom w:val="none" w:sz="0" w:space="0" w:color="auto"/>
        <w:right w:val="none" w:sz="0" w:space="0" w:color="auto"/>
      </w:divBdr>
    </w:div>
    <w:div w:id="1774401992">
      <w:bodyDiv w:val="1"/>
      <w:marLeft w:val="0"/>
      <w:marRight w:val="0"/>
      <w:marTop w:val="0"/>
      <w:marBottom w:val="0"/>
      <w:divBdr>
        <w:top w:val="none" w:sz="0" w:space="0" w:color="auto"/>
        <w:left w:val="none" w:sz="0" w:space="0" w:color="auto"/>
        <w:bottom w:val="none" w:sz="0" w:space="0" w:color="auto"/>
        <w:right w:val="none" w:sz="0" w:space="0" w:color="auto"/>
      </w:divBdr>
      <w:divsChild>
        <w:div w:id="1547327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ransparency/comitology-register/screen/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CF46E-7DCB-4CB6-9E64-BF22E5C91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FC647E-4FCD-45E8-A85A-151C3CB90DE6}">
  <ds:schemaRefs>
    <ds:schemaRef ds:uri="http://schemas.openxmlformats.org/officeDocument/2006/bibliography"/>
  </ds:schemaRefs>
</ds:datastoreItem>
</file>

<file path=customXml/itemProps3.xml><?xml version="1.0" encoding="utf-8"?>
<ds:datastoreItem xmlns:ds="http://schemas.openxmlformats.org/officeDocument/2006/customXml" ds:itemID="{2850028B-BB3E-4E7E-B4D4-D4D436DD7D6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480FD7-7A99-484F-85C0-5765072D1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2622</Words>
  <Characters>14946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cp:lastPrinted>2026-06-04T08:43:00Z</cp:lastPrinted>
  <dcterms:created xsi:type="dcterms:W3CDTF">2026-07-29T13:37:00Z</dcterms:created>
  <dcterms:modified xsi:type="dcterms:W3CDTF">2026-09-03T08:03:00Z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2024-05-24T16:24:01Z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faf9c4c7-ff74-44d1-9ae1-265143dce4ef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CP-006</vt:lpwstr>
  </property>
  <property fmtid="{D5CDD505-2E9C-101B-9397-08002B2CF9AE}" pid="14" name="Last edited using">
    <vt:lpwstr>LW 9.2, Build 20250828</vt:lpwstr>
  </property>
  <property fmtid="{D5CDD505-2E9C-101B-9397-08002B2CF9AE}" pid="15" name="Created using">
    <vt:lpwstr>LW 9.0, Build 20230317</vt:lpwstr>
  </property>
  <property fmtid="{D5CDD505-2E9C-101B-9397-08002B2CF9AE}" pid="16" name="ContentTypeId">
    <vt:lpwstr>0x010100066607488EB41B44B892757CFE82895E</vt:lpwstr>
  </property>
</Properties>
</file>